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AB2B9" w14:textId="3A2CF508" w:rsidR="00ED1854" w:rsidRDefault="000D2555" w:rsidP="00FB6025">
      <w:r>
        <w:rPr>
          <w:noProof/>
        </w:rPr>
        <w:drawing>
          <wp:anchor distT="0" distB="0" distL="114300" distR="114300" simplePos="0" relativeHeight="251658240" behindDoc="0" locked="0" layoutInCell="1" allowOverlap="1" wp14:anchorId="268964D3" wp14:editId="2C3CC419">
            <wp:simplePos x="0" y="0"/>
            <wp:positionH relativeFrom="margin">
              <wp:align>center</wp:align>
            </wp:positionH>
            <wp:positionV relativeFrom="paragraph">
              <wp:posOffset>304800</wp:posOffset>
            </wp:positionV>
            <wp:extent cx="3523615" cy="1402080"/>
            <wp:effectExtent l="0" t="0" r="635" b="7620"/>
            <wp:wrapNone/>
            <wp:docPr id="105799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3615" cy="1402080"/>
                    </a:xfrm>
                    <a:prstGeom prst="rect">
                      <a:avLst/>
                    </a:prstGeom>
                    <a:noFill/>
                  </pic:spPr>
                </pic:pic>
              </a:graphicData>
            </a:graphic>
          </wp:anchor>
        </w:drawing>
      </w:r>
    </w:p>
    <w:p w14:paraId="4C897BD0" w14:textId="77777777" w:rsidR="00EC085E" w:rsidRDefault="00EC085E" w:rsidP="00FB6025"/>
    <w:p w14:paraId="62F9DE29" w14:textId="77777777" w:rsidR="00EC085E" w:rsidRDefault="00EC085E" w:rsidP="00FB6025"/>
    <w:p w14:paraId="179B86A6" w14:textId="77777777" w:rsidR="00EC085E" w:rsidRDefault="00EC085E" w:rsidP="00FB6025"/>
    <w:p w14:paraId="60B04732" w14:textId="77777777" w:rsidR="00EC085E" w:rsidRDefault="00EC085E" w:rsidP="00FB6025"/>
    <w:p w14:paraId="036414B7" w14:textId="77777777" w:rsidR="00EC085E" w:rsidRDefault="00EC085E" w:rsidP="00FB6025"/>
    <w:p w14:paraId="6312FE11" w14:textId="77777777" w:rsidR="00EC085E" w:rsidRDefault="00EC085E" w:rsidP="00FB6025"/>
    <w:p w14:paraId="06C2C902" w14:textId="77777777" w:rsidR="00EC085E" w:rsidRDefault="00EC085E" w:rsidP="00EC085E">
      <w:pPr>
        <w:spacing w:before="212"/>
        <w:rPr>
          <w:rFonts w:ascii="Arial"/>
          <w:b/>
          <w:sz w:val="48"/>
          <w:szCs w:val="48"/>
        </w:rPr>
      </w:pPr>
      <w:r w:rsidRPr="00DD5969">
        <w:rPr>
          <w:rFonts w:ascii="Arial"/>
          <w:b/>
          <w:sz w:val="48"/>
          <w:szCs w:val="48"/>
        </w:rPr>
        <w:t>MODULE CODE:</w:t>
      </w:r>
      <w:r>
        <w:rPr>
          <w:rFonts w:ascii="Arial"/>
          <w:b/>
          <w:sz w:val="48"/>
          <w:szCs w:val="48"/>
        </w:rPr>
        <w:t xml:space="preserve"> ECDE7002 </w:t>
      </w:r>
    </w:p>
    <w:p w14:paraId="79A5FFCE" w14:textId="77777777" w:rsidR="00EC085E" w:rsidRDefault="00EC085E" w:rsidP="00EC085E">
      <w:pPr>
        <w:spacing w:before="212"/>
        <w:rPr>
          <w:rFonts w:ascii="Arial"/>
          <w:b/>
          <w:sz w:val="48"/>
          <w:szCs w:val="48"/>
        </w:rPr>
      </w:pPr>
      <w:r>
        <w:rPr>
          <w:rFonts w:ascii="Arial"/>
          <w:b/>
          <w:sz w:val="48"/>
          <w:szCs w:val="48"/>
        </w:rPr>
        <w:t>Research Methods</w:t>
      </w:r>
    </w:p>
    <w:p w14:paraId="705376DF" w14:textId="77777777" w:rsidR="00EC085E" w:rsidRDefault="00EC085E" w:rsidP="00EC085E">
      <w:pPr>
        <w:spacing w:before="212"/>
        <w:rPr>
          <w:rFonts w:ascii="Arial"/>
          <w:b/>
          <w:sz w:val="48"/>
          <w:szCs w:val="48"/>
        </w:rPr>
      </w:pPr>
    </w:p>
    <w:p w14:paraId="4D043EB9" w14:textId="2E786A8B" w:rsidR="00EC085E" w:rsidRPr="00DD5969" w:rsidRDefault="00EC085E" w:rsidP="00EC085E">
      <w:pPr>
        <w:spacing w:before="212"/>
        <w:rPr>
          <w:rFonts w:ascii="Arial"/>
          <w:b/>
          <w:sz w:val="48"/>
          <w:szCs w:val="48"/>
        </w:rPr>
      </w:pPr>
      <w:r>
        <w:rPr>
          <w:rFonts w:ascii="Arial"/>
          <w:b/>
          <w:sz w:val="48"/>
          <w:szCs w:val="48"/>
        </w:rPr>
        <w:t>ASSESSMENT COMPONENT: 2</w:t>
      </w:r>
    </w:p>
    <w:p w14:paraId="36E726D5" w14:textId="77777777" w:rsidR="00EC085E" w:rsidRDefault="00EC085E" w:rsidP="00EC085E">
      <w:pPr>
        <w:spacing w:before="7"/>
        <w:jc w:val="center"/>
        <w:rPr>
          <w:rFonts w:ascii="Arial"/>
          <w:b/>
          <w:sz w:val="44"/>
        </w:rPr>
      </w:pPr>
    </w:p>
    <w:p w14:paraId="5CC99B3C" w14:textId="77777777" w:rsidR="00EC085E" w:rsidRPr="00DD5969" w:rsidRDefault="00EC085E" w:rsidP="00EC085E">
      <w:pPr>
        <w:spacing w:before="3"/>
        <w:rPr>
          <w:rFonts w:ascii="Arial"/>
          <w:b/>
          <w:sz w:val="48"/>
          <w:szCs w:val="48"/>
        </w:rPr>
      </w:pPr>
      <w:r w:rsidRPr="00DD5969">
        <w:rPr>
          <w:rFonts w:ascii="Arial"/>
          <w:b/>
          <w:sz w:val="48"/>
          <w:szCs w:val="48"/>
        </w:rPr>
        <w:t>STUDENT NAME:</w:t>
      </w:r>
      <w:r>
        <w:rPr>
          <w:rFonts w:ascii="Arial"/>
          <w:b/>
          <w:sz w:val="48"/>
          <w:szCs w:val="48"/>
        </w:rPr>
        <w:t xml:space="preserve"> Jemma Smith</w:t>
      </w:r>
    </w:p>
    <w:p w14:paraId="3D552F2E" w14:textId="77777777" w:rsidR="00EC085E" w:rsidRPr="00DD5969" w:rsidRDefault="00EC085E" w:rsidP="00EC085E">
      <w:pPr>
        <w:spacing w:before="3"/>
        <w:rPr>
          <w:rFonts w:ascii="Arial"/>
          <w:b/>
          <w:sz w:val="48"/>
          <w:szCs w:val="48"/>
        </w:rPr>
      </w:pPr>
    </w:p>
    <w:p w14:paraId="07FFBE26" w14:textId="77777777" w:rsidR="00EC085E" w:rsidRPr="00DD5969" w:rsidRDefault="00EC085E" w:rsidP="00EC085E">
      <w:pPr>
        <w:spacing w:before="3"/>
        <w:rPr>
          <w:rFonts w:ascii="Arial"/>
          <w:b/>
          <w:sz w:val="48"/>
          <w:szCs w:val="48"/>
        </w:rPr>
      </w:pPr>
      <w:r w:rsidRPr="00DD5969">
        <w:rPr>
          <w:rFonts w:ascii="Arial"/>
          <w:b/>
          <w:sz w:val="48"/>
          <w:szCs w:val="48"/>
        </w:rPr>
        <w:t xml:space="preserve">STUDENT </w:t>
      </w:r>
      <w:r>
        <w:rPr>
          <w:rFonts w:ascii="Arial"/>
          <w:b/>
          <w:sz w:val="48"/>
          <w:szCs w:val="48"/>
        </w:rPr>
        <w:t>NUMBER: 2516408</w:t>
      </w:r>
    </w:p>
    <w:p w14:paraId="0B8EF7BD" w14:textId="77777777" w:rsidR="00EC085E" w:rsidRDefault="00EC085E" w:rsidP="00FB6025"/>
    <w:p w14:paraId="46109147" w14:textId="77777777" w:rsidR="009A59F7" w:rsidRPr="00192D3C" w:rsidRDefault="009A59F7" w:rsidP="009A59F7">
      <w:pPr>
        <w:rPr>
          <w:rFonts w:ascii="Arial"/>
          <w:b/>
          <w:sz w:val="47"/>
        </w:rPr>
      </w:pPr>
      <w:r w:rsidRPr="00192D3C">
        <w:rPr>
          <w:rFonts w:ascii="Arial"/>
          <w:b/>
          <w:sz w:val="47"/>
        </w:rPr>
        <w:t>Doctorate in Education (EdD)</w:t>
      </w:r>
    </w:p>
    <w:p w14:paraId="04A23A25" w14:textId="77777777" w:rsidR="009A59F7" w:rsidRDefault="009A59F7" w:rsidP="009A59F7">
      <w:pPr>
        <w:rPr>
          <w:rFonts w:ascii="Arial"/>
          <w:b/>
          <w:sz w:val="40"/>
        </w:rPr>
      </w:pPr>
    </w:p>
    <w:p w14:paraId="511FA52D" w14:textId="77777777" w:rsidR="009A59F7" w:rsidRDefault="009A59F7" w:rsidP="00FB6025"/>
    <w:p w14:paraId="65987E9D" w14:textId="77777777" w:rsidR="009A59F7" w:rsidRDefault="009A59F7" w:rsidP="00FB6025"/>
    <w:p w14:paraId="3B127DC7" w14:textId="77777777" w:rsidR="009A59F7" w:rsidRDefault="009A59F7" w:rsidP="00FB6025"/>
    <w:p w14:paraId="59376370" w14:textId="77777777" w:rsidR="009A59F7" w:rsidRDefault="009A59F7" w:rsidP="00FB6025"/>
    <w:p w14:paraId="5F85638B" w14:textId="77777777" w:rsidR="001E47FC" w:rsidRPr="00E243A8" w:rsidRDefault="001E47FC" w:rsidP="001E47FC">
      <w:pPr>
        <w:rPr>
          <w:b/>
          <w:bCs/>
          <w:sz w:val="32"/>
          <w:szCs w:val="32"/>
          <w:u w:val="single"/>
        </w:rPr>
      </w:pPr>
      <w:r w:rsidRPr="00E243A8">
        <w:rPr>
          <w:b/>
          <w:bCs/>
          <w:sz w:val="32"/>
          <w:szCs w:val="32"/>
          <w:u w:val="single"/>
        </w:rPr>
        <w:lastRenderedPageBreak/>
        <w:t>AI Acknowledgement</w:t>
      </w:r>
    </w:p>
    <w:p w14:paraId="0148A2C9" w14:textId="77777777" w:rsidR="0058098C" w:rsidRPr="00303341" w:rsidRDefault="0058098C" w:rsidP="0058098C">
      <w:r w:rsidRPr="00303341">
        <w:t xml:space="preserve">I acknowledge the use of </w:t>
      </w:r>
      <w:proofErr w:type="spellStart"/>
      <w:r w:rsidRPr="00303341">
        <w:t>SciSpace</w:t>
      </w:r>
      <w:proofErr w:type="spellEnd"/>
      <w:r w:rsidRPr="00303341">
        <w:t xml:space="preserve"> (</w:t>
      </w:r>
      <w:hyperlink r:id="rId8" w:history="1">
        <w:r w:rsidRPr="005E334A">
          <w:rPr>
            <w:rStyle w:val="Hyperlink"/>
          </w:rPr>
          <w:t>https://typeset.io/)</w:t>
        </w:r>
      </w:hyperlink>
      <w:r w:rsidRPr="00303341">
        <w:t xml:space="preserve"> on </w:t>
      </w:r>
      <w:r>
        <w:t>22 April</w:t>
      </w:r>
      <w:r w:rsidRPr="00303341">
        <w:t xml:space="preserve"> 202</w:t>
      </w:r>
      <w:r>
        <w:t>6</w:t>
      </w:r>
      <w:r w:rsidRPr="00303341">
        <w:t xml:space="preserve"> to support my research using the prompt(s): </w:t>
      </w:r>
    </w:p>
    <w:p w14:paraId="5A99B03E" w14:textId="77777777" w:rsidR="0058098C" w:rsidRDefault="0058098C" w:rsidP="0058098C">
      <w:pPr>
        <w:pStyle w:val="ListParagraph"/>
        <w:numPr>
          <w:ilvl w:val="0"/>
          <w:numId w:val="1"/>
        </w:numPr>
      </w:pPr>
      <w:r>
        <w:t>Please provide me with a clear definition of purposive and convenience sampling</w:t>
      </w:r>
    </w:p>
    <w:p w14:paraId="550B0F58" w14:textId="77777777" w:rsidR="0058098C" w:rsidRDefault="0058098C" w:rsidP="0058098C">
      <w:pPr>
        <w:pStyle w:val="ListParagraph"/>
      </w:pPr>
    </w:p>
    <w:p w14:paraId="24587996" w14:textId="77777777" w:rsidR="0058098C" w:rsidRPr="00303341" w:rsidRDefault="0058098C" w:rsidP="0058098C">
      <w:r w:rsidRPr="00303341">
        <w:t xml:space="preserve">I acknowledge the use of </w:t>
      </w:r>
      <w:proofErr w:type="spellStart"/>
      <w:r w:rsidRPr="00303341">
        <w:t>SciSpace</w:t>
      </w:r>
      <w:proofErr w:type="spellEnd"/>
      <w:r w:rsidRPr="00303341">
        <w:t xml:space="preserve"> (</w:t>
      </w:r>
      <w:hyperlink r:id="rId9" w:history="1">
        <w:r w:rsidRPr="005E334A">
          <w:rPr>
            <w:rStyle w:val="Hyperlink"/>
          </w:rPr>
          <w:t>https://typeset.io/)</w:t>
        </w:r>
      </w:hyperlink>
      <w:r w:rsidRPr="00303341">
        <w:t xml:space="preserve"> on </w:t>
      </w:r>
      <w:r>
        <w:t>25 April</w:t>
      </w:r>
      <w:r w:rsidRPr="00303341">
        <w:t xml:space="preserve"> 202</w:t>
      </w:r>
      <w:r>
        <w:t>6</w:t>
      </w:r>
      <w:r w:rsidRPr="00303341">
        <w:t xml:space="preserve"> to support my research using the prompt(s): </w:t>
      </w:r>
    </w:p>
    <w:p w14:paraId="713D486E" w14:textId="77777777" w:rsidR="0058098C" w:rsidRDefault="0058098C" w:rsidP="0058098C">
      <w:pPr>
        <w:pStyle w:val="ListParagraph"/>
        <w:numPr>
          <w:ilvl w:val="0"/>
          <w:numId w:val="2"/>
        </w:numPr>
      </w:pPr>
      <w:r>
        <w:t>Please provide me with materials on the benefits of thematic analysis and how it can be applied effectively.</w:t>
      </w:r>
    </w:p>
    <w:p w14:paraId="5710951A" w14:textId="77777777" w:rsidR="0058098C" w:rsidRDefault="0058098C" w:rsidP="0058098C">
      <w:pPr>
        <w:pStyle w:val="ListParagraph"/>
      </w:pPr>
    </w:p>
    <w:p w14:paraId="3234EB13" w14:textId="77777777" w:rsidR="0058098C" w:rsidRPr="00A554F0" w:rsidRDefault="0058098C" w:rsidP="0058098C">
      <w:r w:rsidRPr="00A554F0">
        <w:t xml:space="preserve">I acknowledge the use of Grammarly (https://www.grammarly.com/) on </w:t>
      </w:r>
      <w:r>
        <w:t>29</w:t>
      </w:r>
      <w:r w:rsidRPr="00A554F0">
        <w:t xml:space="preserve"> </w:t>
      </w:r>
      <w:r>
        <w:t>April</w:t>
      </w:r>
      <w:r w:rsidRPr="00A554F0">
        <w:t xml:space="preserve"> 202</w:t>
      </w:r>
      <w:r>
        <w:t xml:space="preserve">6 </w:t>
      </w:r>
      <w:r w:rsidRPr="00A554F0">
        <w:t xml:space="preserve">to check my work using the prompt(s): </w:t>
      </w:r>
    </w:p>
    <w:p w14:paraId="128B4F53" w14:textId="4E000BC0" w:rsidR="009A59F7" w:rsidRDefault="0058098C" w:rsidP="00704FC0">
      <w:pPr>
        <w:pStyle w:val="ListParagraph"/>
        <w:numPr>
          <w:ilvl w:val="0"/>
          <w:numId w:val="3"/>
        </w:numPr>
      </w:pPr>
      <w:r w:rsidRPr="00A554F0">
        <w:t>Please check the following text for readability, grammar and syntax</w:t>
      </w:r>
    </w:p>
    <w:p w14:paraId="1EEE55A1" w14:textId="77777777" w:rsidR="00704FC0" w:rsidRDefault="00704FC0" w:rsidP="0058098C"/>
    <w:p w14:paraId="0A752CC8" w14:textId="77777777" w:rsidR="00704FC0" w:rsidRPr="00A554F0" w:rsidRDefault="00704FC0" w:rsidP="00704FC0">
      <w:r w:rsidRPr="00A554F0">
        <w:t xml:space="preserve">I confirm that I have not presented any </w:t>
      </w:r>
      <w:r>
        <w:t>AI-generated</w:t>
      </w:r>
      <w:r w:rsidRPr="00A554F0">
        <w:t xml:space="preserve"> text as my own work. I confirm that I have copies of my drafts, notes, and other resources I used before and after the use of AI tools</w:t>
      </w:r>
      <w:r>
        <w:t>,</w:t>
      </w:r>
      <w:r w:rsidRPr="00A554F0">
        <w:t xml:space="preserve"> which I may be asked to provide in evidence. </w:t>
      </w:r>
    </w:p>
    <w:p w14:paraId="1886E7BE" w14:textId="77777777" w:rsidR="00704FC0" w:rsidRDefault="00704FC0" w:rsidP="0058098C"/>
    <w:p w14:paraId="3FB19E91" w14:textId="77777777" w:rsidR="009A5B93" w:rsidRDefault="009A5B93" w:rsidP="0058098C"/>
    <w:p w14:paraId="1C6AA6A8" w14:textId="77777777" w:rsidR="009A5B93" w:rsidRDefault="009A5B93" w:rsidP="0058098C"/>
    <w:p w14:paraId="7FF3C5CC" w14:textId="77777777" w:rsidR="009A5B93" w:rsidRDefault="009A5B93" w:rsidP="0058098C"/>
    <w:p w14:paraId="5A6431E9" w14:textId="77777777" w:rsidR="009A5B93" w:rsidRDefault="009A5B93" w:rsidP="0058098C"/>
    <w:p w14:paraId="14601D17" w14:textId="77777777" w:rsidR="009A5B93" w:rsidRDefault="009A5B93" w:rsidP="0058098C"/>
    <w:p w14:paraId="6E7EC681" w14:textId="77777777" w:rsidR="009A5B93" w:rsidRDefault="009A5B93" w:rsidP="0058098C"/>
    <w:p w14:paraId="53A87194" w14:textId="77777777" w:rsidR="009A5B93" w:rsidRDefault="009A5B93" w:rsidP="0058098C"/>
    <w:p w14:paraId="041C69E8" w14:textId="77777777" w:rsidR="009A5B93" w:rsidRDefault="009A5B93" w:rsidP="0058098C"/>
    <w:p w14:paraId="118C8288" w14:textId="77777777" w:rsidR="009A5B93" w:rsidRDefault="009A5B93" w:rsidP="0058098C"/>
    <w:p w14:paraId="63E69E33" w14:textId="77777777" w:rsidR="009A5B93" w:rsidRDefault="009A5B93" w:rsidP="0058098C"/>
    <w:p w14:paraId="11A53410" w14:textId="77777777" w:rsidR="009A5B93" w:rsidRDefault="009A5B93" w:rsidP="0058098C"/>
    <w:p w14:paraId="4E82ED9A" w14:textId="77777777" w:rsidR="009A5B93" w:rsidRDefault="009A5B93" w:rsidP="0058098C"/>
    <w:p w14:paraId="3BDFBEB1" w14:textId="77777777" w:rsidR="009A5B93" w:rsidRDefault="009A5B93" w:rsidP="009A5B93">
      <w:pPr>
        <w:spacing w:after="0"/>
        <w:rPr>
          <w:b/>
          <w:bCs/>
          <w:sz w:val="40"/>
          <w:szCs w:val="40"/>
          <w:u w:val="single"/>
        </w:rPr>
      </w:pPr>
      <w:r w:rsidRPr="008D5071">
        <w:rPr>
          <w:b/>
          <w:bCs/>
          <w:sz w:val="40"/>
          <w:szCs w:val="40"/>
          <w:u w:val="single"/>
        </w:rPr>
        <w:lastRenderedPageBreak/>
        <w:t>Assignment 2</w:t>
      </w:r>
    </w:p>
    <w:p w14:paraId="11A37295" w14:textId="77777777" w:rsidR="009A5B93" w:rsidRDefault="009A5B93" w:rsidP="009A5B93">
      <w:pPr>
        <w:spacing w:after="0"/>
        <w:rPr>
          <w:b/>
          <w:bCs/>
          <w:u w:val="single"/>
        </w:rPr>
      </w:pPr>
      <w:r w:rsidRPr="00F436A9">
        <w:rPr>
          <w:b/>
          <w:bCs/>
          <w:u w:val="single"/>
        </w:rPr>
        <w:t>Introduction</w:t>
      </w:r>
    </w:p>
    <w:p w14:paraId="466F6F48" w14:textId="77777777" w:rsidR="009A5B93" w:rsidRDefault="009A5B93" w:rsidP="009A5B93">
      <w:pPr>
        <w:spacing w:after="0"/>
        <w:rPr>
          <w:sz w:val="40"/>
          <w:szCs w:val="40"/>
        </w:rPr>
      </w:pPr>
    </w:p>
    <w:p w14:paraId="3C0CFCFD" w14:textId="77777777" w:rsidR="009A5B93" w:rsidRDefault="009A5B93" w:rsidP="009A5B93">
      <w:pPr>
        <w:spacing w:after="0"/>
      </w:pPr>
      <w:r w:rsidRPr="009232C0">
        <w:t xml:space="preserve">This </w:t>
      </w:r>
      <w:r>
        <w:t>study</w:t>
      </w:r>
      <w:r w:rsidRPr="009232C0">
        <w:t xml:space="preserve"> explores the role, accessibility and effectiveness of </w:t>
      </w:r>
      <w:r>
        <w:t xml:space="preserve">culinary </w:t>
      </w:r>
      <w:r w:rsidRPr="009232C0">
        <w:t xml:space="preserve">education </w:t>
      </w:r>
      <w:r w:rsidRPr="00A9519E">
        <w:t xml:space="preserve">in </w:t>
      </w:r>
      <w:r>
        <w:t xml:space="preserve">prisons in </w:t>
      </w:r>
      <w:r w:rsidRPr="00A9519E">
        <w:t xml:space="preserve">Wales, focusing on the experiences of incarcerated men. Education in custodial settings is widely recognised as a central component of rehabilitation, contributing to improved </w:t>
      </w:r>
      <w:r>
        <w:t>well-being</w:t>
      </w:r>
      <w:r w:rsidRPr="00A9519E">
        <w:t>, employability, and reduced reoffending rates. Recent policy in Wales emphasises the importance of creating inclusive and engaging learning environments that support individuals in becoming “</w:t>
      </w:r>
      <w:r>
        <w:t>job-ready</w:t>
      </w:r>
      <w:r w:rsidRPr="00A9519E">
        <w:t>” and capable of sustaining employment upon release</w:t>
      </w:r>
      <w:r>
        <w:t xml:space="preserve"> (Welsh Government, 2024)</w:t>
      </w:r>
      <w:r w:rsidRPr="00A9519E">
        <w:t>. Within this context, culinary education represents a form of vocational learning that combines practical skill development with opportunities for creativity, responsibility, and personal achievement.</w:t>
      </w:r>
    </w:p>
    <w:p w14:paraId="59525BF6" w14:textId="77777777" w:rsidR="009A5B93" w:rsidRPr="00A9519E" w:rsidRDefault="009A5B93" w:rsidP="009A5B93">
      <w:pPr>
        <w:spacing w:after="0"/>
      </w:pPr>
    </w:p>
    <w:p w14:paraId="479ED557" w14:textId="77777777" w:rsidR="009A5B93" w:rsidRPr="00392406" w:rsidRDefault="009A5B93" w:rsidP="009A5B93">
      <w:pPr>
        <w:spacing w:after="0"/>
      </w:pPr>
      <w:r w:rsidRPr="00392406">
        <w:t>The central research question guiding this study is: In what ways do inmates perceive culinary education as shaping their confidence in learning and motivation for self-improvement? Existing research highlights that participation in prison education can enhance mental well-being, increase engagement with learning, and improve post-release outcomes such as employment and reduced reoffending (Prisoners Education Trust, 2024). Additionally, food-related activities—including cooking and nutrition education—have been identified as valuable components of prison curricula, supporting life skills development and broader rehabilitative goals (Food Matters, 2024).</w:t>
      </w:r>
    </w:p>
    <w:p w14:paraId="336B56CE" w14:textId="77777777" w:rsidR="009A5B93" w:rsidRPr="00392406" w:rsidRDefault="009A5B93" w:rsidP="009A5B93">
      <w:pPr>
        <w:spacing w:after="0"/>
      </w:pPr>
    </w:p>
    <w:p w14:paraId="37EDDB67" w14:textId="77777777" w:rsidR="009A5B93" w:rsidRPr="00392406" w:rsidRDefault="009A5B93" w:rsidP="009A5B93">
      <w:pPr>
        <w:spacing w:after="0"/>
      </w:pPr>
      <w:r w:rsidRPr="00392406">
        <w:t>This study aims to investigate the perceived psychological and educational benefits of culinary training among incarcerated males in Wales, with particular focus on confidence-building and motivation for self-improvement. By examining learners’ perspectives, this research seeks to contribute to a deeper understanding of how vocational education can support meaningful personal development within prison environments.</w:t>
      </w:r>
    </w:p>
    <w:p w14:paraId="3B06CB98" w14:textId="77777777" w:rsidR="009A5B93" w:rsidRDefault="009A5B93" w:rsidP="009A5B93">
      <w:pPr>
        <w:spacing w:after="0"/>
        <w:rPr>
          <w:sz w:val="40"/>
          <w:szCs w:val="40"/>
        </w:rPr>
      </w:pPr>
    </w:p>
    <w:p w14:paraId="0EBD6382" w14:textId="77777777" w:rsidR="009A5B93" w:rsidRPr="00776327" w:rsidRDefault="009A5B93" w:rsidP="009A5B93">
      <w:pPr>
        <w:spacing w:after="0"/>
        <w:rPr>
          <w:b/>
          <w:bCs/>
          <w:u w:val="single"/>
        </w:rPr>
      </w:pPr>
      <w:r w:rsidRPr="00776327">
        <w:rPr>
          <w:b/>
          <w:bCs/>
          <w:u w:val="single"/>
        </w:rPr>
        <w:t>Literature Review</w:t>
      </w:r>
    </w:p>
    <w:p w14:paraId="129F2B2D" w14:textId="77777777" w:rsidR="009A5B93" w:rsidRDefault="009A5B93" w:rsidP="009A5B93">
      <w:pPr>
        <w:spacing w:after="0"/>
        <w:rPr>
          <w:sz w:val="28"/>
          <w:szCs w:val="28"/>
        </w:rPr>
      </w:pPr>
    </w:p>
    <w:p w14:paraId="7F48129E" w14:textId="000BCA66" w:rsidR="009A5B93" w:rsidRPr="00F347B9" w:rsidRDefault="007242D8" w:rsidP="009A5B93">
      <w:pPr>
        <w:spacing w:after="0"/>
      </w:pPr>
      <w:r w:rsidRPr="007242D8">
        <w:t>This study employs a mixed-methods approach, combining qualitative and quantitative techniques to examine how incarcerated men in Wales perceive culinary education and its influence on their confidence and motivation for self-improvement. This approach is well suited to the complexity of prison education, as it captures both measurable outcomes—such as engagement and skill development—and subjective experiences, including identity, confidence, and personal growth.</w:t>
      </w:r>
      <w:r>
        <w:t xml:space="preserve"> </w:t>
      </w:r>
      <w:r w:rsidR="009A5B93" w:rsidRPr="00F347B9">
        <w:t>In the Welsh custodial context, there is increasing emphasis on rehabilitation through education and employability-</w:t>
      </w:r>
      <w:r w:rsidR="009A5B93" w:rsidRPr="00F347B9">
        <w:lastRenderedPageBreak/>
        <w:t>focused training, making it important to evaluate not only whether programmes are effective, but how they are experienced by learners.</w:t>
      </w:r>
    </w:p>
    <w:p w14:paraId="0AFF3D39" w14:textId="77777777" w:rsidR="009A5B93" w:rsidRPr="00F347B9" w:rsidRDefault="009A5B93" w:rsidP="009A5B93">
      <w:pPr>
        <w:spacing w:after="0"/>
      </w:pPr>
      <w:r w:rsidRPr="00F347B9">
        <w:t xml:space="preserve">The qualitative component of the study will involve semi-structured interviews, enabling participants to share their personal experiences of culinary education in depth. This method allows for the exploration of how individuals interpret their learning journeys, including how culinary training may influence their confidence, self-worth, and attitudes toward future goals. Qualitative approaches are particularly valuable in prison education research because they capture the nuanced and often transformative aspects of learning that are difficult to quantify. For example, </w:t>
      </w:r>
      <w:r>
        <w:t>Cleere</w:t>
      </w:r>
      <w:r w:rsidRPr="00F347B9">
        <w:t xml:space="preserve"> (202</w:t>
      </w:r>
      <w:r>
        <w:t>0</w:t>
      </w:r>
      <w:r w:rsidRPr="00F347B9">
        <w:t>) highlights how prison education can support desistance by fostering a sense of identity change and personal agency. However, qualitative research is often criticised for its limited generalisability due to smaller sample sizes and the potential for researcher interpretation to influence findings (</w:t>
      </w:r>
      <w:proofErr w:type="spellStart"/>
      <w:r w:rsidRPr="00F347B9">
        <w:t>Glazzard</w:t>
      </w:r>
      <w:proofErr w:type="spellEnd"/>
      <w:r>
        <w:t xml:space="preserve"> et al</w:t>
      </w:r>
      <w:r w:rsidRPr="00F347B9">
        <w:t>, 2025).</w:t>
      </w:r>
    </w:p>
    <w:p w14:paraId="7CDC7710" w14:textId="77777777" w:rsidR="009A5B93" w:rsidRPr="00F347B9" w:rsidRDefault="009A5B93" w:rsidP="009A5B93">
      <w:pPr>
        <w:spacing w:after="0"/>
      </w:pPr>
      <w:r w:rsidRPr="00F347B9">
        <w:t xml:space="preserve">The quantitative component will complement these insights using structured questionnaires designed to measure levels of confidence, motivation, and engagement among participants. This enables the identification of broader trends and relationships across a larger group, strengthening the reliability and comparability of the data. Quantitative evidence </w:t>
      </w:r>
      <w:r>
        <w:t xml:space="preserve">consistently demonstrates that participation in prison education is associated with positive outcomes, including improved employability and a </w:t>
      </w:r>
      <w:r w:rsidRPr="00F347B9">
        <w:t>reduced likelihood of reoffending (Ministry of Justice, 2023). However, such approaches are sometimes criticised for reducing complex human experiences to numerical data, potentially overlooking the depth of personal change. Additionally, self-selection bias remains a limitation, as individuals who engage in educational programmes may already possess higher levels of motivation (Berglund, 2020).</w:t>
      </w:r>
    </w:p>
    <w:p w14:paraId="30D0AC55" w14:textId="77777777" w:rsidR="009A5B93" w:rsidRDefault="009A5B93" w:rsidP="009A5B93">
      <w:pPr>
        <w:spacing w:after="0"/>
      </w:pPr>
    </w:p>
    <w:p w14:paraId="506FF4BF" w14:textId="77777777" w:rsidR="009A5B93" w:rsidRPr="00F347B9" w:rsidRDefault="009A5B93" w:rsidP="009A5B93">
      <w:pPr>
        <w:spacing w:after="0"/>
      </w:pPr>
      <w:r w:rsidRPr="0004258B">
        <w:t>Integrating both qualitative and quantitative methods is a central strength of the mixed-methods approach. By bringing together statistical evidence and personal narratives, the study can offer a more comprehensive and balanced understanding of the role of culinary education in prison contexts. This triangulation process strengthens the study’s validity by enabling findings to be cross-checked across multiple data sources.</w:t>
      </w:r>
      <w:r>
        <w:t xml:space="preserve"> </w:t>
      </w:r>
      <w:r w:rsidRPr="00F347B9">
        <w:t xml:space="preserve">As Creswell and Clark (2018) argue, mixed-methods research is particularly effective for examining complex social issues because it provides both breadth and depth of understanding. This is especially relevant in custodial environments, where </w:t>
      </w:r>
      <w:r>
        <w:t>a range of institutional, social, and individual factors shape educational experiences</w:t>
      </w:r>
      <w:r w:rsidRPr="00F347B9">
        <w:t>.</w:t>
      </w:r>
    </w:p>
    <w:p w14:paraId="720D223E" w14:textId="77777777" w:rsidR="009A5B93" w:rsidRPr="00F347B9" w:rsidRDefault="009A5B93" w:rsidP="009A5B93">
      <w:pPr>
        <w:spacing w:after="0"/>
      </w:pPr>
      <w:r>
        <w:t xml:space="preserve">Despite its strengths, the </w:t>
      </w:r>
      <w:proofErr w:type="gramStart"/>
      <w:r>
        <w:t>mixed-methods</w:t>
      </w:r>
      <w:proofErr w:type="gramEnd"/>
      <w:r>
        <w:t xml:space="preserve"> approach also poses challenges. It is more time-consuming and resource-intensive than single-method designs, requiring careful planning to ensure that both qualitative and quantitative data are collected and integrated effectively. There is also a risk that one method may dominate, undermining the balance of perspectives. Furthermore, in prison education, structural constraints—such as limited access to programmes, variations in delivery, and institutional </w:t>
      </w:r>
      <w:r>
        <w:lastRenderedPageBreak/>
        <w:t>restrictions—can affect the consistency and comparability of data (House of Commons Justice Committee, 2022). These factors must be considered when interpreting findings.</w:t>
      </w:r>
    </w:p>
    <w:p w14:paraId="7CE7A313" w14:textId="77777777" w:rsidR="009A5B93" w:rsidRPr="00F347B9" w:rsidRDefault="009A5B93" w:rsidP="009A5B93">
      <w:pPr>
        <w:spacing w:after="0"/>
      </w:pPr>
      <w:r w:rsidRPr="00F347B9">
        <w:t>Overall, the mixed-methods approach is justified as it enables a nuanced and critical exploration of culinary education among incarcerated males in Wales. By capturing both measurable trends and individual experiences, this method provides a robust framework for understanding how culinary training may influence confidence and motivation for self-improvement</w:t>
      </w:r>
    </w:p>
    <w:p w14:paraId="5D680829" w14:textId="77777777" w:rsidR="009A5B93" w:rsidRPr="007B6CB5" w:rsidRDefault="009A5B93" w:rsidP="009A5B93">
      <w:pPr>
        <w:spacing w:after="0"/>
      </w:pPr>
    </w:p>
    <w:p w14:paraId="7B0DFB43" w14:textId="77777777" w:rsidR="009A5B93" w:rsidRPr="007B6CB5" w:rsidRDefault="009A5B93" w:rsidP="009A5B93">
      <w:pPr>
        <w:spacing w:after="0"/>
        <w:rPr>
          <w:b/>
          <w:bCs/>
          <w:u w:val="single"/>
        </w:rPr>
      </w:pPr>
      <w:r w:rsidRPr="007B6CB5">
        <w:rPr>
          <w:b/>
          <w:bCs/>
          <w:u w:val="single"/>
        </w:rPr>
        <w:t xml:space="preserve">Sampling </w:t>
      </w:r>
    </w:p>
    <w:p w14:paraId="626D2888" w14:textId="77777777" w:rsidR="009A5B93" w:rsidRDefault="009A5B93" w:rsidP="009A5B93">
      <w:pPr>
        <w:spacing w:after="0"/>
      </w:pPr>
    </w:p>
    <w:p w14:paraId="3829B454" w14:textId="77777777" w:rsidR="00C1779D" w:rsidRPr="00C1779D" w:rsidRDefault="009A5B93" w:rsidP="00C1779D">
      <w:pPr>
        <w:spacing w:after="0"/>
      </w:pPr>
      <w:r w:rsidRPr="00C47FAA">
        <w:t xml:space="preserve">This study will utilise </w:t>
      </w:r>
      <w:r w:rsidRPr="00012D21">
        <w:t>a purposive sampling strategy, supported by elements of convenience sampling</w:t>
      </w:r>
      <w:r w:rsidRPr="00C47FAA">
        <w:t xml:space="preserve">, to recruit incarcerated males in Wales who are currently engaged in, or have recently completed, culinary education programmes. </w:t>
      </w:r>
      <w:r w:rsidR="00C1779D" w:rsidRPr="00C1779D">
        <w:t>Purposive sampling is appropriate as it enables the researcher to deliberately select participants with direct experience of the phenomenon under investigation.</w:t>
      </w:r>
    </w:p>
    <w:p w14:paraId="10B8D887" w14:textId="0507E12A" w:rsidR="009A5B93" w:rsidRDefault="009A5B93" w:rsidP="009A5B93">
      <w:pPr>
        <w:spacing w:after="0"/>
      </w:pPr>
      <w:r w:rsidRPr="00C53B6F">
        <w:t>This ensures the data is closely aligned with the research question, as only individuals who have taken part in culinary education can provide informed reflections on its influence on confidence and motivation for self-improvement.</w:t>
      </w:r>
      <w:r>
        <w:t xml:space="preserve"> </w:t>
      </w:r>
    </w:p>
    <w:p w14:paraId="1E5774D5" w14:textId="77777777" w:rsidR="009A5B93" w:rsidRDefault="009A5B93" w:rsidP="009A5B93">
      <w:pPr>
        <w:spacing w:after="0"/>
      </w:pPr>
      <w:r w:rsidRPr="002A7E0F">
        <w:t xml:space="preserve">Purposive sampling is commonly employed in qualitative and mixed-methods research, particularly when the goal is to generate in-depth, context-specific insights rather than broad generalisations. As noted by Uwe Flick (2018), this approach enables researchers to concentrate on information-rich cases that offer a detailed understanding of social experiences. Likewise, Louis Cohen et al. (2018) contend that selecting participants based on their knowledge and relevance to the study strengthens the validity of findings in educational research. In the context of prison education, this method ensures that </w:t>
      </w:r>
      <w:proofErr w:type="gramStart"/>
      <w:r w:rsidRPr="002A7E0F">
        <w:t>participants’</w:t>
      </w:r>
      <w:proofErr w:type="gramEnd"/>
      <w:r w:rsidRPr="002A7E0F">
        <w:t xml:space="preserve"> lived experiences of learning programmes remain central to the study</w:t>
      </w:r>
      <w:r w:rsidRPr="00C47FAA">
        <w:t>.</w:t>
      </w:r>
    </w:p>
    <w:p w14:paraId="1C29D54A" w14:textId="77777777" w:rsidR="009A5B93" w:rsidRPr="00C47FAA" w:rsidRDefault="009A5B93" w:rsidP="009A5B93">
      <w:pPr>
        <w:spacing w:after="0"/>
      </w:pPr>
    </w:p>
    <w:p w14:paraId="0BE83D6B" w14:textId="77777777" w:rsidR="009A5B93" w:rsidRPr="00C47FAA" w:rsidRDefault="009A5B93" w:rsidP="009A5B93">
      <w:pPr>
        <w:spacing w:after="0"/>
      </w:pPr>
      <w:r w:rsidRPr="00C47FAA">
        <w:t xml:space="preserve">Alongside purposive sampling, </w:t>
      </w:r>
      <w:r w:rsidRPr="004E38DA">
        <w:t>convenience sampling</w:t>
      </w:r>
      <w:r w:rsidRPr="00C47FAA">
        <w:t xml:space="preserve"> will be incorporated due to the practical constraints of conducting research within custodial settings. Access to participants is often restricted by institutional policies, time limitations, and security considerations. Therefore, individuals who are available and willing to participate </w:t>
      </w:r>
      <w:r>
        <w:t>in</w:t>
      </w:r>
      <w:r w:rsidRPr="00C47FAA">
        <w:t xml:space="preserve"> selected Welsh prisons will be included. Although convenience sampling may introduce bias, it is frequently employed in research conducted in controlled or hard-to-reach environments (Bryman, 2021). This pragmatic approach allows the study to be conducted within realistic operational boundaries while still focusing on a relevant participant group.</w:t>
      </w:r>
    </w:p>
    <w:p w14:paraId="6788FAED" w14:textId="77777777" w:rsidR="009A5B93" w:rsidRPr="00C47FAA" w:rsidRDefault="009A5B93" w:rsidP="009A5B93">
      <w:pPr>
        <w:spacing w:after="0"/>
      </w:pPr>
      <w:r w:rsidRPr="00C47FAA">
        <w:t xml:space="preserve">For the quantitative component, a larger sample will be recruited through the distribution of questionnaires within culinary education programmes. This enables the identification of patterns and trends in confidence, engagement, and motivation across participants. While the sample may not be statistically representative of the entire prison population, combining purposive and convenience sampling can still produce </w:t>
      </w:r>
      <w:r w:rsidRPr="00C47FAA">
        <w:lastRenderedPageBreak/>
        <w:t>meaningful and reliable findings within the study context. According to Mark Saunders et al. (2019), non-probability sampling methods are appropriate in exploratory research where access is limited</w:t>
      </w:r>
      <w:r>
        <w:t>,</w:t>
      </w:r>
      <w:r w:rsidRPr="00C47FAA">
        <w:t xml:space="preserve"> and the research aims to generate insight rather than generalise to a wider population.</w:t>
      </w:r>
    </w:p>
    <w:p w14:paraId="0D0F33C3" w14:textId="77777777" w:rsidR="009A5B93" w:rsidRPr="00C47FAA" w:rsidRDefault="009A5B93" w:rsidP="009A5B93">
      <w:pPr>
        <w:spacing w:after="0"/>
      </w:pPr>
      <w:r w:rsidRPr="00C47FAA">
        <w:t xml:space="preserve">However, several limitations must be acknowledged. One key issue is </w:t>
      </w:r>
      <w:r w:rsidRPr="004E38DA">
        <w:t>self-selection bias, as individuals who choose to engage in culinary education—and</w:t>
      </w:r>
      <w:r w:rsidRPr="00C47FAA">
        <w:t xml:space="preserve"> subsequently in the study—may already possess higher levels of motivation or interest in self-improvement. This could lead to an overrepresentation of positive perceptions. Additionally, institutional gatekeeping may influence which participants are made available, potentially limiting diversity within the sample. David Silverman (2020) notes that access constraints and recruitment processes can shape qualitative samples, particularly in regulated environments such as prisons.</w:t>
      </w:r>
    </w:p>
    <w:p w14:paraId="1B417544" w14:textId="77777777" w:rsidR="009A5B93" w:rsidRPr="00C47FAA" w:rsidRDefault="009A5B93" w:rsidP="009A5B93">
      <w:pPr>
        <w:spacing w:after="0"/>
      </w:pPr>
      <w:r w:rsidRPr="00C47FAA">
        <w:t>Furthermore, prison-based research often faces challenges related to sample size and representativeness. As noted by Prisoners' Education Trust (2019), participation in prison education programmes varies significantly across institutions, meaning that findings may reflect specific institutional contexts rather than broader trends. This reinforces the importance of interpreting results within the scope of the study.</w:t>
      </w:r>
    </w:p>
    <w:p w14:paraId="393C78BC" w14:textId="77777777" w:rsidR="009A5B93" w:rsidRPr="00C47FAA" w:rsidRDefault="009A5B93" w:rsidP="009A5B93">
      <w:pPr>
        <w:spacing w:after="0"/>
      </w:pPr>
      <w:r w:rsidRPr="00C47FAA">
        <w:t>Despite these limitations, the chosen sampling strategy is appropriate for the aims of this research. By focusing on individuals with direct experience of culinary education, the study ensures that findings are grounded in relevant and meaningful perspectives. The combination of purposive and convenience sampling provides a practical yet methodologically sound approach, enabling a detailed exploration of how culinary education shapes confidence and motivation among incarcerated males in Wales.</w:t>
      </w:r>
    </w:p>
    <w:p w14:paraId="5FF0A5A1" w14:textId="77777777" w:rsidR="009A5B93" w:rsidRPr="00441996" w:rsidRDefault="009A5B93" w:rsidP="009A5B93">
      <w:pPr>
        <w:spacing w:after="0"/>
      </w:pPr>
    </w:p>
    <w:p w14:paraId="2E0EE975" w14:textId="77777777" w:rsidR="009A5B93" w:rsidRPr="00B11262" w:rsidRDefault="009A5B93" w:rsidP="009A5B93">
      <w:pPr>
        <w:spacing w:after="0"/>
        <w:rPr>
          <w:b/>
          <w:bCs/>
          <w:u w:val="single"/>
        </w:rPr>
      </w:pPr>
      <w:r w:rsidRPr="00B11262">
        <w:rPr>
          <w:b/>
          <w:bCs/>
          <w:u w:val="single"/>
        </w:rPr>
        <w:t xml:space="preserve">Ethics </w:t>
      </w:r>
    </w:p>
    <w:p w14:paraId="0D1EEA6D" w14:textId="77777777" w:rsidR="009A5B93" w:rsidRDefault="009A5B93" w:rsidP="009A5B93">
      <w:pPr>
        <w:spacing w:after="0"/>
        <w:rPr>
          <w:b/>
          <w:bCs/>
          <w:u w:val="single"/>
        </w:rPr>
      </w:pPr>
    </w:p>
    <w:p w14:paraId="7613FE8F" w14:textId="77777777" w:rsidR="009A5B93" w:rsidRPr="009252BD" w:rsidRDefault="009A5B93" w:rsidP="009A5B93">
      <w:r w:rsidRPr="009252BD">
        <w:t>Ethical considerations are central to this study exploring the role, accessibility and effectiveness of culinary education in prisons in Wales, particularly as it involves incarcerated men, a population widely recognised as vulnerable due to restricted autonomy and institutional power dynamics. Research conducted in prison settings presents additional ethical complexities beyond standard human participant research, requiring careful attention to consent, coercion, confidentiality and participant welfare.</w:t>
      </w:r>
    </w:p>
    <w:p w14:paraId="78199F2B" w14:textId="77777777" w:rsidR="009A5B93" w:rsidRPr="009252BD" w:rsidRDefault="009A5B93" w:rsidP="009A5B93">
      <w:r w:rsidRPr="009252BD">
        <w:t xml:space="preserve">A key ethical issue is informed consent. Within prisons, the ability to provide truly voluntary consent may be compromised by perceived coercion, authority structures, or expectations of personal benefit. Prisoners may feel obliged to participate if they believe involvement could influence their treatment or access to opportunities. As noted by Simpson et al. (2025), coercion—whether overt or subtle—is a significant concern in prison research. To address this, participants must be clearly informed that participation is entirely voluntary, unrelated to their sentence or privileges, and that they </w:t>
      </w:r>
      <w:r w:rsidRPr="009252BD">
        <w:lastRenderedPageBreak/>
        <w:t xml:space="preserve">can withdraw at any time without penalty. Information should be presented in </w:t>
      </w:r>
      <w:r>
        <w:t xml:space="preserve">an </w:t>
      </w:r>
      <w:r w:rsidRPr="009252BD">
        <w:t>accessible language to account for varying literacy levels (Hemming et al., 2021).</w:t>
      </w:r>
    </w:p>
    <w:p w14:paraId="09FC3221" w14:textId="77777777" w:rsidR="009A5B93" w:rsidRPr="009252BD" w:rsidRDefault="009A5B93" w:rsidP="009A5B93">
      <w:r w:rsidRPr="009252BD">
        <w:t>Closely linked is the issue of power imbalance and vulnerability. The prison environment inherently limits autonomy, placing incarcerated individuals in a subordinate position relative to staff and researchers. This imbalance may affect participants’ willingness to express honest views, particularly when discussing the accessibility or effectiveness of educational programmes. However, excluding prisoners from research also raises ethical concerns, as it silences their perspectives (Abbott et al., 2018). This study must therefore balance protection with inclusion, ensuring participants are empowered to share their experiences without fear of repercussions.</w:t>
      </w:r>
    </w:p>
    <w:p w14:paraId="2B1BD90E" w14:textId="77777777" w:rsidR="009A5B93" w:rsidRPr="009252BD" w:rsidRDefault="009A5B93" w:rsidP="009A5B93">
      <w:r w:rsidRPr="009252BD">
        <w:t>Confidentiality and anonymity are particularly important in a closed institutional setting. Participants may fear that critical comments about prison education could be traced back to them, potentially affecting relationships with staff or other prisoners. To mitigate this risk, all data must be anonymised, securely stored, and reported in ways that prevent identification. Compliance with data protection standards such as the UK General Data Protection Regulation (GDPR) is essential (HM Inspectorate of Prisons, 2024). Maintaining confidentiality also encourages more open and honest responses.</w:t>
      </w:r>
    </w:p>
    <w:p w14:paraId="6662C959" w14:textId="77777777" w:rsidR="009A5B93" w:rsidRPr="009252BD" w:rsidRDefault="009A5B93" w:rsidP="009A5B93">
      <w:r w:rsidRPr="009252BD">
        <w:t>Another significant ethical consideration is the risk of harm and emotional wellbeing. Discussing experiences of imprisonment, education, or exclusion may evoke distress, frustration or anxiety. Trauma-informed research approaches emphasise minimising harm and responding sensitively to participants’ emotional needs (Alessi and Kahn, 2023). Researchers should conduct interviews in a supportive manner, allow participants to pause or withdraw, and provide information about support services where necessary. The principle of non-maleficence requires that the potential benefits of the research outweigh any risks to participants.</w:t>
      </w:r>
    </w:p>
    <w:p w14:paraId="76D33E4F" w14:textId="77777777" w:rsidR="009A5B93" w:rsidRPr="009252BD" w:rsidRDefault="009A5B93" w:rsidP="009A5B93">
      <w:r w:rsidRPr="009252BD">
        <w:t>The issue of fair and equitable recruitment is also critical. Recruitment processes within prisons are often mediated by staff, which can introduce bias. For example, more compliant or accessible individuals may be selected, limiting the diversity of perspectives and potentially distorting findings about accessibility. Transparent and inclusive recruitment strategies are therefore necessary to ensure fairness and avoid gatekeeping (HRA, 202</w:t>
      </w:r>
      <w:r>
        <w:t>5</w:t>
      </w:r>
      <w:r w:rsidRPr="009252BD">
        <w:t>).</w:t>
      </w:r>
    </w:p>
    <w:p w14:paraId="210A5AE1" w14:textId="77777777" w:rsidR="009A5B93" w:rsidRPr="009252BD" w:rsidRDefault="009A5B93" w:rsidP="009A5B93">
      <w:r w:rsidRPr="009252BD">
        <w:t>Institutional approval and governance are essential components of ethical prison research. Studies conducted in prisons in Wales must obtain approval from bodies such as HM Prison and Probation Service (HMPPS) and a recognised Research Ethics Committee. These processes ensure compliance with legal and ethical standards, including safeguarding participants and maintaining accountability (HRA, 2022). Researchers must also adhere to prison security protocols, which may shape how data is collected and managed.</w:t>
      </w:r>
    </w:p>
    <w:p w14:paraId="254D3F15" w14:textId="77777777" w:rsidR="009A5B93" w:rsidRPr="009252BD" w:rsidRDefault="009A5B93" w:rsidP="009A5B93">
      <w:r w:rsidRPr="009252BD">
        <w:lastRenderedPageBreak/>
        <w:t xml:space="preserve">An additional ethical issue is authentic representation and voice. Prisoners’ perspectives are often marginalised in research and policy discussions. This study, which focuses on </w:t>
      </w:r>
      <w:r>
        <w:t xml:space="preserve">the </w:t>
      </w:r>
      <w:r w:rsidRPr="009252BD">
        <w:t xml:space="preserve">lived experiences of culinary education, has a responsibility </w:t>
      </w:r>
      <w:r>
        <w:t>to represent participants’ views accurately</w:t>
      </w:r>
      <w:r w:rsidRPr="009252BD">
        <w:t>. Misinterpretation or selective reporting could reinforce inequalities or misinform policy. As emphasised by Liebling et al. (2019), qualitative prison research must prioritise authenticity and respect for participants’ narratives.</w:t>
      </w:r>
    </w:p>
    <w:p w14:paraId="1F79DE33" w14:textId="77777777" w:rsidR="009A5B93" w:rsidRPr="009252BD" w:rsidRDefault="009A5B93" w:rsidP="009A5B93">
      <w:r w:rsidRPr="009A2E14">
        <w:t>Researcher reflexivity and positionality are equally important. It is essential for researchers to critically consider how their backgrounds, assumptions, and interactions may shape the research process. This is especially significant in prison contexts, where disparities in power and social status can influence communication and interpretation (Jewkes et al., 2016).</w:t>
      </w:r>
      <w:r>
        <w:t xml:space="preserve"> </w:t>
      </w:r>
      <w:r w:rsidRPr="009252BD">
        <w:t>Reflexivity helps ensure findings remain grounded in participants’ experiences rather than researcher bias.</w:t>
      </w:r>
    </w:p>
    <w:p w14:paraId="214E0EA4" w14:textId="6B9BFF7A" w:rsidR="009A5B93" w:rsidRPr="009252BD" w:rsidRDefault="00C0031A" w:rsidP="009A5B93">
      <w:r w:rsidRPr="00C0031A">
        <w:t>Finally, the principle of justice and fairness emphasises that the advantages and responsibilities of research should be allocated in an equitable manner</w:t>
      </w:r>
      <w:r w:rsidR="009A5B93" w:rsidRPr="009252BD">
        <w:t xml:space="preserve">. The study should aim to </w:t>
      </w:r>
      <w:r w:rsidR="009A5B93">
        <w:t>improve</w:t>
      </w:r>
      <w:r w:rsidR="009A5B93" w:rsidRPr="009252BD">
        <w:t xml:space="preserve"> educational opportunities in prisons without exploiting participants. Disseminating findings in ways that inform policy and practice is an important ethical outcome (Armstrong and Ludlow, 2016).</w:t>
      </w:r>
    </w:p>
    <w:p w14:paraId="4A946153" w14:textId="77777777" w:rsidR="009A5B93" w:rsidRPr="009252BD" w:rsidRDefault="009A5B93" w:rsidP="009A5B93">
      <w:r w:rsidRPr="009252BD">
        <w:t>In conclusion, this study must address a range of ethical considerations specific to prison research, including informed consent, power dynamics, confidentiality, minimisation of harm, equitable recruitment, and institutional governance. Given the vulnerability of incarcerated men and the restrictive nature of prison environments, ethical practice must be embedded throughout all stages of the research process. By adopting a transparent, respectful and participant-centred approach, the study can generate meaningful insights into culinary education in Welsh prisons while upholding the dignity and rights of participants.</w:t>
      </w:r>
    </w:p>
    <w:p w14:paraId="39668C63" w14:textId="77777777" w:rsidR="009A5B93" w:rsidRPr="0004197E" w:rsidRDefault="009A5B93" w:rsidP="009A5B93">
      <w:pPr>
        <w:spacing w:after="0"/>
      </w:pPr>
    </w:p>
    <w:p w14:paraId="2E2486A3" w14:textId="77777777" w:rsidR="009A5B93" w:rsidRDefault="009A5B93" w:rsidP="009A5B93">
      <w:pPr>
        <w:spacing w:after="0"/>
        <w:rPr>
          <w:b/>
          <w:bCs/>
          <w:color w:val="FF0000"/>
          <w:u w:val="single"/>
        </w:rPr>
      </w:pPr>
    </w:p>
    <w:p w14:paraId="4A4DD86E" w14:textId="77777777" w:rsidR="009A5B93" w:rsidRDefault="009A5B93" w:rsidP="009A5B93">
      <w:pPr>
        <w:spacing w:after="0"/>
        <w:rPr>
          <w:b/>
          <w:bCs/>
          <w:color w:val="FF0000"/>
          <w:u w:val="single"/>
        </w:rPr>
      </w:pPr>
      <w:r w:rsidRPr="00317353">
        <w:rPr>
          <w:b/>
          <w:bCs/>
          <w:u w:val="single"/>
        </w:rPr>
        <w:t xml:space="preserve">Research Tools </w:t>
      </w:r>
    </w:p>
    <w:p w14:paraId="2774DD29" w14:textId="77777777" w:rsidR="009A5B93" w:rsidRDefault="009A5B93" w:rsidP="009A5B93">
      <w:pPr>
        <w:spacing w:after="0"/>
        <w:rPr>
          <w:b/>
          <w:bCs/>
          <w:u w:val="single"/>
        </w:rPr>
      </w:pPr>
    </w:p>
    <w:p w14:paraId="495548A2" w14:textId="77777777" w:rsidR="009A5B93" w:rsidRPr="00157996" w:rsidRDefault="009A5B93" w:rsidP="009A5B93">
      <w:pPr>
        <w:spacing w:after="0"/>
      </w:pPr>
      <w:r w:rsidRPr="00157996">
        <w:t xml:space="preserve">The primary research tools selected for this study are semi-structured interviews and document analysis, supported by a qualitative research design. These tools are </w:t>
      </w:r>
      <w:r>
        <w:t>well-suited</w:t>
      </w:r>
      <w:r w:rsidRPr="00157996">
        <w:t xml:space="preserve"> to exploring the role, accessibility and effectiveness of culinary education in prisons in Wales, as they enable an in-depth understanding of the lived experiences of incarcerated men alongside the institutional context in which such programmes operate.</w:t>
      </w:r>
    </w:p>
    <w:p w14:paraId="67D0476A" w14:textId="77777777" w:rsidR="009A5B93" w:rsidRPr="00157996" w:rsidRDefault="009A5B93" w:rsidP="009A5B93">
      <w:pPr>
        <w:spacing w:after="0"/>
      </w:pPr>
      <w:r w:rsidRPr="00157996">
        <w:t xml:space="preserve">Semi-structured interviews form the central data collection method. This approach allows the researcher to explore participants’ perspectives in a flexible yet focused manner. Unlike structured interviews, semi-structured interviews use a guiding </w:t>
      </w:r>
      <w:r w:rsidRPr="00157996">
        <w:lastRenderedPageBreak/>
        <w:t>framework of questions while allowing for probing and follow-up based on participants’ responses (Bryman, 2016). This flexibility is particularly valuable in prison research, where experiences are often complex, sensitive and shaped by institutional constraints. Through this method, participants can reflect on their experiences of culinary education, including access, perceived benefits, barriers, and its impact on skills development, identity and employability.</w:t>
      </w:r>
    </w:p>
    <w:p w14:paraId="3C50A22C" w14:textId="77777777" w:rsidR="009A5B93" w:rsidRDefault="009A5B93" w:rsidP="009A5B93">
      <w:pPr>
        <w:spacing w:after="0"/>
      </w:pPr>
      <w:r w:rsidRPr="00157996">
        <w:t>The use of semi-structured interviews is supported by qualitative research literature, which emphasises their ability to generate rich, detailed data and amplify marginalised voices (Braun and Clarke, 202</w:t>
      </w:r>
      <w:r>
        <w:t>2</w:t>
      </w:r>
      <w:r w:rsidRPr="00157996">
        <w:t>). In prison contexts, where individuals are often excluded from decision-making, this approach enables participants to articulate their own experiences and perspectives (Hemming et al., 2021). Additionally, the conversational nature of semi-structured interviews can help build rapport and trust—an essential factor when working with vulnerable populations (</w:t>
      </w:r>
      <w:r>
        <w:t>Jewkes, 2012</w:t>
      </w:r>
      <w:r w:rsidRPr="00157996">
        <w:t xml:space="preserve">). </w:t>
      </w:r>
      <w:r w:rsidRPr="00607668">
        <w:t>An interview guide will be designed to maintain consistency while still allowing participants the flexibility to introduce unexpected yet relevant themes.</w:t>
      </w:r>
      <w:r>
        <w:t xml:space="preserve"> </w:t>
      </w:r>
    </w:p>
    <w:p w14:paraId="7C6A44B4" w14:textId="2A307EED" w:rsidR="009A5B93" w:rsidRDefault="009A5B93" w:rsidP="009A5B93">
      <w:pPr>
        <w:spacing w:after="0"/>
      </w:pPr>
      <w:r w:rsidRPr="00157996">
        <w:t xml:space="preserve">Alongside interviews, document analysis will be used as a secondary research tool. This involves systematically reviewing materials such as prison education policies, programme curricula, inspection reports, and organisational documents relating to culinary education in Welsh prisons. </w:t>
      </w:r>
      <w:r w:rsidR="00355B5E" w:rsidRPr="00355B5E">
        <w:t>Document analysis provides important contextual understanding and supports data triangulation, enhancing both the credibility and richness of the findings.</w:t>
      </w:r>
      <w:r w:rsidRPr="007F4E5E">
        <w:t xml:space="preserve"> (Bowen, 2009; O’Leary, 2004).</w:t>
      </w:r>
      <w:r w:rsidRPr="00157996">
        <w:t xml:space="preserve"> It allows the researcher to examine how culinary education is formally structured and evaluated, offering a basis for comparison with </w:t>
      </w:r>
      <w:proofErr w:type="gramStart"/>
      <w:r w:rsidRPr="00157996">
        <w:t>participants’</w:t>
      </w:r>
      <w:proofErr w:type="gramEnd"/>
      <w:r w:rsidRPr="00157996">
        <w:t xml:space="preserve"> lived experiences.</w:t>
      </w:r>
    </w:p>
    <w:p w14:paraId="13DA9B9D" w14:textId="77777777" w:rsidR="009A5B93" w:rsidRPr="00157996" w:rsidRDefault="009A5B93" w:rsidP="009A5B93">
      <w:pPr>
        <w:spacing w:after="0"/>
      </w:pPr>
    </w:p>
    <w:p w14:paraId="44909101" w14:textId="77777777" w:rsidR="009A5B93" w:rsidRPr="00157996" w:rsidRDefault="009A5B93" w:rsidP="009A5B93">
      <w:pPr>
        <w:spacing w:after="0"/>
      </w:pPr>
      <w:r w:rsidRPr="001879AA">
        <w:t>This method is particularly effective for highlighting potential gaps</w:t>
      </w:r>
      <w:r>
        <w:t xml:space="preserve"> </w:t>
      </w:r>
      <w:r w:rsidRPr="00157996">
        <w:t>between policy and practice. For example, official reports from oversight bodies may present a positive view of educational provision, whereas participants may describe barriers such as limited access or inconsistent delivery. Analysing these differences can contribute to a more nuanced understanding of programme effectiveness (Prior, 20</w:t>
      </w:r>
      <w:r>
        <w:t>03</w:t>
      </w:r>
      <w:r w:rsidRPr="00157996">
        <w:t>). Furthermore, documentary sources are unobtrusive and can be analysed without placing additional burden on participants, which is ethically advantageous.</w:t>
      </w:r>
    </w:p>
    <w:p w14:paraId="7917AB53" w14:textId="77777777" w:rsidR="009A5B93" w:rsidRPr="00157996" w:rsidRDefault="009A5B93" w:rsidP="009A5B93">
      <w:pPr>
        <w:spacing w:after="0"/>
      </w:pPr>
      <w:r w:rsidRPr="00157996">
        <w:t xml:space="preserve">The combination of semi-structured interviews and document analysis aligns with a qualitative methodological approach, which prioritises meaning, interpretation and context (Creswell and </w:t>
      </w:r>
      <w:proofErr w:type="spellStart"/>
      <w:r w:rsidRPr="00157996">
        <w:t>Poth</w:t>
      </w:r>
      <w:proofErr w:type="spellEnd"/>
      <w:r w:rsidRPr="00157996">
        <w:t>, 2018). Qualitative methods are particularly appropriate for exploratory research where the aim is to understand how individuals interpret their experiences rather than to generate statistically generalisable findings. In this study, the focus is on the subjective experiences of incarcerated men and the broader institutional environment shaping culinary education.</w:t>
      </w:r>
    </w:p>
    <w:p w14:paraId="1C1498CC" w14:textId="77777777" w:rsidR="009A5B93" w:rsidRPr="00157996" w:rsidRDefault="009A5B93" w:rsidP="009A5B93">
      <w:pPr>
        <w:spacing w:after="0"/>
      </w:pPr>
      <w:r w:rsidRPr="00D91367">
        <w:t>Data produced through these methods will be examined using thematic analysis, a flexible and widely applied approach for identifying patterns within qualitative data.</w:t>
      </w:r>
      <w:r>
        <w:t xml:space="preserve"> </w:t>
      </w:r>
      <w:r w:rsidRPr="00157996">
        <w:t xml:space="preserve">Thematic analysis involves coding data and organising it into themes that reflect key </w:t>
      </w:r>
      <w:r w:rsidRPr="00157996">
        <w:lastRenderedPageBreak/>
        <w:t>aspects of participants’ experiences and the research objectives (Braun and Clarke, 2021). It is suitable for analysing both interview transcripts and documentary materials within a unified analytical framework. The approach also supports transparency and rigour when conducted systematically (Nowell et al., 2017).</w:t>
      </w:r>
    </w:p>
    <w:p w14:paraId="5D369782" w14:textId="77777777" w:rsidR="009A5B93" w:rsidRPr="00157996" w:rsidRDefault="009A5B93" w:rsidP="009A5B93">
      <w:pPr>
        <w:spacing w:after="0"/>
      </w:pPr>
      <w:r>
        <w:t>Ethical considerations also inform the choice of research tools</w:t>
      </w:r>
      <w:r w:rsidRPr="00157996">
        <w:t>. Semi-structured interviews allow participants to control the depth of their responses, which is important when discussing potentially sensitive experiences. Participants can decline to answer questions or withdraw at any stage. Document analysis, in contrast, relies primarily on publicly available or authorised sources, reducing direct ethical risks (Tracy, 2020). Together, these methods balance the need for rich data with the responsibility to protect participants.</w:t>
      </w:r>
    </w:p>
    <w:p w14:paraId="125F486C" w14:textId="77777777" w:rsidR="009A5B93" w:rsidRPr="00157996" w:rsidRDefault="009A5B93" w:rsidP="009A5B93">
      <w:pPr>
        <w:spacing w:after="0"/>
      </w:pPr>
      <w:r w:rsidRPr="00157996">
        <w:t xml:space="preserve">However, there are limitations associated with these tools. Semi-structured interviews can be time-intensive and depend on participants’ willingness to speak openly. In prison settings, responses may be influenced by concerns about confidentiality or potential consequences, </w:t>
      </w:r>
      <w:r>
        <w:t>potentially affecting</w:t>
      </w:r>
      <w:r w:rsidRPr="00157996">
        <w:t xml:space="preserve"> data reliability (Jewkes, 201</w:t>
      </w:r>
      <w:r>
        <w:t>2</w:t>
      </w:r>
      <w:r w:rsidRPr="00157996">
        <w:t>). Similarly, document analysis may reflect institutional bias, as official documents often present idealised accounts of programmes rather than everyday realities (Prior, 20</w:t>
      </w:r>
      <w:r>
        <w:t>03</w:t>
      </w:r>
      <w:r w:rsidRPr="00157996">
        <w:t>). Recognising these limitations is important for maintaining critical awareness and ensuring reflexivity throughout the research process.</w:t>
      </w:r>
    </w:p>
    <w:p w14:paraId="6C6A03D0" w14:textId="77777777" w:rsidR="009A5B93" w:rsidRPr="00157996" w:rsidRDefault="009A5B93" w:rsidP="009A5B93">
      <w:pPr>
        <w:spacing w:after="0"/>
      </w:pPr>
      <w:r w:rsidRPr="00157996">
        <w:t>Despite these challenges, the selected research tools are well aligned with the study’s aims. Semi-structured interviews provide direct insight into the experiences of incarcerated men, while document analysis offers an understanding of the structural and policy context of culinary education in prisons. The integration of these methods enables a comprehensive exploration of both individual and institutional dimensions.</w:t>
      </w:r>
    </w:p>
    <w:p w14:paraId="3A2145B0" w14:textId="77777777" w:rsidR="009A5B93" w:rsidRPr="00157996" w:rsidRDefault="009A5B93" w:rsidP="009A5B93">
      <w:pPr>
        <w:spacing w:after="0"/>
      </w:pPr>
      <w:r w:rsidRPr="00157996">
        <w:t>In conclusion, the use of semi-structured interviews and document analysis within a qualitative framework provides a robust and appropriate methodological approach for this study. These tools allow for an in-depth examination of the accessibility and effectiveness of culinary education in Welsh prisons, capturing both lived experiences and systemic influences. By combining these methods, the research can generate nuanced insights that contribute to academic knowledge and inform future policy and practice in prison education.</w:t>
      </w:r>
    </w:p>
    <w:p w14:paraId="297B45FC" w14:textId="77777777" w:rsidR="009A5B93" w:rsidRPr="00157996" w:rsidRDefault="009A5B93" w:rsidP="009A5B93">
      <w:pPr>
        <w:spacing w:after="0"/>
      </w:pPr>
    </w:p>
    <w:p w14:paraId="79388E3D" w14:textId="77777777" w:rsidR="009A5B93" w:rsidRDefault="009A5B93" w:rsidP="009A5B93">
      <w:pPr>
        <w:spacing w:after="0"/>
        <w:rPr>
          <w:b/>
          <w:bCs/>
          <w:u w:val="single"/>
        </w:rPr>
      </w:pPr>
      <w:r>
        <w:rPr>
          <w:b/>
          <w:bCs/>
          <w:u w:val="single"/>
        </w:rPr>
        <w:t>Data Analysis</w:t>
      </w:r>
    </w:p>
    <w:p w14:paraId="09B5B51F" w14:textId="77777777" w:rsidR="009A5B93" w:rsidRDefault="009A5B93" w:rsidP="009A5B93">
      <w:pPr>
        <w:spacing w:after="0"/>
        <w:rPr>
          <w:b/>
          <w:bCs/>
          <w:u w:val="single"/>
        </w:rPr>
      </w:pPr>
    </w:p>
    <w:p w14:paraId="1AF21C96" w14:textId="77777777" w:rsidR="009A5B93" w:rsidRDefault="009A5B93" w:rsidP="009A5B93">
      <w:pPr>
        <w:spacing w:after="0"/>
      </w:pPr>
      <w:r w:rsidRPr="00D40DE0">
        <w:t>The main analytical approach adopted in this study is thematic analysis, which will be used to examine both semi-structured interview data and documentary materials. This method is well suited to qualitative research aimed at exploring experiences, perceptions, and meanings. Considering the study’s focus on the role, accessibility, and effectiveness of culinary education in Welsh prisons, thematic analysis allows for a systematic identification of patterns across participants’ accounts, while also integrating insights drawn from institutional documents.</w:t>
      </w:r>
      <w:r>
        <w:t xml:space="preserve"> </w:t>
      </w:r>
      <w:r w:rsidRPr="002238F9">
        <w:t xml:space="preserve">Thematic analysis involves </w:t>
      </w:r>
      <w:r w:rsidRPr="002238F9">
        <w:lastRenderedPageBreak/>
        <w:t>identifying, coding and interpreting recurring patterns within qualitative data. It allows the researcher to move from raw data to meaningful themes that reflect key aspects of the research topic (Clarke and Braun, 2017). In this study, interview transcripts will be analysed to identify themes such as access to culinary education, perceived value of training, barriers to participation, and its impact on future opportunities. Documentary data, including policy reports and programme materials, will also be analysed thematically to examine how culinary education is structured and represented institutionally. This approach supports consistency across data sources and enables comparison between lived experience and formal provision.</w:t>
      </w:r>
    </w:p>
    <w:p w14:paraId="553F746B" w14:textId="77777777" w:rsidR="009A5B93" w:rsidRPr="002238F9" w:rsidRDefault="009A5B93" w:rsidP="009A5B93">
      <w:pPr>
        <w:spacing w:after="0"/>
      </w:pPr>
    </w:p>
    <w:p w14:paraId="7E62031C" w14:textId="77777777" w:rsidR="009A5B93" w:rsidRPr="002238F9" w:rsidRDefault="009A5B93" w:rsidP="009A5B93">
      <w:pPr>
        <w:spacing w:after="0"/>
      </w:pPr>
      <w:r w:rsidRPr="004B24A9">
        <w:t>A reflexive approach to thematic analysis will be used, recognising that the researcher actively contributes to the interpretation of the data. This entails iterative phases such as data familiarisation, initial coding, the generation of themes, and their subsequent refinement (Braun and Clarke, 2019).</w:t>
      </w:r>
      <w:r>
        <w:t xml:space="preserve"> </w:t>
      </w:r>
      <w:r w:rsidRPr="002238F9">
        <w:t>Reflexivity is particularly important in this study due to the sensitive nature of prison research and the potential influence of researcher perspectives on interpretation. Maintaining awareness of these influences helps ensure that findings remain grounded in participants’ experiences.</w:t>
      </w:r>
    </w:p>
    <w:p w14:paraId="111E4C00" w14:textId="77777777" w:rsidR="009A5B93" w:rsidRDefault="009A5B93" w:rsidP="009A5B93">
      <w:pPr>
        <w:spacing w:after="0"/>
      </w:pPr>
      <w:r w:rsidRPr="002238F9">
        <w:t xml:space="preserve">Thematic analysis is </w:t>
      </w:r>
      <w:r>
        <w:t>well-suited</w:t>
      </w:r>
      <w:r w:rsidRPr="002238F9">
        <w:t xml:space="preserve"> to research involving marginalised groups, as it facilitates the representation of participants’ voices while identifying shared patterns across accounts (Guest et al., 2012). In the context of prisons, this is especially valuable, as incarcerated individuals are often excluded from research and policy discussions. By analysing their narratives systematically, the study can highlight common experiences and structural issues affecting access to culinary education.</w:t>
      </w:r>
    </w:p>
    <w:p w14:paraId="5256552B" w14:textId="77777777" w:rsidR="009A5B93" w:rsidRPr="002238F9" w:rsidRDefault="009A5B93" w:rsidP="009A5B93">
      <w:pPr>
        <w:spacing w:after="0"/>
      </w:pPr>
    </w:p>
    <w:p w14:paraId="550E432A" w14:textId="23A81D39" w:rsidR="009A5B93" w:rsidRPr="002238F9" w:rsidRDefault="001D4F9E" w:rsidP="009A5B93">
      <w:pPr>
        <w:spacing w:after="0"/>
      </w:pPr>
      <w:r w:rsidRPr="001D4F9E">
        <w:t xml:space="preserve">To enhance the </w:t>
      </w:r>
      <w:r>
        <w:t>rigour</w:t>
      </w:r>
      <w:r w:rsidRPr="001D4F9E">
        <w:t xml:space="preserve"> of the analysis, </w:t>
      </w:r>
      <w:r>
        <w:t>several</w:t>
      </w:r>
      <w:r w:rsidRPr="001D4F9E">
        <w:t xml:space="preserve"> measures will be implemented. These include keeping a detailed record of coding decisions, promoting openness in the development of themes, and continuously engaging in reflexive practice throughout the research process</w:t>
      </w:r>
      <w:r w:rsidR="009A5B93" w:rsidRPr="002238F9">
        <w:t>(L</w:t>
      </w:r>
      <w:r w:rsidR="009A5B93">
        <w:t>ee, 2012</w:t>
      </w:r>
      <w:r w:rsidR="009A5B93" w:rsidRPr="002238F9">
        <w:t>). Additionally, triangulation between interview data and documentary sources will enhance the credibility of the findings by providing multiple perspectives on the same topic (Flick, 2018). This strengthens the overall validity of the research.</w:t>
      </w:r>
    </w:p>
    <w:p w14:paraId="1F33755B" w14:textId="37844B74" w:rsidR="009A5B93" w:rsidRDefault="009A5B93" w:rsidP="009A5B93">
      <w:pPr>
        <w:spacing w:after="0"/>
      </w:pPr>
      <w:r w:rsidRPr="002238F9">
        <w:t xml:space="preserve">While thematic analysis offers flexibility and depth, it requires careful attention to consistency and interpretation. Themes must be clearly defined and supported by evidence from the data to avoid superficial analysis. </w:t>
      </w:r>
      <w:r w:rsidRPr="00021114">
        <w:t xml:space="preserve">Despite these challenges, thematic analysis remains </w:t>
      </w:r>
      <w:r w:rsidR="001D4F9E">
        <w:t>well-suited</w:t>
      </w:r>
      <w:r w:rsidRPr="00021114">
        <w:t xml:space="preserve"> to this study, as it enables the development of rich and meaningful insights from qualitative data.</w:t>
      </w:r>
    </w:p>
    <w:p w14:paraId="1429E865" w14:textId="77777777" w:rsidR="009A5B93" w:rsidRPr="002238F9" w:rsidRDefault="009A5B93" w:rsidP="009A5B93">
      <w:pPr>
        <w:spacing w:after="0"/>
      </w:pPr>
    </w:p>
    <w:p w14:paraId="26C53758" w14:textId="77777777" w:rsidR="009A5B93" w:rsidRPr="002238F9" w:rsidRDefault="009A5B93" w:rsidP="009A5B93">
      <w:pPr>
        <w:spacing w:after="0"/>
        <w:rPr>
          <w:b/>
          <w:bCs/>
          <w:u w:val="single"/>
        </w:rPr>
      </w:pPr>
      <w:r w:rsidRPr="002238F9">
        <w:rPr>
          <w:b/>
          <w:bCs/>
          <w:u w:val="single"/>
        </w:rPr>
        <w:t>Conclusion</w:t>
      </w:r>
    </w:p>
    <w:p w14:paraId="76E8FDD6" w14:textId="77777777" w:rsidR="009A5B93" w:rsidRDefault="009A5B93" w:rsidP="009A5B93">
      <w:pPr>
        <w:spacing w:after="0"/>
      </w:pPr>
    </w:p>
    <w:p w14:paraId="635EF6E6" w14:textId="77777777" w:rsidR="009A5B93" w:rsidRPr="00A04489" w:rsidRDefault="009A5B93" w:rsidP="009A5B93">
      <w:pPr>
        <w:spacing w:after="0"/>
      </w:pPr>
      <w:r w:rsidRPr="00A04489">
        <w:t xml:space="preserve">In conclusion, this study employs a mixed-methods approach to explore how incarcerated men in Wales perceive culinary education and its impact on confidence </w:t>
      </w:r>
      <w:r w:rsidRPr="00A04489">
        <w:lastRenderedPageBreak/>
        <w:t>and motivation for self-improvement. Thematic analysis of interview and documentary data enables the identification of meaningful patterns, while quantitative elements provide insight into measurable outcomes. Together, these methods offer a well-rounded understanding of both lived experiences and observable change. Ethical considerations remain central, given the prison context, ensuring participants’ rights and well-being are prioritised. Overall, the research contributes valuable evidence on the role of culinary education in rehabilitation and its potential to inform policy and improve educational provision.</w:t>
      </w:r>
    </w:p>
    <w:p w14:paraId="4D32AEA5" w14:textId="77777777" w:rsidR="009A5B93" w:rsidRDefault="009A5B93" w:rsidP="009A5B93">
      <w:pPr>
        <w:spacing w:after="0"/>
        <w:rPr>
          <w:b/>
          <w:bCs/>
          <w:color w:val="FF0000"/>
          <w:u w:val="single"/>
        </w:rPr>
      </w:pPr>
    </w:p>
    <w:p w14:paraId="2C62C8A8" w14:textId="77777777" w:rsidR="009A5B93" w:rsidRDefault="009A5B93" w:rsidP="009A5B93">
      <w:pPr>
        <w:spacing w:after="0"/>
        <w:rPr>
          <w:b/>
          <w:bCs/>
          <w:color w:val="FF0000"/>
          <w:u w:val="single"/>
        </w:rPr>
      </w:pPr>
    </w:p>
    <w:p w14:paraId="64B8B144" w14:textId="77777777" w:rsidR="009A5B93" w:rsidRDefault="009A5B93" w:rsidP="009A5B93">
      <w:pPr>
        <w:spacing w:after="0"/>
        <w:rPr>
          <w:b/>
          <w:bCs/>
          <w:color w:val="FF0000"/>
          <w:u w:val="single"/>
        </w:rPr>
      </w:pPr>
    </w:p>
    <w:p w14:paraId="1C756E8C" w14:textId="77777777" w:rsidR="009A5B93" w:rsidRDefault="009A5B93" w:rsidP="009A5B93">
      <w:pPr>
        <w:spacing w:after="0"/>
        <w:rPr>
          <w:b/>
          <w:bCs/>
          <w:color w:val="FF0000"/>
          <w:u w:val="single"/>
        </w:rPr>
      </w:pPr>
    </w:p>
    <w:p w14:paraId="601EB977" w14:textId="77777777" w:rsidR="009A5B93" w:rsidRDefault="009A5B93" w:rsidP="009A5B93">
      <w:pPr>
        <w:spacing w:after="0"/>
        <w:rPr>
          <w:color w:val="FF0000"/>
        </w:rPr>
      </w:pPr>
    </w:p>
    <w:p w14:paraId="15BDE472" w14:textId="77777777" w:rsidR="009A5B93" w:rsidRPr="00341D04" w:rsidRDefault="009A5B93" w:rsidP="009A5B93">
      <w:pPr>
        <w:spacing w:after="0"/>
        <w:rPr>
          <w:color w:val="FF0000"/>
        </w:rPr>
      </w:pPr>
    </w:p>
    <w:p w14:paraId="30F1B791" w14:textId="77777777" w:rsidR="009A5B93" w:rsidRPr="00341D04" w:rsidRDefault="009A5B93" w:rsidP="009A5B93">
      <w:pPr>
        <w:spacing w:after="0"/>
        <w:rPr>
          <w:color w:val="FF0000"/>
        </w:rPr>
      </w:pPr>
    </w:p>
    <w:p w14:paraId="441BFA76" w14:textId="77777777" w:rsidR="009A5B93" w:rsidRPr="00341D04" w:rsidRDefault="009A5B93" w:rsidP="009A5B93">
      <w:pPr>
        <w:spacing w:after="0"/>
        <w:rPr>
          <w:color w:val="FF0000"/>
        </w:rPr>
      </w:pPr>
    </w:p>
    <w:p w14:paraId="006450F8" w14:textId="77777777" w:rsidR="009A5B93" w:rsidRPr="00341D04" w:rsidRDefault="009A5B93" w:rsidP="009A5B93">
      <w:pPr>
        <w:spacing w:after="0"/>
        <w:rPr>
          <w:color w:val="FF0000"/>
        </w:rPr>
      </w:pPr>
    </w:p>
    <w:p w14:paraId="2382F43D" w14:textId="77777777" w:rsidR="009A5B93" w:rsidRPr="00341D04" w:rsidRDefault="009A5B93" w:rsidP="009A5B93">
      <w:pPr>
        <w:spacing w:after="0"/>
        <w:rPr>
          <w:color w:val="FF0000"/>
        </w:rPr>
      </w:pPr>
    </w:p>
    <w:p w14:paraId="71E0A033" w14:textId="77777777" w:rsidR="009A5B93" w:rsidRPr="00341D04" w:rsidRDefault="009A5B93" w:rsidP="009A5B93">
      <w:pPr>
        <w:spacing w:after="0"/>
        <w:rPr>
          <w:color w:val="FF0000"/>
        </w:rPr>
      </w:pPr>
    </w:p>
    <w:p w14:paraId="516EBD29" w14:textId="77777777" w:rsidR="009A5B93" w:rsidRDefault="009A5B93" w:rsidP="009A5B93">
      <w:pPr>
        <w:spacing w:after="0"/>
        <w:rPr>
          <w:b/>
          <w:bCs/>
          <w:color w:val="FF0000"/>
          <w:u w:val="single"/>
        </w:rPr>
      </w:pPr>
    </w:p>
    <w:p w14:paraId="205BB8D2" w14:textId="77777777" w:rsidR="009A5B93" w:rsidRDefault="009A5B93" w:rsidP="009A5B93">
      <w:pPr>
        <w:spacing w:after="0"/>
        <w:rPr>
          <w:b/>
          <w:bCs/>
          <w:color w:val="FF0000"/>
          <w:u w:val="single"/>
        </w:rPr>
      </w:pPr>
    </w:p>
    <w:p w14:paraId="79CE0B7B" w14:textId="77777777" w:rsidR="009A5B93" w:rsidRDefault="009A5B93" w:rsidP="009A5B93">
      <w:pPr>
        <w:spacing w:after="0"/>
        <w:rPr>
          <w:b/>
          <w:bCs/>
          <w:color w:val="FF0000"/>
          <w:u w:val="single"/>
        </w:rPr>
      </w:pPr>
    </w:p>
    <w:p w14:paraId="709B5A8D" w14:textId="77777777" w:rsidR="009A5B93" w:rsidRDefault="009A5B93" w:rsidP="009A5B93">
      <w:pPr>
        <w:spacing w:after="0"/>
        <w:rPr>
          <w:b/>
          <w:bCs/>
          <w:color w:val="FF0000"/>
          <w:u w:val="single"/>
        </w:rPr>
      </w:pPr>
    </w:p>
    <w:p w14:paraId="12EDD095" w14:textId="77777777" w:rsidR="009A5B93" w:rsidRDefault="009A5B93" w:rsidP="009A5B93">
      <w:pPr>
        <w:spacing w:after="0"/>
        <w:rPr>
          <w:b/>
          <w:bCs/>
          <w:color w:val="FF0000"/>
          <w:u w:val="single"/>
        </w:rPr>
      </w:pPr>
    </w:p>
    <w:p w14:paraId="48679342" w14:textId="77777777" w:rsidR="009A5B93" w:rsidRDefault="009A5B93" w:rsidP="009A5B93">
      <w:pPr>
        <w:spacing w:after="0"/>
        <w:rPr>
          <w:b/>
          <w:bCs/>
          <w:color w:val="FF0000"/>
          <w:u w:val="single"/>
        </w:rPr>
      </w:pPr>
    </w:p>
    <w:p w14:paraId="48892E7B" w14:textId="77777777" w:rsidR="009A5B93" w:rsidRDefault="009A5B93" w:rsidP="009A5B93">
      <w:pPr>
        <w:spacing w:after="0"/>
        <w:rPr>
          <w:b/>
          <w:bCs/>
          <w:color w:val="FF0000"/>
          <w:u w:val="single"/>
        </w:rPr>
      </w:pPr>
    </w:p>
    <w:p w14:paraId="51C906EA" w14:textId="77777777" w:rsidR="009A5B93" w:rsidRDefault="009A5B93" w:rsidP="009A5B93">
      <w:pPr>
        <w:spacing w:after="0"/>
        <w:rPr>
          <w:b/>
          <w:bCs/>
          <w:color w:val="FF0000"/>
          <w:u w:val="single"/>
        </w:rPr>
      </w:pPr>
    </w:p>
    <w:p w14:paraId="281B1DDE" w14:textId="77777777" w:rsidR="009A5B93" w:rsidRDefault="009A5B93" w:rsidP="009A5B93">
      <w:pPr>
        <w:spacing w:after="0"/>
        <w:rPr>
          <w:b/>
          <w:bCs/>
          <w:color w:val="FF0000"/>
          <w:u w:val="single"/>
        </w:rPr>
      </w:pPr>
    </w:p>
    <w:p w14:paraId="3355A5D7" w14:textId="77777777" w:rsidR="009A5B93" w:rsidRDefault="009A5B93" w:rsidP="009A5B93">
      <w:pPr>
        <w:spacing w:after="0"/>
        <w:rPr>
          <w:b/>
          <w:bCs/>
          <w:color w:val="FF0000"/>
          <w:u w:val="single"/>
        </w:rPr>
      </w:pPr>
    </w:p>
    <w:p w14:paraId="77C7FAED" w14:textId="77777777" w:rsidR="009A5B93" w:rsidRDefault="009A5B93" w:rsidP="009A5B93">
      <w:pPr>
        <w:spacing w:after="0"/>
        <w:rPr>
          <w:b/>
          <w:bCs/>
          <w:color w:val="FF0000"/>
          <w:u w:val="single"/>
        </w:rPr>
      </w:pPr>
    </w:p>
    <w:p w14:paraId="4DF23D6C" w14:textId="77777777" w:rsidR="009A5B93" w:rsidRDefault="009A5B93" w:rsidP="009A5B93">
      <w:pPr>
        <w:spacing w:after="0"/>
        <w:rPr>
          <w:b/>
          <w:bCs/>
          <w:color w:val="FF0000"/>
          <w:u w:val="single"/>
        </w:rPr>
      </w:pPr>
    </w:p>
    <w:p w14:paraId="612B44A7" w14:textId="77777777" w:rsidR="009A5B93" w:rsidRDefault="009A5B93" w:rsidP="009A5B93">
      <w:pPr>
        <w:spacing w:after="0"/>
        <w:rPr>
          <w:b/>
          <w:bCs/>
          <w:color w:val="FF0000"/>
          <w:u w:val="single"/>
        </w:rPr>
      </w:pPr>
    </w:p>
    <w:p w14:paraId="53F5B480" w14:textId="77777777" w:rsidR="009A5B93" w:rsidRPr="00025ADB" w:rsidRDefault="009A5B93" w:rsidP="009A5B93">
      <w:pPr>
        <w:spacing w:after="0"/>
      </w:pPr>
    </w:p>
    <w:p w14:paraId="141A79AE" w14:textId="77777777" w:rsidR="009A5B93" w:rsidRDefault="009A5B93" w:rsidP="009A5B93">
      <w:pPr>
        <w:spacing w:after="0"/>
        <w:rPr>
          <w:sz w:val="40"/>
          <w:szCs w:val="40"/>
        </w:rPr>
      </w:pPr>
    </w:p>
    <w:p w14:paraId="56BAC042" w14:textId="77777777" w:rsidR="009A5B93" w:rsidRDefault="009A5B93" w:rsidP="009A5B93">
      <w:pPr>
        <w:spacing w:after="0"/>
        <w:rPr>
          <w:sz w:val="40"/>
          <w:szCs w:val="40"/>
        </w:rPr>
      </w:pPr>
    </w:p>
    <w:p w14:paraId="556E78B8" w14:textId="77777777" w:rsidR="009A5B93" w:rsidRDefault="009A5B93" w:rsidP="009A5B93">
      <w:pPr>
        <w:spacing w:after="0"/>
        <w:rPr>
          <w:b/>
          <w:bCs/>
          <w:sz w:val="28"/>
          <w:szCs w:val="28"/>
          <w:u w:val="single"/>
        </w:rPr>
      </w:pPr>
    </w:p>
    <w:p w14:paraId="0A1A1565" w14:textId="77777777" w:rsidR="009A5B93" w:rsidRDefault="009A5B93" w:rsidP="009A5B93">
      <w:pPr>
        <w:spacing w:after="0"/>
        <w:rPr>
          <w:b/>
          <w:bCs/>
          <w:sz w:val="28"/>
          <w:szCs w:val="28"/>
          <w:u w:val="single"/>
        </w:rPr>
      </w:pPr>
    </w:p>
    <w:p w14:paraId="25B38269" w14:textId="77777777" w:rsidR="009A5B93" w:rsidRDefault="009A5B93" w:rsidP="009A5B93">
      <w:pPr>
        <w:spacing w:after="0"/>
        <w:rPr>
          <w:b/>
          <w:bCs/>
          <w:sz w:val="28"/>
          <w:szCs w:val="28"/>
          <w:u w:val="single"/>
        </w:rPr>
      </w:pPr>
    </w:p>
    <w:p w14:paraId="729EAAE4" w14:textId="77777777" w:rsidR="009A5B93" w:rsidRDefault="009A5B93" w:rsidP="009A5B93">
      <w:pPr>
        <w:spacing w:after="0"/>
        <w:rPr>
          <w:b/>
          <w:bCs/>
          <w:sz w:val="28"/>
          <w:szCs w:val="28"/>
          <w:u w:val="single"/>
        </w:rPr>
      </w:pPr>
    </w:p>
    <w:p w14:paraId="4C0EE83C" w14:textId="77777777" w:rsidR="009A5B93" w:rsidRDefault="009A5B93" w:rsidP="009A5B93">
      <w:pPr>
        <w:spacing w:after="0"/>
        <w:rPr>
          <w:b/>
          <w:bCs/>
          <w:sz w:val="28"/>
          <w:szCs w:val="28"/>
          <w:u w:val="single"/>
        </w:rPr>
      </w:pPr>
    </w:p>
    <w:p w14:paraId="72F025ED" w14:textId="77777777" w:rsidR="009A5B93" w:rsidRDefault="009A5B93" w:rsidP="009A5B93">
      <w:pPr>
        <w:spacing w:after="0"/>
        <w:rPr>
          <w:b/>
          <w:bCs/>
          <w:sz w:val="28"/>
          <w:szCs w:val="28"/>
          <w:u w:val="single"/>
        </w:rPr>
      </w:pPr>
      <w:r w:rsidRPr="00DA1EF0">
        <w:rPr>
          <w:b/>
          <w:bCs/>
          <w:sz w:val="28"/>
          <w:szCs w:val="28"/>
          <w:u w:val="single"/>
        </w:rPr>
        <w:t>References</w:t>
      </w:r>
    </w:p>
    <w:p w14:paraId="01EBF707" w14:textId="77777777" w:rsidR="009A5B93" w:rsidRDefault="009A5B93" w:rsidP="009A5B93">
      <w:pPr>
        <w:spacing w:after="0"/>
        <w:rPr>
          <w:b/>
          <w:bCs/>
          <w:sz w:val="28"/>
          <w:szCs w:val="28"/>
          <w:u w:val="single"/>
        </w:rPr>
      </w:pPr>
    </w:p>
    <w:p w14:paraId="547079D2" w14:textId="77777777" w:rsidR="009A5B93" w:rsidRDefault="009A5B93" w:rsidP="009A5B93">
      <w:pPr>
        <w:spacing w:after="0"/>
      </w:pPr>
      <w:r w:rsidRPr="00321F1A">
        <w:t xml:space="preserve">Abbott, P., Magin, P. and Hu, W. (2018) ‘A scoping review of qualitative research methods used with people in prison’, </w:t>
      </w:r>
      <w:r w:rsidRPr="00321F1A">
        <w:rPr>
          <w:i/>
          <w:iCs/>
        </w:rPr>
        <w:t>International Journal of Qualitative Methods</w:t>
      </w:r>
      <w:r w:rsidRPr="00321F1A">
        <w:t>, 17(1).</w:t>
      </w:r>
      <w:r>
        <w:t xml:space="preserve"> Available at: </w:t>
      </w:r>
      <w:hyperlink r:id="rId10" w:history="1">
        <w:r w:rsidRPr="00C60ABC">
          <w:rPr>
            <w:rStyle w:val="Hyperlink"/>
          </w:rPr>
          <w:t>doi.org/10.1177/1609406918803824</w:t>
        </w:r>
      </w:hyperlink>
      <w:r>
        <w:t xml:space="preserve"> (Accessed: 22 April 2026).</w:t>
      </w:r>
    </w:p>
    <w:p w14:paraId="79FE428E" w14:textId="77777777" w:rsidR="009A5B93" w:rsidRDefault="009A5B93" w:rsidP="009A5B93">
      <w:pPr>
        <w:spacing w:after="0"/>
      </w:pPr>
    </w:p>
    <w:p w14:paraId="2A4C4D8E" w14:textId="77777777" w:rsidR="009A5B93" w:rsidRDefault="009A5B93" w:rsidP="009A5B93">
      <w:pPr>
        <w:spacing w:after="0"/>
      </w:pPr>
      <w:r w:rsidRPr="00B077D8">
        <w:t xml:space="preserve">Alessi, E.J. and Kahn, S. (2023) ‘Toward a trauma-informed qualitative research approach’, </w:t>
      </w:r>
      <w:r w:rsidRPr="00B077D8">
        <w:rPr>
          <w:i/>
          <w:iCs/>
        </w:rPr>
        <w:t>Qualitative Research in Psychology</w:t>
      </w:r>
      <w:r w:rsidRPr="00B077D8">
        <w:t>, 20(1), pp. 121–154.</w:t>
      </w:r>
      <w:r>
        <w:t xml:space="preserve"> Available at: </w:t>
      </w:r>
      <w:hyperlink r:id="rId11" w:history="1">
        <w:r w:rsidRPr="006C5133">
          <w:rPr>
            <w:rStyle w:val="Hyperlink"/>
          </w:rPr>
          <w:t>doi.org/10.1080/14780887.2022.2107967</w:t>
        </w:r>
      </w:hyperlink>
      <w:r>
        <w:t xml:space="preserve"> (Accessed: 22 April 2026).</w:t>
      </w:r>
    </w:p>
    <w:p w14:paraId="4C47FFC0" w14:textId="77777777" w:rsidR="009A5B93" w:rsidRPr="006E1BC0" w:rsidRDefault="009A5B93" w:rsidP="009A5B93">
      <w:pPr>
        <w:spacing w:after="0"/>
      </w:pPr>
    </w:p>
    <w:p w14:paraId="012B4750" w14:textId="77777777" w:rsidR="009A5B93" w:rsidRPr="006E1BC0" w:rsidRDefault="009A5B93" w:rsidP="009A5B93">
      <w:pPr>
        <w:spacing w:after="0"/>
      </w:pPr>
      <w:r w:rsidRPr="006E1BC0">
        <w:t xml:space="preserve">Armstrong, R. and Ludlow, A. (2016) ‘Educational partnerships between universities and prisons’, </w:t>
      </w:r>
      <w:r w:rsidRPr="006E1BC0">
        <w:rPr>
          <w:i/>
          <w:iCs/>
        </w:rPr>
        <w:t>Journal of Prison Education and Re-entry</w:t>
      </w:r>
      <w:r w:rsidRPr="006E1BC0">
        <w:t>, 3(1), pp. 1–9.</w:t>
      </w:r>
      <w:r>
        <w:t xml:space="preserve"> Available at: </w:t>
      </w:r>
      <w:hyperlink r:id="rId12" w:history="1">
        <w:r w:rsidRPr="0082443D">
          <w:rPr>
            <w:rStyle w:val="Hyperlink"/>
          </w:rPr>
          <w:t>Prison Service Journal</w:t>
        </w:r>
      </w:hyperlink>
      <w:r>
        <w:t xml:space="preserve"> (Accessed: 22 April 2026).</w:t>
      </w:r>
    </w:p>
    <w:p w14:paraId="745B8460" w14:textId="77777777" w:rsidR="009A5B93" w:rsidRPr="00DA1EF0" w:rsidRDefault="009A5B93" w:rsidP="009A5B93">
      <w:pPr>
        <w:spacing w:after="0"/>
        <w:rPr>
          <w:b/>
          <w:bCs/>
          <w:sz w:val="28"/>
          <w:szCs w:val="28"/>
          <w:u w:val="single"/>
        </w:rPr>
      </w:pPr>
    </w:p>
    <w:p w14:paraId="75F25F8B" w14:textId="77777777" w:rsidR="009A5B93" w:rsidRDefault="009A5B93" w:rsidP="009A5B93">
      <w:pPr>
        <w:spacing w:after="0"/>
      </w:pPr>
      <w:r w:rsidRPr="003F7CDC">
        <w:t xml:space="preserve">Berglund, J., </w:t>
      </w:r>
      <w:proofErr w:type="spellStart"/>
      <w:r w:rsidRPr="003F7CDC">
        <w:t>Bjursell</w:t>
      </w:r>
      <w:proofErr w:type="spellEnd"/>
      <w:r w:rsidRPr="003F7CDC">
        <w:t>, C., &amp; Hugo, M. (2025</w:t>
      </w:r>
      <w:r>
        <w:t xml:space="preserve">). </w:t>
      </w:r>
      <w:r w:rsidRPr="003F7CDC">
        <w:t>Research on education in prisons: a scoping review. </w:t>
      </w:r>
      <w:r w:rsidRPr="003F7CDC">
        <w:rPr>
          <w:i/>
          <w:iCs/>
        </w:rPr>
        <w:t>International Journal of Lifelong Education</w:t>
      </w:r>
      <w:r w:rsidRPr="003F7CDC">
        <w:t>, </w:t>
      </w:r>
      <w:r w:rsidRPr="003F7CDC">
        <w:rPr>
          <w:i/>
          <w:iCs/>
        </w:rPr>
        <w:t>44</w:t>
      </w:r>
      <w:r w:rsidRPr="003F7CDC">
        <w:t>(4), 436–449.</w:t>
      </w:r>
      <w:r>
        <w:t xml:space="preserve"> Available at: </w:t>
      </w:r>
      <w:hyperlink r:id="rId13" w:history="1">
        <w:r w:rsidRPr="00723B7E">
          <w:rPr>
            <w:rStyle w:val="Hyperlink"/>
          </w:rPr>
          <w:t>doi.org/10.1080/02601370.2025.2465740</w:t>
        </w:r>
      </w:hyperlink>
      <w:r>
        <w:t xml:space="preserve"> (Accessed: 20 April 2026).</w:t>
      </w:r>
    </w:p>
    <w:p w14:paraId="6E4848DC" w14:textId="77777777" w:rsidR="009A5B93" w:rsidRDefault="009A5B93" w:rsidP="009A5B93">
      <w:pPr>
        <w:spacing w:after="0"/>
      </w:pPr>
    </w:p>
    <w:p w14:paraId="66201961" w14:textId="77777777" w:rsidR="009A5B93" w:rsidRDefault="009A5B93" w:rsidP="009A5B93">
      <w:pPr>
        <w:spacing w:after="0"/>
      </w:pPr>
      <w:r w:rsidRPr="006D6880">
        <w:t xml:space="preserve">Bowen, G.A. (2009) ‘Document analysis as a qualitative research method’, </w:t>
      </w:r>
      <w:r w:rsidRPr="006D6880">
        <w:rPr>
          <w:i/>
          <w:iCs/>
        </w:rPr>
        <w:t>Qualitative Research Journal</w:t>
      </w:r>
      <w:r w:rsidRPr="006D6880">
        <w:t>, 9(2), pp. 27–40.</w:t>
      </w:r>
      <w:r>
        <w:t xml:space="preserve"> Available at: </w:t>
      </w:r>
      <w:hyperlink r:id="rId14" w:history="1">
        <w:r w:rsidRPr="00880A39">
          <w:rPr>
            <w:rStyle w:val="Hyperlink"/>
          </w:rPr>
          <w:t>Document Analysis as a Qualitative Research Method</w:t>
        </w:r>
      </w:hyperlink>
      <w:r>
        <w:t xml:space="preserve"> (Accessed: 25 April 2026).</w:t>
      </w:r>
    </w:p>
    <w:p w14:paraId="787A8902" w14:textId="77777777" w:rsidR="009A5B93" w:rsidRDefault="009A5B93" w:rsidP="009A5B93">
      <w:pPr>
        <w:spacing w:after="0"/>
      </w:pPr>
    </w:p>
    <w:p w14:paraId="0FE70BB7" w14:textId="77777777" w:rsidR="009A5B93" w:rsidRPr="00666F41" w:rsidRDefault="009A5B93" w:rsidP="009A5B93">
      <w:pPr>
        <w:spacing w:after="0"/>
      </w:pPr>
      <w:r w:rsidRPr="00666F41">
        <w:t>Braun, V. and Clarke, V. (2019) ‘Reflecting on reflexive thematic analysis’, </w:t>
      </w:r>
      <w:r w:rsidRPr="00666F41">
        <w:rPr>
          <w:i/>
          <w:iCs/>
        </w:rPr>
        <w:t>Qualitative Research in Sport, Exercise and Health</w:t>
      </w:r>
      <w:r w:rsidRPr="00666F41">
        <w:t>, 11(4), pp. 589–597</w:t>
      </w:r>
      <w:r>
        <w:t xml:space="preserve">. Available at: </w:t>
      </w:r>
      <w:hyperlink r:id="rId15" w:history="1">
        <w:r w:rsidRPr="00666F41">
          <w:rPr>
            <w:rStyle w:val="Hyperlink"/>
          </w:rPr>
          <w:t>doi.org/10.1080/2159676X.2019.1628806</w:t>
        </w:r>
      </w:hyperlink>
      <w:r>
        <w:t xml:space="preserve"> (Accessed: 26 April 2026). </w:t>
      </w:r>
    </w:p>
    <w:p w14:paraId="2DB913DE" w14:textId="77777777" w:rsidR="009A5B93" w:rsidRDefault="009A5B93" w:rsidP="009A5B93">
      <w:pPr>
        <w:spacing w:after="0"/>
      </w:pPr>
    </w:p>
    <w:p w14:paraId="303C01D1" w14:textId="77777777" w:rsidR="009A5B93" w:rsidRPr="00086A7B" w:rsidRDefault="009A5B93" w:rsidP="009A5B93">
      <w:pPr>
        <w:spacing w:after="0"/>
      </w:pPr>
      <w:r w:rsidRPr="00375DEC">
        <w:t>Braun, V. and Clarke, V. (2023) ‘Toward good practice in thematic analysis: Avoiding common problems and be(com)</w:t>
      </w:r>
      <w:proofErr w:type="spellStart"/>
      <w:r w:rsidRPr="00375DEC">
        <w:t>ing</w:t>
      </w:r>
      <w:proofErr w:type="spellEnd"/>
      <w:r w:rsidRPr="00375DEC">
        <w:t xml:space="preserve"> a </w:t>
      </w:r>
      <w:r w:rsidRPr="00375DEC">
        <w:rPr>
          <w:i/>
          <w:iCs/>
        </w:rPr>
        <w:t>knowing</w:t>
      </w:r>
      <w:r w:rsidRPr="00375DEC">
        <w:t> researcher’, </w:t>
      </w:r>
      <w:r w:rsidRPr="00375DEC">
        <w:rPr>
          <w:i/>
          <w:iCs/>
        </w:rPr>
        <w:t>International Journal of Transgender Health</w:t>
      </w:r>
      <w:r w:rsidRPr="00375DEC">
        <w:t xml:space="preserve">, 24(1), pp. 1–6. </w:t>
      </w:r>
      <w:r>
        <w:t xml:space="preserve">Available at: </w:t>
      </w:r>
      <w:hyperlink r:id="rId16" w:history="1">
        <w:r w:rsidRPr="00086A7B">
          <w:rPr>
            <w:rStyle w:val="Hyperlink"/>
          </w:rPr>
          <w:t>doi.org/10.1080/26895269.2022.2129597</w:t>
        </w:r>
      </w:hyperlink>
      <w:r>
        <w:t xml:space="preserve"> (Accessed: 25 April 2026).</w:t>
      </w:r>
    </w:p>
    <w:p w14:paraId="091E846C" w14:textId="77777777" w:rsidR="009A5B93" w:rsidRDefault="009A5B93" w:rsidP="009A5B93">
      <w:pPr>
        <w:spacing w:after="0"/>
      </w:pPr>
    </w:p>
    <w:p w14:paraId="72CAE060" w14:textId="77777777" w:rsidR="009A5B93" w:rsidRDefault="009A5B93" w:rsidP="009A5B93">
      <w:pPr>
        <w:spacing w:after="0"/>
      </w:pPr>
      <w:r w:rsidRPr="00B93833">
        <w:t>Bryman, A. (2016)</w:t>
      </w:r>
      <w:r>
        <w:t xml:space="preserve">. </w:t>
      </w:r>
      <w:r w:rsidRPr="00B93833">
        <w:rPr>
          <w:i/>
          <w:iCs/>
        </w:rPr>
        <w:t>Social research methods</w:t>
      </w:r>
      <w:r w:rsidRPr="00B93833">
        <w:t xml:space="preserve">. 5th </w:t>
      </w:r>
      <w:proofErr w:type="spellStart"/>
      <w:r w:rsidRPr="00B93833">
        <w:t>edn</w:t>
      </w:r>
      <w:proofErr w:type="spellEnd"/>
      <w:r w:rsidRPr="00B93833">
        <w:t>. Oxford: Oxford University Press.</w:t>
      </w:r>
      <w:r>
        <w:t xml:space="preserve"> Available at: </w:t>
      </w:r>
      <w:hyperlink r:id="rId17" w:history="1">
        <w:r w:rsidRPr="00EF05F3">
          <w:rPr>
            <w:rStyle w:val="Hyperlink"/>
          </w:rPr>
          <w:t>social-research-methods-alan-bryman.pdf</w:t>
        </w:r>
      </w:hyperlink>
      <w:r>
        <w:t xml:space="preserve"> (Accessed: 25 April 2026).</w:t>
      </w:r>
    </w:p>
    <w:p w14:paraId="6C0EA51B" w14:textId="77777777" w:rsidR="009A5B93" w:rsidRDefault="009A5B93" w:rsidP="009A5B93">
      <w:pPr>
        <w:spacing w:after="0"/>
      </w:pPr>
    </w:p>
    <w:p w14:paraId="08E0DBBF" w14:textId="77777777" w:rsidR="009A5B93" w:rsidRDefault="009A5B93" w:rsidP="009A5B93">
      <w:pPr>
        <w:spacing w:after="0"/>
      </w:pPr>
      <w:hyperlink r:id="rId18" w:history="1">
        <w:r w:rsidRPr="00080890">
          <w:rPr>
            <w:rStyle w:val="Hyperlink"/>
            <w:color w:val="auto"/>
            <w:u w:val="none"/>
          </w:rPr>
          <w:t xml:space="preserve">Bryman, A. (2021). Social Research Methods (6th ed.). Oxford University Press. </w:t>
        </w:r>
        <w:r>
          <w:rPr>
            <w:rStyle w:val="Hyperlink"/>
            <w:color w:val="auto"/>
            <w:u w:val="none"/>
          </w:rPr>
          <w:t xml:space="preserve">Available at: </w:t>
        </w:r>
        <w:r w:rsidRPr="00D01BAE">
          <w:rPr>
            <w:rStyle w:val="Hyperlink"/>
          </w:rPr>
          <w:t>References - Scientific Research Publishing</w:t>
        </w:r>
      </w:hyperlink>
      <w:r>
        <w:t xml:space="preserve"> (Accessed: 21 April 2026).</w:t>
      </w:r>
    </w:p>
    <w:p w14:paraId="355AE742" w14:textId="77777777" w:rsidR="009A5B93" w:rsidRDefault="009A5B93" w:rsidP="009A5B93">
      <w:pPr>
        <w:spacing w:after="0"/>
      </w:pPr>
    </w:p>
    <w:p w14:paraId="7B66A3A4" w14:textId="77777777" w:rsidR="009A5B93" w:rsidRPr="00921E55" w:rsidRDefault="009A5B93" w:rsidP="009A5B93">
      <w:pPr>
        <w:spacing w:after="0"/>
      </w:pPr>
      <w:r w:rsidRPr="00560B64">
        <w:lastRenderedPageBreak/>
        <w:t>Clarke, V. and Braun, V. (2017) ‘Thematic analysis’, </w:t>
      </w:r>
      <w:r w:rsidRPr="00560B64">
        <w:rPr>
          <w:i/>
          <w:iCs/>
        </w:rPr>
        <w:t>The Journal of Positive Psychology</w:t>
      </w:r>
      <w:r w:rsidRPr="00560B64">
        <w:t>, 12(3), pp. 297–298</w:t>
      </w:r>
      <w:r>
        <w:t xml:space="preserve">. Available at: </w:t>
      </w:r>
      <w:hyperlink r:id="rId19" w:history="1">
        <w:r w:rsidRPr="00921E55">
          <w:rPr>
            <w:rStyle w:val="Hyperlink"/>
          </w:rPr>
          <w:t>doi.org/10.1080/17439760.2016.1262613</w:t>
        </w:r>
      </w:hyperlink>
      <w:r>
        <w:t xml:space="preserve"> (Accessed: 26 April 2026).</w:t>
      </w:r>
    </w:p>
    <w:p w14:paraId="2BA0D486" w14:textId="77777777" w:rsidR="009A5B93" w:rsidRDefault="009A5B93" w:rsidP="009A5B93">
      <w:pPr>
        <w:spacing w:after="0"/>
      </w:pPr>
    </w:p>
    <w:p w14:paraId="5405DB97" w14:textId="77777777" w:rsidR="009A5B93" w:rsidRDefault="009A5B93" w:rsidP="009A5B93">
      <w:pPr>
        <w:spacing w:after="0"/>
      </w:pPr>
      <w:r w:rsidRPr="002A0D9D">
        <w:t>Cleere, G. (2020). Prison Education and Desistance: Changing Perspectives (1st ed.). Routledge.</w:t>
      </w:r>
      <w:r>
        <w:t xml:space="preserve"> Available at: </w:t>
      </w:r>
      <w:hyperlink r:id="rId20" w:history="1">
        <w:r w:rsidRPr="00723B7E">
          <w:rPr>
            <w:rStyle w:val="Hyperlink"/>
          </w:rPr>
          <w:t>doi.org/10.4324/9781003002833-1</w:t>
        </w:r>
      </w:hyperlink>
      <w:r>
        <w:t xml:space="preserve"> (Accessed: 20 April 2026).</w:t>
      </w:r>
    </w:p>
    <w:p w14:paraId="7FC6118F" w14:textId="77777777" w:rsidR="009A5B93" w:rsidRDefault="009A5B93" w:rsidP="009A5B93">
      <w:pPr>
        <w:spacing w:after="0"/>
      </w:pPr>
    </w:p>
    <w:p w14:paraId="6C9C95C1" w14:textId="77777777" w:rsidR="009A5B93" w:rsidRDefault="009A5B93" w:rsidP="009A5B93">
      <w:pPr>
        <w:spacing w:after="0"/>
      </w:pPr>
      <w:r w:rsidRPr="00F45A0D">
        <w:t>Cohen, L., Manion, L., &amp; Morrison, K. (2018). Research Methods in Education (8th ed.). London: Routledge.</w:t>
      </w:r>
      <w:r>
        <w:t xml:space="preserve"> </w:t>
      </w:r>
      <w:hyperlink r:id="rId21" w:tgtFrame="_blank" w:history="1">
        <w:r w:rsidRPr="00623FB8">
          <w:rPr>
            <w:rStyle w:val="Hyperlink"/>
          </w:rPr>
          <w:t>doi.org/10.4324/9781315456539</w:t>
        </w:r>
      </w:hyperlink>
      <w:r>
        <w:t xml:space="preserve"> (Accessed: 21 April 2026).</w:t>
      </w:r>
    </w:p>
    <w:p w14:paraId="4E2A023A" w14:textId="77777777" w:rsidR="009A5B93" w:rsidRDefault="009A5B93" w:rsidP="009A5B93">
      <w:pPr>
        <w:spacing w:after="0"/>
      </w:pPr>
    </w:p>
    <w:p w14:paraId="3CA44150" w14:textId="77777777" w:rsidR="009A5B93" w:rsidRDefault="009A5B93" w:rsidP="009A5B93">
      <w:pPr>
        <w:spacing w:after="0"/>
      </w:pPr>
      <w:r w:rsidRPr="00925B15">
        <w:t>Creswell, J. W., &amp; Plano Clark, V. L. (2018). Designing and Conducting Mixed Methods Research (3rd ed.). Thousand Oaks, CA: SAGE.</w:t>
      </w:r>
      <w:r>
        <w:t xml:space="preserve"> Available at: </w:t>
      </w:r>
      <w:hyperlink r:id="rId22" w:history="1">
        <w:r w:rsidRPr="00CA5C24">
          <w:rPr>
            <w:rStyle w:val="Hyperlink"/>
          </w:rPr>
          <w:t>A Revision Process That Bridges Qualitative and Quantitative Assessment</w:t>
        </w:r>
      </w:hyperlink>
      <w:r>
        <w:t xml:space="preserve"> (Accessed: 20 April 2026).</w:t>
      </w:r>
    </w:p>
    <w:p w14:paraId="046A7687" w14:textId="77777777" w:rsidR="009A5B93" w:rsidRDefault="009A5B93" w:rsidP="009A5B93">
      <w:pPr>
        <w:spacing w:after="0"/>
      </w:pPr>
      <w:r w:rsidRPr="00C5028A">
        <w:t>Flick, U. (2018)</w:t>
      </w:r>
      <w:r>
        <w:t>.</w:t>
      </w:r>
      <w:r w:rsidRPr="00C5028A">
        <w:t xml:space="preserve"> </w:t>
      </w:r>
      <w:r w:rsidRPr="00C5028A">
        <w:rPr>
          <w:i/>
          <w:iCs/>
        </w:rPr>
        <w:t>An introduction to qualitative research</w:t>
      </w:r>
      <w:r w:rsidRPr="00C5028A">
        <w:t xml:space="preserve">. 6th </w:t>
      </w:r>
      <w:proofErr w:type="spellStart"/>
      <w:r w:rsidRPr="00C5028A">
        <w:t>edn</w:t>
      </w:r>
      <w:proofErr w:type="spellEnd"/>
      <w:r w:rsidRPr="00C5028A">
        <w:t>. London: SAGE.</w:t>
      </w:r>
      <w:r>
        <w:t xml:space="preserve"> </w:t>
      </w:r>
      <w:hyperlink r:id="rId23" w:history="1">
        <w:r w:rsidRPr="00105DEA">
          <w:rPr>
            <w:rStyle w:val="Hyperlink"/>
          </w:rPr>
          <w:t>doi.org/10.4135/9781529622737</w:t>
        </w:r>
      </w:hyperlink>
      <w:r>
        <w:t xml:space="preserve"> (Accessed: 21 April 2026). </w:t>
      </w:r>
    </w:p>
    <w:p w14:paraId="0351D211" w14:textId="77777777" w:rsidR="009A5B93" w:rsidRDefault="009A5B93" w:rsidP="009A5B93">
      <w:pPr>
        <w:spacing w:after="0"/>
      </w:pPr>
    </w:p>
    <w:p w14:paraId="74F4926A" w14:textId="77777777" w:rsidR="009A5B93" w:rsidRPr="00C5028A" w:rsidRDefault="009A5B93" w:rsidP="009A5B93">
      <w:pPr>
        <w:spacing w:after="0"/>
      </w:pPr>
      <w:r w:rsidRPr="007D109B">
        <w:t xml:space="preserve">Creswell, J.W. and </w:t>
      </w:r>
      <w:proofErr w:type="spellStart"/>
      <w:r w:rsidRPr="007D109B">
        <w:t>Poth</w:t>
      </w:r>
      <w:proofErr w:type="spellEnd"/>
      <w:r w:rsidRPr="007D109B">
        <w:t>, C.N. (2018)</w:t>
      </w:r>
      <w:r>
        <w:t>.</w:t>
      </w:r>
      <w:r w:rsidRPr="007D109B">
        <w:t xml:space="preserve"> </w:t>
      </w:r>
      <w:r w:rsidRPr="007D109B">
        <w:rPr>
          <w:i/>
          <w:iCs/>
        </w:rPr>
        <w:t>Qualitative inquiry and research design: Choosing among five approaches</w:t>
      </w:r>
      <w:r w:rsidRPr="007D109B">
        <w:t xml:space="preserve">. 4th </w:t>
      </w:r>
      <w:proofErr w:type="spellStart"/>
      <w:r w:rsidRPr="007D109B">
        <w:t>edn</w:t>
      </w:r>
      <w:proofErr w:type="spellEnd"/>
      <w:r w:rsidRPr="007D109B">
        <w:t>. London: SAGE.</w:t>
      </w:r>
      <w:r>
        <w:t xml:space="preserve"> Available at: </w:t>
      </w:r>
      <w:hyperlink r:id="rId24" w:history="1">
        <w:r w:rsidRPr="009B053A">
          <w:rPr>
            <w:rStyle w:val="Hyperlink"/>
          </w:rPr>
          <w:t>Creswell (2018) - (Book) Qualitative Inquiry and Research Design Choosing Among Five Approaches | PDF</w:t>
        </w:r>
      </w:hyperlink>
      <w:r>
        <w:t xml:space="preserve"> (Accessed: 25 April 2026).</w:t>
      </w:r>
    </w:p>
    <w:p w14:paraId="65A1EE36" w14:textId="77777777" w:rsidR="009A5B93" w:rsidRDefault="009A5B93" w:rsidP="009A5B93">
      <w:pPr>
        <w:spacing w:after="0"/>
      </w:pPr>
    </w:p>
    <w:p w14:paraId="103C6835" w14:textId="77777777" w:rsidR="009A5B93" w:rsidRDefault="009A5B93" w:rsidP="009A5B93">
      <w:pPr>
        <w:spacing w:after="0"/>
      </w:pPr>
      <w:r w:rsidRPr="000B5973">
        <w:t>Food Matters (2024)</w:t>
      </w:r>
      <w:r>
        <w:t xml:space="preserve">. </w:t>
      </w:r>
      <w:r w:rsidRPr="000B5973">
        <w:rPr>
          <w:i/>
          <w:iCs/>
        </w:rPr>
        <w:t>Food matters in prisons: executive summary</w:t>
      </w:r>
      <w:r w:rsidRPr="000B5973">
        <w:t>. Available at:</w:t>
      </w:r>
      <w:r>
        <w:t xml:space="preserve"> </w:t>
      </w:r>
      <w:hyperlink r:id="rId25" w:history="1">
        <w:r w:rsidRPr="00AF1010">
          <w:rPr>
            <w:rStyle w:val="Hyperlink"/>
          </w:rPr>
          <w:t>Food Matters in Prisons - executive summary</w:t>
        </w:r>
      </w:hyperlink>
      <w:r>
        <w:t xml:space="preserve"> (Accessed: 20 April 2026).</w:t>
      </w:r>
    </w:p>
    <w:p w14:paraId="787683E1" w14:textId="77777777" w:rsidR="009A5B93" w:rsidRDefault="009A5B93" w:rsidP="009A5B93">
      <w:pPr>
        <w:spacing w:after="0"/>
      </w:pPr>
    </w:p>
    <w:p w14:paraId="75AE4BA4" w14:textId="77777777" w:rsidR="009A5B93" w:rsidRDefault="009A5B93" w:rsidP="009A5B93">
      <w:pPr>
        <w:spacing w:after="0"/>
      </w:pPr>
      <w:proofErr w:type="spellStart"/>
      <w:r w:rsidRPr="00AA389E">
        <w:t>Glazzard</w:t>
      </w:r>
      <w:proofErr w:type="spellEnd"/>
      <w:r w:rsidRPr="00AA389E">
        <w:t>, J., Thomas, S. &amp; Williams, A. (2025) Barriers to, and facilitators of, inclusion in prison education: Reflections from the frontline. </w:t>
      </w:r>
      <w:r w:rsidRPr="00AA389E">
        <w:rPr>
          <w:i/>
          <w:iCs/>
        </w:rPr>
        <w:t>Support for Learning</w:t>
      </w:r>
      <w:r w:rsidRPr="00AA389E">
        <w:t>, 40, 343–349. Available</w:t>
      </w:r>
      <w:r>
        <w:t xml:space="preserve"> at: </w:t>
      </w:r>
      <w:hyperlink r:id="rId26" w:history="1">
        <w:r w:rsidRPr="00345550">
          <w:rPr>
            <w:rStyle w:val="Hyperlink"/>
          </w:rPr>
          <w:t>doi.org/10.1111/1467-9604.70014</w:t>
        </w:r>
      </w:hyperlink>
      <w:r w:rsidRPr="00345550">
        <w:t xml:space="preserve"> </w:t>
      </w:r>
      <w:r>
        <w:t>(Accessed: 20 April 2026).</w:t>
      </w:r>
    </w:p>
    <w:p w14:paraId="3A98CAFD" w14:textId="77777777" w:rsidR="009A5B93" w:rsidRDefault="009A5B93" w:rsidP="009A5B93">
      <w:pPr>
        <w:spacing w:after="0"/>
      </w:pPr>
    </w:p>
    <w:p w14:paraId="12B021DB" w14:textId="77777777" w:rsidR="009A5B93" w:rsidRDefault="009A5B93" w:rsidP="009A5B93">
      <w:pPr>
        <w:spacing w:after="0"/>
      </w:pPr>
      <w:r w:rsidRPr="00F30EED">
        <w:t>Guest, G., MacQueen, K.M. and Namey, E.E. (201</w:t>
      </w:r>
      <w:r>
        <w:t>4</w:t>
      </w:r>
      <w:r w:rsidRPr="00F30EED">
        <w:t>)</w:t>
      </w:r>
      <w:r>
        <w:t>.</w:t>
      </w:r>
      <w:r w:rsidRPr="00F30EED">
        <w:t xml:space="preserve"> </w:t>
      </w:r>
      <w:r>
        <w:t xml:space="preserve">Introduction to </w:t>
      </w:r>
      <w:r>
        <w:rPr>
          <w:i/>
          <w:iCs/>
        </w:rPr>
        <w:t>a</w:t>
      </w:r>
      <w:r w:rsidRPr="00F30EED">
        <w:rPr>
          <w:i/>
          <w:iCs/>
        </w:rPr>
        <w:t>pplied thematic analysis</w:t>
      </w:r>
      <w:r w:rsidRPr="00F30EED">
        <w:t>. London: SAGE</w:t>
      </w:r>
      <w:r>
        <w:t xml:space="preserve">. Available at: </w:t>
      </w:r>
      <w:hyperlink r:id="rId27" w:history="1">
        <w:r w:rsidRPr="0081353A">
          <w:rPr>
            <w:rStyle w:val="Hyperlink"/>
          </w:rPr>
          <w:t>Applied Thematic Analysis</w:t>
        </w:r>
      </w:hyperlink>
      <w:r>
        <w:t xml:space="preserve"> (Accessed: 26 April 2026).</w:t>
      </w:r>
    </w:p>
    <w:p w14:paraId="0A0F8F27" w14:textId="77777777" w:rsidR="009A5B93" w:rsidRDefault="009A5B93" w:rsidP="009A5B93">
      <w:pPr>
        <w:spacing w:after="0"/>
      </w:pPr>
    </w:p>
    <w:p w14:paraId="11F36E50" w14:textId="77777777" w:rsidR="009A5B93" w:rsidRPr="00A94E35" w:rsidRDefault="009A5B93" w:rsidP="009A5B93">
      <w:pPr>
        <w:spacing w:after="0"/>
      </w:pPr>
      <w:r w:rsidRPr="00A94E35">
        <w:t>Health Research Authority (HRA)</w:t>
      </w:r>
      <w:r>
        <w:t>.</w:t>
      </w:r>
      <w:r w:rsidRPr="00A94E35">
        <w:t xml:space="preserve"> (202</w:t>
      </w:r>
      <w:r>
        <w:t>5</w:t>
      </w:r>
      <w:r w:rsidRPr="00A94E35">
        <w:t xml:space="preserve">) </w:t>
      </w:r>
      <w:r w:rsidRPr="00A94E35">
        <w:rPr>
          <w:i/>
          <w:iCs/>
        </w:rPr>
        <w:t>Prison research guidance</w:t>
      </w:r>
      <w:r w:rsidRPr="00A94E35">
        <w:t xml:space="preserve">. </w:t>
      </w:r>
      <w:r>
        <w:t xml:space="preserve">Available at: </w:t>
      </w:r>
      <w:hyperlink r:id="rId28" w:history="1">
        <w:r w:rsidRPr="00D00C6F">
          <w:rPr>
            <w:rStyle w:val="Hyperlink"/>
          </w:rPr>
          <w:t>Guidance_for_Conducting_Ethical_Health_Research_in_Prisons_-_September_2025.pdf</w:t>
        </w:r>
      </w:hyperlink>
      <w:r>
        <w:t xml:space="preserve"> (Accessed: 22 April 2026).</w:t>
      </w:r>
    </w:p>
    <w:p w14:paraId="42DBADCE" w14:textId="77777777" w:rsidR="009A5B93" w:rsidRDefault="009A5B93" w:rsidP="009A5B93">
      <w:pPr>
        <w:spacing w:after="0"/>
      </w:pPr>
    </w:p>
    <w:p w14:paraId="00A7A144" w14:textId="77777777" w:rsidR="009A5B93" w:rsidRPr="00E54B8F" w:rsidRDefault="009A5B93" w:rsidP="009A5B93">
      <w:pPr>
        <w:spacing w:after="0"/>
      </w:pPr>
      <w:r w:rsidRPr="00E54B8F">
        <w:t xml:space="preserve">Hemming, L., Shaw, J. and Pratt, D. (2021) ‘Service user involvement in prison research: Male prisoners’ experiences’, </w:t>
      </w:r>
      <w:r w:rsidRPr="00E54B8F">
        <w:rPr>
          <w:i/>
          <w:iCs/>
        </w:rPr>
        <w:t>BMC Medical Ethics</w:t>
      </w:r>
      <w:r w:rsidRPr="00E54B8F">
        <w:t>, 22(1).</w:t>
      </w:r>
      <w:r>
        <w:t xml:space="preserve"> Available at: </w:t>
      </w:r>
      <w:hyperlink r:id="rId29" w:tgtFrame="_blank" w:history="1">
        <w:r w:rsidRPr="00F6149F">
          <w:rPr>
            <w:rStyle w:val="Hyperlink"/>
          </w:rPr>
          <w:t>10.1186/s40900-021-00303-z</w:t>
        </w:r>
      </w:hyperlink>
      <w:r>
        <w:t xml:space="preserve"> (Accessed: 22 April 2026).</w:t>
      </w:r>
    </w:p>
    <w:p w14:paraId="39E2509F" w14:textId="77777777" w:rsidR="009A5B93" w:rsidRDefault="009A5B93" w:rsidP="009A5B93">
      <w:pPr>
        <w:spacing w:after="0"/>
      </w:pPr>
    </w:p>
    <w:p w14:paraId="3A3BAFF7" w14:textId="77777777" w:rsidR="009A5B93" w:rsidRPr="00FE703D" w:rsidRDefault="009A5B93" w:rsidP="009A5B93">
      <w:pPr>
        <w:spacing w:after="0"/>
      </w:pPr>
      <w:r w:rsidRPr="00FE703D">
        <w:lastRenderedPageBreak/>
        <w:t>HM Inspectorate of Prisons (2024)</w:t>
      </w:r>
      <w:r>
        <w:t>.</w:t>
      </w:r>
      <w:r w:rsidRPr="00FE703D">
        <w:t xml:space="preserve"> </w:t>
      </w:r>
      <w:r w:rsidRPr="00FE703D">
        <w:rPr>
          <w:i/>
          <w:iCs/>
        </w:rPr>
        <w:t>Ethical principles for research</w:t>
      </w:r>
      <w:r w:rsidRPr="00FE703D">
        <w:t xml:space="preserve">. Available at: </w:t>
      </w:r>
      <w:hyperlink r:id="rId30" w:history="1">
        <w:r w:rsidRPr="00EE57E2">
          <w:rPr>
            <w:rStyle w:val="Hyperlink"/>
          </w:rPr>
          <w:t>Ethical principles for research – HM Inspectorate of Prisons</w:t>
        </w:r>
      </w:hyperlink>
      <w:r>
        <w:t xml:space="preserve"> (Accessed: 22 April 2026).</w:t>
      </w:r>
    </w:p>
    <w:p w14:paraId="1EDA719F" w14:textId="77777777" w:rsidR="009A5B93" w:rsidRDefault="009A5B93" w:rsidP="009A5B93">
      <w:pPr>
        <w:spacing w:after="0"/>
      </w:pPr>
    </w:p>
    <w:p w14:paraId="3D45A0E7" w14:textId="77777777" w:rsidR="009A5B93" w:rsidRDefault="009A5B93" w:rsidP="009A5B93">
      <w:pPr>
        <w:spacing w:after="0"/>
      </w:pPr>
      <w:r w:rsidRPr="009C6500">
        <w:t>House of Commons Justice Committee</w:t>
      </w:r>
      <w:r>
        <w:t>.</w:t>
      </w:r>
      <w:r w:rsidRPr="009C6500">
        <w:t xml:space="preserve"> (2022) </w:t>
      </w:r>
      <w:r w:rsidRPr="009C6500">
        <w:rPr>
          <w:i/>
          <w:iCs/>
        </w:rPr>
        <w:t>Prison education: Government response to the Committee’s report</w:t>
      </w:r>
      <w:r w:rsidRPr="009C6500">
        <w:t>. London: UK Parliament.</w:t>
      </w:r>
      <w:r>
        <w:t xml:space="preserve"> Available at: </w:t>
      </w:r>
      <w:hyperlink r:id="rId31" w:history="1">
        <w:r w:rsidRPr="005E1ADC">
          <w:rPr>
            <w:rStyle w:val="Hyperlink"/>
          </w:rPr>
          <w:t>Not just another brick in the wall: why prisoners need an education to climb the ladder of opportunity: Government response to the Committee’s First Report</w:t>
        </w:r>
      </w:hyperlink>
      <w:r>
        <w:t xml:space="preserve"> (Accessed: 21 April 2026).</w:t>
      </w:r>
    </w:p>
    <w:p w14:paraId="333A83FA" w14:textId="77777777" w:rsidR="009A5B93" w:rsidRDefault="009A5B93" w:rsidP="009A5B93">
      <w:pPr>
        <w:spacing w:after="0"/>
      </w:pPr>
    </w:p>
    <w:p w14:paraId="66E5E14A" w14:textId="77777777" w:rsidR="009A5B93" w:rsidRPr="004B27E8" w:rsidRDefault="009A5B93" w:rsidP="009A5B93">
      <w:pPr>
        <w:spacing w:after="0"/>
        <w:rPr>
          <w:b/>
          <w:bCs/>
        </w:rPr>
      </w:pPr>
      <w:r w:rsidRPr="00FD2492">
        <w:t>Jewkes, Y. (2012)</w:t>
      </w:r>
      <w:r>
        <w:t>.</w:t>
      </w:r>
      <w:r w:rsidRPr="00FD2492">
        <w:t xml:space="preserve"> </w:t>
      </w:r>
      <w:r w:rsidRPr="004B27E8">
        <w:t>An Introduction to “Doing Prison Research Differently</w:t>
      </w:r>
      <w:r>
        <w:t>”</w:t>
      </w:r>
      <w:r>
        <w:rPr>
          <w:b/>
          <w:bCs/>
        </w:rPr>
        <w:t xml:space="preserve">. </w:t>
      </w:r>
      <w:r>
        <w:t xml:space="preserve">Available at: </w:t>
      </w:r>
      <w:hyperlink r:id="rId32" w:history="1">
        <w:r w:rsidRPr="00FD2492">
          <w:rPr>
            <w:rStyle w:val="Hyperlink"/>
          </w:rPr>
          <w:t>https://doi.org/10.1177/1077800413515828</w:t>
        </w:r>
      </w:hyperlink>
      <w:r>
        <w:t xml:space="preserve"> (Accessed: 25 April 2026). </w:t>
      </w:r>
    </w:p>
    <w:p w14:paraId="1C00BB10" w14:textId="77777777" w:rsidR="009A5B93" w:rsidRDefault="009A5B93" w:rsidP="009A5B93">
      <w:pPr>
        <w:spacing w:after="0"/>
      </w:pPr>
    </w:p>
    <w:p w14:paraId="63150CDB" w14:textId="77777777" w:rsidR="009A5B93" w:rsidRDefault="009A5B93" w:rsidP="009A5B93">
      <w:pPr>
        <w:spacing w:after="0"/>
      </w:pPr>
      <w:r w:rsidRPr="00436BAE">
        <w:t>Jewkes, Y, Crewe, B &amp; Bennett, J</w:t>
      </w:r>
      <w:r>
        <w:t>.</w:t>
      </w:r>
      <w:r w:rsidRPr="00436BAE">
        <w:t xml:space="preserve"> </w:t>
      </w:r>
      <w:r>
        <w:t>(</w:t>
      </w:r>
      <w:r w:rsidRPr="00436BAE">
        <w:t>2016</w:t>
      </w:r>
      <w:r>
        <w:t xml:space="preserve">) </w:t>
      </w:r>
      <w:r w:rsidRPr="00436BAE">
        <w:rPr>
          <w:i/>
          <w:iCs/>
        </w:rPr>
        <w:t>Handbook on prisons (2nd ed.)</w:t>
      </w:r>
      <w:r w:rsidRPr="00436BAE">
        <w:t>. Routledge, London, U. K. </w:t>
      </w:r>
      <w:r>
        <w:t xml:space="preserve">Available at: </w:t>
      </w:r>
      <w:hyperlink r:id="rId33" w:tgtFrame="_blank" w:history="1">
        <w:r w:rsidRPr="00D82A58">
          <w:rPr>
            <w:rStyle w:val="Hyperlink"/>
          </w:rPr>
          <w:t>doi.org/10.4324/9781315797779</w:t>
        </w:r>
      </w:hyperlink>
      <w:r>
        <w:t xml:space="preserve"> (Accessed: 22 April 2026).</w:t>
      </w:r>
    </w:p>
    <w:p w14:paraId="399B28AB" w14:textId="77777777" w:rsidR="009A5B93" w:rsidRDefault="009A5B93" w:rsidP="009A5B93">
      <w:pPr>
        <w:spacing w:after="0"/>
      </w:pPr>
    </w:p>
    <w:p w14:paraId="1073EC4F" w14:textId="77777777" w:rsidR="009A5B93" w:rsidRDefault="009A5B93" w:rsidP="009A5B93">
      <w:pPr>
        <w:spacing w:after="0"/>
      </w:pPr>
      <w:r w:rsidRPr="009B2CEB">
        <w:t>L</w:t>
      </w:r>
      <w:r>
        <w:t>ee</w:t>
      </w:r>
      <w:r w:rsidRPr="009B2CEB">
        <w:t>, C. G. (2012) ‘Reconsidering Constructivism in Qualitative Research’, </w:t>
      </w:r>
      <w:r w:rsidRPr="009B2CEB">
        <w:rPr>
          <w:i/>
          <w:iCs/>
        </w:rPr>
        <w:t>Educational Philosophy and Theory</w:t>
      </w:r>
      <w:r w:rsidRPr="009B2CEB">
        <w:t>, 44(4), pp. 403–412.</w:t>
      </w:r>
      <w:r>
        <w:t xml:space="preserve"> Available at: </w:t>
      </w:r>
      <w:hyperlink r:id="rId34" w:history="1">
        <w:r w:rsidRPr="002B5542">
          <w:rPr>
            <w:rStyle w:val="Hyperlink"/>
          </w:rPr>
          <w:t>doi.org/10.1111/j.1469-5812.2010.00720.x</w:t>
        </w:r>
      </w:hyperlink>
      <w:r>
        <w:t xml:space="preserve"> (Accessed: 26 April 2026).</w:t>
      </w:r>
    </w:p>
    <w:p w14:paraId="4A3D516A" w14:textId="77777777" w:rsidR="009A5B93" w:rsidRDefault="009A5B93" w:rsidP="009A5B93">
      <w:pPr>
        <w:spacing w:after="0"/>
      </w:pPr>
    </w:p>
    <w:p w14:paraId="2D692A9F" w14:textId="77777777" w:rsidR="009A5B93" w:rsidRDefault="009A5B93" w:rsidP="009A5B93">
      <w:pPr>
        <w:spacing w:after="0"/>
        <w:rPr>
          <w:color w:val="FF0000"/>
        </w:rPr>
      </w:pPr>
      <w:r w:rsidRPr="00DF6008">
        <w:t>Liebling, A., Arnold, H. and Straub, C. (2019)</w:t>
      </w:r>
      <w:r>
        <w:t xml:space="preserve">. </w:t>
      </w:r>
      <w:r w:rsidRPr="00DF6008">
        <w:rPr>
          <w:i/>
          <w:iCs/>
        </w:rPr>
        <w:t>An exploration of staff–prisoner relationships</w:t>
      </w:r>
      <w:r w:rsidRPr="00DF6008">
        <w:t>. Cambridge: Cambridge University Press.</w:t>
      </w:r>
      <w:r>
        <w:t xml:space="preserve"> Available at: </w:t>
      </w:r>
      <w:hyperlink r:id="rId35" w:history="1">
        <w:r>
          <w:rPr>
            <w:rStyle w:val="Hyperlink"/>
          </w:rPr>
          <w:t>An exploration of staff-prisoner relationships at HMP Whitemoor: 12 years on</w:t>
        </w:r>
      </w:hyperlink>
      <w:r>
        <w:t xml:space="preserve"> (Accessed: 22 April 2026).</w:t>
      </w:r>
    </w:p>
    <w:p w14:paraId="3694EACE" w14:textId="77777777" w:rsidR="009A5B93" w:rsidRDefault="009A5B93" w:rsidP="009A5B93">
      <w:pPr>
        <w:spacing w:after="0"/>
      </w:pPr>
    </w:p>
    <w:p w14:paraId="0A00C0E6" w14:textId="77777777" w:rsidR="009A5B93" w:rsidRDefault="009A5B93" w:rsidP="009A5B93">
      <w:pPr>
        <w:spacing w:after="0"/>
      </w:pPr>
      <w:r w:rsidRPr="006F46A3">
        <w:t>Ministry of Justice (2023)</w:t>
      </w:r>
      <w:r>
        <w:t>.</w:t>
      </w:r>
      <w:r w:rsidRPr="006F46A3">
        <w:t xml:space="preserve"> </w:t>
      </w:r>
      <w:r w:rsidRPr="006F46A3">
        <w:rPr>
          <w:i/>
          <w:iCs/>
        </w:rPr>
        <w:t>Prison education and accredited programme statistics</w:t>
      </w:r>
      <w:r w:rsidRPr="006F46A3">
        <w:t>.</w:t>
      </w:r>
      <w:r>
        <w:t xml:space="preserve"> Available at</w:t>
      </w:r>
      <w:r w:rsidRPr="00094806">
        <w:t xml:space="preserve">: </w:t>
      </w:r>
      <w:hyperlink r:id="rId36" w:history="1">
        <w:r w:rsidRPr="00094806">
          <w:rPr>
            <w:rStyle w:val="Hyperlink"/>
          </w:rPr>
          <w:t>Prison Education and Accredited Programme Statistics 2023 to 2024 - GOV.UK</w:t>
        </w:r>
      </w:hyperlink>
      <w:r>
        <w:t xml:space="preserve"> (Accessed: 20 April 2026).</w:t>
      </w:r>
    </w:p>
    <w:p w14:paraId="59F4E5C9" w14:textId="77777777" w:rsidR="009A5B93" w:rsidRDefault="009A5B93" w:rsidP="009A5B93">
      <w:pPr>
        <w:spacing w:after="0"/>
      </w:pPr>
    </w:p>
    <w:p w14:paraId="23202CA2" w14:textId="77777777" w:rsidR="009A5B93" w:rsidRDefault="009A5B93" w:rsidP="009A5B93">
      <w:pPr>
        <w:spacing w:after="0"/>
      </w:pPr>
      <w:r w:rsidRPr="00523AA7">
        <w:t>Nowell, L.S.</w:t>
      </w:r>
      <w:r>
        <w:t>, Norris, J. and Moules, N.</w:t>
      </w:r>
      <w:r w:rsidRPr="00523AA7">
        <w:t xml:space="preserve"> (2017) ‘Thematic analysis: Striving to meet the trustworthiness criteria’, </w:t>
      </w:r>
      <w:r w:rsidRPr="00523AA7">
        <w:rPr>
          <w:i/>
          <w:iCs/>
        </w:rPr>
        <w:t>International Journal of Qualitative Methods</w:t>
      </w:r>
      <w:r w:rsidRPr="00523AA7">
        <w:t>, 16(1).</w:t>
      </w:r>
      <w:r>
        <w:t xml:space="preserve"> Available at: </w:t>
      </w:r>
      <w:hyperlink r:id="rId37" w:history="1">
        <w:r w:rsidRPr="005E7D4F">
          <w:rPr>
            <w:rStyle w:val="Hyperlink"/>
          </w:rPr>
          <w:t>https://doi.org/10.1177/16094069177338</w:t>
        </w:r>
      </w:hyperlink>
      <w:r>
        <w:t xml:space="preserve"> (Accessed: 25 April 2026).</w:t>
      </w:r>
    </w:p>
    <w:p w14:paraId="245D09D0" w14:textId="77777777" w:rsidR="009A5B93" w:rsidRDefault="009A5B93" w:rsidP="009A5B93">
      <w:pPr>
        <w:spacing w:after="0"/>
      </w:pPr>
    </w:p>
    <w:p w14:paraId="204E2491" w14:textId="77777777" w:rsidR="009A5B93" w:rsidRDefault="009A5B93" w:rsidP="009A5B93">
      <w:pPr>
        <w:spacing w:after="0"/>
      </w:pPr>
      <w:r w:rsidRPr="00F543A3">
        <w:t>O’Leary, Z. (20</w:t>
      </w:r>
      <w:r>
        <w:t>04</w:t>
      </w:r>
      <w:r w:rsidRPr="00F543A3">
        <w:t>)</w:t>
      </w:r>
      <w:r>
        <w:t>.</w:t>
      </w:r>
      <w:r w:rsidRPr="00F543A3">
        <w:t xml:space="preserve"> </w:t>
      </w:r>
      <w:r w:rsidRPr="00F543A3">
        <w:rPr>
          <w:i/>
          <w:iCs/>
        </w:rPr>
        <w:t>The essential guide to doing research</w:t>
      </w:r>
      <w:r w:rsidRPr="00F543A3">
        <w:t xml:space="preserve">. </w:t>
      </w:r>
      <w:r>
        <w:t>1st</w:t>
      </w:r>
      <w:r w:rsidRPr="00F543A3">
        <w:t xml:space="preserve"> </w:t>
      </w:r>
      <w:proofErr w:type="spellStart"/>
      <w:r w:rsidRPr="00F543A3">
        <w:t>edn</w:t>
      </w:r>
      <w:proofErr w:type="spellEnd"/>
      <w:r w:rsidRPr="00F543A3">
        <w:t>. London: SAGE.</w:t>
      </w:r>
      <w:r>
        <w:t xml:space="preserve"> Available at: </w:t>
      </w:r>
      <w:hyperlink r:id="rId38" w:history="1">
        <w:r w:rsidRPr="006E4BE9">
          <w:rPr>
            <w:rStyle w:val="Hyperlink"/>
          </w:rPr>
          <w:t>The_essential_guide_to_doing_research.pdf</w:t>
        </w:r>
      </w:hyperlink>
      <w:r>
        <w:t xml:space="preserve"> (Accessed: 25 April 2026).</w:t>
      </w:r>
    </w:p>
    <w:p w14:paraId="70DD8466" w14:textId="77777777" w:rsidR="009A5B93" w:rsidRDefault="009A5B93" w:rsidP="009A5B93">
      <w:pPr>
        <w:spacing w:after="0"/>
      </w:pPr>
    </w:p>
    <w:p w14:paraId="7D2D1FF5" w14:textId="77777777" w:rsidR="009A5B93" w:rsidRDefault="009A5B93" w:rsidP="009A5B93">
      <w:pPr>
        <w:spacing w:after="0"/>
      </w:pPr>
      <w:r w:rsidRPr="00ED05CE">
        <w:t>Prior, L. (20</w:t>
      </w:r>
      <w:r>
        <w:t>23</w:t>
      </w:r>
      <w:r w:rsidRPr="00ED05CE">
        <w:t>). Using Documents in Social Research. In D. Silverman (Ed.), </w:t>
      </w:r>
      <w:r w:rsidRPr="00ED05CE">
        <w:rPr>
          <w:i/>
          <w:iCs/>
        </w:rPr>
        <w:t>Qualitative Research. Issues of Theory, Method and Practice. </w:t>
      </w:r>
      <w:r w:rsidRPr="00ED05CE">
        <w:t>(pp. 93-110). Sage Publications Ltd.</w:t>
      </w:r>
      <w:r>
        <w:t xml:space="preserve"> Available at: </w:t>
      </w:r>
      <w:hyperlink r:id="rId39" w:history="1">
        <w:r w:rsidRPr="0086678A">
          <w:rPr>
            <w:rStyle w:val="Hyperlink"/>
          </w:rPr>
          <w:t>preview-9781847876676_A24197335.pdf</w:t>
        </w:r>
      </w:hyperlink>
      <w:r>
        <w:t xml:space="preserve"> (Accessed: 25 April 2026).</w:t>
      </w:r>
    </w:p>
    <w:p w14:paraId="472FF137" w14:textId="77777777" w:rsidR="009A5B93" w:rsidRDefault="009A5B93" w:rsidP="009A5B93">
      <w:pPr>
        <w:spacing w:after="0"/>
      </w:pPr>
    </w:p>
    <w:p w14:paraId="1545A486" w14:textId="77777777" w:rsidR="009A5B93" w:rsidRPr="005E200C" w:rsidRDefault="009A5B93" w:rsidP="009A5B93">
      <w:pPr>
        <w:spacing w:after="0"/>
      </w:pPr>
      <w:r w:rsidRPr="005E200C">
        <w:t>Prisoners’ Education Trust (2019)</w:t>
      </w:r>
      <w:r>
        <w:t>.</w:t>
      </w:r>
      <w:r w:rsidRPr="005E200C">
        <w:t xml:space="preserve"> </w:t>
      </w:r>
      <w:r w:rsidRPr="005E200C">
        <w:rPr>
          <w:i/>
          <w:iCs/>
        </w:rPr>
        <w:t>Unlocking potential: a review of education in prison</w:t>
      </w:r>
      <w:r w:rsidRPr="005E200C">
        <w:t xml:space="preserve">. London: PET. Available at: </w:t>
      </w:r>
      <w:hyperlink r:id="rId40" w:history="1">
        <w:r w:rsidRPr="00167F3E">
          <w:rPr>
            <w:rStyle w:val="Hyperlink"/>
          </w:rPr>
          <w:t>committees.parliament.uk/written evidence/19739/pdf/</w:t>
        </w:r>
      </w:hyperlink>
      <w:r>
        <w:t xml:space="preserve"> (Accessed: 21 April 2026). </w:t>
      </w:r>
    </w:p>
    <w:p w14:paraId="2BC55E7B" w14:textId="77777777" w:rsidR="009A5B93" w:rsidRDefault="009A5B93" w:rsidP="009A5B93">
      <w:pPr>
        <w:spacing w:after="0"/>
      </w:pPr>
    </w:p>
    <w:p w14:paraId="4DC65832" w14:textId="77777777" w:rsidR="009A5B93" w:rsidRDefault="009A5B93" w:rsidP="009A5B93">
      <w:pPr>
        <w:spacing w:after="0"/>
      </w:pPr>
      <w:r w:rsidRPr="00A52652">
        <w:lastRenderedPageBreak/>
        <w:t>Prisoners’ Education Trust (2024)</w:t>
      </w:r>
      <w:r>
        <w:t>.</w:t>
      </w:r>
      <w:r w:rsidRPr="00A52652">
        <w:t xml:space="preserve"> </w:t>
      </w:r>
      <w:r w:rsidRPr="00A52652">
        <w:rPr>
          <w:i/>
          <w:iCs/>
        </w:rPr>
        <w:t>Getting prison education right</w:t>
      </w:r>
      <w:r w:rsidRPr="00A52652">
        <w:t>. Available at</w:t>
      </w:r>
      <w:r>
        <w:t xml:space="preserve">: </w:t>
      </w:r>
      <w:hyperlink r:id="rId41" w:history="1">
        <w:r w:rsidRPr="00D316A4">
          <w:rPr>
            <w:rStyle w:val="Hyperlink"/>
          </w:rPr>
          <w:t>Getting-prison-education-right-September-2024.pdf</w:t>
        </w:r>
      </w:hyperlink>
      <w:r>
        <w:t xml:space="preserve"> (Accessed: 20 April 2026).</w:t>
      </w:r>
    </w:p>
    <w:p w14:paraId="4D3242E4" w14:textId="77777777" w:rsidR="009A5B93" w:rsidRDefault="009A5B93" w:rsidP="009A5B93">
      <w:pPr>
        <w:spacing w:after="0"/>
      </w:pPr>
    </w:p>
    <w:p w14:paraId="1C3CFEAB" w14:textId="77777777" w:rsidR="009A5B93" w:rsidRPr="00190C3A" w:rsidRDefault="009A5B93" w:rsidP="009A5B93">
      <w:pPr>
        <w:spacing w:after="0"/>
      </w:pPr>
      <w:r w:rsidRPr="00190C3A">
        <w:t>Saunders, M., Lewis, P. and Thornhill, A. (2019)</w:t>
      </w:r>
      <w:r>
        <w:t>.</w:t>
      </w:r>
      <w:r w:rsidRPr="00190C3A">
        <w:t xml:space="preserve"> </w:t>
      </w:r>
      <w:r w:rsidRPr="00190C3A">
        <w:rPr>
          <w:i/>
          <w:iCs/>
        </w:rPr>
        <w:t>Research methods for business students</w:t>
      </w:r>
      <w:r w:rsidRPr="00190C3A">
        <w:t xml:space="preserve">. 8th </w:t>
      </w:r>
      <w:proofErr w:type="spellStart"/>
      <w:r w:rsidRPr="00190C3A">
        <w:t>edn</w:t>
      </w:r>
      <w:proofErr w:type="spellEnd"/>
      <w:r w:rsidRPr="00190C3A">
        <w:t>. Harlow: Pearson.</w:t>
      </w:r>
      <w:r>
        <w:t xml:space="preserve"> Available at: </w:t>
      </w:r>
      <w:hyperlink r:id="rId42" w:history="1">
        <w:r w:rsidRPr="006019BC">
          <w:rPr>
            <w:rStyle w:val="Hyperlink"/>
          </w:rPr>
          <w:t>RESEARCH METHODS FOR BUSINESS STUDENTS,8e</w:t>
        </w:r>
      </w:hyperlink>
      <w:r>
        <w:t xml:space="preserve"> (Accessed: 21 April 2026). </w:t>
      </w:r>
    </w:p>
    <w:p w14:paraId="6B02B7CA" w14:textId="77777777" w:rsidR="009A5B93" w:rsidRDefault="009A5B93" w:rsidP="009A5B93">
      <w:pPr>
        <w:spacing w:after="0"/>
      </w:pPr>
    </w:p>
    <w:p w14:paraId="6251C022" w14:textId="77777777" w:rsidR="009A5B93" w:rsidRDefault="009A5B93" w:rsidP="009A5B93">
      <w:pPr>
        <w:spacing w:after="0"/>
      </w:pPr>
      <w:r w:rsidRPr="00BD6EA3">
        <w:t xml:space="preserve">Silverman, D. (2024). </w:t>
      </w:r>
      <w:r w:rsidRPr="00BD6EA3">
        <w:rPr>
          <w:i/>
          <w:iCs/>
        </w:rPr>
        <w:t>Interpreting Qualitative Data</w:t>
      </w:r>
      <w:r w:rsidRPr="00BD6EA3">
        <w:t xml:space="preserve">. Available at: </w:t>
      </w:r>
      <w:hyperlink r:id="rId43" w:anchor="v=onepage&amp;q&amp;f=false" w:history="1">
        <w:r w:rsidRPr="00BD6EA3">
          <w:rPr>
            <w:rStyle w:val="Hyperlink"/>
          </w:rPr>
          <w:t>Interpreting Qualitative Data - David Silverman - Google Books</w:t>
        </w:r>
      </w:hyperlink>
      <w:r>
        <w:rPr>
          <w:color w:val="FF0000"/>
        </w:rPr>
        <w:t xml:space="preserve"> </w:t>
      </w:r>
      <w:r w:rsidRPr="00BD6EA3">
        <w:t xml:space="preserve">(Accessed: 21 April 2026). </w:t>
      </w:r>
    </w:p>
    <w:p w14:paraId="7544CD03" w14:textId="77777777" w:rsidR="009A5B93" w:rsidRDefault="009A5B93" w:rsidP="009A5B93">
      <w:pPr>
        <w:spacing w:after="0"/>
      </w:pPr>
    </w:p>
    <w:p w14:paraId="6B79E52C" w14:textId="77777777" w:rsidR="009A5B93" w:rsidRDefault="009A5B93" w:rsidP="009A5B93">
      <w:pPr>
        <w:spacing w:after="0"/>
      </w:pPr>
      <w:r w:rsidRPr="00F63890">
        <w:t xml:space="preserve">Simpson, P.L. et al. (2025) ‘Ethical issues in conducting health research with people in prison’, </w:t>
      </w:r>
      <w:r w:rsidRPr="00F63890">
        <w:rPr>
          <w:i/>
          <w:iCs/>
        </w:rPr>
        <w:t>Social Science &amp; Medicine</w:t>
      </w:r>
      <w:r>
        <w:rPr>
          <w:i/>
          <w:iCs/>
        </w:rPr>
        <w:t xml:space="preserve">. </w:t>
      </w:r>
      <w:r>
        <w:t xml:space="preserve">Available at: </w:t>
      </w:r>
      <w:hyperlink r:id="rId44" w:history="1">
        <w:r w:rsidRPr="00317353">
          <w:rPr>
            <w:rStyle w:val="Hyperlink"/>
          </w:rPr>
          <w:t>Ethical issues in conducting health research with people in prison: Results of a deliberative research project conducted with people in Australian prisons - ScienceDirect</w:t>
        </w:r>
      </w:hyperlink>
      <w:r>
        <w:t xml:space="preserve"> (Accessed: 22 April 2026). </w:t>
      </w:r>
    </w:p>
    <w:p w14:paraId="3E59B734" w14:textId="77777777" w:rsidR="009A5B93" w:rsidRDefault="009A5B93" w:rsidP="009A5B93">
      <w:pPr>
        <w:spacing w:after="0"/>
      </w:pPr>
    </w:p>
    <w:p w14:paraId="12D6273A" w14:textId="77777777" w:rsidR="009A5B93" w:rsidRDefault="009A5B93" w:rsidP="009A5B93">
      <w:pPr>
        <w:spacing w:after="0"/>
      </w:pPr>
      <w:r w:rsidRPr="008E08BF">
        <w:t>Tracy, S.J. (2020)</w:t>
      </w:r>
      <w:r>
        <w:t>.</w:t>
      </w:r>
      <w:r w:rsidRPr="008E08BF">
        <w:t xml:space="preserve"> </w:t>
      </w:r>
      <w:r w:rsidRPr="008E08BF">
        <w:rPr>
          <w:i/>
          <w:iCs/>
        </w:rPr>
        <w:t>Qualitative research methods: Collecting evidence, crafting analysis, communicating impact</w:t>
      </w:r>
      <w:r w:rsidRPr="008E08BF">
        <w:t xml:space="preserve">. 2nd </w:t>
      </w:r>
      <w:proofErr w:type="spellStart"/>
      <w:r w:rsidRPr="008E08BF">
        <w:t>edn</w:t>
      </w:r>
      <w:proofErr w:type="spellEnd"/>
      <w:r w:rsidRPr="008E08BF">
        <w:t>. Hoboken: Wiley.</w:t>
      </w:r>
      <w:r>
        <w:t xml:space="preserve"> Available at: </w:t>
      </w:r>
      <w:hyperlink r:id="rId45" w:anchor="v=onepage&amp;q&amp;f=false" w:history="1">
        <w:r w:rsidRPr="00E9348F">
          <w:rPr>
            <w:rStyle w:val="Hyperlink"/>
          </w:rPr>
          <w:t>Qualitative Research Methods: Collecting Evidence, Crafting Analysis ... - Sarah J. Tracy - Google Books</w:t>
        </w:r>
      </w:hyperlink>
      <w:r>
        <w:t xml:space="preserve"> (Accessed: 25 April 2026).</w:t>
      </w:r>
    </w:p>
    <w:p w14:paraId="3CAB8DAC" w14:textId="77777777" w:rsidR="009A5B93" w:rsidRDefault="009A5B93" w:rsidP="009A5B93">
      <w:pPr>
        <w:spacing w:after="0"/>
      </w:pPr>
    </w:p>
    <w:p w14:paraId="1C66E2C4" w14:textId="77777777" w:rsidR="009A5B93" w:rsidRPr="000B6741" w:rsidRDefault="009A5B93" w:rsidP="009A5B93">
      <w:pPr>
        <w:spacing w:after="0"/>
      </w:pPr>
      <w:r w:rsidRPr="000B6741">
        <w:t>Welsh Government (2024)</w:t>
      </w:r>
      <w:r>
        <w:t>.</w:t>
      </w:r>
      <w:r w:rsidRPr="000B6741">
        <w:t xml:space="preserve"> </w:t>
      </w:r>
      <w:r w:rsidRPr="000B6741">
        <w:rPr>
          <w:i/>
          <w:iCs/>
        </w:rPr>
        <w:t>Better learning, better chances: prison learning and skills provision</w:t>
      </w:r>
      <w:r w:rsidRPr="000B6741">
        <w:t>. Available at:</w:t>
      </w:r>
      <w:r>
        <w:t xml:space="preserve"> </w:t>
      </w:r>
      <w:hyperlink r:id="rId46" w:history="1">
        <w:r w:rsidRPr="000E27EA">
          <w:rPr>
            <w:rStyle w:val="Hyperlink"/>
          </w:rPr>
          <w:t>Better Learning, Better Chances: prison learning and skills provision [HTML] | GOV.WALES</w:t>
        </w:r>
      </w:hyperlink>
      <w:r>
        <w:t xml:space="preserve"> (Accessed: 20 April 2026).</w:t>
      </w:r>
    </w:p>
    <w:p w14:paraId="6DE31669" w14:textId="77777777" w:rsidR="009A5B93" w:rsidRPr="00FB6025" w:rsidRDefault="009A5B93" w:rsidP="0058098C"/>
    <w:sectPr w:rsidR="009A5B93" w:rsidRPr="00FB6025">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F327E" w14:textId="77777777" w:rsidR="00A12816" w:rsidRDefault="00A12816" w:rsidP="00D47019">
      <w:pPr>
        <w:spacing w:after="0" w:line="240" w:lineRule="auto"/>
      </w:pPr>
      <w:r>
        <w:separator/>
      </w:r>
    </w:p>
  </w:endnote>
  <w:endnote w:type="continuationSeparator" w:id="0">
    <w:p w14:paraId="3C0A35BC" w14:textId="77777777" w:rsidR="00A12816" w:rsidRDefault="00A12816" w:rsidP="00D47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2000120"/>
      <w:docPartObj>
        <w:docPartGallery w:val="Page Numbers (Bottom of Page)"/>
        <w:docPartUnique/>
      </w:docPartObj>
    </w:sdtPr>
    <w:sdtEndPr>
      <w:rPr>
        <w:noProof/>
      </w:rPr>
    </w:sdtEndPr>
    <w:sdtContent>
      <w:p w14:paraId="4DBB842A" w14:textId="0B93A0FF" w:rsidR="00D47019" w:rsidRDefault="00D470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45AD7C" w14:textId="77777777" w:rsidR="00D47019" w:rsidRDefault="00D47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E7C82" w14:textId="77777777" w:rsidR="00A12816" w:rsidRDefault="00A12816" w:rsidP="00D47019">
      <w:pPr>
        <w:spacing w:after="0" w:line="240" w:lineRule="auto"/>
      </w:pPr>
      <w:r>
        <w:separator/>
      </w:r>
    </w:p>
  </w:footnote>
  <w:footnote w:type="continuationSeparator" w:id="0">
    <w:p w14:paraId="595E3250" w14:textId="77777777" w:rsidR="00A12816" w:rsidRDefault="00A12816" w:rsidP="00D47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55D85"/>
    <w:multiLevelType w:val="hybridMultilevel"/>
    <w:tmpl w:val="AA16B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475B59"/>
    <w:multiLevelType w:val="hybridMultilevel"/>
    <w:tmpl w:val="F940D9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7A457AE"/>
    <w:multiLevelType w:val="hybridMultilevel"/>
    <w:tmpl w:val="E702D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288606">
    <w:abstractNumId w:val="1"/>
  </w:num>
  <w:num w:numId="2" w16cid:durableId="940994195">
    <w:abstractNumId w:val="0"/>
  </w:num>
  <w:num w:numId="3" w16cid:durableId="9335145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854"/>
    <w:rsid w:val="000D2555"/>
    <w:rsid w:val="001753DC"/>
    <w:rsid w:val="001D4F9E"/>
    <w:rsid w:val="001E47FC"/>
    <w:rsid w:val="00355B5E"/>
    <w:rsid w:val="003638E7"/>
    <w:rsid w:val="0058098C"/>
    <w:rsid w:val="00704FC0"/>
    <w:rsid w:val="007059BB"/>
    <w:rsid w:val="007242D8"/>
    <w:rsid w:val="0088456C"/>
    <w:rsid w:val="009A59F7"/>
    <w:rsid w:val="009A5B93"/>
    <w:rsid w:val="00A12816"/>
    <w:rsid w:val="00A35028"/>
    <w:rsid w:val="00A734CB"/>
    <w:rsid w:val="00C0031A"/>
    <w:rsid w:val="00C1779D"/>
    <w:rsid w:val="00C21CFB"/>
    <w:rsid w:val="00D47019"/>
    <w:rsid w:val="00EC085E"/>
    <w:rsid w:val="00ED1854"/>
    <w:rsid w:val="00FB19A6"/>
    <w:rsid w:val="00FB60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8BB688"/>
  <w15:chartTrackingRefBased/>
  <w15:docId w15:val="{459867D3-305A-4600-91C4-1A9C12A48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8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8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8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8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8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8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8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8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8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8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8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8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8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8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8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8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8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854"/>
    <w:rPr>
      <w:rFonts w:eastAsiaTheme="majorEastAsia" w:cstheme="majorBidi"/>
      <w:color w:val="272727" w:themeColor="text1" w:themeTint="D8"/>
    </w:rPr>
  </w:style>
  <w:style w:type="paragraph" w:styleId="Title">
    <w:name w:val="Title"/>
    <w:basedOn w:val="Normal"/>
    <w:next w:val="Normal"/>
    <w:link w:val="TitleChar"/>
    <w:uiPriority w:val="10"/>
    <w:qFormat/>
    <w:rsid w:val="00ED18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8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8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8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854"/>
    <w:pPr>
      <w:spacing w:before="160"/>
      <w:jc w:val="center"/>
    </w:pPr>
    <w:rPr>
      <w:i/>
      <w:iCs/>
      <w:color w:val="404040" w:themeColor="text1" w:themeTint="BF"/>
    </w:rPr>
  </w:style>
  <w:style w:type="character" w:customStyle="1" w:styleId="QuoteChar">
    <w:name w:val="Quote Char"/>
    <w:basedOn w:val="DefaultParagraphFont"/>
    <w:link w:val="Quote"/>
    <w:uiPriority w:val="29"/>
    <w:rsid w:val="00ED1854"/>
    <w:rPr>
      <w:i/>
      <w:iCs/>
      <w:color w:val="404040" w:themeColor="text1" w:themeTint="BF"/>
    </w:rPr>
  </w:style>
  <w:style w:type="paragraph" w:styleId="ListParagraph">
    <w:name w:val="List Paragraph"/>
    <w:basedOn w:val="Normal"/>
    <w:uiPriority w:val="34"/>
    <w:qFormat/>
    <w:rsid w:val="00ED1854"/>
    <w:pPr>
      <w:ind w:left="720"/>
      <w:contextualSpacing/>
    </w:pPr>
  </w:style>
  <w:style w:type="character" w:styleId="IntenseEmphasis">
    <w:name w:val="Intense Emphasis"/>
    <w:basedOn w:val="DefaultParagraphFont"/>
    <w:uiPriority w:val="21"/>
    <w:qFormat/>
    <w:rsid w:val="00ED1854"/>
    <w:rPr>
      <w:i/>
      <w:iCs/>
      <w:color w:val="0F4761" w:themeColor="accent1" w:themeShade="BF"/>
    </w:rPr>
  </w:style>
  <w:style w:type="paragraph" w:styleId="IntenseQuote">
    <w:name w:val="Intense Quote"/>
    <w:basedOn w:val="Normal"/>
    <w:next w:val="Normal"/>
    <w:link w:val="IntenseQuoteChar"/>
    <w:uiPriority w:val="30"/>
    <w:qFormat/>
    <w:rsid w:val="00ED18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854"/>
    <w:rPr>
      <w:i/>
      <w:iCs/>
      <w:color w:val="0F4761" w:themeColor="accent1" w:themeShade="BF"/>
    </w:rPr>
  </w:style>
  <w:style w:type="character" w:styleId="IntenseReference">
    <w:name w:val="Intense Reference"/>
    <w:basedOn w:val="DefaultParagraphFont"/>
    <w:uiPriority w:val="32"/>
    <w:qFormat/>
    <w:rsid w:val="00ED1854"/>
    <w:rPr>
      <w:b/>
      <w:bCs/>
      <w:smallCaps/>
      <w:color w:val="0F4761" w:themeColor="accent1" w:themeShade="BF"/>
      <w:spacing w:val="5"/>
    </w:rPr>
  </w:style>
  <w:style w:type="character" w:styleId="Hyperlink">
    <w:name w:val="Hyperlink"/>
    <w:basedOn w:val="DefaultParagraphFont"/>
    <w:uiPriority w:val="99"/>
    <w:unhideWhenUsed/>
    <w:rsid w:val="00ED1854"/>
    <w:rPr>
      <w:color w:val="467886" w:themeColor="hyperlink"/>
      <w:u w:val="single"/>
    </w:rPr>
  </w:style>
  <w:style w:type="character" w:styleId="Emphasis">
    <w:name w:val="Emphasis"/>
    <w:basedOn w:val="DefaultParagraphFont"/>
    <w:uiPriority w:val="20"/>
    <w:qFormat/>
    <w:rsid w:val="00ED1854"/>
    <w:rPr>
      <w:i/>
      <w:iCs/>
    </w:rPr>
  </w:style>
  <w:style w:type="character" w:styleId="FollowedHyperlink">
    <w:name w:val="FollowedHyperlink"/>
    <w:basedOn w:val="DefaultParagraphFont"/>
    <w:uiPriority w:val="99"/>
    <w:semiHidden/>
    <w:unhideWhenUsed/>
    <w:rsid w:val="00ED1854"/>
    <w:rPr>
      <w:color w:val="96607D" w:themeColor="followedHyperlink"/>
      <w:u w:val="single"/>
    </w:rPr>
  </w:style>
  <w:style w:type="paragraph" w:styleId="Header">
    <w:name w:val="header"/>
    <w:basedOn w:val="Normal"/>
    <w:link w:val="HeaderChar"/>
    <w:uiPriority w:val="99"/>
    <w:unhideWhenUsed/>
    <w:rsid w:val="00D47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019"/>
  </w:style>
  <w:style w:type="paragraph" w:styleId="Footer">
    <w:name w:val="footer"/>
    <w:basedOn w:val="Normal"/>
    <w:link w:val="FooterChar"/>
    <w:uiPriority w:val="99"/>
    <w:unhideWhenUsed/>
    <w:rsid w:val="00D47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019"/>
  </w:style>
  <w:style w:type="paragraph" w:styleId="NormalWeb">
    <w:name w:val="Normal (Web)"/>
    <w:basedOn w:val="Normal"/>
    <w:uiPriority w:val="99"/>
    <w:semiHidden/>
    <w:unhideWhenUsed/>
    <w:rsid w:val="00C1779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2601370.2025.2465740" TargetMode="External"/><Relationship Id="rId18" Type="http://schemas.openxmlformats.org/officeDocument/2006/relationships/hyperlink" Target="https://www.scirp.org/reference/referencespapers?referenceid=4113578" TargetMode="External"/><Relationship Id="rId26" Type="http://schemas.openxmlformats.org/officeDocument/2006/relationships/hyperlink" Target="https://doi.org/10.1111/1467-9604.70014" TargetMode="External"/><Relationship Id="rId39" Type="http://schemas.openxmlformats.org/officeDocument/2006/relationships/hyperlink" Target="https://api.pageplace.de/preview/DT0400.9781847876676_A24197335/preview-9781847876676_A24197335.pdf" TargetMode="External"/><Relationship Id="rId21" Type="http://schemas.openxmlformats.org/officeDocument/2006/relationships/hyperlink" Target="https://doi.org/10.4324/9781315456539" TargetMode="External"/><Relationship Id="rId34" Type="http://schemas.openxmlformats.org/officeDocument/2006/relationships/hyperlink" Target="https://doi.org/10.1111/j.1469-5812.2010.00720.x" TargetMode="External"/><Relationship Id="rId42" Type="http://schemas.openxmlformats.org/officeDocument/2006/relationships/hyperlink" Target="https://api.pageplace.de/preview/DT0400.9781292208794_A37749226/preview-9781292208794_A37749226.pdf"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26895269.2022.2129597" TargetMode="External"/><Relationship Id="rId29" Type="http://schemas.openxmlformats.org/officeDocument/2006/relationships/hyperlink" Target="https://doi.org/10.1186/s40900-021-00303-z" TargetMode="External"/><Relationship Id="rId11" Type="http://schemas.openxmlformats.org/officeDocument/2006/relationships/hyperlink" Target="https://doi.org/10.1080/14780887.2022.2107967" TargetMode="External"/><Relationship Id="rId24" Type="http://schemas.openxmlformats.org/officeDocument/2006/relationships/hyperlink" Target="https://www.scribd.com/document/993677732/Creswell-2018-Book-Qualitative-Inquiry-and-Research-Design-Choosing-Among-Five-Approaches" TargetMode="External"/><Relationship Id="rId32" Type="http://schemas.openxmlformats.org/officeDocument/2006/relationships/hyperlink" Target="https://doi.org/10.1177/1077800413515828" TargetMode="External"/><Relationship Id="rId37" Type="http://schemas.openxmlformats.org/officeDocument/2006/relationships/hyperlink" Target="https://doi.org/10.1177/1609406917733847" TargetMode="External"/><Relationship Id="rId40" Type="http://schemas.openxmlformats.org/officeDocument/2006/relationships/hyperlink" Target="https://committees.parliament.uk/writtenevidence/19739/pdf/" TargetMode="External"/><Relationship Id="rId45" Type="http://schemas.openxmlformats.org/officeDocument/2006/relationships/hyperlink" Target="https://books.google.co.uk/books?id=wgyN0AEACAAJ&amp;printsec=frontcover&amp;source=gbs_ge_summary_r&amp;cad=0" TargetMode="External"/><Relationship Id="rId5" Type="http://schemas.openxmlformats.org/officeDocument/2006/relationships/footnotes" Target="footnotes.xml"/><Relationship Id="rId15" Type="http://schemas.openxmlformats.org/officeDocument/2006/relationships/hyperlink" Target="https://doi.org/10.1080/2159676X.2019.1628806" TargetMode="External"/><Relationship Id="rId23" Type="http://schemas.openxmlformats.org/officeDocument/2006/relationships/hyperlink" Target="https://doi.org/10.4135/9781529622737" TargetMode="External"/><Relationship Id="rId28" Type="http://schemas.openxmlformats.org/officeDocument/2006/relationships/hyperlink" Target="https://media.tghn.org/medialibrary/2025/11/Guidance_for_Conducting_Ethical_Health_Research_in_Prisons_-_September_2025.pdf" TargetMode="External"/><Relationship Id="rId36" Type="http://schemas.openxmlformats.org/officeDocument/2006/relationships/hyperlink" Target="https://www.gov.uk/government/statistics/prison-education-and-accredited-programme-statistics-2023-to-2024/prison-education-and-accredited-programme-statistics-2023-to-2024" TargetMode="External"/><Relationship Id="rId49" Type="http://schemas.openxmlformats.org/officeDocument/2006/relationships/theme" Target="theme/theme1.xml"/><Relationship Id="rId10" Type="http://schemas.openxmlformats.org/officeDocument/2006/relationships/hyperlink" Target="https://doi.org/10.1177/1609406918803824" TargetMode="External"/><Relationship Id="rId19" Type="http://schemas.openxmlformats.org/officeDocument/2006/relationships/hyperlink" Target="https://doi.org/10.1080/17439760.2016.1262613" TargetMode="External"/><Relationship Id="rId31" Type="http://schemas.openxmlformats.org/officeDocument/2006/relationships/hyperlink" Target="https://committees.parliament.uk/publications/28707/documents/173902/default/" TargetMode="External"/><Relationship Id="rId44" Type="http://schemas.openxmlformats.org/officeDocument/2006/relationships/hyperlink" Target="https://www.sciencedirect.com/science/article/pii/S0277953625000802" TargetMode="External"/><Relationship Id="rId4" Type="http://schemas.openxmlformats.org/officeDocument/2006/relationships/webSettings" Target="webSettings.xml"/><Relationship Id="rId9" Type="http://schemas.openxmlformats.org/officeDocument/2006/relationships/hyperlink" Target="https://scispace.com/chat/dfbec588-6fa6-4bd0-8379-32b9f473490b" TargetMode="External"/><Relationship Id="rId14" Type="http://schemas.openxmlformats.org/officeDocument/2006/relationships/hyperlink" Target="https://rediie.cl/wp-content/uploads/Document-analysis.pdf" TargetMode="External"/><Relationship Id="rId22" Type="http://schemas.openxmlformats.org/officeDocument/2006/relationships/hyperlink" Target="https://www.scirp.org/journal/paperinformation?paperid=98888" TargetMode="External"/><Relationship Id="rId27" Type="http://schemas.openxmlformats.org/officeDocument/2006/relationships/hyperlink" Target="https://antle.iat.sfu.ca/wp-content/uploads/Guest_2012_AppliedThematicAnlaysis_Ch1.pdf" TargetMode="External"/><Relationship Id="rId30" Type="http://schemas.openxmlformats.org/officeDocument/2006/relationships/hyperlink" Target="https://hmiprisons.justiceinspectorates.gov.uk/ethical-principles-for-research/" TargetMode="External"/><Relationship Id="rId35" Type="http://schemas.openxmlformats.org/officeDocument/2006/relationships/hyperlink" Target="https://assets.publishing.service.gov.uk/media/5a7c099ee5274a13acca2f11/staff-prisoner-relations-whitemoor.pdf" TargetMode="External"/><Relationship Id="rId43" Type="http://schemas.openxmlformats.org/officeDocument/2006/relationships/hyperlink" Target="https://books.google.co.uk/books?hl=en&amp;lr=&amp;id=tOjNEAAAQBAJ&amp;oi=fnd&amp;pg=PP1&amp;ots=x3M7FAOQws&amp;sig=-iJsJPRrTohuuTWAK-5xwplrj-U" TargetMode="External"/><Relationship Id="rId48" Type="http://schemas.openxmlformats.org/officeDocument/2006/relationships/fontTable" Target="fontTable.xml"/><Relationship Id="rId8" Type="http://schemas.openxmlformats.org/officeDocument/2006/relationships/hyperlink" Target="https://scispace.com/chat/dfbec588-6fa6-4bd0-8379-32b9f473490b" TargetMode="External"/><Relationship Id="rId3" Type="http://schemas.openxmlformats.org/officeDocument/2006/relationships/settings" Target="settings.xml"/><Relationship Id="rId12" Type="http://schemas.openxmlformats.org/officeDocument/2006/relationships/hyperlink" Target="https://www.researchgate.net/profile/Just-Learning-Together/publication/304252348_Educational_Partnerships_Between_Universities_and_Prisons_How_Learning_Together_can_be_Individually_Socially_and_Institutionally_Transformative/links/576ab97608ae5b9a62b3a1d5/Educational-Partnerships-Between-Universities-and-Prisons-How-Learning-Together-can-be-Individually-Socially-and-Institutionally-Transformative.pdf" TargetMode="External"/><Relationship Id="rId17" Type="http://schemas.openxmlformats.org/officeDocument/2006/relationships/hyperlink" Target="https://ktpu.kpi.ua/wp-content/uploads/2014/02/social-research-methods-alan-bryman.pdf" TargetMode="External"/><Relationship Id="rId25" Type="http://schemas.openxmlformats.org/officeDocument/2006/relationships/hyperlink" Target="https://www.foodmatters.org/wp-content/uploads/2024/01/Food-Matters-in-Prisons-executive-summary-FINAL-January-24.pdf" TargetMode="External"/><Relationship Id="rId33" Type="http://schemas.openxmlformats.org/officeDocument/2006/relationships/hyperlink" Target="https://doi.org/10.4324/9781315797779" TargetMode="External"/><Relationship Id="rId38" Type="http://schemas.openxmlformats.org/officeDocument/2006/relationships/hyperlink" Target="https://www.univ-setif2.dz/images/ecr-sc/The_essential_guide_to_doing_research.pdf" TargetMode="External"/><Relationship Id="rId46" Type="http://schemas.openxmlformats.org/officeDocument/2006/relationships/hyperlink" Target="https://www.gov.wales/better-learning-better-chances-prison-learning-and-skills-provision-html" TargetMode="External"/><Relationship Id="rId20" Type="http://schemas.openxmlformats.org/officeDocument/2006/relationships/hyperlink" Target="https://doi.org/10.4324/9781003002833-1" TargetMode="External"/><Relationship Id="rId41" Type="http://schemas.openxmlformats.org/officeDocument/2006/relationships/hyperlink" Target="https://prisonerseducation.org.uk/wp-content/uploads/2024/09/Getting-prison-education-right-September-2024.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5963</Words>
  <Characters>33995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Smith</dc:creator>
  <cp:keywords/>
  <dc:description/>
  <cp:lastModifiedBy>Jemma Smith</cp:lastModifiedBy>
  <cp:revision>15</cp:revision>
  <dcterms:created xsi:type="dcterms:W3CDTF">2026-04-01T16:29:00Z</dcterms:created>
  <dcterms:modified xsi:type="dcterms:W3CDTF">2026-04-29T18:05:00Z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33fc9131-3de8-4220-b731-39d2a3f9be1b</vt:lpwstr>
  </property>
</Properties>
</file>