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keepNext w:val="true"/>
        <w:keepLines w:val="true"/>
        <w:spacing w:before="240" w:after="0" w:line="259"/>
        <w:ind w:right="0" w:left="0" w:firstLine="0"/>
        <w:jc w:val="center"/>
        <w:rPr>
          <w:rFonts w:ascii="Calibri" w:hAnsi="Calibri" w:cs="Calibri" w:eastAsia="Calibri"/>
          <w:b/>
          <w:color w:val="000000"/>
          <w:spacing w:val="0"/>
          <w:position w:val="0"/>
          <w:sz w:val="40"/>
          <w:shd w:fill="auto" w:val="clear"/>
        </w:rPr>
      </w:pPr>
      <w:r>
        <w:rPr>
          <w:rFonts w:ascii="Calibri" w:hAnsi="Calibri" w:cs="Calibri" w:eastAsia="Calibri"/>
          <w:b/>
          <w:color w:val="000000"/>
          <w:spacing w:val="0"/>
          <w:position w:val="0"/>
          <w:sz w:val="36"/>
          <w:shd w:fill="auto" w:val="clear"/>
        </w:rPr>
        <w:t xml:space="preserve">Kaloyan Belchev (2127997)</w:t>
        <w:br/>
        <w:br/>
      </w:r>
      <w:r>
        <w:rPr>
          <w:rFonts w:ascii="Calibri" w:hAnsi="Calibri" w:cs="Calibri" w:eastAsia="Calibri"/>
          <w:b/>
          <w:color w:val="000000"/>
          <w:spacing w:val="0"/>
          <w:position w:val="0"/>
          <w:sz w:val="32"/>
          <w:shd w:fill="auto" w:val="clear"/>
        </w:rPr>
        <w:t xml:space="preserve">Accounting Fundamentals</w:t>
        <w:br/>
        <w:t xml:space="preserve">LCBB4001  </w:t>
        <w:br/>
      </w:r>
      <w:r>
        <w:rPr>
          <w:rFonts w:ascii="Calibri" w:hAnsi="Calibri" w:cs="Calibri" w:eastAsia="Calibri"/>
          <w:b/>
          <w:color w:val="000000"/>
          <w:spacing w:val="0"/>
          <w:position w:val="0"/>
          <w:sz w:val="40"/>
          <w:shd w:fill="auto" w:val="clear"/>
        </w:rPr>
        <w:br/>
        <w:t xml:space="preserve">Question 1:</w:t>
        <w:br/>
      </w:r>
    </w:p>
    <w:p>
      <w:pPr>
        <w:spacing w:before="0" w:after="160" w:line="259"/>
        <w:ind w:right="0" w:left="0" w:firstLine="0"/>
        <w:jc w:val="left"/>
        <w:rPr>
          <w:rFonts w:ascii="Calibri" w:hAnsi="Calibri" w:cs="Calibri" w:eastAsia="Calibri"/>
          <w:color w:val="000000"/>
          <w:spacing w:val="0"/>
          <w:position w:val="0"/>
          <w:sz w:val="22"/>
          <w:shd w:fill="auto" w:val="clear"/>
        </w:rPr>
      </w:pPr>
    </w:p>
    <w:p>
      <w:pPr>
        <w:spacing w:before="0" w:after="160" w:line="259"/>
        <w:ind w:right="0" w:left="0" w:firstLine="0"/>
        <w:jc w:val="left"/>
        <w:rPr>
          <w:rFonts w:ascii="Calibri" w:hAnsi="Calibri" w:cs="Calibri" w:eastAsia="Calibri"/>
          <w:b/>
          <w:color w:val="2F5496"/>
          <w:spacing w:val="0"/>
          <w:position w:val="0"/>
          <w:sz w:val="32"/>
          <w:shd w:fill="auto" w:val="clear"/>
        </w:rPr>
      </w:pPr>
      <w:r>
        <w:rPr>
          <w:rFonts w:ascii="Calibri" w:hAnsi="Calibri" w:cs="Calibri" w:eastAsia="Calibri"/>
          <w:b/>
          <w:color w:val="2F5496"/>
          <w:spacing w:val="0"/>
          <w:position w:val="0"/>
          <w:sz w:val="32"/>
          <w:shd w:fill="auto" w:val="clear"/>
        </w:rPr>
        <w:t xml:space="preserve">Section a:</w:t>
      </w:r>
    </w:p>
    <w:p>
      <w:pPr>
        <w:spacing w:before="0" w:after="160" w:line="259"/>
        <w:ind w:right="0" w:left="0" w:firstLine="0"/>
        <w:jc w:val="center"/>
        <w:rPr>
          <w:rFonts w:ascii="Calibri" w:hAnsi="Calibri" w:cs="Calibri" w:eastAsia="Calibri"/>
          <w:b/>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Income Statement for Wales plc Year Ended 31st December 2022</w:t>
      </w:r>
    </w:p>
    <w:tbl>
      <w:tblPr/>
      <w:tblGrid>
        <w:gridCol w:w="5174"/>
        <w:gridCol w:w="2126"/>
        <w:gridCol w:w="2050"/>
      </w:tblGrid>
      <w:tr>
        <w:trPr>
          <w:trHeight w:val="1" w:hRule="atLeast"/>
          <w:jc w:val="left"/>
        </w:trPr>
        <w:tc>
          <w:tcPr>
            <w:tcW w:w="5174"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Particulars</w:t>
            </w:r>
          </w:p>
        </w:tc>
        <w:tc>
          <w:tcPr>
            <w:tcW w:w="212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Amount (£)</w:t>
            </w:r>
          </w:p>
        </w:tc>
        <w:tc>
          <w:tcPr>
            <w:tcW w:w="2050"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Amount (£)</w:t>
            </w:r>
          </w:p>
        </w:tc>
      </w:tr>
      <w:tr>
        <w:trPr>
          <w:trHeight w:val="1" w:hRule="atLeast"/>
          <w:jc w:val="left"/>
        </w:trPr>
        <w:tc>
          <w:tcPr>
            <w:tcW w:w="5174"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Revenue</w:t>
            </w:r>
          </w:p>
        </w:tc>
        <w:tc>
          <w:tcPr>
            <w:tcW w:w="212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2050"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174"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Sale</w:t>
            </w:r>
          </w:p>
        </w:tc>
        <w:tc>
          <w:tcPr>
            <w:tcW w:w="212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800,000</w:t>
            </w:r>
          </w:p>
        </w:tc>
        <w:tc>
          <w:tcPr>
            <w:tcW w:w="2050"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174"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Sales yet not recorded</w:t>
            </w:r>
          </w:p>
        </w:tc>
        <w:tc>
          <w:tcPr>
            <w:tcW w:w="212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980</w:t>
            </w:r>
          </w:p>
        </w:tc>
        <w:tc>
          <w:tcPr>
            <w:tcW w:w="2050"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174"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Cost of sales</w:t>
            </w:r>
          </w:p>
        </w:tc>
        <w:tc>
          <w:tcPr>
            <w:tcW w:w="212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(578,650)</w:t>
            </w:r>
          </w:p>
        </w:tc>
        <w:tc>
          <w:tcPr>
            <w:tcW w:w="2050"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174"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b/>
                <w:color w:val="000000"/>
                <w:spacing w:val="0"/>
                <w:position w:val="0"/>
                <w:sz w:val="28"/>
                <w:shd w:fill="auto" w:val="clear"/>
              </w:rPr>
            </w:pPr>
          </w:p>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Gross Profit</w:t>
            </w:r>
          </w:p>
        </w:tc>
        <w:tc>
          <w:tcPr>
            <w:tcW w:w="212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2050"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b/>
                <w:color w:val="000000"/>
                <w:spacing w:val="0"/>
                <w:position w:val="0"/>
                <w:sz w:val="28"/>
                <w:shd w:fill="auto" w:val="clear"/>
              </w:rPr>
            </w:pPr>
          </w:p>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222,330</w:t>
            </w:r>
          </w:p>
        </w:tc>
      </w:tr>
      <w:tr>
        <w:trPr>
          <w:trHeight w:val="1" w:hRule="atLeast"/>
          <w:jc w:val="left"/>
        </w:trPr>
        <w:tc>
          <w:tcPr>
            <w:tcW w:w="5174"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Operating Expenses</w:t>
            </w:r>
          </w:p>
        </w:tc>
        <w:tc>
          <w:tcPr>
            <w:tcW w:w="212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2050"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174"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Administrative Expenses</w:t>
            </w:r>
          </w:p>
        </w:tc>
        <w:tc>
          <w:tcPr>
            <w:tcW w:w="212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(30,000)</w:t>
            </w:r>
          </w:p>
        </w:tc>
        <w:tc>
          <w:tcPr>
            <w:tcW w:w="2050"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174"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Director’s Remuneration</w:t>
            </w:r>
          </w:p>
        </w:tc>
        <w:tc>
          <w:tcPr>
            <w:tcW w:w="212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(5000)</w:t>
            </w:r>
          </w:p>
        </w:tc>
        <w:tc>
          <w:tcPr>
            <w:tcW w:w="2050"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174"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Sales Commission</w:t>
            </w:r>
          </w:p>
        </w:tc>
        <w:tc>
          <w:tcPr>
            <w:tcW w:w="212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(3000)</w:t>
            </w:r>
          </w:p>
        </w:tc>
        <w:tc>
          <w:tcPr>
            <w:tcW w:w="2050"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174"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Distribution Cost</w:t>
            </w:r>
          </w:p>
        </w:tc>
        <w:tc>
          <w:tcPr>
            <w:tcW w:w="212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(28000)</w:t>
            </w:r>
          </w:p>
        </w:tc>
        <w:tc>
          <w:tcPr>
            <w:tcW w:w="2050"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174"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Operating Profit</w:t>
            </w:r>
          </w:p>
        </w:tc>
        <w:tc>
          <w:tcPr>
            <w:tcW w:w="212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2050"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b/>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156,330</w:t>
            </w:r>
          </w:p>
          <w:p>
            <w:pPr>
              <w:spacing w:before="0" w:after="0" w:line="240"/>
              <w:ind w:right="0" w:left="0" w:firstLine="0"/>
              <w:jc w:val="center"/>
              <w:rPr>
                <w:rFonts w:ascii="Calibri" w:hAnsi="Calibri" w:cs="Calibri" w:eastAsia="Calibri"/>
                <w:spacing w:val="0"/>
                <w:position w:val="0"/>
                <w:shd w:fill="auto" w:val="clear"/>
              </w:rPr>
            </w:pPr>
          </w:p>
        </w:tc>
      </w:tr>
      <w:tr>
        <w:trPr>
          <w:trHeight w:val="1" w:hRule="atLeast"/>
          <w:jc w:val="left"/>
        </w:trPr>
        <w:tc>
          <w:tcPr>
            <w:tcW w:w="5174"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Finance costs</w:t>
            </w:r>
          </w:p>
        </w:tc>
        <w:tc>
          <w:tcPr>
            <w:tcW w:w="212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2050"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174"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Interest Paid</w:t>
            </w:r>
          </w:p>
        </w:tc>
        <w:tc>
          <w:tcPr>
            <w:tcW w:w="212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(2000)</w:t>
            </w:r>
          </w:p>
        </w:tc>
        <w:tc>
          <w:tcPr>
            <w:tcW w:w="2050"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174"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Profit Before Tax</w:t>
            </w:r>
          </w:p>
        </w:tc>
        <w:tc>
          <w:tcPr>
            <w:tcW w:w="212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2050"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b/>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154,330</w:t>
            </w:r>
          </w:p>
          <w:p>
            <w:pPr>
              <w:spacing w:before="0" w:after="0" w:line="240"/>
              <w:ind w:right="0" w:left="0" w:firstLine="0"/>
              <w:jc w:val="center"/>
              <w:rPr>
                <w:rFonts w:ascii="Calibri" w:hAnsi="Calibri" w:cs="Calibri" w:eastAsia="Calibri"/>
                <w:spacing w:val="0"/>
                <w:position w:val="0"/>
                <w:shd w:fill="auto" w:val="clear"/>
              </w:rPr>
            </w:pPr>
          </w:p>
        </w:tc>
      </w:tr>
      <w:tr>
        <w:trPr>
          <w:trHeight w:val="1" w:hRule="atLeast"/>
          <w:jc w:val="left"/>
        </w:trPr>
        <w:tc>
          <w:tcPr>
            <w:tcW w:w="5174"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Taxation</w:t>
            </w:r>
          </w:p>
        </w:tc>
        <w:tc>
          <w:tcPr>
            <w:tcW w:w="212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2050"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174"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Corporation Tax</w:t>
            </w:r>
          </w:p>
        </w:tc>
        <w:tc>
          <w:tcPr>
            <w:tcW w:w="212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(100,000)</w:t>
            </w:r>
          </w:p>
        </w:tc>
        <w:tc>
          <w:tcPr>
            <w:tcW w:w="2050"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174"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Net Profit of the year</w:t>
            </w:r>
          </w:p>
        </w:tc>
        <w:tc>
          <w:tcPr>
            <w:tcW w:w="212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2050"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b/>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54,330</w:t>
            </w:r>
          </w:p>
          <w:p>
            <w:pPr>
              <w:spacing w:before="0" w:after="0" w:line="240"/>
              <w:ind w:right="0" w:left="0" w:firstLine="0"/>
              <w:jc w:val="center"/>
              <w:rPr>
                <w:rFonts w:ascii="Calibri" w:hAnsi="Calibri" w:cs="Calibri" w:eastAsia="Calibri"/>
                <w:spacing w:val="0"/>
                <w:position w:val="0"/>
                <w:shd w:fill="auto" w:val="clear"/>
              </w:rPr>
            </w:pPr>
          </w:p>
        </w:tc>
      </w:tr>
      <w:tr>
        <w:trPr>
          <w:trHeight w:val="1" w:hRule="atLeast"/>
          <w:jc w:val="left"/>
        </w:trPr>
        <w:tc>
          <w:tcPr>
            <w:tcW w:w="5174"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Dividends</w:t>
            </w:r>
          </w:p>
        </w:tc>
        <w:tc>
          <w:tcPr>
            <w:tcW w:w="212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2050"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174"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Ordinary Dividend Paid</w:t>
            </w:r>
          </w:p>
        </w:tc>
        <w:tc>
          <w:tcPr>
            <w:tcW w:w="212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(20,000)</w:t>
            </w:r>
          </w:p>
        </w:tc>
        <w:tc>
          <w:tcPr>
            <w:tcW w:w="2050"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174"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Preference Dividend Paid</w:t>
            </w:r>
          </w:p>
        </w:tc>
        <w:tc>
          <w:tcPr>
            <w:tcW w:w="212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(30,000)</w:t>
            </w:r>
          </w:p>
        </w:tc>
        <w:tc>
          <w:tcPr>
            <w:tcW w:w="2050"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5174"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b/>
                <w:color w:val="000000"/>
                <w:spacing w:val="0"/>
                <w:position w:val="0"/>
                <w:sz w:val="28"/>
                <w:shd w:fill="auto" w:val="clear"/>
              </w:rPr>
            </w:pPr>
          </w:p>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Retained Profit for the year</w:t>
            </w:r>
          </w:p>
        </w:tc>
        <w:tc>
          <w:tcPr>
            <w:tcW w:w="212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2050"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b/>
                <w:color w:val="000000"/>
                <w:spacing w:val="0"/>
                <w:position w:val="0"/>
                <w:sz w:val="28"/>
                <w:shd w:fill="auto" w:val="clear"/>
              </w:rPr>
            </w:pPr>
          </w:p>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4,330</w:t>
            </w:r>
          </w:p>
        </w:tc>
      </w:tr>
    </w:tbl>
    <w:p>
      <w:pPr>
        <w:spacing w:before="0" w:after="160" w:line="360"/>
        <w:ind w:right="0" w:left="0" w:firstLine="0"/>
        <w:jc w:val="both"/>
        <w:rPr>
          <w:rFonts w:ascii="Arial" w:hAnsi="Arial" w:cs="Arial" w:eastAsia="Arial"/>
          <w:color w:val="000000"/>
          <w:spacing w:val="0"/>
          <w:position w:val="0"/>
          <w:sz w:val="24"/>
          <w:shd w:fill="auto" w:val="clear"/>
        </w:rPr>
      </w:pPr>
    </w:p>
    <w:p>
      <w:pPr>
        <w:spacing w:before="0" w:after="160" w:line="360"/>
        <w:ind w:right="0" w:left="0" w:firstLine="0"/>
        <w:jc w:val="both"/>
        <w:rPr>
          <w:rFonts w:ascii="Arial" w:hAnsi="Arial" w:cs="Arial" w:eastAsia="Arial"/>
          <w:color w:val="000000"/>
          <w:spacing w:val="0"/>
          <w:position w:val="0"/>
          <w:sz w:val="24"/>
          <w:shd w:fill="auto" w:val="clear"/>
        </w:rPr>
      </w:pP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Have added the Sales not recorded yet but sent to the customer in the December 2022 sales and less sales commission which is owed for the December sales is expense. Further upon reviewing the provided information, it appears that the estimated corporation tax of £100,000 has not been accounted for in the statement of financial position. Since the corporation tax is an obligation for the year ended 31st December 2022, it should be included as a liability in the statement of financial position.</w:t>
      </w:r>
    </w:p>
    <w:p>
      <w:pPr>
        <w:spacing w:before="0" w:after="160" w:line="259"/>
        <w:ind w:right="0" w:left="0" w:firstLine="0"/>
        <w:jc w:val="center"/>
        <w:rPr>
          <w:rFonts w:ascii="Calibri" w:hAnsi="Calibri" w:cs="Calibri" w:eastAsia="Calibri"/>
          <w:b/>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Statement of Financial Position for Wales Plc as at 31st December 2022</w:t>
      </w:r>
    </w:p>
    <w:tbl>
      <w:tblPr/>
      <w:tblGrid>
        <w:gridCol w:w="3219"/>
        <w:gridCol w:w="1452"/>
        <w:gridCol w:w="3143"/>
        <w:gridCol w:w="1536"/>
      </w:tblGrid>
      <w:tr>
        <w:trPr>
          <w:trHeight w:val="1" w:hRule="atLeast"/>
          <w:jc w:val="left"/>
        </w:trPr>
        <w:tc>
          <w:tcPr>
            <w:tcW w:w="3219"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b/>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Particulars</w:t>
            </w:r>
          </w:p>
          <w:p>
            <w:pPr>
              <w:spacing w:before="0" w:after="0" w:line="240"/>
              <w:ind w:right="0" w:left="0" w:firstLine="0"/>
              <w:jc w:val="center"/>
              <w:rPr>
                <w:rFonts w:ascii="Calibri" w:hAnsi="Calibri" w:cs="Calibri" w:eastAsia="Calibri"/>
                <w:spacing w:val="0"/>
                <w:position w:val="0"/>
                <w:shd w:fill="auto" w:val="clear"/>
              </w:rPr>
            </w:pPr>
          </w:p>
        </w:tc>
        <w:tc>
          <w:tcPr>
            <w:tcW w:w="1452"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Amount (£)</w:t>
            </w:r>
          </w:p>
        </w:tc>
        <w:tc>
          <w:tcPr>
            <w:tcW w:w="3143"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Particulars</w:t>
            </w:r>
          </w:p>
        </w:tc>
        <w:tc>
          <w:tcPr>
            <w:tcW w:w="153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Amount (£)</w:t>
            </w:r>
          </w:p>
        </w:tc>
      </w:tr>
      <w:tr>
        <w:trPr>
          <w:trHeight w:val="1" w:hRule="atLeast"/>
          <w:jc w:val="left"/>
        </w:trPr>
        <w:tc>
          <w:tcPr>
            <w:tcW w:w="3219"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Assets</w:t>
            </w:r>
          </w:p>
        </w:tc>
        <w:tc>
          <w:tcPr>
            <w:tcW w:w="1452"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3143"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Liabilities</w:t>
            </w:r>
          </w:p>
        </w:tc>
        <w:tc>
          <w:tcPr>
            <w:tcW w:w="153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3219"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Non-Current Assets</w:t>
            </w:r>
          </w:p>
        </w:tc>
        <w:tc>
          <w:tcPr>
            <w:tcW w:w="1452"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3143"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Non-Current Liabilities</w:t>
            </w:r>
          </w:p>
        </w:tc>
        <w:tc>
          <w:tcPr>
            <w:tcW w:w="153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3219"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Plant and Equipment</w:t>
            </w:r>
          </w:p>
          <w:p>
            <w:pPr>
              <w:spacing w:before="0" w:after="0" w:line="240"/>
              <w:ind w:right="0" w:left="0" w:firstLine="0"/>
              <w:jc w:val="center"/>
              <w:rPr>
                <w:rFonts w:ascii="Calibri" w:hAnsi="Calibri" w:cs="Calibri" w:eastAsia="Calibri"/>
                <w:spacing w:val="0"/>
                <w:position w:val="0"/>
                <w:shd w:fill="auto" w:val="clear"/>
              </w:rPr>
            </w:pPr>
          </w:p>
        </w:tc>
        <w:tc>
          <w:tcPr>
            <w:tcW w:w="1452"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1,250,000</w:t>
            </w:r>
          </w:p>
        </w:tc>
        <w:tc>
          <w:tcPr>
            <w:tcW w:w="3143"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2% Debentures</w:t>
            </w:r>
          </w:p>
        </w:tc>
        <w:tc>
          <w:tcPr>
            <w:tcW w:w="153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200,000</w:t>
            </w:r>
          </w:p>
        </w:tc>
      </w:tr>
      <w:tr>
        <w:trPr>
          <w:trHeight w:val="1" w:hRule="atLeast"/>
          <w:jc w:val="left"/>
        </w:trPr>
        <w:tc>
          <w:tcPr>
            <w:tcW w:w="3219"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Current Assets</w:t>
            </w:r>
          </w:p>
        </w:tc>
        <w:tc>
          <w:tcPr>
            <w:tcW w:w="1452"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3143"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Current Liabilities</w:t>
            </w:r>
          </w:p>
        </w:tc>
        <w:tc>
          <w:tcPr>
            <w:tcW w:w="153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3219"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Stock</w:t>
            </w:r>
          </w:p>
        </w:tc>
        <w:tc>
          <w:tcPr>
            <w:tcW w:w="1452"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510,850</w:t>
            </w:r>
          </w:p>
        </w:tc>
        <w:tc>
          <w:tcPr>
            <w:tcW w:w="3143"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Trade Payable</w:t>
            </w:r>
          </w:p>
          <w:p>
            <w:pPr>
              <w:spacing w:before="0" w:after="0" w:line="240"/>
              <w:ind w:right="0" w:left="0" w:firstLine="0"/>
              <w:jc w:val="center"/>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Salesman commission not recorded yet</w:t>
            </w:r>
          </w:p>
          <w:p>
            <w:pPr>
              <w:spacing w:before="0" w:after="0" w:line="240"/>
              <w:ind w:right="0" w:left="0" w:firstLine="0"/>
              <w:jc w:val="center"/>
              <w:rPr>
                <w:rFonts w:ascii="Calibri" w:hAnsi="Calibri" w:cs="Calibri" w:eastAsia="Calibri"/>
                <w:spacing w:val="0"/>
                <w:position w:val="0"/>
                <w:shd w:fill="auto" w:val="clear"/>
              </w:rPr>
            </w:pPr>
          </w:p>
        </w:tc>
        <w:tc>
          <w:tcPr>
            <w:tcW w:w="153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188,625</w:t>
            </w:r>
          </w:p>
          <w:p>
            <w:pPr>
              <w:spacing w:before="0" w:after="0" w:line="240"/>
              <w:ind w:right="0" w:left="0" w:firstLine="0"/>
              <w:jc w:val="center"/>
              <w:rPr>
                <w:rFonts w:ascii="Calibri" w:hAnsi="Calibri" w:cs="Calibri" w:eastAsia="Calibri"/>
                <w:color w:val="000000"/>
                <w:spacing w:val="0"/>
                <w:position w:val="0"/>
                <w:sz w:val="28"/>
                <w:shd w:fill="auto" w:val="clear"/>
              </w:rPr>
            </w:pPr>
          </w:p>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3000</w:t>
            </w:r>
          </w:p>
        </w:tc>
      </w:tr>
      <w:tr>
        <w:trPr>
          <w:trHeight w:val="1" w:hRule="atLeast"/>
          <w:jc w:val="left"/>
        </w:trPr>
        <w:tc>
          <w:tcPr>
            <w:tcW w:w="3219"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Trade Receivable</w:t>
            </w:r>
          </w:p>
          <w:p>
            <w:pPr>
              <w:spacing w:before="0" w:after="0" w:line="240"/>
              <w:ind w:right="0" w:left="0" w:firstLine="0"/>
              <w:jc w:val="center"/>
              <w:rPr>
                <w:rFonts w:ascii="Calibri" w:hAnsi="Calibri" w:cs="Calibri" w:eastAsia="Calibri"/>
                <w:spacing w:val="0"/>
                <w:position w:val="0"/>
                <w:shd w:fill="auto" w:val="clear"/>
              </w:rPr>
            </w:pPr>
          </w:p>
        </w:tc>
        <w:tc>
          <w:tcPr>
            <w:tcW w:w="1452"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171,105</w:t>
            </w:r>
          </w:p>
        </w:tc>
        <w:tc>
          <w:tcPr>
            <w:tcW w:w="3143"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Corporation Tax</w:t>
            </w:r>
          </w:p>
        </w:tc>
        <w:tc>
          <w:tcPr>
            <w:tcW w:w="153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100,000</w:t>
            </w:r>
          </w:p>
        </w:tc>
      </w:tr>
      <w:tr>
        <w:trPr>
          <w:trHeight w:val="1" w:hRule="atLeast"/>
          <w:jc w:val="left"/>
        </w:trPr>
        <w:tc>
          <w:tcPr>
            <w:tcW w:w="3219"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Cash and bank</w:t>
            </w:r>
          </w:p>
        </w:tc>
        <w:tc>
          <w:tcPr>
            <w:tcW w:w="1452"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96,000</w:t>
            </w:r>
          </w:p>
        </w:tc>
        <w:tc>
          <w:tcPr>
            <w:tcW w:w="3143"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Total Liabilities</w:t>
            </w:r>
          </w:p>
        </w:tc>
        <w:tc>
          <w:tcPr>
            <w:tcW w:w="153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491,625</w:t>
            </w:r>
          </w:p>
        </w:tc>
      </w:tr>
      <w:tr>
        <w:trPr>
          <w:trHeight w:val="1" w:hRule="atLeast"/>
          <w:jc w:val="left"/>
        </w:trPr>
        <w:tc>
          <w:tcPr>
            <w:tcW w:w="3219"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452"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3143"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153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3219"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452"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3143"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Equity</w:t>
            </w:r>
          </w:p>
        </w:tc>
        <w:tc>
          <w:tcPr>
            <w:tcW w:w="153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3219"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452"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3143"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£1 Ordinary Share</w:t>
            </w:r>
          </w:p>
        </w:tc>
        <w:tc>
          <w:tcPr>
            <w:tcW w:w="153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900,000</w:t>
            </w:r>
          </w:p>
        </w:tc>
      </w:tr>
      <w:tr>
        <w:trPr>
          <w:trHeight w:val="1" w:hRule="atLeast"/>
          <w:jc w:val="left"/>
        </w:trPr>
        <w:tc>
          <w:tcPr>
            <w:tcW w:w="3219"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452"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3143"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10% £1 Preference share</w:t>
            </w:r>
          </w:p>
        </w:tc>
        <w:tc>
          <w:tcPr>
            <w:tcW w:w="153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500,000</w:t>
            </w:r>
          </w:p>
        </w:tc>
      </w:tr>
      <w:tr>
        <w:trPr>
          <w:trHeight w:val="1" w:hRule="atLeast"/>
          <w:jc w:val="left"/>
        </w:trPr>
        <w:tc>
          <w:tcPr>
            <w:tcW w:w="3219"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452"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143"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Retained profits as at 1</w:t>
            </w:r>
            <w:r>
              <w:rPr>
                <w:rFonts w:ascii="Calibri" w:hAnsi="Calibri" w:cs="Calibri" w:eastAsia="Calibri"/>
                <w:color w:val="000000"/>
                <w:spacing w:val="0"/>
                <w:position w:val="0"/>
                <w:sz w:val="28"/>
                <w:shd w:fill="auto" w:val="clear"/>
                <w:vertAlign w:val="superscript"/>
              </w:rPr>
              <w:t xml:space="preserve">st</w:t>
            </w:r>
            <w:r>
              <w:rPr>
                <w:rFonts w:ascii="Calibri" w:hAnsi="Calibri" w:cs="Calibri" w:eastAsia="Calibri"/>
                <w:color w:val="000000"/>
                <w:spacing w:val="0"/>
                <w:position w:val="0"/>
                <w:sz w:val="28"/>
                <w:shd w:fill="auto" w:val="clear"/>
              </w:rPr>
              <w:t xml:space="preserve"> Jan 2022</w:t>
            </w:r>
          </w:p>
        </w:tc>
        <w:tc>
          <w:tcPr>
            <w:tcW w:w="153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132,000</w:t>
            </w:r>
          </w:p>
        </w:tc>
      </w:tr>
      <w:tr>
        <w:trPr>
          <w:trHeight w:val="1" w:hRule="atLeast"/>
          <w:jc w:val="left"/>
        </w:trPr>
        <w:tc>
          <w:tcPr>
            <w:tcW w:w="3219"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452"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143"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color w:val="000000"/>
                <w:spacing w:val="0"/>
                <w:position w:val="0"/>
                <w:sz w:val="28"/>
                <w:shd w:fill="auto" w:val="clear"/>
              </w:rPr>
            </w:pPr>
            <w:r>
              <w:rPr>
                <w:rFonts w:ascii="Calibri" w:hAnsi="Calibri" w:cs="Calibri" w:eastAsia="Calibri"/>
                <w:color w:val="000000"/>
                <w:spacing w:val="0"/>
                <w:position w:val="0"/>
                <w:sz w:val="28"/>
                <w:shd w:fill="auto" w:val="clear"/>
              </w:rPr>
              <w:t xml:space="preserve">Retained Profit for the year</w:t>
            </w:r>
          </w:p>
          <w:p>
            <w:pPr>
              <w:spacing w:before="0" w:after="0" w:line="240"/>
              <w:ind w:right="0" w:left="0" w:firstLine="0"/>
              <w:jc w:val="left"/>
              <w:rPr>
                <w:rFonts w:ascii="Calibri" w:hAnsi="Calibri" w:cs="Calibri" w:eastAsia="Calibri"/>
                <w:spacing w:val="0"/>
                <w:position w:val="0"/>
                <w:shd w:fill="auto" w:val="clear"/>
              </w:rPr>
            </w:pPr>
          </w:p>
        </w:tc>
        <w:tc>
          <w:tcPr>
            <w:tcW w:w="153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color w:val="000000"/>
                <w:spacing w:val="0"/>
                <w:position w:val="0"/>
                <w:sz w:val="28"/>
                <w:shd w:fill="auto" w:val="clear"/>
              </w:rPr>
              <w:t xml:space="preserve">4,330</w:t>
            </w:r>
          </w:p>
        </w:tc>
      </w:tr>
      <w:tr>
        <w:trPr>
          <w:trHeight w:val="1" w:hRule="atLeast"/>
          <w:jc w:val="left"/>
        </w:trPr>
        <w:tc>
          <w:tcPr>
            <w:tcW w:w="3219"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452"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143"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Total Equity</w:t>
            </w:r>
          </w:p>
        </w:tc>
        <w:tc>
          <w:tcPr>
            <w:tcW w:w="153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1,536,350</w:t>
            </w:r>
          </w:p>
        </w:tc>
      </w:tr>
      <w:tr>
        <w:trPr>
          <w:trHeight w:val="1" w:hRule="atLeast"/>
          <w:jc w:val="left"/>
        </w:trPr>
        <w:tc>
          <w:tcPr>
            <w:tcW w:w="3219"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452"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3143"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153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3219"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Total Assets</w:t>
            </w:r>
          </w:p>
        </w:tc>
        <w:tc>
          <w:tcPr>
            <w:tcW w:w="1452"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b/>
                <w:color w:val="000000"/>
                <w:spacing w:val="0"/>
                <w:position w:val="0"/>
                <w:sz w:val="28"/>
                <w:shd w:fill="auto" w:val="clear"/>
              </w:rPr>
            </w:pPr>
            <w:r>
              <w:rPr>
                <w:rFonts w:ascii="Calibri" w:hAnsi="Calibri" w:cs="Calibri" w:eastAsia="Calibri"/>
                <w:b/>
                <w:color w:val="000000"/>
                <w:spacing w:val="0"/>
                <w:position w:val="0"/>
                <w:sz w:val="28"/>
                <w:shd w:fill="auto" w:val="clear"/>
              </w:rPr>
              <w:t xml:space="preserve">2,027,955</w:t>
            </w:r>
          </w:p>
          <w:p>
            <w:pPr>
              <w:spacing w:before="0" w:after="0" w:line="240"/>
              <w:ind w:right="0" w:left="0" w:firstLine="0"/>
              <w:jc w:val="left"/>
              <w:rPr>
                <w:rFonts w:ascii="Calibri" w:hAnsi="Calibri" w:cs="Calibri" w:eastAsia="Calibri"/>
                <w:spacing w:val="0"/>
                <w:position w:val="0"/>
                <w:shd w:fill="auto" w:val="clear"/>
              </w:rPr>
            </w:pPr>
          </w:p>
        </w:tc>
        <w:tc>
          <w:tcPr>
            <w:tcW w:w="3143"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Total Liabilities &amp; Equity</w:t>
            </w:r>
          </w:p>
        </w:tc>
        <w:tc>
          <w:tcPr>
            <w:tcW w:w="1536" w:type="dxa"/>
            <w:tcBorders>
              <w:top w:val="single" w:color="000000" w:sz="4"/>
              <w:left w:val="single" w:color="000000" w:sz="4"/>
              <w:bottom w:val="single" w:color="000000" w:sz="4"/>
              <w:right w:val="single" w:color="000000" w:sz="4"/>
            </w:tcBorders>
            <w:shd w:color="000000" w:fill="ffe599" w:val="clear"/>
            <w:tcMar>
              <w:left w:w="108" w:type="dxa"/>
              <w:right w:w="108" w:type="dxa"/>
            </w:tcMar>
            <w:vAlign w:val="top"/>
          </w:tcPr>
          <w:p>
            <w:pPr>
              <w:spacing w:before="0" w:after="0" w:line="240"/>
              <w:ind w:right="0" w:left="0" w:firstLine="0"/>
              <w:jc w:val="center"/>
              <w:rPr>
                <w:rFonts w:ascii="Calibri" w:hAnsi="Calibri" w:cs="Calibri" w:eastAsia="Calibri"/>
                <w:spacing w:val="0"/>
                <w:position w:val="0"/>
                <w:shd w:fill="auto" w:val="clear"/>
              </w:rPr>
            </w:pPr>
            <w:r>
              <w:rPr>
                <w:rFonts w:ascii="Calibri" w:hAnsi="Calibri" w:cs="Calibri" w:eastAsia="Calibri"/>
                <w:b/>
                <w:color w:val="000000"/>
                <w:spacing w:val="0"/>
                <w:position w:val="0"/>
                <w:sz w:val="28"/>
                <w:shd w:fill="auto" w:val="clear"/>
              </w:rPr>
              <w:t xml:space="preserve">2,027,975</w:t>
            </w:r>
          </w:p>
        </w:tc>
      </w:tr>
    </w:tbl>
    <w:p>
      <w:pPr>
        <w:spacing w:before="0" w:after="160" w:line="259"/>
        <w:ind w:right="0" w:left="0" w:firstLine="0"/>
        <w:jc w:val="left"/>
        <w:rPr>
          <w:rFonts w:ascii="Calibri" w:hAnsi="Calibri" w:cs="Calibri" w:eastAsia="Calibri"/>
          <w:color w:val="000000"/>
          <w:spacing w:val="0"/>
          <w:position w:val="0"/>
          <w:sz w:val="22"/>
          <w:shd w:fill="auto" w:val="clear"/>
        </w:rPr>
      </w:pPr>
    </w:p>
    <w:p>
      <w:pPr>
        <w:spacing w:before="0" w:after="160" w:line="259"/>
        <w:ind w:right="0" w:left="0" w:firstLine="0"/>
        <w:jc w:val="left"/>
        <w:rPr>
          <w:rFonts w:ascii="Calibri" w:hAnsi="Calibri" w:cs="Calibri" w:eastAsia="Calibri"/>
          <w:b/>
          <w:color w:val="2F5496"/>
          <w:spacing w:val="0"/>
          <w:position w:val="0"/>
          <w:sz w:val="32"/>
          <w:shd w:fill="auto" w:val="clear"/>
        </w:rPr>
      </w:pPr>
      <w:r>
        <w:rPr>
          <w:rFonts w:ascii="Calibri" w:hAnsi="Calibri" w:cs="Calibri" w:eastAsia="Calibri"/>
          <w:b/>
          <w:color w:val="2F5496"/>
          <w:spacing w:val="0"/>
          <w:position w:val="0"/>
          <w:sz w:val="32"/>
          <w:shd w:fill="auto" w:val="clear"/>
        </w:rPr>
        <w:t xml:space="preserve">Section b:</w:t>
      </w:r>
    </w:p>
    <w:p>
      <w:pPr>
        <w:spacing w:before="0" w:after="160" w:line="259"/>
        <w:ind w:right="0" w:left="0" w:firstLine="0"/>
        <w:jc w:val="left"/>
        <w:rPr>
          <w:rFonts w:ascii="Calibri" w:hAnsi="Calibri" w:cs="Calibri" w:eastAsia="Calibri"/>
          <w:b/>
          <w:color w:val="2F5496"/>
          <w:spacing w:val="0"/>
          <w:position w:val="0"/>
          <w:sz w:val="32"/>
          <w:shd w:fill="auto" w:val="clear"/>
        </w:rPr>
      </w:pP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Explanation of Financial Statement of Wales plc as of 31st December 2022:</w:t>
      </w:r>
    </w:p>
    <w:p>
      <w:pPr>
        <w:spacing w:before="0" w:after="200" w:line="360"/>
        <w:ind w:right="0" w:left="0" w:firstLine="0"/>
        <w:jc w:val="both"/>
        <w:rPr>
          <w:rFonts w:ascii="Calibri" w:hAnsi="Calibri" w:cs="Calibri" w:eastAsia="Calibri"/>
          <w:color w:val="000000"/>
          <w:spacing w:val="0"/>
          <w:position w:val="0"/>
          <w:sz w:val="24"/>
          <w:shd w:fill="auto" w:val="clear"/>
        </w:rPr>
      </w:pP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Foundation of Financial Accounting:</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The fundamental axiom that states assets are consistently equivalent to the sum of liabilities and equity is evident in this context. For clarity, both the aggregate assets and the sum of total liabilities and equity are valued at £2,027,975, ensuring the statement's consistency.</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Precise Classification and Labeling:</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Each component in the statement has been appropriately categorized. For example, elements such as common stock, preferred stock, and retained earnings are classified under equity. Conversely, components like bonds, outstanding invoices, and provisions for corporate tax are categorized under liabilities. The asset column includes entities like equipment, stock, pending account receivables, and cash reserves in financial institutions.</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Commitment to the Accrual Accounting Method:</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The statement has been crafted using the accrual accounting approach. This implies that financial activities are documented when they transpire, irrespective of the actual cash flow. This approach ensures that all relevant financial activities, including obligations like corporate tax, sales incentives, and yet-to-be-recorded sales, are reflected in the statement.</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Inclusion of Additional Information:</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A provision for corporate tax, amounting to £100,000, is designated as an imminent obligation. Moreover, commissions owed to sales personnel and goods shipped to customers were accounted for by 31st December 2022, ensuring no discrepancies in the balance.</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Handling of Equity:</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The categorization of preferred stock under the equity section, based on the provided details, guarantees a precise computation of the equity segment.</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Compliance with Recognized Accounting Standards:</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Upon examination, the financial statement appears to be in harmony with current accounting practices, ensuring that each component adheres to universally accepted accounting principles.</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Exhaustive and Detailed Documentation:</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The available information suggests a thorough and error-free transaction recording process. The statement is exhaustive, reflecting all essential adjustments and covering all relevant elements.</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In conclusion, the equilibrium in the financial statement of Wales plc for the period concluding on 31st December 2022 is a result of diligent accounting practices, comprehensive inclusion of supplementary details, and unwavering commitment to the primary accounting equation. The meticulous adherence to accounting standards and the consideration of provisions for corporate tax ensure the statement provides a genuine representation of Wales plc's fiscal position. (Assets = Liabilities + Equity)</w:t>
      </w:r>
    </w:p>
    <w:p>
      <w:pPr>
        <w:spacing w:before="0" w:after="200" w:line="360"/>
        <w:ind w:right="0" w:left="0" w:firstLine="0"/>
        <w:jc w:val="both"/>
        <w:rPr>
          <w:rFonts w:ascii="Calibri" w:hAnsi="Calibri" w:cs="Calibri" w:eastAsia="Calibri"/>
          <w:color w:val="000000"/>
          <w:spacing w:val="0"/>
          <w:position w:val="0"/>
          <w:sz w:val="22"/>
          <w:shd w:fill="auto" w:val="clear"/>
        </w:rPr>
      </w:pPr>
    </w:p>
    <w:p>
      <w:pPr>
        <w:spacing w:before="0" w:after="160" w:line="259"/>
        <w:ind w:right="0" w:left="0" w:firstLine="0"/>
        <w:jc w:val="left"/>
        <w:rPr>
          <w:rFonts w:ascii="Calibri" w:hAnsi="Calibri" w:cs="Calibri" w:eastAsia="Calibri"/>
          <w:color w:val="000000"/>
          <w:spacing w:val="0"/>
          <w:position w:val="0"/>
          <w:sz w:val="22"/>
          <w:shd w:fill="auto" w:val="clear"/>
        </w:rPr>
      </w:pPr>
    </w:p>
    <w:p>
      <w:pPr>
        <w:keepNext w:val="true"/>
        <w:keepLines w:val="true"/>
        <w:spacing w:before="240" w:after="0" w:line="259"/>
        <w:ind w:right="0" w:left="0" w:firstLine="0"/>
        <w:jc w:val="both"/>
        <w:rPr>
          <w:rFonts w:ascii="Calibri" w:hAnsi="Calibri" w:cs="Calibri" w:eastAsia="Calibri"/>
          <w:b/>
          <w:color w:val="000000"/>
          <w:spacing w:val="0"/>
          <w:position w:val="0"/>
          <w:sz w:val="40"/>
          <w:shd w:fill="auto" w:val="clear"/>
        </w:rPr>
      </w:pPr>
      <w:r>
        <w:rPr>
          <w:rFonts w:ascii="Calibri" w:hAnsi="Calibri" w:cs="Calibri" w:eastAsia="Calibri"/>
          <w:b/>
          <w:color w:val="000000"/>
          <w:spacing w:val="0"/>
          <w:position w:val="0"/>
          <w:sz w:val="40"/>
          <w:shd w:fill="auto" w:val="clear"/>
        </w:rPr>
        <w:t xml:space="preserve">Question: 2</w:t>
      </w:r>
    </w:p>
    <w:p>
      <w:pPr>
        <w:spacing w:before="0" w:after="160" w:line="259"/>
        <w:ind w:right="0" w:left="0" w:firstLine="0"/>
        <w:jc w:val="left"/>
        <w:rPr>
          <w:rFonts w:ascii="Calibri" w:hAnsi="Calibri" w:cs="Calibri" w:eastAsia="Calibri"/>
          <w:color w:val="000000"/>
          <w:spacing w:val="0"/>
          <w:position w:val="0"/>
          <w:sz w:val="22"/>
          <w:shd w:fill="auto" w:val="clear"/>
        </w:rPr>
      </w:pPr>
    </w:p>
    <w:p>
      <w:pPr>
        <w:spacing w:before="0" w:after="200" w:line="360"/>
        <w:ind w:right="0" w:left="0" w:firstLine="0"/>
        <w:jc w:val="both"/>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b/>
          <w:color w:val="2F5496"/>
          <w:spacing w:val="0"/>
          <w:position w:val="0"/>
          <w:sz w:val="32"/>
          <w:shd w:fill="auto" w:val="clear"/>
        </w:rPr>
      </w:pPr>
      <w:r>
        <w:rPr>
          <w:rFonts w:ascii="Calibri" w:hAnsi="Calibri" w:cs="Calibri" w:eastAsia="Calibri"/>
          <w:b/>
          <w:color w:val="2F5496"/>
          <w:spacing w:val="0"/>
          <w:position w:val="0"/>
          <w:sz w:val="32"/>
          <w:shd w:fill="auto" w:val="clear"/>
        </w:rPr>
        <w:t xml:space="preserve">Section a:</w:t>
      </w:r>
    </w:p>
    <w:p>
      <w:pPr>
        <w:spacing w:before="0" w:after="160" w:line="259"/>
        <w:ind w:right="0" w:left="0" w:firstLine="0"/>
        <w:jc w:val="left"/>
        <w:rPr>
          <w:rFonts w:ascii="Calibri" w:hAnsi="Calibri" w:cs="Calibri" w:eastAsia="Calibri"/>
          <w:b/>
          <w:color w:val="2F5496"/>
          <w:spacing w:val="0"/>
          <w:position w:val="0"/>
          <w:sz w:val="32"/>
          <w:shd w:fill="auto" w:val="clear"/>
        </w:rPr>
      </w:pP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Analyzing Financial Ratios for Sweets Plc for 2021 and 2020:</w:t>
      </w:r>
    </w:p>
    <w:p>
      <w:pPr>
        <w:spacing w:before="0" w:after="200" w:line="360"/>
        <w:ind w:right="0" w:left="0" w:firstLine="0"/>
        <w:jc w:val="both"/>
        <w:rPr>
          <w:rFonts w:ascii="Calibri" w:hAnsi="Calibri" w:cs="Calibri" w:eastAsia="Calibri"/>
          <w:b/>
          <w:color w:val="000000"/>
          <w:spacing w:val="0"/>
          <w:position w:val="0"/>
          <w:sz w:val="24"/>
          <w:shd w:fill="auto" w:val="clear"/>
        </w:rPr>
      </w:pPr>
    </w:p>
    <w:p>
      <w:pPr>
        <w:spacing w:before="0" w:after="200" w:line="360"/>
        <w:ind w:right="0" w:left="0" w:firstLine="0"/>
        <w:jc w:val="both"/>
        <w:rPr>
          <w:rFonts w:ascii="Calibri" w:hAnsi="Calibri" w:cs="Calibri" w:eastAsia="Calibri"/>
          <w:b/>
          <w:color w:val="000000"/>
          <w:spacing w:val="0"/>
          <w:position w:val="0"/>
          <w:sz w:val="24"/>
          <w:shd w:fill="auto" w:val="clear"/>
        </w:rPr>
      </w:pPr>
    </w:p>
    <w:p>
      <w:pPr>
        <w:spacing w:before="0" w:after="200" w:line="360"/>
        <w:ind w:right="0" w:left="0" w:firstLine="0"/>
        <w:jc w:val="both"/>
        <w:rPr>
          <w:rFonts w:ascii="Calibri" w:hAnsi="Calibri" w:cs="Calibri" w:eastAsia="Calibri"/>
          <w:b/>
          <w:color w:val="000000"/>
          <w:spacing w:val="0"/>
          <w:position w:val="0"/>
          <w:sz w:val="24"/>
          <w:shd w:fill="auto" w:val="clear"/>
        </w:rPr>
      </w:pP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1. Return on Capital Employed (ROCE):</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Formula:</w:t>
      </w:r>
    </w:p>
    <w:p>
      <w:pPr>
        <w:spacing w:before="0" w:after="200" w:line="360"/>
        <w:ind w:right="0" w:left="0" w:firstLine="0"/>
        <w:jc w:val="both"/>
        <w:rPr>
          <w:rFonts w:ascii="Calibri" w:hAnsi="Calibri" w:cs="Calibri" w:eastAsia="Calibri"/>
          <w:b/>
          <w:color w:val="FF0000"/>
          <w:spacing w:val="0"/>
          <w:position w:val="0"/>
          <w:sz w:val="24"/>
          <w:shd w:fill="auto" w:val="clear"/>
        </w:rPr>
      </w:pPr>
      <w:r>
        <w:rPr>
          <w:rFonts w:ascii="Calibri" w:hAnsi="Calibri" w:cs="Calibri" w:eastAsia="Calibri"/>
          <w:b/>
          <w:color w:val="FF0000"/>
          <w:spacing w:val="0"/>
          <w:position w:val="0"/>
          <w:sz w:val="24"/>
          <w:shd w:fill="auto" w:val="clear"/>
        </w:rPr>
        <w:t xml:space="preserve">ROCE = Operating Profit / Capital Employed × 100%</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Where Capital Employed = Total Assets - Current Liabilities</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2020:</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Capital Employed = £10,087m - £3,046m = £7,041m</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Operating Profit = £699m</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ROCE 2020 = (699/7041) × 100% = 9.93%</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2021:</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Capital Employed = £9,736m - £2,511m = £7,225m</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Operating Profit = £805m</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ROCE 2021 = (805/7225) × 100% = 11.14%</w:t>
      </w:r>
    </w:p>
    <w:p>
      <w:pPr>
        <w:spacing w:before="0" w:after="200" w:line="360"/>
        <w:ind w:right="0" w:left="0" w:firstLine="0"/>
        <w:jc w:val="both"/>
        <w:rPr>
          <w:rFonts w:ascii="Calibri" w:hAnsi="Calibri" w:cs="Calibri" w:eastAsia="Calibri"/>
          <w:color w:val="000000"/>
          <w:spacing w:val="0"/>
          <w:position w:val="0"/>
          <w:sz w:val="24"/>
          <w:shd w:fill="auto" w:val="clear"/>
        </w:rPr>
      </w:pP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2. Return on Equity (ROE):</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Formula:</w:t>
      </w:r>
    </w:p>
    <w:p>
      <w:pPr>
        <w:spacing w:before="0" w:after="200" w:line="360"/>
        <w:ind w:right="0" w:left="0" w:firstLine="0"/>
        <w:jc w:val="both"/>
        <w:rPr>
          <w:rFonts w:ascii="Calibri" w:hAnsi="Calibri" w:cs="Calibri" w:eastAsia="Calibri"/>
          <w:b/>
          <w:color w:val="FF0000"/>
          <w:spacing w:val="0"/>
          <w:position w:val="0"/>
          <w:sz w:val="24"/>
          <w:shd w:fill="auto" w:val="clear"/>
        </w:rPr>
      </w:pPr>
      <w:r>
        <w:rPr>
          <w:rFonts w:ascii="Calibri" w:hAnsi="Calibri" w:cs="Calibri" w:eastAsia="Calibri"/>
          <w:b/>
          <w:color w:val="FF0000"/>
          <w:spacing w:val="0"/>
          <w:position w:val="0"/>
          <w:sz w:val="24"/>
          <w:shd w:fill="auto" w:val="clear"/>
        </w:rPr>
        <w:t xml:space="preserve">ROE = Net Profit / Equity × 100%</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2020:</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Equity = £2,912m, Net Profit = £366m</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ROE 2020 = (366/2912) × 100 = 12.58%</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2021:</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Equity = £3,088m, Net Profit = £431m</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ROE 2021 = (431/3088) × 100 = 13.96%</w:t>
      </w:r>
    </w:p>
    <w:p>
      <w:pPr>
        <w:spacing w:before="0" w:after="200" w:line="360"/>
        <w:ind w:right="0" w:left="0" w:firstLine="0"/>
        <w:jc w:val="both"/>
        <w:rPr>
          <w:rFonts w:ascii="Calibri" w:hAnsi="Calibri" w:cs="Calibri" w:eastAsia="Calibri"/>
          <w:color w:val="000000"/>
          <w:spacing w:val="0"/>
          <w:position w:val="0"/>
          <w:sz w:val="24"/>
          <w:shd w:fill="auto" w:val="clear"/>
        </w:rPr>
      </w:pPr>
    </w:p>
    <w:p>
      <w:pPr>
        <w:spacing w:before="0" w:after="200" w:line="360"/>
        <w:ind w:right="0" w:left="0" w:firstLine="0"/>
        <w:jc w:val="both"/>
        <w:rPr>
          <w:rFonts w:ascii="Calibri" w:hAnsi="Calibri" w:cs="Calibri" w:eastAsia="Calibri"/>
          <w:color w:val="000000"/>
          <w:spacing w:val="0"/>
          <w:position w:val="0"/>
          <w:sz w:val="24"/>
          <w:shd w:fill="auto" w:val="clear"/>
        </w:rPr>
      </w:pP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3. Earnings Per Share (EPS):</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Formula:</w:t>
      </w:r>
    </w:p>
    <w:p>
      <w:pPr>
        <w:spacing w:before="0" w:after="200" w:line="360"/>
        <w:ind w:right="0" w:left="0" w:firstLine="0"/>
        <w:jc w:val="both"/>
        <w:rPr>
          <w:rFonts w:ascii="Calibri" w:hAnsi="Calibri" w:cs="Calibri" w:eastAsia="Calibri"/>
          <w:b/>
          <w:color w:val="FF0000"/>
          <w:spacing w:val="0"/>
          <w:position w:val="0"/>
          <w:sz w:val="24"/>
          <w:shd w:fill="auto" w:val="clear"/>
        </w:rPr>
      </w:pPr>
      <w:r>
        <w:rPr>
          <w:rFonts w:ascii="Calibri" w:hAnsi="Calibri" w:cs="Calibri" w:eastAsia="Calibri"/>
          <w:b/>
          <w:color w:val="FF0000"/>
          <w:spacing w:val="0"/>
          <w:position w:val="0"/>
          <w:sz w:val="24"/>
          <w:shd w:fill="auto" w:val="clear"/>
        </w:rPr>
        <w:t xml:space="preserve">EPS = Net Profit / Number of Shares</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Where Number of Shares = Share Capital / Value per share</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2020:</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Number of Shares = £300m/£0.50 = £600m shares</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Net Profit = £366m</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EPS 2020 = 366/600 = £0.61</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2021:</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Number of Shares = £300m/£0.50 = £600m shares</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Net Profit = £431m</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EPS 2021 = 431/600 = £0.71</w:t>
      </w:r>
    </w:p>
    <w:p>
      <w:pPr>
        <w:spacing w:before="0" w:after="200" w:line="360"/>
        <w:ind w:right="0" w:left="0" w:firstLine="0"/>
        <w:jc w:val="both"/>
        <w:rPr>
          <w:rFonts w:ascii="Calibri" w:hAnsi="Calibri" w:cs="Calibri" w:eastAsia="Calibri"/>
          <w:color w:val="000000"/>
          <w:spacing w:val="0"/>
          <w:position w:val="0"/>
          <w:sz w:val="24"/>
          <w:shd w:fill="auto" w:val="clear"/>
        </w:rPr>
      </w:pP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4. Net Profit Margin:</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Formula:</w:t>
      </w:r>
    </w:p>
    <w:p>
      <w:pPr>
        <w:spacing w:before="0" w:after="200" w:line="360"/>
        <w:ind w:right="0" w:left="0" w:firstLine="0"/>
        <w:jc w:val="both"/>
        <w:rPr>
          <w:rFonts w:ascii="Calibri" w:hAnsi="Calibri" w:cs="Calibri" w:eastAsia="Calibri"/>
          <w:b/>
          <w:color w:val="FF0000"/>
          <w:spacing w:val="0"/>
          <w:position w:val="0"/>
          <w:sz w:val="24"/>
          <w:shd w:fill="auto" w:val="clear"/>
        </w:rPr>
      </w:pPr>
      <w:r>
        <w:rPr>
          <w:rFonts w:ascii="Calibri" w:hAnsi="Calibri" w:cs="Calibri" w:eastAsia="Calibri"/>
          <w:b/>
          <w:color w:val="FF0000"/>
          <w:spacing w:val="0"/>
          <w:position w:val="0"/>
          <w:sz w:val="24"/>
          <w:shd w:fill="auto" w:val="clear"/>
        </w:rPr>
        <w:t xml:space="preserve">Net Profit Margin = Net Profit / Revenue × 100%</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2020:</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Net Profit = £366m, Revenue = £6441m</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Net Profit Margin 2020 = (366/6441) × 100% = 5.68%</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2021:</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Net Profit = £431m, Revenue = £6,738m</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Net Profit Margin 2021 = (431/6738) × 100% = 6.40%</w:t>
      </w:r>
    </w:p>
    <w:p>
      <w:pPr>
        <w:spacing w:before="0" w:after="200" w:line="360"/>
        <w:ind w:right="0" w:left="0" w:firstLine="0"/>
        <w:jc w:val="both"/>
        <w:rPr>
          <w:rFonts w:ascii="Calibri" w:hAnsi="Calibri" w:cs="Calibri" w:eastAsia="Calibri"/>
          <w:color w:val="000000"/>
          <w:spacing w:val="0"/>
          <w:position w:val="0"/>
          <w:sz w:val="24"/>
          <w:shd w:fill="auto" w:val="clear"/>
        </w:rPr>
      </w:pP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5. Asset Turnover:</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Formula:</w:t>
      </w:r>
    </w:p>
    <w:p>
      <w:pPr>
        <w:spacing w:before="0" w:after="200" w:line="360"/>
        <w:ind w:right="0" w:left="0" w:firstLine="0"/>
        <w:jc w:val="both"/>
        <w:rPr>
          <w:rFonts w:ascii="Calibri" w:hAnsi="Calibri" w:cs="Calibri" w:eastAsia="Calibri"/>
          <w:b/>
          <w:color w:val="FF0000"/>
          <w:spacing w:val="0"/>
          <w:position w:val="0"/>
          <w:sz w:val="24"/>
          <w:shd w:fill="auto" w:val="clear"/>
        </w:rPr>
      </w:pPr>
      <w:r>
        <w:rPr>
          <w:rFonts w:ascii="Calibri" w:hAnsi="Calibri" w:cs="Calibri" w:eastAsia="Calibri"/>
          <w:b/>
          <w:color w:val="FF0000"/>
          <w:spacing w:val="0"/>
          <w:position w:val="0"/>
          <w:sz w:val="24"/>
          <w:shd w:fill="auto" w:val="clear"/>
        </w:rPr>
        <w:t xml:space="preserve">Asset Turnover = Revenue / Average Total Assets</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Where Average Total Assets = (Beginning Total Assets + Ending Total Assets) / 2</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2021:</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Average Total Assets = (10,087 + 9,736) / 2 = £9,911.5m</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Asset Turnover 2021 = 6738/9911.5 = 0.68 times</w:t>
      </w:r>
    </w:p>
    <w:p>
      <w:pPr>
        <w:spacing w:before="0" w:after="200" w:line="360"/>
        <w:ind w:right="0" w:left="0" w:firstLine="0"/>
        <w:jc w:val="both"/>
        <w:rPr>
          <w:rFonts w:ascii="Calibri" w:hAnsi="Calibri" w:cs="Calibri" w:eastAsia="Calibri"/>
          <w:color w:val="000000"/>
          <w:spacing w:val="0"/>
          <w:position w:val="0"/>
          <w:sz w:val="24"/>
          <w:shd w:fill="auto" w:val="clear"/>
        </w:rPr>
      </w:pP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6. Stock Holding Days:</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Formula:</w:t>
      </w:r>
    </w:p>
    <w:p>
      <w:pPr>
        <w:spacing w:before="0" w:after="200" w:line="360"/>
        <w:ind w:right="0" w:left="0" w:firstLine="0"/>
        <w:jc w:val="both"/>
        <w:rPr>
          <w:rFonts w:ascii="Calibri" w:hAnsi="Calibri" w:cs="Calibri" w:eastAsia="Calibri"/>
          <w:b/>
          <w:color w:val="FF0000"/>
          <w:spacing w:val="0"/>
          <w:position w:val="0"/>
          <w:sz w:val="24"/>
          <w:shd w:fill="auto" w:val="clear"/>
        </w:rPr>
      </w:pPr>
      <w:r>
        <w:rPr>
          <w:rFonts w:ascii="Calibri" w:hAnsi="Calibri" w:cs="Calibri" w:eastAsia="Calibri"/>
          <w:b/>
          <w:color w:val="FF0000"/>
          <w:spacing w:val="0"/>
          <w:position w:val="0"/>
          <w:sz w:val="24"/>
          <w:shd w:fill="auto" w:val="clear"/>
        </w:rPr>
        <w:t xml:space="preserve">Stock Holding Days = Inventory / Cost of Sales × 365</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2020:</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Inventory = £659m, Cost of Sales = £3096m</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Stock Holding Days 2020 = (659/3096) × 365 = 77.7 days</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2021:</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Inventory = £708m, Cost of Sales = £3,235m</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Stock Holding Days 2021 = (708/3235) × 365 = 79.8 days</w:t>
      </w:r>
    </w:p>
    <w:p>
      <w:pPr>
        <w:spacing w:before="0" w:after="200" w:line="360"/>
        <w:ind w:right="0" w:left="0" w:firstLine="0"/>
        <w:jc w:val="both"/>
        <w:rPr>
          <w:rFonts w:ascii="Calibri" w:hAnsi="Calibri" w:cs="Calibri" w:eastAsia="Calibri"/>
          <w:b/>
          <w:color w:val="000000"/>
          <w:spacing w:val="0"/>
          <w:position w:val="0"/>
          <w:sz w:val="24"/>
          <w:shd w:fill="auto" w:val="clear"/>
        </w:rPr>
      </w:pP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7. Debtors Collection Period:</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Formula:</w:t>
      </w:r>
    </w:p>
    <w:p>
      <w:pPr>
        <w:spacing w:before="0" w:after="200" w:line="360"/>
        <w:ind w:right="0" w:left="0" w:firstLine="0"/>
        <w:jc w:val="both"/>
        <w:rPr>
          <w:rFonts w:ascii="Calibri" w:hAnsi="Calibri" w:cs="Calibri" w:eastAsia="Calibri"/>
          <w:b/>
          <w:color w:val="FF0000"/>
          <w:spacing w:val="0"/>
          <w:position w:val="0"/>
          <w:sz w:val="24"/>
          <w:shd w:fill="auto" w:val="clear"/>
        </w:rPr>
      </w:pPr>
      <w:r>
        <w:rPr>
          <w:rFonts w:ascii="Calibri" w:hAnsi="Calibri" w:cs="Calibri" w:eastAsia="Calibri"/>
          <w:b/>
          <w:color w:val="FF0000"/>
          <w:spacing w:val="0"/>
          <w:position w:val="0"/>
          <w:sz w:val="24"/>
          <w:shd w:fill="auto" w:val="clear"/>
        </w:rPr>
        <w:t xml:space="preserve">Debtors Collection Period = Trade Receivables / Revenue × 365</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2020:</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Trade Receivables = £1287m, Revenue = £6,441m</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Debtors Collection Period 2020 = (1287/6441) × 365 = 73 days</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2021:</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Trade Receivables = £1249m, Revenue = £6,738m</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Debtors Collection Period 2021 = (1249/6738) × 365 = 67.8 days</w:t>
      </w:r>
    </w:p>
    <w:p>
      <w:pPr>
        <w:spacing w:before="0" w:after="200" w:line="360"/>
        <w:ind w:right="0" w:left="0" w:firstLine="0"/>
        <w:jc w:val="both"/>
        <w:rPr>
          <w:rFonts w:ascii="Calibri" w:hAnsi="Calibri" w:cs="Calibri" w:eastAsia="Calibri"/>
          <w:color w:val="000000"/>
          <w:spacing w:val="0"/>
          <w:position w:val="0"/>
          <w:sz w:val="24"/>
          <w:shd w:fill="auto" w:val="clear"/>
        </w:rPr>
      </w:pP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8. Current Ratio:</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Formula:</w:t>
      </w:r>
    </w:p>
    <w:p>
      <w:pPr>
        <w:spacing w:before="0" w:after="200" w:line="360"/>
        <w:ind w:right="0" w:left="0" w:firstLine="0"/>
        <w:jc w:val="both"/>
        <w:rPr>
          <w:rFonts w:ascii="Calibri" w:hAnsi="Calibri" w:cs="Calibri" w:eastAsia="Calibri"/>
          <w:b/>
          <w:color w:val="FF0000"/>
          <w:spacing w:val="0"/>
          <w:position w:val="0"/>
          <w:sz w:val="24"/>
          <w:shd w:fill="auto" w:val="clear"/>
        </w:rPr>
      </w:pPr>
      <w:r>
        <w:rPr>
          <w:rFonts w:ascii="Calibri" w:hAnsi="Calibri" w:cs="Calibri" w:eastAsia="Calibri"/>
          <w:b/>
          <w:color w:val="FF0000"/>
          <w:spacing w:val="0"/>
          <w:position w:val="0"/>
          <w:sz w:val="24"/>
          <w:shd w:fill="auto" w:val="clear"/>
        </w:rPr>
        <w:t xml:space="preserve">Current Ratio = Current Assets / Current Liabilities</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2020:</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Current Assets = £2,355m, Current Liabilities = £3,046m</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Current Ratio 2020 = 2355/3046 = 0.77</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2021:</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Current Assets = £2,303m, Current Liabilities = £2,511m</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Current Ratio 2021 = 2303/2511 = 0.92</w:t>
      </w:r>
    </w:p>
    <w:p>
      <w:pPr>
        <w:spacing w:before="0" w:after="200" w:line="360"/>
        <w:ind w:right="0" w:left="0" w:firstLine="0"/>
        <w:jc w:val="both"/>
        <w:rPr>
          <w:rFonts w:ascii="Calibri" w:hAnsi="Calibri" w:cs="Calibri" w:eastAsia="Calibri"/>
          <w:color w:val="000000"/>
          <w:spacing w:val="0"/>
          <w:position w:val="0"/>
          <w:sz w:val="24"/>
          <w:shd w:fill="auto" w:val="clear"/>
        </w:rPr>
      </w:pP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9. Gearing Ratio:</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Formula:</w:t>
      </w:r>
    </w:p>
    <w:p>
      <w:pPr>
        <w:spacing w:before="0" w:after="200" w:line="360"/>
        <w:ind w:right="0" w:left="0" w:firstLine="0"/>
        <w:jc w:val="both"/>
        <w:rPr>
          <w:rFonts w:ascii="Calibri" w:hAnsi="Calibri" w:cs="Calibri" w:eastAsia="Calibri"/>
          <w:b/>
          <w:color w:val="FF0000"/>
          <w:spacing w:val="0"/>
          <w:position w:val="0"/>
          <w:sz w:val="24"/>
          <w:shd w:fill="auto" w:val="clear"/>
        </w:rPr>
      </w:pPr>
      <w:r>
        <w:rPr>
          <w:rFonts w:ascii="Calibri" w:hAnsi="Calibri" w:cs="Calibri" w:eastAsia="Calibri"/>
          <w:b/>
          <w:color w:val="FF0000"/>
          <w:spacing w:val="0"/>
          <w:position w:val="0"/>
          <w:sz w:val="24"/>
          <w:shd w:fill="auto" w:val="clear"/>
        </w:rPr>
        <w:t xml:space="preserve">Gearing Ratio = Non-Current Liabilities / (Equity + Non-Current Liabilities) × 100%</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2020:</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Non-Current Liabilities = £4,129m, Equity = £2,912m</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Gearing Ratio 2020 = (4129/(2912+4129)) × 100% = 58.7%</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2021:</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Non-Current Liabilities = £4,137m, Equity = £3,088m</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Gearing Ratio 2021 = (4137/(3088+4137)) × 100% = 57.3%</w:t>
      </w:r>
    </w:p>
    <w:p>
      <w:pPr>
        <w:spacing w:before="0" w:after="200" w:line="360"/>
        <w:ind w:right="0" w:left="0" w:firstLine="0"/>
        <w:jc w:val="both"/>
        <w:rPr>
          <w:rFonts w:ascii="Calibri" w:hAnsi="Calibri" w:cs="Calibri" w:eastAsia="Calibri"/>
          <w:color w:val="000000"/>
          <w:spacing w:val="0"/>
          <w:position w:val="0"/>
          <w:sz w:val="24"/>
          <w:shd w:fill="auto" w:val="clear"/>
        </w:rPr>
      </w:pP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10. Interest Cover:</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Formula:</w:t>
      </w:r>
    </w:p>
    <w:p>
      <w:pPr>
        <w:spacing w:before="0" w:after="200" w:line="360"/>
        <w:ind w:right="0" w:left="0" w:firstLine="0"/>
        <w:jc w:val="both"/>
        <w:rPr>
          <w:rFonts w:ascii="Calibri" w:hAnsi="Calibri" w:cs="Calibri" w:eastAsia="Calibri"/>
          <w:b/>
          <w:color w:val="FF0000"/>
          <w:spacing w:val="0"/>
          <w:position w:val="0"/>
          <w:sz w:val="24"/>
          <w:shd w:fill="auto" w:val="clear"/>
        </w:rPr>
      </w:pPr>
      <w:r>
        <w:rPr>
          <w:rFonts w:ascii="Calibri" w:hAnsi="Calibri" w:cs="Calibri" w:eastAsia="Calibri"/>
          <w:b/>
          <w:color w:val="FF0000"/>
          <w:spacing w:val="0"/>
          <w:position w:val="0"/>
          <w:sz w:val="24"/>
          <w:shd w:fill="auto" w:val="clear"/>
        </w:rPr>
        <w:t xml:space="preserve">Interest Cover = Operating Profit / Interest Payable</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2020:</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Operating Profit = £699m, Interest Payable = £181m</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Interest Cover 2020 = 699/181 = 3.86 times</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2021:</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Operating Profit = £805m, Interest Payable = £226m</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Interest Cover 2021 = 805/226 = 3.56 times</w:t>
      </w:r>
    </w:p>
    <w:p>
      <w:pPr>
        <w:spacing w:before="0" w:after="200" w:line="360"/>
        <w:ind w:right="0" w:left="0" w:firstLine="0"/>
        <w:jc w:val="both"/>
        <w:rPr>
          <w:rFonts w:ascii="Calibri" w:hAnsi="Calibri" w:cs="Calibri" w:eastAsia="Calibri"/>
          <w:color w:val="000000"/>
          <w:spacing w:val="0"/>
          <w:position w:val="0"/>
          <w:sz w:val="24"/>
          <w:shd w:fill="auto" w:val="clear"/>
        </w:rPr>
      </w:pPr>
    </w:p>
    <w:p>
      <w:pPr>
        <w:spacing w:before="0" w:after="200" w:line="360"/>
        <w:ind w:right="0" w:left="0" w:firstLine="0"/>
        <w:jc w:val="both"/>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b/>
          <w:color w:val="2F5496"/>
          <w:spacing w:val="0"/>
          <w:position w:val="0"/>
          <w:sz w:val="32"/>
          <w:shd w:fill="auto" w:val="clear"/>
        </w:rPr>
      </w:pPr>
      <w:r>
        <w:rPr>
          <w:rFonts w:ascii="Calibri" w:hAnsi="Calibri" w:cs="Calibri" w:eastAsia="Calibri"/>
          <w:b/>
          <w:color w:val="2F5496"/>
          <w:spacing w:val="0"/>
          <w:position w:val="0"/>
          <w:sz w:val="32"/>
          <w:shd w:fill="auto" w:val="clear"/>
        </w:rPr>
        <w:t xml:space="preserve">Section b:</w:t>
      </w:r>
    </w:p>
    <w:p>
      <w:pPr>
        <w:spacing w:before="0" w:after="160" w:line="259"/>
        <w:ind w:right="0" w:left="0" w:firstLine="0"/>
        <w:jc w:val="left"/>
        <w:rPr>
          <w:rFonts w:ascii="Calibri" w:hAnsi="Calibri" w:cs="Calibri" w:eastAsia="Calibri"/>
          <w:b/>
          <w:color w:val="2F5496"/>
          <w:spacing w:val="0"/>
          <w:position w:val="0"/>
          <w:sz w:val="32"/>
          <w:shd w:fill="auto" w:val="clear"/>
        </w:rPr>
      </w:pP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Review of Sweets Plc's Financial Performance and Operations:</w:t>
      </w:r>
    </w:p>
    <w:p>
      <w:pPr>
        <w:spacing w:before="0" w:after="200" w:line="360"/>
        <w:ind w:right="0" w:left="0" w:firstLine="0"/>
        <w:jc w:val="both"/>
        <w:rPr>
          <w:rFonts w:ascii="Calibri" w:hAnsi="Calibri" w:cs="Calibri" w:eastAsia="Calibri"/>
          <w:color w:val="000000"/>
          <w:spacing w:val="0"/>
          <w:position w:val="0"/>
          <w:sz w:val="24"/>
          <w:shd w:fill="auto" w:val="clear"/>
        </w:rPr>
      </w:pP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1. Profitability Examination:</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ROCE (Return on Capital Employed):</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From 2020 to 2021, there was a commendable increase in ROCE from 9.93% to 11.14%. This indicates Sweets Plc's enhanced proficiency in generating returns from its available capital. An ascending ROCE typically suggests that the company is capitalizing on its resources to amplify its profit margins.</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ROE (Return on Equity):</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ROE saw a progression from 12.58% in 2020 to 13.96% in 2021. This reflects Sweets Plc's improved effectiveness in producing returns from shareholders' equity. An increasing ROE often indicates to stakeholders that their funds are being employed productively.</w:t>
      </w:r>
    </w:p>
    <w:p>
      <w:pPr>
        <w:spacing w:before="0" w:after="200" w:line="360"/>
        <w:ind w:right="0" w:left="0" w:firstLine="0"/>
        <w:jc w:val="both"/>
        <w:rPr>
          <w:rFonts w:ascii="Calibri" w:hAnsi="Calibri" w:cs="Calibri" w:eastAsia="Calibri"/>
          <w:color w:val="000000"/>
          <w:spacing w:val="0"/>
          <w:position w:val="0"/>
          <w:sz w:val="24"/>
          <w:shd w:fill="auto" w:val="clear"/>
        </w:rPr>
      </w:pP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Net Profit Margin:</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The company's net profit margin improved from 5.68% in 2020 to 6.40% in 2021. This shift emphasizes Sweets Plc's augmented ability to convert revenue into net profit in 2021 relative to the previous year.</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Earnings Per Share (EPS):</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EPS experienced growth from £0.61 in 2020 to £0.7183 in 2021. This suggests that the company's profitability per share has seen a positive trend, which is likely to be well-received by shareholders.</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2. Efficiency Metrics:</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Asset Turnover:</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In 2021, the asset turnover was reported at 0.68 times. This means that for every pound of assets, the company generated £0.68 in sales, shedding light on how effectively Sweets Plc uses its assets.</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Stock Holding Days:</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There was a slight increase in stock holding days from 77.7 days in 2020 to 79.8 days in 2021, hinting at a potential deceleration in inventory turnover during 2021.</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Debtors Collection Period:</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Sweets Plc improved its collection period, decreasing from 73.0 days in 2020 to 67.8 days in 2021. This positive shift indicates swifter collections of outstanding amounts.</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3. Liquidity Analysis:</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Current Ratio:</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The current ratio saw growth from 0.77 in 2020 to 0.92 in 2021, suggesting an improvement in the company's short-term financial health. However, a ratio below 1 might indicate potential challenges in meeting short-term obligations.</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4. Financial Leverage Insights:</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Gearing Ratio:</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The gearing ratio slightly decreased from 58.7% in 2020 to 57.3% in 2021. While this indicates a reduced reliance on debt, a ratio above 50% still signifies a significant level of debt financing, which could be a concern in volatile financial conditions.</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Interest Cover:</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The interest cover ratio saw a minor decline from 3.86 times in 2020 to 3.56 times in 2021. Despite this, the company seems well-equipped to handle its interest obligations. However, a consistent decline in this metric should be observed closely.</w:t>
      </w:r>
    </w:p>
    <w:p>
      <w:pPr>
        <w:spacing w:before="0" w:after="200" w:line="360"/>
        <w:ind w:right="0" w:left="0" w:firstLine="0"/>
        <w:jc w:val="both"/>
        <w:rPr>
          <w:rFonts w:ascii="Calibri" w:hAnsi="Calibri" w:cs="Calibri" w:eastAsia="Calibri"/>
          <w:b/>
          <w:color w:val="000000"/>
          <w:spacing w:val="0"/>
          <w:position w:val="0"/>
          <w:sz w:val="24"/>
          <w:shd w:fill="auto" w:val="clear"/>
        </w:rPr>
      </w:pPr>
      <w:r>
        <w:rPr>
          <w:rFonts w:ascii="Calibri" w:hAnsi="Calibri" w:cs="Calibri" w:eastAsia="Calibri"/>
          <w:b/>
          <w:color w:val="000000"/>
          <w:spacing w:val="0"/>
          <w:position w:val="0"/>
          <w:sz w:val="24"/>
          <w:shd w:fill="auto" w:val="clear"/>
        </w:rPr>
        <w:t xml:space="preserve">Conclusion:</w:t>
      </w:r>
    </w:p>
    <w:p>
      <w:pPr>
        <w:spacing w:before="0" w:after="200" w:line="360"/>
        <w:ind w:right="0" w:left="0" w:firstLine="0"/>
        <w:jc w:val="both"/>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Sweets plc has demonstrated positive strides in areas like profitability and receivables management, along with a modest reduction in gearing. Yet, there are aspects, such as liquidity and inventory management, that need closer scrutiny. While the company's trajectory seems promising, it's essential for the leadership to address potential liquidity challenges, oversee debt proportions, and enhance inventory efficiency.</w:t>
      </w:r>
    </w:p>
    <w:p>
      <w:pPr>
        <w:spacing w:before="0" w:after="200" w:line="360"/>
        <w:ind w:right="0" w:left="0" w:firstLine="0"/>
        <w:jc w:val="both"/>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