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BE983" w14:textId="77777777" w:rsidR="008F7702" w:rsidRDefault="005E6AFB">
      <w:pPr>
        <w:pStyle w:val="Titlu"/>
      </w:pPr>
      <w:r>
        <w:t>STRATEGIC STAKEHOLDER</w:t>
      </w:r>
      <w:r>
        <w:br/>
        <w:t>ENGAGEMENT REPORT</w:t>
      </w:r>
    </w:p>
    <w:p w14:paraId="156A132B" w14:textId="77777777" w:rsidR="008F7702" w:rsidRDefault="005E6AFB">
      <w:pPr>
        <w:pStyle w:val="Subtitlu"/>
      </w:pPr>
      <w:r>
        <w:t>ConnectPlus: a proposed digitally enhanced loyalty platform for Tesco</w:t>
      </w:r>
    </w:p>
    <w:p w14:paraId="216E2487" w14:textId="55E2ACBE" w:rsidR="008F7702" w:rsidRDefault="006A395B">
      <w:r>
        <w:rPr>
          <w:sz w:val="24"/>
          <w:szCs w:val="24"/>
        </w:rPr>
        <w:t>Name: Abel Stoica</w:t>
      </w:r>
      <w:r>
        <w:t xml:space="preserve"> </w:t>
      </w:r>
    </w:p>
    <w:p w14:paraId="1AA24940" w14:textId="33F6F1E4" w:rsidR="00BA3298" w:rsidRDefault="00BA3298">
      <w:r>
        <w:t>Student ID: 2331827</w:t>
      </w:r>
    </w:p>
    <w:p w14:paraId="5DBDABAB" w14:textId="77777777" w:rsidR="00BA3298" w:rsidRDefault="00BA3298"/>
    <w:tbl>
      <w:tblPr>
        <w:tblStyle w:val="Tabelgril"/>
        <w:tblW w:w="0" w:type="auto"/>
        <w:tblLook w:val="04A0" w:firstRow="1" w:lastRow="0" w:firstColumn="1" w:lastColumn="0" w:noHBand="0" w:noVBand="1"/>
      </w:tblPr>
      <w:tblGrid>
        <w:gridCol w:w="4934"/>
        <w:gridCol w:w="4934"/>
      </w:tblGrid>
      <w:tr w:rsidR="008F7702" w14:paraId="4E902231" w14:textId="77777777">
        <w:tc>
          <w:tcPr>
            <w:tcW w:w="4939" w:type="dxa"/>
            <w:shd w:val="clear" w:color="auto" w:fill="167D8D"/>
            <w:tcMar>
              <w:top w:w="150" w:type="dxa"/>
              <w:left w:w="150" w:type="dxa"/>
              <w:bottom w:w="150" w:type="dxa"/>
              <w:right w:w="150" w:type="dxa"/>
            </w:tcMar>
          </w:tcPr>
          <w:p w14:paraId="197C0299" w14:textId="77777777" w:rsidR="008F7702" w:rsidRDefault="005E6AFB">
            <w:r>
              <w:rPr>
                <w:b/>
                <w:color w:val="FFFFFF"/>
              </w:rPr>
              <w:t>Module</w:t>
            </w:r>
          </w:p>
        </w:tc>
        <w:tc>
          <w:tcPr>
            <w:tcW w:w="4939" w:type="dxa"/>
            <w:tcMar>
              <w:top w:w="150" w:type="dxa"/>
              <w:left w:w="150" w:type="dxa"/>
              <w:bottom w:w="150" w:type="dxa"/>
              <w:right w:w="150" w:type="dxa"/>
            </w:tcMar>
          </w:tcPr>
          <w:p w14:paraId="457C59DC" w14:textId="77777777" w:rsidR="008F7702" w:rsidRDefault="005E6AFB">
            <w:r>
              <w:t>LCLM5001 – Understanding and Engaging Stakeholders</w:t>
            </w:r>
          </w:p>
        </w:tc>
      </w:tr>
      <w:tr w:rsidR="008F7702" w14:paraId="4AD0390A" w14:textId="77777777">
        <w:tc>
          <w:tcPr>
            <w:tcW w:w="4939" w:type="dxa"/>
            <w:shd w:val="clear" w:color="auto" w:fill="167D8D"/>
            <w:tcMar>
              <w:top w:w="150" w:type="dxa"/>
              <w:left w:w="150" w:type="dxa"/>
              <w:bottom w:w="150" w:type="dxa"/>
              <w:right w:w="150" w:type="dxa"/>
            </w:tcMar>
          </w:tcPr>
          <w:p w14:paraId="0A7C8067" w14:textId="77777777" w:rsidR="008F7702" w:rsidRDefault="005E6AFB">
            <w:r>
              <w:rPr>
                <w:b/>
                <w:color w:val="FFFFFF"/>
              </w:rPr>
              <w:t>Programme</w:t>
            </w:r>
          </w:p>
        </w:tc>
        <w:tc>
          <w:tcPr>
            <w:tcW w:w="4939" w:type="dxa"/>
            <w:tcMar>
              <w:top w:w="150" w:type="dxa"/>
              <w:left w:w="150" w:type="dxa"/>
              <w:bottom w:w="150" w:type="dxa"/>
              <w:right w:w="150" w:type="dxa"/>
            </w:tcMar>
          </w:tcPr>
          <w:p w14:paraId="6556B7A6" w14:textId="77777777" w:rsidR="008F7702" w:rsidRDefault="005E6AFB">
            <w:r>
              <w:t>BA (Hons) Leadership and Management Skills for the Workplace</w:t>
            </w:r>
          </w:p>
        </w:tc>
      </w:tr>
      <w:tr w:rsidR="008F7702" w14:paraId="2AC277DE" w14:textId="77777777">
        <w:tc>
          <w:tcPr>
            <w:tcW w:w="4939" w:type="dxa"/>
            <w:shd w:val="clear" w:color="auto" w:fill="167D8D"/>
            <w:tcMar>
              <w:top w:w="150" w:type="dxa"/>
              <w:left w:w="150" w:type="dxa"/>
              <w:bottom w:w="150" w:type="dxa"/>
              <w:right w:w="150" w:type="dxa"/>
            </w:tcMar>
          </w:tcPr>
          <w:p w14:paraId="31291764" w14:textId="77777777" w:rsidR="008F7702" w:rsidRDefault="005E6AFB">
            <w:r>
              <w:rPr>
                <w:b/>
                <w:color w:val="FFFFFF"/>
              </w:rPr>
              <w:t>Assessment</w:t>
            </w:r>
          </w:p>
        </w:tc>
        <w:tc>
          <w:tcPr>
            <w:tcW w:w="4939" w:type="dxa"/>
            <w:tcMar>
              <w:top w:w="150" w:type="dxa"/>
              <w:left w:w="150" w:type="dxa"/>
              <w:bottom w:w="150" w:type="dxa"/>
              <w:right w:w="150" w:type="dxa"/>
            </w:tcMar>
          </w:tcPr>
          <w:p w14:paraId="10731A3E" w14:textId="77777777" w:rsidR="008F7702" w:rsidRDefault="005E6AFB">
            <w:r>
              <w:t>Individual academic report – 4,000 words (±10%)</w:t>
            </w:r>
          </w:p>
        </w:tc>
      </w:tr>
      <w:tr w:rsidR="008F7702" w14:paraId="3DC650E4" w14:textId="77777777">
        <w:tc>
          <w:tcPr>
            <w:tcW w:w="4939" w:type="dxa"/>
            <w:shd w:val="clear" w:color="auto" w:fill="167D8D"/>
            <w:tcMar>
              <w:top w:w="150" w:type="dxa"/>
              <w:left w:w="150" w:type="dxa"/>
              <w:bottom w:w="150" w:type="dxa"/>
              <w:right w:w="150" w:type="dxa"/>
            </w:tcMar>
          </w:tcPr>
          <w:p w14:paraId="017D5419" w14:textId="77777777" w:rsidR="008F7702" w:rsidRDefault="005E6AFB">
            <w:r>
              <w:rPr>
                <w:b/>
                <w:color w:val="FFFFFF"/>
              </w:rPr>
              <w:t>Prepared for</w:t>
            </w:r>
          </w:p>
        </w:tc>
        <w:tc>
          <w:tcPr>
            <w:tcW w:w="4939" w:type="dxa"/>
            <w:tcMar>
              <w:top w:w="150" w:type="dxa"/>
              <w:left w:w="150" w:type="dxa"/>
              <w:bottom w:w="150" w:type="dxa"/>
              <w:right w:w="150" w:type="dxa"/>
            </w:tcMar>
          </w:tcPr>
          <w:p w14:paraId="400FEB65" w14:textId="77777777" w:rsidR="008F7702" w:rsidRDefault="005E6AFB">
            <w:r>
              <w:t>Senior Management and the Board of Directors</w:t>
            </w:r>
          </w:p>
        </w:tc>
      </w:tr>
    </w:tbl>
    <w:p w14:paraId="676811BC" w14:textId="0C66F9C2" w:rsidR="008F7702" w:rsidRDefault="005E6AFB" w:rsidP="00EC5520">
      <w:r>
        <w:br/>
      </w:r>
    </w:p>
    <w:p w14:paraId="34BAE64A" w14:textId="7F76B7BB" w:rsidR="00EC5520" w:rsidRDefault="00EC5520" w:rsidP="00EC5520"/>
    <w:p w14:paraId="7C91762E" w14:textId="77777777" w:rsidR="00EC5520" w:rsidRDefault="00EC5520" w:rsidP="00EC5520"/>
    <w:p w14:paraId="1E177071" w14:textId="77777777" w:rsidR="00EC5520" w:rsidRDefault="00EC5520" w:rsidP="00EC5520"/>
    <w:p w14:paraId="5B29FE24" w14:textId="77777777" w:rsidR="00EC5520" w:rsidRDefault="00EC5520" w:rsidP="00EC5520"/>
    <w:p w14:paraId="611DE7F3" w14:textId="77777777" w:rsidR="00EC5520" w:rsidRDefault="00EC5520" w:rsidP="00EC5520"/>
    <w:p w14:paraId="7A7E9346" w14:textId="77777777" w:rsidR="00EC5520" w:rsidRDefault="00EC5520" w:rsidP="00EC5520"/>
    <w:p w14:paraId="38FF10CF" w14:textId="77777777" w:rsidR="00EC5520" w:rsidRDefault="00EC5520" w:rsidP="00EC5520"/>
    <w:p w14:paraId="7D98F3E0" w14:textId="77777777" w:rsidR="00EC5520" w:rsidRDefault="00EC5520" w:rsidP="00EC5520"/>
    <w:p w14:paraId="1E7D395B" w14:textId="77777777" w:rsidR="008F7702" w:rsidRDefault="005E6AFB">
      <w:pPr>
        <w:pStyle w:val="Titlu"/>
      </w:pPr>
      <w:r>
        <w:lastRenderedPageBreak/>
        <w:t>Executive Summary</w:t>
      </w:r>
    </w:p>
    <w:p w14:paraId="6F27E7ED" w14:textId="77777777" w:rsidR="00EC5520" w:rsidRDefault="00EC5520" w:rsidP="00EC5520">
      <w:r>
        <w:t>This report outlines a strategy for stakeholder engagement for ConnectPlus, an AI-powered loyalty, rewards and customer-insight platform, which Tesco are proposing to roll out in selected domestic and international markets. The main thesis is that readiness to launch is more than just being technically deliverable. This requires an authentic governance structure where affected parties can have an influence on decision making, risks are transparent, and a management is held accountable for trade offs. Current literature suggests that the focus on stakeholder engagement is moral, strategic and pragmatic, as well as the activities and impacts of such engagement, and notes the risk of selective engagement and/or symbolic engagement where powerful voices prevail (Kujala et al., 2022).</w:t>
      </w:r>
    </w:p>
    <w:p w14:paraId="68F96914" w14:textId="77777777" w:rsidR="00EC5520" w:rsidRDefault="00EC5520" w:rsidP="00EC5520">
      <w:r>
        <w:t>A power–interest analysis pinpoints the key priorities for a new relationship – in this case the Board and executive sponsor, project leadership, digital &amp; data teams, regulators &amp; customers; a salience lens ensures that the views of the subordinate, less powerful yet perhaps more abundant and important groups of digitally excluded customers, frontline colleagues &amp; civil-society advocates are not overlooked. Proposed operating model involves customer and colleague co-design, market advisory panels, supplier assurance, privacy and algorithmic-impact assessments, RACI matrix, auditable decision log and multilingual communication. Conflict is handled using interest based diagnosis, evidence based options, escalation thresholds and documented resolution.</w:t>
      </w:r>
    </w:p>
    <w:p w14:paraId="5C0E2168" w14:textId="43411961" w:rsidR="00EC5520" w:rsidRDefault="00EC5520" w:rsidP="00EC5520">
      <w:r>
        <w:t>The key advantages include enhanced requirement quality, risk detection early, greater adoption and innovation, trust and strategic resilience. Issues are fatigue in engagement, cultural orientation, disincentive mismatch, and delayed decisions and increased costs. Ethical risks are the ones that are most relevant, as personalised recommendations rely on data and algorithms. If there is no transparency, there can be no accountable ownership, testing, contestability and human review (Martin, 2019; Mittelstadt, 2019). The report concludes that sustainable involvement is sustained, inclusive and is attached to governance, but not to a one-off communication activity. A six month staged programme is recommended, with measurable participation, trust, accessibility, fairness, adoption and issue-resolution indicators.</w:t>
      </w:r>
    </w:p>
    <w:p w14:paraId="08B98F47" w14:textId="77777777" w:rsidR="00EC5520" w:rsidRDefault="00EC5520" w:rsidP="00EC5520"/>
    <w:p w14:paraId="7432DA0D" w14:textId="77777777" w:rsidR="00EC5520" w:rsidRDefault="00EC5520" w:rsidP="00EC5520"/>
    <w:p w14:paraId="152A0142" w14:textId="77777777" w:rsidR="00EC5520" w:rsidRDefault="00EC5520" w:rsidP="00EC5520"/>
    <w:p w14:paraId="720477F8" w14:textId="77777777" w:rsidR="00EC5520" w:rsidRDefault="00EC5520" w:rsidP="00EC5520"/>
    <w:p w14:paraId="05DC0989" w14:textId="77777777" w:rsidR="00EC5520" w:rsidRDefault="00EC5520" w:rsidP="00EC5520"/>
    <w:sdt>
      <w:sdtPr>
        <w:rPr>
          <w:rFonts w:ascii="Arial" w:eastAsiaTheme="minorEastAsia" w:hAnsi="Arial" w:cstheme="minorBidi"/>
          <w:b w:val="0"/>
          <w:bCs w:val="0"/>
          <w:color w:val="auto"/>
          <w:sz w:val="22"/>
          <w:szCs w:val="22"/>
        </w:rPr>
        <w:id w:val="-221061466"/>
        <w:docPartObj>
          <w:docPartGallery w:val="Table of Contents"/>
          <w:docPartUnique/>
        </w:docPartObj>
      </w:sdtPr>
      <w:sdtEndPr>
        <w:rPr>
          <w:noProof/>
        </w:rPr>
      </w:sdtEndPr>
      <w:sdtContent>
        <w:p w14:paraId="6AEACF58" w14:textId="43A3DCE6" w:rsidR="00EC5520" w:rsidRDefault="00EC5520">
          <w:pPr>
            <w:pStyle w:val="Titlucuprins"/>
          </w:pPr>
          <w:r>
            <w:t>Contents</w:t>
          </w:r>
        </w:p>
        <w:p w14:paraId="0FD4C2B2" w14:textId="06AF696A" w:rsidR="00EC5520" w:rsidRDefault="00EC5520">
          <w:pPr>
            <w:pStyle w:val="Cuprins1"/>
            <w:tabs>
              <w:tab w:val="left" w:pos="480"/>
              <w:tab w:val="right" w:leader="dot" w:pos="9868"/>
            </w:tabs>
            <w:rPr>
              <w:rFonts w:asciiTheme="minorHAnsi"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5392528" w:history="1">
            <w:r w:rsidRPr="006B236E">
              <w:rPr>
                <w:rStyle w:val="Hyperlink"/>
                <w:noProof/>
              </w:rPr>
              <w:t>1.</w:t>
            </w:r>
            <w:r>
              <w:rPr>
                <w:rFonts w:asciiTheme="minorHAnsi" w:hAnsiTheme="minorHAnsi"/>
                <w:noProof/>
                <w:kern w:val="2"/>
                <w:sz w:val="24"/>
                <w:szCs w:val="24"/>
                <w:lang w:val="en-GB" w:eastAsia="en-GB"/>
                <w14:ligatures w14:val="standardContextual"/>
              </w:rPr>
              <w:tab/>
            </w:r>
            <w:r w:rsidRPr="006B236E">
              <w:rPr>
                <w:rStyle w:val="Hyperlink"/>
                <w:noProof/>
              </w:rPr>
              <w:t>Introduction and Organisational Context</w:t>
            </w:r>
            <w:r>
              <w:rPr>
                <w:noProof/>
                <w:webHidden/>
              </w:rPr>
              <w:tab/>
            </w:r>
            <w:r>
              <w:rPr>
                <w:noProof/>
                <w:webHidden/>
              </w:rPr>
              <w:fldChar w:fldCharType="begin"/>
            </w:r>
            <w:r>
              <w:rPr>
                <w:noProof/>
                <w:webHidden/>
              </w:rPr>
              <w:instrText xml:space="preserve"> PAGEREF _Toc235392528 \h </w:instrText>
            </w:r>
            <w:r>
              <w:rPr>
                <w:noProof/>
                <w:webHidden/>
              </w:rPr>
            </w:r>
            <w:r>
              <w:rPr>
                <w:noProof/>
                <w:webHidden/>
              </w:rPr>
              <w:fldChar w:fldCharType="separate"/>
            </w:r>
            <w:r>
              <w:rPr>
                <w:noProof/>
                <w:webHidden/>
              </w:rPr>
              <w:t>4</w:t>
            </w:r>
            <w:r>
              <w:rPr>
                <w:noProof/>
                <w:webHidden/>
              </w:rPr>
              <w:fldChar w:fldCharType="end"/>
            </w:r>
          </w:hyperlink>
        </w:p>
        <w:p w14:paraId="703DEB5F" w14:textId="49251067" w:rsidR="00EC5520" w:rsidRDefault="00EC5520">
          <w:pPr>
            <w:pStyle w:val="Cuprins1"/>
            <w:tabs>
              <w:tab w:val="right" w:leader="dot" w:pos="9868"/>
            </w:tabs>
            <w:rPr>
              <w:rFonts w:asciiTheme="minorHAnsi" w:hAnsiTheme="minorHAnsi"/>
              <w:noProof/>
              <w:kern w:val="2"/>
              <w:sz w:val="24"/>
              <w:szCs w:val="24"/>
              <w:lang w:val="en-GB" w:eastAsia="en-GB"/>
              <w14:ligatures w14:val="standardContextual"/>
            </w:rPr>
          </w:pPr>
          <w:hyperlink w:anchor="_Toc235392529" w:history="1">
            <w:r w:rsidRPr="006B236E">
              <w:rPr>
                <w:rStyle w:val="Hyperlink"/>
                <w:noProof/>
              </w:rPr>
              <w:t>2. SMART Objectives</w:t>
            </w:r>
            <w:r>
              <w:rPr>
                <w:noProof/>
                <w:webHidden/>
              </w:rPr>
              <w:tab/>
            </w:r>
            <w:r>
              <w:rPr>
                <w:noProof/>
                <w:webHidden/>
              </w:rPr>
              <w:fldChar w:fldCharType="begin"/>
            </w:r>
            <w:r>
              <w:rPr>
                <w:noProof/>
                <w:webHidden/>
              </w:rPr>
              <w:instrText xml:space="preserve"> PAGEREF _Toc235392529 \h </w:instrText>
            </w:r>
            <w:r>
              <w:rPr>
                <w:noProof/>
                <w:webHidden/>
              </w:rPr>
            </w:r>
            <w:r>
              <w:rPr>
                <w:noProof/>
                <w:webHidden/>
              </w:rPr>
              <w:fldChar w:fldCharType="separate"/>
            </w:r>
            <w:r>
              <w:rPr>
                <w:noProof/>
                <w:webHidden/>
              </w:rPr>
              <w:t>5</w:t>
            </w:r>
            <w:r>
              <w:rPr>
                <w:noProof/>
                <w:webHidden/>
              </w:rPr>
              <w:fldChar w:fldCharType="end"/>
            </w:r>
          </w:hyperlink>
        </w:p>
        <w:p w14:paraId="127B8B02" w14:textId="5FE68420" w:rsidR="00EC5520" w:rsidRDefault="00EC5520">
          <w:pPr>
            <w:pStyle w:val="Cuprins1"/>
            <w:tabs>
              <w:tab w:val="right" w:leader="dot" w:pos="9868"/>
            </w:tabs>
            <w:rPr>
              <w:rFonts w:asciiTheme="minorHAnsi" w:hAnsiTheme="minorHAnsi"/>
              <w:noProof/>
              <w:kern w:val="2"/>
              <w:sz w:val="24"/>
              <w:szCs w:val="24"/>
              <w:lang w:val="en-GB" w:eastAsia="en-GB"/>
              <w14:ligatures w14:val="standardContextual"/>
            </w:rPr>
          </w:pPr>
          <w:hyperlink w:anchor="_Toc235392530" w:history="1">
            <w:r w:rsidRPr="006B236E">
              <w:rPr>
                <w:rStyle w:val="Hyperlink"/>
                <w:noProof/>
              </w:rPr>
              <w:t>3. Stakeholder Identification and Categorisation</w:t>
            </w:r>
            <w:r>
              <w:rPr>
                <w:noProof/>
                <w:webHidden/>
              </w:rPr>
              <w:tab/>
            </w:r>
            <w:r>
              <w:rPr>
                <w:noProof/>
                <w:webHidden/>
              </w:rPr>
              <w:fldChar w:fldCharType="begin"/>
            </w:r>
            <w:r>
              <w:rPr>
                <w:noProof/>
                <w:webHidden/>
              </w:rPr>
              <w:instrText xml:space="preserve"> PAGEREF _Toc235392530 \h </w:instrText>
            </w:r>
            <w:r>
              <w:rPr>
                <w:noProof/>
                <w:webHidden/>
              </w:rPr>
            </w:r>
            <w:r>
              <w:rPr>
                <w:noProof/>
                <w:webHidden/>
              </w:rPr>
              <w:fldChar w:fldCharType="separate"/>
            </w:r>
            <w:r>
              <w:rPr>
                <w:noProof/>
                <w:webHidden/>
              </w:rPr>
              <w:t>6</w:t>
            </w:r>
            <w:r>
              <w:rPr>
                <w:noProof/>
                <w:webHidden/>
              </w:rPr>
              <w:fldChar w:fldCharType="end"/>
            </w:r>
          </w:hyperlink>
        </w:p>
        <w:p w14:paraId="289089FE" w14:textId="075491F3" w:rsidR="00EC5520" w:rsidRDefault="00EC5520">
          <w:pPr>
            <w:pStyle w:val="Cuprins2"/>
            <w:tabs>
              <w:tab w:val="right" w:leader="dot" w:pos="9868"/>
            </w:tabs>
            <w:rPr>
              <w:rFonts w:asciiTheme="minorHAnsi" w:hAnsiTheme="minorHAnsi"/>
              <w:noProof/>
              <w:kern w:val="2"/>
              <w:sz w:val="24"/>
              <w:szCs w:val="24"/>
              <w:lang w:val="en-GB" w:eastAsia="en-GB"/>
              <w14:ligatures w14:val="standardContextual"/>
            </w:rPr>
          </w:pPr>
          <w:hyperlink w:anchor="_Toc235392531" w:history="1">
            <w:r w:rsidRPr="006B236E">
              <w:rPr>
                <w:rStyle w:val="Hyperlink"/>
                <w:noProof/>
              </w:rPr>
              <w:t>3.1 Identification logic</w:t>
            </w:r>
            <w:r>
              <w:rPr>
                <w:noProof/>
                <w:webHidden/>
              </w:rPr>
              <w:tab/>
            </w:r>
            <w:r>
              <w:rPr>
                <w:noProof/>
                <w:webHidden/>
              </w:rPr>
              <w:fldChar w:fldCharType="begin"/>
            </w:r>
            <w:r>
              <w:rPr>
                <w:noProof/>
                <w:webHidden/>
              </w:rPr>
              <w:instrText xml:space="preserve"> PAGEREF _Toc235392531 \h </w:instrText>
            </w:r>
            <w:r>
              <w:rPr>
                <w:noProof/>
                <w:webHidden/>
              </w:rPr>
            </w:r>
            <w:r>
              <w:rPr>
                <w:noProof/>
                <w:webHidden/>
              </w:rPr>
              <w:fldChar w:fldCharType="separate"/>
            </w:r>
            <w:r>
              <w:rPr>
                <w:noProof/>
                <w:webHidden/>
              </w:rPr>
              <w:t>6</w:t>
            </w:r>
            <w:r>
              <w:rPr>
                <w:noProof/>
                <w:webHidden/>
              </w:rPr>
              <w:fldChar w:fldCharType="end"/>
            </w:r>
          </w:hyperlink>
        </w:p>
        <w:p w14:paraId="4C0AACF0" w14:textId="2421528A" w:rsidR="00EC5520" w:rsidRDefault="00EC5520">
          <w:pPr>
            <w:pStyle w:val="Cuprins2"/>
            <w:tabs>
              <w:tab w:val="right" w:leader="dot" w:pos="9868"/>
            </w:tabs>
            <w:rPr>
              <w:rFonts w:asciiTheme="minorHAnsi" w:hAnsiTheme="minorHAnsi"/>
              <w:noProof/>
              <w:kern w:val="2"/>
              <w:sz w:val="24"/>
              <w:szCs w:val="24"/>
              <w:lang w:val="en-GB" w:eastAsia="en-GB"/>
              <w14:ligatures w14:val="standardContextual"/>
            </w:rPr>
          </w:pPr>
          <w:hyperlink w:anchor="_Toc235392532" w:history="1">
            <w:r w:rsidRPr="006B236E">
              <w:rPr>
                <w:rStyle w:val="Hyperlink"/>
                <w:noProof/>
              </w:rPr>
              <w:t>3.2 The power–interest and salience analysis is the third type of analysis.</w:t>
            </w:r>
            <w:r>
              <w:rPr>
                <w:noProof/>
                <w:webHidden/>
              </w:rPr>
              <w:tab/>
            </w:r>
            <w:r>
              <w:rPr>
                <w:noProof/>
                <w:webHidden/>
              </w:rPr>
              <w:fldChar w:fldCharType="begin"/>
            </w:r>
            <w:r>
              <w:rPr>
                <w:noProof/>
                <w:webHidden/>
              </w:rPr>
              <w:instrText xml:space="preserve"> PAGEREF _Toc235392532 \h </w:instrText>
            </w:r>
            <w:r>
              <w:rPr>
                <w:noProof/>
                <w:webHidden/>
              </w:rPr>
            </w:r>
            <w:r>
              <w:rPr>
                <w:noProof/>
                <w:webHidden/>
              </w:rPr>
              <w:fldChar w:fldCharType="separate"/>
            </w:r>
            <w:r>
              <w:rPr>
                <w:noProof/>
                <w:webHidden/>
              </w:rPr>
              <w:t>6</w:t>
            </w:r>
            <w:r>
              <w:rPr>
                <w:noProof/>
                <w:webHidden/>
              </w:rPr>
              <w:fldChar w:fldCharType="end"/>
            </w:r>
          </w:hyperlink>
        </w:p>
        <w:p w14:paraId="509960F5" w14:textId="139C8BF9" w:rsidR="00EC5520" w:rsidRDefault="00EC5520">
          <w:pPr>
            <w:pStyle w:val="Cuprins1"/>
            <w:tabs>
              <w:tab w:val="right" w:leader="dot" w:pos="9868"/>
            </w:tabs>
            <w:rPr>
              <w:rFonts w:asciiTheme="minorHAnsi" w:hAnsiTheme="minorHAnsi"/>
              <w:noProof/>
              <w:kern w:val="2"/>
              <w:sz w:val="24"/>
              <w:szCs w:val="24"/>
              <w:lang w:val="en-GB" w:eastAsia="en-GB"/>
              <w14:ligatures w14:val="standardContextual"/>
            </w:rPr>
          </w:pPr>
          <w:hyperlink w:anchor="_Toc235392533" w:history="1">
            <w:r w:rsidRPr="006B236E">
              <w:rPr>
                <w:rStyle w:val="Hyperlink"/>
                <w:noProof/>
              </w:rPr>
              <w:t>4. Roles, Benefits and Challenges</w:t>
            </w:r>
            <w:r>
              <w:rPr>
                <w:noProof/>
                <w:webHidden/>
              </w:rPr>
              <w:tab/>
            </w:r>
            <w:r>
              <w:rPr>
                <w:noProof/>
                <w:webHidden/>
              </w:rPr>
              <w:fldChar w:fldCharType="begin"/>
            </w:r>
            <w:r>
              <w:rPr>
                <w:noProof/>
                <w:webHidden/>
              </w:rPr>
              <w:instrText xml:space="preserve"> PAGEREF _Toc235392533 \h </w:instrText>
            </w:r>
            <w:r>
              <w:rPr>
                <w:noProof/>
                <w:webHidden/>
              </w:rPr>
            </w:r>
            <w:r>
              <w:rPr>
                <w:noProof/>
                <w:webHidden/>
              </w:rPr>
              <w:fldChar w:fldCharType="separate"/>
            </w:r>
            <w:r>
              <w:rPr>
                <w:noProof/>
                <w:webHidden/>
              </w:rPr>
              <w:t>8</w:t>
            </w:r>
            <w:r>
              <w:rPr>
                <w:noProof/>
                <w:webHidden/>
              </w:rPr>
              <w:fldChar w:fldCharType="end"/>
            </w:r>
          </w:hyperlink>
        </w:p>
        <w:p w14:paraId="272974D1" w14:textId="16028040" w:rsidR="00EC5520" w:rsidRDefault="00EC5520">
          <w:pPr>
            <w:pStyle w:val="Cuprins1"/>
            <w:tabs>
              <w:tab w:val="right" w:leader="dot" w:pos="9868"/>
            </w:tabs>
            <w:rPr>
              <w:rFonts w:asciiTheme="minorHAnsi" w:hAnsiTheme="minorHAnsi"/>
              <w:noProof/>
              <w:kern w:val="2"/>
              <w:sz w:val="24"/>
              <w:szCs w:val="24"/>
              <w:lang w:val="en-GB" w:eastAsia="en-GB"/>
              <w14:ligatures w14:val="standardContextual"/>
            </w:rPr>
          </w:pPr>
          <w:hyperlink w:anchor="_Toc235392534" w:history="1">
            <w:r w:rsidRPr="006B236E">
              <w:rPr>
                <w:rStyle w:val="Hyperlink"/>
                <w:noProof/>
              </w:rPr>
              <w:t>5. Engagement, Communication and Conflict Management</w:t>
            </w:r>
            <w:r>
              <w:rPr>
                <w:noProof/>
                <w:webHidden/>
              </w:rPr>
              <w:tab/>
            </w:r>
            <w:r>
              <w:rPr>
                <w:noProof/>
                <w:webHidden/>
              </w:rPr>
              <w:fldChar w:fldCharType="begin"/>
            </w:r>
            <w:r>
              <w:rPr>
                <w:noProof/>
                <w:webHidden/>
              </w:rPr>
              <w:instrText xml:space="preserve"> PAGEREF _Toc235392534 \h </w:instrText>
            </w:r>
            <w:r>
              <w:rPr>
                <w:noProof/>
                <w:webHidden/>
              </w:rPr>
            </w:r>
            <w:r>
              <w:rPr>
                <w:noProof/>
                <w:webHidden/>
              </w:rPr>
              <w:fldChar w:fldCharType="separate"/>
            </w:r>
            <w:r>
              <w:rPr>
                <w:noProof/>
                <w:webHidden/>
              </w:rPr>
              <w:t>9</w:t>
            </w:r>
            <w:r>
              <w:rPr>
                <w:noProof/>
                <w:webHidden/>
              </w:rPr>
              <w:fldChar w:fldCharType="end"/>
            </w:r>
          </w:hyperlink>
        </w:p>
        <w:p w14:paraId="7C733948" w14:textId="624F4C42" w:rsidR="00EC5520" w:rsidRDefault="00EC5520">
          <w:pPr>
            <w:pStyle w:val="Cuprins2"/>
            <w:tabs>
              <w:tab w:val="right" w:leader="dot" w:pos="9868"/>
            </w:tabs>
            <w:rPr>
              <w:rFonts w:asciiTheme="minorHAnsi" w:hAnsiTheme="minorHAnsi"/>
              <w:noProof/>
              <w:kern w:val="2"/>
              <w:sz w:val="24"/>
              <w:szCs w:val="24"/>
              <w:lang w:val="en-GB" w:eastAsia="en-GB"/>
              <w14:ligatures w14:val="standardContextual"/>
            </w:rPr>
          </w:pPr>
          <w:hyperlink w:anchor="_Toc235392535" w:history="1">
            <w:r w:rsidRPr="006B236E">
              <w:rPr>
                <w:rStyle w:val="Hyperlink"/>
                <w:noProof/>
              </w:rPr>
              <w:t>5.1 Engagement process and governance</w:t>
            </w:r>
            <w:r>
              <w:rPr>
                <w:noProof/>
                <w:webHidden/>
              </w:rPr>
              <w:tab/>
            </w:r>
            <w:r>
              <w:rPr>
                <w:noProof/>
                <w:webHidden/>
              </w:rPr>
              <w:fldChar w:fldCharType="begin"/>
            </w:r>
            <w:r>
              <w:rPr>
                <w:noProof/>
                <w:webHidden/>
              </w:rPr>
              <w:instrText xml:space="preserve"> PAGEREF _Toc235392535 \h </w:instrText>
            </w:r>
            <w:r>
              <w:rPr>
                <w:noProof/>
                <w:webHidden/>
              </w:rPr>
            </w:r>
            <w:r>
              <w:rPr>
                <w:noProof/>
                <w:webHidden/>
              </w:rPr>
              <w:fldChar w:fldCharType="separate"/>
            </w:r>
            <w:r>
              <w:rPr>
                <w:noProof/>
                <w:webHidden/>
              </w:rPr>
              <w:t>9</w:t>
            </w:r>
            <w:r>
              <w:rPr>
                <w:noProof/>
                <w:webHidden/>
              </w:rPr>
              <w:fldChar w:fldCharType="end"/>
            </w:r>
          </w:hyperlink>
        </w:p>
        <w:p w14:paraId="6B698AAC" w14:textId="42EF6C2F" w:rsidR="00EC5520" w:rsidRDefault="00EC5520">
          <w:pPr>
            <w:pStyle w:val="Cuprins2"/>
            <w:tabs>
              <w:tab w:val="right" w:leader="dot" w:pos="9868"/>
            </w:tabs>
            <w:rPr>
              <w:rFonts w:asciiTheme="minorHAnsi" w:hAnsiTheme="minorHAnsi"/>
              <w:noProof/>
              <w:kern w:val="2"/>
              <w:sz w:val="24"/>
              <w:szCs w:val="24"/>
              <w:lang w:val="en-GB" w:eastAsia="en-GB"/>
              <w14:ligatures w14:val="standardContextual"/>
            </w:rPr>
          </w:pPr>
          <w:hyperlink w:anchor="_Toc235392536" w:history="1">
            <w:r w:rsidRPr="006B236E">
              <w:rPr>
                <w:rStyle w:val="Hyperlink"/>
                <w:noProof/>
              </w:rPr>
              <w:t>5.2 RACI and communication plan</w:t>
            </w:r>
            <w:r>
              <w:rPr>
                <w:noProof/>
                <w:webHidden/>
              </w:rPr>
              <w:tab/>
            </w:r>
            <w:r>
              <w:rPr>
                <w:noProof/>
                <w:webHidden/>
              </w:rPr>
              <w:fldChar w:fldCharType="begin"/>
            </w:r>
            <w:r>
              <w:rPr>
                <w:noProof/>
                <w:webHidden/>
              </w:rPr>
              <w:instrText xml:space="preserve"> PAGEREF _Toc235392536 \h </w:instrText>
            </w:r>
            <w:r>
              <w:rPr>
                <w:noProof/>
                <w:webHidden/>
              </w:rPr>
            </w:r>
            <w:r>
              <w:rPr>
                <w:noProof/>
                <w:webHidden/>
              </w:rPr>
              <w:fldChar w:fldCharType="separate"/>
            </w:r>
            <w:r>
              <w:rPr>
                <w:noProof/>
                <w:webHidden/>
              </w:rPr>
              <w:t>10</w:t>
            </w:r>
            <w:r>
              <w:rPr>
                <w:noProof/>
                <w:webHidden/>
              </w:rPr>
              <w:fldChar w:fldCharType="end"/>
            </w:r>
          </w:hyperlink>
        </w:p>
        <w:p w14:paraId="4AF9CAB7" w14:textId="481C5826" w:rsidR="00EC5520" w:rsidRDefault="00EC5520">
          <w:pPr>
            <w:pStyle w:val="Cuprins2"/>
            <w:tabs>
              <w:tab w:val="right" w:leader="dot" w:pos="9868"/>
            </w:tabs>
            <w:rPr>
              <w:rFonts w:asciiTheme="minorHAnsi" w:hAnsiTheme="minorHAnsi"/>
              <w:noProof/>
              <w:kern w:val="2"/>
              <w:sz w:val="24"/>
              <w:szCs w:val="24"/>
              <w:lang w:val="en-GB" w:eastAsia="en-GB"/>
              <w14:ligatures w14:val="standardContextual"/>
            </w:rPr>
          </w:pPr>
          <w:hyperlink w:anchor="_Toc235392537" w:history="1">
            <w:r w:rsidRPr="006B236E">
              <w:rPr>
                <w:rStyle w:val="Hyperlink"/>
                <w:noProof/>
              </w:rPr>
              <w:t>5.3 Co-design, responsible AI and cultural adaptation</w:t>
            </w:r>
            <w:r>
              <w:rPr>
                <w:noProof/>
                <w:webHidden/>
              </w:rPr>
              <w:tab/>
            </w:r>
            <w:r>
              <w:rPr>
                <w:noProof/>
                <w:webHidden/>
              </w:rPr>
              <w:fldChar w:fldCharType="begin"/>
            </w:r>
            <w:r>
              <w:rPr>
                <w:noProof/>
                <w:webHidden/>
              </w:rPr>
              <w:instrText xml:space="preserve"> PAGEREF _Toc235392537 \h </w:instrText>
            </w:r>
            <w:r>
              <w:rPr>
                <w:noProof/>
                <w:webHidden/>
              </w:rPr>
            </w:r>
            <w:r>
              <w:rPr>
                <w:noProof/>
                <w:webHidden/>
              </w:rPr>
              <w:fldChar w:fldCharType="separate"/>
            </w:r>
            <w:r>
              <w:rPr>
                <w:noProof/>
                <w:webHidden/>
              </w:rPr>
              <w:t>11</w:t>
            </w:r>
            <w:r>
              <w:rPr>
                <w:noProof/>
                <w:webHidden/>
              </w:rPr>
              <w:fldChar w:fldCharType="end"/>
            </w:r>
          </w:hyperlink>
        </w:p>
        <w:p w14:paraId="6BE2AD6A" w14:textId="63B4AE82" w:rsidR="00EC5520" w:rsidRDefault="00EC5520">
          <w:pPr>
            <w:pStyle w:val="Cuprins2"/>
            <w:tabs>
              <w:tab w:val="right" w:leader="dot" w:pos="9868"/>
            </w:tabs>
            <w:rPr>
              <w:rFonts w:asciiTheme="minorHAnsi" w:hAnsiTheme="minorHAnsi"/>
              <w:noProof/>
              <w:kern w:val="2"/>
              <w:sz w:val="24"/>
              <w:szCs w:val="24"/>
              <w:lang w:val="en-GB" w:eastAsia="en-GB"/>
              <w14:ligatures w14:val="standardContextual"/>
            </w:rPr>
          </w:pPr>
          <w:hyperlink w:anchor="_Toc235392538" w:history="1">
            <w:r w:rsidRPr="006B236E">
              <w:rPr>
                <w:rStyle w:val="Hyperlink"/>
                <w:noProof/>
              </w:rPr>
              <w:t>5.4 Conflict management</w:t>
            </w:r>
            <w:r>
              <w:rPr>
                <w:noProof/>
                <w:webHidden/>
              </w:rPr>
              <w:tab/>
            </w:r>
            <w:r>
              <w:rPr>
                <w:noProof/>
                <w:webHidden/>
              </w:rPr>
              <w:fldChar w:fldCharType="begin"/>
            </w:r>
            <w:r>
              <w:rPr>
                <w:noProof/>
                <w:webHidden/>
              </w:rPr>
              <w:instrText xml:space="preserve"> PAGEREF _Toc235392538 \h </w:instrText>
            </w:r>
            <w:r>
              <w:rPr>
                <w:noProof/>
                <w:webHidden/>
              </w:rPr>
            </w:r>
            <w:r>
              <w:rPr>
                <w:noProof/>
                <w:webHidden/>
              </w:rPr>
              <w:fldChar w:fldCharType="separate"/>
            </w:r>
            <w:r>
              <w:rPr>
                <w:noProof/>
                <w:webHidden/>
              </w:rPr>
              <w:t>12</w:t>
            </w:r>
            <w:r>
              <w:rPr>
                <w:noProof/>
                <w:webHidden/>
              </w:rPr>
              <w:fldChar w:fldCharType="end"/>
            </w:r>
          </w:hyperlink>
        </w:p>
        <w:p w14:paraId="72239AAA" w14:textId="46C0FA2C" w:rsidR="00EC5520" w:rsidRDefault="00EC5520">
          <w:pPr>
            <w:pStyle w:val="Cuprins1"/>
            <w:tabs>
              <w:tab w:val="right" w:leader="dot" w:pos="9868"/>
            </w:tabs>
            <w:rPr>
              <w:rFonts w:asciiTheme="minorHAnsi" w:hAnsiTheme="minorHAnsi"/>
              <w:noProof/>
              <w:kern w:val="2"/>
              <w:sz w:val="24"/>
              <w:szCs w:val="24"/>
              <w:lang w:val="en-GB" w:eastAsia="en-GB"/>
              <w14:ligatures w14:val="standardContextual"/>
            </w:rPr>
          </w:pPr>
          <w:hyperlink w:anchor="_Toc235392539" w:history="1">
            <w:r w:rsidRPr="006B236E">
              <w:rPr>
                <w:rStyle w:val="Hyperlink"/>
                <w:noProof/>
              </w:rPr>
              <w:t>6. Sustainable Stakeholder Engagement and Business Performance</w:t>
            </w:r>
            <w:r>
              <w:rPr>
                <w:noProof/>
                <w:webHidden/>
              </w:rPr>
              <w:tab/>
            </w:r>
            <w:r>
              <w:rPr>
                <w:noProof/>
                <w:webHidden/>
              </w:rPr>
              <w:fldChar w:fldCharType="begin"/>
            </w:r>
            <w:r>
              <w:rPr>
                <w:noProof/>
                <w:webHidden/>
              </w:rPr>
              <w:instrText xml:space="preserve"> PAGEREF _Toc235392539 \h </w:instrText>
            </w:r>
            <w:r>
              <w:rPr>
                <w:noProof/>
                <w:webHidden/>
              </w:rPr>
            </w:r>
            <w:r>
              <w:rPr>
                <w:noProof/>
                <w:webHidden/>
              </w:rPr>
              <w:fldChar w:fldCharType="separate"/>
            </w:r>
            <w:r>
              <w:rPr>
                <w:noProof/>
                <w:webHidden/>
              </w:rPr>
              <w:t>13</w:t>
            </w:r>
            <w:r>
              <w:rPr>
                <w:noProof/>
                <w:webHidden/>
              </w:rPr>
              <w:fldChar w:fldCharType="end"/>
            </w:r>
          </w:hyperlink>
        </w:p>
        <w:p w14:paraId="5AF15FF8" w14:textId="5F2FF1CC" w:rsidR="00EC5520" w:rsidRDefault="00EC5520">
          <w:pPr>
            <w:pStyle w:val="Cuprins1"/>
            <w:tabs>
              <w:tab w:val="right" w:leader="dot" w:pos="9868"/>
            </w:tabs>
            <w:rPr>
              <w:rFonts w:asciiTheme="minorHAnsi" w:hAnsiTheme="minorHAnsi"/>
              <w:noProof/>
              <w:kern w:val="2"/>
              <w:sz w:val="24"/>
              <w:szCs w:val="24"/>
              <w:lang w:val="en-GB" w:eastAsia="en-GB"/>
              <w14:ligatures w14:val="standardContextual"/>
            </w:rPr>
          </w:pPr>
          <w:hyperlink w:anchor="_Toc235392540" w:history="1">
            <w:r w:rsidRPr="006B236E">
              <w:rPr>
                <w:rStyle w:val="Hyperlink"/>
                <w:noProof/>
              </w:rPr>
              <w:t>Recommendations</w:t>
            </w:r>
            <w:r>
              <w:rPr>
                <w:noProof/>
                <w:webHidden/>
              </w:rPr>
              <w:tab/>
            </w:r>
            <w:r>
              <w:rPr>
                <w:noProof/>
                <w:webHidden/>
              </w:rPr>
              <w:fldChar w:fldCharType="begin"/>
            </w:r>
            <w:r>
              <w:rPr>
                <w:noProof/>
                <w:webHidden/>
              </w:rPr>
              <w:instrText xml:space="preserve"> PAGEREF _Toc235392540 \h </w:instrText>
            </w:r>
            <w:r>
              <w:rPr>
                <w:noProof/>
                <w:webHidden/>
              </w:rPr>
            </w:r>
            <w:r>
              <w:rPr>
                <w:noProof/>
                <w:webHidden/>
              </w:rPr>
              <w:fldChar w:fldCharType="separate"/>
            </w:r>
            <w:r>
              <w:rPr>
                <w:noProof/>
                <w:webHidden/>
              </w:rPr>
              <w:t>15</w:t>
            </w:r>
            <w:r>
              <w:rPr>
                <w:noProof/>
                <w:webHidden/>
              </w:rPr>
              <w:fldChar w:fldCharType="end"/>
            </w:r>
          </w:hyperlink>
        </w:p>
        <w:p w14:paraId="78FBA2CE" w14:textId="6063E62B" w:rsidR="00EC5520" w:rsidRDefault="00EC5520">
          <w:pPr>
            <w:pStyle w:val="Cuprins1"/>
            <w:tabs>
              <w:tab w:val="right" w:leader="dot" w:pos="9868"/>
            </w:tabs>
            <w:rPr>
              <w:rFonts w:asciiTheme="minorHAnsi" w:hAnsiTheme="minorHAnsi"/>
              <w:noProof/>
              <w:kern w:val="2"/>
              <w:sz w:val="24"/>
              <w:szCs w:val="24"/>
              <w:lang w:val="en-GB" w:eastAsia="en-GB"/>
              <w14:ligatures w14:val="standardContextual"/>
            </w:rPr>
          </w:pPr>
          <w:hyperlink w:anchor="_Toc235392541" w:history="1">
            <w:r w:rsidRPr="006B236E">
              <w:rPr>
                <w:rStyle w:val="Hyperlink"/>
                <w:noProof/>
              </w:rPr>
              <w:t>Conclusion</w:t>
            </w:r>
            <w:r>
              <w:rPr>
                <w:noProof/>
                <w:webHidden/>
              </w:rPr>
              <w:tab/>
            </w:r>
            <w:r>
              <w:rPr>
                <w:noProof/>
                <w:webHidden/>
              </w:rPr>
              <w:fldChar w:fldCharType="begin"/>
            </w:r>
            <w:r>
              <w:rPr>
                <w:noProof/>
                <w:webHidden/>
              </w:rPr>
              <w:instrText xml:space="preserve"> PAGEREF _Toc235392541 \h </w:instrText>
            </w:r>
            <w:r>
              <w:rPr>
                <w:noProof/>
                <w:webHidden/>
              </w:rPr>
            </w:r>
            <w:r>
              <w:rPr>
                <w:noProof/>
                <w:webHidden/>
              </w:rPr>
              <w:fldChar w:fldCharType="separate"/>
            </w:r>
            <w:r>
              <w:rPr>
                <w:noProof/>
                <w:webHidden/>
              </w:rPr>
              <w:t>15</w:t>
            </w:r>
            <w:r>
              <w:rPr>
                <w:noProof/>
                <w:webHidden/>
              </w:rPr>
              <w:fldChar w:fldCharType="end"/>
            </w:r>
          </w:hyperlink>
        </w:p>
        <w:p w14:paraId="4D215815" w14:textId="68A1A062" w:rsidR="00EC5520" w:rsidRDefault="00EC5520">
          <w:r>
            <w:rPr>
              <w:b/>
              <w:bCs/>
              <w:noProof/>
            </w:rPr>
            <w:fldChar w:fldCharType="end"/>
          </w:r>
        </w:p>
      </w:sdtContent>
    </w:sdt>
    <w:p w14:paraId="2A8EC8D3" w14:textId="77777777" w:rsidR="00EC5520" w:rsidRDefault="00EC5520" w:rsidP="00EC5520"/>
    <w:p w14:paraId="6E3F9B2D" w14:textId="77777777" w:rsidR="00EC5520" w:rsidRDefault="00EC5520" w:rsidP="00EC5520"/>
    <w:p w14:paraId="04F0E4E0" w14:textId="77777777" w:rsidR="00EC5520" w:rsidRDefault="00EC5520" w:rsidP="00EC5520"/>
    <w:p w14:paraId="310C3807" w14:textId="77777777" w:rsidR="00EC5520" w:rsidRDefault="00EC5520" w:rsidP="00EC5520"/>
    <w:p w14:paraId="4F6CE513" w14:textId="77777777" w:rsidR="00EC5520" w:rsidRDefault="00EC5520" w:rsidP="00EC5520"/>
    <w:p w14:paraId="61C856F6" w14:textId="77777777" w:rsidR="00EC5520" w:rsidRDefault="00EC5520" w:rsidP="00EC5520"/>
    <w:p w14:paraId="35821F24" w14:textId="77777777" w:rsidR="00EC5520" w:rsidRDefault="00EC5520" w:rsidP="00EC5520"/>
    <w:p w14:paraId="5B260523" w14:textId="77777777" w:rsidR="00EC5520" w:rsidRDefault="00EC5520" w:rsidP="00EC5520"/>
    <w:p w14:paraId="7F2B8E9B" w14:textId="77777777" w:rsidR="00EC5520" w:rsidRDefault="00EC5520" w:rsidP="00EC5520"/>
    <w:p w14:paraId="4ADFA40F" w14:textId="77777777" w:rsidR="00EC5520" w:rsidRDefault="00EC5520" w:rsidP="00EC5520"/>
    <w:p w14:paraId="6E51E8EC" w14:textId="77777777" w:rsidR="00EC5520" w:rsidRDefault="00EC5520" w:rsidP="00EC5520"/>
    <w:p w14:paraId="58CB9E07" w14:textId="77777777" w:rsidR="00EC5520" w:rsidRDefault="00EC5520" w:rsidP="00EC5520"/>
    <w:p w14:paraId="6BE28801" w14:textId="77777777" w:rsidR="00EC5520" w:rsidRDefault="00EC5520" w:rsidP="00EC5520"/>
    <w:p w14:paraId="4D4548D5" w14:textId="77777777" w:rsidR="00EC5520" w:rsidRDefault="00EC5520" w:rsidP="00EC5520"/>
    <w:p w14:paraId="2CB0A626" w14:textId="77777777" w:rsidR="00EC5520" w:rsidRDefault="00EC5520" w:rsidP="00EC5520"/>
    <w:p w14:paraId="0D095D83" w14:textId="77777777" w:rsidR="00EC5520" w:rsidRDefault="00EC5520" w:rsidP="00EC5520"/>
    <w:p w14:paraId="4DCAE8B0" w14:textId="77777777" w:rsidR="00EC5520" w:rsidRPr="00EC5520" w:rsidRDefault="00EC5520" w:rsidP="00EC5520"/>
    <w:p w14:paraId="4823F6E6" w14:textId="2F69A72A" w:rsidR="008F7702" w:rsidRDefault="005E6AFB" w:rsidP="00EC5520">
      <w:pPr>
        <w:pStyle w:val="Titlu1"/>
        <w:numPr>
          <w:ilvl w:val="0"/>
          <w:numId w:val="14"/>
        </w:numPr>
      </w:pPr>
      <w:bookmarkStart w:id="0" w:name="_Toc235392528"/>
      <w:r>
        <w:t>Introduction and Organisational Context</w:t>
      </w:r>
      <w:bookmarkEnd w:id="0"/>
    </w:p>
    <w:p w14:paraId="1E79C91B" w14:textId="77777777" w:rsidR="00EC5520" w:rsidRDefault="00EC5520" w:rsidP="00EC5520">
      <w:r>
        <w:t>In order to assess it, Tesco PLC, which is assumed to be the leading international retail/e-commerce business in the UK, is used. ConnectPlus is not a claim regarding an existing Tesco product, but is a fictional proposed platform. It would integrate AI-powered product recommendations, mobile rewards, and integrated customer insights to aid in customer retention, personalized service offerings, and data-driven decision-making. The project consequently straddles organisations – commercial value hinges on the willingness of customers to share data, of colleagues to communicate the proposition, of technology partners to provide reliable services, of regulators to certify for compliance, and of local markets to accept the experience without breaking up the brand.</w:t>
      </w:r>
    </w:p>
    <w:p w14:paraId="4124C735" w14:textId="77777777" w:rsidR="00EC5520" w:rsidRDefault="00EC5520" w:rsidP="00EC5520">
      <w:r>
        <w:t>Digital transformation is not only concerned with the installation of technology but with a process in which digital technologies lead to value creation changes, changes in structures and organisational responses (Vial, 2019). ConnectPlus an apparently simple loyalty application alters decisions regarding data ownership, data marketing, store operation, customer service, supplier access, cybersecurity and accountability. AI can enhance prediction, personalisation and interaction; however the impact on these depends on the task, consumer experience and level of delegation of decision-making (Davenport et al., 2020; Huang and Rust, 2021). Therefore, project success must be enhanced by legitimacy, fairness, accessibility and a sustained adoption in addition to schedule, cost and functionality.</w:t>
      </w:r>
    </w:p>
    <w:p w14:paraId="7BD01A00" w14:textId="3AFB1126" w:rsidR="00EC5520" w:rsidRDefault="00EC5520" w:rsidP="00EC5520">
      <w:r>
        <w:t>Stakeholders refer here to individuals or groups that are impacted by or impacting the project. Engaging is harder than just sharing updates; it's a two-way process where stakeholders share knowledge, raise questions and co-create. Kujala et al. (2022) reveal that engagement is morally, strategically and pragmatically complex. The importance of this framing is that to Tesco it is necessary to respect people who are affected by it; they need to win resources and execute simultaneously. But it is not inherent that participation is fair. Governance should state were/when consultations took place, which proposals are included or rejected and why.</w:t>
      </w:r>
    </w:p>
    <w:p w14:paraId="0A0950F0" w14:textId="77777777" w:rsidR="00EC5520" w:rsidRDefault="00EC5520" w:rsidP="00EC5520"/>
    <w:p w14:paraId="26BD79F1" w14:textId="77777777" w:rsidR="00EC5520" w:rsidRDefault="00EC5520" w:rsidP="00EC5520"/>
    <w:p w14:paraId="4F6A2665" w14:textId="77777777" w:rsidR="00EC5520" w:rsidRDefault="00EC5520" w:rsidP="00EC5520"/>
    <w:p w14:paraId="2EFCAADD" w14:textId="77777777" w:rsidR="00EC5520" w:rsidRDefault="00EC5520" w:rsidP="00EC5520"/>
    <w:p w14:paraId="0E9B3047" w14:textId="77777777" w:rsidR="00EC5520" w:rsidRPr="00EC5520" w:rsidRDefault="00EC5520" w:rsidP="00EC5520"/>
    <w:p w14:paraId="2836F6A8" w14:textId="77777777" w:rsidR="008F7702" w:rsidRDefault="005E6AFB" w:rsidP="00EC5520">
      <w:pPr>
        <w:pStyle w:val="Titlu1"/>
      </w:pPr>
      <w:bookmarkStart w:id="1" w:name="_Toc235392529"/>
      <w:r>
        <w:t>2. SMART Objectives</w:t>
      </w:r>
      <w:bookmarkEnd w:id="1"/>
    </w:p>
    <w:tbl>
      <w:tblPr>
        <w:tblStyle w:val="Tabelgril5ntunecat-Accentuare1"/>
        <w:tblW w:w="0" w:type="auto"/>
        <w:tblLook w:val="04A0" w:firstRow="1" w:lastRow="0" w:firstColumn="1" w:lastColumn="0" w:noHBand="0" w:noVBand="1"/>
      </w:tblPr>
      <w:tblGrid>
        <w:gridCol w:w="4933"/>
        <w:gridCol w:w="4935"/>
      </w:tblGrid>
      <w:tr w:rsidR="008F7702" w:rsidRPr="00EC5520" w14:paraId="57E59186" w14:textId="77777777" w:rsidTr="00EC55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39" w:type="dxa"/>
          </w:tcPr>
          <w:p w14:paraId="5FA1605F" w14:textId="77777777" w:rsidR="008F7702" w:rsidRPr="00EC5520" w:rsidRDefault="005E6AFB">
            <w:pPr>
              <w:rPr>
                <w:sz w:val="24"/>
                <w:szCs w:val="24"/>
              </w:rPr>
            </w:pPr>
            <w:r w:rsidRPr="00EC5520">
              <w:rPr>
                <w:color w:val="FFFFFF"/>
                <w:sz w:val="24"/>
                <w:szCs w:val="24"/>
              </w:rPr>
              <w:t>Objective</w:t>
            </w:r>
          </w:p>
        </w:tc>
        <w:tc>
          <w:tcPr>
            <w:tcW w:w="4939" w:type="dxa"/>
          </w:tcPr>
          <w:p w14:paraId="4CFB1871"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SMART measure by launch + 90 days</w:t>
            </w:r>
          </w:p>
        </w:tc>
      </w:tr>
      <w:tr w:rsidR="008F7702" w:rsidRPr="00EC5520" w14:paraId="22746D12"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39" w:type="dxa"/>
          </w:tcPr>
          <w:p w14:paraId="1D0C9FCB" w14:textId="77777777" w:rsidR="008F7702" w:rsidRPr="00EC5520" w:rsidRDefault="005E6AFB">
            <w:pPr>
              <w:spacing w:after="40" w:line="259" w:lineRule="auto"/>
              <w:rPr>
                <w:sz w:val="24"/>
                <w:szCs w:val="24"/>
              </w:rPr>
            </w:pPr>
            <w:r w:rsidRPr="00EC5520">
              <w:rPr>
                <w:sz w:val="24"/>
                <w:szCs w:val="24"/>
              </w:rPr>
              <w:t>Inclusive discovery</w:t>
            </w:r>
          </w:p>
        </w:tc>
        <w:tc>
          <w:tcPr>
            <w:tcW w:w="4939" w:type="dxa"/>
          </w:tcPr>
          <w:p w14:paraId="085AE79F" w14:textId="77777777" w:rsidR="008F7702" w:rsidRPr="00EC5520" w:rsidRDefault="005E6AFB" w:rsidP="00EC5520">
            <w:pPr>
              <w:pStyle w:val="Listparagraf"/>
              <w:numPr>
                <w:ilvl w:val="0"/>
                <w:numId w:val="10"/>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By week 8, obtain usable input from ≥1,200 customers and ≥300 colleagues across every pilot market, including accessibility and low-digital-confidence panels.</w:t>
            </w:r>
          </w:p>
        </w:tc>
      </w:tr>
      <w:tr w:rsidR="008F7702" w:rsidRPr="00EC5520" w14:paraId="1C6880CE" w14:textId="77777777" w:rsidTr="00EC5520">
        <w:tc>
          <w:tcPr>
            <w:cnfStyle w:val="001000000000" w:firstRow="0" w:lastRow="0" w:firstColumn="1" w:lastColumn="0" w:oddVBand="0" w:evenVBand="0" w:oddHBand="0" w:evenHBand="0" w:firstRowFirstColumn="0" w:firstRowLastColumn="0" w:lastRowFirstColumn="0" w:lastRowLastColumn="0"/>
            <w:tcW w:w="4939" w:type="dxa"/>
          </w:tcPr>
          <w:p w14:paraId="678908C1" w14:textId="77777777" w:rsidR="008F7702" w:rsidRPr="00EC5520" w:rsidRDefault="005E6AFB">
            <w:pPr>
              <w:spacing w:after="40" w:line="259" w:lineRule="auto"/>
              <w:rPr>
                <w:sz w:val="24"/>
                <w:szCs w:val="24"/>
              </w:rPr>
            </w:pPr>
            <w:r w:rsidRPr="00EC5520">
              <w:rPr>
                <w:sz w:val="24"/>
                <w:szCs w:val="24"/>
              </w:rPr>
              <w:t>Governance</w:t>
            </w:r>
          </w:p>
        </w:tc>
        <w:tc>
          <w:tcPr>
            <w:tcW w:w="4939" w:type="dxa"/>
          </w:tcPr>
          <w:p w14:paraId="0F21BD51" w14:textId="77777777" w:rsidR="008F7702" w:rsidRPr="00EC5520" w:rsidRDefault="005E6AFB" w:rsidP="00EC5520">
            <w:pPr>
              <w:pStyle w:val="Listparagraf"/>
              <w:numPr>
                <w:ilvl w:val="0"/>
                <w:numId w:val="10"/>
              </w:num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By week 4, assign an accountable owner to 100% of high-priority requirements and risks; review them fortnightly.</w:t>
            </w:r>
          </w:p>
        </w:tc>
      </w:tr>
      <w:tr w:rsidR="008F7702" w:rsidRPr="00EC5520" w14:paraId="6F1CF59E"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39" w:type="dxa"/>
          </w:tcPr>
          <w:p w14:paraId="70221109" w14:textId="77777777" w:rsidR="008F7702" w:rsidRPr="00EC5520" w:rsidRDefault="005E6AFB">
            <w:pPr>
              <w:spacing w:after="40" w:line="259" w:lineRule="auto"/>
              <w:rPr>
                <w:sz w:val="24"/>
                <w:szCs w:val="24"/>
              </w:rPr>
            </w:pPr>
            <w:r w:rsidRPr="00EC5520">
              <w:rPr>
                <w:sz w:val="24"/>
                <w:szCs w:val="24"/>
              </w:rPr>
              <w:t>Responsible AI and privacy</w:t>
            </w:r>
          </w:p>
        </w:tc>
        <w:tc>
          <w:tcPr>
            <w:tcW w:w="4939" w:type="dxa"/>
          </w:tcPr>
          <w:p w14:paraId="65F47AEE" w14:textId="77777777" w:rsidR="008F7702" w:rsidRPr="00EC5520" w:rsidRDefault="005E6AFB" w:rsidP="00EC5520">
            <w:pPr>
              <w:pStyle w:val="Listparagraf"/>
              <w:numPr>
                <w:ilvl w:val="0"/>
                <w:numId w:val="10"/>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Before go-live, complete privacy, security and algorithmic-impact assessments; close all critical findings and publish plain-language explanations.</w:t>
            </w:r>
          </w:p>
        </w:tc>
      </w:tr>
      <w:tr w:rsidR="008F7702" w:rsidRPr="00EC5520" w14:paraId="293B87DD" w14:textId="77777777" w:rsidTr="00EC5520">
        <w:tc>
          <w:tcPr>
            <w:cnfStyle w:val="001000000000" w:firstRow="0" w:lastRow="0" w:firstColumn="1" w:lastColumn="0" w:oddVBand="0" w:evenVBand="0" w:oddHBand="0" w:evenHBand="0" w:firstRowFirstColumn="0" w:firstRowLastColumn="0" w:lastRowFirstColumn="0" w:lastRowLastColumn="0"/>
            <w:tcW w:w="4939" w:type="dxa"/>
          </w:tcPr>
          <w:p w14:paraId="4507A396" w14:textId="77777777" w:rsidR="008F7702" w:rsidRPr="00EC5520" w:rsidRDefault="005E6AFB">
            <w:pPr>
              <w:spacing w:after="40" w:line="259" w:lineRule="auto"/>
              <w:rPr>
                <w:sz w:val="24"/>
                <w:szCs w:val="24"/>
              </w:rPr>
            </w:pPr>
            <w:r w:rsidRPr="00EC5520">
              <w:rPr>
                <w:sz w:val="24"/>
                <w:szCs w:val="24"/>
              </w:rPr>
              <w:t>Adoption and trust</w:t>
            </w:r>
          </w:p>
        </w:tc>
        <w:tc>
          <w:tcPr>
            <w:tcW w:w="4939" w:type="dxa"/>
          </w:tcPr>
          <w:p w14:paraId="511B8EA1" w14:textId="77777777" w:rsidR="008F7702" w:rsidRPr="00EC5520" w:rsidRDefault="005E6AFB" w:rsidP="00EC5520">
            <w:pPr>
              <w:pStyle w:val="Listparagraf"/>
              <w:numPr>
                <w:ilvl w:val="0"/>
                <w:numId w:val="10"/>
              </w:num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Within 90 days of launch, achieve ≥60% activation among invited loyalty members, ≥70% colleague training completion before go-live, and ≥75% positive trust/clarity responses.</w:t>
            </w:r>
          </w:p>
        </w:tc>
      </w:tr>
      <w:tr w:rsidR="008F7702" w:rsidRPr="00EC5520" w14:paraId="1DA54655"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39" w:type="dxa"/>
          </w:tcPr>
          <w:p w14:paraId="6BD7E6CD" w14:textId="77777777" w:rsidR="008F7702" w:rsidRPr="00EC5520" w:rsidRDefault="005E6AFB">
            <w:pPr>
              <w:spacing w:after="40" w:line="259" w:lineRule="auto"/>
              <w:rPr>
                <w:sz w:val="24"/>
                <w:szCs w:val="24"/>
              </w:rPr>
            </w:pPr>
            <w:r w:rsidRPr="00EC5520">
              <w:rPr>
                <w:sz w:val="24"/>
                <w:szCs w:val="24"/>
              </w:rPr>
              <w:t>Responsiveness</w:t>
            </w:r>
          </w:p>
        </w:tc>
        <w:tc>
          <w:tcPr>
            <w:tcW w:w="4939" w:type="dxa"/>
          </w:tcPr>
          <w:p w14:paraId="54BE252E" w14:textId="77777777" w:rsidR="008F7702" w:rsidRPr="00EC5520" w:rsidRDefault="005E6AFB" w:rsidP="00EC5520">
            <w:pPr>
              <w:pStyle w:val="Listparagraf"/>
              <w:numPr>
                <w:ilvl w:val="0"/>
                <w:numId w:val="10"/>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From week 3, acknowledge priority stakeholder issues within two working days and resolve or agree an action within ten working days in ≥90% of cases.</w:t>
            </w:r>
          </w:p>
        </w:tc>
      </w:tr>
    </w:tbl>
    <w:p w14:paraId="6887DE94" w14:textId="77777777" w:rsidR="008F7702" w:rsidRDefault="008F7702">
      <w:pPr>
        <w:spacing w:after="20"/>
      </w:pPr>
    </w:p>
    <w:p w14:paraId="3F72BA58" w14:textId="77777777" w:rsidR="008F7702" w:rsidRDefault="005E6AFB">
      <w:pPr>
        <w:jc w:val="center"/>
        <w:rPr>
          <w:i/>
          <w:color w:val="52626B"/>
          <w:sz w:val="18"/>
        </w:rPr>
      </w:pPr>
      <w:r>
        <w:rPr>
          <w:i/>
          <w:color w:val="52626B"/>
          <w:sz w:val="18"/>
        </w:rPr>
        <w:t>Table 1. Proposed SMART objectives. Targets are managerial recommendations and require baseline validation during discovery.</w:t>
      </w:r>
    </w:p>
    <w:p w14:paraId="67239012" w14:textId="77777777" w:rsidR="00EC5520" w:rsidRDefault="00EC5520">
      <w:pPr>
        <w:jc w:val="center"/>
        <w:rPr>
          <w:i/>
          <w:color w:val="52626B"/>
          <w:sz w:val="18"/>
        </w:rPr>
      </w:pPr>
    </w:p>
    <w:p w14:paraId="705706C3" w14:textId="77777777" w:rsidR="00EC5520" w:rsidRDefault="00EC5520">
      <w:pPr>
        <w:jc w:val="center"/>
        <w:rPr>
          <w:i/>
          <w:color w:val="52626B"/>
          <w:sz w:val="18"/>
        </w:rPr>
      </w:pPr>
    </w:p>
    <w:p w14:paraId="29EDB625" w14:textId="77777777" w:rsidR="00EC5520" w:rsidRDefault="00EC5520">
      <w:pPr>
        <w:jc w:val="center"/>
        <w:rPr>
          <w:i/>
          <w:color w:val="52626B"/>
          <w:sz w:val="18"/>
        </w:rPr>
      </w:pPr>
    </w:p>
    <w:p w14:paraId="5CA7424A" w14:textId="77777777" w:rsidR="00EC5520" w:rsidRDefault="00EC5520">
      <w:pPr>
        <w:jc w:val="center"/>
        <w:rPr>
          <w:i/>
          <w:color w:val="52626B"/>
          <w:sz w:val="18"/>
        </w:rPr>
      </w:pPr>
    </w:p>
    <w:p w14:paraId="7BE61196" w14:textId="77777777" w:rsidR="00EC5520" w:rsidRDefault="00EC5520">
      <w:pPr>
        <w:jc w:val="center"/>
      </w:pPr>
    </w:p>
    <w:p w14:paraId="2F638EFF" w14:textId="77777777" w:rsidR="008F7702" w:rsidRDefault="005E6AFB" w:rsidP="00EC5520">
      <w:pPr>
        <w:pStyle w:val="Titlu1"/>
      </w:pPr>
      <w:bookmarkStart w:id="2" w:name="_Toc235392530"/>
      <w:r>
        <w:t>3. Stakeholder Identification and Categorisation</w:t>
      </w:r>
      <w:bookmarkEnd w:id="2"/>
    </w:p>
    <w:p w14:paraId="19719BFD" w14:textId="77777777" w:rsidR="008F7702" w:rsidRDefault="005E6AFB" w:rsidP="00EC5520">
      <w:pPr>
        <w:pStyle w:val="Titlu2"/>
      </w:pPr>
      <w:bookmarkStart w:id="3" w:name="_Toc235392531"/>
      <w:r>
        <w:t>3.1 Identification logic</w:t>
      </w:r>
      <w:bookmarkEnd w:id="3"/>
    </w:p>
    <w:p w14:paraId="614193A8" w14:textId="77777777" w:rsidR="00EC5520" w:rsidRDefault="00EC5520" w:rsidP="00EC5520">
      <w:r>
        <w:t>Identification is first tackled through a comprehensive platform lifecycle – strategy, discovery, design, data preparation (or priority), build, assurance and market adaptation, with launch and benefits realisation. The project questions at each stage "Who provides resources or knowledge, approves the work, benefits or suffers, can delay adoption, and are the parties lacking direct voice?". This lifecycle approach would be better than a static list since the positions of stakeholders change. Project governance research demonstrates that roles and relationships are not limited to the boundaries of the project organisation, but need to be a part of the governance (Derakhshan, Turner and Mancini, 2019).</w:t>
      </w:r>
    </w:p>
    <w:p w14:paraId="2BCA791C" w14:textId="77777777" w:rsidR="00EC5520" w:rsidRDefault="00EC5520" w:rsidP="00EC5520">
      <w:r>
        <w:t>Internal stakeholders include Board, executive sponsor, project manager and PMO, digital product teams, software teams, data science, cyber security, legal / privacy, marketing, and finance, procurement, HR / learning, country management, store operations and customer service / frontline people. External stakeholders are customers and non-users, accessibility organisations, technology and cloud providers, payment and reward partners, technology product suppliers, regulators, consumer and privacy organisations, local communities, investor and employee representatives. Customers are not all equal: segmentation should include age, disability, language, household situation and diverse attitudes towards the use of data and digital confidence.</w:t>
      </w:r>
    </w:p>
    <w:p w14:paraId="1195024A" w14:textId="52E08A31" w:rsidR="00EC5520" w:rsidRDefault="00EC5520" w:rsidP="00EC5520">
      <w:pPr>
        <w:pStyle w:val="Titlu2"/>
      </w:pPr>
      <w:bookmarkStart w:id="4" w:name="_Toc235392532"/>
      <w:r>
        <w:t>3.2 The power–interest and salience analysis is the third type of analysis.</w:t>
      </w:r>
      <w:bookmarkEnd w:id="4"/>
    </w:p>
    <w:p w14:paraId="35D95152" w14:textId="1C857F91" w:rsidR="00EC5520" w:rsidRDefault="00EC5520" w:rsidP="00EC5520">
      <w:r>
        <w:t>Proportionate management is facilitated by the power–interest matrix; however, if the low-power groups are only monitored then the matrix can perpetuate the existing power imbalance. So it is paired with salience (power, legitimacy and urgency) and with an explicit vulnerability check. A customer group might not have a lot of formal power, but it can have high legitimacy by having the risk of being excluded or discriminated against. From the perspective of organisations where value creation is understood in a cooperative and plural way, rather than as a limitation to stakeholders, stakeholder theory still sees strategic applications today (Bridoux and Stoelhorst, 2022).</w:t>
      </w:r>
    </w:p>
    <w:p w14:paraId="597A8C0A" w14:textId="77777777" w:rsidR="00EC5520" w:rsidRDefault="00EC5520" w:rsidP="00EC5520"/>
    <w:p w14:paraId="4304A7C1" w14:textId="77777777" w:rsidR="00EC5520" w:rsidRDefault="00EC5520" w:rsidP="00EC5520"/>
    <w:p w14:paraId="51E78553" w14:textId="77777777" w:rsidR="00EC5520" w:rsidRPr="00EC5520" w:rsidRDefault="00EC5520" w:rsidP="00EC5520"/>
    <w:p w14:paraId="7C6286A3" w14:textId="6A0DA4E6" w:rsidR="008F7702" w:rsidRDefault="008F7702">
      <w:pPr>
        <w:jc w:val="both"/>
      </w:pPr>
    </w:p>
    <w:tbl>
      <w:tblPr>
        <w:tblStyle w:val="Tabelgril5ntunecat-Accentuare1"/>
        <w:tblW w:w="0" w:type="auto"/>
        <w:tblLook w:val="04A0" w:firstRow="1" w:lastRow="0" w:firstColumn="1" w:lastColumn="0" w:noHBand="0" w:noVBand="1"/>
      </w:tblPr>
      <w:tblGrid>
        <w:gridCol w:w="3288"/>
        <w:gridCol w:w="3290"/>
        <w:gridCol w:w="3290"/>
      </w:tblGrid>
      <w:tr w:rsidR="008F7702" w:rsidRPr="00EC5520" w14:paraId="0D7CF43E" w14:textId="77777777" w:rsidTr="00EC55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6AD42083" w14:textId="77777777" w:rsidR="008F7702" w:rsidRPr="00EC5520" w:rsidRDefault="008F7702">
            <w:pPr>
              <w:rPr>
                <w:sz w:val="24"/>
                <w:szCs w:val="24"/>
              </w:rPr>
            </w:pPr>
          </w:p>
        </w:tc>
        <w:tc>
          <w:tcPr>
            <w:tcW w:w="3293" w:type="dxa"/>
          </w:tcPr>
          <w:p w14:paraId="66F020D2"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LOW INTEREST</w:t>
            </w:r>
          </w:p>
        </w:tc>
        <w:tc>
          <w:tcPr>
            <w:tcW w:w="3293" w:type="dxa"/>
          </w:tcPr>
          <w:p w14:paraId="25281366"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HIGH INTEREST</w:t>
            </w:r>
          </w:p>
        </w:tc>
      </w:tr>
      <w:tr w:rsidR="008F7702" w:rsidRPr="00EC5520" w14:paraId="1DF16404"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0DB2AD3E" w14:textId="77777777" w:rsidR="008F7702" w:rsidRPr="00EC5520" w:rsidRDefault="005E6AFB">
            <w:pPr>
              <w:spacing w:after="40" w:line="259" w:lineRule="auto"/>
              <w:rPr>
                <w:sz w:val="24"/>
                <w:szCs w:val="24"/>
              </w:rPr>
            </w:pPr>
            <w:r w:rsidRPr="00EC5520">
              <w:rPr>
                <w:sz w:val="24"/>
                <w:szCs w:val="24"/>
              </w:rPr>
              <w:t>HIGH POWER</w:t>
            </w:r>
          </w:p>
        </w:tc>
        <w:tc>
          <w:tcPr>
            <w:tcW w:w="3293" w:type="dxa"/>
          </w:tcPr>
          <w:p w14:paraId="1AACD847"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Keep satisfied: investors; major suppliers; employee representatives</w:t>
            </w:r>
          </w:p>
        </w:tc>
        <w:tc>
          <w:tcPr>
            <w:tcW w:w="3293" w:type="dxa"/>
          </w:tcPr>
          <w:p w14:paraId="73F1CA78"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Manage closely: Board/sponsor; project steering committee; regulators; country directors; strategic technology partners</w:t>
            </w:r>
          </w:p>
        </w:tc>
      </w:tr>
      <w:tr w:rsidR="008F7702" w:rsidRPr="00EC5520" w14:paraId="1B5D6A48" w14:textId="77777777" w:rsidTr="00EC5520">
        <w:tc>
          <w:tcPr>
            <w:cnfStyle w:val="001000000000" w:firstRow="0" w:lastRow="0" w:firstColumn="1" w:lastColumn="0" w:oddVBand="0" w:evenVBand="0" w:oddHBand="0" w:evenHBand="0" w:firstRowFirstColumn="0" w:firstRowLastColumn="0" w:lastRowFirstColumn="0" w:lastRowLastColumn="0"/>
            <w:tcW w:w="3293" w:type="dxa"/>
          </w:tcPr>
          <w:p w14:paraId="5096C232" w14:textId="77777777" w:rsidR="008F7702" w:rsidRPr="00EC5520" w:rsidRDefault="005E6AFB">
            <w:pPr>
              <w:spacing w:after="40" w:line="259" w:lineRule="auto"/>
              <w:rPr>
                <w:sz w:val="24"/>
                <w:szCs w:val="24"/>
              </w:rPr>
            </w:pPr>
            <w:r w:rsidRPr="00EC5520">
              <w:rPr>
                <w:sz w:val="24"/>
                <w:szCs w:val="24"/>
              </w:rPr>
              <w:t>LOW POWER</w:t>
            </w:r>
          </w:p>
        </w:tc>
        <w:tc>
          <w:tcPr>
            <w:tcW w:w="3293" w:type="dxa"/>
          </w:tcPr>
          <w:p w14:paraId="42A4E2B6"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Monitor accessibly: general public; peripheral vendors</w:t>
            </w:r>
          </w:p>
        </w:tc>
        <w:tc>
          <w:tcPr>
            <w:tcW w:w="3293" w:type="dxa"/>
          </w:tcPr>
          <w:p w14:paraId="4A9A4532"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Keep informed and involve: customers; frontline colleagues; accessibility groups; customer-service teams; local communities</w:t>
            </w:r>
          </w:p>
        </w:tc>
      </w:tr>
    </w:tbl>
    <w:p w14:paraId="69C2FAD6" w14:textId="77777777" w:rsidR="008F7702" w:rsidRDefault="008F7702">
      <w:pPr>
        <w:spacing w:after="20"/>
      </w:pPr>
    </w:p>
    <w:p w14:paraId="781DC3CC" w14:textId="77777777" w:rsidR="008F7702" w:rsidRDefault="005E6AFB">
      <w:pPr>
        <w:jc w:val="center"/>
      </w:pPr>
      <w:r>
        <w:rPr>
          <w:i/>
          <w:color w:val="52626B"/>
          <w:sz w:val="18"/>
        </w:rPr>
        <w:t>Figure 1. ConnectPlus power–interest matrix. Classification is provisional and should be reviewed monthly.</w:t>
      </w:r>
    </w:p>
    <w:tbl>
      <w:tblPr>
        <w:tblStyle w:val="Tabelgril5ntunecat-Accentuare1"/>
        <w:tblW w:w="0" w:type="auto"/>
        <w:tblLook w:val="04A0" w:firstRow="1" w:lastRow="0" w:firstColumn="1" w:lastColumn="0" w:noHBand="0" w:noVBand="1"/>
      </w:tblPr>
      <w:tblGrid>
        <w:gridCol w:w="2538"/>
        <w:gridCol w:w="2445"/>
        <w:gridCol w:w="2446"/>
        <w:gridCol w:w="2439"/>
      </w:tblGrid>
      <w:tr w:rsidR="008F7702" w:rsidRPr="00EC5520" w14:paraId="14D7E563" w14:textId="77777777" w:rsidTr="00EC55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9" w:type="dxa"/>
          </w:tcPr>
          <w:p w14:paraId="28ED6412" w14:textId="77777777" w:rsidR="008F7702" w:rsidRPr="00EC5520" w:rsidRDefault="005E6AFB">
            <w:pPr>
              <w:rPr>
                <w:sz w:val="24"/>
                <w:szCs w:val="24"/>
              </w:rPr>
            </w:pPr>
            <w:r w:rsidRPr="00EC5520">
              <w:rPr>
                <w:color w:val="FFFFFF"/>
                <w:sz w:val="24"/>
                <w:szCs w:val="24"/>
              </w:rPr>
              <w:t>Stakeholder</w:t>
            </w:r>
          </w:p>
        </w:tc>
        <w:tc>
          <w:tcPr>
            <w:tcW w:w="2469" w:type="dxa"/>
          </w:tcPr>
          <w:p w14:paraId="3624BCDD"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Interest / contribution</w:t>
            </w:r>
          </w:p>
        </w:tc>
        <w:tc>
          <w:tcPr>
            <w:tcW w:w="2469" w:type="dxa"/>
          </w:tcPr>
          <w:p w14:paraId="3A6E3836"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Power–salience</w:t>
            </w:r>
          </w:p>
        </w:tc>
        <w:tc>
          <w:tcPr>
            <w:tcW w:w="2469" w:type="dxa"/>
          </w:tcPr>
          <w:p w14:paraId="316F45DC"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Engagement posture</w:t>
            </w:r>
          </w:p>
        </w:tc>
      </w:tr>
      <w:tr w:rsidR="008F7702" w:rsidRPr="00EC5520" w14:paraId="3D453D42"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9" w:type="dxa"/>
          </w:tcPr>
          <w:p w14:paraId="3987BFFC" w14:textId="77777777" w:rsidR="008F7702" w:rsidRPr="00EC5520" w:rsidRDefault="005E6AFB">
            <w:pPr>
              <w:spacing w:after="40" w:line="259" w:lineRule="auto"/>
              <w:rPr>
                <w:sz w:val="24"/>
                <w:szCs w:val="24"/>
              </w:rPr>
            </w:pPr>
            <w:r w:rsidRPr="00EC5520">
              <w:rPr>
                <w:sz w:val="24"/>
                <w:szCs w:val="24"/>
              </w:rPr>
              <w:t>Board and executive sponsor</w:t>
            </w:r>
          </w:p>
        </w:tc>
        <w:tc>
          <w:tcPr>
            <w:tcW w:w="2469" w:type="dxa"/>
          </w:tcPr>
          <w:p w14:paraId="27DD0928"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Strategic fit, funding, risk appetite and benefits</w:t>
            </w:r>
          </w:p>
        </w:tc>
        <w:tc>
          <w:tcPr>
            <w:tcW w:w="2469" w:type="dxa"/>
          </w:tcPr>
          <w:p w14:paraId="65B4F881"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High power, legitimacy and accountability</w:t>
            </w:r>
          </w:p>
        </w:tc>
        <w:tc>
          <w:tcPr>
            <w:tcW w:w="2469" w:type="dxa"/>
          </w:tcPr>
          <w:p w14:paraId="6AAE56CF"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Manage closely; monthly decisions and exception reporting</w:t>
            </w:r>
          </w:p>
        </w:tc>
      </w:tr>
      <w:tr w:rsidR="008F7702" w:rsidRPr="00EC5520" w14:paraId="3A3B911C" w14:textId="77777777" w:rsidTr="00EC5520">
        <w:tc>
          <w:tcPr>
            <w:cnfStyle w:val="001000000000" w:firstRow="0" w:lastRow="0" w:firstColumn="1" w:lastColumn="0" w:oddVBand="0" w:evenVBand="0" w:oddHBand="0" w:evenHBand="0" w:firstRowFirstColumn="0" w:firstRowLastColumn="0" w:lastRowFirstColumn="0" w:lastRowLastColumn="0"/>
            <w:tcW w:w="2469" w:type="dxa"/>
          </w:tcPr>
          <w:p w14:paraId="244BE2B2" w14:textId="77777777" w:rsidR="008F7702" w:rsidRPr="00EC5520" w:rsidRDefault="005E6AFB">
            <w:pPr>
              <w:spacing w:after="40" w:line="259" w:lineRule="auto"/>
              <w:rPr>
                <w:sz w:val="24"/>
                <w:szCs w:val="24"/>
              </w:rPr>
            </w:pPr>
            <w:r w:rsidRPr="00EC5520">
              <w:rPr>
                <w:sz w:val="24"/>
                <w:szCs w:val="24"/>
              </w:rPr>
              <w:t>Customers, including vulnerable users</w:t>
            </w:r>
          </w:p>
        </w:tc>
        <w:tc>
          <w:tcPr>
            <w:tcW w:w="2469" w:type="dxa"/>
          </w:tcPr>
          <w:p w14:paraId="0E4498B7"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Usability, value, consent, fairness and accessibility</w:t>
            </w:r>
          </w:p>
        </w:tc>
        <w:tc>
          <w:tcPr>
            <w:tcW w:w="2469" w:type="dxa"/>
          </w:tcPr>
          <w:p w14:paraId="78A353FB"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High legitimacy; urgency rises with harm</w:t>
            </w:r>
          </w:p>
        </w:tc>
        <w:tc>
          <w:tcPr>
            <w:tcW w:w="2469" w:type="dxa"/>
          </w:tcPr>
          <w:p w14:paraId="2CD9CA88"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Co-design, pilots, accessible feedback and redress</w:t>
            </w:r>
          </w:p>
        </w:tc>
      </w:tr>
      <w:tr w:rsidR="008F7702" w:rsidRPr="00EC5520" w14:paraId="1D22757D"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9" w:type="dxa"/>
          </w:tcPr>
          <w:p w14:paraId="1A3AA083" w14:textId="77777777" w:rsidR="008F7702" w:rsidRPr="00EC5520" w:rsidRDefault="005E6AFB">
            <w:pPr>
              <w:spacing w:after="40" w:line="259" w:lineRule="auto"/>
              <w:rPr>
                <w:sz w:val="24"/>
                <w:szCs w:val="24"/>
              </w:rPr>
            </w:pPr>
            <w:r w:rsidRPr="00EC5520">
              <w:rPr>
                <w:sz w:val="24"/>
                <w:szCs w:val="24"/>
              </w:rPr>
              <w:t>Frontline and customer-service colleagues</w:t>
            </w:r>
          </w:p>
        </w:tc>
        <w:tc>
          <w:tcPr>
            <w:tcW w:w="2469" w:type="dxa"/>
          </w:tcPr>
          <w:p w14:paraId="562C840D"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Operational knowledge, explanation and issue handling</w:t>
            </w:r>
          </w:p>
        </w:tc>
        <w:tc>
          <w:tcPr>
            <w:tcW w:w="2469" w:type="dxa"/>
          </w:tcPr>
          <w:p w14:paraId="04D2C4FD"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Medium power; high implementation legitimacy</w:t>
            </w:r>
          </w:p>
        </w:tc>
        <w:tc>
          <w:tcPr>
            <w:tcW w:w="2469" w:type="dxa"/>
          </w:tcPr>
          <w:p w14:paraId="24DBBE5B"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Consult early, prototype workflows and train</w:t>
            </w:r>
          </w:p>
        </w:tc>
      </w:tr>
      <w:tr w:rsidR="008F7702" w:rsidRPr="00EC5520" w14:paraId="6D4343AE" w14:textId="77777777" w:rsidTr="00EC5520">
        <w:tc>
          <w:tcPr>
            <w:cnfStyle w:val="001000000000" w:firstRow="0" w:lastRow="0" w:firstColumn="1" w:lastColumn="0" w:oddVBand="0" w:evenVBand="0" w:oddHBand="0" w:evenHBand="0" w:firstRowFirstColumn="0" w:firstRowLastColumn="0" w:lastRowFirstColumn="0" w:lastRowLastColumn="0"/>
            <w:tcW w:w="2469" w:type="dxa"/>
          </w:tcPr>
          <w:p w14:paraId="4E01FA60" w14:textId="77777777" w:rsidR="008F7702" w:rsidRPr="00EC5520" w:rsidRDefault="005E6AFB">
            <w:pPr>
              <w:spacing w:after="40" w:line="259" w:lineRule="auto"/>
              <w:rPr>
                <w:sz w:val="24"/>
                <w:szCs w:val="24"/>
              </w:rPr>
            </w:pPr>
            <w:r w:rsidRPr="00EC5520">
              <w:rPr>
                <w:sz w:val="24"/>
                <w:szCs w:val="24"/>
              </w:rPr>
              <w:t>Digital, data, cyber and privacy teams</w:t>
            </w:r>
          </w:p>
        </w:tc>
        <w:tc>
          <w:tcPr>
            <w:tcW w:w="2469" w:type="dxa"/>
          </w:tcPr>
          <w:p w14:paraId="3CEF1708"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Architecture, models, data quality, security and compliance</w:t>
            </w:r>
          </w:p>
        </w:tc>
        <w:tc>
          <w:tcPr>
            <w:tcW w:w="2469" w:type="dxa"/>
          </w:tcPr>
          <w:p w14:paraId="3B5365CC"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High expertise and delivery power</w:t>
            </w:r>
          </w:p>
        </w:tc>
        <w:tc>
          <w:tcPr>
            <w:tcW w:w="2469" w:type="dxa"/>
          </w:tcPr>
          <w:p w14:paraId="09751F6D"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Integrated product squads; weekly assurance</w:t>
            </w:r>
          </w:p>
        </w:tc>
      </w:tr>
      <w:tr w:rsidR="008F7702" w:rsidRPr="00EC5520" w14:paraId="524CB17A"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9" w:type="dxa"/>
          </w:tcPr>
          <w:p w14:paraId="4888550F" w14:textId="77777777" w:rsidR="008F7702" w:rsidRPr="00EC5520" w:rsidRDefault="005E6AFB">
            <w:pPr>
              <w:spacing w:after="40" w:line="259" w:lineRule="auto"/>
              <w:rPr>
                <w:sz w:val="24"/>
                <w:szCs w:val="24"/>
              </w:rPr>
            </w:pPr>
            <w:r w:rsidRPr="00EC5520">
              <w:rPr>
                <w:sz w:val="24"/>
                <w:szCs w:val="24"/>
              </w:rPr>
              <w:t>Regulators</w:t>
            </w:r>
          </w:p>
        </w:tc>
        <w:tc>
          <w:tcPr>
            <w:tcW w:w="2469" w:type="dxa"/>
          </w:tcPr>
          <w:p w14:paraId="3133FB30"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Data protection, consumer protection, competition and AI oversight</w:t>
            </w:r>
          </w:p>
        </w:tc>
        <w:tc>
          <w:tcPr>
            <w:tcW w:w="2469" w:type="dxa"/>
          </w:tcPr>
          <w:p w14:paraId="32383901"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High coercive power and legitimacy</w:t>
            </w:r>
          </w:p>
        </w:tc>
        <w:tc>
          <w:tcPr>
            <w:tcW w:w="2469" w:type="dxa"/>
          </w:tcPr>
          <w:p w14:paraId="31EFA9AA"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Early evidence-based assurance and formal gates</w:t>
            </w:r>
          </w:p>
        </w:tc>
      </w:tr>
      <w:tr w:rsidR="008F7702" w:rsidRPr="00EC5520" w14:paraId="58FE6289" w14:textId="77777777" w:rsidTr="00EC5520">
        <w:tc>
          <w:tcPr>
            <w:cnfStyle w:val="001000000000" w:firstRow="0" w:lastRow="0" w:firstColumn="1" w:lastColumn="0" w:oddVBand="0" w:evenVBand="0" w:oddHBand="0" w:evenHBand="0" w:firstRowFirstColumn="0" w:firstRowLastColumn="0" w:lastRowFirstColumn="0" w:lastRowLastColumn="0"/>
            <w:tcW w:w="2469" w:type="dxa"/>
          </w:tcPr>
          <w:p w14:paraId="6341838A" w14:textId="77777777" w:rsidR="008F7702" w:rsidRPr="00EC5520" w:rsidRDefault="005E6AFB">
            <w:pPr>
              <w:spacing w:after="40" w:line="259" w:lineRule="auto"/>
              <w:rPr>
                <w:sz w:val="24"/>
                <w:szCs w:val="24"/>
              </w:rPr>
            </w:pPr>
            <w:r w:rsidRPr="00EC5520">
              <w:rPr>
                <w:sz w:val="24"/>
                <w:szCs w:val="24"/>
              </w:rPr>
              <w:t>Technology and reward partners</w:t>
            </w:r>
          </w:p>
        </w:tc>
        <w:tc>
          <w:tcPr>
            <w:tcW w:w="2469" w:type="dxa"/>
          </w:tcPr>
          <w:p w14:paraId="63602663"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Platforms, integrations, service continuity and innovation</w:t>
            </w:r>
          </w:p>
        </w:tc>
        <w:tc>
          <w:tcPr>
            <w:tcW w:w="2469" w:type="dxa"/>
          </w:tcPr>
          <w:p w14:paraId="7AAD9B53"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Medium/high resource power</w:t>
            </w:r>
          </w:p>
        </w:tc>
        <w:tc>
          <w:tcPr>
            <w:tcW w:w="2469" w:type="dxa"/>
          </w:tcPr>
          <w:p w14:paraId="712CA68D"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Contractual assurance plus collaborative reviews</w:t>
            </w:r>
          </w:p>
        </w:tc>
      </w:tr>
      <w:tr w:rsidR="008F7702" w:rsidRPr="00EC5520" w14:paraId="65BF0C60"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9" w:type="dxa"/>
          </w:tcPr>
          <w:p w14:paraId="32171097" w14:textId="77777777" w:rsidR="008F7702" w:rsidRPr="00EC5520" w:rsidRDefault="005E6AFB">
            <w:pPr>
              <w:spacing w:after="40" w:line="259" w:lineRule="auto"/>
              <w:rPr>
                <w:sz w:val="24"/>
                <w:szCs w:val="24"/>
              </w:rPr>
            </w:pPr>
            <w:r w:rsidRPr="00EC5520">
              <w:rPr>
                <w:sz w:val="24"/>
                <w:szCs w:val="24"/>
              </w:rPr>
              <w:lastRenderedPageBreak/>
              <w:t>Country and local-market teams</w:t>
            </w:r>
          </w:p>
        </w:tc>
        <w:tc>
          <w:tcPr>
            <w:tcW w:w="2469" w:type="dxa"/>
          </w:tcPr>
          <w:p w14:paraId="39E43D22"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Cultural adaptation, operations and adoption</w:t>
            </w:r>
          </w:p>
        </w:tc>
        <w:tc>
          <w:tcPr>
            <w:tcW w:w="2469" w:type="dxa"/>
          </w:tcPr>
          <w:p w14:paraId="040A17BF"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High local influence and urgency</w:t>
            </w:r>
          </w:p>
        </w:tc>
        <w:tc>
          <w:tcPr>
            <w:tcW w:w="2469" w:type="dxa"/>
          </w:tcPr>
          <w:p w14:paraId="123DBE6D"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Market councils; controlled localisation</w:t>
            </w:r>
          </w:p>
        </w:tc>
      </w:tr>
      <w:tr w:rsidR="008F7702" w:rsidRPr="00EC5520" w14:paraId="301DDEDB" w14:textId="77777777" w:rsidTr="00EC5520">
        <w:tc>
          <w:tcPr>
            <w:cnfStyle w:val="001000000000" w:firstRow="0" w:lastRow="0" w:firstColumn="1" w:lastColumn="0" w:oddVBand="0" w:evenVBand="0" w:oddHBand="0" w:evenHBand="0" w:firstRowFirstColumn="0" w:firstRowLastColumn="0" w:lastRowFirstColumn="0" w:lastRowLastColumn="0"/>
            <w:tcW w:w="2469" w:type="dxa"/>
          </w:tcPr>
          <w:p w14:paraId="6D4AA23A" w14:textId="77777777" w:rsidR="008F7702" w:rsidRPr="00EC5520" w:rsidRDefault="005E6AFB">
            <w:pPr>
              <w:spacing w:after="40" w:line="259" w:lineRule="auto"/>
              <w:rPr>
                <w:sz w:val="24"/>
                <w:szCs w:val="24"/>
              </w:rPr>
            </w:pPr>
            <w:r w:rsidRPr="00EC5520">
              <w:rPr>
                <w:sz w:val="24"/>
                <w:szCs w:val="24"/>
              </w:rPr>
              <w:t>Civil society/accessibility advocates</w:t>
            </w:r>
          </w:p>
        </w:tc>
        <w:tc>
          <w:tcPr>
            <w:tcW w:w="2469" w:type="dxa"/>
          </w:tcPr>
          <w:p w14:paraId="633E85BA"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Representation of under-heard impacts</w:t>
            </w:r>
          </w:p>
        </w:tc>
        <w:tc>
          <w:tcPr>
            <w:tcW w:w="2469" w:type="dxa"/>
          </w:tcPr>
          <w:p w14:paraId="709D17BE"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Low formal power; high moral legitimacy</w:t>
            </w:r>
          </w:p>
        </w:tc>
        <w:tc>
          <w:tcPr>
            <w:tcW w:w="2469" w:type="dxa"/>
          </w:tcPr>
          <w:p w14:paraId="55A4D8CC"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Independent challenge and design testing</w:t>
            </w:r>
          </w:p>
        </w:tc>
      </w:tr>
    </w:tbl>
    <w:p w14:paraId="04FB3BBF" w14:textId="77777777" w:rsidR="008F7702" w:rsidRDefault="008F7702">
      <w:pPr>
        <w:spacing w:after="20"/>
      </w:pPr>
    </w:p>
    <w:p w14:paraId="352FCD1A" w14:textId="77777777" w:rsidR="008F7702" w:rsidRDefault="005E6AFB">
      <w:pPr>
        <w:jc w:val="center"/>
      </w:pPr>
      <w:r>
        <w:rPr>
          <w:i/>
          <w:color w:val="52626B"/>
          <w:sz w:val="18"/>
        </w:rPr>
        <w:t>Table 2. Prioritised stakeholder register.</w:t>
      </w:r>
    </w:p>
    <w:p w14:paraId="05DC3990" w14:textId="77777777" w:rsidR="008F7702" w:rsidRDefault="005E6AFB" w:rsidP="00EC5520">
      <w:pPr>
        <w:pStyle w:val="Titlu1"/>
      </w:pPr>
      <w:bookmarkStart w:id="5" w:name="_Toc235392533"/>
      <w:r>
        <w:t>4. Roles, Benefits and Challenges</w:t>
      </w:r>
      <w:bookmarkEnd w:id="5"/>
    </w:p>
    <w:p w14:paraId="280BD3E3" w14:textId="77777777" w:rsidR="00EC5520" w:rsidRDefault="00EC5520" w:rsidP="00EC5520">
      <w:r>
        <w:t>Sponsor owns the business case – resolves enterprise level trade-offs and protects resources; Board sets risk appetite – determines if the value is sufficient to warrant the data, ethical and reputational risk. This way, the project manager combines scope, schedule, stakeholders, and risks while also the product owner transforms the evidence into a prioritised backlog. Digital and supplier teams create platform, data scientists clarify model purpose, training data, performance and limitations, privacy specialists, legal and cybersecurity specialists offer independent challenge. Finance tests benefits and affordability; procurement ensures standards are included in contracts; country teams make decisions on the need for localisation.</w:t>
      </w:r>
    </w:p>
    <w:p w14:paraId="68CC786A" w14:textId="77777777" w:rsidR="00EC5520" w:rsidRDefault="00EC5520" w:rsidP="00EC5520">
      <w:r>
        <w:t>Customers provide first-hand data that an internal analytics system could not provide. Co-design can surface inconclusive consent, unnecessary suggestions, accessibility hindrances, and manipulation perceptions prior to scale. Frontline colleagues expose the impact on workflows and can be the go-betweens for adoption, and customer service reports back on a common pattern of failure demand and takes ownership of escalation pathways. Regulators and civil society groups extend the test beyond the law – to legitimacy. Technology partners offer expertise and efficiency but they introduce information asymmetry, lock in and a fuzziness of responsibility. Whether the processing is outsourced or not, the organisation has to be accountable.</w:t>
      </w:r>
    </w:p>
    <w:p w14:paraId="07346941" w14:textId="77777777" w:rsidR="00EC5520" w:rsidRDefault="00EC5520" w:rsidP="00EC5520">
      <w:r>
        <w:t>Engagement results in improved requirements, less rework, and increases acceptance/trust. Consumer studies reveal that AI interactions can create these experiences of data capture, classification, delegation and socialization, and that reactions do not just rely on functional correctness (Puntoni et al., 2021). However, there are competing pressures amongst stakeholders. Relevance is desirable for the customer, experimentation is desirable for marketers, minimisation is desirable for privacy specialists, consistency is desirable for the central teams, adaptation is desired by the market and explainability is desired by the auditors but surveillance is not. Workload, performance measurement or role replacement may be a concern for colleagues. These are not communication failures to be neutralised, but legitimate design inputs.</w:t>
      </w:r>
    </w:p>
    <w:p w14:paraId="4DB6133C" w14:textId="00B6A7ED" w:rsidR="00EC5520" w:rsidRPr="00EC5520" w:rsidRDefault="00EC5520" w:rsidP="00EC5520">
      <w:r>
        <w:lastRenderedPageBreak/>
        <w:t>There are also logistical challenges. Worryingly, repeated workshops lead to fatigue, the presence of others can be heard and articulate in consultation can be digitised, translation can lose nuance, and the pace of agile cycles can outpace formal governance. If decision rights are not clearly defined, then it can stall decision-making by engaging. By contrast, hasty choices lead to complaining, regulation and remediation. Instead of maximum participation in all decisions, if this is what is expected, the expectation needs to be that all decisions are accompanied by meaningful participation that is commensurate with impact, expertise and accountability and that the feedback loop is closed transparently (Kujala et al., 2022).</w:t>
      </w:r>
    </w:p>
    <w:p w14:paraId="7986F1C6" w14:textId="77777777" w:rsidR="008F7702" w:rsidRDefault="005E6AFB" w:rsidP="00EC5520">
      <w:pPr>
        <w:pStyle w:val="Titlu1"/>
      </w:pPr>
      <w:bookmarkStart w:id="6" w:name="_Toc235392534"/>
      <w:r>
        <w:t>5. Engagement, Communication and Conflict Management</w:t>
      </w:r>
      <w:bookmarkEnd w:id="6"/>
    </w:p>
    <w:p w14:paraId="48F63A7B" w14:textId="77777777" w:rsidR="008F7702" w:rsidRDefault="005E6AFB" w:rsidP="00EC5520">
      <w:pPr>
        <w:pStyle w:val="Titlu2"/>
      </w:pPr>
      <w:bookmarkStart w:id="7" w:name="_Toc235392535"/>
      <w:r>
        <w:t>5.1 Engagement process and governance</w:t>
      </w:r>
      <w:bookmarkEnd w:id="7"/>
    </w:p>
    <w:p w14:paraId="5385F979" w14:textId="77777777" w:rsidR="00EC5520" w:rsidRDefault="00EC5520" w:rsidP="00EC5520">
      <w:r>
        <w:t>The proposed process consists of 6 steps, each of which is repeated. Identify and segment stakeholders with lifecycle mapping and market analysis. Second, perform a power, legitimacy, urgency, vulnerability, expectations, and preferred channels assessment. Thirdly, define engagement purpose (inform, consult, involve, collaborate or empower) and decision rights. Fourth: Perform tasks and provide evidence. Fifth, provide response on a decision log that assigns each material issue to an owner, purpose and date. Sixth, assess the relationship quality, diversity, lack of resolution and measures of outcome, and then redraw the stakeholder map. This turns engagement into a control cycle and not an Event Calendar.</w:t>
      </w:r>
    </w:p>
    <w:p w14:paraId="55C06E79" w14:textId="77777777" w:rsidR="00EC5520" w:rsidRDefault="00EC5520" w:rsidP="00EC5520">
      <w:r>
        <w:t>A ConnectPlus Stakeholder and Ethics Steering Committee should consist of sponsor, project manager, product, data, cyber, privacy/legal, marketing, operations, HR, procurement, pilot-market reps (rotating), and independent challenge role. It should authorize 'high impact' applications of data, and manage the balancing act and prevent release if there is a failure of key protections. As formal decision rights help to avoid a disconnect between consultation and governance, Derakhshan, Turner and Mancini (2019) stress that governance defines roles and relationships.</w:t>
      </w:r>
    </w:p>
    <w:p w14:paraId="520C94AE" w14:textId="525AF7CA" w:rsidR="00EC5520" w:rsidRPr="00EC5520" w:rsidRDefault="00EC5520" w:rsidP="00EC5520">
      <w:r>
        <w:t>The 4Cs - communication, consultation, collaboration and commitment offer a simple and logical engagement framework. Communication provides timely information, tailored to the audience; consultation involves testing the information in the form of a proposal; collaboration involves the joint development of the solution; commitment is reflected in resources, behavior, and in promises made and kept. They shouldn't be thought of as a ladder that's moved up in a linear fashion. A regulator may only need a formal communication and consultation whereas customers and colleagues should be consulted during a journey that has a significant impact upon them. When management shares bad news it's evidence that commitment is real.</w:t>
      </w:r>
    </w:p>
    <w:p w14:paraId="22311661" w14:textId="77777777" w:rsidR="008F7702" w:rsidRDefault="005E6AFB" w:rsidP="00EC5520">
      <w:pPr>
        <w:pStyle w:val="Titlu2"/>
      </w:pPr>
      <w:bookmarkStart w:id="8" w:name="_Toc235392536"/>
      <w:r>
        <w:lastRenderedPageBreak/>
        <w:t>5.2 RACI and communication plan</w:t>
      </w:r>
      <w:bookmarkEnd w:id="8"/>
    </w:p>
    <w:tbl>
      <w:tblPr>
        <w:tblStyle w:val="Tabelgril5ntunecat-Accentuare1"/>
        <w:tblW w:w="0" w:type="auto"/>
        <w:tblLook w:val="04A0" w:firstRow="1" w:lastRow="0" w:firstColumn="1" w:lastColumn="0" w:noHBand="0" w:noVBand="1"/>
      </w:tblPr>
      <w:tblGrid>
        <w:gridCol w:w="1817"/>
        <w:gridCol w:w="1292"/>
        <w:gridCol w:w="960"/>
        <w:gridCol w:w="1255"/>
        <w:gridCol w:w="1818"/>
        <w:gridCol w:w="1256"/>
        <w:gridCol w:w="1470"/>
      </w:tblGrid>
      <w:tr w:rsidR="008F7702" w:rsidRPr="00EC5520" w14:paraId="1F6DEC54" w14:textId="77777777" w:rsidTr="00EC55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1" w:type="dxa"/>
          </w:tcPr>
          <w:p w14:paraId="50343D1C" w14:textId="77777777" w:rsidR="008F7702" w:rsidRPr="00EC5520" w:rsidRDefault="005E6AFB">
            <w:pPr>
              <w:rPr>
                <w:sz w:val="24"/>
                <w:szCs w:val="24"/>
              </w:rPr>
            </w:pPr>
            <w:r w:rsidRPr="00EC5520">
              <w:rPr>
                <w:color w:val="FFFFFF"/>
                <w:sz w:val="24"/>
                <w:szCs w:val="24"/>
              </w:rPr>
              <w:t>Deliverable</w:t>
            </w:r>
          </w:p>
        </w:tc>
        <w:tc>
          <w:tcPr>
            <w:tcW w:w="1411" w:type="dxa"/>
          </w:tcPr>
          <w:p w14:paraId="7F194C03"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Board / Sponsor</w:t>
            </w:r>
          </w:p>
        </w:tc>
        <w:tc>
          <w:tcPr>
            <w:tcW w:w="1411" w:type="dxa"/>
          </w:tcPr>
          <w:p w14:paraId="0885FE10"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PM</w:t>
            </w:r>
          </w:p>
        </w:tc>
        <w:tc>
          <w:tcPr>
            <w:tcW w:w="1411" w:type="dxa"/>
          </w:tcPr>
          <w:p w14:paraId="17705FBE"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Product &amp; Tech</w:t>
            </w:r>
          </w:p>
        </w:tc>
        <w:tc>
          <w:tcPr>
            <w:tcW w:w="1411" w:type="dxa"/>
          </w:tcPr>
          <w:p w14:paraId="4D15AAC7"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Privacy/Cyber</w:t>
            </w:r>
          </w:p>
        </w:tc>
        <w:tc>
          <w:tcPr>
            <w:tcW w:w="1411" w:type="dxa"/>
          </w:tcPr>
          <w:p w14:paraId="53457B52"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Markets &amp; Ops</w:t>
            </w:r>
          </w:p>
        </w:tc>
        <w:tc>
          <w:tcPr>
            <w:tcW w:w="1411" w:type="dxa"/>
          </w:tcPr>
          <w:p w14:paraId="2B98C943"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Customers / advocates</w:t>
            </w:r>
          </w:p>
        </w:tc>
      </w:tr>
      <w:tr w:rsidR="008F7702" w:rsidRPr="00EC5520" w14:paraId="1124EDDE"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1" w:type="dxa"/>
          </w:tcPr>
          <w:p w14:paraId="571015F3" w14:textId="77777777" w:rsidR="008F7702" w:rsidRPr="00EC5520" w:rsidRDefault="005E6AFB">
            <w:pPr>
              <w:spacing w:after="40" w:line="259" w:lineRule="auto"/>
              <w:rPr>
                <w:sz w:val="24"/>
                <w:szCs w:val="24"/>
              </w:rPr>
            </w:pPr>
            <w:r w:rsidRPr="00EC5520">
              <w:rPr>
                <w:sz w:val="24"/>
                <w:szCs w:val="24"/>
              </w:rPr>
              <w:t>Business case and benefits</w:t>
            </w:r>
          </w:p>
        </w:tc>
        <w:tc>
          <w:tcPr>
            <w:tcW w:w="1411" w:type="dxa"/>
          </w:tcPr>
          <w:p w14:paraId="1F26F767"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A</w:t>
            </w:r>
          </w:p>
        </w:tc>
        <w:tc>
          <w:tcPr>
            <w:tcW w:w="1411" w:type="dxa"/>
          </w:tcPr>
          <w:p w14:paraId="34EDE204"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R</w:t>
            </w:r>
          </w:p>
        </w:tc>
        <w:tc>
          <w:tcPr>
            <w:tcW w:w="1411" w:type="dxa"/>
          </w:tcPr>
          <w:p w14:paraId="250484C1"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w:t>
            </w:r>
          </w:p>
        </w:tc>
        <w:tc>
          <w:tcPr>
            <w:tcW w:w="1411" w:type="dxa"/>
          </w:tcPr>
          <w:p w14:paraId="396596A9"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w:t>
            </w:r>
          </w:p>
        </w:tc>
        <w:tc>
          <w:tcPr>
            <w:tcW w:w="1411" w:type="dxa"/>
          </w:tcPr>
          <w:p w14:paraId="0951B43B"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w:t>
            </w:r>
          </w:p>
        </w:tc>
        <w:tc>
          <w:tcPr>
            <w:tcW w:w="1411" w:type="dxa"/>
          </w:tcPr>
          <w:p w14:paraId="1E7BDEF4"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I</w:t>
            </w:r>
          </w:p>
        </w:tc>
      </w:tr>
      <w:tr w:rsidR="008F7702" w:rsidRPr="00EC5520" w14:paraId="245E332F" w14:textId="77777777" w:rsidTr="00EC5520">
        <w:tc>
          <w:tcPr>
            <w:cnfStyle w:val="001000000000" w:firstRow="0" w:lastRow="0" w:firstColumn="1" w:lastColumn="0" w:oddVBand="0" w:evenVBand="0" w:oddHBand="0" w:evenHBand="0" w:firstRowFirstColumn="0" w:firstRowLastColumn="0" w:lastRowFirstColumn="0" w:lastRowLastColumn="0"/>
            <w:tcW w:w="1411" w:type="dxa"/>
          </w:tcPr>
          <w:p w14:paraId="50C60C1A" w14:textId="77777777" w:rsidR="008F7702" w:rsidRPr="00EC5520" w:rsidRDefault="005E6AFB">
            <w:pPr>
              <w:spacing w:after="40" w:line="259" w:lineRule="auto"/>
              <w:rPr>
                <w:sz w:val="24"/>
                <w:szCs w:val="24"/>
              </w:rPr>
            </w:pPr>
            <w:r w:rsidRPr="00EC5520">
              <w:rPr>
                <w:sz w:val="24"/>
                <w:szCs w:val="24"/>
              </w:rPr>
              <w:t>Requirements and service design</w:t>
            </w:r>
          </w:p>
        </w:tc>
        <w:tc>
          <w:tcPr>
            <w:tcW w:w="1411" w:type="dxa"/>
          </w:tcPr>
          <w:p w14:paraId="58CB32F6"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I</w:t>
            </w:r>
          </w:p>
        </w:tc>
        <w:tc>
          <w:tcPr>
            <w:tcW w:w="1411" w:type="dxa"/>
          </w:tcPr>
          <w:p w14:paraId="066EE854"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A</w:t>
            </w:r>
          </w:p>
        </w:tc>
        <w:tc>
          <w:tcPr>
            <w:tcW w:w="1411" w:type="dxa"/>
          </w:tcPr>
          <w:p w14:paraId="67D393A3"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R</w:t>
            </w:r>
          </w:p>
        </w:tc>
        <w:tc>
          <w:tcPr>
            <w:tcW w:w="1411" w:type="dxa"/>
          </w:tcPr>
          <w:p w14:paraId="3AD3CC1A"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C</w:t>
            </w:r>
          </w:p>
        </w:tc>
        <w:tc>
          <w:tcPr>
            <w:tcW w:w="1411" w:type="dxa"/>
          </w:tcPr>
          <w:p w14:paraId="6A49CCE5"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C</w:t>
            </w:r>
          </w:p>
        </w:tc>
        <w:tc>
          <w:tcPr>
            <w:tcW w:w="1411" w:type="dxa"/>
          </w:tcPr>
          <w:p w14:paraId="2C466A06"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C</w:t>
            </w:r>
          </w:p>
        </w:tc>
      </w:tr>
      <w:tr w:rsidR="008F7702" w:rsidRPr="00EC5520" w14:paraId="0BE9C59A"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1" w:type="dxa"/>
          </w:tcPr>
          <w:p w14:paraId="4CDE6518" w14:textId="77777777" w:rsidR="008F7702" w:rsidRPr="00EC5520" w:rsidRDefault="005E6AFB">
            <w:pPr>
              <w:spacing w:after="40" w:line="259" w:lineRule="auto"/>
              <w:rPr>
                <w:sz w:val="24"/>
                <w:szCs w:val="24"/>
              </w:rPr>
            </w:pPr>
            <w:r w:rsidRPr="00EC5520">
              <w:rPr>
                <w:sz w:val="24"/>
                <w:szCs w:val="24"/>
              </w:rPr>
              <w:t>Privacy and algorithmic impact</w:t>
            </w:r>
          </w:p>
        </w:tc>
        <w:tc>
          <w:tcPr>
            <w:tcW w:w="1411" w:type="dxa"/>
          </w:tcPr>
          <w:p w14:paraId="0AD92D74"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I</w:t>
            </w:r>
          </w:p>
        </w:tc>
        <w:tc>
          <w:tcPr>
            <w:tcW w:w="1411" w:type="dxa"/>
          </w:tcPr>
          <w:p w14:paraId="48B1658D"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A</w:t>
            </w:r>
          </w:p>
        </w:tc>
        <w:tc>
          <w:tcPr>
            <w:tcW w:w="1411" w:type="dxa"/>
          </w:tcPr>
          <w:p w14:paraId="5891A4B8"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w:t>
            </w:r>
          </w:p>
        </w:tc>
        <w:tc>
          <w:tcPr>
            <w:tcW w:w="1411" w:type="dxa"/>
          </w:tcPr>
          <w:p w14:paraId="66690028"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R</w:t>
            </w:r>
          </w:p>
        </w:tc>
        <w:tc>
          <w:tcPr>
            <w:tcW w:w="1411" w:type="dxa"/>
          </w:tcPr>
          <w:p w14:paraId="6537EC26"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w:t>
            </w:r>
          </w:p>
        </w:tc>
        <w:tc>
          <w:tcPr>
            <w:tcW w:w="1411" w:type="dxa"/>
          </w:tcPr>
          <w:p w14:paraId="2D6B640B"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w:t>
            </w:r>
          </w:p>
        </w:tc>
      </w:tr>
      <w:tr w:rsidR="008F7702" w:rsidRPr="00EC5520" w14:paraId="22DBBA85" w14:textId="77777777" w:rsidTr="00EC5520">
        <w:tc>
          <w:tcPr>
            <w:cnfStyle w:val="001000000000" w:firstRow="0" w:lastRow="0" w:firstColumn="1" w:lastColumn="0" w:oddVBand="0" w:evenVBand="0" w:oddHBand="0" w:evenHBand="0" w:firstRowFirstColumn="0" w:firstRowLastColumn="0" w:lastRowFirstColumn="0" w:lastRowLastColumn="0"/>
            <w:tcW w:w="1411" w:type="dxa"/>
          </w:tcPr>
          <w:p w14:paraId="224E62FD" w14:textId="77777777" w:rsidR="008F7702" w:rsidRPr="00EC5520" w:rsidRDefault="005E6AFB">
            <w:pPr>
              <w:spacing w:after="40" w:line="259" w:lineRule="auto"/>
              <w:rPr>
                <w:sz w:val="24"/>
                <w:szCs w:val="24"/>
              </w:rPr>
            </w:pPr>
            <w:r w:rsidRPr="00EC5520">
              <w:rPr>
                <w:sz w:val="24"/>
                <w:szCs w:val="24"/>
              </w:rPr>
              <w:t>Security and resilience testing</w:t>
            </w:r>
          </w:p>
        </w:tc>
        <w:tc>
          <w:tcPr>
            <w:tcW w:w="1411" w:type="dxa"/>
          </w:tcPr>
          <w:p w14:paraId="343846AC"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I</w:t>
            </w:r>
          </w:p>
        </w:tc>
        <w:tc>
          <w:tcPr>
            <w:tcW w:w="1411" w:type="dxa"/>
          </w:tcPr>
          <w:p w14:paraId="6DFC0840"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A</w:t>
            </w:r>
          </w:p>
        </w:tc>
        <w:tc>
          <w:tcPr>
            <w:tcW w:w="1411" w:type="dxa"/>
          </w:tcPr>
          <w:p w14:paraId="78D5824C"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R</w:t>
            </w:r>
          </w:p>
        </w:tc>
        <w:tc>
          <w:tcPr>
            <w:tcW w:w="1411" w:type="dxa"/>
          </w:tcPr>
          <w:p w14:paraId="31F491F9"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R</w:t>
            </w:r>
          </w:p>
        </w:tc>
        <w:tc>
          <w:tcPr>
            <w:tcW w:w="1411" w:type="dxa"/>
          </w:tcPr>
          <w:p w14:paraId="0E90DABF"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C</w:t>
            </w:r>
          </w:p>
        </w:tc>
        <w:tc>
          <w:tcPr>
            <w:tcW w:w="1411" w:type="dxa"/>
          </w:tcPr>
          <w:p w14:paraId="66248A55"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I</w:t>
            </w:r>
          </w:p>
        </w:tc>
      </w:tr>
      <w:tr w:rsidR="008F7702" w:rsidRPr="00EC5520" w14:paraId="06C2BB4B"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1" w:type="dxa"/>
          </w:tcPr>
          <w:p w14:paraId="628F3969" w14:textId="77777777" w:rsidR="008F7702" w:rsidRPr="00EC5520" w:rsidRDefault="005E6AFB">
            <w:pPr>
              <w:spacing w:after="40" w:line="259" w:lineRule="auto"/>
              <w:rPr>
                <w:sz w:val="24"/>
                <w:szCs w:val="24"/>
              </w:rPr>
            </w:pPr>
            <w:r w:rsidRPr="00EC5520">
              <w:rPr>
                <w:sz w:val="24"/>
                <w:szCs w:val="24"/>
              </w:rPr>
              <w:t>Market localisation and readiness</w:t>
            </w:r>
          </w:p>
        </w:tc>
        <w:tc>
          <w:tcPr>
            <w:tcW w:w="1411" w:type="dxa"/>
          </w:tcPr>
          <w:p w14:paraId="2B9A5AB8"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I</w:t>
            </w:r>
          </w:p>
        </w:tc>
        <w:tc>
          <w:tcPr>
            <w:tcW w:w="1411" w:type="dxa"/>
          </w:tcPr>
          <w:p w14:paraId="5B971C0F"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w:t>
            </w:r>
          </w:p>
        </w:tc>
        <w:tc>
          <w:tcPr>
            <w:tcW w:w="1411" w:type="dxa"/>
          </w:tcPr>
          <w:p w14:paraId="4F1C55C6"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w:t>
            </w:r>
          </w:p>
        </w:tc>
        <w:tc>
          <w:tcPr>
            <w:tcW w:w="1411" w:type="dxa"/>
          </w:tcPr>
          <w:p w14:paraId="0D135D1B"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w:t>
            </w:r>
          </w:p>
        </w:tc>
        <w:tc>
          <w:tcPr>
            <w:tcW w:w="1411" w:type="dxa"/>
          </w:tcPr>
          <w:p w14:paraId="3AE795EC"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A/R</w:t>
            </w:r>
          </w:p>
        </w:tc>
        <w:tc>
          <w:tcPr>
            <w:tcW w:w="1411" w:type="dxa"/>
          </w:tcPr>
          <w:p w14:paraId="616F52A7"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w:t>
            </w:r>
          </w:p>
        </w:tc>
      </w:tr>
      <w:tr w:rsidR="008F7702" w:rsidRPr="00EC5520" w14:paraId="0D3705CE" w14:textId="77777777" w:rsidTr="00EC5520">
        <w:tc>
          <w:tcPr>
            <w:cnfStyle w:val="001000000000" w:firstRow="0" w:lastRow="0" w:firstColumn="1" w:lastColumn="0" w:oddVBand="0" w:evenVBand="0" w:oddHBand="0" w:evenHBand="0" w:firstRowFirstColumn="0" w:firstRowLastColumn="0" w:lastRowFirstColumn="0" w:lastRowLastColumn="0"/>
            <w:tcW w:w="1411" w:type="dxa"/>
          </w:tcPr>
          <w:p w14:paraId="7797F1ED" w14:textId="77777777" w:rsidR="008F7702" w:rsidRPr="00EC5520" w:rsidRDefault="005E6AFB">
            <w:pPr>
              <w:spacing w:after="40" w:line="259" w:lineRule="auto"/>
              <w:rPr>
                <w:sz w:val="24"/>
                <w:szCs w:val="24"/>
              </w:rPr>
            </w:pPr>
            <w:r w:rsidRPr="00EC5520">
              <w:rPr>
                <w:sz w:val="24"/>
                <w:szCs w:val="24"/>
              </w:rPr>
              <w:t>Go-live decision</w:t>
            </w:r>
          </w:p>
        </w:tc>
        <w:tc>
          <w:tcPr>
            <w:tcW w:w="1411" w:type="dxa"/>
          </w:tcPr>
          <w:p w14:paraId="1B290E75"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A</w:t>
            </w:r>
          </w:p>
        </w:tc>
        <w:tc>
          <w:tcPr>
            <w:tcW w:w="1411" w:type="dxa"/>
          </w:tcPr>
          <w:p w14:paraId="111C4DA3"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R</w:t>
            </w:r>
          </w:p>
        </w:tc>
        <w:tc>
          <w:tcPr>
            <w:tcW w:w="1411" w:type="dxa"/>
          </w:tcPr>
          <w:p w14:paraId="05DB235C"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C</w:t>
            </w:r>
          </w:p>
        </w:tc>
        <w:tc>
          <w:tcPr>
            <w:tcW w:w="1411" w:type="dxa"/>
          </w:tcPr>
          <w:p w14:paraId="42E83C4A"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C</w:t>
            </w:r>
          </w:p>
        </w:tc>
        <w:tc>
          <w:tcPr>
            <w:tcW w:w="1411" w:type="dxa"/>
          </w:tcPr>
          <w:p w14:paraId="625DC1BE"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C</w:t>
            </w:r>
          </w:p>
        </w:tc>
        <w:tc>
          <w:tcPr>
            <w:tcW w:w="1411" w:type="dxa"/>
          </w:tcPr>
          <w:p w14:paraId="41DE6E37"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I</w:t>
            </w:r>
          </w:p>
        </w:tc>
      </w:tr>
      <w:tr w:rsidR="008F7702" w:rsidRPr="00EC5520" w14:paraId="3E8758DE"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1" w:type="dxa"/>
          </w:tcPr>
          <w:p w14:paraId="12E670CD" w14:textId="77777777" w:rsidR="008F7702" w:rsidRPr="00EC5520" w:rsidRDefault="005E6AFB">
            <w:pPr>
              <w:spacing w:after="40" w:line="259" w:lineRule="auto"/>
              <w:rPr>
                <w:sz w:val="24"/>
                <w:szCs w:val="24"/>
              </w:rPr>
            </w:pPr>
            <w:r w:rsidRPr="00EC5520">
              <w:rPr>
                <w:sz w:val="24"/>
                <w:szCs w:val="24"/>
              </w:rPr>
              <w:t>Post-launch review and redress</w:t>
            </w:r>
          </w:p>
        </w:tc>
        <w:tc>
          <w:tcPr>
            <w:tcW w:w="1411" w:type="dxa"/>
          </w:tcPr>
          <w:p w14:paraId="2D822E75"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I</w:t>
            </w:r>
          </w:p>
        </w:tc>
        <w:tc>
          <w:tcPr>
            <w:tcW w:w="1411" w:type="dxa"/>
          </w:tcPr>
          <w:p w14:paraId="763D0B01"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A</w:t>
            </w:r>
          </w:p>
        </w:tc>
        <w:tc>
          <w:tcPr>
            <w:tcW w:w="1411" w:type="dxa"/>
          </w:tcPr>
          <w:p w14:paraId="1EDC10AA"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R</w:t>
            </w:r>
          </w:p>
        </w:tc>
        <w:tc>
          <w:tcPr>
            <w:tcW w:w="1411" w:type="dxa"/>
          </w:tcPr>
          <w:p w14:paraId="7B78016D"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w:t>
            </w:r>
          </w:p>
        </w:tc>
        <w:tc>
          <w:tcPr>
            <w:tcW w:w="1411" w:type="dxa"/>
          </w:tcPr>
          <w:p w14:paraId="45DBB13A"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R</w:t>
            </w:r>
          </w:p>
        </w:tc>
        <w:tc>
          <w:tcPr>
            <w:tcW w:w="1411" w:type="dxa"/>
          </w:tcPr>
          <w:p w14:paraId="182AD703"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w:t>
            </w:r>
          </w:p>
        </w:tc>
      </w:tr>
    </w:tbl>
    <w:p w14:paraId="69692120" w14:textId="77777777" w:rsidR="008F7702" w:rsidRDefault="008F7702">
      <w:pPr>
        <w:spacing w:after="20"/>
      </w:pPr>
    </w:p>
    <w:p w14:paraId="0128B8B9" w14:textId="77777777" w:rsidR="008F7702" w:rsidRDefault="005E6AFB">
      <w:pPr>
        <w:jc w:val="center"/>
      </w:pPr>
      <w:r>
        <w:rPr>
          <w:i/>
          <w:color w:val="52626B"/>
          <w:sz w:val="18"/>
        </w:rPr>
        <w:t>Table 3. RACI: A = accountable, R = responsible, C = consulted, I = informed. Each row has one accountable owner.</w:t>
      </w:r>
    </w:p>
    <w:tbl>
      <w:tblPr>
        <w:tblStyle w:val="Tabelgril5ntunecat-Accentuare1"/>
        <w:tblW w:w="0" w:type="auto"/>
        <w:tblLook w:val="04A0" w:firstRow="1" w:lastRow="0" w:firstColumn="1" w:lastColumn="0" w:noHBand="0" w:noVBand="1"/>
      </w:tblPr>
      <w:tblGrid>
        <w:gridCol w:w="3292"/>
        <w:gridCol w:w="3288"/>
        <w:gridCol w:w="3288"/>
      </w:tblGrid>
      <w:tr w:rsidR="008F7702" w:rsidRPr="00EC5520" w14:paraId="5091EBA1" w14:textId="77777777" w:rsidTr="00EC55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12433A7F" w14:textId="77777777" w:rsidR="008F7702" w:rsidRPr="00EC5520" w:rsidRDefault="005E6AFB">
            <w:pPr>
              <w:rPr>
                <w:sz w:val="24"/>
                <w:szCs w:val="24"/>
              </w:rPr>
            </w:pPr>
            <w:r w:rsidRPr="00EC5520">
              <w:rPr>
                <w:color w:val="FFFFFF"/>
                <w:sz w:val="24"/>
                <w:szCs w:val="24"/>
              </w:rPr>
              <w:t>Audience and purpose</w:t>
            </w:r>
          </w:p>
        </w:tc>
        <w:tc>
          <w:tcPr>
            <w:tcW w:w="3293" w:type="dxa"/>
          </w:tcPr>
          <w:p w14:paraId="3827D0D6"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Mechanism / frequency</w:t>
            </w:r>
          </w:p>
        </w:tc>
        <w:tc>
          <w:tcPr>
            <w:tcW w:w="3293" w:type="dxa"/>
          </w:tcPr>
          <w:p w14:paraId="6A8377A5"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Evidence and feedback closure</w:t>
            </w:r>
          </w:p>
        </w:tc>
      </w:tr>
      <w:tr w:rsidR="008F7702" w:rsidRPr="00EC5520" w14:paraId="06747D0C"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09094E8B" w14:textId="77777777" w:rsidR="008F7702" w:rsidRPr="00EC5520" w:rsidRDefault="005E6AFB">
            <w:pPr>
              <w:spacing w:after="40" w:line="259" w:lineRule="auto"/>
              <w:rPr>
                <w:sz w:val="24"/>
                <w:szCs w:val="24"/>
              </w:rPr>
            </w:pPr>
            <w:r w:rsidRPr="00EC5520">
              <w:rPr>
                <w:sz w:val="24"/>
                <w:szCs w:val="24"/>
              </w:rPr>
              <w:t>Board: risk, value and decisions</w:t>
            </w:r>
          </w:p>
        </w:tc>
        <w:tc>
          <w:tcPr>
            <w:tcW w:w="3293" w:type="dxa"/>
          </w:tcPr>
          <w:p w14:paraId="4516CFCF"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Monthly one-page dashboard; exception meeting as needed</w:t>
            </w:r>
          </w:p>
        </w:tc>
        <w:tc>
          <w:tcPr>
            <w:tcW w:w="3293" w:type="dxa"/>
          </w:tcPr>
          <w:p w14:paraId="172F2393"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Decision, owner, tolerance and benefit trend recorded</w:t>
            </w:r>
          </w:p>
        </w:tc>
      </w:tr>
      <w:tr w:rsidR="008F7702" w:rsidRPr="00EC5520" w14:paraId="5F74285E" w14:textId="77777777" w:rsidTr="00EC5520">
        <w:tc>
          <w:tcPr>
            <w:cnfStyle w:val="001000000000" w:firstRow="0" w:lastRow="0" w:firstColumn="1" w:lastColumn="0" w:oddVBand="0" w:evenVBand="0" w:oddHBand="0" w:evenHBand="0" w:firstRowFirstColumn="0" w:firstRowLastColumn="0" w:lastRowFirstColumn="0" w:lastRowLastColumn="0"/>
            <w:tcW w:w="3293" w:type="dxa"/>
          </w:tcPr>
          <w:p w14:paraId="3DEDE324" w14:textId="77777777" w:rsidR="008F7702" w:rsidRPr="00EC5520" w:rsidRDefault="005E6AFB">
            <w:pPr>
              <w:spacing w:after="40" w:line="259" w:lineRule="auto"/>
              <w:rPr>
                <w:sz w:val="24"/>
                <w:szCs w:val="24"/>
              </w:rPr>
            </w:pPr>
            <w:r w:rsidRPr="00EC5520">
              <w:rPr>
                <w:sz w:val="24"/>
                <w:szCs w:val="24"/>
              </w:rPr>
              <w:t>Project teams: integration</w:t>
            </w:r>
          </w:p>
        </w:tc>
        <w:tc>
          <w:tcPr>
            <w:tcW w:w="3293" w:type="dxa"/>
          </w:tcPr>
          <w:p w14:paraId="6A2FB53E"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Weekly squad reviews; fortnightly steering committee</w:t>
            </w:r>
          </w:p>
        </w:tc>
        <w:tc>
          <w:tcPr>
            <w:tcW w:w="3293" w:type="dxa"/>
          </w:tcPr>
          <w:p w14:paraId="4348EB35"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Backlog links issues to acceptance criteria and owners</w:t>
            </w:r>
          </w:p>
        </w:tc>
      </w:tr>
      <w:tr w:rsidR="008F7702" w:rsidRPr="00EC5520" w14:paraId="41A6FACF"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063D8F5E" w14:textId="77777777" w:rsidR="008F7702" w:rsidRPr="00EC5520" w:rsidRDefault="005E6AFB">
            <w:pPr>
              <w:spacing w:after="40" w:line="259" w:lineRule="auto"/>
              <w:rPr>
                <w:sz w:val="24"/>
                <w:szCs w:val="24"/>
              </w:rPr>
            </w:pPr>
            <w:r w:rsidRPr="00EC5520">
              <w:rPr>
                <w:sz w:val="24"/>
                <w:szCs w:val="24"/>
              </w:rPr>
              <w:t>Customers and advocates: value, consent, usability</w:t>
            </w:r>
          </w:p>
        </w:tc>
        <w:tc>
          <w:tcPr>
            <w:tcW w:w="3293" w:type="dxa"/>
          </w:tcPr>
          <w:p w14:paraId="02B1CE3D"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Co-design in weeks 2–8; prototype tests; pilot pulse surveys</w:t>
            </w:r>
          </w:p>
        </w:tc>
        <w:tc>
          <w:tcPr>
            <w:tcW w:w="3293" w:type="dxa"/>
          </w:tcPr>
          <w:p w14:paraId="7A419967"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“You said / we did / we did not” log in accessible language</w:t>
            </w:r>
          </w:p>
        </w:tc>
      </w:tr>
      <w:tr w:rsidR="008F7702" w:rsidRPr="00EC5520" w14:paraId="4B6D569F" w14:textId="77777777" w:rsidTr="00EC5520">
        <w:tc>
          <w:tcPr>
            <w:cnfStyle w:val="001000000000" w:firstRow="0" w:lastRow="0" w:firstColumn="1" w:lastColumn="0" w:oddVBand="0" w:evenVBand="0" w:oddHBand="0" w:evenHBand="0" w:firstRowFirstColumn="0" w:firstRowLastColumn="0" w:lastRowFirstColumn="0" w:lastRowLastColumn="0"/>
            <w:tcW w:w="3293" w:type="dxa"/>
          </w:tcPr>
          <w:p w14:paraId="3DF0A174" w14:textId="77777777" w:rsidR="008F7702" w:rsidRPr="00EC5520" w:rsidRDefault="005E6AFB">
            <w:pPr>
              <w:spacing w:after="40" w:line="259" w:lineRule="auto"/>
              <w:rPr>
                <w:sz w:val="24"/>
                <w:szCs w:val="24"/>
              </w:rPr>
            </w:pPr>
            <w:r w:rsidRPr="00EC5520">
              <w:rPr>
                <w:sz w:val="24"/>
                <w:szCs w:val="24"/>
              </w:rPr>
              <w:lastRenderedPageBreak/>
              <w:t>Colleagues: workflow and readiness</w:t>
            </w:r>
          </w:p>
        </w:tc>
        <w:tc>
          <w:tcPr>
            <w:tcW w:w="3293" w:type="dxa"/>
          </w:tcPr>
          <w:p w14:paraId="536EB934"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Store huddles, digital forum, champions network; fortnightly</w:t>
            </w:r>
          </w:p>
        </w:tc>
        <w:tc>
          <w:tcPr>
            <w:tcW w:w="3293" w:type="dxa"/>
          </w:tcPr>
          <w:p w14:paraId="59C3E677"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Questions analysed; training and process changes tracked</w:t>
            </w:r>
          </w:p>
        </w:tc>
      </w:tr>
      <w:tr w:rsidR="008F7702" w:rsidRPr="00EC5520" w14:paraId="57944939"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3CA0E11C" w14:textId="77777777" w:rsidR="008F7702" w:rsidRPr="00EC5520" w:rsidRDefault="005E6AFB">
            <w:pPr>
              <w:spacing w:after="40" w:line="259" w:lineRule="auto"/>
              <w:rPr>
                <w:sz w:val="24"/>
                <w:szCs w:val="24"/>
              </w:rPr>
            </w:pPr>
            <w:r w:rsidRPr="00EC5520">
              <w:rPr>
                <w:sz w:val="24"/>
                <w:szCs w:val="24"/>
              </w:rPr>
              <w:t>Regulators/assurance: compliance and accountability</w:t>
            </w:r>
          </w:p>
        </w:tc>
        <w:tc>
          <w:tcPr>
            <w:tcW w:w="3293" w:type="dxa"/>
          </w:tcPr>
          <w:p w14:paraId="02E8D6BA"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Early technical briefings; formal evidence at gates</w:t>
            </w:r>
          </w:p>
        </w:tc>
        <w:tc>
          <w:tcPr>
            <w:tcW w:w="3293" w:type="dxa"/>
          </w:tcPr>
          <w:p w14:paraId="39825219"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Assessment, test results, residual risk and approvals retained</w:t>
            </w:r>
          </w:p>
        </w:tc>
      </w:tr>
      <w:tr w:rsidR="008F7702" w:rsidRPr="00EC5520" w14:paraId="5ACC83EC" w14:textId="77777777" w:rsidTr="00EC5520">
        <w:tc>
          <w:tcPr>
            <w:cnfStyle w:val="001000000000" w:firstRow="0" w:lastRow="0" w:firstColumn="1" w:lastColumn="0" w:oddVBand="0" w:evenVBand="0" w:oddHBand="0" w:evenHBand="0" w:firstRowFirstColumn="0" w:firstRowLastColumn="0" w:lastRowFirstColumn="0" w:lastRowLastColumn="0"/>
            <w:tcW w:w="3293" w:type="dxa"/>
          </w:tcPr>
          <w:p w14:paraId="6EC9ECC4" w14:textId="77777777" w:rsidR="008F7702" w:rsidRPr="00EC5520" w:rsidRDefault="005E6AFB">
            <w:pPr>
              <w:spacing w:after="40" w:line="259" w:lineRule="auto"/>
              <w:rPr>
                <w:sz w:val="24"/>
                <w:szCs w:val="24"/>
              </w:rPr>
            </w:pPr>
            <w:r w:rsidRPr="00EC5520">
              <w:rPr>
                <w:sz w:val="24"/>
                <w:szCs w:val="24"/>
              </w:rPr>
              <w:t>Suppliers: delivery, security and service</w:t>
            </w:r>
          </w:p>
        </w:tc>
        <w:tc>
          <w:tcPr>
            <w:tcW w:w="3293" w:type="dxa"/>
          </w:tcPr>
          <w:p w14:paraId="538D0BF8"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Weekly delivery review; monthly commercial review</w:t>
            </w:r>
          </w:p>
        </w:tc>
        <w:tc>
          <w:tcPr>
            <w:tcW w:w="3293" w:type="dxa"/>
          </w:tcPr>
          <w:p w14:paraId="6511112B" w14:textId="77777777" w:rsidR="008F7702" w:rsidRPr="00EC5520" w:rsidRDefault="005E6AFB">
            <w:p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Actions, service levels, audit rights and exit risks monitored</w:t>
            </w:r>
          </w:p>
        </w:tc>
      </w:tr>
      <w:tr w:rsidR="008F7702" w:rsidRPr="00EC5520" w14:paraId="55A0983B"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72EDE4C0" w14:textId="77777777" w:rsidR="008F7702" w:rsidRPr="00EC5520" w:rsidRDefault="005E6AFB">
            <w:pPr>
              <w:spacing w:after="40" w:line="259" w:lineRule="auto"/>
              <w:rPr>
                <w:sz w:val="24"/>
                <w:szCs w:val="24"/>
              </w:rPr>
            </w:pPr>
            <w:r w:rsidRPr="00EC5520">
              <w:rPr>
                <w:sz w:val="24"/>
                <w:szCs w:val="24"/>
              </w:rPr>
              <w:t>Markets: cultural and operational fit</w:t>
            </w:r>
          </w:p>
        </w:tc>
        <w:tc>
          <w:tcPr>
            <w:tcW w:w="3293" w:type="dxa"/>
          </w:tcPr>
          <w:p w14:paraId="2B6D88CC"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Monthly market council; local pilot retrospectives</w:t>
            </w:r>
          </w:p>
        </w:tc>
        <w:tc>
          <w:tcPr>
            <w:tcW w:w="3293" w:type="dxa"/>
          </w:tcPr>
          <w:p w14:paraId="2425B514" w14:textId="77777777" w:rsidR="008F7702" w:rsidRPr="00EC5520" w:rsidRDefault="005E6AFB">
            <w:p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Localisation decisions and controlled variants documented</w:t>
            </w:r>
          </w:p>
        </w:tc>
      </w:tr>
    </w:tbl>
    <w:p w14:paraId="0CFCF2B8" w14:textId="77777777" w:rsidR="008F7702" w:rsidRDefault="008F7702">
      <w:pPr>
        <w:spacing w:after="20"/>
      </w:pPr>
    </w:p>
    <w:p w14:paraId="5EF823CE" w14:textId="77777777" w:rsidR="008F7702" w:rsidRDefault="005E6AFB">
      <w:pPr>
        <w:jc w:val="center"/>
      </w:pPr>
      <w:r>
        <w:rPr>
          <w:i/>
          <w:color w:val="52626B"/>
          <w:sz w:val="18"/>
        </w:rPr>
        <w:t>Table 4. Integrated stakeholder communication and engagement plan.</w:t>
      </w:r>
    </w:p>
    <w:p w14:paraId="7082810E" w14:textId="77777777" w:rsidR="008F7702" w:rsidRDefault="005E6AFB" w:rsidP="00EC5520">
      <w:pPr>
        <w:pStyle w:val="Titlu2"/>
      </w:pPr>
      <w:bookmarkStart w:id="9" w:name="_Toc235392537"/>
      <w:r>
        <w:t>5.3 Co-design, responsible AI and cultural adaptation</w:t>
      </w:r>
      <w:bookmarkEnd w:id="9"/>
    </w:p>
    <w:p w14:paraId="40E09742" w14:textId="77777777" w:rsidR="00EC5520" w:rsidRDefault="00EC5520" w:rsidP="00EC5520">
      <w:pPr>
        <w:jc w:val="both"/>
      </w:pPr>
      <w:r>
        <w:t>Deliberative panels should be complemented with short surveys, sometimes with evidence from diary studies or prototype usability tests and behavioural pilot evidence. The issue of triangulation is important, as this can reveal a gap between attitude and usage. AI personalisation should provide user friendly controls over data and suggestions, prevent default decisions and provide substantial alternatives beyond personalisation and digital. Although AI can aid the customer relationship, it is essential to complement AI with the human touch, and maintain a high-quality relationship (Libai et al., 2020).</w:t>
      </w:r>
    </w:p>
    <w:p w14:paraId="03179A51" w14:textId="77777777" w:rsidR="00EC5520" w:rsidRDefault="00EC5520" w:rsidP="00EC5520">
      <w:pPr>
        <w:jc w:val="both"/>
      </w:pPr>
      <w:r>
        <w:t>Operating controls are necessary for responsible engagement. The team should record intended use and prohibited use; test performance within relevant groups; evaluate privacy and security; track drift; offer explanations that ordinary customers can understand; allow for correction and appeal; and make sure there is named human accountability. Martin (2019) suggests that algorithms reflect values in the making of decisions and that responsibility can be attributed to the organisation responsible for designing and developing algorithms. Mittelstadt (2019) also notes that there is a disconnection between an overarching moral guideline and its implementation. So, what ConnectPlus require are the gates, evidence, incentives and redress, not just an ethics statement.</w:t>
      </w:r>
    </w:p>
    <w:p w14:paraId="3B87D903" w14:textId="3E656638" w:rsidR="00EC5520" w:rsidRDefault="00EC5520" w:rsidP="00EC5520">
      <w:pPr>
        <w:jc w:val="both"/>
      </w:pPr>
      <w:r>
        <w:t xml:space="preserve">International deployment introduces variations in language, regulation mobile access and retail habits/expectations around data. Central governance should be used to establish non-negotiable safeguards, architecture, brand promises and core metrics, with market councils having control over translation and communication tone, and reward relevance &amp; operational sequencing. Cultural adaptation should not be based on national stereotypes it should be based on evidence from its users </w:t>
      </w:r>
      <w:r>
        <w:lastRenderedPageBreak/>
        <w:t>and vetted by a range of participants. Structured localisation ensures global coherence and local legitimacy.</w:t>
      </w:r>
    </w:p>
    <w:p w14:paraId="659D1BC9" w14:textId="77777777" w:rsidR="00EC5520" w:rsidRDefault="00EC5520" w:rsidP="00EC5520">
      <w:pPr>
        <w:pStyle w:val="Titlu2"/>
      </w:pPr>
      <w:bookmarkStart w:id="10" w:name="_Toc235392538"/>
      <w:r>
        <w:t>5.4 Conflict management</w:t>
      </w:r>
      <w:bookmarkEnd w:id="10"/>
    </w:p>
    <w:p w14:paraId="573FDABD" w14:textId="3161F256" w:rsidR="00EC5520" w:rsidRDefault="00EC5520" w:rsidP="00EC5520">
      <w:pPr>
        <w:jc w:val="both"/>
      </w:pPr>
      <w:r>
        <w:t>Where there are competing interests or divergent understandings of the evidence, conflict is anticipated. Task conflict, process conflict, relationship conflict and values conflict are key distinctions that should be made by the project manager. The second step is to identify as interests, not take as a stance e.g., launch on time is an interest in revenue, delay launch is an interest in an undecided discrimination risk. The third is to create common facts using prototypes, impact assessments, legal analysis or pilot data. Then the options are assessed through agreed criteria: customer value, rights, safety, strategic benefit, cost and reversibility and time.</w:t>
      </w:r>
    </w:p>
    <w:p w14:paraId="1C3D52B7" w14:textId="47B77401" w:rsidR="008F7702" w:rsidRDefault="00EC5520" w:rsidP="00EC5520">
      <w:pPr>
        <w:jc w:val="both"/>
      </w:pPr>
      <w:r>
        <w:t>If there is resolution, then it should be at the lowest competent level, but escalation will be required for critical security, privacy, safety, discrimination, legal, or reputational risks. The project manager facilitates, accountable owner decides, independent assurance challenges and the sponsor arbitrates enterprise trade-offs. Each material resolution to include affected persons, evidence, dissent, decision, safeguards, owner/review date. In this way, you can minimize the risk involved in using consensus to strip away responsibility. When compromise is a violation of an essential measure, the correct choice is redesign or delay.</w:t>
      </w:r>
    </w:p>
    <w:tbl>
      <w:tblPr>
        <w:tblStyle w:val="Tabelgril5ntunecat-Accentuare1"/>
        <w:tblW w:w="0" w:type="auto"/>
        <w:tblLook w:val="04A0" w:firstRow="1" w:lastRow="0" w:firstColumn="1" w:lastColumn="0" w:noHBand="0" w:noVBand="1"/>
      </w:tblPr>
      <w:tblGrid>
        <w:gridCol w:w="3287"/>
        <w:gridCol w:w="3290"/>
        <w:gridCol w:w="3291"/>
      </w:tblGrid>
      <w:tr w:rsidR="008F7702" w:rsidRPr="00EC5520" w14:paraId="0321A4B0" w14:textId="77777777" w:rsidTr="00EC55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779AF591" w14:textId="77777777" w:rsidR="008F7702" w:rsidRPr="00EC5520" w:rsidRDefault="005E6AFB">
            <w:pPr>
              <w:rPr>
                <w:sz w:val="24"/>
                <w:szCs w:val="24"/>
              </w:rPr>
            </w:pPr>
            <w:r w:rsidRPr="00EC5520">
              <w:rPr>
                <w:color w:val="FFFFFF"/>
                <w:sz w:val="24"/>
                <w:szCs w:val="24"/>
              </w:rPr>
              <w:t>Typical conflict</w:t>
            </w:r>
          </w:p>
        </w:tc>
        <w:tc>
          <w:tcPr>
            <w:tcW w:w="3293" w:type="dxa"/>
          </w:tcPr>
          <w:p w14:paraId="0ECBB9A2"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Management response</w:t>
            </w:r>
          </w:p>
        </w:tc>
        <w:tc>
          <w:tcPr>
            <w:tcW w:w="3293" w:type="dxa"/>
          </w:tcPr>
          <w:p w14:paraId="389D3C5E"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Escalation trigger</w:t>
            </w:r>
          </w:p>
        </w:tc>
      </w:tr>
      <w:tr w:rsidR="008F7702" w:rsidRPr="00EC5520" w14:paraId="6DAE67C9"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3CB7B2CE" w14:textId="77777777" w:rsidR="008F7702" w:rsidRPr="00EC5520" w:rsidRDefault="005E6AFB">
            <w:pPr>
              <w:spacing w:after="40" w:line="259" w:lineRule="auto"/>
              <w:rPr>
                <w:sz w:val="24"/>
                <w:szCs w:val="24"/>
              </w:rPr>
            </w:pPr>
            <w:r w:rsidRPr="00EC5520">
              <w:rPr>
                <w:sz w:val="24"/>
                <w:szCs w:val="24"/>
              </w:rPr>
              <w:t>Personalisation vs privacy</w:t>
            </w:r>
          </w:p>
        </w:tc>
        <w:tc>
          <w:tcPr>
            <w:tcW w:w="3293" w:type="dxa"/>
          </w:tcPr>
          <w:p w14:paraId="6E534B86" w14:textId="77777777" w:rsidR="008F7702" w:rsidRPr="00EC5520" w:rsidRDefault="005E6AFB" w:rsidP="00EC5520">
            <w:pPr>
              <w:pStyle w:val="Listparagraf"/>
              <w:numPr>
                <w:ilvl w:val="0"/>
                <w:numId w:val="11"/>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Data minimisation workshop; compare less intrusive designs; user controls</w:t>
            </w:r>
          </w:p>
        </w:tc>
        <w:tc>
          <w:tcPr>
            <w:tcW w:w="3293" w:type="dxa"/>
          </w:tcPr>
          <w:p w14:paraId="0C85377D" w14:textId="77777777" w:rsidR="008F7702" w:rsidRPr="00EC5520" w:rsidRDefault="005E6AFB" w:rsidP="00EC5520">
            <w:pPr>
              <w:pStyle w:val="Listparagraf"/>
              <w:numPr>
                <w:ilvl w:val="0"/>
                <w:numId w:val="11"/>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High residual privacy risk or unclear lawful/ethical basis</w:t>
            </w:r>
          </w:p>
        </w:tc>
      </w:tr>
      <w:tr w:rsidR="008F7702" w:rsidRPr="00EC5520" w14:paraId="71285B78" w14:textId="77777777" w:rsidTr="00EC5520">
        <w:tc>
          <w:tcPr>
            <w:cnfStyle w:val="001000000000" w:firstRow="0" w:lastRow="0" w:firstColumn="1" w:lastColumn="0" w:oddVBand="0" w:evenVBand="0" w:oddHBand="0" w:evenHBand="0" w:firstRowFirstColumn="0" w:firstRowLastColumn="0" w:lastRowFirstColumn="0" w:lastRowLastColumn="0"/>
            <w:tcW w:w="3293" w:type="dxa"/>
          </w:tcPr>
          <w:p w14:paraId="56D07EC2" w14:textId="77777777" w:rsidR="008F7702" w:rsidRPr="00EC5520" w:rsidRDefault="005E6AFB">
            <w:pPr>
              <w:spacing w:after="40" w:line="259" w:lineRule="auto"/>
              <w:rPr>
                <w:sz w:val="24"/>
                <w:szCs w:val="24"/>
              </w:rPr>
            </w:pPr>
            <w:r w:rsidRPr="00EC5520">
              <w:rPr>
                <w:sz w:val="24"/>
                <w:szCs w:val="24"/>
              </w:rPr>
              <w:t>Global consistency vs local relevance</w:t>
            </w:r>
          </w:p>
        </w:tc>
        <w:tc>
          <w:tcPr>
            <w:tcW w:w="3293" w:type="dxa"/>
          </w:tcPr>
          <w:p w14:paraId="179BB252" w14:textId="77777777" w:rsidR="008F7702" w:rsidRPr="00EC5520" w:rsidRDefault="005E6AFB" w:rsidP="00EC5520">
            <w:pPr>
              <w:pStyle w:val="Listparagraf"/>
              <w:numPr>
                <w:ilvl w:val="0"/>
                <w:numId w:val="11"/>
              </w:num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Controlled variants tested against common principles and KPIs</w:t>
            </w:r>
          </w:p>
        </w:tc>
        <w:tc>
          <w:tcPr>
            <w:tcW w:w="3293" w:type="dxa"/>
          </w:tcPr>
          <w:p w14:paraId="4B149F19" w14:textId="77777777" w:rsidR="008F7702" w:rsidRPr="00EC5520" w:rsidRDefault="005E6AFB" w:rsidP="00EC5520">
            <w:pPr>
              <w:pStyle w:val="Listparagraf"/>
              <w:numPr>
                <w:ilvl w:val="0"/>
                <w:numId w:val="11"/>
              </w:num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Variant weakens safeguard, brand promise or interoperability</w:t>
            </w:r>
          </w:p>
        </w:tc>
      </w:tr>
      <w:tr w:rsidR="008F7702" w:rsidRPr="00EC5520" w14:paraId="2AFE4228"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3449FF2F" w14:textId="77777777" w:rsidR="008F7702" w:rsidRPr="00EC5520" w:rsidRDefault="005E6AFB">
            <w:pPr>
              <w:spacing w:after="40" w:line="259" w:lineRule="auto"/>
              <w:rPr>
                <w:sz w:val="24"/>
                <w:szCs w:val="24"/>
              </w:rPr>
            </w:pPr>
            <w:r w:rsidRPr="00EC5520">
              <w:rPr>
                <w:sz w:val="24"/>
                <w:szCs w:val="24"/>
              </w:rPr>
              <w:t>Speed vs assurance</w:t>
            </w:r>
          </w:p>
        </w:tc>
        <w:tc>
          <w:tcPr>
            <w:tcW w:w="3293" w:type="dxa"/>
          </w:tcPr>
          <w:p w14:paraId="15CF79D4" w14:textId="77777777" w:rsidR="008F7702" w:rsidRPr="00EC5520" w:rsidRDefault="005E6AFB" w:rsidP="00EC5520">
            <w:pPr>
              <w:pStyle w:val="Listparagraf"/>
              <w:numPr>
                <w:ilvl w:val="0"/>
                <w:numId w:val="11"/>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Time-box testing; staged release; reversible feature flags</w:t>
            </w:r>
          </w:p>
        </w:tc>
        <w:tc>
          <w:tcPr>
            <w:tcW w:w="3293" w:type="dxa"/>
          </w:tcPr>
          <w:p w14:paraId="538185FE" w14:textId="77777777" w:rsidR="008F7702" w:rsidRPr="00EC5520" w:rsidRDefault="005E6AFB" w:rsidP="00EC5520">
            <w:pPr>
              <w:pStyle w:val="Listparagraf"/>
              <w:numPr>
                <w:ilvl w:val="0"/>
                <w:numId w:val="11"/>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Critical finding open or monitoring/redress absent</w:t>
            </w:r>
          </w:p>
        </w:tc>
      </w:tr>
      <w:tr w:rsidR="008F7702" w:rsidRPr="00EC5520" w14:paraId="1CDD3102" w14:textId="77777777" w:rsidTr="00EC5520">
        <w:tc>
          <w:tcPr>
            <w:cnfStyle w:val="001000000000" w:firstRow="0" w:lastRow="0" w:firstColumn="1" w:lastColumn="0" w:oddVBand="0" w:evenVBand="0" w:oddHBand="0" w:evenHBand="0" w:firstRowFirstColumn="0" w:firstRowLastColumn="0" w:lastRowFirstColumn="0" w:lastRowLastColumn="0"/>
            <w:tcW w:w="3293" w:type="dxa"/>
          </w:tcPr>
          <w:p w14:paraId="773CCD0C" w14:textId="77777777" w:rsidR="008F7702" w:rsidRPr="00EC5520" w:rsidRDefault="005E6AFB">
            <w:pPr>
              <w:spacing w:after="40" w:line="259" w:lineRule="auto"/>
              <w:rPr>
                <w:sz w:val="24"/>
                <w:szCs w:val="24"/>
              </w:rPr>
            </w:pPr>
            <w:r w:rsidRPr="00EC5520">
              <w:rPr>
                <w:sz w:val="24"/>
                <w:szCs w:val="24"/>
              </w:rPr>
              <w:t>Marketing vs vulnerable-customer protection</w:t>
            </w:r>
          </w:p>
        </w:tc>
        <w:tc>
          <w:tcPr>
            <w:tcW w:w="3293" w:type="dxa"/>
          </w:tcPr>
          <w:p w14:paraId="7293415D" w14:textId="77777777" w:rsidR="008F7702" w:rsidRPr="00EC5520" w:rsidRDefault="005E6AFB" w:rsidP="00EC5520">
            <w:pPr>
              <w:pStyle w:val="Listparagraf"/>
              <w:numPr>
                <w:ilvl w:val="0"/>
                <w:numId w:val="11"/>
              </w:num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Independent customer panel; fairness testing; exclude manipulative patterns</w:t>
            </w:r>
          </w:p>
        </w:tc>
        <w:tc>
          <w:tcPr>
            <w:tcW w:w="3293" w:type="dxa"/>
          </w:tcPr>
          <w:p w14:paraId="163F7E4E" w14:textId="77777777" w:rsidR="008F7702" w:rsidRPr="00EC5520" w:rsidRDefault="005E6AFB" w:rsidP="00EC5520">
            <w:pPr>
              <w:pStyle w:val="Listparagraf"/>
              <w:numPr>
                <w:ilvl w:val="0"/>
                <w:numId w:val="11"/>
              </w:num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Evidence of material differential harm</w:t>
            </w:r>
          </w:p>
        </w:tc>
      </w:tr>
      <w:tr w:rsidR="008F7702" w:rsidRPr="00EC5520" w14:paraId="4B09C4CE"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6CADD5D1" w14:textId="77777777" w:rsidR="008F7702" w:rsidRPr="00EC5520" w:rsidRDefault="005E6AFB">
            <w:pPr>
              <w:spacing w:after="40" w:line="259" w:lineRule="auto"/>
              <w:rPr>
                <w:sz w:val="24"/>
                <w:szCs w:val="24"/>
              </w:rPr>
            </w:pPr>
            <w:r w:rsidRPr="00EC5520">
              <w:rPr>
                <w:sz w:val="24"/>
                <w:szCs w:val="24"/>
              </w:rPr>
              <w:lastRenderedPageBreak/>
              <w:t>Supplier opacity vs auditability</w:t>
            </w:r>
          </w:p>
        </w:tc>
        <w:tc>
          <w:tcPr>
            <w:tcW w:w="3293" w:type="dxa"/>
          </w:tcPr>
          <w:p w14:paraId="63F0A6B0" w14:textId="77777777" w:rsidR="008F7702" w:rsidRPr="00EC5520" w:rsidRDefault="005E6AFB" w:rsidP="00EC5520">
            <w:pPr>
              <w:pStyle w:val="Listparagraf"/>
              <w:numPr>
                <w:ilvl w:val="0"/>
                <w:numId w:val="11"/>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Contractual documentation, audit and exit rights</w:t>
            </w:r>
          </w:p>
        </w:tc>
        <w:tc>
          <w:tcPr>
            <w:tcW w:w="3293" w:type="dxa"/>
          </w:tcPr>
          <w:p w14:paraId="2237A035" w14:textId="77777777" w:rsidR="008F7702" w:rsidRPr="00EC5520" w:rsidRDefault="005E6AFB" w:rsidP="00EC5520">
            <w:pPr>
              <w:pStyle w:val="Listparagraf"/>
              <w:numPr>
                <w:ilvl w:val="0"/>
                <w:numId w:val="11"/>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Supplier cannot evidence performance, security or accountability</w:t>
            </w:r>
          </w:p>
        </w:tc>
      </w:tr>
    </w:tbl>
    <w:p w14:paraId="50CFEB7A" w14:textId="77777777" w:rsidR="008F7702" w:rsidRDefault="008F7702">
      <w:pPr>
        <w:spacing w:after="20"/>
      </w:pPr>
    </w:p>
    <w:p w14:paraId="53897C96" w14:textId="77777777" w:rsidR="008F7702" w:rsidRDefault="005E6AFB">
      <w:pPr>
        <w:jc w:val="center"/>
      </w:pPr>
      <w:r>
        <w:rPr>
          <w:i/>
          <w:color w:val="52626B"/>
          <w:sz w:val="18"/>
        </w:rPr>
        <w:t>Table 5. Conflict-response framework.</w:t>
      </w:r>
    </w:p>
    <w:p w14:paraId="5C7D7B74" w14:textId="77777777" w:rsidR="008F7702" w:rsidRDefault="005E6AFB" w:rsidP="00EC5520">
      <w:pPr>
        <w:pStyle w:val="Titlu1"/>
      </w:pPr>
      <w:bookmarkStart w:id="11" w:name="_Toc235392539"/>
      <w:r>
        <w:t>6. Sustainable Stakeholder Engagement and Business Performance</w:t>
      </w:r>
      <w:bookmarkEnd w:id="11"/>
    </w:p>
    <w:p w14:paraId="4BD1EE2F" w14:textId="77777777" w:rsidR="00EC5520" w:rsidRDefault="00EC5520" w:rsidP="00EC5520">
      <w:pPr>
        <w:jc w:val="both"/>
      </w:pPr>
      <w:r>
        <w:t>Sustainable stakeholder engagement is ongoing, mutual, inclusive and goes beyond just seeking approvals for long-term value creation. It has five interrelated mechanisms that affect its performance. First, there is a quality increase in the knowledge, as customers, colleagues, partners disclose needs and side effects. Second, executions benefit from the benefit of greater ownership and earlier discovery of issues. Thirdly, the more stakeholders comprehend the offer and feel heard, the more they will embrace it. Fourth, where there is explanation of decisions, and credible avenues for redress, legitimacy and trust are enhanced. Fifthly, organizational learning can be carried over to the markets and in future digital projects.</w:t>
      </w:r>
    </w:p>
    <w:p w14:paraId="4FAB6C12" w14:textId="77777777" w:rsidR="00EC5520" w:rsidRDefault="00EC5520" w:rsidP="00EC5520">
      <w:pPr>
        <w:jc w:val="both"/>
      </w:pPr>
      <w:r>
        <w:t>These mechanisms can be conducive to more retention, conversion, service efficiencies, innovation and risk-adjusted returns. As for the research on digital transformation, it emphasizes the relationship between technology, organizational changes and value creation (Vial, 2019). AI marketing research also indicates opportunities for prediction and interaction, as well as the need for a different human/machine mix for different intelligence functions (Huang and Rust, 2021). Engagement can help management determine where personalisation is really needed and where personalisation compromises autonomy or service quality.</w:t>
      </w:r>
    </w:p>
    <w:p w14:paraId="7E5DD710" w14:textId="77777777" w:rsidR="00EC5520" w:rsidRDefault="00EC5520" w:rsidP="00EC5520">
      <w:pPr>
        <w:jc w:val="both"/>
      </w:pPr>
      <w:r>
        <w:t>Sustainability also involves just distribution of value and burdens. Alternatively, by making the incentives more relevant to profitable customers, and less relevant to those without a smartphone, ConnectPlus could enhance narrow commercial metrics at the expense of social value and trust. Stakeholder engagement can link to the material sustainability issues, but materiality processes can be filtered by management and must have clear materiality criteria (Calabrese et al., 2019). Therefore, the criteria of accessibility, data restraint, fair recommendation outcomes, colleague capability and responsible supplier conduct should be considered as dimensions of performance, rather than topics to comply with.</w:t>
      </w:r>
    </w:p>
    <w:p w14:paraId="2102B2D2" w14:textId="7110698F" w:rsidR="008F7702" w:rsidRDefault="00EC5520" w:rsidP="00EC5520">
      <w:pPr>
        <w:jc w:val="both"/>
      </w:pPr>
      <w:r>
        <w:t xml:space="preserve">The connection is not necessarily beneficial. Investing in engagement can take time and money; wide understanding of the issue can mean insatiable demands; and if you disclose, you can create </w:t>
      </w:r>
      <w:r>
        <w:lastRenderedPageBreak/>
        <w:t>unrealistic expectations. Workshops can be used to ‘rationalize’ decisions that have already been made – the ‘dark side' of contemporary engagement scholarship (Kujala et al., 2022) – and powerful stakeholders might hijack the agenda. Measurement can also misrepresent behaviour: high attendance does not necessarily mean that influence is high and an average satisfaction score does not mean that a minority is not at risk of harm. Performance measurement should therefore be a mix of process, relationship, outcome and equity measures.</w:t>
      </w:r>
    </w:p>
    <w:tbl>
      <w:tblPr>
        <w:tblStyle w:val="Tabelgril5ntunecat-Accentuare1"/>
        <w:tblW w:w="0" w:type="auto"/>
        <w:tblLook w:val="04A0" w:firstRow="1" w:lastRow="0" w:firstColumn="1" w:lastColumn="0" w:noHBand="0" w:noVBand="1"/>
      </w:tblPr>
      <w:tblGrid>
        <w:gridCol w:w="3288"/>
        <w:gridCol w:w="3290"/>
        <w:gridCol w:w="3290"/>
      </w:tblGrid>
      <w:tr w:rsidR="008F7702" w:rsidRPr="00EC5520" w14:paraId="2B5A934E" w14:textId="77777777" w:rsidTr="00EC55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7F92EB91" w14:textId="77777777" w:rsidR="008F7702" w:rsidRPr="00EC5520" w:rsidRDefault="005E6AFB">
            <w:pPr>
              <w:rPr>
                <w:sz w:val="24"/>
                <w:szCs w:val="24"/>
              </w:rPr>
            </w:pPr>
            <w:r w:rsidRPr="00EC5520">
              <w:rPr>
                <w:color w:val="FFFFFF"/>
                <w:sz w:val="24"/>
                <w:szCs w:val="24"/>
              </w:rPr>
              <w:t>Dimension</w:t>
            </w:r>
          </w:p>
        </w:tc>
        <w:tc>
          <w:tcPr>
            <w:tcW w:w="3293" w:type="dxa"/>
          </w:tcPr>
          <w:p w14:paraId="42640C3E"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Leading indicators</w:t>
            </w:r>
          </w:p>
        </w:tc>
        <w:tc>
          <w:tcPr>
            <w:tcW w:w="3293" w:type="dxa"/>
          </w:tcPr>
          <w:p w14:paraId="13367607" w14:textId="77777777" w:rsidR="008F7702" w:rsidRPr="00EC5520" w:rsidRDefault="005E6AFB">
            <w:pPr>
              <w:cnfStyle w:val="100000000000" w:firstRow="1" w:lastRow="0" w:firstColumn="0" w:lastColumn="0" w:oddVBand="0" w:evenVBand="0" w:oddHBand="0" w:evenHBand="0" w:firstRowFirstColumn="0" w:firstRowLastColumn="0" w:lastRowFirstColumn="0" w:lastRowLastColumn="0"/>
              <w:rPr>
                <w:sz w:val="24"/>
                <w:szCs w:val="24"/>
              </w:rPr>
            </w:pPr>
            <w:r w:rsidRPr="00EC5520">
              <w:rPr>
                <w:color w:val="FFFFFF"/>
                <w:sz w:val="24"/>
                <w:szCs w:val="24"/>
              </w:rPr>
              <w:t>Outcome indicators / safeguards</w:t>
            </w:r>
          </w:p>
        </w:tc>
      </w:tr>
      <w:tr w:rsidR="008F7702" w:rsidRPr="00EC5520" w14:paraId="022B0604"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4CD1E9FB" w14:textId="77777777" w:rsidR="008F7702" w:rsidRPr="00EC5520" w:rsidRDefault="005E6AFB">
            <w:pPr>
              <w:spacing w:after="40" w:line="259" w:lineRule="auto"/>
              <w:rPr>
                <w:sz w:val="24"/>
                <w:szCs w:val="24"/>
              </w:rPr>
            </w:pPr>
            <w:r w:rsidRPr="00EC5520">
              <w:rPr>
                <w:sz w:val="24"/>
                <w:szCs w:val="24"/>
              </w:rPr>
              <w:t>Participation and inclusion</w:t>
            </w:r>
          </w:p>
        </w:tc>
        <w:tc>
          <w:tcPr>
            <w:tcW w:w="3293" w:type="dxa"/>
          </w:tcPr>
          <w:p w14:paraId="2C0A2970" w14:textId="77777777" w:rsidR="008F7702" w:rsidRPr="00EC5520" w:rsidRDefault="005E6AFB" w:rsidP="00EC5520">
            <w:pPr>
              <w:pStyle w:val="Listparagraf"/>
              <w:numPr>
                <w:ilvl w:val="0"/>
                <w:numId w:val="12"/>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Coverage by market and user group; accessibility of channels; response quality</w:t>
            </w:r>
          </w:p>
        </w:tc>
        <w:tc>
          <w:tcPr>
            <w:tcW w:w="3293" w:type="dxa"/>
          </w:tcPr>
          <w:p w14:paraId="1CE46CB4" w14:textId="77777777" w:rsidR="008F7702" w:rsidRPr="00EC5520" w:rsidRDefault="005E6AFB" w:rsidP="00EC5520">
            <w:pPr>
              <w:pStyle w:val="Listparagraf"/>
              <w:numPr>
                <w:ilvl w:val="0"/>
                <w:numId w:val="12"/>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Representation gaps closed; no group systematically excluded</w:t>
            </w:r>
          </w:p>
        </w:tc>
      </w:tr>
      <w:tr w:rsidR="008F7702" w:rsidRPr="00EC5520" w14:paraId="19A778C7" w14:textId="77777777" w:rsidTr="00EC5520">
        <w:tc>
          <w:tcPr>
            <w:cnfStyle w:val="001000000000" w:firstRow="0" w:lastRow="0" w:firstColumn="1" w:lastColumn="0" w:oddVBand="0" w:evenVBand="0" w:oddHBand="0" w:evenHBand="0" w:firstRowFirstColumn="0" w:firstRowLastColumn="0" w:lastRowFirstColumn="0" w:lastRowLastColumn="0"/>
            <w:tcW w:w="3293" w:type="dxa"/>
          </w:tcPr>
          <w:p w14:paraId="47928C03" w14:textId="77777777" w:rsidR="008F7702" w:rsidRPr="00EC5520" w:rsidRDefault="005E6AFB">
            <w:pPr>
              <w:spacing w:after="40" w:line="259" w:lineRule="auto"/>
              <w:rPr>
                <w:sz w:val="24"/>
                <w:szCs w:val="24"/>
              </w:rPr>
            </w:pPr>
            <w:r w:rsidRPr="00EC5520">
              <w:rPr>
                <w:sz w:val="24"/>
                <w:szCs w:val="24"/>
              </w:rPr>
              <w:t>Relationship quality</w:t>
            </w:r>
          </w:p>
        </w:tc>
        <w:tc>
          <w:tcPr>
            <w:tcW w:w="3293" w:type="dxa"/>
          </w:tcPr>
          <w:p w14:paraId="5C1230A6" w14:textId="77777777" w:rsidR="008F7702" w:rsidRPr="00EC5520" w:rsidRDefault="005E6AFB" w:rsidP="00EC5520">
            <w:pPr>
              <w:pStyle w:val="Listparagraf"/>
              <w:numPr>
                <w:ilvl w:val="0"/>
                <w:numId w:val="12"/>
              </w:num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Trust, clarity, perceived influence; promise completion</w:t>
            </w:r>
          </w:p>
        </w:tc>
        <w:tc>
          <w:tcPr>
            <w:tcW w:w="3293" w:type="dxa"/>
          </w:tcPr>
          <w:p w14:paraId="40E12DD1" w14:textId="77777777" w:rsidR="008F7702" w:rsidRPr="00EC5520" w:rsidRDefault="005E6AFB" w:rsidP="00EC5520">
            <w:pPr>
              <w:pStyle w:val="Listparagraf"/>
              <w:numPr>
                <w:ilvl w:val="0"/>
                <w:numId w:val="12"/>
              </w:num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Complaints, advocacy, colleague confidence and partner continuity</w:t>
            </w:r>
          </w:p>
        </w:tc>
      </w:tr>
      <w:tr w:rsidR="008F7702" w:rsidRPr="00EC5520" w14:paraId="2E7BF3AD"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48D13991" w14:textId="77777777" w:rsidR="008F7702" w:rsidRPr="00EC5520" w:rsidRDefault="005E6AFB">
            <w:pPr>
              <w:spacing w:after="40" w:line="259" w:lineRule="auto"/>
              <w:rPr>
                <w:sz w:val="24"/>
                <w:szCs w:val="24"/>
              </w:rPr>
            </w:pPr>
            <w:r w:rsidRPr="00EC5520">
              <w:rPr>
                <w:sz w:val="24"/>
                <w:szCs w:val="24"/>
              </w:rPr>
              <w:t>Delivery</w:t>
            </w:r>
          </w:p>
        </w:tc>
        <w:tc>
          <w:tcPr>
            <w:tcW w:w="3293" w:type="dxa"/>
          </w:tcPr>
          <w:p w14:paraId="1D9A5043" w14:textId="77777777" w:rsidR="008F7702" w:rsidRPr="00EC5520" w:rsidRDefault="005E6AFB" w:rsidP="00EC5520">
            <w:pPr>
              <w:pStyle w:val="Listparagraf"/>
              <w:numPr>
                <w:ilvl w:val="0"/>
                <w:numId w:val="12"/>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Issue age; decision cycle time; rework; assurance findings</w:t>
            </w:r>
          </w:p>
        </w:tc>
        <w:tc>
          <w:tcPr>
            <w:tcW w:w="3293" w:type="dxa"/>
          </w:tcPr>
          <w:p w14:paraId="4405D2FC" w14:textId="77777777" w:rsidR="008F7702" w:rsidRPr="00EC5520" w:rsidRDefault="005E6AFB" w:rsidP="00EC5520">
            <w:pPr>
              <w:pStyle w:val="Listparagraf"/>
              <w:numPr>
                <w:ilvl w:val="0"/>
                <w:numId w:val="12"/>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Schedule predictability, reliability, adoption and support demand</w:t>
            </w:r>
          </w:p>
        </w:tc>
      </w:tr>
      <w:tr w:rsidR="008F7702" w:rsidRPr="00EC5520" w14:paraId="127F040A" w14:textId="77777777" w:rsidTr="00EC5520">
        <w:tc>
          <w:tcPr>
            <w:cnfStyle w:val="001000000000" w:firstRow="0" w:lastRow="0" w:firstColumn="1" w:lastColumn="0" w:oddVBand="0" w:evenVBand="0" w:oddHBand="0" w:evenHBand="0" w:firstRowFirstColumn="0" w:firstRowLastColumn="0" w:lastRowFirstColumn="0" w:lastRowLastColumn="0"/>
            <w:tcW w:w="3293" w:type="dxa"/>
          </w:tcPr>
          <w:p w14:paraId="643FFD6D" w14:textId="77777777" w:rsidR="008F7702" w:rsidRPr="00EC5520" w:rsidRDefault="005E6AFB">
            <w:pPr>
              <w:spacing w:after="40" w:line="259" w:lineRule="auto"/>
              <w:rPr>
                <w:sz w:val="24"/>
                <w:szCs w:val="24"/>
              </w:rPr>
            </w:pPr>
            <w:r w:rsidRPr="00EC5520">
              <w:rPr>
                <w:sz w:val="24"/>
                <w:szCs w:val="24"/>
              </w:rPr>
              <w:t>Responsible data/AI</w:t>
            </w:r>
          </w:p>
        </w:tc>
        <w:tc>
          <w:tcPr>
            <w:tcW w:w="3293" w:type="dxa"/>
          </w:tcPr>
          <w:p w14:paraId="05EA26AD" w14:textId="77777777" w:rsidR="008F7702" w:rsidRPr="00EC5520" w:rsidRDefault="005E6AFB" w:rsidP="00EC5520">
            <w:pPr>
              <w:pStyle w:val="Listparagraf"/>
              <w:numPr>
                <w:ilvl w:val="0"/>
                <w:numId w:val="12"/>
              </w:num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Assessment completion; subgroup tests; explanation comprehension</w:t>
            </w:r>
          </w:p>
        </w:tc>
        <w:tc>
          <w:tcPr>
            <w:tcW w:w="3293" w:type="dxa"/>
          </w:tcPr>
          <w:p w14:paraId="02DA79CB" w14:textId="77777777" w:rsidR="008F7702" w:rsidRPr="00EC5520" w:rsidRDefault="005E6AFB" w:rsidP="00EC5520">
            <w:pPr>
              <w:pStyle w:val="Listparagraf"/>
              <w:numPr>
                <w:ilvl w:val="0"/>
                <w:numId w:val="12"/>
              </w:num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Bias/drift incidents, appeals, upheld complaints and remediation time</w:t>
            </w:r>
          </w:p>
        </w:tc>
      </w:tr>
      <w:tr w:rsidR="008F7702" w:rsidRPr="00EC5520" w14:paraId="7D9204F6" w14:textId="77777777" w:rsidTr="00EC55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3" w:type="dxa"/>
          </w:tcPr>
          <w:p w14:paraId="2DCABC51" w14:textId="77777777" w:rsidR="008F7702" w:rsidRPr="00EC5520" w:rsidRDefault="005E6AFB">
            <w:pPr>
              <w:spacing w:after="40" w:line="259" w:lineRule="auto"/>
              <w:rPr>
                <w:sz w:val="24"/>
                <w:szCs w:val="24"/>
              </w:rPr>
            </w:pPr>
            <w:r w:rsidRPr="00EC5520">
              <w:rPr>
                <w:sz w:val="24"/>
                <w:szCs w:val="24"/>
              </w:rPr>
              <w:t>Commercial value</w:t>
            </w:r>
          </w:p>
        </w:tc>
        <w:tc>
          <w:tcPr>
            <w:tcW w:w="3293" w:type="dxa"/>
          </w:tcPr>
          <w:p w14:paraId="55A7413F" w14:textId="77777777" w:rsidR="008F7702" w:rsidRPr="00EC5520" w:rsidRDefault="005E6AFB" w:rsidP="00EC5520">
            <w:pPr>
              <w:pStyle w:val="Listparagraf"/>
              <w:numPr>
                <w:ilvl w:val="0"/>
                <w:numId w:val="12"/>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Activation, active use, reward redemption and experiment quality</w:t>
            </w:r>
          </w:p>
        </w:tc>
        <w:tc>
          <w:tcPr>
            <w:tcW w:w="3293" w:type="dxa"/>
          </w:tcPr>
          <w:p w14:paraId="0C7EF537" w14:textId="77777777" w:rsidR="008F7702" w:rsidRPr="00EC5520" w:rsidRDefault="005E6AFB" w:rsidP="00EC5520">
            <w:pPr>
              <w:pStyle w:val="Listparagraf"/>
              <w:numPr>
                <w:ilvl w:val="0"/>
                <w:numId w:val="12"/>
              </w:numPr>
              <w:spacing w:after="40" w:line="259" w:lineRule="auto"/>
              <w:cnfStyle w:val="000000100000" w:firstRow="0" w:lastRow="0" w:firstColumn="0" w:lastColumn="0" w:oddVBand="0" w:evenVBand="0" w:oddHBand="1" w:evenHBand="0" w:firstRowFirstColumn="0" w:firstRowLastColumn="0" w:lastRowFirstColumn="0" w:lastRowLastColumn="0"/>
              <w:rPr>
                <w:sz w:val="24"/>
                <w:szCs w:val="24"/>
              </w:rPr>
            </w:pPr>
            <w:r w:rsidRPr="00EC5520">
              <w:rPr>
                <w:sz w:val="24"/>
                <w:szCs w:val="24"/>
              </w:rPr>
              <w:t>Retention, incremental value and cost-to-serve—reported with customer outcomes</w:t>
            </w:r>
          </w:p>
        </w:tc>
      </w:tr>
      <w:tr w:rsidR="008F7702" w:rsidRPr="00EC5520" w14:paraId="319E8940" w14:textId="77777777" w:rsidTr="00EC5520">
        <w:tc>
          <w:tcPr>
            <w:cnfStyle w:val="001000000000" w:firstRow="0" w:lastRow="0" w:firstColumn="1" w:lastColumn="0" w:oddVBand="0" w:evenVBand="0" w:oddHBand="0" w:evenHBand="0" w:firstRowFirstColumn="0" w:firstRowLastColumn="0" w:lastRowFirstColumn="0" w:lastRowLastColumn="0"/>
            <w:tcW w:w="3293" w:type="dxa"/>
          </w:tcPr>
          <w:p w14:paraId="65D5443B" w14:textId="77777777" w:rsidR="008F7702" w:rsidRPr="00EC5520" w:rsidRDefault="005E6AFB">
            <w:pPr>
              <w:spacing w:after="40" w:line="259" w:lineRule="auto"/>
              <w:rPr>
                <w:sz w:val="24"/>
                <w:szCs w:val="24"/>
              </w:rPr>
            </w:pPr>
            <w:r w:rsidRPr="00EC5520">
              <w:rPr>
                <w:sz w:val="24"/>
                <w:szCs w:val="24"/>
              </w:rPr>
              <w:t>Learning and resilience</w:t>
            </w:r>
          </w:p>
        </w:tc>
        <w:tc>
          <w:tcPr>
            <w:tcW w:w="3293" w:type="dxa"/>
          </w:tcPr>
          <w:p w14:paraId="41A776CE" w14:textId="77777777" w:rsidR="008F7702" w:rsidRPr="00EC5520" w:rsidRDefault="005E6AFB" w:rsidP="00EC5520">
            <w:pPr>
              <w:pStyle w:val="Listparagraf"/>
              <w:numPr>
                <w:ilvl w:val="0"/>
                <w:numId w:val="12"/>
              </w:num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Retrospectives completed; knowledge reused across markets</w:t>
            </w:r>
          </w:p>
        </w:tc>
        <w:tc>
          <w:tcPr>
            <w:tcW w:w="3293" w:type="dxa"/>
          </w:tcPr>
          <w:p w14:paraId="5085A1D7" w14:textId="77777777" w:rsidR="008F7702" w:rsidRPr="00EC5520" w:rsidRDefault="005E6AFB" w:rsidP="00EC5520">
            <w:pPr>
              <w:pStyle w:val="Listparagraf"/>
              <w:numPr>
                <w:ilvl w:val="0"/>
                <w:numId w:val="12"/>
              </w:numPr>
              <w:spacing w:after="40" w:line="259" w:lineRule="auto"/>
              <w:cnfStyle w:val="000000000000" w:firstRow="0" w:lastRow="0" w:firstColumn="0" w:lastColumn="0" w:oddVBand="0" w:evenVBand="0" w:oddHBand="0" w:evenHBand="0" w:firstRowFirstColumn="0" w:firstRowLastColumn="0" w:lastRowFirstColumn="0" w:lastRowLastColumn="0"/>
              <w:rPr>
                <w:sz w:val="24"/>
                <w:szCs w:val="24"/>
              </w:rPr>
            </w:pPr>
            <w:r w:rsidRPr="00EC5520">
              <w:rPr>
                <w:sz w:val="24"/>
                <w:szCs w:val="24"/>
              </w:rPr>
              <w:t>Faster safe rollout, fewer repeated failures and improved response to change</w:t>
            </w:r>
          </w:p>
        </w:tc>
      </w:tr>
    </w:tbl>
    <w:p w14:paraId="2A04356B" w14:textId="77777777" w:rsidR="008F7702" w:rsidRDefault="008F7702">
      <w:pPr>
        <w:spacing w:after="20"/>
      </w:pPr>
    </w:p>
    <w:p w14:paraId="7E820330" w14:textId="77777777" w:rsidR="008F7702" w:rsidRDefault="005E6AFB">
      <w:pPr>
        <w:jc w:val="center"/>
        <w:rPr>
          <w:i/>
          <w:color w:val="52626B"/>
          <w:sz w:val="18"/>
        </w:rPr>
      </w:pPr>
      <w:r>
        <w:rPr>
          <w:i/>
          <w:color w:val="52626B"/>
          <w:sz w:val="18"/>
        </w:rPr>
        <w:t>Table 6. Balanced engagement-performance scorecard.</w:t>
      </w:r>
    </w:p>
    <w:p w14:paraId="1D9C546A" w14:textId="77777777" w:rsidR="00EC5520" w:rsidRDefault="00EC5520" w:rsidP="00EC5520">
      <w:r>
        <w:t xml:space="preserve">Care needs to be taken when formulating causal claims. Retention after launch can NOT be a direct result of engagement, as other factors like pricing and promotions, seasonality, and competitors' activity can also fluctuate. The project should include the use of baselines, where appropriate, and </w:t>
      </w:r>
      <w:r>
        <w:lastRenderedPageBreak/>
        <w:t>phased pilots or comparison groups, as well as documenting any assumptions and integrating both quantitative trends and qualitative evidence. Transparent evaluation is conducive to decision-making and helps to avoid that stakeholder engagement is only rewarded when there are positive outcomes.</w:t>
      </w:r>
    </w:p>
    <w:p w14:paraId="3F1907F5" w14:textId="115F2CCB" w:rsidR="00EC5520" w:rsidRDefault="00EC5520" w:rsidP="00EC5520">
      <w:r>
        <w:t>Review benefits are a group of commercial, operational, relational and ethical outcomes at Board level. But a platform which achieves its activation target which triggers unresolved accessibility concerns is not a success. However, an initial delay resulting from testing by stakeholders can save more long-term value by avoiding remediation and damage to the reputation. Sustainable engagement thus introduces a new time frame for performance, one that views trust, capability and legitimacy as assets that help to build resilience, but also acknowledges the benefits of participation and its costs and constraints.</w:t>
      </w:r>
    </w:p>
    <w:p w14:paraId="5A402627" w14:textId="44F4D437" w:rsidR="008F7702" w:rsidRDefault="005E6AFB" w:rsidP="00EC5520">
      <w:pPr>
        <w:pStyle w:val="Titlu1"/>
      </w:pPr>
      <w:bookmarkStart w:id="12" w:name="_Toc235392540"/>
      <w:r>
        <w:t>Recommendations</w:t>
      </w:r>
      <w:bookmarkEnd w:id="12"/>
    </w:p>
    <w:p w14:paraId="2CE5C7B3" w14:textId="77777777" w:rsidR="00EC5520" w:rsidRDefault="00EC5520" w:rsidP="00EC5520">
      <w:pPr>
        <w:pStyle w:val="Listparagraf"/>
        <w:numPr>
          <w:ilvl w:val="0"/>
          <w:numId w:val="13"/>
        </w:numPr>
      </w:pPr>
      <w:r>
        <w:t>Immediately set up accountable governance. Set up cross-functional Stakeholder and Ethics Steering Committee, approve one RACI, establish non-negotiable release criteria and keep an auditable decision and dissent log in week 1. Those benefits and risk appetite should be owned by the sponsor, those integration and engagement quality should be owned by the project manager.</w:t>
      </w:r>
    </w:p>
    <w:p w14:paraId="062AF852" w14:textId="478FA2F1" w:rsidR="00EC5520" w:rsidRDefault="00EC5520" w:rsidP="00EC5520">
      <w:pPr>
        <w:pStyle w:val="Listparagraf"/>
        <w:numPr>
          <w:ilvl w:val="0"/>
          <w:numId w:val="13"/>
        </w:numPr>
      </w:pPr>
      <w:r>
        <w:t>Front-load inclusive discovery. Weeks 1-8: engage a variety of customers and colleagues in all pilot markets, including disabled users, low-digital-confidence users and non-users. Reward/acknowledge significant involvement, deliver alternative formats and include feedback closure. Update power–interest and salience maps on a monthly basis.</w:t>
      </w:r>
    </w:p>
    <w:p w14:paraId="3985108C" w14:textId="607E9EA9" w:rsidR="00EC5520" w:rsidRDefault="00EC5520" w:rsidP="00EC5520">
      <w:pPr>
        <w:pStyle w:val="Listparagraf"/>
        <w:numPr>
          <w:ilvl w:val="0"/>
          <w:numId w:val="13"/>
        </w:numPr>
      </w:pPr>
      <w:r>
        <w:t>Embed responsible data and AI by design. Ensure complete privacy and security prior to deployment; test subgroups outcomes; document data source and model limitations; give users control and correction, appeal and human review; and limit manipulative or otherwise not warranted or justified uses. Implement the same demands and audit rights as for suppliers.</w:t>
      </w:r>
    </w:p>
    <w:p w14:paraId="40D88B86" w14:textId="14373C4E" w:rsidR="00EC5520" w:rsidRDefault="00EC5520" w:rsidP="00EC5520">
      <w:pPr>
        <w:pStyle w:val="Listparagraf"/>
        <w:numPr>
          <w:ilvl w:val="0"/>
          <w:numId w:val="13"/>
        </w:numPr>
      </w:pPr>
      <w:r>
        <w:t>Staged, reversible rollout. Test in a subset of stores and customer segments, leave a non-personalised route, implement feature controls and set stop/go thresholds. Contrast adoption, service need, trust, equity and commercial results with baselines prior to scaling.</w:t>
      </w:r>
    </w:p>
    <w:p w14:paraId="4E6D6427" w14:textId="0B78375A" w:rsidR="00EC5520" w:rsidRDefault="00EC5520" w:rsidP="00EC5520">
      <w:pPr>
        <w:pStyle w:val="Listparagraf"/>
        <w:numPr>
          <w:ilvl w:val="0"/>
          <w:numId w:val="13"/>
        </w:numPr>
      </w:pPr>
      <w:r>
        <w:t>Coordinate involvement as measurable ability. Monthly report a balanced score card of representation, perceived influence, issue closure, trust, assurance, adoption and business value. Look at the minority outcomes individually, not in relation to the averages. Do not discontinue customer panels, colleague champions and market councils at go-live but keep them for continuous improvement.</w:t>
      </w:r>
    </w:p>
    <w:p w14:paraId="55A80927" w14:textId="459D78FD" w:rsidR="00EC5520" w:rsidRPr="00EC5520" w:rsidRDefault="00EC5520" w:rsidP="00EC5520">
      <w:pPr>
        <w:pStyle w:val="Titlu1"/>
      </w:pPr>
      <w:r w:rsidRPr="00EC5520">
        <w:lastRenderedPageBreak/>
        <w:t xml:space="preserve"> </w:t>
      </w:r>
      <w:bookmarkStart w:id="13" w:name="_Toc235392541"/>
      <w:r w:rsidRPr="00EC5520">
        <w:t>Conclusion</w:t>
      </w:r>
      <w:bookmarkEnd w:id="13"/>
    </w:p>
    <w:p w14:paraId="2A7406F8" w14:textId="77777777" w:rsidR="00EC5520" w:rsidRDefault="00EC5520" w:rsidP="00EC5520">
      <w:r>
        <w:t>While software is important, relationships and governance are crucial to the success of ConnectPlus in building customer and organisational value. The stakeholder analysis reveals that, in addition to formal power, there are other dimensions on which stakeholder attention should be based: legitimacy, urgency and vulnerability. The integrated model itself (mapping, salience, the 4Cs, RACI, co-design, responsible-AI controls, conflict escalation, balanced scorecard), gives a defensible model for engagement across local and international markets.</w:t>
      </w:r>
    </w:p>
    <w:p w14:paraId="47BD51B8" w14:textId="403C1DDA" w:rsidR="00EC5520" w:rsidRDefault="00EC5520" w:rsidP="00EC5520">
      <w:r>
        <w:t>The assessment does not accept uncritically the assumption that engagement is always good. Poorly designed participation can be expensive, can be taken up by the powerful voices, or can be symbolic. Sustainable engagement results in better performance where the stakeholders are given relevant information, real opportunities to shape decisions and a clear sense of the decisions made; where managers are kept clearly accountable; and where commercial indicators are considered alongside accessibility, fairness, trust and redress. With that in mind, Tesco should take an incremental approach with evidence of discovery and a pilot, ramping up only when it can be shown that they are beneficial and operated responsibly.</w:t>
      </w:r>
    </w:p>
    <w:p w14:paraId="7E3DC3B1" w14:textId="77777777" w:rsidR="00EC5520" w:rsidRDefault="00EC5520" w:rsidP="00EC5520"/>
    <w:p w14:paraId="08372DD2" w14:textId="77777777" w:rsidR="00EC5520" w:rsidRDefault="00EC5520" w:rsidP="00EC5520"/>
    <w:p w14:paraId="4D53ABA8" w14:textId="77777777" w:rsidR="00EC5520" w:rsidRDefault="00EC5520" w:rsidP="00EC5520"/>
    <w:p w14:paraId="2E0F0AF8" w14:textId="77777777" w:rsidR="00EC5520" w:rsidRDefault="00EC5520" w:rsidP="00EC5520"/>
    <w:p w14:paraId="2174C537" w14:textId="77777777" w:rsidR="00EC5520" w:rsidRDefault="00EC5520" w:rsidP="00EC5520"/>
    <w:p w14:paraId="06AD457E" w14:textId="77777777" w:rsidR="00EC5520" w:rsidRDefault="00EC5520" w:rsidP="00EC5520"/>
    <w:p w14:paraId="4BDD4915" w14:textId="77777777" w:rsidR="00EC5520" w:rsidRDefault="00EC5520" w:rsidP="00EC5520"/>
    <w:p w14:paraId="3943008C" w14:textId="77777777" w:rsidR="00EC5520" w:rsidRDefault="00EC5520" w:rsidP="00EC5520"/>
    <w:p w14:paraId="676DEC3F" w14:textId="77777777" w:rsidR="00EC5520" w:rsidRDefault="00EC5520" w:rsidP="00EC5520"/>
    <w:p w14:paraId="32C4D3DD" w14:textId="77777777" w:rsidR="00EC5520" w:rsidRDefault="00EC5520" w:rsidP="00EC5520"/>
    <w:p w14:paraId="75FC3E9A" w14:textId="77777777" w:rsidR="00EC5520" w:rsidRPr="00EC5520" w:rsidRDefault="00EC5520" w:rsidP="00EC5520"/>
    <w:p w14:paraId="257631C1" w14:textId="77777777" w:rsidR="008F7702" w:rsidRDefault="005E6AFB">
      <w:pPr>
        <w:pStyle w:val="Titlu"/>
      </w:pPr>
      <w:r>
        <w:t>Reference List</w:t>
      </w:r>
    </w:p>
    <w:p w14:paraId="425F8C0F" w14:textId="44008D71" w:rsidR="008F7702" w:rsidRDefault="005E6AFB">
      <w:pPr>
        <w:spacing w:after="140" w:line="276" w:lineRule="auto"/>
        <w:ind w:left="432" w:hanging="432"/>
      </w:pPr>
      <w:r>
        <w:t>Bridoux, F. and Stoelhorst, J.W. (2022) ‘Stakeholder theory, strategy, and organization: Past, present, and future’, Strategic Organization, 20(4), pp. 797–809. (Accessed: 19 July 2026).</w:t>
      </w:r>
    </w:p>
    <w:p w14:paraId="668CF835" w14:textId="771D326F" w:rsidR="008F7702" w:rsidRDefault="005E6AFB">
      <w:pPr>
        <w:spacing w:after="140" w:line="276" w:lineRule="auto"/>
        <w:ind w:left="432" w:hanging="432"/>
      </w:pPr>
      <w:r>
        <w:lastRenderedPageBreak/>
        <w:t xml:space="preserve">Calabrese, A., Costa, R., Levialdi Ghiron, N. and Menichini, T. (2019) ‘Materiality analysis in sustainability reporting: a method for making it work in practice’, European Journal of Sustainable Development, 8(3), pp. 439–447. Available at: </w:t>
      </w:r>
      <w:hyperlink r:id="rId8" w:history="1">
        <w:r w:rsidR="00EC5520" w:rsidRPr="00C14386">
          <w:rPr>
            <w:rStyle w:val="Hyperlink"/>
          </w:rPr>
          <w:t>https://ecsdev.org/ojs/index.php/ejsd/article/view/822</w:t>
        </w:r>
      </w:hyperlink>
      <w:r w:rsidR="00EC5520">
        <w:t xml:space="preserve"> </w:t>
      </w:r>
      <w:r>
        <w:t xml:space="preserve"> (Accessed: 19 July 2026).</w:t>
      </w:r>
    </w:p>
    <w:p w14:paraId="491B0483" w14:textId="2B1A2A4C" w:rsidR="008F7702" w:rsidRDefault="005E6AFB">
      <w:pPr>
        <w:spacing w:after="140" w:line="276" w:lineRule="auto"/>
        <w:ind w:left="432" w:hanging="432"/>
      </w:pPr>
      <w:r>
        <w:t xml:space="preserve">Davenport, T., Guha, A., Grewal, D. and Bressgott, T. (2020) ‘How artificial intelligence will change the future of marketing’, Journal of the Academy of Marketing Science, 48(1), pp. 24–42. Available at: </w:t>
      </w:r>
      <w:hyperlink r:id="rId9" w:history="1">
        <w:r w:rsidR="00EC5520" w:rsidRPr="00C14386">
          <w:rPr>
            <w:rStyle w:val="Hyperlink"/>
          </w:rPr>
          <w:t>https://link.springer.com/article/10.1007/s11747-019-00696-0</w:t>
        </w:r>
      </w:hyperlink>
      <w:r w:rsidR="00EC5520">
        <w:t xml:space="preserve"> </w:t>
      </w:r>
      <w:r>
        <w:t xml:space="preserve"> (Accessed: 19 July 2026).</w:t>
      </w:r>
    </w:p>
    <w:p w14:paraId="2C88E7B6" w14:textId="79493F33" w:rsidR="008F7702" w:rsidRDefault="005E6AFB">
      <w:pPr>
        <w:spacing w:after="140" w:line="276" w:lineRule="auto"/>
        <w:ind w:left="432" w:hanging="432"/>
      </w:pPr>
      <w:r>
        <w:t xml:space="preserve">Derakhshan, R., Turner, R. and Mancini, M. (2019) ‘Project governance and stakeholders: a literature review’, International Journal of Project Management, 37(1), pp. 98–116. Available at: </w:t>
      </w:r>
      <w:hyperlink r:id="rId10" w:history="1">
        <w:r w:rsidR="00EC5520" w:rsidRPr="00C14386">
          <w:rPr>
            <w:rStyle w:val="Hyperlink"/>
          </w:rPr>
          <w:t>https://www.sciencedirect.com/science/article/abs/pii/S0263786317313030</w:t>
        </w:r>
      </w:hyperlink>
      <w:r w:rsidR="00EC5520">
        <w:t xml:space="preserve"> </w:t>
      </w:r>
      <w:r>
        <w:t xml:space="preserve"> (Accessed: 19 July 2026).</w:t>
      </w:r>
      <w:r w:rsidR="00EC5520">
        <w:t xml:space="preserve"> </w:t>
      </w:r>
    </w:p>
    <w:p w14:paraId="1B2E0DF5" w14:textId="67B95459" w:rsidR="008F7702" w:rsidRDefault="005E6AFB">
      <w:pPr>
        <w:spacing w:after="140" w:line="276" w:lineRule="auto"/>
        <w:ind w:left="432" w:hanging="432"/>
      </w:pPr>
      <w:r>
        <w:t xml:space="preserve">Grewal, D., Noble, S.M., Roggeveen, A.L. and Nordfält, J. (2020) ‘The future of in-store technology’, Journal of the Academy of Marketing Science, 48(1), pp. 96–113. Available at: </w:t>
      </w:r>
      <w:hyperlink r:id="rId11" w:history="1">
        <w:r w:rsidR="00EC5520" w:rsidRPr="00C14386">
          <w:rPr>
            <w:rStyle w:val="Hyperlink"/>
          </w:rPr>
          <w:t>https://link.springer.com/article/10.1007/s11747-019-00697-z</w:t>
        </w:r>
      </w:hyperlink>
      <w:r w:rsidR="00EC5520">
        <w:t xml:space="preserve"> </w:t>
      </w:r>
      <w:r>
        <w:t xml:space="preserve"> (Accessed: 19 July 2026).</w:t>
      </w:r>
    </w:p>
    <w:p w14:paraId="50DA2581" w14:textId="39322386" w:rsidR="008F7702" w:rsidRDefault="005E6AFB">
      <w:pPr>
        <w:spacing w:after="140" w:line="276" w:lineRule="auto"/>
        <w:ind w:left="432" w:hanging="432"/>
      </w:pPr>
      <w:r>
        <w:t xml:space="preserve">Huang, M.-H. and Rust, R.T. (2021) ‘A strategic framework for artificial intelligence in marketing’, Journal of the Academy of Marketing Science, 49(1), pp. 30–50. Available at: </w:t>
      </w:r>
      <w:hyperlink r:id="rId12" w:history="1">
        <w:r w:rsidR="00EC5520" w:rsidRPr="00C14386">
          <w:rPr>
            <w:rStyle w:val="Hyperlink"/>
          </w:rPr>
          <w:t>https://link.springer.com/article/10.1007/s11747-020-00749-9</w:t>
        </w:r>
      </w:hyperlink>
      <w:r w:rsidR="00EC5520">
        <w:t xml:space="preserve"> </w:t>
      </w:r>
      <w:r>
        <w:t xml:space="preserve"> (Accessed: 19 July 2026).</w:t>
      </w:r>
    </w:p>
    <w:p w14:paraId="5BDD93DD" w14:textId="53D97B13" w:rsidR="008F7702" w:rsidRDefault="005E6AFB">
      <w:pPr>
        <w:spacing w:after="140" w:line="276" w:lineRule="auto"/>
        <w:ind w:left="432" w:hanging="432"/>
      </w:pPr>
      <w:r>
        <w:t xml:space="preserve">Kujala, J., Sachs, S., Leinonen, H., Heikkinen, A. and Laude, D. (2022) ‘Stakeholder engagement: Past, present, and future’, Business &amp; Society, 61(5), pp. 1136–1196. Available at: </w:t>
      </w:r>
      <w:hyperlink r:id="rId13" w:history="1">
        <w:r w:rsidR="00EC5520" w:rsidRPr="00C14386">
          <w:rPr>
            <w:rStyle w:val="Hyperlink"/>
          </w:rPr>
          <w:t>https://journals.sagepub.com/doi/10.1177/00076503211066595</w:t>
        </w:r>
      </w:hyperlink>
      <w:r w:rsidR="00EC5520">
        <w:t xml:space="preserve"> </w:t>
      </w:r>
      <w:r>
        <w:t xml:space="preserve"> (Accessed: 19 July 2026).</w:t>
      </w:r>
    </w:p>
    <w:p w14:paraId="5E7E627F" w14:textId="450C603F" w:rsidR="008F7702" w:rsidRDefault="005E6AFB">
      <w:pPr>
        <w:spacing w:after="140" w:line="276" w:lineRule="auto"/>
        <w:ind w:left="432" w:hanging="432"/>
      </w:pPr>
      <w:r>
        <w:t xml:space="preserve">Libai, B., Bart, Y., Gensler, S., Hofacker, C.F., Kaplan, A., Kötterheinrich, K. and Kroll, E.B. (2020) ‘Brave new world? On AI and the management of customer relationships’, Journal of Interactive Marketing, 51, pp. 44–56. Available at: </w:t>
      </w:r>
      <w:hyperlink r:id="rId14" w:history="1">
        <w:r w:rsidR="00EC5520" w:rsidRPr="00C14386">
          <w:rPr>
            <w:rStyle w:val="Hyperlink"/>
          </w:rPr>
          <w:t>https://www.sciencedirect.com/science/article/abs/pii/S1094996820300880</w:t>
        </w:r>
      </w:hyperlink>
      <w:r w:rsidR="00EC5520">
        <w:t xml:space="preserve"> </w:t>
      </w:r>
      <w:r>
        <w:t xml:space="preserve"> (Accessed: 19 July 2026).</w:t>
      </w:r>
    </w:p>
    <w:p w14:paraId="31957A7A" w14:textId="2264F13D" w:rsidR="008F7702" w:rsidRDefault="005E6AFB">
      <w:pPr>
        <w:spacing w:after="140" w:line="276" w:lineRule="auto"/>
        <w:ind w:left="432" w:hanging="432"/>
      </w:pPr>
      <w:r>
        <w:t xml:space="preserve">Martin, K. (2019) ‘Ethical implications and accountability of algorithms’, Journal of Business Ethics, 160(4), pp. 835–850. Available at: </w:t>
      </w:r>
      <w:hyperlink r:id="rId15" w:history="1">
        <w:r w:rsidR="00EC5520" w:rsidRPr="00C14386">
          <w:rPr>
            <w:rStyle w:val="Hyperlink"/>
          </w:rPr>
          <w:t>https://link.springer.com/article/10.1007/s10551-018-3921-3</w:t>
        </w:r>
      </w:hyperlink>
      <w:r w:rsidR="00EC5520">
        <w:t xml:space="preserve"> </w:t>
      </w:r>
      <w:r>
        <w:t>(Accessed: 19 July 2026).</w:t>
      </w:r>
    </w:p>
    <w:p w14:paraId="4E887A14" w14:textId="56F33320" w:rsidR="008F7702" w:rsidRDefault="005E6AFB">
      <w:pPr>
        <w:spacing w:after="140" w:line="276" w:lineRule="auto"/>
        <w:ind w:left="432" w:hanging="432"/>
      </w:pPr>
      <w:r>
        <w:t xml:space="preserve">Mittelstadt, B. (2019) ‘Principles alone cannot guarantee ethical AI’, Nature Machine Intelligence, 1(11), pp. 501–507. Available at: </w:t>
      </w:r>
      <w:hyperlink r:id="rId16" w:history="1">
        <w:r w:rsidR="00EC5520" w:rsidRPr="00C14386">
          <w:rPr>
            <w:rStyle w:val="Hyperlink"/>
          </w:rPr>
          <w:t>https://www.nature.com/articles/s42256-019-0114-4</w:t>
        </w:r>
      </w:hyperlink>
      <w:r w:rsidR="00EC5520">
        <w:t xml:space="preserve"> </w:t>
      </w:r>
      <w:r>
        <w:t xml:space="preserve"> (Accessed: 19 July 2026).</w:t>
      </w:r>
    </w:p>
    <w:p w14:paraId="64C03059" w14:textId="6A642F5A" w:rsidR="008F7702" w:rsidRDefault="005E6AFB">
      <w:pPr>
        <w:spacing w:after="140" w:line="276" w:lineRule="auto"/>
        <w:ind w:left="432" w:hanging="432"/>
      </w:pPr>
      <w:r>
        <w:t xml:space="preserve">Puntoni, S., Reczek, R.W., Giesler, M. and Botti, S. (2021) ‘Consumers and artificial intelligence: An experiential perspective’, Journal of Marketing, 85(1), pp. 131–151. Available at: </w:t>
      </w:r>
      <w:hyperlink r:id="rId17" w:history="1">
        <w:r w:rsidR="00EC5520" w:rsidRPr="00C14386">
          <w:rPr>
            <w:rStyle w:val="Hyperlink"/>
          </w:rPr>
          <w:t>https://journals.sagepub.com/doi/10.1177/0022242920953847</w:t>
        </w:r>
      </w:hyperlink>
      <w:r w:rsidR="00EC5520">
        <w:t xml:space="preserve"> </w:t>
      </w:r>
      <w:r>
        <w:t xml:space="preserve"> (Accessed: 19 July 2026).</w:t>
      </w:r>
    </w:p>
    <w:p w14:paraId="3C0BB36E" w14:textId="3CADF059" w:rsidR="008F7702" w:rsidRDefault="005E6AFB">
      <w:pPr>
        <w:spacing w:after="140" w:line="276" w:lineRule="auto"/>
        <w:ind w:left="432" w:hanging="432"/>
      </w:pPr>
      <w:r>
        <w:t xml:space="preserve">Tsamados, A., Aggarwal, N., Cowls, J., Morley, J., Roberts, H., Taddeo, M. and Floridi, L. (2022) ‘The ethics of algorithms: key problems and solutions’, AI &amp; Society, 37, pp. 215–230. Available at: </w:t>
      </w:r>
      <w:hyperlink r:id="rId18" w:history="1">
        <w:r w:rsidR="00EC5520" w:rsidRPr="00C14386">
          <w:rPr>
            <w:rStyle w:val="Hyperlink"/>
          </w:rPr>
          <w:t>https://link.springer.com/article/10.1007/s00146-021-01154-8</w:t>
        </w:r>
      </w:hyperlink>
      <w:r w:rsidR="00EC5520">
        <w:t xml:space="preserve"> </w:t>
      </w:r>
      <w:r>
        <w:t xml:space="preserve"> (Accessed: 19 July 2026).</w:t>
      </w:r>
    </w:p>
    <w:p w14:paraId="27EF486C" w14:textId="1071DCDE" w:rsidR="008F7702" w:rsidRDefault="005E6AFB">
      <w:pPr>
        <w:spacing w:after="140" w:line="276" w:lineRule="auto"/>
        <w:ind w:left="432" w:hanging="432"/>
      </w:pPr>
      <w:r>
        <w:t xml:space="preserve">Vial, G. (2019) ‘Understanding digital transformation: A review and a research agenda’, The Journal of Strategic Information Systems, 28(2), pp. 118–144. Available at: </w:t>
      </w:r>
      <w:hyperlink r:id="rId19" w:history="1">
        <w:r w:rsidR="00EC5520" w:rsidRPr="00C14386">
          <w:rPr>
            <w:rStyle w:val="Hyperlink"/>
          </w:rPr>
          <w:t>https://www.sciencedirect.com/science/article/pii/S0963868717302196</w:t>
        </w:r>
      </w:hyperlink>
      <w:r w:rsidR="00EC5520">
        <w:t xml:space="preserve"> </w:t>
      </w:r>
      <w:r>
        <w:t xml:space="preserve"> (Accessed: 19 July 2026).</w:t>
      </w:r>
    </w:p>
    <w:p w14:paraId="21BA1953" w14:textId="19F3CFDF" w:rsidR="008F7702" w:rsidRDefault="005E6AFB">
      <w:pPr>
        <w:spacing w:after="140" w:line="276" w:lineRule="auto"/>
        <w:ind w:left="432" w:hanging="432"/>
      </w:pPr>
      <w:r>
        <w:t xml:space="preserve">Marabelli, M., Newell, S. and Handunge, V. (2021) ‘The lifecycle of algorithmic decision-making systems: Organizational choices and ethical challenges’, The Journal of Strategic Information Systems, 30(3), article 101683. Available at: </w:t>
      </w:r>
      <w:hyperlink r:id="rId20" w:history="1">
        <w:r w:rsidR="00EC5520" w:rsidRPr="00C14386">
          <w:rPr>
            <w:rStyle w:val="Hyperlink"/>
          </w:rPr>
          <w:t>https://www.sciencedirect.com/science/article/pii/S0963868721000405</w:t>
        </w:r>
      </w:hyperlink>
      <w:r w:rsidR="00EC5520">
        <w:t xml:space="preserve"> </w:t>
      </w:r>
      <w:r>
        <w:t xml:space="preserve"> (Accessed: 19 July 2026).</w:t>
      </w:r>
    </w:p>
    <w:p w14:paraId="7B6A4091" w14:textId="09E6A697" w:rsidR="008F7702" w:rsidRDefault="005E6AFB">
      <w:pPr>
        <w:spacing w:after="140" w:line="276" w:lineRule="auto"/>
        <w:ind w:left="432" w:hanging="432"/>
      </w:pPr>
      <w:r>
        <w:t xml:space="preserve">Seele, P., Dierksmeier, C., Hofstetter, R. and Schultz, M.D. (2021) ‘Mapping the ethicality of algorithmic pricing: A review of dynamic and personalized pricing’, Journal of Business Ethics, 170, pp. 697–719. Available at: </w:t>
      </w:r>
      <w:hyperlink r:id="rId21" w:history="1">
        <w:r w:rsidR="00EC5520" w:rsidRPr="00C14386">
          <w:rPr>
            <w:rStyle w:val="Hyperlink"/>
          </w:rPr>
          <w:t>https://link.springer.com/article/10.1007/s10551-019-04371-w</w:t>
        </w:r>
      </w:hyperlink>
      <w:r w:rsidR="00EC5520">
        <w:t xml:space="preserve"> </w:t>
      </w:r>
      <w:r>
        <w:t xml:space="preserve"> (Accessed: 19 July 2026).</w:t>
      </w:r>
    </w:p>
    <w:p w14:paraId="363BFC74" w14:textId="08D3554E" w:rsidR="008F7702" w:rsidRDefault="005E6AFB">
      <w:pPr>
        <w:spacing w:after="140" w:line="276" w:lineRule="auto"/>
        <w:ind w:left="432" w:hanging="432"/>
      </w:pPr>
      <w:r>
        <w:t xml:space="preserve">Haleem, A., Javaid, M., Qadri, M.A., Singh, R.P. and Suman, R. (2022) ‘Artificial intelligence (AI) applications for marketing: A literature-based study’, International Journal of Intelligent Networks, 3, pp. 119–132. Available at: </w:t>
      </w:r>
      <w:hyperlink r:id="rId22" w:history="1">
        <w:r w:rsidR="00EC5520" w:rsidRPr="00C14386">
          <w:rPr>
            <w:rStyle w:val="Hyperlink"/>
          </w:rPr>
          <w:t>https://www.sciencedirect.com/science/article/pii/S2666603022000136</w:t>
        </w:r>
      </w:hyperlink>
      <w:r w:rsidR="00EC5520">
        <w:t xml:space="preserve"> </w:t>
      </w:r>
      <w:r>
        <w:t xml:space="preserve"> (Accessed: 19 July 2026).</w:t>
      </w:r>
    </w:p>
    <w:sectPr w:rsidR="008F7702" w:rsidSect="00034616">
      <w:headerReference w:type="default" r:id="rId23"/>
      <w:footerReference w:type="default" r:id="rId24"/>
      <w:pgSz w:w="12240" w:h="15840"/>
      <w:pgMar w:top="1123"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2FF21" w14:textId="77777777" w:rsidR="00F04FB1" w:rsidRDefault="00F04FB1">
      <w:pPr>
        <w:spacing w:after="0" w:line="240" w:lineRule="auto"/>
      </w:pPr>
      <w:r>
        <w:separator/>
      </w:r>
    </w:p>
  </w:endnote>
  <w:endnote w:type="continuationSeparator" w:id="0">
    <w:p w14:paraId="541B36B3" w14:textId="77777777" w:rsidR="00F04FB1" w:rsidRDefault="00F04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89E13" w14:textId="77777777" w:rsidR="008F7702" w:rsidRDefault="005E6AFB">
    <w:pPr>
      <w:pStyle w:val="Subsol"/>
      <w:jc w:val="center"/>
    </w:pPr>
    <w:r>
      <w:t xml:space="preserve">LCLM5001  |  ConnectPlus Stakeholder Engagement  |  </w:t>
    </w:r>
    <w:r>
      <w:fldChar w:fldCharType="begin"/>
    </w:r>
    <w:r>
      <w:instrText>PAGE</w:instrText>
    </w:r>
    <w:r>
      <w:fldChar w:fldCharType="separate"/>
    </w:r>
    <w:r w:rsidR="00EC552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CD264" w14:textId="77777777" w:rsidR="00F04FB1" w:rsidRDefault="00F04FB1">
      <w:pPr>
        <w:spacing w:after="0" w:line="240" w:lineRule="auto"/>
      </w:pPr>
      <w:r>
        <w:separator/>
      </w:r>
    </w:p>
  </w:footnote>
  <w:footnote w:type="continuationSeparator" w:id="0">
    <w:p w14:paraId="241483D4" w14:textId="77777777" w:rsidR="00F04FB1" w:rsidRDefault="00F04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F9C45" w14:textId="77777777" w:rsidR="008F7702" w:rsidRDefault="005E6AFB">
    <w:pPr>
      <w:pStyle w:val="Antet"/>
      <w:jc w:val="right"/>
    </w:pPr>
    <w:r>
      <w:rPr>
        <w:color w:val="167D8D"/>
        <w:sz w:val="16"/>
      </w:rPr>
      <w:t>STRATEGIC STAKEHOLDER ENGAGEMENT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13182E67"/>
    <w:multiLevelType w:val="hybridMultilevel"/>
    <w:tmpl w:val="BE38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A04D1"/>
    <w:multiLevelType w:val="hybridMultilevel"/>
    <w:tmpl w:val="F280AD74"/>
    <w:lvl w:ilvl="0" w:tplc="FFFFFFFF">
      <w:start w:val="1"/>
      <w:numFmt w:val="decimal"/>
      <w:lvlText w:val="%1."/>
      <w:lvlJc w:val="left"/>
      <w:pPr>
        <w:ind w:left="972" w:hanging="612"/>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28F3B34"/>
    <w:multiLevelType w:val="hybridMultilevel"/>
    <w:tmpl w:val="F280AD74"/>
    <w:lvl w:ilvl="0" w:tplc="360E2B92">
      <w:start w:val="1"/>
      <w:numFmt w:val="decimal"/>
      <w:lvlText w:val="%1."/>
      <w:lvlJc w:val="left"/>
      <w:pPr>
        <w:ind w:left="972" w:hanging="61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0B0094"/>
    <w:multiLevelType w:val="hybridMultilevel"/>
    <w:tmpl w:val="BB8EA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46365F"/>
    <w:multiLevelType w:val="hybridMultilevel"/>
    <w:tmpl w:val="5580A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773266">
    <w:abstractNumId w:val="8"/>
  </w:num>
  <w:num w:numId="2" w16cid:durableId="1175879232">
    <w:abstractNumId w:val="6"/>
  </w:num>
  <w:num w:numId="3" w16cid:durableId="2008291073">
    <w:abstractNumId w:val="5"/>
  </w:num>
  <w:num w:numId="4" w16cid:durableId="1138452249">
    <w:abstractNumId w:val="4"/>
  </w:num>
  <w:num w:numId="5" w16cid:durableId="1194153120">
    <w:abstractNumId w:val="7"/>
  </w:num>
  <w:num w:numId="6" w16cid:durableId="355733464">
    <w:abstractNumId w:val="3"/>
  </w:num>
  <w:num w:numId="7" w16cid:durableId="463428497">
    <w:abstractNumId w:val="2"/>
  </w:num>
  <w:num w:numId="8" w16cid:durableId="1290286690">
    <w:abstractNumId w:val="1"/>
  </w:num>
  <w:num w:numId="9" w16cid:durableId="2021614961">
    <w:abstractNumId w:val="0"/>
  </w:num>
  <w:num w:numId="10" w16cid:durableId="991636723">
    <w:abstractNumId w:val="11"/>
  </w:num>
  <w:num w:numId="11" w16cid:durableId="455636719">
    <w:abstractNumId w:val="9"/>
  </w:num>
  <w:num w:numId="12" w16cid:durableId="342173783">
    <w:abstractNumId w:val="12"/>
  </w:num>
  <w:num w:numId="13" w16cid:durableId="2141999144">
    <w:abstractNumId w:val="10"/>
  </w:num>
  <w:num w:numId="14" w16cid:durableId="11359492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defaultTabStop w:val="720"/>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E6AFB"/>
    <w:rsid w:val="006A395B"/>
    <w:rsid w:val="007A743D"/>
    <w:rsid w:val="007C191B"/>
    <w:rsid w:val="008F7702"/>
    <w:rsid w:val="009C0E4C"/>
    <w:rsid w:val="00AA1D8D"/>
    <w:rsid w:val="00B45AD3"/>
    <w:rsid w:val="00B47730"/>
    <w:rsid w:val="00B94A06"/>
    <w:rsid w:val="00BA3298"/>
    <w:rsid w:val="00CB0664"/>
    <w:rsid w:val="00E47D70"/>
    <w:rsid w:val="00EC5520"/>
    <w:rsid w:val="00ED665A"/>
    <w:rsid w:val="00F04FB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7EA75A"/>
  <w14:defaultImageDpi w14:val="300"/>
  <w15:docId w15:val="{76FD3516-3681-42D4-8E13-0627FD6EB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rPr>
  </w:style>
  <w:style w:type="paragraph" w:styleId="Titlu1">
    <w:name w:val="heading 1"/>
    <w:basedOn w:val="Normal"/>
    <w:next w:val="Normal"/>
    <w:link w:val="Titlu1Caracter"/>
    <w:uiPriority w:val="9"/>
    <w:qFormat/>
    <w:rsid w:val="00FC693F"/>
    <w:pPr>
      <w:keepNext/>
      <w:keepLines/>
      <w:spacing w:before="240"/>
      <w:outlineLvl w:val="0"/>
    </w:pPr>
    <w:rPr>
      <w:rFonts w:asciiTheme="majorHAnsi" w:eastAsiaTheme="majorEastAsia" w:hAnsiTheme="majorHAnsi" w:cstheme="majorBidi"/>
      <w:b/>
      <w:bCs/>
      <w:color w:val="12354A"/>
      <w:sz w:val="36"/>
      <w:szCs w:val="28"/>
    </w:rPr>
  </w:style>
  <w:style w:type="paragraph" w:styleId="Titlu2">
    <w:name w:val="heading 2"/>
    <w:basedOn w:val="Normal"/>
    <w:next w:val="Normal"/>
    <w:link w:val="Titlu2Caracter"/>
    <w:uiPriority w:val="9"/>
    <w:unhideWhenUsed/>
    <w:qFormat/>
    <w:rsid w:val="00FC693F"/>
    <w:pPr>
      <w:keepNext/>
      <w:keepLines/>
      <w:spacing w:before="240"/>
      <w:outlineLvl w:val="1"/>
    </w:pPr>
    <w:rPr>
      <w:rFonts w:asciiTheme="majorHAnsi" w:eastAsiaTheme="majorEastAsia" w:hAnsiTheme="majorHAnsi" w:cstheme="majorBidi"/>
      <w:b/>
      <w:bCs/>
      <w:color w:val="167D8D"/>
      <w:sz w:val="28"/>
      <w:szCs w:val="26"/>
    </w:rPr>
  </w:style>
  <w:style w:type="paragraph" w:styleId="Titlu3">
    <w:name w:val="heading 3"/>
    <w:basedOn w:val="Normal"/>
    <w:next w:val="Normal"/>
    <w:link w:val="Titlu3Caracter"/>
    <w:uiPriority w:val="9"/>
    <w:unhideWhenUsed/>
    <w:qFormat/>
    <w:rsid w:val="00FC693F"/>
    <w:pPr>
      <w:keepNext/>
      <w:keepLines/>
      <w:spacing w:before="240"/>
      <w:outlineLvl w:val="2"/>
    </w:pPr>
    <w:rPr>
      <w:rFonts w:asciiTheme="majorHAnsi" w:eastAsiaTheme="majorEastAsia" w:hAnsiTheme="majorHAnsi" w:cstheme="majorBidi"/>
      <w:b/>
      <w:bCs/>
      <w:color w:val="D46A32"/>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before="240" w:line="240" w:lineRule="auto"/>
      <w:contextualSpacing/>
    </w:pPr>
    <w:rPr>
      <w:rFonts w:asciiTheme="majorHAnsi" w:eastAsiaTheme="majorEastAsia" w:hAnsiTheme="majorHAnsi" w:cstheme="majorBidi"/>
      <w:b/>
      <w:color w:val="12354A"/>
      <w:spacing w:val="5"/>
      <w:kern w:val="28"/>
      <w:sz w:val="60"/>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ind w:left="360"/>
      <w:contextualSpacing/>
    </w:pPr>
  </w:style>
  <w:style w:type="paragraph" w:styleId="Listcontinuare2">
    <w:name w:val="List Continue 2"/>
    <w:basedOn w:val="Normal"/>
    <w:uiPriority w:val="99"/>
    <w:unhideWhenUsed/>
    <w:rsid w:val="0029639D"/>
    <w:pPr>
      <w:ind w:left="720"/>
      <w:contextualSpacing/>
    </w:pPr>
  </w:style>
  <w:style w:type="paragraph" w:styleId="Listcontinuare3">
    <w:name w:val="List Continue 3"/>
    <w:basedOn w:val="Normal"/>
    <w:uiPriority w:val="99"/>
    <w:unhideWhenUsed/>
    <w:rsid w:val="0029639D"/>
    <w:pPr>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Tabelgril5ntunecat-Accentuare1">
    <w:name w:val="Grid Table 5 Dark Accent 1"/>
    <w:basedOn w:val="TabelNormal"/>
    <w:uiPriority w:val="50"/>
    <w:rsid w:val="00EC552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Hyperlink">
    <w:name w:val="Hyperlink"/>
    <w:basedOn w:val="Fontdeparagrafimplicit"/>
    <w:uiPriority w:val="99"/>
    <w:unhideWhenUsed/>
    <w:rsid w:val="00EC5520"/>
    <w:rPr>
      <w:color w:val="0000FF" w:themeColor="hyperlink"/>
      <w:u w:val="single"/>
    </w:rPr>
  </w:style>
  <w:style w:type="character" w:styleId="MeniuneNerezolvat">
    <w:name w:val="Unresolved Mention"/>
    <w:basedOn w:val="Fontdeparagrafimplicit"/>
    <w:uiPriority w:val="99"/>
    <w:semiHidden/>
    <w:unhideWhenUsed/>
    <w:rsid w:val="00EC5520"/>
    <w:rPr>
      <w:color w:val="605E5C"/>
      <w:shd w:val="clear" w:color="auto" w:fill="E1DFDD"/>
    </w:rPr>
  </w:style>
  <w:style w:type="paragraph" w:styleId="Cuprins2">
    <w:name w:val="toc 2"/>
    <w:basedOn w:val="Normal"/>
    <w:next w:val="Normal"/>
    <w:autoRedefine/>
    <w:uiPriority w:val="39"/>
    <w:unhideWhenUsed/>
    <w:rsid w:val="00EC5520"/>
    <w:pPr>
      <w:spacing w:after="100"/>
      <w:ind w:left="220"/>
    </w:pPr>
  </w:style>
  <w:style w:type="paragraph" w:styleId="Cuprins1">
    <w:name w:val="toc 1"/>
    <w:basedOn w:val="Normal"/>
    <w:next w:val="Normal"/>
    <w:autoRedefine/>
    <w:uiPriority w:val="39"/>
    <w:unhideWhenUsed/>
    <w:rsid w:val="00EC552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sdev.org/ojs/index.php/ejsd/article/view/822" TargetMode="External" /><Relationship Id="rId13" Type="http://schemas.openxmlformats.org/officeDocument/2006/relationships/hyperlink" Target="https://journals.sagepub.com/doi/10.1177/00076503211066595" TargetMode="External" /><Relationship Id="rId18" Type="http://schemas.openxmlformats.org/officeDocument/2006/relationships/hyperlink" Target="https://link.springer.com/article/10.1007/s00146-021-01154-8"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link.springer.com/article/10.1007/s10551-019-04371-w" TargetMode="External" /><Relationship Id="rId7" Type="http://schemas.openxmlformats.org/officeDocument/2006/relationships/endnotes" Target="endnotes.xml" /><Relationship Id="rId12" Type="http://schemas.openxmlformats.org/officeDocument/2006/relationships/hyperlink" Target="https://link.springer.com/article/10.1007/s11747-020-00749-9" TargetMode="External" /><Relationship Id="rId17" Type="http://schemas.openxmlformats.org/officeDocument/2006/relationships/hyperlink" Target="https://journals.sagepub.com/doi/10.1177/0022242920953847" TargetMode="External"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www.nature.com/articles/s42256-019-0114-4" TargetMode="External" /><Relationship Id="rId20" Type="http://schemas.openxmlformats.org/officeDocument/2006/relationships/hyperlink" Target="https://www.sciencedirect.com/science/article/pii/S0963868721000405"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link.springer.com/article/10.1007/s11747-019-00697-z" TargetMode="External"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link.springer.com/article/10.1007/s10551-018-3921-3" TargetMode="External" /><Relationship Id="rId23" Type="http://schemas.openxmlformats.org/officeDocument/2006/relationships/header" Target="header1.xml" /><Relationship Id="rId10" Type="http://schemas.openxmlformats.org/officeDocument/2006/relationships/hyperlink" Target="https://www.sciencedirect.com/science/article/abs/pii/S0263786317313030" TargetMode="External" /><Relationship Id="rId19" Type="http://schemas.openxmlformats.org/officeDocument/2006/relationships/hyperlink" Target="https://www.sciencedirect.com/science/article/pii/S0963868717302196" TargetMode="External" /><Relationship Id="rId4" Type="http://schemas.openxmlformats.org/officeDocument/2006/relationships/settings" Target="settings.xml" /><Relationship Id="rId9" Type="http://schemas.openxmlformats.org/officeDocument/2006/relationships/hyperlink" Target="https://link.springer.com/article/10.1007/s11747-019-00696-0" TargetMode="External" /><Relationship Id="rId14" Type="http://schemas.openxmlformats.org/officeDocument/2006/relationships/hyperlink" Target="https://www.sciencedirect.com/science/article/abs/pii/S1094996820300880" TargetMode="External" /><Relationship Id="rId22" Type="http://schemas.openxmlformats.org/officeDocument/2006/relationships/hyperlink" Target="https://www.sciencedirect.com/science/article/pii/S266660302200013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5422</Words>
  <Characters>31453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36802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ModifiedBy>Izabela Chiriac</cp:lastModifiedBy>
  <cp:revision>2</cp:revision>
  <dcterms:created xsi:type="dcterms:W3CDTF">2026-07-19T23:42:00Z</dcterms:created>
  <dcterms:modified xsi:type="dcterms:W3CDTF">2026-07-19T23:42:00Z</dcterms:modified>
  <cp:category/>
</cp:coreProperties>
</file>