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styles.xml" ContentType="application/vnd.openxmlformats-officedocument.wordprocessingml.styles+xml"/>
  <Override PartName="/word/footer3.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Autospacing="0" w:before="240" w:afterAutospacing="0" w:after="159"/>
        <w:jc w:val="start"/>
        <w:rPr/>
      </w:pPr>
      <w:r>
        <w:rPr>
          <w:rFonts w:eastAsia="system-ui" w:cs="system-ui" w:ascii="system-ui" w:hAnsi="system-ui"/>
          <w:b/>
          <w:bCs/>
          <w:color w:val="24292E"/>
          <w:sz w:val="20"/>
          <w:szCs w:val="20"/>
          <w:lang w:val="en-GB"/>
        </w:rPr>
        <w:t>BMHP6026</w:t>
      </w:r>
    </w:p>
    <w:p>
      <w:pPr>
        <w:pStyle w:val="Normal"/>
        <w:spacing w:lineRule="auto" w:line="360" w:beforeAutospacing="0" w:before="240" w:afterAutospacing="0" w:after="159"/>
        <w:jc w:val="start"/>
        <w:rPr/>
      </w:pPr>
      <w:r>
        <w:rPr>
          <w:rFonts w:eastAsia="system-ui" w:cs="system-ui" w:ascii="system-ui" w:hAnsi="system-ui"/>
          <w:b/>
          <w:bCs/>
          <w:color w:val="24292E"/>
          <w:sz w:val="20"/>
          <w:szCs w:val="20"/>
          <w:lang w:val="en-GB"/>
        </w:rPr>
        <w:t>Digital Transformation in the Health and Care Professions</w:t>
      </w:r>
    </w:p>
    <w:p>
      <w:pPr>
        <w:pStyle w:val="Normal"/>
        <w:spacing w:lineRule="auto" w:line="278" w:beforeAutospacing="0" w:before="240" w:afterAutospacing="0" w:after="159"/>
        <w:jc w:val="start"/>
        <w:rPr/>
      </w:pPr>
      <w:r>
        <w:rPr>
          <w:rFonts w:eastAsia="system-ui" w:cs="system-ui" w:ascii="system-ui" w:hAnsi="system-ui"/>
          <w:b/>
          <w:bCs/>
          <w:color w:val="24292E"/>
          <w:sz w:val="20"/>
          <w:szCs w:val="20"/>
          <w:lang w:val="en-GB"/>
        </w:rPr>
        <w:t>Component 1: Written Report</w:t>
      </w:r>
    </w:p>
    <w:p>
      <w:pPr>
        <w:pStyle w:val="Normal"/>
        <w:spacing w:lineRule="auto" w:line="278" w:beforeAutospacing="0" w:before="240" w:afterAutospacing="0" w:after="159"/>
        <w:jc w:val="start"/>
        <w:rPr/>
      </w:pPr>
      <w:r>
        <w:rPr>
          <w:rFonts w:eastAsia="system-ui" w:cs="system-ui" w:ascii="system-ui" w:hAnsi="system-ui"/>
          <w:b/>
          <w:bCs/>
          <w:color w:val="24292E"/>
          <w:sz w:val="20"/>
          <w:szCs w:val="20"/>
          <w:lang w:val="en-GB"/>
        </w:rPr>
        <w:t>A Critical Evaluation of PARO, a Therapeutic Robotic Seal, in UK Dementia Care</w:t>
      </w:r>
    </w:p>
    <w:p>
      <w:pPr>
        <w:pStyle w:val="Normal"/>
        <w:spacing w:lineRule="auto" w:line="360" w:beforeAutospacing="0" w:before="240" w:afterAutospacing="0" w:after="159"/>
        <w:jc w:val="start"/>
        <w:rPr/>
      </w:pPr>
      <w:r>
        <w:rPr>
          <w:rFonts w:eastAsia="Aptos" w:cs="Aptos" w:ascii="Aptos" w:hAnsi="Aptos"/>
          <w:b/>
          <w:bCs/>
          <w:sz w:val="22"/>
          <w:szCs w:val="22"/>
          <w:lang w:val="en-GB"/>
        </w:rPr>
        <w:t>Student Name</w:t>
      </w:r>
      <w:r>
        <w:rPr>
          <w:rFonts w:eastAsia="Aptos" w:cs="Aptos" w:ascii="Aptos" w:hAnsi="Aptos"/>
          <w:sz w:val="22"/>
          <w:szCs w:val="22"/>
          <w:lang w:val="en-GB"/>
        </w:rPr>
        <w:t xml:space="preserve"> Nichola Timothy </w:t>
      </w:r>
    </w:p>
    <w:p>
      <w:pPr>
        <w:pStyle w:val="Normal"/>
        <w:spacing w:lineRule="auto" w:line="360" w:beforeAutospacing="0" w:before="240" w:afterAutospacing="0" w:after="159"/>
        <w:jc w:val="start"/>
        <w:rPr/>
      </w:pPr>
      <w:r>
        <w:rPr>
          <w:rFonts w:eastAsia="Aptos" w:cs="Aptos" w:ascii="Aptos" w:hAnsi="Aptos"/>
          <w:b/>
          <w:bCs/>
          <w:sz w:val="22"/>
          <w:szCs w:val="22"/>
          <w:lang w:val="en-GB"/>
        </w:rPr>
        <w:t>Student Number</w:t>
      </w:r>
      <w:r>
        <w:rPr>
          <w:rFonts w:eastAsia="Aptos" w:cs="Aptos" w:ascii="Aptos" w:hAnsi="Aptos"/>
          <w:sz w:val="22"/>
          <w:szCs w:val="22"/>
          <w:lang w:val="en-GB"/>
        </w:rPr>
        <w:t xml:space="preserve"> 2407528</w:t>
      </w:r>
    </w:p>
    <w:p>
      <w:pPr>
        <w:pStyle w:val="Normal"/>
        <w:spacing w:lineRule="auto" w:line="360" w:beforeAutospacing="0" w:before="240" w:afterAutospacing="0" w:after="159"/>
        <w:jc w:val="start"/>
        <w:rPr/>
      </w:pPr>
      <w:r>
        <w:rPr>
          <w:rFonts w:eastAsia="Aptos" w:cs="Aptos" w:ascii="Aptos" w:hAnsi="Aptos"/>
          <w:b/>
          <w:bCs/>
          <w:color w:val="24292E"/>
          <w:sz w:val="22"/>
          <w:szCs w:val="22"/>
          <w:lang w:val="en-GB"/>
        </w:rPr>
        <w:t>Lecturers:</w:t>
      </w:r>
      <w:r>
        <w:rPr>
          <w:rFonts w:eastAsia="system-ui" w:cs="system-ui" w:ascii="system-ui" w:hAnsi="system-ui"/>
          <w:color w:val="24292E"/>
          <w:sz w:val="20"/>
          <w:szCs w:val="20"/>
          <w:lang w:val="en-GB"/>
        </w:rPr>
        <w:t xml:space="preserve"> Martin Svejda, Tomy Adattu Chacko, and Zakiyyah Ahmed</w:t>
      </w:r>
    </w:p>
    <w:p>
      <w:pPr>
        <w:pStyle w:val="Normal"/>
        <w:spacing w:lineRule="auto" w:line="360" w:beforeAutospacing="0" w:before="240" w:afterAutospacing="0" w:after="159"/>
        <w:jc w:val="start"/>
        <w:rPr/>
      </w:pPr>
      <w:r>
        <w:rPr>
          <w:rFonts w:eastAsia="system-ui" w:cs="system-ui" w:ascii="system-ui" w:hAnsi="system-ui"/>
          <w:b/>
          <w:bCs/>
          <w:color w:val="24292E"/>
          <w:sz w:val="20"/>
          <w:szCs w:val="20"/>
          <w:lang w:val="en-GB"/>
        </w:rPr>
        <w:t>Submission Date:</w:t>
      </w:r>
      <w:r>
        <w:rPr>
          <w:rFonts w:eastAsia="system-ui" w:cs="system-ui" w:ascii="system-ui" w:hAnsi="system-ui"/>
          <w:color w:val="24292E"/>
          <w:sz w:val="20"/>
          <w:szCs w:val="20"/>
          <w:lang w:val="en-GB"/>
        </w:rPr>
        <w:t xml:space="preserve"> 19th October 2026</w:t>
      </w:r>
    </w:p>
    <w:p>
      <w:pPr>
        <w:pStyle w:val="Normal"/>
        <w:spacing w:lineRule="auto" w:line="360" w:beforeAutospacing="0" w:before="240" w:afterAutospacing="0" w:after="159"/>
        <w:jc w:val="start"/>
        <w:rPr/>
      </w:pPr>
      <w:r>
        <w:rPr>
          <w:rFonts w:eastAsia="system-ui" w:cs="system-ui" w:ascii="system-ui" w:hAnsi="system-ui"/>
          <w:b/>
          <w:bCs/>
          <w:color w:val="24292E"/>
          <w:sz w:val="20"/>
          <w:szCs w:val="20"/>
          <w:lang w:val="en-GB"/>
        </w:rPr>
        <w:t>Word Count:2146</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spacing w:lineRule="auto" w:line="360"/>
        <w:jc w:val="both"/>
        <w:rPr>
          <w:rFonts w:ascii="Arial" w:hAnsi="Arial" w:eastAsia="Arial" w:cs="Arial"/>
          <w:b/>
          <w:bCs/>
          <w:sz w:val="22"/>
          <w:szCs w:val="22"/>
          <w:lang w:val="en-GB"/>
        </w:rPr>
      </w:pPr>
      <w:r>
        <w:rPr>
          <w:rFonts w:eastAsia="Arial" w:cs="Arial" w:ascii="Arial" w:hAnsi="Arial"/>
          <w:b/>
          <w:bCs/>
          <w:sz w:val="22"/>
          <w:szCs w:val="22"/>
          <w:lang w:val="en-GB"/>
        </w:rPr>
        <w:t xml:space="preserve">Introduction </w:t>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sz w:val="22"/>
          <w:szCs w:val="22"/>
          <w:lang w:val="en-GB"/>
        </w:rPr>
      </w:pPr>
      <w:r>
        <w:rPr>
          <w:rFonts w:eastAsia="Arial" w:cs="Arial" w:ascii="Arial" w:hAnsi="Arial"/>
          <w:b w:val="false"/>
          <w:bCs w:val="false"/>
          <w:i w:val="false"/>
          <w:iCs w:val="false"/>
          <w:sz w:val="22"/>
          <w:szCs w:val="22"/>
          <w:lang w:val="en-GB"/>
        </w:rPr>
        <w:t>PARO (a name derived from 'personal robot') is an interactive robotic seal pup developed by Dr Takanori Shibata at Japan's National Institute of Advanced Industrial Science and Technology, commercialised in 2004, and modelled on a baby harp seal. It responds to touch, sound, light, and temperature, and was designed specifically as a therapeutic tool for people with cognitive impairment. PARO has since been implemented in UK dementia care, including on an NHS inpatient dementia ward (Shoesmith et al., 2024) and in a joint project between Sheffield Health and Social Care NHS Foundation Trust and the University of Sheffield.</w:t>
      </w:r>
    </w:p>
    <w:p>
      <w:pPr>
        <w:pStyle w:val="Normal"/>
        <w:spacing w:lineRule="auto" w:line="360"/>
        <w:jc w:val="both"/>
        <w:rPr>
          <w:rFonts w:ascii="Arial" w:hAnsi="Arial" w:eastAsia="Arial" w:cs="Arial"/>
          <w:sz w:val="22"/>
          <w:szCs w:val="22"/>
          <w:lang w:val="en-GB"/>
        </w:rPr>
      </w:pPr>
      <w:r>
        <w:rPr>
          <w:rFonts w:eastAsia="Arial" w:cs="Arial" w:ascii="Arial" w:hAnsi="Arial"/>
          <w:sz w:val="22"/>
          <w:szCs w:val="22"/>
          <w:lang w:val="en-GB"/>
        </w:rPr>
        <w:t xml:space="preserve">Dementia affects approximately 982,000 people in the UK, with numbers projected to reach 1.4 million by 2040 (Alzheimer's Society, 2024). The UK policy landscape increasingly prioritises digital innovation to meet this growing demand. Government initiatives such as 'A Plan for Digital Health and Social Care' (Department of Health and Social Care, 2022) emphasise technology to sustain care provision while preserving quality. </w:t>
      </w:r>
    </w:p>
    <w:p>
      <w:pPr>
        <w:pStyle w:val="Normal"/>
        <w:spacing w:lineRule="auto" w:line="360"/>
        <w:jc w:val="both"/>
        <w:rPr>
          <w:rFonts w:ascii="Arial" w:hAnsi="Arial" w:eastAsia="Arial" w:cs="Arial"/>
          <w:b w:val="false"/>
          <w:bCs w:val="false"/>
          <w:i w:val="false"/>
          <w:iCs w:val="false"/>
          <w:sz w:val="22"/>
          <w:szCs w:val="22"/>
          <w:lang w:val="en-GB"/>
        </w:rPr>
      </w:pPr>
      <w:r>
        <w:rPr>
          <w:rFonts w:eastAsia="Arial" w:cs="Arial" w:ascii="Arial" w:hAnsi="Arial"/>
          <w:b w:val="false"/>
          <w:bCs w:val="false"/>
          <w:i/>
          <w:iCs/>
          <w:sz w:val="22"/>
          <w:szCs w:val="22"/>
          <w:lang w:val="en-GB"/>
        </w:rPr>
        <w:t xml:space="preserve">PARO, unlike newer, untested robots, carries two decades of published research, including UK-based implementation studies (Shoesmith et al., 2024). </w:t>
      </w:r>
      <w:r>
        <w:rPr>
          <w:rFonts w:eastAsia="Arial" w:cs="Arial" w:ascii="Arial" w:hAnsi="Arial"/>
          <w:sz w:val="22"/>
          <w:szCs w:val="22"/>
          <w:lang w:val="en-GB"/>
        </w:rPr>
        <w:t xml:space="preserve">This evidence maturity, combined with its alignment to person-centred care principles, positions it not as an experimental addition but as a tested option within the expanding toolkit of dementia interventions. One of the greatest challenges facing health and social care staff is supporting people experiencing distress and agitation, for whom medication has traditionally been the primary response (Griffiths, 2014). </w:t>
      </w:r>
      <w:r>
        <w:rPr>
          <w:rFonts w:eastAsia="Arial" w:cs="Arial" w:ascii="Arial" w:hAnsi="Arial"/>
          <w:b w:val="false"/>
          <w:bCs w:val="false"/>
          <w:i w:val="false"/>
          <w:iCs w:val="false"/>
          <w:sz w:val="22"/>
          <w:szCs w:val="22"/>
          <w:lang w:val="en-GB"/>
        </w:rPr>
        <w:t>Despite this, critics have questioned whether encouraging attachment to a robot risk deceiving vulnerable people and undermining dignified care</w:t>
      </w:r>
      <w:r>
        <w:rPr>
          <w:rFonts w:eastAsia="Arial" w:cs="Arial" w:ascii="Arial" w:hAnsi="Arial"/>
          <w:b w:val="false"/>
          <w:bCs w:val="false"/>
          <w:i/>
          <w:iCs/>
          <w:sz w:val="22"/>
          <w:szCs w:val="22"/>
          <w:lang w:val="en-GB"/>
        </w:rPr>
        <w:t xml:space="preserve"> (Sharkey and Wood, 2014). </w:t>
      </w:r>
      <w:r>
        <w:rPr>
          <w:rFonts w:eastAsia="Arial" w:cs="Arial" w:ascii="Arial" w:hAnsi="Arial"/>
          <w:b w:val="false"/>
          <w:bCs w:val="false"/>
          <w:i w:val="false"/>
          <w:iCs w:val="false"/>
          <w:sz w:val="22"/>
          <w:szCs w:val="22"/>
          <w:lang w:val="en-GB"/>
        </w:rPr>
        <w:t>Consequently, the aim of this analysis is to consider the different viewpoints surrounding this digital innovation, weighing its benefits and drawbacks in relation to its impact on the workforce and patient and service user experience, including families and the wider community."</w:t>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sz w:val="22"/>
          <w:szCs w:val="22"/>
        </w:rPr>
      </w:pPr>
      <w:r>
        <w:rPr>
          <w:rFonts w:eastAsia="Arial" w:cs="Arial" w:ascii="Arial" w:hAnsi="Arial"/>
          <w:sz w:val="22"/>
          <w:szCs w:val="22"/>
        </w:rPr>
      </w:r>
    </w:p>
    <w:p>
      <w:pPr>
        <w:pStyle w:val="Normal"/>
        <w:spacing w:lineRule="auto" w:line="360"/>
        <w:jc w:val="both"/>
        <w:rPr>
          <w:rFonts w:ascii="Arial" w:hAnsi="Arial" w:eastAsia="Arial" w:cs="Arial"/>
          <w:b/>
          <w:bCs/>
          <w:sz w:val="22"/>
          <w:szCs w:val="22"/>
          <w:lang w:val="en-GB"/>
        </w:rPr>
      </w:pPr>
      <w:r>
        <w:rPr>
          <w:rFonts w:eastAsia="Arial" w:cs="Arial" w:ascii="Arial" w:hAnsi="Arial"/>
          <w:b/>
          <w:bCs/>
          <w:sz w:val="22"/>
          <w:szCs w:val="22"/>
          <w:lang w:val="en-GB"/>
        </w:rPr>
        <w:t>Strengths within the Workforce </w:t>
      </w:r>
    </w:p>
    <w:p>
      <w:pPr>
        <w:pStyle w:val="Normal"/>
        <w:spacing w:lineRule="auto" w:line="360"/>
        <w:jc w:val="both"/>
        <w:rPr>
          <w:rFonts w:ascii="Arial" w:hAnsi="Arial" w:eastAsia="Arial" w:cs="Arial"/>
          <w:sz w:val="22"/>
          <w:szCs w:val="22"/>
          <w:lang w:val="en-GB"/>
        </w:rPr>
      </w:pPr>
      <w:r>
        <w:rPr>
          <w:rFonts w:eastAsia="Arial" w:cs="Arial" w:ascii="Arial" w:hAnsi="Arial"/>
          <w:sz w:val="22"/>
          <w:szCs w:val="22"/>
          <w:lang w:val="en-GB"/>
        </w:rPr>
        <w:t>One significant benefit for the workforce is that PARO provides staff with a focused therapeutic tool to engage residents experiencing distress. Shoesmith et al. (2024) found that healthcare professionals on a UK NHS dementia ward used PARO as a communication tool, helping them connect with residents when traditional approaches had limited effect. Reducing residents' distress without medication may also help ease the emotional strain staff experience when managing challenging behaviours, potentially improving job satisfaction. The significance of this should not be understated. Workforce pressures in dementia care are considerable, with chronic staffing shortages and time pressures limiting opportunities for sustained social engagement with residents. A tool that enables meaningful connection in a shorter time limit therefore has practical value beyond its therapeutic effects, particularly in busy inpatient environments where one-to-one time is scarce</w:t>
      </w:r>
    </w:p>
    <w:p>
      <w:pPr>
        <w:pStyle w:val="Normal"/>
        <w:spacing w:lineRule="auto" w:line="360"/>
        <w:jc w:val="both"/>
        <w:rPr>
          <w:rFonts w:ascii="Arial" w:hAnsi="Arial" w:eastAsia="Arial" w:cs="Arial"/>
          <w:b/>
          <w:bCs/>
          <w:sz w:val="22"/>
          <w:szCs w:val="22"/>
          <w:lang w:val="en-GB"/>
        </w:rPr>
      </w:pPr>
      <w:r>
        <w:rPr/>
      </w:r>
    </w:p>
    <w:p>
      <w:pPr>
        <w:pStyle w:val="Normal"/>
        <w:spacing w:lineRule="auto" w:line="360"/>
        <w:jc w:val="both"/>
        <w:rPr/>
      </w:pPr>
      <w:r>
        <w:rPr>
          <w:rFonts w:eastAsia="Arial" w:cs="Arial" w:ascii="Arial" w:hAnsi="Arial"/>
          <w:sz w:val="22"/>
          <w:szCs w:val="22"/>
          <w:lang w:val="en-GB"/>
        </w:rPr>
        <w:t>However, the implementation of PARO also presents workforce challenges.</w:t>
      </w:r>
      <w:r>
        <w:rPr>
          <w:rFonts w:eastAsia="Arial" w:cs="Arial" w:ascii="Arial" w:hAnsi="Arial"/>
          <w:i/>
          <w:iCs/>
          <w:sz w:val="22"/>
          <w:szCs w:val="22"/>
          <w:lang w:val="en-GB"/>
        </w:rPr>
        <w:t xml:space="preserve"> </w:t>
      </w:r>
      <w:r>
        <w:rPr>
          <w:rFonts w:eastAsia="Arial" w:cs="Arial" w:ascii="Arial" w:hAnsi="Arial"/>
          <w:sz w:val="22"/>
          <w:szCs w:val="22"/>
          <w:lang w:val="en-GB"/>
        </w:rPr>
        <w:t>International evidence adds a cautionary perspective. In Japan, where care robots have been promoted at national level to offset severe caregiver shortages, ethnographic reporting found that robots frequently generated more work for care staff rather than less, because the technology required supervision, charging, and troubleshooting alongside existing duties (Wright, 2023). This evidence matters because workforce benefit is often assumed rather than demonstrated in enthusiasm for care technology. If PARO simply relocates staff time from direct interaction to robot-mediated interaction, the net gain may be smaller than advocates suggest. Against this, it can be argued that PARO differs from many care robots in that it supports the relational work staff already value, rather than replacing physical tasks meaning its workload effects may be more favourable. The evidence base does not yet resolve this question conclusively, which is itself a finding: adoption decisions are being made ahead of definitive workforce evidence. Staff must receive training before using PARO safely, and sessions require dedicated time to deliver. Furthermore, some care staff have questioned whether PARO offers advantages over cheaper alternatives, with one study comparing staff perceptions of PARO and a plush look-alike toy (Moyle et al., 2018). There is also a risk of deskilling if staff defer to the robot for engagement rather than developing their own relational skills, a concern echoed in wider debates about automation in care work (Wright, 2023). In the UK NHS study by Shoesmith et al. (2024), PARO sessions on an inpatient dementia ward were delivered by Clinical Psychology staff,</w:t>
      </w:r>
      <w:r>
        <w:rPr>
          <w:rFonts w:eastAsia="Arial" w:cs="Arial" w:ascii="Arial" w:hAnsi="Arial"/>
          <w:i/>
          <w:iCs/>
          <w:sz w:val="22"/>
          <w:szCs w:val="22"/>
          <w:lang w:val="en-GB"/>
        </w:rPr>
        <w:t xml:space="preserve"> </w:t>
      </w:r>
      <w:r>
        <w:rPr>
          <w:rFonts w:eastAsia="Arial" w:cs="Arial" w:ascii="Arial" w:hAnsi="Arial"/>
          <w:sz w:val="22"/>
          <w:szCs w:val="22"/>
          <w:lang w:val="en-GB"/>
        </w:rPr>
        <w:t>following locally developed clinical guidance</w:t>
      </w:r>
      <w:r>
        <w:rPr>
          <w:rFonts w:eastAsia="Arial" w:cs="Arial" w:ascii="Arial" w:hAnsi="Arial"/>
          <w:b/>
          <w:bCs/>
          <w:i/>
          <w:iCs/>
          <w:sz w:val="22"/>
          <w:szCs w:val="22"/>
          <w:lang w:val="en-GB"/>
        </w:rPr>
        <w:t>.</w:t>
      </w:r>
      <w:r>
        <w:rPr>
          <w:rFonts w:eastAsia="Arial" w:cs="Arial" w:ascii="Arial" w:hAnsi="Arial"/>
          <w:sz w:val="22"/>
          <w:szCs w:val="22"/>
          <w:lang w:val="en-GB"/>
        </w:rPr>
        <w:t xml:space="preserve"> This means that implementing PARO requires specialist involvement beyond general nursing staff, which has implications for workforce planning and training. Successful implementation therefore depends on organisational commitment to training, protected session time, and clear role definition, so that PARO complements rather than dilutes the carer's role. The introduction of PARO also reshapes the skills expected of the dementia workforce. Delivering sessions safely requires staff to understand the robot's capabilities and limitations, to recognise when a resident is engaging with or rejecting the intervention, and to integrate sessions within care planning competencies that fall outside traditional dementia care training. Staff attitudes are themselves a decisive factor: the scoping review by Hung et al. (2019) identified staff scepticism and variable organisational support as key barriers to implementation, suggesting that training must address beliefs about the technology, not merely its operation. This has implications for role design. Where Clinical Psychology staff lead delivery, as in the Shoesmith et al. (2024) study, the intervention may create a new form of multidisciplinary working in which specialist practitioners and nursing staff must coordinate enriching practice where it functions well, but adding dependency and delay where specialist capacity is scarce.</w:t>
      </w:r>
    </w:p>
    <w:p>
      <w:pPr>
        <w:pStyle w:val="Normal"/>
        <w:spacing w:lineRule="auto" w:line="360"/>
        <w:jc w:val="both"/>
        <w:rPr>
          <w:rFonts w:ascii="Arial" w:hAnsi="Arial" w:eastAsia="Arial" w:cs="Arial"/>
          <w:sz w:val="22"/>
          <w:szCs w:val="22"/>
          <w:lang w:val="en-GB"/>
        </w:rPr>
      </w:pPr>
      <w:r>
        <w:rPr>
          <w:rFonts w:eastAsia="Arial" w:cs="Arial" w:ascii="Arial" w:hAnsi="Arial"/>
          <w:sz w:val="22"/>
          <w:szCs w:val="22"/>
          <w:lang w:val="en-GB"/>
        </w:rPr>
      </w:r>
    </w:p>
    <w:p>
      <w:pPr>
        <w:pStyle w:val="Normal"/>
        <w:spacing w:lineRule="auto" w:line="360"/>
        <w:jc w:val="both"/>
        <w:rPr>
          <w:rFonts w:ascii="Arial" w:hAnsi="Arial" w:eastAsia="Arial" w:cs="Arial"/>
          <w:sz w:val="22"/>
          <w:szCs w:val="22"/>
          <w:lang w:val="en-GB"/>
        </w:rPr>
      </w:pPr>
      <w:r>
        <w:rPr>
          <w:rFonts w:eastAsia="Arial" w:cs="Arial" w:ascii="Arial" w:hAnsi="Arial"/>
          <w:sz w:val="22"/>
          <w:szCs w:val="22"/>
          <w:lang w:val="en-GB"/>
        </w:rPr>
      </w:r>
    </w:p>
    <w:p>
      <w:pPr>
        <w:pStyle w:val="Normal"/>
        <w:spacing w:lineRule="auto" w:line="360" w:beforeAutospacing="0" w:before="240" w:afterAutospacing="0" w:after="159"/>
        <w:jc w:val="both"/>
        <w:rPr>
          <w:rFonts w:ascii="Arial" w:hAnsi="Arial" w:eastAsia="Arial" w:cs="Arial"/>
          <w:b/>
          <w:bCs/>
          <w:color w:val="24292E"/>
          <w:sz w:val="22"/>
          <w:szCs w:val="22"/>
          <w:lang w:val="en-GB"/>
        </w:rPr>
      </w:pPr>
      <w:r>
        <w:rPr>
          <w:rFonts w:eastAsia="Arial" w:cs="Arial" w:ascii="Arial" w:hAnsi="Arial"/>
          <w:b/>
          <w:bCs/>
          <w:color w:val="24292E"/>
          <w:sz w:val="22"/>
          <w:szCs w:val="22"/>
          <w:lang w:val="en-GB"/>
        </w:rPr>
        <w:t>Patient and Service User Experience</w:t>
      </w:r>
    </w:p>
    <w:p>
      <w:pPr>
        <w:pStyle w:val="Normal"/>
        <w:spacing w:lineRule="auto" w:line="360"/>
        <w:jc w:val="both"/>
        <w:rPr>
          <w:b/>
          <w:bCs/>
          <w:sz w:val="22"/>
          <w:szCs w:val="22"/>
        </w:rPr>
      </w:pPr>
      <w:r>
        <w:rPr>
          <w:b/>
          <w:bCs/>
          <w:sz w:val="22"/>
          <w:szCs w:val="22"/>
        </w:rPr>
        <w:t>Negative impacts and challenges</w:t>
      </w:r>
    </w:p>
    <w:p>
      <w:pPr>
        <w:pStyle w:val="Normal"/>
        <w:spacing w:lineRule="auto" w:line="360" w:beforeAutospacing="0" w:before="240" w:afterAutospacing="0" w:after="159"/>
        <w:jc w:val="both"/>
        <w:rPr>
          <w:rFonts w:ascii="Arial" w:hAnsi="Arial" w:eastAsia="Arial" w:cs="Arial"/>
          <w:sz w:val="22"/>
          <w:szCs w:val="22"/>
        </w:rPr>
      </w:pPr>
      <w:r>
        <w:rPr>
          <w:rFonts w:eastAsia="Arial" w:cs="Arial" w:ascii="Arial" w:hAnsi="Arial"/>
          <w:sz w:val="22"/>
          <w:szCs w:val="22"/>
        </w:rPr>
      </w:r>
    </w:p>
    <w:p>
      <w:pPr>
        <w:pStyle w:val="Normal"/>
        <w:spacing w:lineRule="auto" w:line="360" w:beforeAutospacing="0" w:before="240" w:afterAutospacing="0" w:after="159"/>
        <w:jc w:val="both"/>
        <w:rPr>
          <w:rFonts w:ascii="Arial" w:hAnsi="Arial" w:eastAsia="Arial" w:cs="Arial"/>
          <w:sz w:val="22"/>
          <w:szCs w:val="22"/>
        </w:rPr>
      </w:pPr>
      <w:r>
        <w:rPr>
          <w:rFonts w:eastAsia="Arial" w:cs="Arial" w:ascii="Arial" w:hAnsi="Arial"/>
          <w:sz w:val="22"/>
          <w:szCs w:val="22"/>
        </w:rPr>
      </w:r>
    </w:p>
    <w:p>
      <w:pPr>
        <w:pStyle w:val="Normal"/>
        <w:spacing w:lineRule="auto" w:line="360" w:beforeAutospacing="0" w:before="240" w:afterAutospacing="0" w:after="0"/>
        <w:jc w:val="both"/>
        <w:rPr>
          <w:rFonts w:ascii="Arial" w:hAnsi="Arial" w:eastAsia="Arial" w:cs="Arial"/>
          <w:color w:val="24292E"/>
          <w:sz w:val="22"/>
          <w:szCs w:val="22"/>
          <w:lang w:val="en-GB"/>
        </w:rPr>
      </w:pPr>
      <w:r>
        <w:rPr>
          <w:rFonts w:eastAsia="Arial" w:cs="Arial" w:ascii="Arial" w:hAnsi="Arial"/>
          <w:color w:val="24292E"/>
          <w:sz w:val="22"/>
          <w:szCs w:val="22"/>
          <w:lang w:val="en-GB"/>
        </w:rPr>
        <w:t>Patients in the UK inpatient study reported feeling relaxed and safe during interactions with PARO, and some residents were observed to become settled, particularly those experiencing agitation and distress (Shoesmith et al., 2024). The robotic seal responds to touch and voice, creating a sense of belonging for people who may feel anxious or isolated</w:t>
      </w:r>
      <w:r>
        <w:rPr>
          <w:rFonts w:eastAsia="Arial" w:cs="Arial" w:ascii="Arial" w:hAnsi="Arial"/>
          <w:i/>
          <w:iCs/>
          <w:color w:val="24292E"/>
          <w:sz w:val="22"/>
          <w:szCs w:val="22"/>
          <w:lang w:val="en-GB"/>
        </w:rPr>
        <w:t>.</w:t>
      </w:r>
      <w:r>
        <w:rPr>
          <w:rFonts w:eastAsia="Arial" w:cs="Arial" w:ascii="Arial" w:hAnsi="Arial"/>
          <w:color w:val="24292E"/>
          <w:sz w:val="22"/>
          <w:szCs w:val="22"/>
          <w:lang w:val="en-GB"/>
        </w:rPr>
        <w:t xml:space="preserve"> Notably, some individuals whose language is severely affected by dementia have been observed to talk to PARO when they struggle to communicate with people. This suggests PARO acts as a bridge to communication, unlocking expressions that might otherwise remain hidden. Indeed, UK clinicians have reported that some people with severely altered language could talk to PARO when they found it difficult to talk to people (Griffiths, 2014).</w:t>
      </w:r>
    </w:p>
    <w:p>
      <w:pPr>
        <w:pStyle w:val="Normal"/>
        <w:spacing w:lineRule="auto" w:line="360" w:beforeAutospacing="0" w:before="240" w:afterAutospacing="0" w:after="0"/>
        <w:jc w:val="both"/>
        <w:rPr>
          <w:rFonts w:ascii="Arial" w:hAnsi="Arial" w:eastAsia="Arial" w:cs="Arial"/>
          <w:color w:val="24292E"/>
          <w:sz w:val="22"/>
          <w:szCs w:val="22"/>
          <w:lang w:val="en-GB"/>
        </w:rPr>
      </w:pPr>
      <w:r>
        <w:rPr>
          <w:rFonts w:eastAsia="Arial" w:cs="Arial" w:ascii="Arial" w:hAnsi="Arial"/>
          <w:color w:val="24292E"/>
          <w:sz w:val="22"/>
          <w:szCs w:val="22"/>
          <w:lang w:val="en-GB"/>
        </w:rPr>
        <w:t>Kitwood's (1997) framework identifies comfort as a fundamental psychosocial need for people with dementia. PARO addresses this through sensory touch and gentle responsiveness, promoting feelings of security and decreased anxiety.</w:t>
      </w:r>
    </w:p>
    <w:p>
      <w:pPr>
        <w:pStyle w:val="Normal"/>
        <w:spacing w:lineRule="auto" w:line="360" w:beforeAutospacing="0" w:before="240" w:afterAutospacing="0" w:after="0"/>
        <w:jc w:val="both"/>
        <w:rPr>
          <w:rFonts w:ascii="Arial" w:hAnsi="Arial" w:eastAsia="Arial" w:cs="Arial"/>
          <w:color w:val="24292E"/>
          <w:sz w:val="22"/>
          <w:szCs w:val="22"/>
          <w:lang w:val="en-GB"/>
        </w:rPr>
      </w:pPr>
      <w:r>
        <w:rPr>
          <w:rFonts w:eastAsia="Arial" w:cs="Arial" w:ascii="Arial" w:hAnsi="Arial"/>
          <w:color w:val="24292E"/>
          <w:sz w:val="22"/>
          <w:szCs w:val="22"/>
          <w:lang w:val="en-GB"/>
        </w:rPr>
        <w:t>The design of the robot itself supports this sensory engagement. PARO is modelled on a baby harp seal, weighs approximately three kilograms, and responds to touch, light, sound, and temperature, moving its head and flippers and making soft seal noises when stroked and spoken to (Shoesmith et al., 2024). Unlike a real animal, it is hypoallergenic and cannot bite or scratch, making animal-assisted-style therapy available in environments where live animals are impractical.</w:t>
      </w:r>
    </w:p>
    <w:p>
      <w:pPr>
        <w:pStyle w:val="Normal"/>
        <w:spacing w:lineRule="auto" w:line="360" w:beforeAutospacing="0" w:before="240" w:afterAutospacing="0" w:after="0"/>
        <w:jc w:val="both"/>
        <w:rPr>
          <w:rFonts w:ascii="Arial" w:hAnsi="Arial" w:eastAsia="Arial" w:cs="Arial"/>
          <w:color w:val="24292E"/>
          <w:sz w:val="22"/>
          <w:szCs w:val="22"/>
          <w:lang w:val="en-GB"/>
        </w:rPr>
      </w:pPr>
      <w:r>
        <w:rPr>
          <w:rFonts w:eastAsia="Arial" w:cs="Arial" w:ascii="Arial" w:hAnsi="Arial"/>
          <w:color w:val="24292E"/>
          <w:sz w:val="22"/>
          <w:szCs w:val="22"/>
          <w:lang w:val="en-GB"/>
        </w:rPr>
        <w:t>However, while national guidance recommends that non-pharmacological approaches should be considered first when supporting distress in dementia (National Institute for Health and Care Excellence, 2018), positioning PARO within, rather than against, prevailing UK policy</w:t>
      </w:r>
      <w:r>
        <w:rPr>
          <w:rFonts w:eastAsia="Arial" w:cs="Arial" w:ascii="Arial" w:hAnsi="Arial"/>
          <w:i/>
          <w:iCs/>
          <w:color w:val="24292E"/>
          <w:sz w:val="22"/>
          <w:szCs w:val="22"/>
          <w:lang w:val="en-GB"/>
        </w:rPr>
        <w:t>.</w:t>
      </w:r>
      <w:r>
        <w:rPr>
          <w:rFonts w:eastAsia="Arial" w:cs="Arial" w:ascii="Arial" w:hAnsi="Arial"/>
          <w:color w:val="24292E"/>
          <w:sz w:val="22"/>
          <w:szCs w:val="22"/>
          <w:lang w:val="en-GB"/>
        </w:rPr>
        <w:t xml:space="preserve"> Critics raise questions about whether bonding with a robot constitutes deception, arguing that vulnerable people may believe PARO is alive. Scholars such as Sharkey and Wood (2014) question whether this is demeaning rather than enabling care. Additionally, the attachment is unidirectional, as PARO cannot reciprocate emotional bonds - a limitation that complicates its ethical standing. These concerns highlight the tension between therapeutic benefit and respect for autonomy and dignity.</w:t>
      </w:r>
    </w:p>
    <w:p>
      <w:pPr>
        <w:pStyle w:val="Normal"/>
        <w:spacing w:lineRule="auto" w:line="360" w:beforeAutospacing="0" w:before="240" w:afterAutospacing="0" w:after="0"/>
        <w:jc w:val="both"/>
        <w:rPr>
          <w:rFonts w:ascii="Arial" w:hAnsi="Arial" w:eastAsia="Arial" w:cs="Arial"/>
          <w:color w:val="24292E"/>
          <w:sz w:val="22"/>
          <w:szCs w:val="22"/>
          <w:lang w:val="en-GB"/>
        </w:rPr>
      </w:pPr>
      <w:r>
        <w:rPr>
          <w:rFonts w:eastAsia="Arial" w:cs="Arial" w:ascii="Arial" w:hAnsi="Arial"/>
          <w:color w:val="24292E"/>
          <w:sz w:val="22"/>
          <w:szCs w:val="22"/>
          <w:lang w:val="en-GB"/>
        </w:rPr>
        <w:t>A scoping review of PARO studies in care settings identified a range of reported benefits, including reduced agitation and improved social interaction, but also highlighted barriers to implementation such as staff attitudes, hygiene concerns, and the need for organisational support (Hung et al., 2019).</w:t>
      </w:r>
      <w:r>
        <w:rPr>
          <w:rFonts w:eastAsia="Arial" w:cs="Arial" w:ascii="Arial" w:hAnsi="Arial"/>
          <w:i/>
          <w:iCs/>
          <w:color w:val="24292E"/>
          <w:sz w:val="22"/>
          <w:szCs w:val="22"/>
          <w:lang w:val="en-GB"/>
        </w:rPr>
        <w:t xml:space="preserve"> </w:t>
      </w:r>
      <w:r>
        <w:rPr>
          <w:rFonts w:eastAsia="Arial" w:cs="Arial" w:ascii="Arial" w:hAnsi="Arial"/>
          <w:color w:val="24292E"/>
          <w:sz w:val="22"/>
          <w:szCs w:val="22"/>
          <w:lang w:val="en-GB"/>
        </w:rPr>
        <w:t>A critical challenge to PARO's distinctiveness comes from Moyle et al.'s (2018) comparison of PARO and a look-alike plush seal. Care staff perceived both interventions similarly in terms of enjoyment and therapeutic value, raising questions about whether PARO's interactive features deliver added benefit beyond a simple comfort object. If true, this suggests that much of PARO's effectiveness may derive from tactile engagement and symbolic warmth</w:t>
      </w:r>
      <w:r>
        <w:rPr>
          <w:rFonts w:eastAsia="Arial" w:cs="Arial" w:ascii="Arial" w:hAnsi="Arial"/>
          <w:i w:val="false"/>
          <w:iCs w:val="false"/>
          <w:color w:val="24292E"/>
          <w:sz w:val="22"/>
          <w:szCs w:val="22"/>
          <w:lang w:val="en-GB"/>
        </w:rPr>
        <w:t xml:space="preserve"> </w:t>
      </w:r>
      <w:r>
        <w:rPr>
          <w:rFonts w:eastAsia="Arial" w:cs="Arial" w:ascii="Arial" w:hAnsi="Arial"/>
          <w:b w:val="false"/>
          <w:bCs w:val="false"/>
          <w:i w:val="false"/>
          <w:iCs w:val="false"/>
          <w:color w:val="24292E"/>
          <w:sz w:val="22"/>
          <w:szCs w:val="22"/>
          <w:lang w:val="en-GB"/>
        </w:rPr>
        <w:t>rather than technological sophistication, an implication that complicates</w:t>
      </w:r>
      <w:r>
        <w:rPr>
          <w:rFonts w:eastAsia="Arial" w:cs="Arial" w:ascii="Arial" w:hAnsi="Arial"/>
          <w:i w:val="false"/>
          <w:iCs w:val="false"/>
          <w:color w:val="24292E"/>
          <w:sz w:val="22"/>
          <w:szCs w:val="22"/>
          <w:lang w:val="en-GB"/>
        </w:rPr>
        <w:t xml:space="preserve"> </w:t>
      </w:r>
      <w:r>
        <w:rPr>
          <w:rFonts w:eastAsia="Arial" w:cs="Arial" w:ascii="Arial" w:hAnsi="Arial"/>
          <w:color w:val="24292E"/>
          <w:sz w:val="22"/>
          <w:szCs w:val="22"/>
          <w:lang w:val="en-GB"/>
        </w:rPr>
        <w:t xml:space="preserve">the value-for-money argument given the £4,000 price point. </w:t>
      </w:r>
      <w:r>
        <w:rPr>
          <w:rFonts w:eastAsia="Arial" w:cs="Arial" w:ascii="Arial" w:hAnsi="Arial"/>
          <w:b w:val="false"/>
          <w:bCs w:val="false"/>
          <w:i w:val="false"/>
          <w:iCs w:val="false"/>
          <w:color w:val="24292E"/>
          <w:sz w:val="22"/>
          <w:szCs w:val="22"/>
          <w:lang w:val="en-GB"/>
        </w:rPr>
        <w:t xml:space="preserve">However, the study measured staff perceptions rather than patient outcomes, leaving open the possibility that residents experienced benefits not captured by observers. </w:t>
      </w:r>
      <w:r>
        <w:rPr>
          <w:rFonts w:eastAsia="Arial" w:cs="Arial" w:ascii="Arial" w:hAnsi="Arial"/>
          <w:b w:val="false"/>
          <w:bCs w:val="false"/>
          <w:i/>
          <w:iCs/>
          <w:color w:val="24292E"/>
          <w:sz w:val="22"/>
          <w:szCs w:val="22"/>
          <w:lang w:val="en-GB"/>
        </w:rPr>
        <w:t>"</w:t>
      </w:r>
      <w:r>
        <w:rPr>
          <w:rFonts w:eastAsia="Arial" w:cs="Arial" w:ascii="Arial" w:hAnsi="Arial"/>
          <w:b w:val="false"/>
          <w:bCs w:val="false"/>
          <w:i w:val="false"/>
          <w:iCs w:val="false"/>
          <w:color w:val="24292E"/>
          <w:sz w:val="22"/>
          <w:szCs w:val="22"/>
          <w:lang w:val="en-GB"/>
        </w:rPr>
        <w:t>The Moyle findings therefore function as a reminder to remain sceptical of technological determinism: not every feature warrant premium cost."</w:t>
      </w:r>
      <w:r>
        <w:rPr>
          <w:rFonts w:eastAsia="Arial" w:cs="Arial" w:ascii="Arial" w:hAnsi="Arial"/>
          <w:color w:val="24292E"/>
          <w:sz w:val="22"/>
          <w:szCs w:val="22"/>
          <w:lang w:val="en-GB"/>
        </w:rPr>
        <w:t xml:space="preserve"> Against this, PARO's programmability allows it to respond differently to different users over time, which a static plush toy cannot “replicate a distinction that matters most for residents with severe language impairment who may require tailored stimulation to engage</w:t>
      </w:r>
      <w:r>
        <w:rPr>
          <w:rFonts w:eastAsia="Arial" w:cs="Arial" w:ascii="Arial" w:hAnsi="Arial"/>
          <w:i/>
          <w:iCs/>
          <w:color w:val="24292E"/>
          <w:sz w:val="22"/>
          <w:szCs w:val="22"/>
          <w:lang w:val="en-GB"/>
        </w:rPr>
        <w:t>.</w:t>
      </w:r>
      <w:r>
        <w:rPr>
          <w:rFonts w:eastAsia="Arial" w:cs="Arial" w:ascii="Arial" w:hAnsi="Arial"/>
          <w:color w:val="24292E"/>
          <w:sz w:val="22"/>
          <w:szCs w:val="22"/>
          <w:lang w:val="en-GB"/>
        </w:rPr>
        <w:t xml:space="preserve"> Beyond hospital and care home walls, PARO has begun to reach families and communities. Because it is portable, it is one of the few therapeutic robots suited to domestic settings, and studies have explored its use in the family home, where relatives can be trained to deliver sessions themselves (Inoue et al., 2021). Families have responded positively: the daughter of one care home resident argued that if tools like PARO can help people with dementia "find some peace", they should be used (Griffiths, 2014). However, other relatives have raised concerns that such robots replace rather than supplement human contact, highlighting the importance of families being involved in decisions about their relative's care</w:t>
      </w:r>
      <w:r>
        <w:rPr>
          <w:rFonts w:eastAsia="Arial" w:cs="Arial" w:ascii="Arial" w:hAnsi="Arial"/>
          <w:i/>
          <w:iCs/>
          <w:color w:val="24292E"/>
          <w:sz w:val="22"/>
          <w:szCs w:val="22"/>
          <w:lang w:val="en-GB"/>
        </w:rPr>
        <w:t>.</w:t>
      </w:r>
      <w:r>
        <w:rPr>
          <w:rFonts w:eastAsia="Arial" w:cs="Arial" w:ascii="Arial" w:hAnsi="Arial"/>
          <w:color w:val="24292E"/>
          <w:sz w:val="22"/>
          <w:szCs w:val="22"/>
          <w:lang w:val="en-GB"/>
        </w:rPr>
        <w:t xml:space="preserve"> This suggests that patient experience of PARO is highly dependent on how well services implement and sustain it, rather than on the technology alone.</w:t>
      </w:r>
    </w:p>
    <w:p>
      <w:pPr>
        <w:pStyle w:val="Normal"/>
        <w:spacing w:lineRule="auto" w:line="360" w:beforeAutospacing="0" w:before="240" w:afterAutospacing="0" w:after="0"/>
        <w:jc w:val="both"/>
        <w:rPr/>
      </w:pPr>
      <w:r>
        <w:rPr>
          <w:rFonts w:eastAsia="Arial" w:cs="Arial" w:ascii="Arial" w:hAnsi="Arial"/>
          <w:color w:val="24292E"/>
          <w:sz w:val="22"/>
          <w:szCs w:val="22"/>
          <w:lang w:val="en-GB"/>
        </w:rPr>
        <w:t>There are also wider questions of access and participation. At approximately £4,000 per unit, PARO sits awkwardly within stretched social care budgets, raising equity concerns that well-funded providers will benefit while care homes in deprived areas are left behind. This matters because the burden of dementia is heavily concentrated in residential care, with an estimated 70% of care home residents having dementia or severe memory problems (Alzheimer's Society, 2024). Encouragingly, the Shoesmith et al. (2024) study involved relatives as well as staff and patients in shaping how PARO should be delivered, reflecting genuine co-production. In practice, however, meaningful involvement of service users remains limited, particularly for people with advanced dementia.</w:t>
      </w:r>
    </w:p>
    <w:p>
      <w:pPr>
        <w:pStyle w:val="Normal"/>
        <w:spacing w:lineRule="auto" w:line="360" w:beforeAutospacing="0" w:before="240" w:afterAutospacing="0" w:after="0"/>
        <w:jc w:val="end"/>
        <w:rPr>
          <w:rFonts w:ascii="Arial" w:hAnsi="Arial" w:eastAsia="Arial" w:cs="Arial"/>
          <w:color w:val="24292E"/>
          <w:sz w:val="22"/>
          <w:szCs w:val="22"/>
          <w:lang w:val="en-GB"/>
        </w:rPr>
      </w:pPr>
      <w:r>
        <w:rPr>
          <w:rFonts w:eastAsia="Arial" w:cs="Arial" w:ascii="Arial" w:hAnsi="Arial"/>
          <w:color w:val="24292E"/>
          <w:sz w:val="22"/>
          <w:szCs w:val="22"/>
          <w:lang w:val="en-GB"/>
        </w:rPr>
      </w:r>
    </w:p>
    <w:p>
      <w:pPr>
        <w:pStyle w:val="Normal"/>
        <w:spacing w:lineRule="auto" w:line="360"/>
        <w:jc w:val="both"/>
        <w:rPr>
          <w:rFonts w:ascii="Arial" w:hAnsi="Arial" w:eastAsia="Arial" w:cs="Arial"/>
          <w:b/>
          <w:bCs/>
          <w:sz w:val="22"/>
          <w:szCs w:val="22"/>
          <w:lang w:val="en-GB"/>
        </w:rPr>
      </w:pPr>
      <w:r>
        <w:rPr>
          <w:rFonts w:eastAsia="Arial" w:cs="Arial" w:ascii="Arial" w:hAnsi="Arial"/>
          <w:b/>
          <w:bCs/>
          <w:sz w:val="22"/>
          <w:szCs w:val="22"/>
          <w:lang w:val="en-GB"/>
        </w:rPr>
        <w:t>Conclusion</w:t>
      </w:r>
    </w:p>
    <w:p>
      <w:pPr>
        <w:pStyle w:val="Normal"/>
        <w:spacing w:lineRule="auto" w:line="360"/>
        <w:jc w:val="both"/>
        <w:rPr>
          <w:rFonts w:ascii="Arial" w:hAnsi="Arial" w:eastAsia="Arial" w:cs="Arial"/>
          <w:sz w:val="22"/>
          <w:szCs w:val="22"/>
          <w:lang w:val="en-GB"/>
        </w:rPr>
      </w:pPr>
      <w:r>
        <w:rPr>
          <w:rFonts w:eastAsia="Arial" w:cs="Arial" w:ascii="Arial" w:hAnsi="Arial"/>
          <w:sz w:val="22"/>
          <w:szCs w:val="22"/>
          <w:lang w:val="en-GB"/>
        </w:rPr>
        <w:t xml:space="preserve">This report has critically evaluated PARO, a therapeutic robotic seal, as a digital transformation within UK dementia care. The evidence demonstrates that PARO can offer genuine benefits across the workforce and the patient experience, extending to families and the wider community. For staff, it provides a communication tool for connecting with distressed residents (Shoesmith et al., 2024); for patients, it can reduce agitation, provide comfort, and unlock communication for those whose language is severely impaired; and for families, it offers reassurance that their relative's distress can be eased with dignity. </w:t>
      </w:r>
    </w:p>
    <w:p>
      <w:pPr>
        <w:pStyle w:val="Normal"/>
        <w:spacing w:lineRule="auto" w:line="360"/>
        <w:jc w:val="both"/>
        <w:rPr>
          <w:rFonts w:ascii="Arial" w:hAnsi="Arial" w:eastAsia="Arial" w:cs="Arial"/>
          <w:sz w:val="22"/>
          <w:szCs w:val="22"/>
          <w:lang w:val="en-GB"/>
        </w:rPr>
      </w:pPr>
      <w:r>
        <w:rPr>
          <w:rFonts w:eastAsia="Arial" w:cs="Arial" w:ascii="Arial" w:hAnsi="Arial"/>
          <w:sz w:val="22"/>
          <w:szCs w:val="22"/>
          <w:lang w:val="en-GB"/>
        </w:rPr>
        <w:t>However, these benefits must be weighed against significant concerns.</w:t>
      </w:r>
      <w:r>
        <w:rPr>
          <w:rFonts w:eastAsia="Arial" w:cs="Arial" w:ascii="Arial" w:hAnsi="Arial"/>
          <w:i/>
          <w:iCs/>
          <w:sz w:val="22"/>
          <w:szCs w:val="22"/>
          <w:lang w:val="en-GB"/>
        </w:rPr>
        <w:t xml:space="preserve"> </w:t>
      </w:r>
      <w:r>
        <w:rPr>
          <w:rFonts w:eastAsia="Arial" w:cs="Arial" w:ascii="Arial" w:hAnsi="Arial"/>
          <w:sz w:val="22"/>
          <w:szCs w:val="22"/>
          <w:lang w:val="en-GB"/>
        </w:rPr>
        <w:t>It is also worth acknowledging the limitations of the evidence itself. Much of the research on PARO consists of small-scale studies, often without control groups, meaning reported benefits may partly reflect staff enthusiasm or novel stimulation rather than lasting therapeutic effect. The strongest evidence relates to short-term reductions in agitation; longer-term outcomes, including whether benefits persist as initial interest fades, remain under-researched. This evidence gap does not invalidate PARO's use, but it argues for humility in the claims made for it, and for local evaluation of its effects within any adopting service an approach consistent with the phased rollout recommended below</w:t>
      </w:r>
      <w:r>
        <w:rPr>
          <w:rFonts w:eastAsia="Arial" w:cs="Arial" w:ascii="Arial" w:hAnsi="Arial"/>
          <w:i/>
          <w:iCs/>
          <w:sz w:val="22"/>
          <w:szCs w:val="22"/>
          <w:lang w:val="en-GB"/>
        </w:rPr>
        <w:t>.</w:t>
      </w:r>
      <w:r>
        <w:rPr>
          <w:rFonts w:eastAsia="Arial" w:cs="Arial" w:ascii="Arial" w:hAnsi="Arial"/>
          <w:sz w:val="22"/>
          <w:szCs w:val="22"/>
          <w:lang w:val="en-GB"/>
        </w:rPr>
        <w:t xml:space="preserve"> The cost of approximately £4,000 per unit raises equity questions within stretched social care budgets, and the potential additional workload created for staff cannot be overlooked (Wright, 2023). Most fundamentally, critics argue that encouraging attachment to a robot raises ethical questions about deception and dignity in the care of vulnerable people (Sharkey and Wood, 2014).</w:t>
      </w:r>
    </w:p>
    <w:p>
      <w:pPr>
        <w:pStyle w:val="Normal"/>
        <w:spacing w:lineRule="auto" w:line="360"/>
        <w:jc w:val="both"/>
        <w:rPr>
          <w:rFonts w:ascii="Arial" w:hAnsi="Arial" w:eastAsia="Arial" w:cs="Arial"/>
          <w:sz w:val="22"/>
          <w:szCs w:val="22"/>
          <w:lang w:val="en-GB"/>
        </w:rPr>
      </w:pPr>
      <w:r>
        <w:rPr>
          <w:rFonts w:eastAsia="Arial" w:cs="Arial" w:ascii="Arial" w:hAnsi="Arial"/>
          <w:sz w:val="22"/>
          <w:szCs w:val="22"/>
          <w:lang w:val="en-GB"/>
        </w:rPr>
        <w:t xml:space="preserve">The most defensible conclusion is that PARO is best understood as a valuable enhancement tool rather than a replacement for, human-centred dementia care. Notably, its benefits appear conditional rather than automatic, contingent on the same fundamentals that underpin all good dementia care: trained staff, adequate time, and genuine relationships. Its long evidence history since 2004 distinguishes it from more experimental technologies, but successful implementation depends on the same fundamentals of good dementia care. Future adoption should therefore be guided by person-centred principles (Kitwood, 1997), ensuring that technology serves human connection rather than substituting for it. </w:t>
      </w:r>
    </w:p>
    <w:p>
      <w:pPr>
        <w:pStyle w:val="Normal"/>
        <w:spacing w:lineRule="auto" w:line="360"/>
        <w:jc w:val="both"/>
        <w:rPr>
          <w:rFonts w:ascii="Arial" w:hAnsi="Arial" w:eastAsia="Arial" w:cs="Arial"/>
          <w:sz w:val="22"/>
          <w:szCs w:val="22"/>
          <w:lang w:val="en-GB"/>
        </w:rPr>
      </w:pPr>
      <w:r>
        <w:rPr>
          <w:rFonts w:eastAsia="Arial" w:cs="Arial" w:ascii="Arial" w:hAnsi="Arial"/>
          <w:sz w:val="22"/>
          <w:szCs w:val="22"/>
          <w:lang w:val="en-GB"/>
        </w:rPr>
        <w:t>Building on these findings, three recommendations are proposed. First, organisations adopting PARO should invest in protected staff time and structured training to address the workload and deskilling risks identified (Wright, 2023). Second, commissioning decisions should consider equity, ensuring that cost does not restrict access to well-funded providers alone. Third, implementation should involve families and service users in co-production, in line with person-centred principles (Kitwood, 1997). Each recommendation faces barriers, however: constrained budgets, limited training capacity, and the practical difficulty of involving people with advanced dementia. Realistic adoption therefore requires phased, evaluated rollout rather than wholesale purchase, with PARO introduced as a complement to, not a substitute for human relationships in dementia care.</w:t>
      </w:r>
    </w:p>
    <w:p>
      <w:pPr>
        <w:pStyle w:val="Normal"/>
        <w:rPr/>
      </w:pPr>
      <w:r>
        <w:rPr/>
      </w:r>
    </w:p>
    <w:p>
      <w:pPr>
        <w:pStyle w:val="Normal"/>
        <w:rPr/>
      </w:pPr>
      <w:r>
        <w:rPr/>
      </w:r>
    </w:p>
    <w:p>
      <w:pPr>
        <w:pStyle w:val="Normal"/>
        <w:rPr>
          <w:rFonts w:ascii="Aptos" w:hAnsi="Aptos"/>
          <w:sz w:val="24"/>
          <w:szCs w:val="24"/>
          <w:lang w:val="en-GB"/>
        </w:rPr>
      </w:pPr>
      <w:r>
        <w:rPr>
          <w:rFonts w:ascii="Aptos" w:hAnsi="Aptos"/>
          <w:sz w:val="24"/>
          <w:szCs w:val="24"/>
          <w:lang w:val="en-GB"/>
        </w:rPr>
        <w:t xml:space="preserve">Reference List </w:t>
      </w:r>
    </w:p>
    <w:p>
      <w:pPr>
        <w:pStyle w:val="Normal"/>
        <w:rPr>
          <w:rFonts w:ascii="Aptos" w:hAnsi="Aptos"/>
          <w:b/>
          <w:bCs/>
          <w:sz w:val="24"/>
          <w:szCs w:val="24"/>
          <w:lang w:val="en-GB"/>
        </w:rPr>
      </w:pPr>
      <w:r>
        <w:rPr>
          <w:rFonts w:ascii="Aptos" w:hAnsi="Aptos"/>
          <w:i/>
          <w:iCs/>
          <w:sz w:val="24"/>
          <w:szCs w:val="24"/>
          <w:lang w:val="en-GB"/>
        </w:rPr>
        <w:t>Alzheimer's Society. (2024) How many people have dementia in the UK</w:t>
      </w:r>
      <w:r>
        <w:rPr>
          <w:rFonts w:ascii="Aptos" w:hAnsi="Aptos"/>
          <w:sz w:val="24"/>
          <w:szCs w:val="24"/>
          <w:lang w:val="en-GB"/>
        </w:rPr>
        <w:t>? Available at:</w:t>
      </w:r>
      <w:hyperlink r:id="rId2">
        <w:r>
          <w:rPr>
            <w:rStyle w:val="Hyperlink"/>
            <w:rFonts w:ascii="Aptos" w:hAnsi="Aptos"/>
            <w:strike w:val="false"/>
            <w:dstrike w:val="false"/>
            <w:sz w:val="24"/>
            <w:szCs w:val="24"/>
            <w:u w:val="single"/>
            <w:lang w:val="en-GB"/>
          </w:rPr>
          <w:t>https://www.alzheimers.org.uk/blog/how-many-people-have-dementia-uk</w:t>
        </w:r>
      </w:hyperlink>
      <w:r>
        <w:rPr>
          <w:rFonts w:ascii="Aptos" w:hAnsi="Aptos"/>
          <w:sz w:val="24"/>
          <w:szCs w:val="24"/>
          <w:lang w:val="en-GB"/>
        </w:rPr>
        <w:t xml:space="preserve"> (Accessed: 14 September 2026</w:t>
      </w:r>
      <w:r>
        <w:rPr>
          <w:rFonts w:ascii="Aptos" w:hAnsi="Aptos"/>
          <w:b/>
          <w:bCs/>
          <w:sz w:val="24"/>
          <w:szCs w:val="24"/>
          <w:lang w:val="en-GB"/>
        </w:rPr>
        <w:t>)</w:t>
      </w:r>
    </w:p>
    <w:p>
      <w:pPr>
        <w:pStyle w:val="Normal"/>
        <w:rPr>
          <w:rFonts w:ascii="Aptos" w:hAnsi="Aptos"/>
          <w:sz w:val="24"/>
          <w:szCs w:val="24"/>
          <w:lang w:val="en-GB"/>
        </w:rPr>
      </w:pPr>
      <w:bookmarkStart w:id="0" w:name="_Int_3fX8F1wL"/>
      <w:r>
        <w:rPr>
          <w:rFonts w:ascii="Aptos" w:hAnsi="Aptos"/>
          <w:i/>
          <w:iCs/>
          <w:sz w:val="24"/>
          <w:szCs w:val="24"/>
          <w:lang w:val="en-GB"/>
        </w:rPr>
        <w:t>Department of Health and Social Care (2022) A Plan for Digital Health and Social Care</w:t>
      </w:r>
      <w:r>
        <w:rPr>
          <w:rFonts w:ascii="Aptos" w:hAnsi="Aptos"/>
          <w:sz w:val="24"/>
          <w:szCs w:val="24"/>
          <w:lang w:val="en-GB"/>
        </w:rPr>
        <w:t>.</w:t>
      </w:r>
      <w:bookmarkEnd w:id="0"/>
      <w:r>
        <w:rPr>
          <w:rFonts w:ascii="Aptos" w:hAnsi="Aptos"/>
          <w:sz w:val="24"/>
          <w:szCs w:val="24"/>
          <w:lang w:val="en-GB"/>
        </w:rPr>
        <w:t xml:space="preserve"> London: HMSO. Available at: </w:t>
      </w:r>
      <w:hyperlink r:id="rId3">
        <w:r>
          <w:rPr>
            <w:rStyle w:val="Hyperlink"/>
            <w:rFonts w:ascii="Aptos" w:hAnsi="Aptos"/>
            <w:strike w:val="false"/>
            <w:dstrike w:val="false"/>
            <w:sz w:val="24"/>
            <w:szCs w:val="24"/>
            <w:u w:val="single"/>
            <w:lang w:val="en-GB"/>
          </w:rPr>
          <w:t>https://www.gov.uk/government/publications/a-plan-for-digital-health-and-social-care</w:t>
        </w:r>
      </w:hyperlink>
      <w:r>
        <w:rPr>
          <w:rFonts w:ascii="Aptos" w:hAnsi="Aptos"/>
          <w:sz w:val="24"/>
          <w:szCs w:val="24"/>
          <w:lang w:val="en-GB"/>
        </w:rPr>
        <w:t xml:space="preserve"> (Accessed: 14 September 2026).</w:t>
      </w:r>
    </w:p>
    <w:p>
      <w:pPr>
        <w:pStyle w:val="Normal"/>
        <w:rPr>
          <w:rFonts w:ascii="Aptos" w:hAnsi="Aptos"/>
          <w:b w:val="false"/>
          <w:bCs w:val="false"/>
          <w:i/>
          <w:iCs/>
          <w:sz w:val="24"/>
          <w:szCs w:val="24"/>
          <w:lang w:val="en-GB"/>
        </w:rPr>
      </w:pPr>
      <w:r>
        <w:rPr>
          <w:rFonts w:ascii="Aptos" w:hAnsi="Aptos"/>
          <w:b w:val="false"/>
          <w:bCs w:val="false"/>
          <w:i/>
          <w:iCs/>
          <w:sz w:val="24"/>
          <w:szCs w:val="24"/>
          <w:lang w:val="en-GB"/>
        </w:rPr>
        <w:t xml:space="preserve">Griffiths, A. (2014) How Paro the robot seal is being used to help UK dementia patients, 8 July. Available at: </w:t>
      </w:r>
      <w:hyperlink r:id="rId4">
        <w:r>
          <w:rPr>
            <w:rStyle w:val="Hyperlink"/>
            <w:rFonts w:ascii="Aptos" w:hAnsi="Aptos"/>
            <w:b w:val="false"/>
            <w:bCs w:val="false"/>
            <w:i/>
            <w:iCs/>
            <w:strike w:val="false"/>
            <w:dstrike w:val="false"/>
            <w:sz w:val="24"/>
            <w:szCs w:val="24"/>
            <w:u w:val="single"/>
            <w:lang w:val="en-GB"/>
          </w:rPr>
          <w:t>https://www.theguardian.com/society/2014/jul/08/paro-robot-seal-dementia-patients-nhs-japan</w:t>
        </w:r>
      </w:hyperlink>
      <w:r>
        <w:rPr>
          <w:rFonts w:ascii="Aptos" w:hAnsi="Aptos"/>
          <w:b w:val="false"/>
          <w:bCs w:val="false"/>
          <w:i/>
          <w:iCs/>
          <w:sz w:val="24"/>
          <w:szCs w:val="24"/>
          <w:lang w:val="en-GB"/>
        </w:rPr>
        <w:t xml:space="preserve"> (Accessed: 14 September 2026).</w:t>
      </w:r>
    </w:p>
    <w:p>
      <w:pPr>
        <w:pStyle w:val="Normal"/>
        <w:rPr>
          <w:rFonts w:ascii="Aptos" w:hAnsi="Aptos"/>
          <w:i/>
          <w:iCs/>
          <w:sz w:val="24"/>
          <w:szCs w:val="24"/>
          <w:lang w:val="en-GB"/>
        </w:rPr>
      </w:pPr>
      <w:r>
        <w:rPr>
          <w:rFonts w:ascii="Aptos" w:hAnsi="Aptos"/>
          <w:i/>
          <w:iCs/>
          <w:sz w:val="24"/>
          <w:szCs w:val="24"/>
          <w:lang w:val="en-GB"/>
        </w:rPr>
        <w:t xml:space="preserve">Hung, L., Liu, C., Woldum, E., Au-Yeung, A., Berndt, A., Wallsworth, C., Horne, N., Gregorio, M., Mann, J. and Chaudhury, H. (2019) 'The benefits of and barriers to using a social robot PARO in care settings: a scoping review', BMC Geriatrics, 19(1), p. 232. Available at: </w:t>
      </w:r>
      <w:hyperlink r:id="rId5">
        <w:r>
          <w:rPr>
            <w:rStyle w:val="Hyperlink"/>
            <w:rFonts w:ascii="Aptos" w:hAnsi="Aptos"/>
            <w:i/>
            <w:iCs/>
            <w:strike w:val="false"/>
            <w:dstrike w:val="false"/>
            <w:sz w:val="24"/>
            <w:szCs w:val="24"/>
            <w:u w:val="single"/>
            <w:lang w:val="en-GB"/>
          </w:rPr>
          <w:t>https://doi.org/10.1186/s12877-019-1244-6</w:t>
        </w:r>
      </w:hyperlink>
      <w:r>
        <w:rPr>
          <w:rFonts w:ascii="Aptos" w:hAnsi="Aptos"/>
          <w:i/>
          <w:iCs/>
          <w:sz w:val="24"/>
          <w:szCs w:val="24"/>
          <w:lang w:val="en-GB"/>
        </w:rPr>
        <w:t>.</w:t>
      </w:r>
    </w:p>
    <w:p>
      <w:pPr>
        <w:pStyle w:val="Normal"/>
        <w:rPr>
          <w:rFonts w:ascii="Aptos" w:hAnsi="Aptos"/>
          <w:i/>
          <w:iCs/>
          <w:sz w:val="24"/>
          <w:szCs w:val="24"/>
          <w:lang w:val="en-GB"/>
        </w:rPr>
      </w:pPr>
      <w:r>
        <w:rPr>
          <w:rFonts w:ascii="Aptos" w:hAnsi="Aptos"/>
          <w:i/>
          <w:iCs/>
          <w:sz w:val="24"/>
          <w:szCs w:val="24"/>
          <w:lang w:val="en-GB"/>
        </w:rPr>
        <w:t xml:space="preserve">Inoue, K., Wada, K., and Shibata, T. (2021) 'Exploring the applicability of the robotic seal PARO to support caring for older persons with dementia within the home context', Palliative Care and Social Practice, 15. Available at: </w:t>
      </w:r>
      <w:hyperlink r:id="rId6">
        <w:r>
          <w:rPr>
            <w:rStyle w:val="Hyperlink"/>
            <w:rFonts w:ascii="Aptos" w:hAnsi="Aptos"/>
            <w:i/>
            <w:iCs/>
            <w:strike w:val="false"/>
            <w:dstrike w:val="false"/>
            <w:sz w:val="24"/>
            <w:szCs w:val="24"/>
            <w:u w:val="single"/>
            <w:lang w:val="en-GB"/>
          </w:rPr>
          <w:t>https://doi.org/10.1177/26323524211030285</w:t>
        </w:r>
      </w:hyperlink>
      <w:r>
        <w:rPr>
          <w:rFonts w:ascii="Aptos" w:hAnsi="Aptos"/>
          <w:i/>
          <w:iCs/>
          <w:sz w:val="24"/>
          <w:szCs w:val="24"/>
          <w:lang w:val="en-GB"/>
        </w:rPr>
        <w:t>.</w:t>
      </w:r>
    </w:p>
    <w:p>
      <w:pPr>
        <w:pStyle w:val="Normal"/>
        <w:rPr>
          <w:rFonts w:ascii="Aptos" w:hAnsi="Aptos"/>
          <w:sz w:val="24"/>
          <w:szCs w:val="24"/>
          <w:lang w:val="en-GB"/>
        </w:rPr>
      </w:pPr>
      <w:r>
        <w:rPr>
          <w:rFonts w:ascii="Aptos" w:hAnsi="Aptos"/>
          <w:sz w:val="24"/>
          <w:szCs w:val="24"/>
          <w:lang w:val="en-GB"/>
        </w:rPr>
        <w:t>Kitwood, T. (1997) Dementia Reconsidered: The Person Comes First. Buckingham: Open University Press.</w:t>
      </w:r>
    </w:p>
    <w:p>
      <w:pPr>
        <w:pStyle w:val="Normal"/>
        <w:rPr>
          <w:rFonts w:ascii="Aptos" w:hAnsi="Aptos"/>
          <w:b w:val="false"/>
          <w:bCs w:val="false"/>
          <w:i/>
          <w:iCs/>
          <w:sz w:val="24"/>
          <w:szCs w:val="24"/>
          <w:lang w:val="en-GB"/>
        </w:rPr>
      </w:pPr>
      <w:r>
        <w:rPr>
          <w:rFonts w:ascii="Aptos" w:hAnsi="Aptos"/>
          <w:b w:val="false"/>
          <w:bCs w:val="false"/>
          <w:i/>
          <w:iCs/>
          <w:sz w:val="24"/>
          <w:szCs w:val="24"/>
          <w:lang w:val="en-GB"/>
        </w:rPr>
        <w:t xml:space="preserve">Moyle, W., Bramble, M., Jones, C., and Murfield, J. (2018) 'Care staff perceptions of a social robot called Paro and a look-alike plush toy: a descriptive qualitative approach', Aging &amp; Mental Health, 22(3), pp. 330–335. Available at: </w:t>
      </w:r>
      <w:hyperlink r:id="rId7">
        <w:r>
          <w:rPr>
            <w:rStyle w:val="Hyperlink"/>
            <w:rFonts w:ascii="Aptos" w:hAnsi="Aptos"/>
            <w:b w:val="false"/>
            <w:bCs w:val="false"/>
            <w:i/>
            <w:iCs/>
            <w:strike w:val="false"/>
            <w:dstrike w:val="false"/>
            <w:sz w:val="24"/>
            <w:szCs w:val="24"/>
            <w:u w:val="single"/>
            <w:lang w:val="en-GB"/>
          </w:rPr>
          <w:t>https://doi.org/10.1080/13607863.2016.1262820</w:t>
        </w:r>
      </w:hyperlink>
      <w:r>
        <w:rPr>
          <w:rFonts w:ascii="Aptos" w:hAnsi="Aptos"/>
          <w:b w:val="false"/>
          <w:bCs w:val="false"/>
          <w:i/>
          <w:iCs/>
          <w:sz w:val="24"/>
          <w:szCs w:val="24"/>
          <w:lang w:val="en-GB"/>
        </w:rPr>
        <w:t>.</w:t>
      </w:r>
    </w:p>
    <w:p>
      <w:pPr>
        <w:pStyle w:val="Normal"/>
        <w:rPr>
          <w:rFonts w:ascii="Aptos" w:hAnsi="Aptos"/>
          <w:sz w:val="24"/>
          <w:szCs w:val="24"/>
          <w:lang w:val="en-GB"/>
        </w:rPr>
      </w:pPr>
      <w:r>
        <w:rPr>
          <w:rFonts w:ascii="Aptos" w:hAnsi="Aptos"/>
          <w:sz w:val="24"/>
          <w:szCs w:val="24"/>
          <w:lang w:val="en-GB"/>
        </w:rPr>
        <w:t xml:space="preserve">National Institute for Health and Care Excellence (2018) Dementia: assessment, management and support for people living with dementia and their carers (NG97). Available at: </w:t>
      </w:r>
      <w:hyperlink r:id="rId8">
        <w:r>
          <w:rPr>
            <w:rStyle w:val="Hyperlink"/>
            <w:rFonts w:ascii="Aptos" w:hAnsi="Aptos"/>
            <w:strike w:val="false"/>
            <w:dstrike w:val="false"/>
            <w:sz w:val="24"/>
            <w:szCs w:val="24"/>
            <w:u w:val="single"/>
            <w:lang w:val="en-GB"/>
          </w:rPr>
          <w:t>https://www.nice.org.uk/guidance/ng97</w:t>
        </w:r>
      </w:hyperlink>
      <w:r>
        <w:rPr>
          <w:rFonts w:ascii="Aptos" w:hAnsi="Aptos"/>
          <w:sz w:val="24"/>
          <w:szCs w:val="24"/>
          <w:lang w:val="en-GB"/>
        </w:rPr>
        <w:t xml:space="preserve"> (Accessed: 15 September 2026).</w:t>
      </w:r>
    </w:p>
    <w:p>
      <w:pPr>
        <w:pStyle w:val="Normal"/>
        <w:rPr>
          <w:rFonts w:ascii="Aptos" w:hAnsi="Aptos"/>
          <w:sz w:val="24"/>
          <w:szCs w:val="24"/>
          <w:lang w:val="en-GB"/>
        </w:rPr>
      </w:pPr>
      <w:r>
        <w:rPr>
          <w:rFonts w:ascii="Aptos" w:hAnsi="Aptos"/>
          <w:sz w:val="24"/>
          <w:szCs w:val="24"/>
          <w:lang w:val="en-GB"/>
        </w:rPr>
        <w:t>Sharkey, A., and Wood, N. (2014) 'The Paro seal robot: demeaning or enabling?', AISB 2014 50th Annual Convention of the AISB. Goldsmiths, University of London. Available at:</w:t>
      </w:r>
      <w:hyperlink r:id="rId9">
        <w:r>
          <w:rPr>
            <w:rStyle w:val="Hyperlink"/>
            <w:rFonts w:ascii="Aptos" w:hAnsi="Aptos"/>
            <w:strike w:val="false"/>
            <w:dstrike w:val="false"/>
            <w:sz w:val="24"/>
            <w:szCs w:val="24"/>
            <w:u w:val="single"/>
            <w:lang w:val="en-GB"/>
          </w:rPr>
          <w:t>https://www.doc.gold.ac.uk/aisb50/AISB50-S17/AISB50-S17-Sharkey-Paper.pdf</w:t>
        </w:r>
      </w:hyperlink>
      <w:r>
        <w:rPr>
          <w:rFonts w:ascii="Aptos" w:hAnsi="Aptos"/>
          <w:sz w:val="24"/>
          <w:szCs w:val="24"/>
          <w:lang w:val="en-GB"/>
        </w:rPr>
        <w:t xml:space="preserve"> (Accessed: 14 September 2026).</w:t>
      </w:r>
    </w:p>
    <w:p>
      <w:pPr>
        <w:pStyle w:val="Normal"/>
        <w:rPr>
          <w:rFonts w:ascii="Aptos" w:hAnsi="Aptos"/>
          <w:sz w:val="24"/>
          <w:szCs w:val="24"/>
        </w:rPr>
      </w:pPr>
      <w:r>
        <w:rPr>
          <w:rFonts w:ascii="Aptos" w:hAnsi="Aptos"/>
          <w:sz w:val="24"/>
          <w:szCs w:val="24"/>
        </w:rPr>
      </w:r>
    </w:p>
    <w:p>
      <w:pPr>
        <w:pStyle w:val="Normal"/>
        <w:rPr>
          <w:rFonts w:ascii="Aptos" w:hAnsi="Aptos"/>
          <w:sz w:val="24"/>
          <w:szCs w:val="24"/>
        </w:rPr>
      </w:pPr>
      <w:r>
        <w:rPr>
          <w:rFonts w:ascii="Aptos" w:hAnsi="Aptos"/>
          <w:sz w:val="24"/>
          <w:szCs w:val="24"/>
        </w:rPr>
      </w:r>
    </w:p>
    <w:p>
      <w:pPr>
        <w:pStyle w:val="Normal"/>
        <w:rPr/>
      </w:pPr>
      <w:r>
        <w:rPr>
          <w:rFonts w:ascii="Aptos" w:hAnsi="Aptos"/>
          <w:sz w:val="24"/>
          <w:szCs w:val="24"/>
          <w:lang w:val="en-GB"/>
        </w:rPr>
        <w:t xml:space="preserve">Shoesmith, E.K., Clarke, C., McPherson, G. and Ratschen, E. (2024) 'Using PARO, a robotic seal, to support people living with dementia: "what works" in inpatient dementia care settings?', Human-Animal Interactions, 12(1), p. 23. Available at: </w:t>
      </w:r>
      <w:hyperlink r:id="rId10">
        <w:r>
          <w:rPr>
            <w:rStyle w:val="Hyperlink"/>
            <w:rFonts w:ascii="Aptos" w:hAnsi="Aptos"/>
            <w:strike w:val="false"/>
            <w:dstrike w:val="false"/>
            <w:sz w:val="24"/>
            <w:szCs w:val="24"/>
            <w:u w:val="single"/>
            <w:lang w:val="en-GB"/>
          </w:rPr>
          <w:t>https://doi.org/10.1079/hai.2024.0023</w:t>
        </w:r>
      </w:hyperlink>
      <w:r>
        <w:rPr>
          <w:rFonts w:ascii="Aptos" w:hAnsi="Aptos"/>
          <w:sz w:val="24"/>
          <w:szCs w:val="24"/>
          <w:lang w:val="en-GB"/>
        </w:rPr>
        <w:t>.</w:t>
      </w:r>
    </w:p>
    <w:p>
      <w:pPr>
        <w:pStyle w:val="Normal"/>
        <w:rPr>
          <w:rFonts w:ascii="Aptos" w:hAnsi="Aptos"/>
          <w:sz w:val="24"/>
          <w:szCs w:val="24"/>
          <w:lang w:val="en-GB"/>
        </w:rPr>
      </w:pPr>
      <w:r>
        <w:rPr>
          <w:rFonts w:ascii="Aptos" w:hAnsi="Aptos"/>
          <w:sz w:val="24"/>
          <w:szCs w:val="24"/>
          <w:lang w:val="en-GB"/>
        </w:rPr>
      </w:r>
    </w:p>
    <w:p>
      <w:pPr>
        <w:pStyle w:val="Normal"/>
        <w:rPr>
          <w:rFonts w:ascii="Aptos" w:hAnsi="Aptos"/>
          <w:b w:val="false"/>
          <w:bCs w:val="false"/>
          <w:i w:val="false"/>
          <w:iCs w:val="false"/>
          <w:sz w:val="24"/>
          <w:szCs w:val="24"/>
          <w:lang w:val="en-GB"/>
        </w:rPr>
      </w:pPr>
      <w:r>
        <w:rPr>
          <w:rFonts w:ascii="Aptos" w:hAnsi="Aptos"/>
          <w:b w:val="false"/>
          <w:bCs w:val="false"/>
          <w:i w:val="false"/>
          <w:iCs w:val="false"/>
          <w:sz w:val="24"/>
          <w:szCs w:val="24"/>
          <w:lang w:val="en-GB"/>
        </w:rPr>
        <w:t xml:space="preserve">Wright, J. (2023) </w:t>
      </w:r>
      <w:r>
        <w:rPr>
          <w:rFonts w:ascii="Aptos" w:hAnsi="Aptos"/>
          <w:b w:val="false"/>
          <w:bCs w:val="false"/>
          <w:i/>
          <w:iCs/>
          <w:sz w:val="24"/>
          <w:szCs w:val="24"/>
          <w:lang w:val="en-GB"/>
        </w:rPr>
        <w:t>'Inside Japan's long experiment in automating elder care</w:t>
      </w:r>
      <w:r>
        <w:rPr>
          <w:rFonts w:ascii="Aptos" w:hAnsi="Aptos"/>
          <w:b w:val="false"/>
          <w:bCs w:val="false"/>
          <w:i w:val="false"/>
          <w:iCs w:val="false"/>
          <w:sz w:val="24"/>
          <w:szCs w:val="24"/>
          <w:lang w:val="en-GB"/>
        </w:rPr>
        <w:t xml:space="preserve">', MIT Technology Review, “9January.Available “at: </w:t>
      </w:r>
      <w:hyperlink r:id="rId11">
        <w:r>
          <w:rPr>
            <w:rStyle w:val="Hyperlink"/>
            <w:rFonts w:ascii="Aptos" w:hAnsi="Aptos"/>
            <w:b w:val="false"/>
            <w:bCs w:val="false"/>
            <w:i w:val="false"/>
            <w:iCs w:val="false"/>
            <w:strike w:val="false"/>
            <w:dstrike w:val="false"/>
            <w:sz w:val="24"/>
            <w:szCs w:val="24"/>
            <w:u w:val="single"/>
            <w:lang w:val="en-GB"/>
          </w:rPr>
          <w:t>https://www.technologyreview.com/2023/01/09/1065135/japan-automating-eldercare-robots/</w:t>
        </w:r>
      </w:hyperlink>
      <w:r>
        <w:rPr>
          <w:rFonts w:ascii="Aptos" w:hAnsi="Aptos"/>
          <w:i w:val="false"/>
          <w:iCs w:val="false"/>
          <w:sz w:val="24"/>
          <w:szCs w:val="24"/>
          <w:lang w:val="en-GB"/>
        </w:rPr>
        <w:t xml:space="preserve"> </w:t>
      </w:r>
      <w:r>
        <w:rPr>
          <w:rFonts w:ascii="Aptos" w:hAnsi="Aptos"/>
          <w:b w:val="false"/>
          <w:bCs w:val="false"/>
          <w:i w:val="false"/>
          <w:iCs w:val="false"/>
          <w:sz w:val="24"/>
          <w:szCs w:val="24"/>
          <w:lang w:val="en-GB"/>
        </w:rPr>
        <w:t>(Accessed: 14 September 2026).</w:t>
      </w:r>
    </w:p>
    <w:p>
      <w:pPr>
        <w:pStyle w:val="Normal"/>
        <w:rPr/>
      </w:pPr>
      <w:r>
        <w:rPr/>
      </w:r>
    </w:p>
    <w:p>
      <w:pPr>
        <w:pStyle w:val="Normal"/>
        <w:rPr/>
      </w:pPr>
      <w:r>
        <w:rPr/>
      </w:r>
    </w:p>
    <w:p>
      <w:pPr>
        <w:pStyle w:val="Normal"/>
        <w:widowControl/>
        <w:bidi w:val="0"/>
        <w:spacing w:lineRule="auto" w:line="278" w:before="0" w:after="160"/>
        <w:jc w:val="start"/>
        <w:rPr/>
      </w:pPr>
      <w:r>
        <w:rPr/>
      </w:r>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440" w:right="1440" w:gutter="0" w:header="72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Aptos">
    <w:charset w:val="01" w:characterSet="utf-8"/>
    <w:family w:val="roman"/>
    <w:pitch w:val="variable"/>
  </w:font>
  <w:font w:name="Liberation Sans">
    <w:altName w:val="Arial"/>
    <w:charset w:val="01" w:characterSet="utf-8"/>
    <w:family w:val="swiss"/>
    <w:pitch w:val="variable"/>
  </w:font>
  <w:font w:name="system-ui">
    <w:charset w:val="01" w:characterSet="utf-8"/>
    <w:family w:val="roman"/>
    <w:pitch w:val="variable"/>
  </w:font>
  <w:font w:name="Aptos">
    <w:charset w:val="01" w:characterSet="utf-8"/>
    <w:family w:val="swiss"/>
    <w:pitch w:val="variable"/>
  </w:font>
  <w:font w:name="Arial">
    <w:charset w:val="01" w:characterSet="utf-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015" w:type="dxa"/>
      <w:jc w:val="start"/>
      <w:tblInd w:w="0" w:type="dxa"/>
      <w:tblLayout w:type="fixed"/>
      <w:tblCellMar>
        <w:top w:w="0" w:type="dxa"/>
        <w:start w:w="108" w:type="dxa"/>
        <w:bottom w:w="0" w:type="dxa"/>
        <w:end w:w="108" w:type="dxa"/>
      </w:tblCellMar>
      <w:tblLook w:val="06a0" w:noHBand="1" w:noVBand="1" w:firstColumn="1" w:lastRow="0" w:lastColumn="0" w:firstRow="1"/>
    </w:tblPr>
    <w:tblGrid>
      <w:gridCol w:w="3005"/>
      <w:gridCol w:w="3005"/>
      <w:gridCol w:w="3005"/>
    </w:tblGrid>
    <w:tr>
      <w:trPr>
        <w:trHeight w:val="300" w:hRule="atLeast"/>
      </w:trPr>
      <w:tc>
        <w:tcPr>
          <w:tcW w:w="3005" w:type="dxa"/>
          <w:tcBorders/>
        </w:tcPr>
        <w:p>
          <w:pPr>
            <w:pStyle w:val="Header"/>
            <w:widowControl/>
            <w:bidi w:val="0"/>
            <w:spacing w:before="0" w:after="0"/>
            <w:ind w:start="-115"/>
            <w:jc w:val="start"/>
            <w:rPr>
              <w:rFonts w:ascii="Aptos" w:hAnsi="Aptos" w:eastAsia="" w:cs=""/>
              <w:kern w:val="0"/>
              <w:sz w:val="24"/>
              <w:szCs w:val="24"/>
              <w:lang w:val="en-GB" w:eastAsia="ja-JP" w:bidi="ar-SA"/>
            </w:rPr>
          </w:pPr>
          <w:r>
            <w:rPr>
              <w:rFonts w:eastAsia="" w:cs=""/>
              <w:kern w:val="0"/>
              <w:sz w:val="24"/>
              <w:szCs w:val="24"/>
              <w:lang w:val="en-GB" w:eastAsia="ja-JP" w:bidi="ar-SA"/>
            </w:rPr>
          </w:r>
        </w:p>
      </w:tc>
      <w:tc>
        <w:tcPr>
          <w:tcW w:w="3005" w:type="dxa"/>
          <w:tcBorders/>
        </w:tcPr>
        <w:p>
          <w:pPr>
            <w:pStyle w:val="Header"/>
            <w:widowControl/>
            <w:bidi w:val="0"/>
            <w:spacing w:before="0" w:after="0"/>
            <w:jc w:val="center"/>
            <w:rPr>
              <w:rFonts w:ascii="Aptos" w:hAnsi="Aptos" w:eastAsia="" w:cs=""/>
              <w:kern w:val="0"/>
              <w:sz w:val="24"/>
              <w:szCs w:val="24"/>
              <w:lang w:val="en-GB" w:eastAsia="ja-JP" w:bidi="ar-SA"/>
            </w:rPr>
          </w:pPr>
          <w:r>
            <w:rPr>
              <w:rFonts w:eastAsia="" w:cs=""/>
              <w:kern w:val="0"/>
              <w:sz w:val="24"/>
              <w:szCs w:val="24"/>
              <w:lang w:val="en-GB" w:eastAsia="ja-JP" w:bidi="ar-SA"/>
            </w:rPr>
            <w:fldChar w:fldCharType="begin"/>
          </w:r>
          <w:r>
            <w:rPr>
              <w:rFonts w:eastAsia="" w:cs=""/>
              <w:kern w:val="0"/>
              <w:sz w:val="24"/>
              <w:szCs w:val="24"/>
              <w:lang w:val="en-GB" w:eastAsia="ja-JP" w:bidi="ar-SA"/>
            </w:rPr>
            <w:instrText xml:space="preserve"> PAGE </w:instrText>
          </w:r>
          <w:r>
            <w:rPr>
              <w:rFonts w:eastAsia="" w:cs=""/>
              <w:kern w:val="0"/>
              <w:sz w:val="24"/>
              <w:szCs w:val="24"/>
              <w:lang w:val="en-GB" w:eastAsia="ja-JP" w:bidi="ar-SA"/>
            </w:rPr>
            <w:fldChar w:fldCharType="separate"/>
          </w:r>
          <w:r>
            <w:rPr>
              <w:rFonts w:eastAsia="" w:cs=""/>
              <w:kern w:val="0"/>
              <w:sz w:val="24"/>
              <w:szCs w:val="24"/>
              <w:lang w:val="en-GB" w:eastAsia="ja-JP" w:bidi="ar-SA"/>
            </w:rPr>
            <w:t>9</w:t>
          </w:r>
          <w:r>
            <w:rPr>
              <w:rFonts w:eastAsia="" w:cs=""/>
              <w:kern w:val="0"/>
              <w:sz w:val="24"/>
              <w:szCs w:val="24"/>
              <w:lang w:val="en-GB" w:eastAsia="ja-JP" w:bidi="ar-SA"/>
            </w:rPr>
            <w:fldChar w:fldCharType="end"/>
          </w:r>
        </w:p>
      </w:tc>
      <w:tc>
        <w:tcPr>
          <w:tcW w:w="3005" w:type="dxa"/>
          <w:tcBorders/>
        </w:tcPr>
        <w:p>
          <w:pPr>
            <w:pStyle w:val="Header"/>
            <w:widowControl/>
            <w:bidi w:val="0"/>
            <w:spacing w:before="0" w:after="0"/>
            <w:ind w:end="-115"/>
            <w:jc w:val="end"/>
            <w:rPr>
              <w:rFonts w:ascii="Aptos" w:hAnsi="Aptos" w:eastAsia="" w:cs=""/>
              <w:kern w:val="0"/>
              <w:sz w:val="24"/>
              <w:szCs w:val="24"/>
              <w:lang w:val="en-GB" w:eastAsia="ja-JP" w:bidi="ar-SA"/>
            </w:rPr>
          </w:pPr>
          <w:r>
            <w:rPr>
              <w:rFonts w:eastAsia="" w:cs=""/>
              <w:kern w:val="0"/>
              <w:sz w:val="24"/>
              <w:szCs w:val="24"/>
              <w:lang w:val="en-GB" w:eastAsia="ja-JP" w:bidi="ar-SA"/>
            </w:rPr>
          </w:r>
        </w:p>
      </w:tc>
    </w:tr>
  </w:tbl>
  <w:p>
    <w:pPr>
      <w:pStyle w:val="Footer"/>
      <w:bidi w:val="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015" w:type="dxa"/>
      <w:jc w:val="start"/>
      <w:tblInd w:w="0" w:type="dxa"/>
      <w:tblLayout w:type="fixed"/>
      <w:tblCellMar>
        <w:top w:w="0" w:type="dxa"/>
        <w:start w:w="108" w:type="dxa"/>
        <w:bottom w:w="0" w:type="dxa"/>
        <w:end w:w="108" w:type="dxa"/>
      </w:tblCellMar>
      <w:tblLook w:val="06a0" w:noHBand="1" w:noVBand="1" w:firstColumn="1" w:lastRow="0" w:lastColumn="0" w:firstRow="1"/>
    </w:tblPr>
    <w:tblGrid>
      <w:gridCol w:w="3005"/>
      <w:gridCol w:w="3005"/>
      <w:gridCol w:w="3005"/>
    </w:tblGrid>
    <w:tr>
      <w:trPr>
        <w:trHeight w:val="300" w:hRule="atLeast"/>
      </w:trPr>
      <w:tc>
        <w:tcPr>
          <w:tcW w:w="3005" w:type="dxa"/>
          <w:tcBorders/>
        </w:tcPr>
        <w:p>
          <w:pPr>
            <w:pStyle w:val="Header"/>
            <w:widowControl/>
            <w:bidi w:val="0"/>
            <w:spacing w:before="0" w:after="0"/>
            <w:ind w:start="-115"/>
            <w:jc w:val="start"/>
            <w:rPr>
              <w:rFonts w:ascii="Aptos" w:hAnsi="Aptos" w:eastAsia="" w:cs=""/>
              <w:kern w:val="0"/>
              <w:sz w:val="24"/>
              <w:szCs w:val="24"/>
              <w:lang w:val="en-GB" w:eastAsia="ja-JP" w:bidi="ar-SA"/>
            </w:rPr>
          </w:pPr>
          <w:r>
            <w:rPr>
              <w:rFonts w:eastAsia="" w:cs=""/>
              <w:kern w:val="0"/>
              <w:sz w:val="24"/>
              <w:szCs w:val="24"/>
              <w:lang w:val="en-GB" w:eastAsia="ja-JP" w:bidi="ar-SA"/>
            </w:rPr>
          </w:r>
        </w:p>
      </w:tc>
      <w:tc>
        <w:tcPr>
          <w:tcW w:w="3005" w:type="dxa"/>
          <w:tcBorders/>
        </w:tcPr>
        <w:p>
          <w:pPr>
            <w:pStyle w:val="Header"/>
            <w:widowControl/>
            <w:bidi w:val="0"/>
            <w:spacing w:before="0" w:after="0"/>
            <w:jc w:val="center"/>
            <w:rPr>
              <w:rFonts w:ascii="Aptos" w:hAnsi="Aptos" w:eastAsia="" w:cs=""/>
              <w:kern w:val="0"/>
              <w:sz w:val="24"/>
              <w:szCs w:val="24"/>
              <w:lang w:val="en-GB" w:eastAsia="ja-JP" w:bidi="ar-SA"/>
            </w:rPr>
          </w:pPr>
          <w:r>
            <w:rPr>
              <w:rFonts w:eastAsia="" w:cs=""/>
              <w:kern w:val="0"/>
              <w:sz w:val="24"/>
              <w:szCs w:val="24"/>
              <w:lang w:val="en-GB" w:eastAsia="ja-JP" w:bidi="ar-SA"/>
            </w:rPr>
            <w:fldChar w:fldCharType="begin"/>
          </w:r>
          <w:r>
            <w:rPr>
              <w:rFonts w:eastAsia="" w:cs=""/>
              <w:kern w:val="0"/>
              <w:sz w:val="24"/>
              <w:szCs w:val="24"/>
              <w:lang w:val="en-GB" w:eastAsia="ja-JP" w:bidi="ar-SA"/>
            </w:rPr>
            <w:instrText xml:space="preserve"> PAGE </w:instrText>
          </w:r>
          <w:r>
            <w:rPr>
              <w:rFonts w:eastAsia="" w:cs=""/>
              <w:kern w:val="0"/>
              <w:sz w:val="24"/>
              <w:szCs w:val="24"/>
              <w:lang w:val="en-GB" w:eastAsia="ja-JP" w:bidi="ar-SA"/>
            </w:rPr>
            <w:fldChar w:fldCharType="separate"/>
          </w:r>
          <w:r>
            <w:rPr>
              <w:rFonts w:eastAsia="" w:cs=""/>
              <w:kern w:val="0"/>
              <w:sz w:val="24"/>
              <w:szCs w:val="24"/>
              <w:lang w:val="en-GB" w:eastAsia="ja-JP" w:bidi="ar-SA"/>
            </w:rPr>
            <w:t>9</w:t>
          </w:r>
          <w:r>
            <w:rPr>
              <w:rFonts w:eastAsia="" w:cs=""/>
              <w:kern w:val="0"/>
              <w:sz w:val="24"/>
              <w:szCs w:val="24"/>
              <w:lang w:val="en-GB" w:eastAsia="ja-JP" w:bidi="ar-SA"/>
            </w:rPr>
            <w:fldChar w:fldCharType="end"/>
          </w:r>
        </w:p>
      </w:tc>
      <w:tc>
        <w:tcPr>
          <w:tcW w:w="3005" w:type="dxa"/>
          <w:tcBorders/>
        </w:tcPr>
        <w:p>
          <w:pPr>
            <w:pStyle w:val="Header"/>
            <w:widowControl/>
            <w:bidi w:val="0"/>
            <w:spacing w:before="0" w:after="0"/>
            <w:ind w:end="-115"/>
            <w:jc w:val="end"/>
            <w:rPr>
              <w:rFonts w:ascii="Aptos" w:hAnsi="Aptos" w:eastAsia="" w:cs=""/>
              <w:kern w:val="0"/>
              <w:sz w:val="24"/>
              <w:szCs w:val="24"/>
              <w:lang w:val="en-GB" w:eastAsia="ja-JP" w:bidi="ar-SA"/>
            </w:rPr>
          </w:pPr>
          <w:r>
            <w:rPr>
              <w:rFonts w:eastAsia="" w:cs=""/>
              <w:kern w:val="0"/>
              <w:sz w:val="24"/>
              <w:szCs w:val="24"/>
              <w:lang w:val="en-GB" w:eastAsia="ja-JP" w:bidi="ar-SA"/>
            </w:rPr>
          </w:r>
        </w:p>
      </w:tc>
    </w:tr>
  </w:tbl>
  <w:p>
    <w:pPr>
      <w:pStyle w:val="Footer"/>
      <w:bidi w:val="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015" w:type="dxa"/>
      <w:jc w:val="start"/>
      <w:tblInd w:w="0" w:type="dxa"/>
      <w:tblLayout w:type="fixed"/>
      <w:tblCellMar>
        <w:top w:w="0" w:type="dxa"/>
        <w:start w:w="108" w:type="dxa"/>
        <w:bottom w:w="0" w:type="dxa"/>
        <w:end w:w="108" w:type="dxa"/>
      </w:tblCellMar>
      <w:tblLook w:val="06a0" w:noHBand="1" w:noVBand="1" w:firstColumn="1" w:lastRow="0" w:lastColumn="0" w:firstRow="1"/>
    </w:tblPr>
    <w:tblGrid>
      <w:gridCol w:w="3005"/>
      <w:gridCol w:w="3005"/>
      <w:gridCol w:w="3005"/>
    </w:tblGrid>
    <w:tr>
      <w:trPr>
        <w:trHeight w:val="300" w:hRule="atLeast"/>
      </w:trPr>
      <w:tc>
        <w:tcPr>
          <w:tcW w:w="3005" w:type="dxa"/>
          <w:tcBorders/>
        </w:tcPr>
        <w:p>
          <w:pPr>
            <w:pStyle w:val="Header"/>
            <w:widowControl/>
            <w:bidi w:val="0"/>
            <w:spacing w:before="0" w:after="0"/>
            <w:ind w:start="-115"/>
            <w:jc w:val="start"/>
            <w:rPr>
              <w:rFonts w:ascii="Aptos" w:hAnsi="Aptos" w:eastAsia="" w:cs=""/>
              <w:kern w:val="0"/>
              <w:sz w:val="24"/>
              <w:szCs w:val="24"/>
              <w:lang w:val="en-GB" w:eastAsia="ja-JP" w:bidi="ar-SA"/>
            </w:rPr>
          </w:pPr>
          <w:r>
            <w:rPr>
              <w:rFonts w:eastAsia="" w:cs=""/>
              <w:kern w:val="0"/>
              <w:sz w:val="24"/>
              <w:szCs w:val="24"/>
              <w:lang w:val="en-GB" w:eastAsia="ja-JP" w:bidi="ar-SA"/>
            </w:rPr>
          </w:r>
        </w:p>
      </w:tc>
      <w:tc>
        <w:tcPr>
          <w:tcW w:w="3005" w:type="dxa"/>
          <w:tcBorders/>
        </w:tcPr>
        <w:p>
          <w:pPr>
            <w:pStyle w:val="Header"/>
            <w:widowControl/>
            <w:bidi w:val="0"/>
            <w:spacing w:before="0" w:after="0"/>
            <w:jc w:val="center"/>
            <w:rPr>
              <w:rFonts w:ascii="Aptos" w:hAnsi="Aptos" w:eastAsia="" w:cs=""/>
              <w:kern w:val="0"/>
              <w:sz w:val="24"/>
              <w:szCs w:val="24"/>
              <w:lang w:val="en-GB" w:eastAsia="ja-JP" w:bidi="ar-SA"/>
            </w:rPr>
          </w:pPr>
          <w:r>
            <w:rPr>
              <w:rFonts w:eastAsia="" w:cs=""/>
              <w:kern w:val="0"/>
              <w:sz w:val="24"/>
              <w:szCs w:val="24"/>
              <w:lang w:val="en-GB" w:eastAsia="ja-JP" w:bidi="ar-SA"/>
            </w:rPr>
          </w:r>
        </w:p>
      </w:tc>
      <w:tc>
        <w:tcPr>
          <w:tcW w:w="3005" w:type="dxa"/>
          <w:tcBorders/>
        </w:tcPr>
        <w:p>
          <w:pPr>
            <w:pStyle w:val="Header"/>
            <w:widowControl/>
            <w:bidi w:val="0"/>
            <w:spacing w:before="0" w:after="0"/>
            <w:ind w:end="-115"/>
            <w:jc w:val="end"/>
            <w:rPr>
              <w:rFonts w:ascii="Aptos" w:hAnsi="Aptos" w:eastAsia="" w:cs=""/>
              <w:kern w:val="0"/>
              <w:sz w:val="24"/>
              <w:szCs w:val="24"/>
              <w:lang w:val="en-GB" w:eastAsia="ja-JP" w:bidi="ar-SA"/>
            </w:rPr>
          </w:pPr>
          <w:r>
            <w:rPr>
              <w:rFonts w:eastAsia="" w:cs=""/>
              <w:kern w:val="0"/>
              <w:sz w:val="24"/>
              <w:szCs w:val="24"/>
              <w:lang w:val="en-GB" w:eastAsia="ja-JP" w:bidi="ar-SA"/>
            </w:rPr>
          </w:r>
        </w:p>
      </w:tc>
    </w:tr>
  </w:tbl>
  <w:p>
    <w:pPr>
      <w:pStyle w:val="Header"/>
      <w:bidi w:val="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015" w:type="dxa"/>
      <w:jc w:val="start"/>
      <w:tblInd w:w="0" w:type="dxa"/>
      <w:tblLayout w:type="fixed"/>
      <w:tblCellMar>
        <w:top w:w="0" w:type="dxa"/>
        <w:start w:w="108" w:type="dxa"/>
        <w:bottom w:w="0" w:type="dxa"/>
        <w:end w:w="108" w:type="dxa"/>
      </w:tblCellMar>
      <w:tblLook w:val="06a0" w:noHBand="1" w:noVBand="1" w:firstColumn="1" w:lastRow="0" w:lastColumn="0" w:firstRow="1"/>
    </w:tblPr>
    <w:tblGrid>
      <w:gridCol w:w="3005"/>
      <w:gridCol w:w="3005"/>
      <w:gridCol w:w="3005"/>
    </w:tblGrid>
    <w:tr>
      <w:trPr>
        <w:trHeight w:val="300" w:hRule="atLeast"/>
      </w:trPr>
      <w:tc>
        <w:tcPr>
          <w:tcW w:w="3005" w:type="dxa"/>
          <w:tcBorders/>
        </w:tcPr>
        <w:p>
          <w:pPr>
            <w:pStyle w:val="Header"/>
            <w:widowControl/>
            <w:bidi w:val="0"/>
            <w:spacing w:before="0" w:after="0"/>
            <w:ind w:start="-115"/>
            <w:jc w:val="start"/>
            <w:rPr>
              <w:rFonts w:ascii="Aptos" w:hAnsi="Aptos" w:eastAsia="" w:cs=""/>
              <w:kern w:val="0"/>
              <w:sz w:val="24"/>
              <w:szCs w:val="24"/>
              <w:lang w:val="en-GB" w:eastAsia="ja-JP" w:bidi="ar-SA"/>
            </w:rPr>
          </w:pPr>
          <w:r>
            <w:rPr>
              <w:rFonts w:eastAsia="" w:cs=""/>
              <w:kern w:val="0"/>
              <w:sz w:val="24"/>
              <w:szCs w:val="24"/>
              <w:lang w:val="en-GB" w:eastAsia="ja-JP" w:bidi="ar-SA"/>
            </w:rPr>
          </w:r>
        </w:p>
      </w:tc>
      <w:tc>
        <w:tcPr>
          <w:tcW w:w="3005" w:type="dxa"/>
          <w:tcBorders/>
        </w:tcPr>
        <w:p>
          <w:pPr>
            <w:pStyle w:val="Header"/>
            <w:widowControl/>
            <w:bidi w:val="0"/>
            <w:spacing w:before="0" w:after="0"/>
            <w:jc w:val="center"/>
            <w:rPr>
              <w:rFonts w:ascii="Aptos" w:hAnsi="Aptos" w:eastAsia="" w:cs=""/>
              <w:kern w:val="0"/>
              <w:sz w:val="24"/>
              <w:szCs w:val="24"/>
              <w:lang w:val="en-GB" w:eastAsia="ja-JP" w:bidi="ar-SA"/>
            </w:rPr>
          </w:pPr>
          <w:r>
            <w:rPr>
              <w:rFonts w:eastAsia="" w:cs=""/>
              <w:kern w:val="0"/>
              <w:sz w:val="24"/>
              <w:szCs w:val="24"/>
              <w:lang w:val="en-GB" w:eastAsia="ja-JP" w:bidi="ar-SA"/>
            </w:rPr>
          </w:r>
        </w:p>
      </w:tc>
      <w:tc>
        <w:tcPr>
          <w:tcW w:w="3005" w:type="dxa"/>
          <w:tcBorders/>
        </w:tcPr>
        <w:p>
          <w:pPr>
            <w:pStyle w:val="Header"/>
            <w:widowControl/>
            <w:bidi w:val="0"/>
            <w:spacing w:before="0" w:after="0"/>
            <w:ind w:end="-115"/>
            <w:jc w:val="end"/>
            <w:rPr>
              <w:rFonts w:ascii="Aptos" w:hAnsi="Aptos" w:eastAsia="" w:cs=""/>
              <w:kern w:val="0"/>
              <w:sz w:val="24"/>
              <w:szCs w:val="24"/>
              <w:lang w:val="en-GB" w:eastAsia="ja-JP" w:bidi="ar-SA"/>
            </w:rPr>
          </w:pPr>
          <w:r>
            <w:rPr>
              <w:rFonts w:eastAsia="" w:cs=""/>
              <w:kern w:val="0"/>
              <w:sz w:val="24"/>
              <w:szCs w:val="24"/>
              <w:lang w:val="en-GB" w:eastAsia="ja-JP" w:bidi="ar-SA"/>
            </w:rPr>
          </w:r>
        </w:p>
      </w:tc>
    </w:tr>
  </w:tbl>
  <w:p>
    <w:pPr>
      <w:pStyle w:val="Header"/>
      <w:bidi w:val="0"/>
      <w:rPr/>
    </w:pPr>
    <w:r>
      <w:rPr/>
    </w:r>
  </w:p>
</w:hdr>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 w:cs="" w:asciiTheme="minorHAnsi" w:cstheme="minorBidi" w:eastAsiaTheme="minorEastAsia" w:hAnsiTheme="minorHAnsi"/>
        <w:sz w:val="24"/>
        <w:szCs w:val="24"/>
        <w:lang w:val="en-GB" w:eastAsia="ja-JP"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78" w:before="0" w:after="160"/>
      <w:jc w:val="start"/>
    </w:pPr>
    <w:rPr>
      <w:rFonts w:ascii="Aptos" w:hAnsi="Aptos" w:eastAsia="" w:cs="" w:asciiTheme="minorHAnsi" w:cstheme="minorBidi" w:eastAsiaTheme="minorEastAsia" w:hAnsiTheme="minorHAnsi"/>
      <w:color w:val="auto"/>
      <w:kern w:val="0"/>
      <w:sz w:val="24"/>
      <w:szCs w:val="24"/>
      <w:lang w:val="en-GB" w:eastAsia="ja-JP" w:bidi="ar-SA"/>
    </w:rPr>
  </w:style>
  <w:style w:type="character" w:styleId="DefaultParagraphFont" w:default="1">
    <w:name w:val="Default Paragraph Font"/>
    <w:uiPriority w:val="1"/>
    <w:semiHidden/>
    <w:unhideWhenUsed/>
    <w:qFormat/>
    <w:rPr/>
  </w:style>
  <w:style w:type="character" w:styleId="Hyperlink">
    <w:name w:val="Hyperlink"/>
    <w:basedOn w:val="DefaultParagraphFont"/>
    <w:uiPriority w:val="99"/>
    <w:unhideWhenUsed/>
    <w:rsid w:val="25c5eb35"/>
    <w:rPr>
      <w:color w:val="467886"/>
      <w:u w:val="single"/>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HeaderandFooter">
    <w:name w:val="Header and Footer"/>
    <w:basedOn w:val="Normal"/>
    <w:qFormat/>
    <w:pPr/>
    <w:rPr/>
  </w:style>
  <w:style w:type="paragraph" w:styleId="Header">
    <w:name w:val="header"/>
    <w:basedOn w:val="Normal"/>
    <w:uiPriority w:val="99"/>
    <w:unhideWhenUsed/>
    <w:rsid w:val="25c5eb35"/>
    <w:pPr>
      <w:tabs>
        <w:tab w:val="clear" w:pos="720"/>
        <w:tab w:val="center" w:pos="4680" w:leader="none"/>
        <w:tab w:val="right" w:pos="9360" w:leader="none"/>
      </w:tabs>
      <w:spacing w:lineRule="auto" w:line="240" w:before="0" w:after="0"/>
    </w:pPr>
    <w:rPr/>
  </w:style>
  <w:style w:type="paragraph" w:styleId="Footer">
    <w:name w:val="footer"/>
    <w:basedOn w:val="Normal"/>
    <w:uiPriority w:val="99"/>
    <w:unhideWhenUsed/>
    <w:rsid w:val="25c5eb35"/>
    <w:pPr>
      <w:tabs>
        <w:tab w:val="clear" w:pos="720"/>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lzheimers.org.uk/blog/how-many-people-have-dementia-uk" TargetMode="External"/><Relationship Id="rId3" Type="http://schemas.openxmlformats.org/officeDocument/2006/relationships/hyperlink" Target="https://www.gov.uk/government/publications/a-plan-for-digital-health-and-social-care" TargetMode="External"/><Relationship Id="rId4" Type="http://schemas.openxmlformats.org/officeDocument/2006/relationships/hyperlink" Target="https://www.theguardian.com/society/2014/jul/08/paro-robot-seal-dementia-patients-nhs-japan" TargetMode="External"/><Relationship Id="rId5" Type="http://schemas.openxmlformats.org/officeDocument/2006/relationships/hyperlink" Target="https://doi.org/10.1186/s12877-019-1244-6" TargetMode="External"/><Relationship Id="rId6" Type="http://schemas.openxmlformats.org/officeDocument/2006/relationships/hyperlink" Target="https://doi.org/10.1177/26323524211030285" TargetMode="External"/><Relationship Id="rId7" Type="http://schemas.openxmlformats.org/officeDocument/2006/relationships/hyperlink" Target="https://doi.org/10.1080/13607863.2016.1262820" TargetMode="External"/><Relationship Id="rId8" Type="http://schemas.openxmlformats.org/officeDocument/2006/relationships/hyperlink" Target="https://www.nice.org.uk/guidance/ng97" TargetMode="External"/><Relationship Id="rId9" Type="http://schemas.openxmlformats.org/officeDocument/2006/relationships/hyperlink" Target="https://www.doc.gold.ac.uk/aisb50/AISB50-S17/AISB50-S17-Sharkey-Paper.pdf" TargetMode="External"/><Relationship Id="rId10" Type="http://schemas.openxmlformats.org/officeDocument/2006/relationships/hyperlink" Target="https://doi.org/10.1079/hai.2024.0023" TargetMode="External"/><Relationship Id="rId11" Type="http://schemas.openxmlformats.org/officeDocument/2006/relationships/hyperlink" Target="https://www.technologyreview.com/2023/01/09/1065135/japan-automating-eldercare-robots/"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6</TotalTime>
  <Application>LibreOffice/26.2.1.2$Linux_X86_64 LibreOffice_project/620$Build-2</Application>
  <AppVersion>15.0000</AppVersion>
  <Pages>9</Pages>
  <Words>2519</Words>
  <Characters>15570</Characters>
  <CharactersWithSpaces>18053</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2026-10-08T18:20:03Z</dcterms:created>
  <dc:creator>Nichola Timothy (2407528)</dc:creator>
  <dc:description/>
  <dc:language>en-GB</dc:language>
  <cp:lastModifiedBy/>
  <dcterms:modified xsi:type="dcterms:W3CDTF">2026-10-14T13:16:55Z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