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8B159E" w14:textId="77777777" w:rsidR="00891C82" w:rsidRPr="00A175A3" w:rsidRDefault="00891C82">
      <w:pPr>
        <w:spacing w:line="259" w:lineRule="auto"/>
        <w:jc w:val="left"/>
        <w:rPr>
          <w:color w:val="000000" w:themeColor="text1"/>
        </w:rPr>
      </w:pPr>
    </w:p>
    <w:p w14:paraId="20C8FA89" w14:textId="77777777" w:rsidR="00891C82" w:rsidRPr="00A175A3" w:rsidRDefault="00891C82">
      <w:pPr>
        <w:spacing w:line="259" w:lineRule="auto"/>
        <w:jc w:val="left"/>
        <w:rPr>
          <w:color w:val="000000" w:themeColor="text1"/>
        </w:rPr>
      </w:pPr>
    </w:p>
    <w:p w14:paraId="59400CB8" w14:textId="77777777" w:rsidR="00891C82" w:rsidRPr="00A175A3" w:rsidRDefault="00891C82">
      <w:pPr>
        <w:spacing w:line="259" w:lineRule="auto"/>
        <w:jc w:val="left"/>
        <w:rPr>
          <w:color w:val="000000" w:themeColor="text1"/>
        </w:rPr>
      </w:pPr>
    </w:p>
    <w:p w14:paraId="0934DC78" w14:textId="77777777" w:rsidR="00891C82" w:rsidRPr="00A175A3" w:rsidRDefault="00891C82">
      <w:pPr>
        <w:spacing w:line="259" w:lineRule="auto"/>
        <w:jc w:val="center"/>
        <w:rPr>
          <w:b/>
          <w:color w:val="000000" w:themeColor="text1"/>
        </w:rPr>
      </w:pPr>
    </w:p>
    <w:p w14:paraId="4BFA911B" w14:textId="77777777" w:rsidR="00891C82" w:rsidRPr="00A175A3" w:rsidRDefault="007A462F">
      <w:pPr>
        <w:spacing w:line="259" w:lineRule="auto"/>
        <w:jc w:val="center"/>
        <w:rPr>
          <w:b/>
          <w:color w:val="000000" w:themeColor="text1"/>
        </w:rPr>
      </w:pPr>
      <w:r w:rsidRPr="00A175A3">
        <w:rPr>
          <w:b/>
          <w:color w:val="000000" w:themeColor="text1"/>
        </w:rPr>
        <w:t>Assignment 2: Event Strategic Planning and Delivery Considerations for an International Meeting.</w:t>
      </w:r>
    </w:p>
    <w:p w14:paraId="669D8469" w14:textId="77777777" w:rsidR="00891C82" w:rsidRPr="00A175A3" w:rsidRDefault="007A462F">
      <w:pPr>
        <w:spacing w:line="259" w:lineRule="auto"/>
        <w:jc w:val="center"/>
        <w:rPr>
          <w:b/>
          <w:color w:val="000000" w:themeColor="text1"/>
        </w:rPr>
      </w:pPr>
      <w:r w:rsidRPr="00A175A3">
        <w:rPr>
          <w:b/>
          <w:color w:val="000000" w:themeColor="text1"/>
        </w:rPr>
        <w:t>BMIH6007 International Meetings Management for the Hotel Industry</w:t>
      </w:r>
    </w:p>
    <w:p w14:paraId="43ED948C" w14:textId="77777777" w:rsidR="00891C82" w:rsidRDefault="007A462F">
      <w:pPr>
        <w:spacing w:line="259" w:lineRule="auto"/>
        <w:jc w:val="center"/>
        <w:rPr>
          <w:b/>
          <w:color w:val="000000" w:themeColor="text1"/>
        </w:rPr>
      </w:pPr>
      <w:r w:rsidRPr="00A175A3">
        <w:rPr>
          <w:b/>
          <w:color w:val="000000" w:themeColor="text1"/>
        </w:rPr>
        <w:t>Module Lead: Kathryn</w:t>
      </w:r>
      <w:r w:rsidRPr="00A175A3">
        <w:rPr>
          <w:color w:val="000000" w:themeColor="text1"/>
        </w:rPr>
        <w:t xml:space="preserve"> </w:t>
      </w:r>
      <w:r w:rsidRPr="00A175A3">
        <w:rPr>
          <w:b/>
          <w:color w:val="000000" w:themeColor="text1"/>
        </w:rPr>
        <w:t>Flynn</w:t>
      </w:r>
    </w:p>
    <w:p w14:paraId="4181768B" w14:textId="5F1530E2" w:rsidR="00554C9D" w:rsidRPr="00A175A3" w:rsidRDefault="00554C9D">
      <w:pPr>
        <w:spacing w:line="259" w:lineRule="auto"/>
        <w:jc w:val="center"/>
        <w:rPr>
          <w:b/>
          <w:color w:val="000000" w:themeColor="text1"/>
        </w:rPr>
      </w:pPr>
      <w:r>
        <w:rPr>
          <w:b/>
          <w:color w:val="000000" w:themeColor="text1"/>
        </w:rPr>
        <w:t xml:space="preserve">Module Lecturer:Christopher Wilkin </w:t>
      </w:r>
    </w:p>
    <w:p w14:paraId="0C68A7FD" w14:textId="0D3AE346" w:rsidR="00891C82" w:rsidRDefault="007A462F">
      <w:pPr>
        <w:spacing w:line="259" w:lineRule="auto"/>
        <w:jc w:val="center"/>
        <w:rPr>
          <w:b/>
          <w:color w:val="000000" w:themeColor="text1"/>
        </w:rPr>
      </w:pPr>
      <w:r w:rsidRPr="00A175A3">
        <w:rPr>
          <w:b/>
          <w:color w:val="000000" w:themeColor="text1"/>
        </w:rPr>
        <w:t xml:space="preserve">Student </w:t>
      </w:r>
      <w:r w:rsidR="00554C9D">
        <w:rPr>
          <w:b/>
          <w:color w:val="000000" w:themeColor="text1"/>
        </w:rPr>
        <w:t>ID</w:t>
      </w:r>
      <w:r w:rsidR="00A9345A">
        <w:rPr>
          <w:b/>
          <w:color w:val="000000" w:themeColor="text1"/>
        </w:rPr>
        <w:t>:</w:t>
      </w:r>
      <w:r w:rsidR="00554C9D">
        <w:rPr>
          <w:b/>
          <w:color w:val="000000" w:themeColor="text1"/>
        </w:rPr>
        <w:t>2215417</w:t>
      </w:r>
    </w:p>
    <w:p w14:paraId="1C6FCDE3" w14:textId="4721BCCE" w:rsidR="00A9345A" w:rsidRPr="00A175A3" w:rsidRDefault="00A9345A">
      <w:pPr>
        <w:spacing w:line="259" w:lineRule="auto"/>
        <w:jc w:val="center"/>
        <w:rPr>
          <w:b/>
          <w:color w:val="000000" w:themeColor="text1"/>
        </w:rPr>
      </w:pPr>
      <w:r>
        <w:rPr>
          <w:b/>
          <w:color w:val="000000" w:themeColor="text1"/>
        </w:rPr>
        <w:t xml:space="preserve">Student name:Florin Vasilica Mecic </w:t>
      </w:r>
    </w:p>
    <w:p w14:paraId="26014252" w14:textId="7CA8D292" w:rsidR="00891C82" w:rsidRPr="00A175A3" w:rsidRDefault="00891C82">
      <w:pPr>
        <w:spacing w:line="259" w:lineRule="auto"/>
        <w:jc w:val="center"/>
        <w:rPr>
          <w:color w:val="000000" w:themeColor="text1"/>
        </w:rPr>
      </w:pPr>
    </w:p>
    <w:p w14:paraId="1959FA1D" w14:textId="77777777" w:rsidR="00891C82" w:rsidRPr="00A175A3" w:rsidRDefault="00891C82">
      <w:pPr>
        <w:spacing w:line="259" w:lineRule="auto"/>
        <w:jc w:val="left"/>
        <w:rPr>
          <w:color w:val="000000" w:themeColor="text1"/>
        </w:rPr>
      </w:pPr>
    </w:p>
    <w:p w14:paraId="2BDCF876" w14:textId="77777777" w:rsidR="00891C82" w:rsidRPr="00A175A3" w:rsidRDefault="00891C82">
      <w:pPr>
        <w:spacing w:line="259" w:lineRule="auto"/>
        <w:jc w:val="left"/>
        <w:rPr>
          <w:color w:val="000000" w:themeColor="text1"/>
        </w:rPr>
      </w:pPr>
    </w:p>
    <w:p w14:paraId="57349D1C" w14:textId="77777777" w:rsidR="00891C82" w:rsidRPr="00A175A3" w:rsidRDefault="00891C82">
      <w:pPr>
        <w:spacing w:line="259" w:lineRule="auto"/>
        <w:jc w:val="left"/>
        <w:rPr>
          <w:color w:val="000000" w:themeColor="text1"/>
        </w:rPr>
      </w:pPr>
    </w:p>
    <w:p w14:paraId="187C17A3" w14:textId="77777777" w:rsidR="00891C82" w:rsidRPr="00A175A3" w:rsidRDefault="00891C82">
      <w:pPr>
        <w:spacing w:line="259" w:lineRule="auto"/>
        <w:jc w:val="left"/>
        <w:rPr>
          <w:color w:val="000000" w:themeColor="text1"/>
        </w:rPr>
      </w:pPr>
    </w:p>
    <w:p w14:paraId="6BA3813C" w14:textId="77777777" w:rsidR="00891C82" w:rsidRPr="00A175A3" w:rsidRDefault="00891C82">
      <w:pPr>
        <w:spacing w:line="259" w:lineRule="auto"/>
        <w:jc w:val="left"/>
        <w:rPr>
          <w:color w:val="000000" w:themeColor="text1"/>
        </w:rPr>
      </w:pPr>
    </w:p>
    <w:p w14:paraId="7AA1BD66" w14:textId="77777777" w:rsidR="00891C82" w:rsidRPr="00A175A3" w:rsidRDefault="00891C82">
      <w:pPr>
        <w:spacing w:line="259" w:lineRule="auto"/>
        <w:jc w:val="left"/>
        <w:rPr>
          <w:color w:val="000000" w:themeColor="text1"/>
        </w:rPr>
      </w:pPr>
    </w:p>
    <w:p w14:paraId="29EBF3C2" w14:textId="77777777" w:rsidR="00891C82" w:rsidRPr="00A175A3" w:rsidRDefault="00891C82">
      <w:pPr>
        <w:spacing w:line="259" w:lineRule="auto"/>
        <w:jc w:val="left"/>
        <w:rPr>
          <w:color w:val="000000" w:themeColor="text1"/>
        </w:rPr>
      </w:pPr>
    </w:p>
    <w:p w14:paraId="5BF31D23" w14:textId="77777777" w:rsidR="00891C82" w:rsidRPr="00A175A3" w:rsidRDefault="00891C82">
      <w:pPr>
        <w:spacing w:line="259" w:lineRule="auto"/>
        <w:jc w:val="left"/>
        <w:rPr>
          <w:color w:val="000000" w:themeColor="text1"/>
        </w:rPr>
      </w:pPr>
    </w:p>
    <w:p w14:paraId="18B1A261" w14:textId="77777777" w:rsidR="00891C82" w:rsidRPr="00A175A3" w:rsidRDefault="00891C82">
      <w:pPr>
        <w:spacing w:line="259" w:lineRule="auto"/>
        <w:jc w:val="left"/>
        <w:rPr>
          <w:color w:val="000000" w:themeColor="text1"/>
        </w:rPr>
      </w:pPr>
    </w:p>
    <w:p w14:paraId="0C2DC59C" w14:textId="76B2B942" w:rsidR="00891C82" w:rsidRPr="00A9345A" w:rsidRDefault="00891C82" w:rsidP="00A9345A">
      <w:pPr>
        <w:spacing w:line="259" w:lineRule="auto"/>
        <w:jc w:val="center"/>
        <w:rPr>
          <w:b/>
          <w:color w:val="000000" w:themeColor="text1"/>
        </w:rPr>
      </w:pPr>
    </w:p>
    <w:p w14:paraId="530296B0" w14:textId="77777777" w:rsidR="00891C82" w:rsidRPr="00A175A3" w:rsidRDefault="007A462F">
      <w:pPr>
        <w:jc w:val="center"/>
        <w:rPr>
          <w:color w:val="000000" w:themeColor="text1"/>
        </w:rPr>
      </w:pPr>
      <w:r w:rsidRPr="00A175A3">
        <w:rPr>
          <w:color w:val="000000" w:themeColor="text1"/>
        </w:rPr>
        <w:lastRenderedPageBreak/>
        <w:t>Contents</w:t>
      </w:r>
    </w:p>
    <w:sdt>
      <w:sdtPr>
        <w:rPr>
          <w:color w:val="000000" w:themeColor="text1"/>
        </w:rPr>
        <w:id w:val="2054889320"/>
        <w:docPartObj>
          <w:docPartGallery w:val="Table of Contents"/>
          <w:docPartUnique/>
        </w:docPartObj>
      </w:sdtPr>
      <w:sdtEndPr/>
      <w:sdtContent>
        <w:p w14:paraId="255BAD70" w14:textId="77777777" w:rsidR="00891C82" w:rsidRPr="00A175A3" w:rsidRDefault="007A462F">
          <w:pPr>
            <w:pBdr>
              <w:top w:val="nil"/>
              <w:left w:val="nil"/>
              <w:bottom w:val="nil"/>
              <w:right w:val="nil"/>
              <w:between w:val="nil"/>
            </w:pBdr>
            <w:tabs>
              <w:tab w:val="left" w:pos="480"/>
              <w:tab w:val="right" w:leader="dot" w:pos="9350"/>
            </w:tabs>
            <w:spacing w:after="100"/>
            <w:rPr>
              <w:color w:val="000000" w:themeColor="text1"/>
            </w:rPr>
          </w:pPr>
          <w:r w:rsidRPr="00A175A3">
            <w:rPr>
              <w:color w:val="000000" w:themeColor="text1"/>
            </w:rPr>
            <w:fldChar w:fldCharType="begin"/>
          </w:r>
          <w:r w:rsidRPr="00A175A3">
            <w:rPr>
              <w:color w:val="000000" w:themeColor="text1"/>
            </w:rPr>
            <w:instrText xml:space="preserve"> TOC \h \u \z \t "Heading 1,1,Heading 2,2,Heading 3,3,"</w:instrText>
          </w:r>
          <w:r w:rsidRPr="00A175A3">
            <w:rPr>
              <w:color w:val="000000" w:themeColor="text1"/>
            </w:rPr>
            <w:fldChar w:fldCharType="separate"/>
          </w:r>
          <w:hyperlink w:anchor="_gjdgxs">
            <w:r w:rsidRPr="00A175A3">
              <w:rPr>
                <w:color w:val="000000" w:themeColor="text1"/>
              </w:rPr>
              <w:t>1.</w:t>
            </w:r>
            <w:r w:rsidRPr="00A175A3">
              <w:rPr>
                <w:color w:val="000000" w:themeColor="text1"/>
              </w:rPr>
              <w:tab/>
              <w:t>Introduction</w:t>
            </w:r>
            <w:r w:rsidRPr="00A175A3">
              <w:rPr>
                <w:color w:val="000000" w:themeColor="text1"/>
              </w:rPr>
              <w:tab/>
              <w:t>4</w:t>
            </w:r>
          </w:hyperlink>
        </w:p>
        <w:p w14:paraId="491970D0" w14:textId="77777777" w:rsidR="00891C82" w:rsidRPr="00A175A3" w:rsidRDefault="007A462F">
          <w:pPr>
            <w:pBdr>
              <w:top w:val="nil"/>
              <w:left w:val="nil"/>
              <w:bottom w:val="nil"/>
              <w:right w:val="nil"/>
              <w:between w:val="nil"/>
            </w:pBdr>
            <w:tabs>
              <w:tab w:val="left" w:pos="480"/>
              <w:tab w:val="right" w:leader="dot" w:pos="9350"/>
            </w:tabs>
            <w:spacing w:after="100"/>
            <w:rPr>
              <w:color w:val="000000" w:themeColor="text1"/>
            </w:rPr>
          </w:pPr>
          <w:hyperlink w:anchor="_30j0zll">
            <w:r w:rsidRPr="00A175A3">
              <w:rPr>
                <w:color w:val="000000" w:themeColor="text1"/>
              </w:rPr>
              <w:t>2.</w:t>
            </w:r>
            <w:r w:rsidRPr="00A175A3">
              <w:rPr>
                <w:color w:val="000000" w:themeColor="text1"/>
              </w:rPr>
              <w:tab/>
              <w:t>Event Cycle</w:t>
            </w:r>
            <w:r w:rsidRPr="00A175A3">
              <w:rPr>
                <w:color w:val="000000" w:themeColor="text1"/>
              </w:rPr>
              <w:tab/>
              <w:t>4</w:t>
            </w:r>
          </w:hyperlink>
        </w:p>
        <w:p w14:paraId="7009AE35" w14:textId="77777777" w:rsidR="00891C82" w:rsidRPr="00A175A3" w:rsidRDefault="007A462F">
          <w:pPr>
            <w:pBdr>
              <w:top w:val="nil"/>
              <w:left w:val="nil"/>
              <w:bottom w:val="nil"/>
              <w:right w:val="nil"/>
              <w:between w:val="nil"/>
            </w:pBdr>
            <w:tabs>
              <w:tab w:val="left" w:pos="480"/>
              <w:tab w:val="right" w:leader="dot" w:pos="9350"/>
            </w:tabs>
            <w:spacing w:after="100"/>
            <w:rPr>
              <w:color w:val="000000" w:themeColor="text1"/>
            </w:rPr>
          </w:pPr>
          <w:hyperlink w:anchor="_1fob9te">
            <w:r w:rsidRPr="00A175A3">
              <w:rPr>
                <w:color w:val="000000" w:themeColor="text1"/>
              </w:rPr>
              <w:t>3.</w:t>
            </w:r>
            <w:r w:rsidRPr="00A175A3">
              <w:rPr>
                <w:color w:val="000000" w:themeColor="text1"/>
              </w:rPr>
              <w:tab/>
              <w:t>Event Concept</w:t>
            </w:r>
            <w:r w:rsidRPr="00A175A3">
              <w:rPr>
                <w:color w:val="000000" w:themeColor="text1"/>
              </w:rPr>
              <w:tab/>
              <w:t>4</w:t>
            </w:r>
          </w:hyperlink>
        </w:p>
        <w:p w14:paraId="3E6D0E81" w14:textId="77777777" w:rsidR="00891C82" w:rsidRPr="00A175A3" w:rsidRDefault="007A462F">
          <w:pPr>
            <w:pBdr>
              <w:top w:val="nil"/>
              <w:left w:val="nil"/>
              <w:bottom w:val="nil"/>
              <w:right w:val="nil"/>
              <w:between w:val="nil"/>
            </w:pBdr>
            <w:tabs>
              <w:tab w:val="left" w:pos="480"/>
              <w:tab w:val="right" w:leader="dot" w:pos="9350"/>
            </w:tabs>
            <w:spacing w:after="100"/>
            <w:rPr>
              <w:color w:val="000000" w:themeColor="text1"/>
            </w:rPr>
          </w:pPr>
          <w:hyperlink w:anchor="_3znysh7">
            <w:r w:rsidRPr="00A175A3">
              <w:rPr>
                <w:color w:val="000000" w:themeColor="text1"/>
              </w:rPr>
              <w:t>4.</w:t>
            </w:r>
            <w:r w:rsidRPr="00A175A3">
              <w:rPr>
                <w:color w:val="000000" w:themeColor="text1"/>
              </w:rPr>
              <w:tab/>
              <w:t>Aims and Objectives</w:t>
            </w:r>
            <w:r w:rsidRPr="00A175A3">
              <w:rPr>
                <w:color w:val="000000" w:themeColor="text1"/>
              </w:rPr>
              <w:tab/>
              <w:t>5</w:t>
            </w:r>
          </w:hyperlink>
        </w:p>
        <w:p w14:paraId="78D2503D" w14:textId="77777777" w:rsidR="00891C82" w:rsidRPr="00A175A3" w:rsidRDefault="007A462F">
          <w:pPr>
            <w:pBdr>
              <w:top w:val="nil"/>
              <w:left w:val="nil"/>
              <w:bottom w:val="nil"/>
              <w:right w:val="nil"/>
              <w:between w:val="nil"/>
            </w:pBdr>
            <w:tabs>
              <w:tab w:val="left" w:pos="480"/>
              <w:tab w:val="right" w:leader="dot" w:pos="9350"/>
            </w:tabs>
            <w:spacing w:after="100"/>
            <w:rPr>
              <w:color w:val="000000" w:themeColor="text1"/>
            </w:rPr>
          </w:pPr>
          <w:hyperlink w:anchor="_2et92p0">
            <w:r w:rsidRPr="00A175A3">
              <w:rPr>
                <w:color w:val="000000" w:themeColor="text1"/>
              </w:rPr>
              <w:t>5.</w:t>
            </w:r>
            <w:r w:rsidRPr="00A175A3">
              <w:rPr>
                <w:color w:val="000000" w:themeColor="text1"/>
              </w:rPr>
              <w:tab/>
              <w:t>Event Management</w:t>
            </w:r>
            <w:r w:rsidRPr="00A175A3">
              <w:rPr>
                <w:color w:val="000000" w:themeColor="text1"/>
              </w:rPr>
              <w:tab/>
              <w:t>6</w:t>
            </w:r>
          </w:hyperlink>
        </w:p>
        <w:p w14:paraId="375D2B26" w14:textId="77777777" w:rsidR="00891C82" w:rsidRPr="00A175A3" w:rsidRDefault="007A462F">
          <w:pPr>
            <w:pBdr>
              <w:top w:val="nil"/>
              <w:left w:val="nil"/>
              <w:bottom w:val="nil"/>
              <w:right w:val="nil"/>
              <w:between w:val="nil"/>
            </w:pBdr>
            <w:tabs>
              <w:tab w:val="left" w:pos="480"/>
              <w:tab w:val="right" w:leader="dot" w:pos="9350"/>
            </w:tabs>
            <w:spacing w:after="100"/>
            <w:rPr>
              <w:color w:val="000000" w:themeColor="text1"/>
            </w:rPr>
          </w:pPr>
          <w:hyperlink w:anchor="_tyjcwt">
            <w:r w:rsidRPr="00A175A3">
              <w:rPr>
                <w:color w:val="000000" w:themeColor="text1"/>
              </w:rPr>
              <w:t>6.</w:t>
            </w:r>
            <w:r w:rsidRPr="00A175A3">
              <w:rPr>
                <w:color w:val="000000" w:themeColor="text1"/>
              </w:rPr>
              <w:tab/>
              <w:t>Event Budget</w:t>
            </w:r>
            <w:r w:rsidRPr="00A175A3">
              <w:rPr>
                <w:color w:val="000000" w:themeColor="text1"/>
              </w:rPr>
              <w:tab/>
              <w:t>7</w:t>
            </w:r>
          </w:hyperlink>
        </w:p>
        <w:p w14:paraId="0C4D155E" w14:textId="77777777" w:rsidR="00891C82" w:rsidRPr="00A175A3" w:rsidRDefault="007A462F">
          <w:pPr>
            <w:pBdr>
              <w:top w:val="nil"/>
              <w:left w:val="nil"/>
              <w:bottom w:val="nil"/>
              <w:right w:val="nil"/>
              <w:between w:val="nil"/>
            </w:pBdr>
            <w:tabs>
              <w:tab w:val="left" w:pos="480"/>
              <w:tab w:val="right" w:leader="dot" w:pos="9350"/>
            </w:tabs>
            <w:spacing w:after="100"/>
            <w:rPr>
              <w:color w:val="000000" w:themeColor="text1"/>
            </w:rPr>
          </w:pPr>
          <w:hyperlink w:anchor="_3dy6vkm">
            <w:r w:rsidRPr="00A175A3">
              <w:rPr>
                <w:color w:val="000000" w:themeColor="text1"/>
              </w:rPr>
              <w:t>7.</w:t>
            </w:r>
            <w:r w:rsidRPr="00A175A3">
              <w:rPr>
                <w:color w:val="000000" w:themeColor="text1"/>
              </w:rPr>
              <w:tab/>
              <w:t>Industry Trends / Issues / Impacts</w:t>
            </w:r>
            <w:r w:rsidRPr="00A175A3">
              <w:rPr>
                <w:color w:val="000000" w:themeColor="text1"/>
              </w:rPr>
              <w:tab/>
              <w:t>8</w:t>
            </w:r>
          </w:hyperlink>
        </w:p>
        <w:p w14:paraId="04397259" w14:textId="77777777" w:rsidR="00891C82" w:rsidRPr="00A175A3" w:rsidRDefault="007A462F">
          <w:pPr>
            <w:pBdr>
              <w:top w:val="nil"/>
              <w:left w:val="nil"/>
              <w:bottom w:val="nil"/>
              <w:right w:val="nil"/>
              <w:between w:val="nil"/>
            </w:pBdr>
            <w:tabs>
              <w:tab w:val="left" w:pos="480"/>
              <w:tab w:val="right" w:leader="dot" w:pos="9350"/>
            </w:tabs>
            <w:spacing w:after="100"/>
            <w:rPr>
              <w:color w:val="000000" w:themeColor="text1"/>
            </w:rPr>
          </w:pPr>
          <w:hyperlink w:anchor="_1t3h5sf">
            <w:r w:rsidRPr="00A175A3">
              <w:rPr>
                <w:color w:val="000000" w:themeColor="text1"/>
              </w:rPr>
              <w:t>8.</w:t>
            </w:r>
            <w:r w:rsidRPr="00A175A3">
              <w:rPr>
                <w:color w:val="000000" w:themeColor="text1"/>
              </w:rPr>
              <w:tab/>
              <w:t>Situational and Cultural Considerations</w:t>
            </w:r>
            <w:r w:rsidRPr="00A175A3">
              <w:rPr>
                <w:color w:val="000000" w:themeColor="text1"/>
              </w:rPr>
              <w:tab/>
              <w:t>9</w:t>
            </w:r>
          </w:hyperlink>
        </w:p>
        <w:p w14:paraId="2AE4607A" w14:textId="77777777" w:rsidR="00891C82" w:rsidRPr="00A175A3" w:rsidRDefault="007A462F">
          <w:pPr>
            <w:rPr>
              <w:color w:val="000000" w:themeColor="text1"/>
            </w:rPr>
          </w:pPr>
          <w:r w:rsidRPr="00A175A3">
            <w:rPr>
              <w:color w:val="000000" w:themeColor="text1"/>
            </w:rPr>
            <w:fldChar w:fldCharType="end"/>
          </w:r>
        </w:p>
      </w:sdtContent>
    </w:sdt>
    <w:p w14:paraId="1655FF3D" w14:textId="77777777" w:rsidR="00891C82" w:rsidRPr="00A175A3" w:rsidRDefault="00891C82">
      <w:pPr>
        <w:spacing w:line="259" w:lineRule="auto"/>
        <w:jc w:val="left"/>
        <w:rPr>
          <w:color w:val="000000" w:themeColor="text1"/>
        </w:rPr>
      </w:pPr>
    </w:p>
    <w:p w14:paraId="7C2D959B" w14:textId="77777777" w:rsidR="00891C82" w:rsidRPr="00A175A3" w:rsidRDefault="007A462F">
      <w:pPr>
        <w:jc w:val="center"/>
        <w:rPr>
          <w:b/>
          <w:color w:val="000000" w:themeColor="text1"/>
        </w:rPr>
      </w:pPr>
      <w:r w:rsidRPr="00A175A3">
        <w:rPr>
          <w:color w:val="000000" w:themeColor="text1"/>
        </w:rPr>
        <w:br w:type="page"/>
      </w:r>
    </w:p>
    <w:p w14:paraId="7BD16253" w14:textId="77777777" w:rsidR="00891C82" w:rsidRPr="00A175A3" w:rsidRDefault="007A462F" w:rsidP="00036730">
      <w:pPr>
        <w:pStyle w:val="Titlu1"/>
        <w:numPr>
          <w:ilvl w:val="0"/>
          <w:numId w:val="2"/>
        </w:numPr>
        <w:rPr>
          <w:rFonts w:ascii="Times New Roman" w:hAnsi="Times New Roman" w:cs="Times New Roman"/>
          <w:color w:val="000000" w:themeColor="text1"/>
        </w:rPr>
      </w:pPr>
      <w:bookmarkStart w:id="0" w:name="_gjdgxs" w:colFirst="0" w:colLast="0"/>
      <w:bookmarkEnd w:id="0"/>
      <w:r w:rsidRPr="00A175A3">
        <w:rPr>
          <w:rFonts w:ascii="Times New Roman" w:hAnsi="Times New Roman" w:cs="Times New Roman"/>
          <w:color w:val="000000" w:themeColor="text1"/>
        </w:rPr>
        <w:lastRenderedPageBreak/>
        <w:t xml:space="preserve">Introduction </w:t>
      </w:r>
    </w:p>
    <w:p w14:paraId="2AB6167F"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Tech Winter Conclave is a unique event aimed at network technology leaders, innovators, and business professionals for a mark making of technological advancements. Taking place against a backdrop of winter, the event, which features a seasonal theme, underlines the forward looking nature of the technology industry. The venue, as known for its architectural significance and state of the art facilities for hosting large scale, high tech events is the Barbican Centre in London. The conclave targets technology entrepreneurs and industry pioneers, organisational leaders and aims to create a platform for networking, knowledge sharing and collaborative innovation (Fazaeil et al., 2020). As speakers, attendees can expect a value added programme of presentations on bleeding edge technology, workshops to actively learn about how to implement the same, and establishing strategic partnerships. This will provide fits the winter theme throughout the event’s atmosphere and design for the better atmosphere because is the winter theme.</w:t>
      </w:r>
    </w:p>
    <w:p w14:paraId="2689C1DB" w14:textId="77777777" w:rsidR="007A462F" w:rsidRPr="00A175A3" w:rsidRDefault="007A462F" w:rsidP="00117815">
      <w:pPr>
        <w:jc w:val="center"/>
        <w:rPr>
          <w:rFonts w:ascii="Times New Roman" w:hAnsi="Times New Roman" w:cs="Times New Roman"/>
          <w:color w:val="000000" w:themeColor="text1"/>
        </w:rPr>
      </w:pPr>
      <w:r w:rsidRPr="00A175A3">
        <w:rPr>
          <w:rFonts w:ascii="Times New Roman" w:hAnsi="Times New Roman" w:cs="Times New Roman"/>
          <w:noProof/>
          <w:color w:val="000000" w:themeColor="text1"/>
          <w:lang w:val="en-US" w:eastAsia="en-US"/>
        </w:rPr>
        <w:drawing>
          <wp:inline distT="0" distB="0" distL="0" distR="0" wp14:anchorId="6770EDB0" wp14:editId="49102A46">
            <wp:extent cx="3600000" cy="3600000"/>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00000" cy="3600000"/>
                    </a:xfrm>
                    <a:prstGeom prst="rect">
                      <a:avLst/>
                    </a:prstGeom>
                  </pic:spPr>
                </pic:pic>
              </a:graphicData>
            </a:graphic>
          </wp:inline>
        </w:drawing>
      </w:r>
    </w:p>
    <w:p w14:paraId="0DDEBF7C" w14:textId="77777777" w:rsidR="00A428BE" w:rsidRPr="00A175A3" w:rsidRDefault="00A428BE" w:rsidP="00036730">
      <w:pPr>
        <w:pStyle w:val="Legend"/>
        <w:spacing w:line="360" w:lineRule="auto"/>
        <w:jc w:val="center"/>
        <w:rPr>
          <w:rFonts w:ascii="Times New Roman" w:hAnsi="Times New Roman" w:cs="Times New Roman"/>
          <w:color w:val="000000" w:themeColor="text1"/>
          <w:sz w:val="24"/>
          <w:szCs w:val="24"/>
        </w:rPr>
      </w:pPr>
      <w:r w:rsidRPr="00A175A3">
        <w:rPr>
          <w:rFonts w:ascii="Times New Roman" w:hAnsi="Times New Roman" w:cs="Times New Roman"/>
          <w:color w:val="000000" w:themeColor="text1"/>
          <w:sz w:val="24"/>
          <w:szCs w:val="24"/>
        </w:rPr>
        <w:t xml:space="preserve">Figure </w:t>
      </w:r>
      <w:r w:rsidR="00A175A3" w:rsidRPr="00A175A3">
        <w:rPr>
          <w:rFonts w:ascii="Times New Roman" w:hAnsi="Times New Roman" w:cs="Times New Roman"/>
          <w:noProof/>
          <w:color w:val="000000" w:themeColor="text1"/>
          <w:sz w:val="24"/>
          <w:szCs w:val="24"/>
        </w:rPr>
        <w:fldChar w:fldCharType="begin"/>
      </w:r>
      <w:r w:rsidR="00A175A3" w:rsidRPr="00A175A3">
        <w:rPr>
          <w:rFonts w:ascii="Times New Roman" w:hAnsi="Times New Roman" w:cs="Times New Roman"/>
          <w:noProof/>
          <w:color w:val="000000" w:themeColor="text1"/>
          <w:sz w:val="24"/>
          <w:szCs w:val="24"/>
        </w:rPr>
        <w:instrText xml:space="preserve"> SEQ Figure \* ARABIC </w:instrText>
      </w:r>
      <w:r w:rsidR="00A175A3" w:rsidRPr="00A175A3">
        <w:rPr>
          <w:rFonts w:ascii="Times New Roman" w:hAnsi="Times New Roman" w:cs="Times New Roman"/>
          <w:noProof/>
          <w:color w:val="000000" w:themeColor="text1"/>
          <w:sz w:val="24"/>
          <w:szCs w:val="24"/>
        </w:rPr>
        <w:fldChar w:fldCharType="separate"/>
      </w:r>
      <w:r w:rsidRPr="00A175A3">
        <w:rPr>
          <w:rFonts w:ascii="Times New Roman" w:hAnsi="Times New Roman" w:cs="Times New Roman"/>
          <w:noProof/>
          <w:color w:val="000000" w:themeColor="text1"/>
          <w:sz w:val="24"/>
          <w:szCs w:val="24"/>
        </w:rPr>
        <w:t>1</w:t>
      </w:r>
      <w:r w:rsidR="00A175A3" w:rsidRPr="00A175A3">
        <w:rPr>
          <w:rFonts w:ascii="Times New Roman" w:hAnsi="Times New Roman" w:cs="Times New Roman"/>
          <w:noProof/>
          <w:color w:val="000000" w:themeColor="text1"/>
          <w:sz w:val="24"/>
          <w:szCs w:val="24"/>
        </w:rPr>
        <w:fldChar w:fldCharType="end"/>
      </w:r>
      <w:r w:rsidRPr="00A175A3">
        <w:rPr>
          <w:rFonts w:ascii="Times New Roman" w:hAnsi="Times New Roman" w:cs="Times New Roman"/>
          <w:color w:val="000000" w:themeColor="text1"/>
          <w:sz w:val="24"/>
          <w:szCs w:val="24"/>
        </w:rPr>
        <w:t>: Tech Winter Conclave Event</w:t>
      </w:r>
    </w:p>
    <w:p w14:paraId="3564B21E" w14:textId="77777777" w:rsidR="00891C82" w:rsidRPr="00A175A3" w:rsidRDefault="007A462F" w:rsidP="00036730">
      <w:pPr>
        <w:pStyle w:val="Titlu1"/>
        <w:numPr>
          <w:ilvl w:val="0"/>
          <w:numId w:val="2"/>
        </w:numPr>
        <w:rPr>
          <w:rFonts w:ascii="Times New Roman" w:hAnsi="Times New Roman" w:cs="Times New Roman"/>
          <w:color w:val="000000" w:themeColor="text1"/>
        </w:rPr>
      </w:pPr>
      <w:bookmarkStart w:id="1" w:name="_30j0zll" w:colFirst="0" w:colLast="0"/>
      <w:bookmarkEnd w:id="1"/>
      <w:r w:rsidRPr="00A175A3">
        <w:rPr>
          <w:rFonts w:ascii="Times New Roman" w:hAnsi="Times New Roman" w:cs="Times New Roman"/>
          <w:color w:val="000000" w:themeColor="text1"/>
        </w:rPr>
        <w:t xml:space="preserve">Event Cycle </w:t>
      </w:r>
    </w:p>
    <w:p w14:paraId="7311F9F8"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 xml:space="preserve">The Event Cycle is a strategic frame work to define event planing, execution and evaluation in a manner for achieving a successful event. When applied to TechWinter Conclave, the Event Cycle </w:t>
      </w:r>
      <w:r w:rsidRPr="00A175A3">
        <w:rPr>
          <w:rFonts w:ascii="Times New Roman" w:hAnsi="Times New Roman" w:cs="Times New Roman"/>
          <w:color w:val="000000" w:themeColor="text1"/>
        </w:rPr>
        <w:lastRenderedPageBreak/>
        <w:t>starts with the Planning Stage wherein objectives are set, the target audience is determined and the venue (Barbican Centre in London) is booked. Logistical arrangements include selection of vendors for high tech equipment and working with staff who understand how to manage and support an event (Fox et al., 2014). Implementation Stage, after planning, involves setup for an event and real time management. It goes from organising the venue, setting up the audiovisual systems, and making sure there is proper allocation of resources so that there is no hitch in the experience for attendees (</w:t>
      </w:r>
      <w:r w:rsidRPr="00A175A3">
        <w:rPr>
          <w:rFonts w:ascii="Times New Roman" w:eastAsia="Times New Roman" w:hAnsi="Times New Roman" w:cs="Times New Roman"/>
          <w:color w:val="000000" w:themeColor="text1"/>
        </w:rPr>
        <w:t>Xie, 2023)</w:t>
      </w:r>
      <w:r w:rsidRPr="00A175A3">
        <w:rPr>
          <w:rFonts w:ascii="Times New Roman" w:hAnsi="Times New Roman" w:cs="Times New Roman"/>
          <w:color w:val="000000" w:themeColor="text1"/>
        </w:rPr>
        <w:t>. At an event, there’s a dedicated team of ops that keeps their ear on every immediate need to pull out the highest level of interactions and the least amount of hands on deck (Liao and Dai, 2020). The final of the Sequence – the Evaluation Stage, examines how the event has impacted, and takes feedback from participants and looks at key performance indicators such as audience size, engagement levels and money generated (Koutrou and Berber, 2021). However, insights gained during evaluation enable us to shape strategies and thus learn from TechWinter Conclaves. This is a cyclical method that guarantees to satisfy but also exceed the expectations of the attendees and stakeholders.</w:t>
      </w:r>
    </w:p>
    <w:p w14:paraId="13AF8D77" w14:textId="77777777" w:rsidR="007A462F"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However, before we focus on the primary stages of the Event Cycle, risk management and contingency planning should be regarded as belonging to the event strategy. In some cases, risks are threats that may threaten the success of an event through technical breakdowns, adverse weather factor, or any other challenge that may crop up (Rogers and Wynn-Moylan, 2022). That is why during the planning stage of the event, potential risks should be evaluated carefully and further measures should be taken to minimize or neutralized their impact. For instance, it is possible to have substitute sound and video equipment, and other forms of transport for the participants may help reduce such a situation (Allen et al., 2022). Additionally, use of sustainable practices like non-generation of waste, and use of friendly environmentally friendly material increases the attractiveness of the event and the increasing sensitivity among the stakeholders towards the environment (Rubinger et al., 2020). This makes sure the TechWinter Conclave not only has a good performance in implementation, but also sustainable and sensitive to the audience’s demands, enabling the achievement of a favourable image and greater attendees next time.</w:t>
      </w:r>
    </w:p>
    <w:p w14:paraId="50D2D723" w14:textId="77777777" w:rsidR="00891C82" w:rsidRPr="00A175A3" w:rsidRDefault="007A462F" w:rsidP="00036730">
      <w:pPr>
        <w:pStyle w:val="Titlu1"/>
        <w:numPr>
          <w:ilvl w:val="0"/>
          <w:numId w:val="2"/>
        </w:numPr>
        <w:rPr>
          <w:rFonts w:ascii="Times New Roman" w:hAnsi="Times New Roman" w:cs="Times New Roman"/>
          <w:color w:val="000000" w:themeColor="text1"/>
        </w:rPr>
      </w:pPr>
      <w:bookmarkStart w:id="2" w:name="_1fob9te" w:colFirst="0" w:colLast="0"/>
      <w:bookmarkEnd w:id="2"/>
      <w:r w:rsidRPr="00A175A3">
        <w:rPr>
          <w:rFonts w:ascii="Times New Roman" w:hAnsi="Times New Roman" w:cs="Times New Roman"/>
          <w:color w:val="000000" w:themeColor="text1"/>
        </w:rPr>
        <w:t xml:space="preserve">Event Concept </w:t>
      </w:r>
    </w:p>
    <w:p w14:paraId="43942970"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 xml:space="preserve">Given the mix of techno innovation and a winter themed event, TechWinter Conclave is designed to be an immersive experience for delegates. From the minute that attendees walk into the Barbican </w:t>
      </w:r>
      <w:r w:rsidRPr="00A175A3">
        <w:rPr>
          <w:rFonts w:ascii="Times New Roman" w:hAnsi="Times New Roman" w:cs="Times New Roman"/>
          <w:color w:val="000000" w:themeColor="text1"/>
        </w:rPr>
        <w:lastRenderedPageBreak/>
        <w:t>Centre they will be embraced by an elegant winter ambiance replete with embellished decor and lighting that will align with the spirit of the season for initial business and creative exchange. The day starts off with an exclusive networking session and allows technology leaders, entrepreneurs as well as innovators to network in a relaxed, yet dynamic environment (</w:t>
      </w:r>
      <w:r w:rsidRPr="00A175A3">
        <w:rPr>
          <w:rFonts w:ascii="Times New Roman" w:eastAsia="Times New Roman" w:hAnsi="Times New Roman" w:cs="Times New Roman"/>
          <w:color w:val="000000" w:themeColor="text1"/>
        </w:rPr>
        <w:t>O’Toole, 2011)</w:t>
      </w:r>
      <w:r w:rsidRPr="00A175A3">
        <w:rPr>
          <w:rFonts w:ascii="Times New Roman" w:hAnsi="Times New Roman" w:cs="Times New Roman"/>
          <w:color w:val="000000" w:themeColor="text1"/>
        </w:rPr>
        <w:t>. Collaborations and partnerships can be established during meaningful conversation that emerges during this session between delegates.</w:t>
      </w:r>
    </w:p>
    <w:p w14:paraId="260691B8" w14:textId="77777777" w:rsidR="00891C82" w:rsidRPr="00A175A3" w:rsidRDefault="007A462F" w:rsidP="00036730">
      <w:pPr>
        <w:keepNext/>
        <w:jc w:val="center"/>
        <w:rPr>
          <w:rFonts w:ascii="Times New Roman" w:hAnsi="Times New Roman" w:cs="Times New Roman"/>
          <w:color w:val="000000" w:themeColor="text1"/>
        </w:rPr>
      </w:pPr>
      <w:r w:rsidRPr="00A175A3">
        <w:rPr>
          <w:rFonts w:ascii="Times New Roman" w:hAnsi="Times New Roman" w:cs="Times New Roman"/>
          <w:noProof/>
          <w:color w:val="000000" w:themeColor="text1"/>
          <w:lang w:val="en-US" w:eastAsia="en-US"/>
        </w:rPr>
        <w:drawing>
          <wp:inline distT="0" distB="0" distL="0" distR="0" wp14:anchorId="36D39353" wp14:editId="6DC7AB98">
            <wp:extent cx="2569961" cy="2020277"/>
            <wp:effectExtent l="0" t="0" r="0" b="0"/>
            <wp:docPr id="1" name="image1.png" descr="Tech conclave - Presentation Gov"/>
            <wp:cNvGraphicFramePr/>
            <a:graphic xmlns:a="http://schemas.openxmlformats.org/drawingml/2006/main">
              <a:graphicData uri="http://schemas.openxmlformats.org/drawingml/2006/picture">
                <pic:pic xmlns:pic="http://schemas.openxmlformats.org/drawingml/2006/picture">
                  <pic:nvPicPr>
                    <pic:cNvPr id="0" name="image1.png" descr="Tech conclave - Presentation Gov"/>
                    <pic:cNvPicPr preferRelativeResize="0"/>
                  </pic:nvPicPr>
                  <pic:blipFill>
                    <a:blip r:embed="rId7"/>
                    <a:srcRect r="27860" b="2"/>
                    <a:stretch>
                      <a:fillRect/>
                    </a:stretch>
                  </pic:blipFill>
                  <pic:spPr>
                    <a:xfrm>
                      <a:off x="0" y="0"/>
                      <a:ext cx="2569961" cy="2020277"/>
                    </a:xfrm>
                    <a:prstGeom prst="rect">
                      <a:avLst/>
                    </a:prstGeom>
                    <a:ln/>
                  </pic:spPr>
                </pic:pic>
              </a:graphicData>
            </a:graphic>
          </wp:inline>
        </w:drawing>
      </w:r>
    </w:p>
    <w:p w14:paraId="65110620" w14:textId="77777777" w:rsidR="00891C82" w:rsidRPr="00A175A3" w:rsidRDefault="007A462F" w:rsidP="00036730">
      <w:pPr>
        <w:pBdr>
          <w:top w:val="nil"/>
          <w:left w:val="nil"/>
          <w:bottom w:val="nil"/>
          <w:right w:val="nil"/>
          <w:between w:val="nil"/>
        </w:pBdr>
        <w:spacing w:after="200"/>
        <w:jc w:val="center"/>
        <w:rPr>
          <w:rFonts w:ascii="Times New Roman" w:hAnsi="Times New Roman" w:cs="Times New Roman"/>
          <w:i/>
          <w:color w:val="000000" w:themeColor="text1"/>
        </w:rPr>
      </w:pPr>
      <w:r w:rsidRPr="00A175A3">
        <w:rPr>
          <w:rFonts w:ascii="Times New Roman" w:hAnsi="Times New Roman" w:cs="Times New Roman"/>
          <w:i/>
          <w:color w:val="000000" w:themeColor="text1"/>
        </w:rPr>
        <w:t>Figure 1: TechWinter Conclave</w:t>
      </w:r>
    </w:p>
    <w:p w14:paraId="5924E200"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Following networking, innovation sessions will be led by leading industry speakers and experts presenting on trending technology, disruptive digital solutions and future such as AI, blockchain and sustainable tech. The aim is to inspire new ideas and to enable delegates to think outside of customary lines of thought in their respective fields. Different to the session, interactive Q&amp;A within each session meaning that participants are able to join in directly with the speakers to be able to ask questions and get insight and share points of view with each other (Finkel and Platt, 2020). But the standout feature of the conclave is the technology showcase where they will get to hands on with the latest tech products and solutions (</w:t>
      </w:r>
      <w:r w:rsidRPr="00A175A3">
        <w:rPr>
          <w:rFonts w:ascii="Times New Roman" w:eastAsia="Times New Roman" w:hAnsi="Times New Roman" w:cs="Times New Roman"/>
          <w:color w:val="000000" w:themeColor="text1"/>
        </w:rPr>
        <w:t>Meredith, 2022)</w:t>
      </w:r>
      <w:r w:rsidRPr="00A175A3">
        <w:rPr>
          <w:rFonts w:ascii="Times New Roman" w:hAnsi="Times New Roman" w:cs="Times New Roman"/>
          <w:color w:val="000000" w:themeColor="text1"/>
        </w:rPr>
        <w:t>. This will allow delegates to discover revolutionary tools like augmented reality apps, IoT connectivity and data analytics platforms, and actually see how cutting edge technologies will affect our lives in the future (</w:t>
      </w:r>
      <w:r w:rsidRPr="00A175A3">
        <w:rPr>
          <w:rFonts w:ascii="Times New Roman" w:eastAsia="Times New Roman" w:hAnsi="Times New Roman" w:cs="Times New Roman"/>
          <w:color w:val="000000" w:themeColor="text1"/>
        </w:rPr>
        <w:t>Oevermann and Mieg¸ 2021)</w:t>
      </w:r>
      <w:r w:rsidRPr="00A175A3">
        <w:rPr>
          <w:rFonts w:ascii="Times New Roman" w:hAnsi="Times New Roman" w:cs="Times New Roman"/>
          <w:color w:val="000000" w:themeColor="text1"/>
        </w:rPr>
        <w:t>.</w:t>
      </w:r>
    </w:p>
    <w:p w14:paraId="76FEF4CF" w14:textId="77777777" w:rsidR="007A462F" w:rsidRPr="00A175A3" w:rsidRDefault="007A462F" w:rsidP="00DD318F">
      <w:pPr>
        <w:jc w:val="center"/>
        <w:rPr>
          <w:rFonts w:ascii="Times New Roman" w:hAnsi="Times New Roman" w:cs="Times New Roman"/>
          <w:color w:val="000000" w:themeColor="text1"/>
        </w:rPr>
      </w:pPr>
      <w:r w:rsidRPr="00A175A3">
        <w:rPr>
          <w:rFonts w:ascii="Times New Roman" w:hAnsi="Times New Roman" w:cs="Times New Roman"/>
          <w:noProof/>
          <w:color w:val="000000" w:themeColor="text1"/>
          <w:lang w:val="en-US" w:eastAsia="en-US"/>
        </w:rPr>
        <w:lastRenderedPageBreak/>
        <w:drawing>
          <wp:inline distT="0" distB="0" distL="0" distR="0" wp14:anchorId="200EDB42" wp14:editId="57B154D4">
            <wp:extent cx="3600000" cy="3600000"/>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00000" cy="3600000"/>
                    </a:xfrm>
                    <a:prstGeom prst="rect">
                      <a:avLst/>
                    </a:prstGeom>
                  </pic:spPr>
                </pic:pic>
              </a:graphicData>
            </a:graphic>
          </wp:inline>
        </w:drawing>
      </w:r>
    </w:p>
    <w:p w14:paraId="2E02AF19" w14:textId="77777777" w:rsidR="00A428BE" w:rsidRPr="00A175A3" w:rsidRDefault="00A428BE" w:rsidP="00036730">
      <w:pPr>
        <w:pStyle w:val="Legend"/>
        <w:spacing w:line="360" w:lineRule="auto"/>
        <w:jc w:val="center"/>
        <w:rPr>
          <w:rFonts w:ascii="Times New Roman" w:hAnsi="Times New Roman" w:cs="Times New Roman"/>
          <w:color w:val="000000" w:themeColor="text1"/>
          <w:sz w:val="24"/>
          <w:szCs w:val="24"/>
        </w:rPr>
      </w:pPr>
      <w:r w:rsidRPr="00A175A3">
        <w:rPr>
          <w:rFonts w:ascii="Times New Roman" w:hAnsi="Times New Roman" w:cs="Times New Roman"/>
          <w:color w:val="000000" w:themeColor="text1"/>
          <w:sz w:val="24"/>
          <w:szCs w:val="24"/>
        </w:rPr>
        <w:t xml:space="preserve">Figure </w:t>
      </w:r>
      <w:r w:rsidR="00A175A3" w:rsidRPr="00A175A3">
        <w:rPr>
          <w:rFonts w:ascii="Times New Roman" w:hAnsi="Times New Roman" w:cs="Times New Roman"/>
          <w:noProof/>
          <w:color w:val="000000" w:themeColor="text1"/>
          <w:sz w:val="24"/>
          <w:szCs w:val="24"/>
        </w:rPr>
        <w:fldChar w:fldCharType="begin"/>
      </w:r>
      <w:r w:rsidR="00A175A3" w:rsidRPr="00A175A3">
        <w:rPr>
          <w:rFonts w:ascii="Times New Roman" w:hAnsi="Times New Roman" w:cs="Times New Roman"/>
          <w:noProof/>
          <w:color w:val="000000" w:themeColor="text1"/>
          <w:sz w:val="24"/>
          <w:szCs w:val="24"/>
        </w:rPr>
        <w:instrText xml:space="preserve"> SEQ Figure \* ARABIC </w:instrText>
      </w:r>
      <w:r w:rsidR="00A175A3" w:rsidRPr="00A175A3">
        <w:rPr>
          <w:rFonts w:ascii="Times New Roman" w:hAnsi="Times New Roman" w:cs="Times New Roman"/>
          <w:noProof/>
          <w:color w:val="000000" w:themeColor="text1"/>
          <w:sz w:val="24"/>
          <w:szCs w:val="24"/>
        </w:rPr>
        <w:fldChar w:fldCharType="separate"/>
      </w:r>
      <w:r w:rsidRPr="00A175A3">
        <w:rPr>
          <w:rFonts w:ascii="Times New Roman" w:hAnsi="Times New Roman" w:cs="Times New Roman"/>
          <w:noProof/>
          <w:color w:val="000000" w:themeColor="text1"/>
          <w:sz w:val="24"/>
          <w:szCs w:val="24"/>
        </w:rPr>
        <w:t>2</w:t>
      </w:r>
      <w:r w:rsidR="00A175A3" w:rsidRPr="00A175A3">
        <w:rPr>
          <w:rFonts w:ascii="Times New Roman" w:hAnsi="Times New Roman" w:cs="Times New Roman"/>
          <w:noProof/>
          <w:color w:val="000000" w:themeColor="text1"/>
          <w:sz w:val="24"/>
          <w:szCs w:val="24"/>
        </w:rPr>
        <w:fldChar w:fldCharType="end"/>
      </w:r>
      <w:r w:rsidRPr="00A175A3">
        <w:rPr>
          <w:rFonts w:ascii="Times New Roman" w:hAnsi="Times New Roman" w:cs="Times New Roman"/>
          <w:color w:val="000000" w:themeColor="text1"/>
          <w:sz w:val="24"/>
          <w:szCs w:val="24"/>
        </w:rPr>
        <w:t>: Parallel sessions</w:t>
      </w:r>
    </w:p>
    <w:p w14:paraId="38041C56" w14:textId="77777777" w:rsidR="007A462F"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However, a series of parallel sessions that will take place during the TechWinter Conclave will extend such an interest, offering the delegates complex workshops that will add more depth to the discussions and topics. These workshops will help the participants to explore the identified technologies in practice, as they practice in realistic contexts (Bladen et al., 2022). For instance, the sessions wherever the creation of smart contracts using blockchain or designing sustainable solutions in tech will enable the participant to be an active part and help them improve their skills. Further, fancy discussions in the form of breakout sessions will allow electing groups to discuss possible solutions to issues related to industries many people face, creating a feeling of unity (Rogers and Wynn-Moylan, 2022). This kind of approach makes knowledge transfer in addition to promoting increase of innovation spirit among the participants, prepares them for improving technological advancement in the respective areas hence cultivating sustainable innovation environment that prevailed beyond the event.</w:t>
      </w:r>
    </w:p>
    <w:p w14:paraId="10BFE94F"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As it revolves around a theme of winter, the event has variants of uniquely themed refreshments and an evening mixer in a winter inspired lounge set up. This network, knowledge sharing, and hands-on participation guarantees that attendees TechWinter Conclave walk away not just with practical insights but new professional connexions. Apart from supporting technological advancement, the event also facilitates a collaborative community prepared to lead future innovations through these tailored experiences.</w:t>
      </w:r>
    </w:p>
    <w:p w14:paraId="2D663BEA" w14:textId="77777777" w:rsidR="00891C82" w:rsidRPr="00A175A3" w:rsidRDefault="007A462F" w:rsidP="00036730">
      <w:pPr>
        <w:pStyle w:val="Titlu1"/>
        <w:numPr>
          <w:ilvl w:val="0"/>
          <w:numId w:val="2"/>
        </w:numPr>
        <w:rPr>
          <w:rFonts w:ascii="Times New Roman" w:hAnsi="Times New Roman" w:cs="Times New Roman"/>
          <w:color w:val="000000" w:themeColor="text1"/>
        </w:rPr>
      </w:pPr>
      <w:bookmarkStart w:id="3" w:name="_3znysh7" w:colFirst="0" w:colLast="0"/>
      <w:bookmarkEnd w:id="3"/>
      <w:r w:rsidRPr="00A175A3">
        <w:rPr>
          <w:rFonts w:ascii="Times New Roman" w:hAnsi="Times New Roman" w:cs="Times New Roman"/>
          <w:color w:val="000000" w:themeColor="text1"/>
        </w:rPr>
        <w:t xml:space="preserve">Aims and Objectives </w:t>
      </w:r>
    </w:p>
    <w:p w14:paraId="46154D09"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 xml:space="preserve">The aim of the TechWinter Conclave is to cultivate an environment of dialogue and innovation for leading technology innovators, entrepreneurs, and industry peers to drive technological development and adoption in emerging arenas. </w:t>
      </w:r>
    </w:p>
    <w:p w14:paraId="3A39219F" w14:textId="77777777" w:rsidR="00891C82" w:rsidRPr="00A175A3" w:rsidRDefault="007A462F" w:rsidP="00036730">
      <w:pPr>
        <w:rPr>
          <w:rFonts w:ascii="Times New Roman" w:hAnsi="Times New Roman" w:cs="Times New Roman"/>
          <w:i/>
          <w:color w:val="000000" w:themeColor="text1"/>
        </w:rPr>
      </w:pPr>
      <w:r w:rsidRPr="00A175A3">
        <w:rPr>
          <w:rFonts w:ascii="Times New Roman" w:hAnsi="Times New Roman" w:cs="Times New Roman"/>
          <w:i/>
          <w:color w:val="000000" w:themeColor="text1"/>
        </w:rPr>
        <w:t>To achieve this, the event has three SMART objectives:</w:t>
      </w:r>
    </w:p>
    <w:p w14:paraId="3CCB91F3" w14:textId="77777777" w:rsidR="00891C82" w:rsidRPr="00A175A3" w:rsidRDefault="007A462F" w:rsidP="00036730">
      <w:pPr>
        <w:numPr>
          <w:ilvl w:val="0"/>
          <w:numId w:val="1"/>
        </w:numPr>
        <w:pBdr>
          <w:top w:val="nil"/>
          <w:left w:val="nil"/>
          <w:bottom w:val="nil"/>
          <w:right w:val="nil"/>
          <w:between w:val="nil"/>
        </w:pBdr>
        <w:spacing w:after="0"/>
        <w:rPr>
          <w:rFonts w:ascii="Times New Roman" w:hAnsi="Times New Roman" w:cs="Times New Roman"/>
          <w:color w:val="000000" w:themeColor="text1"/>
        </w:rPr>
      </w:pPr>
      <w:r w:rsidRPr="00A175A3">
        <w:rPr>
          <w:rFonts w:ascii="Times New Roman" w:hAnsi="Times New Roman" w:cs="Times New Roman"/>
          <w:color w:val="000000" w:themeColor="text1"/>
        </w:rPr>
        <w:t>To organise targeted networking session and collaboration workshops to connect at least 100 delegates from varied sectors, who can work with 10 strategic partners by the end of the event.</w:t>
      </w:r>
    </w:p>
    <w:p w14:paraId="68AAF22A" w14:textId="77777777" w:rsidR="00891C82" w:rsidRPr="00A175A3" w:rsidRDefault="007A462F" w:rsidP="00036730">
      <w:pPr>
        <w:numPr>
          <w:ilvl w:val="0"/>
          <w:numId w:val="1"/>
        </w:numPr>
        <w:pBdr>
          <w:top w:val="nil"/>
          <w:left w:val="nil"/>
          <w:bottom w:val="nil"/>
          <w:right w:val="nil"/>
          <w:between w:val="nil"/>
        </w:pBdr>
        <w:spacing w:after="0"/>
        <w:rPr>
          <w:rFonts w:ascii="Times New Roman" w:hAnsi="Times New Roman" w:cs="Times New Roman"/>
          <w:color w:val="000000" w:themeColor="text1"/>
        </w:rPr>
      </w:pPr>
      <w:r w:rsidRPr="00A175A3">
        <w:rPr>
          <w:rFonts w:ascii="Times New Roman" w:hAnsi="Times New Roman" w:cs="Times New Roman"/>
          <w:color w:val="000000" w:themeColor="text1"/>
        </w:rPr>
        <w:t>To offer a platform for 20 exhibitors and speakers to introduce the latest technologies, the event will attract 80% of the delegates who will be able to patron hands on demos or discussions to improve awareness and understanding of the new tech solutions promoted by the industry.</w:t>
      </w:r>
    </w:p>
    <w:p w14:paraId="01191BC4" w14:textId="77777777" w:rsidR="00891C82" w:rsidRPr="00A175A3" w:rsidRDefault="007A462F" w:rsidP="00036730">
      <w:pPr>
        <w:numPr>
          <w:ilvl w:val="0"/>
          <w:numId w:val="1"/>
        </w:numPr>
        <w:pBdr>
          <w:top w:val="nil"/>
          <w:left w:val="nil"/>
          <w:bottom w:val="nil"/>
          <w:right w:val="nil"/>
          <w:between w:val="nil"/>
        </w:pBdr>
        <w:rPr>
          <w:rFonts w:ascii="Times New Roman" w:hAnsi="Times New Roman" w:cs="Times New Roman"/>
          <w:color w:val="000000" w:themeColor="text1"/>
        </w:rPr>
      </w:pPr>
      <w:r w:rsidRPr="00A175A3">
        <w:rPr>
          <w:rFonts w:ascii="Times New Roman" w:hAnsi="Times New Roman" w:cs="Times New Roman"/>
          <w:color w:val="000000" w:themeColor="text1"/>
        </w:rPr>
        <w:t>To promote innovation sessions with key experts, preferably so that more than 75% of the attendees participate in the sessions (with attendance tracking and feedback forms used to demonstrate the percentage) on trending topics in technology.</w:t>
      </w:r>
    </w:p>
    <w:p w14:paraId="3B4ACDE6" w14:textId="77777777" w:rsidR="00891C82" w:rsidRPr="00A175A3" w:rsidRDefault="007A462F" w:rsidP="00036730">
      <w:pPr>
        <w:pStyle w:val="Titlu1"/>
        <w:numPr>
          <w:ilvl w:val="0"/>
          <w:numId w:val="2"/>
        </w:numPr>
        <w:rPr>
          <w:rFonts w:ascii="Times New Roman" w:hAnsi="Times New Roman" w:cs="Times New Roman"/>
          <w:color w:val="000000" w:themeColor="text1"/>
        </w:rPr>
      </w:pPr>
      <w:bookmarkStart w:id="4" w:name="_2et92p0" w:colFirst="0" w:colLast="0"/>
      <w:bookmarkEnd w:id="4"/>
      <w:r w:rsidRPr="00A175A3">
        <w:rPr>
          <w:rFonts w:ascii="Times New Roman" w:hAnsi="Times New Roman" w:cs="Times New Roman"/>
          <w:color w:val="000000" w:themeColor="text1"/>
        </w:rPr>
        <w:t xml:space="preserve">Event Management </w:t>
      </w:r>
    </w:p>
    <w:p w14:paraId="3FC9C407"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To deliver an optimal TechWinter Conclave experience for both our attendees and impact of the event, meticulous planning, operational coordination and effective targeted marketing is needed to execute. Important logistical elements in the planning phase include finding an event venue — such as the Barbican Centre — utilising its central location yet state of the art technical facilities in the heart of London. This venue fits with the conclave’s emphasis on technological innovation by supporting high tech presentations and demos. Layout design also includes planning ideal flow that runs between networking spaces, conference rooms and exhibition areas (Perry et al., 2019). It create an elaborate timeline and task list to ensure setup, session transitions, and event breakdown and contingency plans to handle the unpredictable challenges of logistics.</w:t>
      </w:r>
    </w:p>
    <w:p w14:paraId="3A720CD2"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The event has a dedicated team with specialised skills, operationally. The advanced audiovisual equipment that features the interactive technology shows will be managed by technical staff, who will also serve as the technical support staff. The fact that the conclave is so tech minded means that there will be staff with IT and AV experience standing by to help troubleshoot and ensure quality visual and audio experiences (</w:t>
      </w:r>
      <w:r w:rsidRPr="00A175A3">
        <w:rPr>
          <w:rFonts w:ascii="Times New Roman" w:eastAsia="Times New Roman" w:hAnsi="Times New Roman" w:cs="Times New Roman"/>
          <w:color w:val="000000" w:themeColor="text1"/>
        </w:rPr>
        <w:t>Rogers and Wynn-Moylan, 2022)</w:t>
      </w:r>
      <w:r w:rsidRPr="00A175A3">
        <w:rPr>
          <w:rFonts w:ascii="Times New Roman" w:hAnsi="Times New Roman" w:cs="Times New Roman"/>
          <w:color w:val="000000" w:themeColor="text1"/>
        </w:rPr>
        <w:t>. In addition, venue staff will cooperate with seatings, venue catering, attendee services. The registration desk and information providing will be handled by a team of event coordinators, who will basically sustain a smooth passage from cheque in to closing.</w:t>
      </w:r>
    </w:p>
    <w:p w14:paraId="4462AAAE" w14:textId="77777777" w:rsidR="00891C82" w:rsidRPr="00A175A3" w:rsidRDefault="007A462F" w:rsidP="00036730">
      <w:pPr>
        <w:keepNext/>
        <w:jc w:val="center"/>
        <w:rPr>
          <w:rFonts w:ascii="Times New Roman" w:hAnsi="Times New Roman" w:cs="Times New Roman"/>
          <w:color w:val="000000" w:themeColor="text1"/>
        </w:rPr>
      </w:pPr>
      <w:r w:rsidRPr="00A175A3">
        <w:rPr>
          <w:rFonts w:ascii="Times New Roman" w:hAnsi="Times New Roman" w:cs="Times New Roman"/>
          <w:noProof/>
          <w:color w:val="000000" w:themeColor="text1"/>
          <w:lang w:val="en-US" w:eastAsia="en-US"/>
        </w:rPr>
        <w:drawing>
          <wp:inline distT="0" distB="0" distL="0" distR="0" wp14:anchorId="593D91F6" wp14:editId="2A156D80">
            <wp:extent cx="1938993" cy="1520240"/>
            <wp:effectExtent l="0" t="0" r="0" b="0"/>
            <wp:docPr id="3" name="image3.png" descr="India Global Forum"/>
            <wp:cNvGraphicFramePr/>
            <a:graphic xmlns:a="http://schemas.openxmlformats.org/drawingml/2006/main">
              <a:graphicData uri="http://schemas.openxmlformats.org/drawingml/2006/picture">
                <pic:pic xmlns:pic="http://schemas.openxmlformats.org/drawingml/2006/picture">
                  <pic:nvPicPr>
                    <pic:cNvPr id="0" name="image3.png" descr="India Global Forum"/>
                    <pic:cNvPicPr preferRelativeResize="0"/>
                  </pic:nvPicPr>
                  <pic:blipFill>
                    <a:blip r:embed="rId9"/>
                    <a:srcRect l="17250" r="11325" b="1"/>
                    <a:stretch>
                      <a:fillRect/>
                    </a:stretch>
                  </pic:blipFill>
                  <pic:spPr>
                    <a:xfrm>
                      <a:off x="0" y="0"/>
                      <a:ext cx="1938993" cy="1520240"/>
                    </a:xfrm>
                    <a:prstGeom prst="rect">
                      <a:avLst/>
                    </a:prstGeom>
                    <a:ln/>
                  </pic:spPr>
                </pic:pic>
              </a:graphicData>
            </a:graphic>
          </wp:inline>
        </w:drawing>
      </w:r>
    </w:p>
    <w:p w14:paraId="183ABF9D" w14:textId="77777777" w:rsidR="00891C82" w:rsidRPr="00A175A3" w:rsidRDefault="007A462F" w:rsidP="00036730">
      <w:pPr>
        <w:pBdr>
          <w:top w:val="nil"/>
          <w:left w:val="nil"/>
          <w:bottom w:val="nil"/>
          <w:right w:val="nil"/>
          <w:between w:val="nil"/>
        </w:pBdr>
        <w:spacing w:after="200"/>
        <w:jc w:val="center"/>
        <w:rPr>
          <w:rFonts w:ascii="Times New Roman" w:hAnsi="Times New Roman" w:cs="Times New Roman"/>
          <w:i/>
          <w:color w:val="000000" w:themeColor="text1"/>
        </w:rPr>
      </w:pPr>
      <w:r w:rsidRPr="00A175A3">
        <w:rPr>
          <w:rFonts w:ascii="Times New Roman" w:hAnsi="Times New Roman" w:cs="Times New Roman"/>
          <w:i/>
          <w:color w:val="000000" w:themeColor="text1"/>
        </w:rPr>
        <w:t>Figure 2: TechWinter Conclave Conference</w:t>
      </w:r>
    </w:p>
    <w:p w14:paraId="20D59AD1"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The TechWinter Conclave marketing strategy appeals to the tech entrepreneur, the industry leader and the decision maker looking to learn and invest into new technologies. Content marketing will help to promote the event on platforms like LinkedIn, Twitter and various industry specific forums to reach out to his set of audience (</w:t>
      </w:r>
      <w:r w:rsidRPr="00A175A3">
        <w:rPr>
          <w:rFonts w:ascii="Times New Roman" w:eastAsia="Times New Roman" w:hAnsi="Times New Roman" w:cs="Times New Roman"/>
          <w:color w:val="000000" w:themeColor="text1"/>
        </w:rPr>
        <w:t>Meredith¸ 2022)</w:t>
      </w:r>
      <w:r w:rsidRPr="00A175A3">
        <w:rPr>
          <w:rFonts w:ascii="Times New Roman" w:hAnsi="Times New Roman" w:cs="Times New Roman"/>
          <w:color w:val="000000" w:themeColor="text1"/>
        </w:rPr>
        <w:t>. Email marketing campaigns to reach established networks of technology professionals will either target previously built technology networks and messaging will highlight the unique networking opportunities and high-value sessions offered at the conclave (</w:t>
      </w:r>
      <w:r w:rsidRPr="00A175A3">
        <w:rPr>
          <w:rFonts w:ascii="Times New Roman" w:eastAsia="Times New Roman" w:hAnsi="Times New Roman" w:cs="Times New Roman"/>
          <w:color w:val="000000" w:themeColor="text1"/>
        </w:rPr>
        <w:t>Xie¸ 2023)</w:t>
      </w:r>
      <w:r w:rsidRPr="00A175A3">
        <w:rPr>
          <w:rFonts w:ascii="Times New Roman" w:hAnsi="Times New Roman" w:cs="Times New Roman"/>
          <w:color w:val="000000" w:themeColor="text1"/>
        </w:rPr>
        <w:t>. Furthermore, the event will have partnerships with tech industry publication and tech online influencers, to reach wide groups of tech savvy audience. An early bird discount will be offered with ticket tiers created to place a range of VIP and general attendees on a similar footing, in order to also draw in high level executives as well as other industry participants.</w:t>
      </w:r>
    </w:p>
    <w:p w14:paraId="3DA100EB" w14:textId="77777777" w:rsidR="007A462F" w:rsidRPr="00A175A3" w:rsidRDefault="007A462F" w:rsidP="00431138">
      <w:pPr>
        <w:jc w:val="center"/>
        <w:rPr>
          <w:rFonts w:ascii="Times New Roman" w:hAnsi="Times New Roman" w:cs="Times New Roman"/>
          <w:color w:val="000000" w:themeColor="text1"/>
        </w:rPr>
      </w:pPr>
      <w:r w:rsidRPr="00A175A3">
        <w:rPr>
          <w:rFonts w:ascii="Times New Roman" w:hAnsi="Times New Roman" w:cs="Times New Roman"/>
          <w:noProof/>
          <w:color w:val="000000" w:themeColor="text1"/>
          <w:lang w:val="en-US" w:eastAsia="en-US"/>
        </w:rPr>
        <w:drawing>
          <wp:inline distT="0" distB="0" distL="0" distR="0" wp14:anchorId="131686E4" wp14:editId="3906DF4D">
            <wp:extent cx="3600000" cy="3600000"/>
            <wp:effectExtent l="0" t="0" r="63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0000" cy="3600000"/>
                    </a:xfrm>
                    <a:prstGeom prst="rect">
                      <a:avLst/>
                    </a:prstGeom>
                  </pic:spPr>
                </pic:pic>
              </a:graphicData>
            </a:graphic>
          </wp:inline>
        </w:drawing>
      </w:r>
    </w:p>
    <w:p w14:paraId="64AD0BAA" w14:textId="77777777" w:rsidR="00A428BE" w:rsidRPr="00A175A3" w:rsidRDefault="00A428BE" w:rsidP="00036730">
      <w:pPr>
        <w:pStyle w:val="Legend"/>
        <w:spacing w:line="360" w:lineRule="auto"/>
        <w:jc w:val="center"/>
        <w:rPr>
          <w:rFonts w:ascii="Times New Roman" w:hAnsi="Times New Roman" w:cs="Times New Roman"/>
          <w:color w:val="000000" w:themeColor="text1"/>
          <w:sz w:val="24"/>
          <w:szCs w:val="24"/>
        </w:rPr>
      </w:pPr>
      <w:r w:rsidRPr="00A175A3">
        <w:rPr>
          <w:rFonts w:ascii="Times New Roman" w:hAnsi="Times New Roman" w:cs="Times New Roman"/>
          <w:color w:val="000000" w:themeColor="text1"/>
          <w:sz w:val="24"/>
          <w:szCs w:val="24"/>
        </w:rPr>
        <w:t xml:space="preserve">Figure </w:t>
      </w:r>
      <w:r w:rsidR="00A175A3" w:rsidRPr="00A175A3">
        <w:rPr>
          <w:rFonts w:ascii="Times New Roman" w:hAnsi="Times New Roman" w:cs="Times New Roman"/>
          <w:noProof/>
          <w:color w:val="000000" w:themeColor="text1"/>
          <w:sz w:val="24"/>
          <w:szCs w:val="24"/>
        </w:rPr>
        <w:fldChar w:fldCharType="begin"/>
      </w:r>
      <w:r w:rsidR="00A175A3" w:rsidRPr="00A175A3">
        <w:rPr>
          <w:rFonts w:ascii="Times New Roman" w:hAnsi="Times New Roman" w:cs="Times New Roman"/>
          <w:noProof/>
          <w:color w:val="000000" w:themeColor="text1"/>
          <w:sz w:val="24"/>
          <w:szCs w:val="24"/>
        </w:rPr>
        <w:instrText xml:space="preserve"> SEQ Figure \* ARABIC </w:instrText>
      </w:r>
      <w:r w:rsidR="00A175A3" w:rsidRPr="00A175A3">
        <w:rPr>
          <w:rFonts w:ascii="Times New Roman" w:hAnsi="Times New Roman" w:cs="Times New Roman"/>
          <w:noProof/>
          <w:color w:val="000000" w:themeColor="text1"/>
          <w:sz w:val="24"/>
          <w:szCs w:val="24"/>
        </w:rPr>
        <w:fldChar w:fldCharType="separate"/>
      </w:r>
      <w:r w:rsidRPr="00A175A3">
        <w:rPr>
          <w:rFonts w:ascii="Times New Roman" w:hAnsi="Times New Roman" w:cs="Times New Roman"/>
          <w:noProof/>
          <w:color w:val="000000" w:themeColor="text1"/>
          <w:sz w:val="24"/>
          <w:szCs w:val="24"/>
        </w:rPr>
        <w:t>3</w:t>
      </w:r>
      <w:r w:rsidR="00A175A3" w:rsidRPr="00A175A3">
        <w:rPr>
          <w:rFonts w:ascii="Times New Roman" w:hAnsi="Times New Roman" w:cs="Times New Roman"/>
          <w:noProof/>
          <w:color w:val="000000" w:themeColor="text1"/>
          <w:sz w:val="24"/>
          <w:szCs w:val="24"/>
        </w:rPr>
        <w:fldChar w:fldCharType="end"/>
      </w:r>
      <w:r w:rsidRPr="00A175A3">
        <w:rPr>
          <w:rFonts w:ascii="Times New Roman" w:hAnsi="Times New Roman" w:cs="Times New Roman"/>
          <w:color w:val="000000" w:themeColor="text1"/>
          <w:sz w:val="24"/>
          <w:szCs w:val="24"/>
        </w:rPr>
        <w:t>: Experts Session in the Event</w:t>
      </w:r>
    </w:p>
    <w:p w14:paraId="5DA55FDC"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Visuals of sponsorship branding as well as session schedules and navigation will be displayed on digital displays in the event for an on site branding. A mobile app will be used to increase engagement including real time announcements, speaker bios and interactive functions, like polling during sessions and networking. With the planning, staffing and targeted marketing, the TechWinter Conclave will cement itself as a premier technology event for leaders to engage and connect over long periods of time.</w:t>
      </w:r>
    </w:p>
    <w:p w14:paraId="2C5B525D" w14:textId="77777777" w:rsidR="00891C82" w:rsidRPr="00A175A3" w:rsidRDefault="007A462F" w:rsidP="00036730">
      <w:pPr>
        <w:pStyle w:val="Titlu1"/>
        <w:numPr>
          <w:ilvl w:val="0"/>
          <w:numId w:val="2"/>
        </w:numPr>
        <w:rPr>
          <w:rFonts w:ascii="Times New Roman" w:hAnsi="Times New Roman" w:cs="Times New Roman"/>
          <w:color w:val="000000" w:themeColor="text1"/>
        </w:rPr>
      </w:pPr>
      <w:bookmarkStart w:id="5" w:name="_tyjcwt" w:colFirst="0" w:colLast="0"/>
      <w:bookmarkEnd w:id="5"/>
      <w:r w:rsidRPr="00A175A3">
        <w:rPr>
          <w:rFonts w:ascii="Times New Roman" w:hAnsi="Times New Roman" w:cs="Times New Roman"/>
          <w:color w:val="000000" w:themeColor="text1"/>
        </w:rPr>
        <w:t xml:space="preserve">Event Budget </w:t>
      </w:r>
    </w:p>
    <w:p w14:paraId="467392A6"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The techwinter conclave budget is designed to fund high quality execution and revenue generation in balance to maintain financial stability while creating real value for attendees. The major expense categories break that down into venue rental, technical equipment, catering, marketing, and staffing – all of which are required in supporting an experience that is engaging and professional.</w:t>
      </w:r>
    </w:p>
    <w:tbl>
      <w:tblPr>
        <w:tblStyle w:val="a"/>
        <w:tblW w:w="9576" w:type="dxa"/>
        <w:tblInd w:w="-108" w:type="dxa"/>
        <w:tblBorders>
          <w:top w:val="single" w:sz="4" w:space="0" w:color="7F7F7F"/>
          <w:bottom w:val="single" w:sz="4" w:space="0" w:color="7F7F7F"/>
        </w:tblBorders>
        <w:tblLayout w:type="fixed"/>
        <w:tblLook w:val="04A0" w:firstRow="1" w:lastRow="0" w:firstColumn="1" w:lastColumn="0" w:noHBand="0" w:noVBand="1"/>
      </w:tblPr>
      <w:tblGrid>
        <w:gridCol w:w="2235"/>
        <w:gridCol w:w="5645"/>
        <w:gridCol w:w="1696"/>
      </w:tblGrid>
      <w:tr w:rsidR="00891C82" w:rsidRPr="00A175A3" w14:paraId="12EA4487" w14:textId="77777777" w:rsidTr="00891C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tcPr>
          <w:p w14:paraId="5ACDD47A" w14:textId="77777777" w:rsidR="00891C82" w:rsidRPr="00A175A3" w:rsidRDefault="007A462F" w:rsidP="00036730">
            <w:pPr>
              <w:spacing w:line="360" w:lineRule="auto"/>
              <w:jc w:val="center"/>
              <w:rPr>
                <w:rFonts w:ascii="Times New Roman" w:hAnsi="Times New Roman" w:cs="Times New Roman"/>
                <w:color w:val="000000" w:themeColor="text1"/>
              </w:rPr>
            </w:pPr>
            <w:r w:rsidRPr="00A175A3">
              <w:rPr>
                <w:rFonts w:ascii="Times New Roman" w:hAnsi="Times New Roman" w:cs="Times New Roman"/>
                <w:color w:val="000000" w:themeColor="text1"/>
              </w:rPr>
              <w:t>Category</w:t>
            </w:r>
          </w:p>
        </w:tc>
        <w:tc>
          <w:tcPr>
            <w:tcW w:w="5645" w:type="dxa"/>
          </w:tcPr>
          <w:p w14:paraId="255D34EC"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Details</w:t>
            </w:r>
          </w:p>
        </w:tc>
        <w:tc>
          <w:tcPr>
            <w:tcW w:w="1696" w:type="dxa"/>
          </w:tcPr>
          <w:p w14:paraId="03C40B18"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Estimated Cost (£)</w:t>
            </w:r>
          </w:p>
        </w:tc>
      </w:tr>
      <w:tr w:rsidR="00891C82" w:rsidRPr="00A175A3" w14:paraId="3731F0AE" w14:textId="77777777" w:rsidTr="00891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tcPr>
          <w:p w14:paraId="4053BA59" w14:textId="77777777" w:rsidR="00891C82" w:rsidRPr="00A175A3" w:rsidRDefault="007A462F" w:rsidP="00036730">
            <w:pPr>
              <w:spacing w:line="360" w:lineRule="auto"/>
              <w:jc w:val="left"/>
              <w:rPr>
                <w:rFonts w:ascii="Times New Roman" w:hAnsi="Times New Roman" w:cs="Times New Roman"/>
                <w:i/>
                <w:color w:val="000000" w:themeColor="text1"/>
              </w:rPr>
            </w:pPr>
            <w:r w:rsidRPr="00A175A3">
              <w:rPr>
                <w:rFonts w:ascii="Times New Roman" w:hAnsi="Times New Roman" w:cs="Times New Roman"/>
                <w:i/>
                <w:color w:val="000000" w:themeColor="text1"/>
              </w:rPr>
              <w:t>Venue</w:t>
            </w:r>
          </w:p>
        </w:tc>
        <w:tc>
          <w:tcPr>
            <w:tcW w:w="5645" w:type="dxa"/>
          </w:tcPr>
          <w:p w14:paraId="6720B0DC"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Barbican Centre rental for main hall, breakout rooms, and exhibition spaces</w:t>
            </w:r>
          </w:p>
        </w:tc>
        <w:tc>
          <w:tcPr>
            <w:tcW w:w="1696" w:type="dxa"/>
          </w:tcPr>
          <w:p w14:paraId="6C2DE187"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25,000</w:t>
            </w:r>
          </w:p>
        </w:tc>
      </w:tr>
      <w:tr w:rsidR="00891C82" w:rsidRPr="00A175A3" w14:paraId="3CEC5ADD" w14:textId="77777777" w:rsidTr="00891C82">
        <w:tc>
          <w:tcPr>
            <w:cnfStyle w:val="001000000000" w:firstRow="0" w:lastRow="0" w:firstColumn="1" w:lastColumn="0" w:oddVBand="0" w:evenVBand="0" w:oddHBand="0" w:evenHBand="0" w:firstRowFirstColumn="0" w:firstRowLastColumn="0" w:lastRowFirstColumn="0" w:lastRowLastColumn="0"/>
            <w:tcW w:w="2235" w:type="dxa"/>
          </w:tcPr>
          <w:p w14:paraId="11EB07A0" w14:textId="77777777" w:rsidR="00891C82" w:rsidRPr="00A175A3" w:rsidRDefault="007A462F" w:rsidP="00036730">
            <w:pPr>
              <w:spacing w:line="360" w:lineRule="auto"/>
              <w:rPr>
                <w:rFonts w:ascii="Times New Roman" w:hAnsi="Times New Roman" w:cs="Times New Roman"/>
                <w:b w:val="0"/>
                <w:i/>
                <w:color w:val="000000" w:themeColor="text1"/>
              </w:rPr>
            </w:pPr>
            <w:r w:rsidRPr="00A175A3">
              <w:rPr>
                <w:rFonts w:ascii="Times New Roman" w:hAnsi="Times New Roman" w:cs="Times New Roman"/>
                <w:b w:val="0"/>
                <w:i/>
                <w:color w:val="000000" w:themeColor="text1"/>
              </w:rPr>
              <w:t>Technical Equipment</w:t>
            </w:r>
          </w:p>
        </w:tc>
        <w:tc>
          <w:tcPr>
            <w:tcW w:w="5645" w:type="dxa"/>
          </w:tcPr>
          <w:p w14:paraId="00903263" w14:textId="77777777" w:rsidR="00891C82" w:rsidRPr="00A175A3" w:rsidRDefault="007A462F" w:rsidP="000367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High-definition projectors, interactive screens, enhanced wireless connectivity</w:t>
            </w:r>
          </w:p>
        </w:tc>
        <w:tc>
          <w:tcPr>
            <w:tcW w:w="1696" w:type="dxa"/>
          </w:tcPr>
          <w:p w14:paraId="36E9A85A" w14:textId="77777777" w:rsidR="00891C82" w:rsidRPr="00A175A3" w:rsidRDefault="007A462F" w:rsidP="000367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10,000</w:t>
            </w:r>
          </w:p>
        </w:tc>
      </w:tr>
      <w:tr w:rsidR="00891C82" w:rsidRPr="00A175A3" w14:paraId="18C9517E" w14:textId="77777777" w:rsidTr="00891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tcPr>
          <w:p w14:paraId="5266B13E" w14:textId="77777777" w:rsidR="00891C82" w:rsidRPr="00A175A3" w:rsidRDefault="007A462F" w:rsidP="00036730">
            <w:pPr>
              <w:spacing w:line="360" w:lineRule="auto"/>
              <w:rPr>
                <w:rFonts w:ascii="Times New Roman" w:hAnsi="Times New Roman" w:cs="Times New Roman"/>
                <w:b w:val="0"/>
                <w:i/>
                <w:color w:val="000000" w:themeColor="text1"/>
              </w:rPr>
            </w:pPr>
            <w:r w:rsidRPr="00A175A3">
              <w:rPr>
                <w:rFonts w:ascii="Times New Roman" w:hAnsi="Times New Roman" w:cs="Times New Roman"/>
                <w:b w:val="0"/>
                <w:i/>
                <w:color w:val="000000" w:themeColor="text1"/>
              </w:rPr>
              <w:t>Catering</w:t>
            </w:r>
          </w:p>
        </w:tc>
        <w:tc>
          <w:tcPr>
            <w:tcW w:w="5645" w:type="dxa"/>
          </w:tcPr>
          <w:p w14:paraId="48AA7303"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Seasonal refreshments, lunch, and evening mixer</w:t>
            </w:r>
          </w:p>
        </w:tc>
        <w:tc>
          <w:tcPr>
            <w:tcW w:w="1696" w:type="dxa"/>
          </w:tcPr>
          <w:p w14:paraId="4E0B0B9C"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15,000</w:t>
            </w:r>
          </w:p>
        </w:tc>
      </w:tr>
      <w:tr w:rsidR="00891C82" w:rsidRPr="00A175A3" w14:paraId="55B00D98" w14:textId="77777777" w:rsidTr="00891C82">
        <w:tc>
          <w:tcPr>
            <w:cnfStyle w:val="001000000000" w:firstRow="0" w:lastRow="0" w:firstColumn="1" w:lastColumn="0" w:oddVBand="0" w:evenVBand="0" w:oddHBand="0" w:evenHBand="0" w:firstRowFirstColumn="0" w:firstRowLastColumn="0" w:lastRowFirstColumn="0" w:lastRowLastColumn="0"/>
            <w:tcW w:w="2235" w:type="dxa"/>
          </w:tcPr>
          <w:p w14:paraId="7E47FEE0" w14:textId="77777777" w:rsidR="00891C82" w:rsidRPr="00A175A3" w:rsidRDefault="007A462F" w:rsidP="00036730">
            <w:pPr>
              <w:spacing w:line="360" w:lineRule="auto"/>
              <w:rPr>
                <w:rFonts w:ascii="Times New Roman" w:hAnsi="Times New Roman" w:cs="Times New Roman"/>
                <w:b w:val="0"/>
                <w:i/>
                <w:color w:val="000000" w:themeColor="text1"/>
              </w:rPr>
            </w:pPr>
            <w:r w:rsidRPr="00A175A3">
              <w:rPr>
                <w:rFonts w:ascii="Times New Roman" w:hAnsi="Times New Roman" w:cs="Times New Roman"/>
                <w:b w:val="0"/>
                <w:i/>
                <w:color w:val="000000" w:themeColor="text1"/>
              </w:rPr>
              <w:t>Staffing</w:t>
            </w:r>
          </w:p>
        </w:tc>
        <w:tc>
          <w:tcPr>
            <w:tcW w:w="5645" w:type="dxa"/>
          </w:tcPr>
          <w:p w14:paraId="2B09C8BE" w14:textId="77777777" w:rsidR="00891C82" w:rsidRPr="00A175A3" w:rsidRDefault="007A462F" w:rsidP="000367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Tech support, event coordinators, registration desk personnel</w:t>
            </w:r>
          </w:p>
        </w:tc>
        <w:tc>
          <w:tcPr>
            <w:tcW w:w="1696" w:type="dxa"/>
          </w:tcPr>
          <w:p w14:paraId="3166F41F" w14:textId="77777777" w:rsidR="00891C82" w:rsidRPr="00A175A3" w:rsidRDefault="007A462F" w:rsidP="000367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8,000</w:t>
            </w:r>
          </w:p>
        </w:tc>
      </w:tr>
      <w:tr w:rsidR="00891C82" w:rsidRPr="00A175A3" w14:paraId="652EFA05" w14:textId="77777777" w:rsidTr="00891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tcPr>
          <w:p w14:paraId="5E06733B" w14:textId="77777777" w:rsidR="00891C82" w:rsidRPr="00A175A3" w:rsidRDefault="007A462F" w:rsidP="00036730">
            <w:pPr>
              <w:spacing w:line="360" w:lineRule="auto"/>
              <w:rPr>
                <w:rFonts w:ascii="Times New Roman" w:hAnsi="Times New Roman" w:cs="Times New Roman"/>
                <w:b w:val="0"/>
                <w:i/>
                <w:color w:val="000000" w:themeColor="text1"/>
              </w:rPr>
            </w:pPr>
            <w:r w:rsidRPr="00A175A3">
              <w:rPr>
                <w:rFonts w:ascii="Times New Roman" w:hAnsi="Times New Roman" w:cs="Times New Roman"/>
                <w:b w:val="0"/>
                <w:i/>
                <w:color w:val="000000" w:themeColor="text1"/>
              </w:rPr>
              <w:t>Marketing</w:t>
            </w:r>
          </w:p>
        </w:tc>
        <w:tc>
          <w:tcPr>
            <w:tcW w:w="5645" w:type="dxa"/>
          </w:tcPr>
          <w:p w14:paraId="387F97AB"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Digital marketing (social media, email campaigns, influencer partnerships)</w:t>
            </w:r>
          </w:p>
        </w:tc>
        <w:tc>
          <w:tcPr>
            <w:tcW w:w="1696" w:type="dxa"/>
          </w:tcPr>
          <w:p w14:paraId="11EA50EB"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7,000</w:t>
            </w:r>
          </w:p>
        </w:tc>
      </w:tr>
      <w:tr w:rsidR="00891C82" w:rsidRPr="00A175A3" w14:paraId="795327CC" w14:textId="77777777" w:rsidTr="00891C82">
        <w:tc>
          <w:tcPr>
            <w:cnfStyle w:val="001000000000" w:firstRow="0" w:lastRow="0" w:firstColumn="1" w:lastColumn="0" w:oddVBand="0" w:evenVBand="0" w:oddHBand="0" w:evenHBand="0" w:firstRowFirstColumn="0" w:firstRowLastColumn="0" w:lastRowFirstColumn="0" w:lastRowLastColumn="0"/>
            <w:tcW w:w="2235" w:type="dxa"/>
          </w:tcPr>
          <w:p w14:paraId="563A89ED" w14:textId="77777777" w:rsidR="00891C82" w:rsidRPr="00A175A3" w:rsidRDefault="007A462F" w:rsidP="00036730">
            <w:pPr>
              <w:spacing w:line="360" w:lineRule="auto"/>
              <w:rPr>
                <w:rFonts w:ascii="Times New Roman" w:hAnsi="Times New Roman" w:cs="Times New Roman"/>
                <w:b w:val="0"/>
                <w:i/>
                <w:color w:val="000000" w:themeColor="text1"/>
              </w:rPr>
            </w:pPr>
            <w:r w:rsidRPr="00A175A3">
              <w:rPr>
                <w:rFonts w:ascii="Times New Roman" w:hAnsi="Times New Roman" w:cs="Times New Roman"/>
                <w:b w:val="0"/>
                <w:i/>
                <w:color w:val="000000" w:themeColor="text1"/>
              </w:rPr>
              <w:t>Miscellaneous Expenses</w:t>
            </w:r>
          </w:p>
        </w:tc>
        <w:tc>
          <w:tcPr>
            <w:tcW w:w="5645" w:type="dxa"/>
          </w:tcPr>
          <w:p w14:paraId="1ECA2975" w14:textId="77777777" w:rsidR="00891C82" w:rsidRPr="00A175A3" w:rsidRDefault="007A462F" w:rsidP="000367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Signage, mobile app development, on-site branding</w:t>
            </w:r>
          </w:p>
        </w:tc>
        <w:tc>
          <w:tcPr>
            <w:tcW w:w="1696" w:type="dxa"/>
          </w:tcPr>
          <w:p w14:paraId="4CA5379C" w14:textId="77777777" w:rsidR="00891C82" w:rsidRPr="00A175A3" w:rsidRDefault="007A462F" w:rsidP="000367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5,000</w:t>
            </w:r>
          </w:p>
        </w:tc>
      </w:tr>
      <w:tr w:rsidR="00891C82" w:rsidRPr="00A175A3" w14:paraId="12F72904" w14:textId="77777777" w:rsidTr="00891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5" w:type="dxa"/>
          </w:tcPr>
          <w:p w14:paraId="062AABEF" w14:textId="77777777" w:rsidR="00891C82" w:rsidRPr="00A175A3" w:rsidRDefault="007A462F" w:rsidP="00036730">
            <w:pPr>
              <w:spacing w:line="360" w:lineRule="auto"/>
              <w:rPr>
                <w:rFonts w:ascii="Times New Roman" w:hAnsi="Times New Roman" w:cs="Times New Roman"/>
                <w:color w:val="000000" w:themeColor="text1"/>
              </w:rPr>
            </w:pPr>
            <w:r w:rsidRPr="00A175A3">
              <w:rPr>
                <w:rFonts w:ascii="Times New Roman" w:hAnsi="Times New Roman" w:cs="Times New Roman"/>
                <w:color w:val="000000" w:themeColor="text1"/>
              </w:rPr>
              <w:t>Total Expenditure</w:t>
            </w:r>
          </w:p>
        </w:tc>
        <w:tc>
          <w:tcPr>
            <w:tcW w:w="5645" w:type="dxa"/>
          </w:tcPr>
          <w:p w14:paraId="2E1295D0" w14:textId="77777777" w:rsidR="00891C82" w:rsidRPr="00A175A3" w:rsidRDefault="00891C82"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p>
        </w:tc>
        <w:tc>
          <w:tcPr>
            <w:tcW w:w="1696" w:type="dxa"/>
          </w:tcPr>
          <w:p w14:paraId="1A0A29ED"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b/>
                <w:color w:val="000000" w:themeColor="text1"/>
              </w:rPr>
              <w:t>70,000</w:t>
            </w:r>
          </w:p>
        </w:tc>
      </w:tr>
    </w:tbl>
    <w:p w14:paraId="2EED2F9C" w14:textId="77777777" w:rsidR="00891C82" w:rsidRPr="00A175A3" w:rsidRDefault="00891C82" w:rsidP="00036730">
      <w:pPr>
        <w:rPr>
          <w:rFonts w:ascii="Times New Roman" w:hAnsi="Times New Roman" w:cs="Times New Roman"/>
          <w:b/>
          <w:i/>
          <w:color w:val="000000" w:themeColor="text1"/>
        </w:rPr>
      </w:pPr>
    </w:p>
    <w:p w14:paraId="5C482D24" w14:textId="77777777" w:rsidR="00891C82" w:rsidRPr="00A175A3" w:rsidRDefault="007A462F" w:rsidP="00036730">
      <w:pPr>
        <w:rPr>
          <w:rFonts w:ascii="Times New Roman" w:hAnsi="Times New Roman" w:cs="Times New Roman"/>
          <w:i/>
          <w:color w:val="000000" w:themeColor="text1"/>
        </w:rPr>
      </w:pPr>
      <w:r w:rsidRPr="00A175A3">
        <w:rPr>
          <w:rFonts w:ascii="Times New Roman" w:hAnsi="Times New Roman" w:cs="Times New Roman"/>
          <w:b/>
          <w:i/>
          <w:color w:val="000000" w:themeColor="text1"/>
        </w:rPr>
        <w:t>Revenue Projections</w:t>
      </w:r>
    </w:p>
    <w:tbl>
      <w:tblPr>
        <w:tblStyle w:val="a0"/>
        <w:tblW w:w="9576" w:type="dxa"/>
        <w:tblInd w:w="-108" w:type="dxa"/>
        <w:tblBorders>
          <w:top w:val="single" w:sz="4" w:space="0" w:color="7F7F7F"/>
          <w:bottom w:val="single" w:sz="4" w:space="0" w:color="7F7F7F"/>
        </w:tblBorders>
        <w:tblLayout w:type="fixed"/>
        <w:tblLook w:val="04A0" w:firstRow="1" w:lastRow="0" w:firstColumn="1" w:lastColumn="0" w:noHBand="0" w:noVBand="1"/>
      </w:tblPr>
      <w:tblGrid>
        <w:gridCol w:w="1629"/>
        <w:gridCol w:w="6087"/>
        <w:gridCol w:w="1860"/>
      </w:tblGrid>
      <w:tr w:rsidR="00891C82" w:rsidRPr="00A175A3" w14:paraId="18FFDC3E" w14:textId="77777777" w:rsidTr="00891C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9" w:type="dxa"/>
          </w:tcPr>
          <w:p w14:paraId="57F8A421" w14:textId="77777777" w:rsidR="00891C82" w:rsidRPr="00A175A3" w:rsidRDefault="007A462F" w:rsidP="00036730">
            <w:pPr>
              <w:spacing w:line="360" w:lineRule="auto"/>
              <w:jc w:val="center"/>
              <w:rPr>
                <w:rFonts w:ascii="Times New Roman" w:hAnsi="Times New Roman" w:cs="Times New Roman"/>
                <w:color w:val="000000" w:themeColor="text1"/>
              </w:rPr>
            </w:pPr>
            <w:r w:rsidRPr="00A175A3">
              <w:rPr>
                <w:rFonts w:ascii="Times New Roman" w:hAnsi="Times New Roman" w:cs="Times New Roman"/>
                <w:color w:val="000000" w:themeColor="text1"/>
              </w:rPr>
              <w:t>Revenue Source</w:t>
            </w:r>
          </w:p>
        </w:tc>
        <w:tc>
          <w:tcPr>
            <w:tcW w:w="6087" w:type="dxa"/>
          </w:tcPr>
          <w:p w14:paraId="78BD6EF6"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Details</w:t>
            </w:r>
          </w:p>
        </w:tc>
        <w:tc>
          <w:tcPr>
            <w:tcW w:w="1860" w:type="dxa"/>
          </w:tcPr>
          <w:p w14:paraId="1656BF91"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Estimated Revenue (£)</w:t>
            </w:r>
          </w:p>
        </w:tc>
      </w:tr>
      <w:tr w:rsidR="00891C82" w:rsidRPr="00A175A3" w14:paraId="2BB14327" w14:textId="77777777" w:rsidTr="00891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9" w:type="dxa"/>
          </w:tcPr>
          <w:p w14:paraId="2AB103B4" w14:textId="77777777" w:rsidR="00891C82" w:rsidRPr="00A175A3" w:rsidRDefault="007A462F" w:rsidP="00036730">
            <w:pPr>
              <w:spacing w:line="360" w:lineRule="auto"/>
              <w:jc w:val="left"/>
              <w:rPr>
                <w:rFonts w:ascii="Times New Roman" w:hAnsi="Times New Roman" w:cs="Times New Roman"/>
                <w:i/>
                <w:color w:val="000000" w:themeColor="text1"/>
              </w:rPr>
            </w:pPr>
            <w:r w:rsidRPr="00A175A3">
              <w:rPr>
                <w:rFonts w:ascii="Times New Roman" w:hAnsi="Times New Roman" w:cs="Times New Roman"/>
                <w:i/>
                <w:color w:val="000000" w:themeColor="text1"/>
              </w:rPr>
              <w:t>Ticket Sales</w:t>
            </w:r>
          </w:p>
        </w:tc>
        <w:tc>
          <w:tcPr>
            <w:tcW w:w="6087" w:type="dxa"/>
          </w:tcPr>
          <w:p w14:paraId="63E7C750"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200-250 attendees, tiered pricing (VVIP: £500, VIP: £300, General: £150), early bird discounts</w:t>
            </w:r>
          </w:p>
        </w:tc>
        <w:tc>
          <w:tcPr>
            <w:tcW w:w="1860" w:type="dxa"/>
          </w:tcPr>
          <w:p w14:paraId="4DD6275F"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50,000</w:t>
            </w:r>
          </w:p>
        </w:tc>
      </w:tr>
      <w:tr w:rsidR="00891C82" w:rsidRPr="00A175A3" w14:paraId="04AA1009" w14:textId="77777777" w:rsidTr="00891C82">
        <w:tc>
          <w:tcPr>
            <w:cnfStyle w:val="001000000000" w:firstRow="0" w:lastRow="0" w:firstColumn="1" w:lastColumn="0" w:oddVBand="0" w:evenVBand="0" w:oddHBand="0" w:evenHBand="0" w:firstRowFirstColumn="0" w:firstRowLastColumn="0" w:lastRowFirstColumn="0" w:lastRowLastColumn="0"/>
            <w:tcW w:w="1629" w:type="dxa"/>
          </w:tcPr>
          <w:p w14:paraId="4A69E843" w14:textId="77777777" w:rsidR="00891C82" w:rsidRPr="00A175A3" w:rsidRDefault="007A462F" w:rsidP="00036730">
            <w:pPr>
              <w:spacing w:line="360" w:lineRule="auto"/>
              <w:rPr>
                <w:rFonts w:ascii="Times New Roman" w:hAnsi="Times New Roman" w:cs="Times New Roman"/>
                <w:b w:val="0"/>
                <w:i/>
                <w:color w:val="000000" w:themeColor="text1"/>
              </w:rPr>
            </w:pPr>
            <w:r w:rsidRPr="00A175A3">
              <w:rPr>
                <w:rFonts w:ascii="Times New Roman" w:hAnsi="Times New Roman" w:cs="Times New Roman"/>
                <w:b w:val="0"/>
                <w:i/>
                <w:color w:val="000000" w:themeColor="text1"/>
              </w:rPr>
              <w:t>Sponsorships</w:t>
            </w:r>
          </w:p>
        </w:tc>
        <w:tc>
          <w:tcPr>
            <w:tcW w:w="6087" w:type="dxa"/>
          </w:tcPr>
          <w:p w14:paraId="5C003BEA" w14:textId="77777777" w:rsidR="00891C82" w:rsidRPr="00A175A3" w:rsidRDefault="007A462F" w:rsidP="000367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Sponsorship packages with benefits like logo placement, exhibition space, and speaking slots</w:t>
            </w:r>
          </w:p>
        </w:tc>
        <w:tc>
          <w:tcPr>
            <w:tcW w:w="1860" w:type="dxa"/>
          </w:tcPr>
          <w:p w14:paraId="1007573A" w14:textId="77777777" w:rsidR="00891C82" w:rsidRPr="00A175A3" w:rsidRDefault="007A462F" w:rsidP="0003673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color w:val="000000" w:themeColor="text1"/>
              </w:rPr>
              <w:t>20,000</w:t>
            </w:r>
          </w:p>
        </w:tc>
      </w:tr>
      <w:tr w:rsidR="00891C82" w:rsidRPr="00A175A3" w14:paraId="5EA8592C" w14:textId="77777777" w:rsidTr="00891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9" w:type="dxa"/>
          </w:tcPr>
          <w:p w14:paraId="0B35D315" w14:textId="77777777" w:rsidR="00891C82" w:rsidRPr="00A175A3" w:rsidRDefault="007A462F" w:rsidP="00036730">
            <w:pPr>
              <w:spacing w:line="360" w:lineRule="auto"/>
              <w:rPr>
                <w:rFonts w:ascii="Times New Roman" w:hAnsi="Times New Roman" w:cs="Times New Roman"/>
                <w:color w:val="000000" w:themeColor="text1"/>
              </w:rPr>
            </w:pPr>
            <w:r w:rsidRPr="00A175A3">
              <w:rPr>
                <w:rFonts w:ascii="Times New Roman" w:hAnsi="Times New Roman" w:cs="Times New Roman"/>
                <w:color w:val="000000" w:themeColor="text1"/>
              </w:rPr>
              <w:t>Total Revenue</w:t>
            </w:r>
          </w:p>
        </w:tc>
        <w:tc>
          <w:tcPr>
            <w:tcW w:w="6087" w:type="dxa"/>
          </w:tcPr>
          <w:p w14:paraId="2AEF8DBE" w14:textId="77777777" w:rsidR="00891C82" w:rsidRPr="00A175A3" w:rsidRDefault="00891C82"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p>
        </w:tc>
        <w:tc>
          <w:tcPr>
            <w:tcW w:w="1860" w:type="dxa"/>
          </w:tcPr>
          <w:p w14:paraId="431D85F1" w14:textId="77777777" w:rsidR="00891C82" w:rsidRPr="00A175A3" w:rsidRDefault="007A462F" w:rsidP="0003673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A175A3">
              <w:rPr>
                <w:rFonts w:ascii="Times New Roman" w:hAnsi="Times New Roman" w:cs="Times New Roman"/>
                <w:b/>
                <w:color w:val="000000" w:themeColor="text1"/>
              </w:rPr>
              <w:t>70,000</w:t>
            </w:r>
          </w:p>
        </w:tc>
      </w:tr>
    </w:tbl>
    <w:p w14:paraId="7B71D907" w14:textId="77777777" w:rsidR="00891C82" w:rsidRPr="00A175A3" w:rsidRDefault="00891C82" w:rsidP="00036730">
      <w:pPr>
        <w:rPr>
          <w:rFonts w:ascii="Times New Roman" w:hAnsi="Times New Roman" w:cs="Times New Roman"/>
          <w:color w:val="000000" w:themeColor="text1"/>
        </w:rPr>
      </w:pPr>
    </w:p>
    <w:p w14:paraId="599FDEE6"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Lured by the opportunity to engage with a coveted audience and sponsor a fashion show, sponsorship is sought to bring in an extra £20,000 and packages specific to tech companies and industry leaders who want a foot in the door and brand visibility in return. Bragging rights come in the form of logo placement on event materials, dedicated exhibition spaces and speaking opportunities giving sponsors a more powerful presence at the conclave’s influential audience (Black, 2016).</w:t>
      </w:r>
    </w:p>
    <w:p w14:paraId="6536F30C"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The budget for the TechWinter Conclave is structured to finance a memorable and impactful event and at the same time meeting a sustainable financial outcome through strategic expense management and revenue generating initiatives.</w:t>
      </w:r>
    </w:p>
    <w:p w14:paraId="0816F6DE" w14:textId="77777777" w:rsidR="00891C82" w:rsidRPr="00A175A3" w:rsidRDefault="007A462F" w:rsidP="00036730">
      <w:pPr>
        <w:pStyle w:val="Titlu1"/>
        <w:numPr>
          <w:ilvl w:val="0"/>
          <w:numId w:val="2"/>
        </w:numPr>
        <w:rPr>
          <w:rFonts w:ascii="Times New Roman" w:hAnsi="Times New Roman" w:cs="Times New Roman"/>
          <w:color w:val="000000" w:themeColor="text1"/>
        </w:rPr>
      </w:pPr>
      <w:bookmarkStart w:id="6" w:name="_3dy6vkm" w:colFirst="0" w:colLast="0"/>
      <w:bookmarkEnd w:id="6"/>
      <w:r w:rsidRPr="00A175A3">
        <w:rPr>
          <w:rFonts w:ascii="Times New Roman" w:hAnsi="Times New Roman" w:cs="Times New Roman"/>
          <w:color w:val="000000" w:themeColor="text1"/>
        </w:rPr>
        <w:t xml:space="preserve">Industry Trends / Issues / Impacts </w:t>
      </w:r>
    </w:p>
    <w:p w14:paraId="74095E83"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Several of the current industry trends related to tech are greatly aligned with the TechWinter Conclave and help elevate or keep the event relevant and continue as a source of attraction for the tech professional. Immersive technologies – augmented reality (AR) and virtual reality (VR) – one of the big trends in tech events is the ability to integrate these technologies that generate more interactive and engaging experiences (Brown, 2020). One example shows how AR can be used by exhibitors to offer virtual demonstrations of products or to demonstrate complex technologies in easy to understand fashion for a technically aware audience, which likes to have hands on experience (</w:t>
      </w:r>
      <w:r w:rsidRPr="00A175A3">
        <w:rPr>
          <w:rFonts w:ascii="Times New Roman" w:eastAsia="Times New Roman" w:hAnsi="Times New Roman" w:cs="Times New Roman"/>
          <w:color w:val="000000" w:themeColor="text1"/>
        </w:rPr>
        <w:t>Leschko and Kortabarria, 2022)</w:t>
      </w:r>
      <w:r w:rsidRPr="00A175A3">
        <w:rPr>
          <w:rFonts w:ascii="Times New Roman" w:hAnsi="Times New Roman" w:cs="Times New Roman"/>
          <w:color w:val="000000" w:themeColor="text1"/>
        </w:rPr>
        <w:t xml:space="preserve">. </w:t>
      </w:r>
    </w:p>
    <w:p w14:paraId="267BCCD0" w14:textId="77777777" w:rsidR="00891C82" w:rsidRPr="00A175A3" w:rsidRDefault="007A462F" w:rsidP="00036730">
      <w:pPr>
        <w:keepNext/>
        <w:jc w:val="center"/>
        <w:rPr>
          <w:rFonts w:ascii="Times New Roman" w:hAnsi="Times New Roman" w:cs="Times New Roman"/>
          <w:color w:val="000000" w:themeColor="text1"/>
        </w:rPr>
      </w:pPr>
      <w:r w:rsidRPr="00A175A3">
        <w:rPr>
          <w:rFonts w:ascii="Times New Roman" w:hAnsi="Times New Roman" w:cs="Times New Roman"/>
          <w:noProof/>
          <w:color w:val="000000" w:themeColor="text1"/>
          <w:lang w:val="en-US" w:eastAsia="en-US"/>
        </w:rPr>
        <w:drawing>
          <wp:inline distT="0" distB="0" distL="0" distR="0" wp14:anchorId="0B8771C8" wp14:editId="6624C2B9">
            <wp:extent cx="2857500" cy="1600200"/>
            <wp:effectExtent l="0" t="0" r="0" b="0"/>
            <wp:docPr id="2" name="image2.png" descr="Seeing the Future Differently with AR and VR - Connected World"/>
            <wp:cNvGraphicFramePr/>
            <a:graphic xmlns:a="http://schemas.openxmlformats.org/drawingml/2006/main">
              <a:graphicData uri="http://schemas.openxmlformats.org/drawingml/2006/picture">
                <pic:pic xmlns:pic="http://schemas.openxmlformats.org/drawingml/2006/picture">
                  <pic:nvPicPr>
                    <pic:cNvPr id="0" name="image2.png" descr="Seeing the Future Differently with AR and VR - Connected World"/>
                    <pic:cNvPicPr preferRelativeResize="0"/>
                  </pic:nvPicPr>
                  <pic:blipFill>
                    <a:blip r:embed="rId11"/>
                    <a:srcRect/>
                    <a:stretch>
                      <a:fillRect/>
                    </a:stretch>
                  </pic:blipFill>
                  <pic:spPr>
                    <a:xfrm>
                      <a:off x="0" y="0"/>
                      <a:ext cx="2857500" cy="1600200"/>
                    </a:xfrm>
                    <a:prstGeom prst="rect">
                      <a:avLst/>
                    </a:prstGeom>
                    <a:ln/>
                  </pic:spPr>
                </pic:pic>
              </a:graphicData>
            </a:graphic>
          </wp:inline>
        </w:drawing>
      </w:r>
    </w:p>
    <w:p w14:paraId="766D1FC0" w14:textId="77777777" w:rsidR="00891C82" w:rsidRPr="00A175A3" w:rsidRDefault="007A462F" w:rsidP="00036730">
      <w:pPr>
        <w:pBdr>
          <w:top w:val="nil"/>
          <w:left w:val="nil"/>
          <w:bottom w:val="nil"/>
          <w:right w:val="nil"/>
          <w:between w:val="nil"/>
        </w:pBdr>
        <w:spacing w:after="200"/>
        <w:jc w:val="center"/>
        <w:rPr>
          <w:rFonts w:ascii="Times New Roman" w:hAnsi="Times New Roman" w:cs="Times New Roman"/>
          <w:i/>
          <w:color w:val="000000" w:themeColor="text1"/>
        </w:rPr>
      </w:pPr>
      <w:r w:rsidRPr="00A175A3">
        <w:rPr>
          <w:rFonts w:ascii="Times New Roman" w:hAnsi="Times New Roman" w:cs="Times New Roman"/>
          <w:i/>
          <w:color w:val="000000" w:themeColor="text1"/>
        </w:rPr>
        <w:t>Figure 3: Augmented and Virtual Reality</w:t>
      </w:r>
    </w:p>
    <w:p w14:paraId="536800EF"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However, sustainability also plays an increasingly important role in event planning, particularly with respect to winter-specific events that typically add to heating and lighting costs. This is why the TechWinter Conclave also adopts eco friendly practises like no use of single use plastics, providing digital tickets and catering from local sources. As the event is low impact, the Barbican Centre itself is sustainability focused, boasting energy efficient systems and a recycling programme, all in support of the event’s aims.</w:t>
      </w:r>
    </w:p>
    <w:p w14:paraId="57F8B826"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First is the use of digital engagement tools to enhance attendee networking and interaction opportunity. These days most tech events are integrating mobile apps that allow instant updates, session polling as well as personalised agendas (</w:t>
      </w:r>
      <w:r w:rsidRPr="00A175A3">
        <w:rPr>
          <w:rFonts w:ascii="Times New Roman" w:eastAsia="Times New Roman" w:hAnsi="Times New Roman" w:cs="Times New Roman"/>
          <w:color w:val="000000" w:themeColor="text1"/>
        </w:rPr>
        <w:t>Smith, 2012)</w:t>
      </w:r>
      <w:r w:rsidRPr="00A175A3">
        <w:rPr>
          <w:rFonts w:ascii="Times New Roman" w:hAnsi="Times New Roman" w:cs="Times New Roman"/>
          <w:color w:val="000000" w:themeColor="text1"/>
        </w:rPr>
        <w:t>. An event app created specifically for the TechWinter Conclave will help attendees to socialise, participate in Q&amp;A sessions, receive notifications of highlights as soon as they happen, all to increase engagement and satisfaction (Perry et al., 2020). In addition, key sessions will also be live streamed to remote attendees, which is indicative of a rising interest in hybrid format from events whose participants can both attend in person and remotely.</w:t>
      </w:r>
    </w:p>
    <w:p w14:paraId="7BBD7626" w14:textId="77777777" w:rsidR="00891C82" w:rsidRPr="00A175A3" w:rsidRDefault="007A462F" w:rsidP="00036730">
      <w:pPr>
        <w:rPr>
          <w:rFonts w:ascii="Times New Roman" w:hAnsi="Times New Roman" w:cs="Times New Roman"/>
          <w:color w:val="000000" w:themeColor="text1"/>
        </w:rPr>
      </w:pPr>
      <w:r w:rsidRPr="00A175A3">
        <w:rPr>
          <w:rFonts w:ascii="Times New Roman" w:hAnsi="Times New Roman" w:cs="Times New Roman"/>
          <w:color w:val="000000" w:themeColor="text1"/>
        </w:rPr>
        <w:t>In this context, these trends, in addition to a focus on networking and collaboration, make the highly forward thinking TechWinter Conclave a preferred event, especially now that technology professionals are tweaking their preferences. The conclave accomplishes industry standards while offering the attendees a meaningful and memorable experience and long term value and sense of community amongst the attendants, by incorporating sustainability, digital engagement and immersive experiences.</w:t>
      </w:r>
    </w:p>
    <w:p w14:paraId="2E6A82AC" w14:textId="77777777" w:rsidR="000F66E3" w:rsidRPr="00A175A3" w:rsidRDefault="000F66E3" w:rsidP="00036730">
      <w:pPr>
        <w:pStyle w:val="Titlu1"/>
        <w:numPr>
          <w:ilvl w:val="0"/>
          <w:numId w:val="2"/>
        </w:numPr>
        <w:rPr>
          <w:rFonts w:ascii="Times New Roman" w:hAnsi="Times New Roman" w:cs="Times New Roman"/>
          <w:color w:val="000000" w:themeColor="text1"/>
        </w:rPr>
        <w:sectPr w:rsidR="000F66E3" w:rsidRPr="00A175A3">
          <w:pgSz w:w="12240" w:h="15840"/>
          <w:pgMar w:top="1440" w:right="1440" w:bottom="1440" w:left="1440" w:header="708" w:footer="708" w:gutter="0"/>
          <w:pgNumType w:start="1"/>
          <w:cols w:space="720"/>
        </w:sectPr>
      </w:pPr>
      <w:bookmarkStart w:id="7" w:name="_1t3h5sf" w:colFirst="0" w:colLast="0"/>
      <w:bookmarkEnd w:id="7"/>
    </w:p>
    <w:p w14:paraId="4723C57E" w14:textId="77777777" w:rsidR="00891C82" w:rsidRPr="00A175A3" w:rsidRDefault="007A462F" w:rsidP="00036730">
      <w:pPr>
        <w:pStyle w:val="Titlu1"/>
        <w:numPr>
          <w:ilvl w:val="0"/>
          <w:numId w:val="2"/>
        </w:numPr>
        <w:rPr>
          <w:rFonts w:ascii="Times New Roman" w:hAnsi="Times New Roman" w:cs="Times New Roman"/>
          <w:color w:val="000000" w:themeColor="text1"/>
        </w:rPr>
      </w:pPr>
      <w:r w:rsidRPr="00A175A3">
        <w:rPr>
          <w:rFonts w:ascii="Times New Roman" w:hAnsi="Times New Roman" w:cs="Times New Roman"/>
          <w:color w:val="000000" w:themeColor="text1"/>
        </w:rPr>
        <w:t xml:space="preserve">Situational and Cultural Considerations </w:t>
      </w:r>
    </w:p>
    <w:tbl>
      <w:tblPr>
        <w:tblStyle w:val="a1"/>
        <w:tblW w:w="5000" w:type="pct"/>
        <w:tblBorders>
          <w:top w:val="single" w:sz="4" w:space="0" w:color="7F7F7F"/>
          <w:bottom w:val="single" w:sz="4" w:space="0" w:color="7F7F7F"/>
        </w:tblBorders>
        <w:tblLook w:val="04A0" w:firstRow="1" w:lastRow="0" w:firstColumn="1" w:lastColumn="0" w:noHBand="0" w:noVBand="1"/>
      </w:tblPr>
      <w:tblGrid>
        <w:gridCol w:w="2261"/>
        <w:gridCol w:w="2081"/>
        <w:gridCol w:w="2035"/>
        <w:gridCol w:w="2252"/>
        <w:gridCol w:w="1897"/>
        <w:gridCol w:w="2434"/>
      </w:tblGrid>
      <w:tr w:rsidR="00A175A3" w:rsidRPr="00A175A3" w14:paraId="2001547C" w14:textId="77777777" w:rsidTr="000F66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72" w:type="pct"/>
          </w:tcPr>
          <w:p w14:paraId="425C57C7" w14:textId="77777777" w:rsidR="00891C82" w:rsidRPr="00A175A3" w:rsidRDefault="007A462F" w:rsidP="00036730">
            <w:pPr>
              <w:spacing w:line="360" w:lineRule="auto"/>
              <w:jc w:val="center"/>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Political</w:t>
            </w:r>
          </w:p>
        </w:tc>
        <w:tc>
          <w:tcPr>
            <w:tcW w:w="803" w:type="pct"/>
          </w:tcPr>
          <w:p w14:paraId="6BA0416F"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Economic</w:t>
            </w:r>
          </w:p>
        </w:tc>
        <w:tc>
          <w:tcPr>
            <w:tcW w:w="785" w:type="pct"/>
          </w:tcPr>
          <w:p w14:paraId="7DFB3ED9"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Social</w:t>
            </w:r>
          </w:p>
        </w:tc>
        <w:tc>
          <w:tcPr>
            <w:tcW w:w="869" w:type="pct"/>
          </w:tcPr>
          <w:p w14:paraId="2AA710E1"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Technological</w:t>
            </w:r>
          </w:p>
        </w:tc>
        <w:tc>
          <w:tcPr>
            <w:tcW w:w="732" w:type="pct"/>
          </w:tcPr>
          <w:p w14:paraId="663F5FED"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Legal</w:t>
            </w:r>
          </w:p>
        </w:tc>
        <w:tc>
          <w:tcPr>
            <w:tcW w:w="939" w:type="pct"/>
          </w:tcPr>
          <w:p w14:paraId="284FFF49" w14:textId="77777777" w:rsidR="00891C82" w:rsidRPr="00A175A3" w:rsidRDefault="007A462F" w:rsidP="0003673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Environmental</w:t>
            </w:r>
          </w:p>
        </w:tc>
      </w:tr>
      <w:tr w:rsidR="00A175A3" w:rsidRPr="00A175A3" w14:paraId="031A1EDB" w14:textId="77777777" w:rsidTr="000F66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72" w:type="pct"/>
          </w:tcPr>
          <w:p w14:paraId="6E12DF07" w14:textId="77777777" w:rsidR="00891C82" w:rsidRPr="00A175A3" w:rsidRDefault="00BD2AF6" w:rsidP="000F66E3">
            <w:pPr>
              <w:spacing w:line="360" w:lineRule="auto"/>
              <w:rPr>
                <w:rFonts w:ascii="Times New Roman" w:eastAsia="Times New Roman" w:hAnsi="Times New Roman" w:cs="Times New Roman"/>
                <w:b w:val="0"/>
                <w:color w:val="000000" w:themeColor="text1"/>
              </w:rPr>
            </w:pPr>
            <w:r w:rsidRPr="00A175A3">
              <w:rPr>
                <w:rFonts w:ascii="Times New Roman" w:eastAsia="Times New Roman" w:hAnsi="Times New Roman" w:cs="Times New Roman"/>
                <w:b w:val="0"/>
                <w:color w:val="000000" w:themeColor="text1"/>
              </w:rPr>
              <w:t>UK</w:t>
            </w:r>
            <w:r w:rsidR="007A462F" w:rsidRPr="00A175A3">
              <w:rPr>
                <w:rFonts w:ascii="Times New Roman" w:eastAsia="Times New Roman" w:hAnsi="Times New Roman" w:cs="Times New Roman"/>
                <w:b w:val="0"/>
                <w:color w:val="000000" w:themeColor="text1"/>
              </w:rPr>
              <w:t xml:space="preserve"> stable political environment supports international business events, especially in tech and innovation sectors (</w:t>
            </w:r>
            <w:r w:rsidR="007A462F" w:rsidRPr="00A175A3">
              <w:rPr>
                <w:rFonts w:ascii="Times New Roman" w:hAnsi="Times New Roman" w:cs="Times New Roman"/>
                <w:b w:val="0"/>
                <w:color w:val="000000" w:themeColor="text1"/>
              </w:rPr>
              <w:t>Abdulan et al., 2023)</w:t>
            </w:r>
            <w:r w:rsidR="007A462F" w:rsidRPr="00A175A3">
              <w:rPr>
                <w:rFonts w:ascii="Times New Roman" w:eastAsia="Times New Roman" w:hAnsi="Times New Roman" w:cs="Times New Roman"/>
                <w:b w:val="0"/>
                <w:color w:val="000000" w:themeColor="text1"/>
              </w:rPr>
              <w:t>.</w:t>
            </w:r>
          </w:p>
        </w:tc>
        <w:tc>
          <w:tcPr>
            <w:tcW w:w="803" w:type="pct"/>
          </w:tcPr>
          <w:p w14:paraId="65030268" w14:textId="77777777" w:rsidR="00891C82" w:rsidRPr="00A175A3" w:rsidRDefault="00BD2AF6" w:rsidP="000F66E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UK</w:t>
            </w:r>
            <w:r w:rsidR="007A462F" w:rsidRPr="00A175A3">
              <w:rPr>
                <w:rFonts w:ascii="Times New Roman" w:eastAsia="Times New Roman" w:hAnsi="Times New Roman" w:cs="Times New Roman"/>
                <w:color w:val="000000" w:themeColor="text1"/>
              </w:rPr>
              <w:t xml:space="preserve"> status as a global financial hub ensures access to investors, startups, and tech firms, enhancing event appeal.</w:t>
            </w:r>
          </w:p>
        </w:tc>
        <w:tc>
          <w:tcPr>
            <w:tcW w:w="785" w:type="pct"/>
          </w:tcPr>
          <w:p w14:paraId="3F803B27" w14:textId="77777777" w:rsidR="00891C82" w:rsidRPr="00A175A3" w:rsidRDefault="007A462F" w:rsidP="000F66E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London’s diverse workforce values inclusivity and innovation, aligning well with the conclave’s collaborative goals.</w:t>
            </w:r>
          </w:p>
        </w:tc>
        <w:tc>
          <w:tcPr>
            <w:tcW w:w="869" w:type="pct"/>
          </w:tcPr>
          <w:p w14:paraId="356A2C2C" w14:textId="77777777" w:rsidR="00891C82" w:rsidRPr="00A175A3" w:rsidRDefault="007A462F" w:rsidP="000F66E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London’s advanced tech infrastructure and the Barbican Centre’s modern facilities are ideal for interactive tech sessions.</w:t>
            </w:r>
          </w:p>
        </w:tc>
        <w:tc>
          <w:tcPr>
            <w:tcW w:w="732" w:type="pct"/>
          </w:tcPr>
          <w:p w14:paraId="452D6821" w14:textId="77777777" w:rsidR="00891C82" w:rsidRPr="00A175A3" w:rsidRDefault="007A462F" w:rsidP="000F66E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Compliance with GDPR and data privacy laws is ensured through secure registration and app usage.</w:t>
            </w:r>
          </w:p>
        </w:tc>
        <w:tc>
          <w:tcPr>
            <w:tcW w:w="939" w:type="pct"/>
          </w:tcPr>
          <w:p w14:paraId="7A009326" w14:textId="77777777" w:rsidR="00891C82" w:rsidRPr="00A175A3" w:rsidRDefault="007A462F" w:rsidP="000F66E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The winter season increases energy needs, but sustainable practices at the Barbican Centre mitigate environmental impact.</w:t>
            </w:r>
          </w:p>
        </w:tc>
      </w:tr>
      <w:tr w:rsidR="00A175A3" w:rsidRPr="00A175A3" w14:paraId="36CFF8E6" w14:textId="77777777" w:rsidTr="000F66E3">
        <w:tc>
          <w:tcPr>
            <w:cnfStyle w:val="001000000000" w:firstRow="0" w:lastRow="0" w:firstColumn="1" w:lastColumn="0" w:oddVBand="0" w:evenVBand="0" w:oddHBand="0" w:evenHBand="0" w:firstRowFirstColumn="0" w:firstRowLastColumn="0" w:lastRowFirstColumn="0" w:lastRowLastColumn="0"/>
            <w:tcW w:w="872" w:type="pct"/>
          </w:tcPr>
          <w:p w14:paraId="1C1E6963" w14:textId="77777777" w:rsidR="00891C82" w:rsidRPr="00A175A3" w:rsidRDefault="007A462F" w:rsidP="000F66E3">
            <w:pPr>
              <w:spacing w:line="360" w:lineRule="auto"/>
              <w:rPr>
                <w:rFonts w:ascii="Times New Roman" w:eastAsia="Times New Roman" w:hAnsi="Times New Roman" w:cs="Times New Roman"/>
                <w:b w:val="0"/>
                <w:color w:val="000000" w:themeColor="text1"/>
              </w:rPr>
            </w:pPr>
            <w:r w:rsidRPr="00A175A3">
              <w:rPr>
                <w:rFonts w:ascii="Times New Roman" w:eastAsia="Times New Roman" w:hAnsi="Times New Roman" w:cs="Times New Roman"/>
                <w:b w:val="0"/>
                <w:color w:val="000000" w:themeColor="text1"/>
              </w:rPr>
              <w:t>The UK government’s focus on establishing London as a tech hub attracts global tech leaders to the conclave.</w:t>
            </w:r>
          </w:p>
        </w:tc>
        <w:tc>
          <w:tcPr>
            <w:tcW w:w="803" w:type="pct"/>
          </w:tcPr>
          <w:p w14:paraId="55BDCCCA" w14:textId="77777777" w:rsidR="00891C82" w:rsidRPr="00A175A3" w:rsidRDefault="007A462F" w:rsidP="000F66E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Despite economic uncertainties, demand for tech solutions remains strong, attracting professionals seeking partnerships.</w:t>
            </w:r>
          </w:p>
        </w:tc>
        <w:tc>
          <w:tcPr>
            <w:tcW w:w="785" w:type="pct"/>
          </w:tcPr>
          <w:p w14:paraId="6D663959" w14:textId="77777777" w:rsidR="00891C82" w:rsidRPr="00A175A3" w:rsidRDefault="007A462F" w:rsidP="000F66E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The city’s tech community is receptive to sustainable, innovative practices, aligning with the conclave’s goals.</w:t>
            </w:r>
          </w:p>
        </w:tc>
        <w:tc>
          <w:tcPr>
            <w:tcW w:w="869" w:type="pct"/>
          </w:tcPr>
          <w:p w14:paraId="05B2EE9E" w14:textId="77777777" w:rsidR="00891C82" w:rsidRPr="00A175A3" w:rsidRDefault="007A462F" w:rsidP="000F66E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Digital tools like the mobile app and live streaming enhance engagement for a tech-savvy audience in a tech-driven city.</w:t>
            </w:r>
          </w:p>
        </w:tc>
        <w:tc>
          <w:tcPr>
            <w:tcW w:w="732" w:type="pct"/>
          </w:tcPr>
          <w:p w14:paraId="3C78CA70" w14:textId="77777777" w:rsidR="00891C82" w:rsidRPr="00A175A3" w:rsidRDefault="007A462F" w:rsidP="000F66E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Vendor, sponsor, and attendee contracts adhere to UK event regulations, ensuring legal compliance.</w:t>
            </w:r>
          </w:p>
        </w:tc>
        <w:tc>
          <w:tcPr>
            <w:tcW w:w="939" w:type="pct"/>
          </w:tcPr>
          <w:p w14:paraId="00FAF685" w14:textId="77777777" w:rsidR="00891C82" w:rsidRPr="00A175A3" w:rsidRDefault="007A462F" w:rsidP="000F66E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Initiatives like digital ticketing and waste reduction resonate with London’s environmentally conscious community.</w:t>
            </w:r>
          </w:p>
        </w:tc>
      </w:tr>
    </w:tbl>
    <w:p w14:paraId="638C6C51" w14:textId="77777777" w:rsidR="000F66E3" w:rsidRPr="00A175A3" w:rsidRDefault="000F66E3" w:rsidP="00036730">
      <w:pPr>
        <w:rPr>
          <w:rFonts w:ascii="Times New Roman" w:hAnsi="Times New Roman" w:cs="Times New Roman"/>
          <w:color w:val="000000" w:themeColor="text1"/>
        </w:rPr>
        <w:sectPr w:rsidR="000F66E3" w:rsidRPr="00A175A3" w:rsidSect="000F66E3">
          <w:pgSz w:w="15840" w:h="12240" w:orient="landscape"/>
          <w:pgMar w:top="1440" w:right="1440" w:bottom="1440" w:left="1440" w:header="709" w:footer="709" w:gutter="0"/>
          <w:pgNumType w:start="1"/>
          <w:cols w:space="720"/>
        </w:sectPr>
      </w:pPr>
    </w:p>
    <w:p w14:paraId="1D243FC9" w14:textId="77777777" w:rsidR="00891C82" w:rsidRPr="00A175A3" w:rsidRDefault="00891C82" w:rsidP="00036730">
      <w:pPr>
        <w:rPr>
          <w:rFonts w:ascii="Times New Roman" w:hAnsi="Times New Roman" w:cs="Times New Roman"/>
          <w:color w:val="000000" w:themeColor="text1"/>
        </w:rPr>
      </w:pPr>
    </w:p>
    <w:p w14:paraId="12AFCC20" w14:textId="77777777" w:rsidR="00891C82" w:rsidRPr="00A175A3" w:rsidRDefault="007A462F">
      <w:pPr>
        <w:spacing w:line="259" w:lineRule="auto"/>
        <w:jc w:val="left"/>
        <w:rPr>
          <w:color w:val="000000" w:themeColor="text1"/>
        </w:rPr>
      </w:pPr>
      <w:r w:rsidRPr="00A175A3">
        <w:rPr>
          <w:color w:val="000000" w:themeColor="text1"/>
        </w:rPr>
        <w:br w:type="page"/>
      </w:r>
    </w:p>
    <w:p w14:paraId="7D36B3C0" w14:textId="77777777" w:rsidR="00891C82" w:rsidRPr="00A175A3" w:rsidRDefault="007A462F">
      <w:pPr>
        <w:pStyle w:val="Titlu1"/>
        <w:numPr>
          <w:ilvl w:val="0"/>
          <w:numId w:val="2"/>
        </w:numPr>
        <w:rPr>
          <w:color w:val="000000" w:themeColor="text1"/>
        </w:rPr>
      </w:pPr>
      <w:r w:rsidRPr="00A175A3">
        <w:rPr>
          <w:color w:val="000000" w:themeColor="text1"/>
        </w:rPr>
        <w:t xml:space="preserve">References </w:t>
      </w:r>
    </w:p>
    <w:p w14:paraId="369ABB92" w14:textId="77777777" w:rsidR="007A462F" w:rsidRPr="00A175A3" w:rsidRDefault="007A462F">
      <w:pPr>
        <w:ind w:left="720" w:hanging="720"/>
        <w:rPr>
          <w:color w:val="000000" w:themeColor="text1"/>
        </w:rPr>
      </w:pPr>
      <w:r w:rsidRPr="00A175A3">
        <w:rPr>
          <w:color w:val="000000" w:themeColor="text1"/>
        </w:rPr>
        <w:t xml:space="preserve">Abdulan, I.M., Popescu, G., Maștaleru, A., Oancea, A., Costache, A.D., Cojocaru, D.-C., Cumpăt, C.-M., Ciuntu, B.M., Rusu, B. and Leon, M.M. (2023) ‘Winter Holidays and Their Impact on Eating Behavior—A Systematic Review’, </w:t>
      </w:r>
      <w:r w:rsidRPr="00A175A3">
        <w:rPr>
          <w:i/>
          <w:color w:val="000000" w:themeColor="text1"/>
        </w:rPr>
        <w:t>Nutrients</w:t>
      </w:r>
      <w:r w:rsidRPr="00A175A3">
        <w:rPr>
          <w:color w:val="000000" w:themeColor="text1"/>
        </w:rPr>
        <w:t xml:space="preserve">, 15(19), p. 4201. doi: </w:t>
      </w:r>
      <w:hyperlink r:id="rId12">
        <w:r w:rsidRPr="00A175A3">
          <w:rPr>
            <w:color w:val="000000" w:themeColor="text1"/>
            <w:u w:val="single"/>
          </w:rPr>
          <w:t>https://doi.org/10.3390/nu15194201</w:t>
        </w:r>
      </w:hyperlink>
      <w:r w:rsidRPr="00A175A3">
        <w:rPr>
          <w:color w:val="000000" w:themeColor="text1"/>
        </w:rPr>
        <w:t>.</w:t>
      </w:r>
    </w:p>
    <w:p w14:paraId="691A9C64" w14:textId="77777777" w:rsidR="007A462F" w:rsidRPr="00A175A3" w:rsidRDefault="007A462F">
      <w:pPr>
        <w:ind w:left="720" w:hanging="720"/>
        <w:rPr>
          <w:color w:val="000000" w:themeColor="text1"/>
        </w:rPr>
      </w:pPr>
      <w:r w:rsidRPr="00A175A3">
        <w:rPr>
          <w:color w:val="000000" w:themeColor="text1"/>
        </w:rPr>
        <w:t>Allen, J., Harris, R. and Jago, L., 2022. </w:t>
      </w:r>
      <w:r w:rsidRPr="00A175A3">
        <w:rPr>
          <w:i/>
          <w:iCs/>
          <w:color w:val="000000" w:themeColor="text1"/>
        </w:rPr>
        <w:t>Festival &amp; special event management</w:t>
      </w:r>
      <w:r w:rsidRPr="00A175A3">
        <w:rPr>
          <w:color w:val="000000" w:themeColor="text1"/>
        </w:rPr>
        <w:t>. John Wiley &amp; Sons.</w:t>
      </w:r>
    </w:p>
    <w:p w14:paraId="3CEE85B0"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Black, N., 2016. Festival connections: How consistent and innovative connections enable small-scale rural festivals to contribute to socially sustainable communities. </w:t>
      </w:r>
      <w:r w:rsidRPr="00A175A3">
        <w:rPr>
          <w:rFonts w:ascii="Times New Roman" w:eastAsia="Times New Roman" w:hAnsi="Times New Roman" w:cs="Times New Roman"/>
          <w:i/>
          <w:color w:val="000000" w:themeColor="text1"/>
        </w:rPr>
        <w:t>International Journal of Event and Festival Management</w:t>
      </w:r>
      <w:r w:rsidRPr="00A175A3">
        <w:rPr>
          <w:rFonts w:ascii="Times New Roman" w:eastAsia="Times New Roman" w:hAnsi="Times New Roman" w:cs="Times New Roman"/>
          <w:color w:val="000000" w:themeColor="text1"/>
        </w:rPr>
        <w:t xml:space="preserve">, </w:t>
      </w:r>
      <w:r w:rsidRPr="00A175A3">
        <w:rPr>
          <w:rFonts w:ascii="Times New Roman" w:eastAsia="Times New Roman" w:hAnsi="Times New Roman" w:cs="Times New Roman"/>
          <w:i/>
          <w:color w:val="000000" w:themeColor="text1"/>
        </w:rPr>
        <w:t>7</w:t>
      </w:r>
      <w:r w:rsidRPr="00A175A3">
        <w:rPr>
          <w:rFonts w:ascii="Times New Roman" w:eastAsia="Times New Roman" w:hAnsi="Times New Roman" w:cs="Times New Roman"/>
          <w:color w:val="000000" w:themeColor="text1"/>
        </w:rPr>
        <w:t>(3), pp.172-187.</w:t>
      </w:r>
    </w:p>
    <w:p w14:paraId="258B9737" w14:textId="77777777" w:rsidR="007A462F" w:rsidRPr="00A175A3" w:rsidRDefault="007A462F">
      <w:pPr>
        <w:ind w:left="720" w:hanging="720"/>
        <w:rPr>
          <w:color w:val="000000" w:themeColor="text1"/>
        </w:rPr>
      </w:pPr>
      <w:r w:rsidRPr="00A175A3">
        <w:rPr>
          <w:color w:val="000000" w:themeColor="text1"/>
        </w:rPr>
        <w:t>Bladen, C., Kennell, J., Abson, E. and Wilde, N., 2022. </w:t>
      </w:r>
      <w:r w:rsidRPr="00A175A3">
        <w:rPr>
          <w:i/>
          <w:iCs/>
          <w:color w:val="000000" w:themeColor="text1"/>
        </w:rPr>
        <w:t>Events management: An introduction</w:t>
      </w:r>
      <w:r w:rsidRPr="00A175A3">
        <w:rPr>
          <w:color w:val="000000" w:themeColor="text1"/>
        </w:rPr>
        <w:t>. Routledge.</w:t>
      </w:r>
    </w:p>
    <w:p w14:paraId="7734F07E"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BROWN, B.A., 2020. Integrating Cultural Heritage Into Sustainable Tourism Development. </w:t>
      </w:r>
      <w:r w:rsidRPr="00A175A3">
        <w:rPr>
          <w:rFonts w:ascii="Times New Roman" w:eastAsia="Times New Roman" w:hAnsi="Times New Roman" w:cs="Times New Roman"/>
          <w:i/>
          <w:color w:val="000000" w:themeColor="text1"/>
        </w:rPr>
        <w:t>Botswana Cultural Heritage and Sustainable Tourism Development: A Handbook of Theory and Practice</w:t>
      </w:r>
      <w:r w:rsidRPr="00A175A3">
        <w:rPr>
          <w:rFonts w:ascii="Times New Roman" w:eastAsia="Times New Roman" w:hAnsi="Times New Roman" w:cs="Times New Roman"/>
          <w:color w:val="000000" w:themeColor="text1"/>
        </w:rPr>
        <w:t xml:space="preserve">, </w:t>
      </w:r>
      <w:r w:rsidRPr="00A175A3">
        <w:rPr>
          <w:rFonts w:ascii="Times New Roman" w:eastAsia="Times New Roman" w:hAnsi="Times New Roman" w:cs="Times New Roman"/>
          <w:i/>
          <w:color w:val="000000" w:themeColor="text1"/>
        </w:rPr>
        <w:t>182</w:t>
      </w:r>
      <w:r w:rsidRPr="00A175A3">
        <w:rPr>
          <w:rFonts w:ascii="Times New Roman" w:eastAsia="Times New Roman" w:hAnsi="Times New Roman" w:cs="Times New Roman"/>
          <w:color w:val="000000" w:themeColor="text1"/>
        </w:rPr>
        <w:t>.</w:t>
      </w:r>
    </w:p>
    <w:p w14:paraId="44FB17F8" w14:textId="77777777" w:rsidR="007A462F" w:rsidRPr="00A175A3" w:rsidRDefault="007A462F">
      <w:pPr>
        <w:ind w:left="720" w:hanging="720"/>
        <w:rPr>
          <w:color w:val="000000" w:themeColor="text1"/>
        </w:rPr>
      </w:pPr>
      <w:r w:rsidRPr="00A175A3">
        <w:rPr>
          <w:color w:val="000000" w:themeColor="text1"/>
        </w:rPr>
        <w:t xml:space="preserve">Fazaeil, J., Ghafouri, F., Javid, M. and Goodarzi, S. (2020) ‘Sports Tourism and Sustainable Development of Host Cities (A Case Study: Sarein Winter Sports Festival)’, </w:t>
      </w:r>
      <w:r w:rsidRPr="00A175A3">
        <w:rPr>
          <w:i/>
          <w:color w:val="000000" w:themeColor="text1"/>
        </w:rPr>
        <w:t>Strategic Studies on Youth and Sports</w:t>
      </w:r>
      <w:r w:rsidRPr="00A175A3">
        <w:rPr>
          <w:color w:val="000000" w:themeColor="text1"/>
        </w:rPr>
        <w:t xml:space="preserve">, 19(48), pp. 197–218. Available at: </w:t>
      </w:r>
      <w:hyperlink r:id="rId13">
        <w:r w:rsidRPr="00A175A3">
          <w:rPr>
            <w:color w:val="000000" w:themeColor="text1"/>
            <w:u w:val="single"/>
          </w:rPr>
          <w:t>https://faslname.msy.gov.ir/article_382.html?lang=en</w:t>
        </w:r>
      </w:hyperlink>
      <w:r w:rsidRPr="00A175A3">
        <w:rPr>
          <w:color w:val="000000" w:themeColor="text1"/>
        </w:rPr>
        <w:t xml:space="preserve"> [Accessed 8 Oct. 2024].</w:t>
      </w:r>
    </w:p>
    <w:p w14:paraId="6FD36B38" w14:textId="77777777" w:rsidR="007A462F" w:rsidRPr="00A175A3" w:rsidRDefault="007A462F">
      <w:pPr>
        <w:ind w:left="720" w:hanging="720"/>
        <w:rPr>
          <w:color w:val="000000" w:themeColor="text1"/>
        </w:rPr>
      </w:pPr>
      <w:r w:rsidRPr="00A175A3">
        <w:rPr>
          <w:color w:val="000000" w:themeColor="text1"/>
        </w:rPr>
        <w:t xml:space="preserve">Finkel, R. and Platt, L. (2020) ‘Cultural festivals and the city’, </w:t>
      </w:r>
      <w:r w:rsidRPr="00A175A3">
        <w:rPr>
          <w:i/>
          <w:color w:val="000000" w:themeColor="text1"/>
        </w:rPr>
        <w:t>Geography Compass</w:t>
      </w:r>
      <w:r w:rsidRPr="00A175A3">
        <w:rPr>
          <w:color w:val="000000" w:themeColor="text1"/>
        </w:rPr>
        <w:t xml:space="preserve">, 14(9), p. e12498. doi: </w:t>
      </w:r>
      <w:hyperlink r:id="rId14">
        <w:r w:rsidRPr="00A175A3">
          <w:rPr>
            <w:color w:val="000000" w:themeColor="text1"/>
            <w:u w:val="single"/>
          </w:rPr>
          <w:t>https://doi.org/10.1111/gec3.12498</w:t>
        </w:r>
      </w:hyperlink>
      <w:r w:rsidRPr="00A175A3">
        <w:rPr>
          <w:color w:val="000000" w:themeColor="text1"/>
        </w:rPr>
        <w:t>.</w:t>
      </w:r>
    </w:p>
    <w:p w14:paraId="1CC5334A" w14:textId="77777777" w:rsidR="007A462F" w:rsidRPr="00A175A3" w:rsidRDefault="007A462F">
      <w:pPr>
        <w:ind w:left="720" w:hanging="720"/>
        <w:rPr>
          <w:color w:val="000000" w:themeColor="text1"/>
        </w:rPr>
      </w:pPr>
      <w:r w:rsidRPr="00A175A3">
        <w:rPr>
          <w:color w:val="000000" w:themeColor="text1"/>
        </w:rPr>
        <w:t xml:space="preserve">Fox, D., Van Der Wagen, L., and Steffani, J. (2014) </w:t>
      </w:r>
      <w:r w:rsidRPr="00A175A3">
        <w:rPr>
          <w:i/>
          <w:color w:val="000000" w:themeColor="text1"/>
        </w:rPr>
        <w:t>Doing events research: from theory to practice.</w:t>
      </w:r>
      <w:r w:rsidRPr="00A175A3">
        <w:rPr>
          <w:color w:val="000000" w:themeColor="text1"/>
        </w:rPr>
        <w:t xml:space="preserve"> Oxford: Routledge.</w:t>
      </w:r>
    </w:p>
    <w:p w14:paraId="544D5F98" w14:textId="77777777" w:rsidR="007A462F" w:rsidRPr="00A175A3" w:rsidRDefault="007A462F">
      <w:pPr>
        <w:ind w:left="720" w:hanging="720"/>
        <w:rPr>
          <w:color w:val="000000" w:themeColor="text1"/>
        </w:rPr>
      </w:pPr>
      <w:r w:rsidRPr="00A175A3">
        <w:rPr>
          <w:color w:val="000000" w:themeColor="text1"/>
        </w:rPr>
        <w:t xml:space="preserve">Koutrou, N. and Berber, S. (2021) ‘The impact of role ambiguity on future volunteering: A case study of the 2017 European Youth Olympic Winter Festival’, </w:t>
      </w:r>
      <w:r w:rsidRPr="00A175A3">
        <w:rPr>
          <w:i/>
          <w:color w:val="000000" w:themeColor="text1"/>
        </w:rPr>
        <w:t>Journal of Policy Research in Tourism, Leisure and Events</w:t>
      </w:r>
      <w:r w:rsidRPr="00A175A3">
        <w:rPr>
          <w:color w:val="000000" w:themeColor="text1"/>
        </w:rPr>
        <w:t xml:space="preserve">, pp. 1–20. doi: </w:t>
      </w:r>
      <w:hyperlink r:id="rId15">
        <w:r w:rsidRPr="00A175A3">
          <w:rPr>
            <w:color w:val="000000" w:themeColor="text1"/>
            <w:u w:val="single"/>
          </w:rPr>
          <w:t>https://doi.org/10.1080/19407963.2021.1950738</w:t>
        </w:r>
      </w:hyperlink>
      <w:r w:rsidRPr="00A175A3">
        <w:rPr>
          <w:color w:val="000000" w:themeColor="text1"/>
        </w:rPr>
        <w:t>.</w:t>
      </w:r>
    </w:p>
    <w:p w14:paraId="37592F86"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Leschko, G.D.M. and Kortabarria, N.A., 2022. Cultural Heritage and Sustainable Development. </w:t>
      </w:r>
      <w:r w:rsidRPr="00A175A3">
        <w:rPr>
          <w:rFonts w:ascii="Times New Roman" w:eastAsia="Times New Roman" w:hAnsi="Times New Roman" w:cs="Times New Roman"/>
          <w:i/>
          <w:color w:val="000000" w:themeColor="text1"/>
        </w:rPr>
        <w:t>European Cities in the Process of Constructing and Transmitting European Cultural Heritage</w:t>
      </w:r>
      <w:r w:rsidRPr="00A175A3">
        <w:rPr>
          <w:rFonts w:ascii="Times New Roman" w:eastAsia="Times New Roman" w:hAnsi="Times New Roman" w:cs="Times New Roman"/>
          <w:color w:val="000000" w:themeColor="text1"/>
        </w:rPr>
        <w:t>, p.159.</w:t>
      </w:r>
    </w:p>
    <w:p w14:paraId="7380F155" w14:textId="77777777" w:rsidR="007A462F" w:rsidRPr="00A175A3" w:rsidRDefault="007A462F">
      <w:pPr>
        <w:ind w:left="720" w:hanging="720"/>
        <w:rPr>
          <w:color w:val="000000" w:themeColor="text1"/>
        </w:rPr>
      </w:pPr>
      <w:r w:rsidRPr="00A175A3">
        <w:rPr>
          <w:color w:val="000000" w:themeColor="text1"/>
        </w:rPr>
        <w:t xml:space="preserve">Liao, Z. and Dai, G. (2020) ‘Inheritance and Dissemination of Cultural Collective Memory: An Analysis of a Traditional Festival’, </w:t>
      </w:r>
      <w:r w:rsidRPr="00A175A3">
        <w:rPr>
          <w:i/>
          <w:color w:val="000000" w:themeColor="text1"/>
        </w:rPr>
        <w:t>SAGE Open</w:t>
      </w:r>
      <w:r w:rsidRPr="00A175A3">
        <w:rPr>
          <w:color w:val="000000" w:themeColor="text1"/>
        </w:rPr>
        <w:t xml:space="preserve">, 10(1), p. 215824402090160. doi: </w:t>
      </w:r>
      <w:hyperlink r:id="rId16">
        <w:r w:rsidRPr="00A175A3">
          <w:rPr>
            <w:color w:val="000000" w:themeColor="text1"/>
            <w:u w:val="single"/>
          </w:rPr>
          <w:t>https://doi.org/10.1177/2158244020901601</w:t>
        </w:r>
      </w:hyperlink>
      <w:r w:rsidRPr="00A175A3">
        <w:rPr>
          <w:color w:val="000000" w:themeColor="text1"/>
        </w:rPr>
        <w:t>.</w:t>
      </w:r>
    </w:p>
    <w:p w14:paraId="34B738EC" w14:textId="77777777" w:rsidR="007A462F" w:rsidRPr="00A175A3" w:rsidRDefault="007A462F">
      <w:pPr>
        <w:ind w:left="720" w:hanging="720"/>
        <w:rPr>
          <w:color w:val="000000" w:themeColor="text1"/>
        </w:rPr>
      </w:pPr>
      <w:r w:rsidRPr="00A175A3">
        <w:rPr>
          <w:rFonts w:ascii="Times New Roman" w:eastAsia="Times New Roman" w:hAnsi="Times New Roman" w:cs="Times New Roman"/>
          <w:color w:val="000000" w:themeColor="text1"/>
        </w:rPr>
        <w:t xml:space="preserve">Meredith, J. (2022) </w:t>
      </w:r>
      <w:r w:rsidRPr="00A175A3">
        <w:rPr>
          <w:rFonts w:ascii="Times New Roman" w:eastAsia="Times New Roman" w:hAnsi="Times New Roman" w:cs="Times New Roman"/>
          <w:i/>
          <w:color w:val="000000" w:themeColor="text1"/>
        </w:rPr>
        <w:t>Project management: a managerial approach.</w:t>
      </w:r>
      <w:r w:rsidRPr="00A175A3">
        <w:rPr>
          <w:rFonts w:ascii="Times New Roman" w:eastAsia="Times New Roman" w:hAnsi="Times New Roman" w:cs="Times New Roman"/>
          <w:color w:val="000000" w:themeColor="text1"/>
        </w:rPr>
        <w:t xml:space="preserve"> New York: McGraw-Hill.</w:t>
      </w:r>
    </w:p>
    <w:p w14:paraId="740F96EA"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O’Toole, W. (2011) </w:t>
      </w:r>
      <w:r w:rsidRPr="00A175A3">
        <w:rPr>
          <w:rFonts w:ascii="Times New Roman" w:eastAsia="Times New Roman" w:hAnsi="Times New Roman" w:cs="Times New Roman"/>
          <w:i/>
          <w:color w:val="000000" w:themeColor="text1"/>
        </w:rPr>
        <w:t>Events feasibility and development: from strategy to operations.</w:t>
      </w:r>
      <w:r w:rsidRPr="00A175A3">
        <w:rPr>
          <w:rFonts w:ascii="Times New Roman" w:eastAsia="Times New Roman" w:hAnsi="Times New Roman" w:cs="Times New Roman"/>
          <w:color w:val="000000" w:themeColor="text1"/>
        </w:rPr>
        <w:t xml:space="preserve"> Oxford: Elsevier.</w:t>
      </w:r>
    </w:p>
    <w:p w14:paraId="151D7F67"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Oevermann, H. and Mieg, H.A., 2021. Urban development planning and world cultural heritage: Two perspectives of planning practice dealing with industrial heritage. </w:t>
      </w:r>
      <w:r w:rsidRPr="00A175A3">
        <w:rPr>
          <w:rFonts w:ascii="Times New Roman" w:eastAsia="Times New Roman" w:hAnsi="Times New Roman" w:cs="Times New Roman"/>
          <w:i/>
          <w:color w:val="000000" w:themeColor="text1"/>
        </w:rPr>
        <w:t>Planning Practice &amp; Research</w:t>
      </w:r>
      <w:r w:rsidRPr="00A175A3">
        <w:rPr>
          <w:rFonts w:ascii="Times New Roman" w:eastAsia="Times New Roman" w:hAnsi="Times New Roman" w:cs="Times New Roman"/>
          <w:color w:val="000000" w:themeColor="text1"/>
        </w:rPr>
        <w:t xml:space="preserve">, </w:t>
      </w:r>
      <w:r w:rsidRPr="00A175A3">
        <w:rPr>
          <w:rFonts w:ascii="Times New Roman" w:eastAsia="Times New Roman" w:hAnsi="Times New Roman" w:cs="Times New Roman"/>
          <w:i/>
          <w:color w:val="000000" w:themeColor="text1"/>
        </w:rPr>
        <w:t>36</w:t>
      </w:r>
      <w:r w:rsidRPr="00A175A3">
        <w:rPr>
          <w:rFonts w:ascii="Times New Roman" w:eastAsia="Times New Roman" w:hAnsi="Times New Roman" w:cs="Times New Roman"/>
          <w:color w:val="000000" w:themeColor="text1"/>
        </w:rPr>
        <w:t>(4), pp.430-441.</w:t>
      </w:r>
    </w:p>
    <w:p w14:paraId="27AD5794" w14:textId="77777777" w:rsidR="007A462F" w:rsidRPr="00A175A3" w:rsidRDefault="007A462F">
      <w:pPr>
        <w:ind w:left="720" w:hanging="720"/>
        <w:rPr>
          <w:color w:val="000000" w:themeColor="text1"/>
        </w:rPr>
      </w:pPr>
      <w:r w:rsidRPr="00A175A3">
        <w:rPr>
          <w:color w:val="000000" w:themeColor="text1"/>
        </w:rPr>
        <w:t xml:space="preserve">Perry, B., Ager, L. and Sitas, R. (2019) ‘Cultural heritage entanglements: festivals as integrative sites for sustainable urban development’, </w:t>
      </w:r>
      <w:r w:rsidRPr="00A175A3">
        <w:rPr>
          <w:i/>
          <w:color w:val="000000" w:themeColor="text1"/>
        </w:rPr>
        <w:t>International Journal of Heritage Studies</w:t>
      </w:r>
      <w:r w:rsidRPr="00A175A3">
        <w:rPr>
          <w:color w:val="000000" w:themeColor="text1"/>
        </w:rPr>
        <w:t xml:space="preserve">, 26(6), pp. 1–16. doi: </w:t>
      </w:r>
      <w:hyperlink r:id="rId17">
        <w:r w:rsidRPr="00A175A3">
          <w:rPr>
            <w:color w:val="000000" w:themeColor="text1"/>
            <w:u w:val="single"/>
          </w:rPr>
          <w:t>https://doi.org/10.1080/13527258.2019.1578987</w:t>
        </w:r>
      </w:hyperlink>
      <w:r w:rsidRPr="00A175A3">
        <w:rPr>
          <w:color w:val="000000" w:themeColor="text1"/>
        </w:rPr>
        <w:t>.</w:t>
      </w:r>
    </w:p>
    <w:p w14:paraId="40059558"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Perry, B., Ager, L. and Sitas, R., 2020. Cultural heritage entanglements: festivals as integrative sites for sustainable urban development. </w:t>
      </w:r>
      <w:r w:rsidRPr="00A175A3">
        <w:rPr>
          <w:rFonts w:ascii="Times New Roman" w:eastAsia="Times New Roman" w:hAnsi="Times New Roman" w:cs="Times New Roman"/>
          <w:i/>
          <w:color w:val="000000" w:themeColor="text1"/>
        </w:rPr>
        <w:t>International Journal of Heritage Studies</w:t>
      </w:r>
      <w:r w:rsidRPr="00A175A3">
        <w:rPr>
          <w:rFonts w:ascii="Times New Roman" w:eastAsia="Times New Roman" w:hAnsi="Times New Roman" w:cs="Times New Roman"/>
          <w:color w:val="000000" w:themeColor="text1"/>
        </w:rPr>
        <w:t xml:space="preserve">, </w:t>
      </w:r>
      <w:r w:rsidRPr="00A175A3">
        <w:rPr>
          <w:rFonts w:ascii="Times New Roman" w:eastAsia="Times New Roman" w:hAnsi="Times New Roman" w:cs="Times New Roman"/>
          <w:i/>
          <w:color w:val="000000" w:themeColor="text1"/>
        </w:rPr>
        <w:t>26</w:t>
      </w:r>
      <w:r w:rsidRPr="00A175A3">
        <w:rPr>
          <w:rFonts w:ascii="Times New Roman" w:eastAsia="Times New Roman" w:hAnsi="Times New Roman" w:cs="Times New Roman"/>
          <w:color w:val="000000" w:themeColor="text1"/>
        </w:rPr>
        <w:t>(6), pp.603-618.</w:t>
      </w:r>
    </w:p>
    <w:p w14:paraId="313F1CDF" w14:textId="77777777" w:rsidR="007A462F" w:rsidRPr="00A175A3" w:rsidRDefault="007A462F">
      <w:pPr>
        <w:ind w:left="720" w:hanging="720"/>
        <w:rPr>
          <w:color w:val="000000" w:themeColor="text1"/>
        </w:rPr>
      </w:pPr>
      <w:r w:rsidRPr="00A175A3">
        <w:rPr>
          <w:color w:val="000000" w:themeColor="text1"/>
        </w:rPr>
        <w:t xml:space="preserve">Reginato, G., Mesa, K. and Riquelme, C. (2019) ‘Fruit size and yield efficiency of “gala” apples grown in Chile depend on winter temperatures and season length’, </w:t>
      </w:r>
      <w:r w:rsidRPr="00A175A3">
        <w:rPr>
          <w:i/>
          <w:color w:val="000000" w:themeColor="text1"/>
        </w:rPr>
        <w:t>Uchile.cl</w:t>
      </w:r>
      <w:r w:rsidRPr="00A175A3">
        <w:rPr>
          <w:color w:val="000000" w:themeColor="text1"/>
        </w:rPr>
        <w:t xml:space="preserve">. doi: </w:t>
      </w:r>
      <w:hyperlink r:id="rId18">
        <w:r w:rsidRPr="00A175A3">
          <w:rPr>
            <w:color w:val="000000" w:themeColor="text1"/>
            <w:u w:val="single"/>
          </w:rPr>
          <w:t>https://doi.org/16114434</w:t>
        </w:r>
      </w:hyperlink>
      <w:r w:rsidRPr="00A175A3">
        <w:rPr>
          <w:color w:val="000000" w:themeColor="text1"/>
        </w:rPr>
        <w:t>.</w:t>
      </w:r>
    </w:p>
    <w:p w14:paraId="5D4370ED"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Rogers, T. and Wynn-Moylan, P. (2022) </w:t>
      </w:r>
      <w:r w:rsidRPr="00A175A3">
        <w:rPr>
          <w:rFonts w:ascii="Times New Roman" w:eastAsia="Times New Roman" w:hAnsi="Times New Roman" w:cs="Times New Roman"/>
          <w:i/>
          <w:color w:val="000000" w:themeColor="text1"/>
        </w:rPr>
        <w:t>Conferences and conventions: a global industry.</w:t>
      </w:r>
      <w:r w:rsidRPr="00A175A3">
        <w:rPr>
          <w:rFonts w:ascii="Times New Roman" w:eastAsia="Times New Roman" w:hAnsi="Times New Roman" w:cs="Times New Roman"/>
          <w:color w:val="000000" w:themeColor="text1"/>
        </w:rPr>
        <w:t xml:space="preserve"> 4th edn. Oxford: Routledge.</w:t>
      </w:r>
    </w:p>
    <w:p w14:paraId="7F500CBC" w14:textId="77777777" w:rsidR="007A462F" w:rsidRPr="00A175A3" w:rsidRDefault="007A462F">
      <w:pPr>
        <w:ind w:left="720" w:hanging="720"/>
        <w:rPr>
          <w:color w:val="000000" w:themeColor="text1"/>
        </w:rPr>
      </w:pPr>
      <w:r w:rsidRPr="00A175A3">
        <w:rPr>
          <w:color w:val="000000" w:themeColor="text1"/>
        </w:rPr>
        <w:t>Rogers, T. and Wynn-Moylan, P., 2022. </w:t>
      </w:r>
      <w:r w:rsidRPr="00A175A3">
        <w:rPr>
          <w:i/>
          <w:iCs/>
          <w:color w:val="000000" w:themeColor="text1"/>
        </w:rPr>
        <w:t>Conferences and conventions: A global industry</w:t>
      </w:r>
      <w:r w:rsidRPr="00A175A3">
        <w:rPr>
          <w:color w:val="000000" w:themeColor="text1"/>
        </w:rPr>
        <w:t>. Routledge.</w:t>
      </w:r>
    </w:p>
    <w:p w14:paraId="3D0583EE" w14:textId="77777777" w:rsidR="007A462F" w:rsidRPr="00A175A3" w:rsidRDefault="007A462F">
      <w:pPr>
        <w:ind w:left="720" w:hanging="720"/>
        <w:rPr>
          <w:color w:val="000000" w:themeColor="text1"/>
        </w:rPr>
      </w:pPr>
      <w:r w:rsidRPr="00A175A3">
        <w:rPr>
          <w:color w:val="000000" w:themeColor="text1"/>
        </w:rPr>
        <w:t>Rubinger, L., Gazendam, A., Ekhtiari, S., Nucci, N., Payne, A., Johal, H., Khanduja, V. and Bhandari, M., 2020. Maximizing virtual meetings and conferences: a review of best practices. </w:t>
      </w:r>
      <w:r w:rsidRPr="00A175A3">
        <w:rPr>
          <w:i/>
          <w:iCs/>
          <w:color w:val="000000" w:themeColor="text1"/>
        </w:rPr>
        <w:t>International orthopaedics</w:t>
      </w:r>
      <w:r w:rsidRPr="00A175A3">
        <w:rPr>
          <w:color w:val="000000" w:themeColor="text1"/>
        </w:rPr>
        <w:t>, </w:t>
      </w:r>
      <w:r w:rsidRPr="00A175A3">
        <w:rPr>
          <w:i/>
          <w:iCs/>
          <w:color w:val="000000" w:themeColor="text1"/>
        </w:rPr>
        <w:t>44</w:t>
      </w:r>
      <w:r w:rsidRPr="00A175A3">
        <w:rPr>
          <w:color w:val="000000" w:themeColor="text1"/>
        </w:rPr>
        <w:t>, pp.1461-1466.</w:t>
      </w:r>
    </w:p>
    <w:p w14:paraId="17A31010"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Smith, A. (2012) </w:t>
      </w:r>
      <w:r w:rsidRPr="00A175A3">
        <w:rPr>
          <w:rFonts w:ascii="Times New Roman" w:eastAsia="Times New Roman" w:hAnsi="Times New Roman" w:cs="Times New Roman"/>
          <w:i/>
          <w:color w:val="000000" w:themeColor="text1"/>
        </w:rPr>
        <w:t>Events and urban regeneration: the strategic use of events to revitalise cities.</w:t>
      </w:r>
      <w:r w:rsidRPr="00A175A3">
        <w:rPr>
          <w:rFonts w:ascii="Times New Roman" w:eastAsia="Times New Roman" w:hAnsi="Times New Roman" w:cs="Times New Roman"/>
          <w:color w:val="000000" w:themeColor="text1"/>
        </w:rPr>
        <w:t xml:space="preserve"> Oxford: Routledge.</w:t>
      </w:r>
    </w:p>
    <w:p w14:paraId="65ABFE0B" w14:textId="77777777" w:rsidR="007A462F" w:rsidRPr="00A175A3" w:rsidRDefault="007A462F">
      <w:pPr>
        <w:ind w:left="720" w:hanging="720"/>
        <w:rPr>
          <w:rFonts w:ascii="Times New Roman" w:eastAsia="Times New Roman" w:hAnsi="Times New Roman" w:cs="Times New Roman"/>
          <w:color w:val="000000" w:themeColor="text1"/>
        </w:rPr>
      </w:pPr>
      <w:r w:rsidRPr="00A175A3">
        <w:rPr>
          <w:rFonts w:ascii="Times New Roman" w:eastAsia="Times New Roman" w:hAnsi="Times New Roman" w:cs="Times New Roman"/>
          <w:color w:val="000000" w:themeColor="text1"/>
        </w:rPr>
        <w:t xml:space="preserve">Xie, C., 2023. The symbiotic development of urban waterfront spaces and regional culture: unleashing potentials, innovative design, and sustainable development. </w:t>
      </w:r>
      <w:r w:rsidRPr="00A175A3">
        <w:rPr>
          <w:rFonts w:ascii="Times New Roman" w:eastAsia="Times New Roman" w:hAnsi="Times New Roman" w:cs="Times New Roman"/>
          <w:i/>
          <w:color w:val="000000" w:themeColor="text1"/>
        </w:rPr>
        <w:t>Journal of Innovation and Development</w:t>
      </w:r>
      <w:r w:rsidRPr="00A175A3">
        <w:rPr>
          <w:rFonts w:ascii="Times New Roman" w:eastAsia="Times New Roman" w:hAnsi="Times New Roman" w:cs="Times New Roman"/>
          <w:color w:val="000000" w:themeColor="text1"/>
        </w:rPr>
        <w:t xml:space="preserve">, </w:t>
      </w:r>
      <w:r w:rsidRPr="00A175A3">
        <w:rPr>
          <w:rFonts w:ascii="Times New Roman" w:eastAsia="Times New Roman" w:hAnsi="Times New Roman" w:cs="Times New Roman"/>
          <w:i/>
          <w:color w:val="000000" w:themeColor="text1"/>
        </w:rPr>
        <w:t>3</w:t>
      </w:r>
      <w:r w:rsidRPr="00A175A3">
        <w:rPr>
          <w:rFonts w:ascii="Times New Roman" w:eastAsia="Times New Roman" w:hAnsi="Times New Roman" w:cs="Times New Roman"/>
          <w:color w:val="000000" w:themeColor="text1"/>
        </w:rPr>
        <w:t>(2), pp.26-30.</w:t>
      </w:r>
    </w:p>
    <w:p w14:paraId="123DC9BC" w14:textId="77777777" w:rsidR="007A462F" w:rsidRPr="00A175A3" w:rsidRDefault="007A462F">
      <w:pPr>
        <w:ind w:left="720" w:hanging="720"/>
        <w:rPr>
          <w:color w:val="000000" w:themeColor="text1"/>
        </w:rPr>
      </w:pPr>
    </w:p>
    <w:sectPr w:rsidR="007A462F" w:rsidRPr="00A175A3">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Play">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C0D9B"/>
    <w:multiLevelType w:val="multilevel"/>
    <w:tmpl w:val="43E07D4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B133CF1"/>
    <w:multiLevelType w:val="multilevel"/>
    <w:tmpl w:val="7590975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61449862">
    <w:abstractNumId w:val="1"/>
  </w:num>
  <w:num w:numId="2" w16cid:durableId="387148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1C82"/>
    <w:rsid w:val="00036730"/>
    <w:rsid w:val="000F66E3"/>
    <w:rsid w:val="00117815"/>
    <w:rsid w:val="00221EB7"/>
    <w:rsid w:val="00411E16"/>
    <w:rsid w:val="00431138"/>
    <w:rsid w:val="00554C9D"/>
    <w:rsid w:val="006823CF"/>
    <w:rsid w:val="007A462F"/>
    <w:rsid w:val="00891C82"/>
    <w:rsid w:val="009C4ABB"/>
    <w:rsid w:val="00A175A3"/>
    <w:rsid w:val="00A428BE"/>
    <w:rsid w:val="00A9345A"/>
    <w:rsid w:val="00BD2AF6"/>
    <w:rsid w:val="00DD318F"/>
    <w:rsid w:val="00FE4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B58338"/>
  <w15:docId w15:val="{3FDF4E73-18C8-4563-92AC-D1C87D4A6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ind w:left="720" w:hanging="360"/>
      <w:outlineLvl w:val="0"/>
    </w:pPr>
    <w:rPr>
      <w:b/>
    </w:rPr>
  </w:style>
  <w:style w:type="paragraph" w:styleId="Titlu2">
    <w:name w:val="heading 2"/>
    <w:basedOn w:val="Normal"/>
    <w:next w:val="Normal"/>
    <w:pPr>
      <w:keepNext/>
      <w:keepLines/>
      <w:spacing w:before="160" w:after="80"/>
      <w:outlineLvl w:val="1"/>
    </w:pPr>
    <w:rPr>
      <w:rFonts w:ascii="Play" w:eastAsia="Play" w:hAnsi="Play" w:cs="Play"/>
      <w:color w:val="2E75B5"/>
      <w:sz w:val="32"/>
      <w:szCs w:val="32"/>
    </w:rPr>
  </w:style>
  <w:style w:type="paragraph" w:styleId="Titlu3">
    <w:name w:val="heading 3"/>
    <w:basedOn w:val="Normal"/>
    <w:next w:val="Normal"/>
    <w:pPr>
      <w:keepNext/>
      <w:keepLines/>
      <w:spacing w:before="160" w:after="80"/>
      <w:outlineLvl w:val="2"/>
    </w:pPr>
    <w:rPr>
      <w:color w:val="2E75B5"/>
      <w:sz w:val="28"/>
      <w:szCs w:val="28"/>
    </w:rPr>
  </w:style>
  <w:style w:type="paragraph" w:styleId="Titlu4">
    <w:name w:val="heading 4"/>
    <w:basedOn w:val="Normal"/>
    <w:next w:val="Normal"/>
    <w:pPr>
      <w:keepNext/>
      <w:keepLines/>
      <w:spacing w:before="80" w:after="40"/>
      <w:outlineLvl w:val="3"/>
    </w:pPr>
    <w:rPr>
      <w:i/>
      <w:color w:val="2E75B5"/>
    </w:rPr>
  </w:style>
  <w:style w:type="paragraph" w:styleId="Titlu5">
    <w:name w:val="heading 5"/>
    <w:basedOn w:val="Normal"/>
    <w:next w:val="Normal"/>
    <w:pPr>
      <w:keepNext/>
      <w:keepLines/>
      <w:spacing w:before="80" w:after="40"/>
      <w:outlineLvl w:val="4"/>
    </w:pPr>
    <w:rPr>
      <w:color w:val="2E75B5"/>
    </w:rPr>
  </w:style>
  <w:style w:type="paragraph" w:styleId="Titlu6">
    <w:name w:val="heading 6"/>
    <w:basedOn w:val="Normal"/>
    <w:next w:val="Normal"/>
    <w:pPr>
      <w:keepNext/>
      <w:keepLines/>
      <w:spacing w:before="40" w:after="0"/>
      <w:outlineLvl w:val="5"/>
    </w:pPr>
    <w:rPr>
      <w:i/>
      <w:color w:val="595959"/>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spacing w:after="80" w:line="240" w:lineRule="auto"/>
    </w:pPr>
    <w:rPr>
      <w:rFonts w:ascii="Play" w:eastAsia="Play" w:hAnsi="Play" w:cs="Play"/>
      <w:sz w:val="56"/>
      <w:szCs w:val="56"/>
    </w:rPr>
  </w:style>
  <w:style w:type="paragraph" w:styleId="Subtitlu">
    <w:name w:val="Subtitle"/>
    <w:basedOn w:val="Normal"/>
    <w:next w:val="Normal"/>
    <w:rPr>
      <w:color w:val="595959"/>
      <w:sz w:val="28"/>
      <w:szCs w:val="28"/>
    </w:rPr>
  </w:style>
  <w:style w:type="table" w:customStyle="1" w:styleId="a">
    <w:basedOn w:val="TabelNormal"/>
    <w:pPr>
      <w:spacing w:after="0" w:line="240" w:lineRule="auto"/>
    </w:pPr>
    <w:tblPr>
      <w:tblStyleRowBandSize w:val="1"/>
      <w:tblStyleColBandSize w:val="1"/>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0">
    <w:basedOn w:val="TabelNormal"/>
    <w:pPr>
      <w:spacing w:after="0" w:line="240" w:lineRule="auto"/>
    </w:pPr>
    <w:tblPr>
      <w:tblStyleRowBandSize w:val="1"/>
      <w:tblStyleColBandSize w:val="1"/>
    </w:tblPr>
    <w:tblStylePr w:type="firstRow">
      <w:rPr>
        <w:b/>
      </w:rPr>
    </w:tblStylePr>
    <w:tblStylePr w:type="lastRow">
      <w:rPr>
        <w:b/>
      </w:r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1">
    <w:basedOn w:val="TabelNormal"/>
    <w:pPr>
      <w:spacing w:after="0" w:line="240" w:lineRule="auto"/>
    </w:pPr>
    <w:tblPr>
      <w:tblStyleRowBandSize w:val="1"/>
      <w:tblStyleColBandSize w:val="1"/>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paragraph" w:styleId="Legend">
    <w:name w:val="caption"/>
    <w:basedOn w:val="Normal"/>
    <w:next w:val="Normal"/>
    <w:uiPriority w:val="35"/>
    <w:unhideWhenUsed/>
    <w:qFormat/>
    <w:rsid w:val="00A428BE"/>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yperlink" Target="https://faslname.msy.gov.ir/article_382.html?lang=en" TargetMode="External" /><Relationship Id="rId18" Type="http://schemas.openxmlformats.org/officeDocument/2006/relationships/hyperlink" Target="https://doi.org/16114434" TargetMode="Externa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hyperlink" Target="https://doi.org/10.3390/nu15194201" TargetMode="External" /><Relationship Id="rId17" Type="http://schemas.openxmlformats.org/officeDocument/2006/relationships/hyperlink" Target="https://doi.org/10.1080/13527258.2019.1578987" TargetMode="External" /><Relationship Id="rId2" Type="http://schemas.openxmlformats.org/officeDocument/2006/relationships/numbering" Target="numbering.xml" /><Relationship Id="rId16" Type="http://schemas.openxmlformats.org/officeDocument/2006/relationships/hyperlink" Target="https://doi.org/10.1177/2158244020901601"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image" Target="media/image6.png" /><Relationship Id="rId5" Type="http://schemas.openxmlformats.org/officeDocument/2006/relationships/webSettings" Target="webSettings.xml" /><Relationship Id="rId15" Type="http://schemas.openxmlformats.org/officeDocument/2006/relationships/hyperlink" Target="https://doi.org/10.1080/19407963.2021.1950738" TargetMode="External" /><Relationship Id="rId10" Type="http://schemas.openxmlformats.org/officeDocument/2006/relationships/image" Target="media/image5.jpe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doi.org/10.1111/gec3.1249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77238-EBA6-4B09-A64C-5DF926D7F6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3188</Words>
  <Characters>19573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ProBook 650 G8</dc:creator>
  <cp:lastModifiedBy>mecic florin</cp:lastModifiedBy>
  <cp:revision>2</cp:revision>
  <dcterms:created xsi:type="dcterms:W3CDTF">2024-11-06T10:22:00Z</dcterms:created>
  <dcterms:modified xsi:type="dcterms:W3CDTF">2024-11-06T10:22:00Z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4288782c647ec64f04c297f30fc2d349993d9754bf14068ccd0d3c4ae5212ed9</vt:lpwstr>
  </property>
</Properties>
</file>