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kern w:val="2"/>
          <w:sz w:val="24"/>
          <w:szCs w:val="24"/>
          <w14:ligatures w14:val="standardContextual"/>
        </w:rPr>
        <w:id w:val="674384688"/>
        <w:docPartObj>
          <w:docPartGallery w:val="Table of Contents"/>
          <w:docPartUnique/>
        </w:docPartObj>
      </w:sdtPr>
      <w:sdtEndPr>
        <w:rPr>
          <w:b/>
          <w:bCs/>
          <w:noProof/>
        </w:rPr>
      </w:sdtEndPr>
      <w:sdtContent>
        <w:p w14:paraId="48F6FD4E" w14:textId="1A99F778" w:rsidR="00104AE2" w:rsidRDefault="00783930" w:rsidP="00104AE2">
          <w:pPr>
            <w:pStyle w:val="TOCHeading"/>
          </w:pPr>
          <w:r>
            <w:t xml:space="preserve">                         </w:t>
          </w:r>
          <w:r>
            <w:rPr>
              <w:noProof/>
            </w:rPr>
            <w:drawing>
              <wp:inline distT="0" distB="0" distL="0" distR="0" wp14:anchorId="1FB77636" wp14:editId="5C3EB142">
                <wp:extent cx="3598164" cy="1440180"/>
                <wp:effectExtent l="0" t="0" r="2540" b="7620"/>
                <wp:docPr id="88230488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04881" name="Picture 1"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76C78D40" w14:textId="77777777" w:rsidR="004730E9" w:rsidRDefault="004730E9" w:rsidP="004730E9">
          <w:pPr>
            <w:jc w:val="center"/>
          </w:pPr>
          <w:r w:rsidRPr="00415524">
            <w:rPr>
              <w:b/>
              <w:bCs/>
            </w:rPr>
            <w:t>Assignment</w:t>
          </w:r>
          <w:r>
            <w:rPr>
              <w:b/>
              <w:bCs/>
            </w:rPr>
            <w:t>: Diligence</w:t>
          </w:r>
          <w:r>
            <w:t xml:space="preserve"> - Legal Support and Mediation Services</w:t>
          </w:r>
        </w:p>
        <w:p w14:paraId="33916614" w14:textId="35B8349F" w:rsidR="00783930" w:rsidRDefault="00783930" w:rsidP="004730E9">
          <w:pPr>
            <w:jc w:val="center"/>
          </w:pPr>
          <w:r w:rsidRPr="00415524">
            <w:rPr>
              <w:b/>
              <w:bCs/>
            </w:rPr>
            <w:t>Program</w:t>
          </w:r>
          <w:r w:rsidRPr="00415524">
            <w:t>: Master of Business Administration</w:t>
          </w:r>
        </w:p>
        <w:p w14:paraId="69D68973" w14:textId="484896F9" w:rsidR="004730E9" w:rsidRDefault="004730E9" w:rsidP="004730E9">
          <w:pPr>
            <w:jc w:val="center"/>
          </w:pPr>
          <w:r w:rsidRPr="00783930">
            <w:rPr>
              <w:b/>
              <w:bCs/>
            </w:rPr>
            <w:t>Assessment Component:</w:t>
          </w:r>
          <w:r w:rsidR="005A6ECF">
            <w:rPr>
              <w:b/>
              <w:bCs/>
            </w:rPr>
            <w:t xml:space="preserve"> </w:t>
          </w:r>
          <w:r w:rsidR="005A6ECF" w:rsidRPr="005A6ECF">
            <w:t>BDP report</w:t>
          </w:r>
        </w:p>
        <w:p w14:paraId="6C05E66E" w14:textId="3F8B9B6D" w:rsidR="00783930" w:rsidRPr="00415524" w:rsidRDefault="00783930" w:rsidP="004730E9">
          <w:pPr>
            <w:jc w:val="center"/>
          </w:pPr>
          <w:r w:rsidRPr="00415524">
            <w:rPr>
              <w:b/>
              <w:bCs/>
            </w:rPr>
            <w:t>Module</w:t>
          </w:r>
          <w:r w:rsidRPr="00415524">
            <w:t>:</w:t>
          </w:r>
          <w:r>
            <w:t xml:space="preserve"> Business Development proposal</w:t>
          </w:r>
        </w:p>
        <w:p w14:paraId="306CE52D" w14:textId="79D2EC8C" w:rsidR="00783930" w:rsidRPr="00415524" w:rsidRDefault="00783930" w:rsidP="004730E9">
          <w:pPr>
            <w:jc w:val="center"/>
          </w:pPr>
          <w:r w:rsidRPr="00415524">
            <w:rPr>
              <w:b/>
              <w:bCs/>
            </w:rPr>
            <w:t>Lecturer</w:t>
          </w:r>
          <w:r>
            <w:rPr>
              <w:b/>
              <w:bCs/>
            </w:rPr>
            <w:t xml:space="preserve">: </w:t>
          </w:r>
          <w:proofErr w:type="spellStart"/>
          <w:r>
            <w:t>Balendran</w:t>
          </w:r>
          <w:proofErr w:type="spellEnd"/>
          <w:r>
            <w:t xml:space="preserve"> Kandasamy</w:t>
          </w:r>
        </w:p>
        <w:p w14:paraId="5CA0B04F" w14:textId="7122595B" w:rsidR="00783930" w:rsidRDefault="00783930" w:rsidP="00783930">
          <w:pPr>
            <w:jc w:val="center"/>
          </w:pPr>
          <w:r w:rsidRPr="00415524">
            <w:rPr>
              <w:b/>
              <w:bCs/>
            </w:rPr>
            <w:t>Student Name</w:t>
          </w:r>
          <w:r w:rsidRPr="00415524">
            <w:t>: Mustakim kazi</w:t>
          </w:r>
        </w:p>
        <w:p w14:paraId="3F48CFC8" w14:textId="77777777" w:rsidR="00783930" w:rsidRPr="00415524" w:rsidRDefault="00783930" w:rsidP="00783930">
          <w:pPr>
            <w:jc w:val="center"/>
          </w:pPr>
          <w:r w:rsidRPr="00415524">
            <w:rPr>
              <w:b/>
              <w:bCs/>
            </w:rPr>
            <w:t>Module code</w:t>
          </w:r>
          <w:r w:rsidRPr="00415524">
            <w:t>: LCMB70</w:t>
          </w:r>
          <w:r>
            <w:t>37</w:t>
          </w:r>
        </w:p>
        <w:p w14:paraId="348049AC" w14:textId="0EF16907" w:rsidR="00783930" w:rsidRPr="00415524" w:rsidRDefault="00783930" w:rsidP="004730E9">
          <w:pPr>
            <w:jc w:val="center"/>
          </w:pPr>
          <w:r w:rsidRPr="00415524">
            <w:rPr>
              <w:b/>
              <w:bCs/>
            </w:rPr>
            <w:t>Student</w:t>
          </w:r>
          <w:r w:rsidRPr="00415524">
            <w:t xml:space="preserve"> </w:t>
          </w:r>
          <w:r w:rsidRPr="00415524">
            <w:rPr>
              <w:b/>
              <w:bCs/>
            </w:rPr>
            <w:t>Id</w:t>
          </w:r>
          <w:r w:rsidRPr="00415524">
            <w:t>: 2427257</w:t>
          </w:r>
        </w:p>
        <w:p w14:paraId="4C199FDC" w14:textId="7B2ABC1F" w:rsidR="00783930" w:rsidRPr="00415524" w:rsidRDefault="00783930" w:rsidP="004730E9">
          <w:pPr>
            <w:jc w:val="center"/>
          </w:pPr>
          <w:r w:rsidRPr="00415524">
            <w:rPr>
              <w:b/>
              <w:bCs/>
            </w:rPr>
            <w:t>Group</w:t>
          </w:r>
          <w:r w:rsidRPr="00415524">
            <w:t xml:space="preserve">: </w:t>
          </w:r>
          <w:r>
            <w:t>1</w:t>
          </w:r>
        </w:p>
        <w:p w14:paraId="0E16A639" w14:textId="264CD083" w:rsidR="00783930" w:rsidRDefault="00783930" w:rsidP="00783930">
          <w:pPr>
            <w:jc w:val="center"/>
            <w:rPr>
              <w:b/>
              <w:bCs/>
            </w:rPr>
          </w:pPr>
          <w:r w:rsidRPr="00E85CB9">
            <w:rPr>
              <w:b/>
              <w:bCs/>
            </w:rPr>
            <w:t>Total words</w:t>
          </w:r>
          <w:r>
            <w:rPr>
              <w:b/>
              <w:bCs/>
            </w:rPr>
            <w:t xml:space="preserve">: </w:t>
          </w:r>
          <w:r w:rsidR="00614F46">
            <w:rPr>
              <w:b/>
              <w:bCs/>
            </w:rPr>
            <w:t>1</w:t>
          </w:r>
          <w:r w:rsidR="0050181A">
            <w:rPr>
              <w:b/>
              <w:bCs/>
            </w:rPr>
            <w:t>7225</w:t>
          </w:r>
        </w:p>
        <w:p w14:paraId="15F39062" w14:textId="274586BE" w:rsidR="00783930" w:rsidRDefault="00783930" w:rsidP="00783930">
          <w:pPr>
            <w:jc w:val="center"/>
            <w:rPr>
              <w:b/>
              <w:bCs/>
            </w:rPr>
          </w:pPr>
          <w:r>
            <w:rPr>
              <w:b/>
              <w:bCs/>
            </w:rPr>
            <w:t>Date of Submission: 2/</w:t>
          </w:r>
          <w:r w:rsidR="00655B10">
            <w:rPr>
              <w:b/>
              <w:bCs/>
            </w:rPr>
            <w:t>3</w:t>
          </w:r>
          <w:r>
            <w:rPr>
              <w:b/>
              <w:bCs/>
            </w:rPr>
            <w:t>/2026</w:t>
          </w:r>
        </w:p>
        <w:p w14:paraId="0003B66F" w14:textId="58BCA118" w:rsidR="00104AE2" w:rsidRDefault="007E53D9" w:rsidP="007E53D9">
          <w:pPr>
            <w:pStyle w:val="TOCHeading"/>
            <w:jc w:val="center"/>
          </w:pPr>
          <w:r w:rsidRPr="00F26FB9">
            <w:rPr>
              <w:noProof/>
            </w:rPr>
            <w:drawing>
              <wp:inline distT="0" distB="0" distL="0" distR="0" wp14:anchorId="2AEBD2DE" wp14:editId="79F60EA1">
                <wp:extent cx="1827439" cy="1421342"/>
                <wp:effectExtent l="0" t="0" r="1905" b="7620"/>
                <wp:docPr id="135966611" name="Picture 1" descr="A logo for a legal support and mediation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6611" name="Picture 1" descr="A logo for a legal support and mediation services&#10;&#10;AI-generated content may be incorrect."/>
                        <pic:cNvPicPr/>
                      </pic:nvPicPr>
                      <pic:blipFill>
                        <a:blip r:embed="rId9"/>
                        <a:stretch>
                          <a:fillRect/>
                        </a:stretch>
                      </pic:blipFill>
                      <pic:spPr>
                        <a:xfrm>
                          <a:off x="0" y="0"/>
                          <a:ext cx="1904739" cy="1481464"/>
                        </a:xfrm>
                        <a:prstGeom prst="rect">
                          <a:avLst/>
                        </a:prstGeom>
                      </pic:spPr>
                    </pic:pic>
                  </a:graphicData>
                </a:graphic>
              </wp:inline>
            </w:drawing>
          </w:r>
        </w:p>
        <w:p w14:paraId="052B8844" w14:textId="77777777" w:rsidR="00783930" w:rsidRDefault="00783930" w:rsidP="00783930"/>
        <w:p w14:paraId="044521B4" w14:textId="1299F65E" w:rsidR="00783930" w:rsidRDefault="005A6ECF" w:rsidP="00783930">
          <w:r>
            <w:t xml:space="preserve">                                                                  </w:t>
          </w:r>
        </w:p>
        <w:p w14:paraId="3E5E097A" w14:textId="77777777" w:rsidR="005A6ECF" w:rsidRDefault="005A6ECF" w:rsidP="00783930"/>
        <w:p w14:paraId="2F78469D" w14:textId="77777777" w:rsidR="005A6ECF" w:rsidRDefault="005A6ECF" w:rsidP="00783930"/>
        <w:p w14:paraId="24080F7F" w14:textId="77777777" w:rsidR="005A6ECF" w:rsidRDefault="005A6ECF" w:rsidP="00783930"/>
        <w:p w14:paraId="1B0D609D" w14:textId="33375EE9" w:rsidR="005A6ECF" w:rsidRDefault="005A6ECF" w:rsidP="00783930">
          <w:pPr>
            <w:pBdr>
              <w:bottom w:val="single" w:sz="12" w:space="1" w:color="auto"/>
            </w:pBdr>
          </w:pPr>
          <w:r>
            <w:lastRenderedPageBreak/>
            <w:t xml:space="preserve">                                     </w:t>
          </w:r>
          <w:r>
            <w:rPr>
              <w:noProof/>
            </w:rPr>
            <w:drawing>
              <wp:inline distT="0" distB="0" distL="0" distR="0" wp14:anchorId="16E0F2C5" wp14:editId="4ECE3B2B">
                <wp:extent cx="3598164" cy="1440180"/>
                <wp:effectExtent l="0" t="0" r="2540" b="7620"/>
                <wp:docPr id="2094666788"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04881" name="Picture 1"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6EF5F649" w14:textId="77777777" w:rsidR="00C60726" w:rsidRPr="00C60726" w:rsidRDefault="00C60726" w:rsidP="00C60726">
          <w:pPr>
            <w:rPr>
              <w:u w:val="single"/>
            </w:rPr>
          </w:pPr>
          <w:r w:rsidRPr="00C60726">
            <w:rPr>
              <w:u w:val="single"/>
            </w:rPr>
            <w:t>Master’s Degree Assessment</w:t>
          </w:r>
        </w:p>
        <w:p w14:paraId="6CF64CFF" w14:textId="77777777" w:rsidR="00C60726" w:rsidRPr="00C60726" w:rsidRDefault="00C60726" w:rsidP="00C60726">
          <w:pPr>
            <w:rPr>
              <w:u w:val="single"/>
            </w:rPr>
          </w:pPr>
        </w:p>
        <w:p w14:paraId="3FF4C3DB" w14:textId="77777777" w:rsidR="00C60726" w:rsidRPr="00C60726" w:rsidRDefault="00C60726" w:rsidP="00C60726">
          <w:pPr>
            <w:rPr>
              <w:u w:val="single"/>
            </w:rPr>
          </w:pPr>
          <w:r w:rsidRPr="00C60726">
            <w:rPr>
              <w:u w:val="single"/>
            </w:rPr>
            <w:t>Declaration Form**</w:t>
          </w:r>
        </w:p>
        <w:p w14:paraId="271FF86C" w14:textId="7D42923E" w:rsidR="00C60726" w:rsidRPr="00C60726" w:rsidRDefault="00C60726" w:rsidP="00C60726">
          <w:pPr>
            <w:rPr>
              <w:u w:val="single"/>
            </w:rPr>
          </w:pPr>
          <w:r w:rsidRPr="00C60726">
            <w:rPr>
              <w:u w:val="single"/>
            </w:rPr>
            <w:t>I</w:t>
          </w:r>
          <w:r>
            <w:rPr>
              <w:u w:val="single"/>
            </w:rPr>
            <w:t xml:space="preserve">, </w:t>
          </w:r>
          <w:proofErr w:type="gramStart"/>
          <w:r>
            <w:rPr>
              <w:u w:val="single"/>
            </w:rPr>
            <w:t>Mustakim</w:t>
          </w:r>
          <w:proofErr w:type="gramEnd"/>
          <w:r>
            <w:rPr>
              <w:u w:val="single"/>
            </w:rPr>
            <w:t xml:space="preserve"> </w:t>
          </w:r>
          <w:r w:rsidRPr="00C60726">
            <w:rPr>
              <w:u w:val="single"/>
            </w:rPr>
            <w:t>declare that this business plan has been composed by myself and that the work contained herein is entirely my own, except where explicitly stated otherwise and appropriately referenced. I confirm that this work has not been submitted previously, in whole or in part, for any other degree or academic qualification.</w:t>
          </w:r>
        </w:p>
        <w:p w14:paraId="1C0CFFA2" w14:textId="77777777" w:rsidR="00C60726" w:rsidRPr="00C60726" w:rsidRDefault="00C60726" w:rsidP="00C60726">
          <w:pPr>
            <w:rPr>
              <w:u w:val="single"/>
            </w:rPr>
          </w:pPr>
          <w:r w:rsidRPr="00C60726">
            <w:rPr>
              <w:u w:val="single"/>
            </w:rPr>
            <w:t>I understand that any form of plagiarism or academic misconduct is subject to disciplinary action in accordance with university regulations.</w:t>
          </w:r>
        </w:p>
        <w:p w14:paraId="60961D44" w14:textId="36C19426" w:rsidR="00C60726" w:rsidRPr="00C60726" w:rsidRDefault="00C60726" w:rsidP="00C60726">
          <w:pPr>
            <w:rPr>
              <w:u w:val="single"/>
            </w:rPr>
          </w:pPr>
          <w:r w:rsidRPr="00C60726">
            <w:rPr>
              <w:u w:val="single"/>
            </w:rPr>
            <w:t>Signature: _</w:t>
          </w:r>
          <w:r>
            <w:rPr>
              <w:u w:val="single"/>
            </w:rPr>
            <w:t>Mustakim kazi</w:t>
          </w:r>
          <w:r w:rsidRPr="00C60726">
            <w:rPr>
              <w:u w:val="single"/>
            </w:rPr>
            <w:t>__________</w:t>
          </w:r>
        </w:p>
        <w:p w14:paraId="79EDA2F9" w14:textId="422E02E9" w:rsidR="00C60726" w:rsidRPr="00C60726" w:rsidRDefault="00C60726" w:rsidP="00C60726">
          <w:pPr>
            <w:rPr>
              <w:u w:val="single"/>
            </w:rPr>
          </w:pPr>
          <w:r w:rsidRPr="00C60726">
            <w:rPr>
              <w:u w:val="single"/>
            </w:rPr>
            <w:t>Date: ___</w:t>
          </w:r>
          <w:r>
            <w:rPr>
              <w:u w:val="single"/>
            </w:rPr>
            <w:t>03/02/2026</w:t>
          </w:r>
          <w:r w:rsidRPr="00C60726">
            <w:rPr>
              <w:u w:val="single"/>
            </w:rPr>
            <w:t>________</w:t>
          </w:r>
        </w:p>
        <w:p w14:paraId="1F91D14B" w14:textId="3EF1F662" w:rsidR="00C60726" w:rsidRPr="00C60726" w:rsidRDefault="00C60726" w:rsidP="00C60726"/>
        <w:p w14:paraId="5457C962" w14:textId="77777777" w:rsidR="00C60726" w:rsidRPr="00C60726" w:rsidRDefault="00C60726" w:rsidP="00C60726">
          <w:pPr>
            <w:jc w:val="center"/>
            <w:rPr>
              <w:b/>
              <w:bCs/>
            </w:rPr>
          </w:pPr>
          <w:r w:rsidRPr="00C60726">
            <w:rPr>
              <w:b/>
              <w:bCs/>
            </w:rPr>
            <w:t>Acknowledgements</w:t>
          </w:r>
        </w:p>
        <w:p w14:paraId="5D4DF8D3" w14:textId="77777777" w:rsidR="00C60726" w:rsidRDefault="00C60726" w:rsidP="00C60726">
          <w:r>
            <w:t xml:space="preserve">I would like to take this opportunity to thank my course tutor and academic supervisors for their support, guidance, and constructive feedback, which have been invaluable to me during the preparation of this business plan. </w:t>
          </w:r>
        </w:p>
        <w:p w14:paraId="3666F883" w14:textId="3AAB6BA9" w:rsidR="00C60726" w:rsidRDefault="00C60726" w:rsidP="00C60726">
          <w:r>
            <w:t xml:space="preserve">I would also like to </w:t>
          </w:r>
          <w:proofErr w:type="gramStart"/>
          <w:r>
            <w:t>thank</w:t>
          </w:r>
          <w:proofErr w:type="gramEnd"/>
          <w:r>
            <w:t xml:space="preserve"> all the available information, professional materials, and all the </w:t>
          </w:r>
          <w:proofErr w:type="gramStart"/>
          <w:r>
            <w:t>sources</w:t>
          </w:r>
          <w:proofErr w:type="gramEnd"/>
          <w:r>
            <w:t xml:space="preserve"> that were used to prepare this study. These sources were very helpful to me in preparing this study, particularly regarding the information available regarding the UK Mediation and Alternative Dispute Resolution industry.</w:t>
          </w:r>
        </w:p>
        <w:p w14:paraId="0CFD0A78" w14:textId="0A92E65B" w:rsidR="00783930" w:rsidRDefault="00C60726" w:rsidP="00C60726">
          <w:r>
            <w:t xml:space="preserve">Lastly, I would like to thank my family, friends, and all those who have been supportive </w:t>
          </w:r>
          <w:proofErr w:type="gramStart"/>
          <w:r>
            <w:t>to</w:t>
          </w:r>
          <w:proofErr w:type="gramEnd"/>
          <w:r>
            <w:t xml:space="preserve"> me during my studies.</w:t>
          </w:r>
        </w:p>
        <w:p w14:paraId="62A8D9FB" w14:textId="77777777" w:rsidR="0050181A" w:rsidRDefault="0050181A" w:rsidP="0050181A">
          <w:r>
            <w:t xml:space="preserve">            </w:t>
          </w:r>
        </w:p>
        <w:p w14:paraId="00BD2961" w14:textId="77777777" w:rsidR="0050181A" w:rsidRDefault="0050181A" w:rsidP="0050181A"/>
        <w:p w14:paraId="183A7ECE" w14:textId="5365DF23" w:rsidR="0050181A" w:rsidRPr="0050181A" w:rsidRDefault="0050181A" w:rsidP="0050181A">
          <w:pPr>
            <w:jc w:val="center"/>
            <w:rPr>
              <w:b/>
              <w:bCs/>
            </w:rPr>
          </w:pPr>
          <w:r w:rsidRPr="0050181A">
            <w:rPr>
              <w:b/>
              <w:bCs/>
            </w:rPr>
            <w:lastRenderedPageBreak/>
            <w:t>Abstract</w:t>
          </w:r>
        </w:p>
        <w:p w14:paraId="171F6D5F" w14:textId="77777777" w:rsidR="0050181A" w:rsidRDefault="0050181A" w:rsidP="0050181A">
          <w:r>
            <w:t xml:space="preserve">The business plan presented in this document explores the formation and development of Diligence Legal Support and Civil Mediation Services, an </w:t>
          </w:r>
          <w:proofErr w:type="spellStart"/>
          <w:r>
            <w:t>organisation</w:t>
          </w:r>
          <w:proofErr w:type="spellEnd"/>
          <w:r>
            <w:t xml:space="preserve"> that provides professional, confidential, and ethical mediation services to the UK market. The aim of this business plan is to assess the market opportunity, business viability, and financial viability of a mediation-focused business that will operate within the UK's Alternative Dispute Resolution (ADR) environment.</w:t>
          </w:r>
        </w:p>
        <w:p w14:paraId="209E2EF7" w14:textId="77777777" w:rsidR="0050181A" w:rsidRDefault="0050181A" w:rsidP="0050181A">
          <w:r>
            <w:t>The business plan will be structured around a formal business analysis methodology, which will include market research, competitor analysis, business operation, human resource allocation, financial analysis, and risk assessment. From the analysis, it is evident that there is a growing need for mediation services, considering the increasing pressure on the UK's judicial system and the rising costs of legal action, as well as the UK government's support for Alternative Dispute Resolution mechanisms.</w:t>
          </w:r>
        </w:p>
        <w:p w14:paraId="15FFFEB3" w14:textId="77777777" w:rsidR="0050181A" w:rsidRDefault="0050181A" w:rsidP="0050181A">
          <w:r>
            <w:t>The financial analysis, which will be conducted over a 12-</w:t>
          </w:r>
          <w:proofErr w:type="gramStart"/>
          <w:r>
            <w:t>month time</w:t>
          </w:r>
          <w:proofErr w:type="gramEnd"/>
          <w:r>
            <w:t xml:space="preserve"> horizon, shows that the business has the potential to earn revenue while controlling costs and ensuring positive cash flow. In conclusion, the business plan confirms that Diligence is a viable, ethical, and scalable business that is aligned to the UK's legal and political environment.</w:t>
          </w:r>
        </w:p>
        <w:p w14:paraId="18DAE7C8" w14:textId="77777777" w:rsidR="0050181A" w:rsidRDefault="0050181A" w:rsidP="0050181A"/>
        <w:p w14:paraId="1EF4F906" w14:textId="77777777" w:rsidR="0050181A" w:rsidRPr="0050181A" w:rsidRDefault="0050181A" w:rsidP="0050181A">
          <w:pPr>
            <w:jc w:val="center"/>
            <w:rPr>
              <w:b/>
              <w:bCs/>
            </w:rPr>
          </w:pPr>
          <w:r w:rsidRPr="0050181A">
            <w:rPr>
              <w:b/>
              <w:bCs/>
            </w:rPr>
            <w:t>Glossary</w:t>
          </w:r>
        </w:p>
        <w:p w14:paraId="695FE201" w14:textId="77777777" w:rsidR="0050181A" w:rsidRPr="0050181A" w:rsidRDefault="0050181A" w:rsidP="0050181A">
          <w:pPr>
            <w:rPr>
              <w:b/>
              <w:bCs/>
            </w:rPr>
          </w:pPr>
          <w:r w:rsidRPr="0050181A">
            <w:rPr>
              <w:b/>
              <w:bCs/>
            </w:rPr>
            <w:t>Alternative Dispute Resolution (ADR)</w:t>
          </w:r>
        </w:p>
        <w:p w14:paraId="1E6E3BEC" w14:textId="77777777" w:rsidR="0050181A" w:rsidRDefault="0050181A" w:rsidP="0050181A">
          <w:r>
            <w:t>Methods of resolving disputes outside of court, including mediation, negotiation, and arbitration.</w:t>
          </w:r>
        </w:p>
        <w:p w14:paraId="6C31A67F" w14:textId="77777777" w:rsidR="0050181A" w:rsidRPr="0050181A" w:rsidRDefault="0050181A" w:rsidP="0050181A">
          <w:pPr>
            <w:rPr>
              <w:b/>
              <w:bCs/>
            </w:rPr>
          </w:pPr>
          <w:r w:rsidRPr="0050181A">
            <w:rPr>
              <w:b/>
              <w:bCs/>
            </w:rPr>
            <w:t>Civil Mediation</w:t>
          </w:r>
        </w:p>
        <w:p w14:paraId="47CD59DC" w14:textId="77777777" w:rsidR="0050181A" w:rsidRDefault="0050181A" w:rsidP="0050181A">
          <w:r>
            <w:t>A structured and confidential process in which a neutral third party assists disputing parties in reaching a mutually acceptable agreement.</w:t>
          </w:r>
        </w:p>
        <w:p w14:paraId="2BA7C2C9" w14:textId="77777777" w:rsidR="0050181A" w:rsidRPr="0050181A" w:rsidRDefault="0050181A" w:rsidP="0050181A">
          <w:pPr>
            <w:rPr>
              <w:b/>
              <w:bCs/>
            </w:rPr>
          </w:pPr>
          <w:r w:rsidRPr="0050181A">
            <w:rPr>
              <w:b/>
              <w:bCs/>
            </w:rPr>
            <w:t>Customer Segments</w:t>
          </w:r>
        </w:p>
        <w:p w14:paraId="5DE8709C" w14:textId="77777777" w:rsidR="0050181A" w:rsidRDefault="0050181A" w:rsidP="0050181A">
          <w:r>
            <w:t xml:space="preserve">Distinct groups of clients served by the business, including individuals, SMEs, landlords, tenants, and </w:t>
          </w:r>
          <w:proofErr w:type="spellStart"/>
          <w:r>
            <w:t>organisations</w:t>
          </w:r>
          <w:proofErr w:type="spellEnd"/>
          <w:r>
            <w:t>.</w:t>
          </w:r>
        </w:p>
        <w:p w14:paraId="4006BEE3" w14:textId="77777777" w:rsidR="0050181A" w:rsidRPr="0050181A" w:rsidRDefault="0050181A" w:rsidP="0050181A">
          <w:pPr>
            <w:rPr>
              <w:b/>
              <w:bCs/>
            </w:rPr>
          </w:pPr>
          <w:r w:rsidRPr="0050181A">
            <w:rPr>
              <w:b/>
              <w:bCs/>
            </w:rPr>
            <w:t>Mediation Agreement</w:t>
          </w:r>
        </w:p>
        <w:p w14:paraId="5DD5F3D0" w14:textId="77777777" w:rsidR="0050181A" w:rsidRDefault="0050181A" w:rsidP="0050181A">
          <w:r>
            <w:t>A non-binding or binding agreement reached through mediation outlining the terms accepted by all parties.</w:t>
          </w:r>
        </w:p>
        <w:p w14:paraId="7374037B" w14:textId="77777777" w:rsidR="0050181A" w:rsidRPr="0050181A" w:rsidRDefault="0050181A" w:rsidP="0050181A">
          <w:pPr>
            <w:rPr>
              <w:b/>
              <w:bCs/>
            </w:rPr>
          </w:pPr>
          <w:r w:rsidRPr="0050181A">
            <w:rPr>
              <w:b/>
              <w:bCs/>
            </w:rPr>
            <w:lastRenderedPageBreak/>
            <w:t>Private Limited Company (Ltd)</w:t>
          </w:r>
        </w:p>
        <w:p w14:paraId="44B67B19" w14:textId="77777777" w:rsidR="0050181A" w:rsidRDefault="0050181A" w:rsidP="0050181A">
          <w:r>
            <w:t>A UK legal business structure where liability is limited to shareholders’ investment.</w:t>
          </w:r>
        </w:p>
        <w:p w14:paraId="55C092B8" w14:textId="77777777" w:rsidR="0050181A" w:rsidRPr="0050181A" w:rsidRDefault="0050181A" w:rsidP="0050181A">
          <w:pPr>
            <w:rPr>
              <w:b/>
              <w:bCs/>
            </w:rPr>
          </w:pPr>
          <w:r w:rsidRPr="0050181A">
            <w:rPr>
              <w:b/>
              <w:bCs/>
            </w:rPr>
            <w:t>Service Delivery Model</w:t>
          </w:r>
        </w:p>
        <w:p w14:paraId="57C97DBA" w14:textId="77777777" w:rsidR="0050181A" w:rsidRDefault="0050181A" w:rsidP="0050181A">
          <w:r>
            <w:t>The structured process through which mediation services are planned, delivered, and monitored.</w:t>
          </w:r>
        </w:p>
        <w:p w14:paraId="750DD0FF" w14:textId="77777777" w:rsidR="0050181A" w:rsidRPr="0050181A" w:rsidRDefault="0050181A" w:rsidP="0050181A">
          <w:pPr>
            <w:rPr>
              <w:b/>
              <w:bCs/>
            </w:rPr>
          </w:pPr>
          <w:r w:rsidRPr="0050181A">
            <w:rPr>
              <w:b/>
              <w:bCs/>
            </w:rPr>
            <w:t>Stakeholders</w:t>
          </w:r>
        </w:p>
        <w:p w14:paraId="7D40A591" w14:textId="188E5D43" w:rsidR="00783930" w:rsidRDefault="0050181A" w:rsidP="0050181A">
          <w:r>
            <w:t xml:space="preserve">Individuals or </w:t>
          </w:r>
          <w:r>
            <w:t>organizations</w:t>
          </w:r>
          <w:r>
            <w:t xml:space="preserve"> with an interest in the business, including clients, partners, regulators, and employees.</w:t>
          </w:r>
        </w:p>
        <w:p w14:paraId="458BA9F7" w14:textId="77777777" w:rsidR="0050181A" w:rsidRDefault="0050181A" w:rsidP="0050181A"/>
        <w:p w14:paraId="2DF109F1" w14:textId="77777777" w:rsidR="0050181A" w:rsidRDefault="0050181A" w:rsidP="0050181A"/>
        <w:p w14:paraId="793BCAA0" w14:textId="77777777" w:rsidR="0050181A" w:rsidRDefault="0050181A" w:rsidP="0050181A"/>
        <w:p w14:paraId="7B25BD62" w14:textId="77777777" w:rsidR="0050181A" w:rsidRDefault="0050181A" w:rsidP="0050181A"/>
        <w:p w14:paraId="224472A7" w14:textId="77777777" w:rsidR="0050181A" w:rsidRDefault="0050181A" w:rsidP="0050181A"/>
        <w:p w14:paraId="1418B9C4" w14:textId="77777777" w:rsidR="0050181A" w:rsidRDefault="0050181A" w:rsidP="0050181A"/>
        <w:p w14:paraId="472AEF1B" w14:textId="77777777" w:rsidR="0050181A" w:rsidRDefault="0050181A" w:rsidP="0050181A"/>
        <w:p w14:paraId="58697337" w14:textId="77777777" w:rsidR="0050181A" w:rsidRDefault="0050181A" w:rsidP="0050181A"/>
        <w:p w14:paraId="4CD21346" w14:textId="77777777" w:rsidR="00783930" w:rsidRDefault="00783930" w:rsidP="00783930"/>
        <w:p w14:paraId="02A12A25" w14:textId="77777777" w:rsidR="00783930" w:rsidRDefault="00783930" w:rsidP="00783930"/>
        <w:p w14:paraId="06320456" w14:textId="77777777" w:rsidR="00783930" w:rsidRDefault="00783930" w:rsidP="00783930"/>
        <w:p w14:paraId="0766B5B5" w14:textId="77777777" w:rsidR="00783930" w:rsidRDefault="00783930" w:rsidP="00783930"/>
        <w:p w14:paraId="256AAA88" w14:textId="77777777" w:rsidR="0050181A" w:rsidRDefault="0050181A" w:rsidP="00783930"/>
        <w:p w14:paraId="5829CE37" w14:textId="77777777" w:rsidR="0050181A" w:rsidRDefault="0050181A" w:rsidP="00783930"/>
        <w:p w14:paraId="5FA06F7D" w14:textId="77777777" w:rsidR="0050181A" w:rsidRDefault="0050181A" w:rsidP="00783930"/>
        <w:p w14:paraId="7EF0A166" w14:textId="77777777" w:rsidR="0050181A" w:rsidRDefault="0050181A" w:rsidP="00783930"/>
        <w:p w14:paraId="68B083AB" w14:textId="45926EFA" w:rsidR="004730E9" w:rsidRDefault="00104AE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0883263" w:history="1">
            <w:r w:rsidR="004730E9" w:rsidRPr="00AB2B0F">
              <w:rPr>
                <w:rStyle w:val="Hyperlink"/>
                <w:noProof/>
              </w:rPr>
              <w:t>Chapter 1 Executive summary</w:t>
            </w:r>
            <w:r w:rsidR="004730E9">
              <w:rPr>
                <w:noProof/>
                <w:webHidden/>
              </w:rPr>
              <w:tab/>
            </w:r>
            <w:r w:rsidR="004730E9">
              <w:rPr>
                <w:noProof/>
                <w:webHidden/>
              </w:rPr>
              <w:fldChar w:fldCharType="begin"/>
            </w:r>
            <w:r w:rsidR="004730E9">
              <w:rPr>
                <w:noProof/>
                <w:webHidden/>
              </w:rPr>
              <w:instrText xml:space="preserve"> PAGEREF _Toc220883263 \h </w:instrText>
            </w:r>
            <w:r w:rsidR="004730E9">
              <w:rPr>
                <w:noProof/>
                <w:webHidden/>
              </w:rPr>
            </w:r>
            <w:r w:rsidR="004730E9">
              <w:rPr>
                <w:noProof/>
                <w:webHidden/>
              </w:rPr>
              <w:fldChar w:fldCharType="separate"/>
            </w:r>
            <w:r w:rsidR="004730E9">
              <w:rPr>
                <w:noProof/>
                <w:webHidden/>
              </w:rPr>
              <w:t>5</w:t>
            </w:r>
            <w:r w:rsidR="004730E9">
              <w:rPr>
                <w:noProof/>
                <w:webHidden/>
              </w:rPr>
              <w:fldChar w:fldCharType="end"/>
            </w:r>
          </w:hyperlink>
        </w:p>
        <w:p w14:paraId="56B81920" w14:textId="3EEC308E" w:rsidR="004730E9" w:rsidRDefault="004730E9">
          <w:pPr>
            <w:pStyle w:val="TOC1"/>
            <w:tabs>
              <w:tab w:val="right" w:leader="dot" w:pos="9350"/>
            </w:tabs>
            <w:rPr>
              <w:rFonts w:eastAsiaTheme="minorEastAsia"/>
              <w:noProof/>
            </w:rPr>
          </w:pPr>
          <w:hyperlink w:anchor="_Toc220883264" w:history="1">
            <w:r w:rsidRPr="00AB2B0F">
              <w:rPr>
                <w:rStyle w:val="Hyperlink"/>
                <w:noProof/>
              </w:rPr>
              <w:t>Chapter 2: Company Description</w:t>
            </w:r>
            <w:r>
              <w:rPr>
                <w:noProof/>
                <w:webHidden/>
              </w:rPr>
              <w:tab/>
            </w:r>
            <w:r>
              <w:rPr>
                <w:noProof/>
                <w:webHidden/>
              </w:rPr>
              <w:fldChar w:fldCharType="begin"/>
            </w:r>
            <w:r>
              <w:rPr>
                <w:noProof/>
                <w:webHidden/>
              </w:rPr>
              <w:instrText xml:space="preserve"> PAGEREF _Toc220883264 \h </w:instrText>
            </w:r>
            <w:r>
              <w:rPr>
                <w:noProof/>
                <w:webHidden/>
              </w:rPr>
            </w:r>
            <w:r>
              <w:rPr>
                <w:noProof/>
                <w:webHidden/>
              </w:rPr>
              <w:fldChar w:fldCharType="separate"/>
            </w:r>
            <w:r>
              <w:rPr>
                <w:noProof/>
                <w:webHidden/>
              </w:rPr>
              <w:t>7</w:t>
            </w:r>
            <w:r>
              <w:rPr>
                <w:noProof/>
                <w:webHidden/>
              </w:rPr>
              <w:fldChar w:fldCharType="end"/>
            </w:r>
          </w:hyperlink>
        </w:p>
        <w:p w14:paraId="6FA8D0F1" w14:textId="1B4E36AC" w:rsidR="004730E9" w:rsidRDefault="004730E9">
          <w:pPr>
            <w:pStyle w:val="TOC2"/>
            <w:tabs>
              <w:tab w:val="right" w:leader="dot" w:pos="9350"/>
            </w:tabs>
            <w:rPr>
              <w:rFonts w:eastAsiaTheme="minorEastAsia"/>
              <w:noProof/>
            </w:rPr>
          </w:pPr>
          <w:hyperlink w:anchor="_Toc220883265" w:history="1">
            <w:r w:rsidRPr="00AB2B0F">
              <w:rPr>
                <w:rStyle w:val="Hyperlink"/>
                <w:noProof/>
              </w:rPr>
              <w:t>2.1 Business Identity and Legal Structure</w:t>
            </w:r>
            <w:r>
              <w:rPr>
                <w:noProof/>
                <w:webHidden/>
              </w:rPr>
              <w:tab/>
            </w:r>
            <w:r>
              <w:rPr>
                <w:noProof/>
                <w:webHidden/>
              </w:rPr>
              <w:fldChar w:fldCharType="begin"/>
            </w:r>
            <w:r>
              <w:rPr>
                <w:noProof/>
                <w:webHidden/>
              </w:rPr>
              <w:instrText xml:space="preserve"> PAGEREF _Toc220883265 \h </w:instrText>
            </w:r>
            <w:r>
              <w:rPr>
                <w:noProof/>
                <w:webHidden/>
              </w:rPr>
            </w:r>
            <w:r>
              <w:rPr>
                <w:noProof/>
                <w:webHidden/>
              </w:rPr>
              <w:fldChar w:fldCharType="separate"/>
            </w:r>
            <w:r>
              <w:rPr>
                <w:noProof/>
                <w:webHidden/>
              </w:rPr>
              <w:t>7</w:t>
            </w:r>
            <w:r>
              <w:rPr>
                <w:noProof/>
                <w:webHidden/>
              </w:rPr>
              <w:fldChar w:fldCharType="end"/>
            </w:r>
          </w:hyperlink>
        </w:p>
        <w:p w14:paraId="3A64921B" w14:textId="29A3E4CB" w:rsidR="004730E9" w:rsidRDefault="004730E9">
          <w:pPr>
            <w:pStyle w:val="TOC2"/>
            <w:tabs>
              <w:tab w:val="right" w:leader="dot" w:pos="9350"/>
            </w:tabs>
            <w:rPr>
              <w:rFonts w:eastAsiaTheme="minorEastAsia"/>
              <w:noProof/>
            </w:rPr>
          </w:pPr>
          <w:hyperlink w:anchor="_Toc220883266" w:history="1">
            <w:r w:rsidRPr="00AB2B0F">
              <w:rPr>
                <w:rStyle w:val="Hyperlink"/>
                <w:noProof/>
              </w:rPr>
              <w:t>2.2 Mission, Vision, and Core Values</w:t>
            </w:r>
            <w:r>
              <w:rPr>
                <w:noProof/>
                <w:webHidden/>
              </w:rPr>
              <w:tab/>
            </w:r>
            <w:r>
              <w:rPr>
                <w:noProof/>
                <w:webHidden/>
              </w:rPr>
              <w:fldChar w:fldCharType="begin"/>
            </w:r>
            <w:r>
              <w:rPr>
                <w:noProof/>
                <w:webHidden/>
              </w:rPr>
              <w:instrText xml:space="preserve"> PAGEREF _Toc220883266 \h </w:instrText>
            </w:r>
            <w:r>
              <w:rPr>
                <w:noProof/>
                <w:webHidden/>
              </w:rPr>
            </w:r>
            <w:r>
              <w:rPr>
                <w:noProof/>
                <w:webHidden/>
              </w:rPr>
              <w:fldChar w:fldCharType="separate"/>
            </w:r>
            <w:r>
              <w:rPr>
                <w:noProof/>
                <w:webHidden/>
              </w:rPr>
              <w:t>7</w:t>
            </w:r>
            <w:r>
              <w:rPr>
                <w:noProof/>
                <w:webHidden/>
              </w:rPr>
              <w:fldChar w:fldCharType="end"/>
            </w:r>
          </w:hyperlink>
        </w:p>
        <w:p w14:paraId="3F45E6A8" w14:textId="33661DCD" w:rsidR="004730E9" w:rsidRDefault="004730E9">
          <w:pPr>
            <w:pStyle w:val="TOC2"/>
            <w:tabs>
              <w:tab w:val="right" w:leader="dot" w:pos="9350"/>
            </w:tabs>
            <w:rPr>
              <w:rFonts w:eastAsiaTheme="minorEastAsia"/>
              <w:noProof/>
            </w:rPr>
          </w:pPr>
          <w:hyperlink w:anchor="_Toc220883267" w:history="1">
            <w:r w:rsidRPr="00AB2B0F">
              <w:rPr>
                <w:rStyle w:val="Hyperlink"/>
                <w:noProof/>
              </w:rPr>
              <w:t>2.3 Founding Background and Business Inspiration</w:t>
            </w:r>
            <w:r>
              <w:rPr>
                <w:noProof/>
                <w:webHidden/>
              </w:rPr>
              <w:tab/>
            </w:r>
            <w:r>
              <w:rPr>
                <w:noProof/>
                <w:webHidden/>
              </w:rPr>
              <w:fldChar w:fldCharType="begin"/>
            </w:r>
            <w:r>
              <w:rPr>
                <w:noProof/>
                <w:webHidden/>
              </w:rPr>
              <w:instrText xml:space="preserve"> PAGEREF _Toc220883267 \h </w:instrText>
            </w:r>
            <w:r>
              <w:rPr>
                <w:noProof/>
                <w:webHidden/>
              </w:rPr>
            </w:r>
            <w:r>
              <w:rPr>
                <w:noProof/>
                <w:webHidden/>
              </w:rPr>
              <w:fldChar w:fldCharType="separate"/>
            </w:r>
            <w:r>
              <w:rPr>
                <w:noProof/>
                <w:webHidden/>
              </w:rPr>
              <w:t>8</w:t>
            </w:r>
            <w:r>
              <w:rPr>
                <w:noProof/>
                <w:webHidden/>
              </w:rPr>
              <w:fldChar w:fldCharType="end"/>
            </w:r>
          </w:hyperlink>
        </w:p>
        <w:p w14:paraId="77AE947E" w14:textId="544E10CD" w:rsidR="004730E9" w:rsidRDefault="004730E9">
          <w:pPr>
            <w:pStyle w:val="TOC2"/>
            <w:tabs>
              <w:tab w:val="right" w:leader="dot" w:pos="9350"/>
            </w:tabs>
            <w:rPr>
              <w:rFonts w:eastAsiaTheme="minorEastAsia"/>
              <w:noProof/>
            </w:rPr>
          </w:pPr>
          <w:hyperlink w:anchor="_Toc220883268" w:history="1">
            <w:r w:rsidRPr="00AB2B0F">
              <w:rPr>
                <w:rStyle w:val="Hyperlink"/>
                <w:noProof/>
              </w:rPr>
              <w:t>2.4 Service Overview and Problem Solved</w:t>
            </w:r>
            <w:r>
              <w:rPr>
                <w:noProof/>
                <w:webHidden/>
              </w:rPr>
              <w:tab/>
            </w:r>
            <w:r>
              <w:rPr>
                <w:noProof/>
                <w:webHidden/>
              </w:rPr>
              <w:fldChar w:fldCharType="begin"/>
            </w:r>
            <w:r>
              <w:rPr>
                <w:noProof/>
                <w:webHidden/>
              </w:rPr>
              <w:instrText xml:space="preserve"> PAGEREF _Toc220883268 \h </w:instrText>
            </w:r>
            <w:r>
              <w:rPr>
                <w:noProof/>
                <w:webHidden/>
              </w:rPr>
            </w:r>
            <w:r>
              <w:rPr>
                <w:noProof/>
                <w:webHidden/>
              </w:rPr>
              <w:fldChar w:fldCharType="separate"/>
            </w:r>
            <w:r>
              <w:rPr>
                <w:noProof/>
                <w:webHidden/>
              </w:rPr>
              <w:t>8</w:t>
            </w:r>
            <w:r>
              <w:rPr>
                <w:noProof/>
                <w:webHidden/>
              </w:rPr>
              <w:fldChar w:fldCharType="end"/>
            </w:r>
          </w:hyperlink>
        </w:p>
        <w:p w14:paraId="7F83A154" w14:textId="3623582E" w:rsidR="004730E9" w:rsidRDefault="004730E9">
          <w:pPr>
            <w:pStyle w:val="TOC2"/>
            <w:tabs>
              <w:tab w:val="right" w:leader="dot" w:pos="9350"/>
            </w:tabs>
            <w:rPr>
              <w:rFonts w:eastAsiaTheme="minorEastAsia"/>
              <w:noProof/>
            </w:rPr>
          </w:pPr>
          <w:hyperlink w:anchor="_Toc220883269" w:history="1">
            <w:r w:rsidRPr="00AB2B0F">
              <w:rPr>
                <w:rStyle w:val="Hyperlink"/>
                <w:noProof/>
              </w:rPr>
              <w:t>2.6 Unique Value Proposition and Strategic Advantage</w:t>
            </w:r>
            <w:r>
              <w:rPr>
                <w:noProof/>
                <w:webHidden/>
              </w:rPr>
              <w:tab/>
            </w:r>
            <w:r>
              <w:rPr>
                <w:noProof/>
                <w:webHidden/>
              </w:rPr>
              <w:fldChar w:fldCharType="begin"/>
            </w:r>
            <w:r>
              <w:rPr>
                <w:noProof/>
                <w:webHidden/>
              </w:rPr>
              <w:instrText xml:space="preserve"> PAGEREF _Toc220883269 \h </w:instrText>
            </w:r>
            <w:r>
              <w:rPr>
                <w:noProof/>
                <w:webHidden/>
              </w:rPr>
            </w:r>
            <w:r>
              <w:rPr>
                <w:noProof/>
                <w:webHidden/>
              </w:rPr>
              <w:fldChar w:fldCharType="separate"/>
            </w:r>
            <w:r>
              <w:rPr>
                <w:noProof/>
                <w:webHidden/>
              </w:rPr>
              <w:t>9</w:t>
            </w:r>
            <w:r>
              <w:rPr>
                <w:noProof/>
                <w:webHidden/>
              </w:rPr>
              <w:fldChar w:fldCharType="end"/>
            </w:r>
          </w:hyperlink>
        </w:p>
        <w:p w14:paraId="77D10195" w14:textId="2298C11E" w:rsidR="004730E9" w:rsidRDefault="004730E9">
          <w:pPr>
            <w:pStyle w:val="TOC2"/>
            <w:tabs>
              <w:tab w:val="right" w:leader="dot" w:pos="9350"/>
            </w:tabs>
            <w:rPr>
              <w:rFonts w:eastAsiaTheme="minorEastAsia"/>
              <w:noProof/>
            </w:rPr>
          </w:pPr>
          <w:hyperlink w:anchor="_Toc220883270" w:history="1">
            <w:r w:rsidRPr="00AB2B0F">
              <w:rPr>
                <w:rStyle w:val="Hyperlink"/>
                <w:noProof/>
              </w:rPr>
              <w:t>2.7 Alignment with Trends and UK Policies</w:t>
            </w:r>
            <w:r>
              <w:rPr>
                <w:noProof/>
                <w:webHidden/>
              </w:rPr>
              <w:tab/>
            </w:r>
            <w:r>
              <w:rPr>
                <w:noProof/>
                <w:webHidden/>
              </w:rPr>
              <w:fldChar w:fldCharType="begin"/>
            </w:r>
            <w:r>
              <w:rPr>
                <w:noProof/>
                <w:webHidden/>
              </w:rPr>
              <w:instrText xml:space="preserve"> PAGEREF _Toc220883270 \h </w:instrText>
            </w:r>
            <w:r>
              <w:rPr>
                <w:noProof/>
                <w:webHidden/>
              </w:rPr>
            </w:r>
            <w:r>
              <w:rPr>
                <w:noProof/>
                <w:webHidden/>
              </w:rPr>
              <w:fldChar w:fldCharType="separate"/>
            </w:r>
            <w:r>
              <w:rPr>
                <w:noProof/>
                <w:webHidden/>
              </w:rPr>
              <w:t>9</w:t>
            </w:r>
            <w:r>
              <w:rPr>
                <w:noProof/>
                <w:webHidden/>
              </w:rPr>
              <w:fldChar w:fldCharType="end"/>
            </w:r>
          </w:hyperlink>
        </w:p>
        <w:p w14:paraId="2836AAE4" w14:textId="72462D17" w:rsidR="004730E9" w:rsidRDefault="004730E9">
          <w:pPr>
            <w:pStyle w:val="TOC1"/>
            <w:tabs>
              <w:tab w:val="right" w:leader="dot" w:pos="9350"/>
            </w:tabs>
            <w:rPr>
              <w:rFonts w:eastAsiaTheme="minorEastAsia"/>
              <w:noProof/>
            </w:rPr>
          </w:pPr>
          <w:hyperlink w:anchor="_Toc220883271" w:history="1">
            <w:r w:rsidRPr="00AB2B0F">
              <w:rPr>
                <w:rStyle w:val="Hyperlink"/>
                <w:noProof/>
              </w:rPr>
              <w:t>Chapter 3; Market Research and validation</w:t>
            </w:r>
            <w:r>
              <w:rPr>
                <w:noProof/>
                <w:webHidden/>
              </w:rPr>
              <w:tab/>
            </w:r>
            <w:r>
              <w:rPr>
                <w:noProof/>
                <w:webHidden/>
              </w:rPr>
              <w:fldChar w:fldCharType="begin"/>
            </w:r>
            <w:r>
              <w:rPr>
                <w:noProof/>
                <w:webHidden/>
              </w:rPr>
              <w:instrText xml:space="preserve"> PAGEREF _Toc220883271 \h </w:instrText>
            </w:r>
            <w:r>
              <w:rPr>
                <w:noProof/>
                <w:webHidden/>
              </w:rPr>
            </w:r>
            <w:r>
              <w:rPr>
                <w:noProof/>
                <w:webHidden/>
              </w:rPr>
              <w:fldChar w:fldCharType="separate"/>
            </w:r>
            <w:r>
              <w:rPr>
                <w:noProof/>
                <w:webHidden/>
              </w:rPr>
              <w:t>9</w:t>
            </w:r>
            <w:r>
              <w:rPr>
                <w:noProof/>
                <w:webHidden/>
              </w:rPr>
              <w:fldChar w:fldCharType="end"/>
            </w:r>
          </w:hyperlink>
        </w:p>
        <w:p w14:paraId="5446A6BF" w14:textId="79186433" w:rsidR="004730E9" w:rsidRDefault="004730E9">
          <w:pPr>
            <w:pStyle w:val="TOC2"/>
            <w:tabs>
              <w:tab w:val="right" w:leader="dot" w:pos="9350"/>
            </w:tabs>
            <w:rPr>
              <w:rFonts w:eastAsiaTheme="minorEastAsia"/>
              <w:noProof/>
            </w:rPr>
          </w:pPr>
          <w:hyperlink w:anchor="_Toc220883272" w:history="1">
            <w:r w:rsidRPr="00AB2B0F">
              <w:rPr>
                <w:rStyle w:val="Hyperlink"/>
                <w:noProof/>
              </w:rPr>
              <w:t>3.1 Industry Overview</w:t>
            </w:r>
            <w:r>
              <w:rPr>
                <w:noProof/>
                <w:webHidden/>
              </w:rPr>
              <w:tab/>
            </w:r>
            <w:r>
              <w:rPr>
                <w:noProof/>
                <w:webHidden/>
              </w:rPr>
              <w:fldChar w:fldCharType="begin"/>
            </w:r>
            <w:r>
              <w:rPr>
                <w:noProof/>
                <w:webHidden/>
              </w:rPr>
              <w:instrText xml:space="preserve"> PAGEREF _Toc220883272 \h </w:instrText>
            </w:r>
            <w:r>
              <w:rPr>
                <w:noProof/>
                <w:webHidden/>
              </w:rPr>
            </w:r>
            <w:r>
              <w:rPr>
                <w:noProof/>
                <w:webHidden/>
              </w:rPr>
              <w:fldChar w:fldCharType="separate"/>
            </w:r>
            <w:r>
              <w:rPr>
                <w:noProof/>
                <w:webHidden/>
              </w:rPr>
              <w:t>10</w:t>
            </w:r>
            <w:r>
              <w:rPr>
                <w:noProof/>
                <w:webHidden/>
              </w:rPr>
              <w:fldChar w:fldCharType="end"/>
            </w:r>
          </w:hyperlink>
        </w:p>
        <w:p w14:paraId="3577D6E3" w14:textId="30157C7C" w:rsidR="004730E9" w:rsidRDefault="004730E9">
          <w:pPr>
            <w:pStyle w:val="TOC2"/>
            <w:tabs>
              <w:tab w:val="right" w:leader="dot" w:pos="9350"/>
            </w:tabs>
            <w:rPr>
              <w:rFonts w:eastAsiaTheme="minorEastAsia"/>
              <w:noProof/>
            </w:rPr>
          </w:pPr>
          <w:hyperlink w:anchor="_Toc220883273" w:history="1">
            <w:r w:rsidRPr="00AB2B0F">
              <w:rPr>
                <w:rStyle w:val="Hyperlink"/>
                <w:noProof/>
              </w:rPr>
              <w:t>Consumers and businesses in London are increasingly looking for:</w:t>
            </w:r>
            <w:r>
              <w:rPr>
                <w:noProof/>
                <w:webHidden/>
              </w:rPr>
              <w:tab/>
            </w:r>
            <w:r>
              <w:rPr>
                <w:noProof/>
                <w:webHidden/>
              </w:rPr>
              <w:fldChar w:fldCharType="begin"/>
            </w:r>
            <w:r>
              <w:rPr>
                <w:noProof/>
                <w:webHidden/>
              </w:rPr>
              <w:instrText xml:space="preserve"> PAGEREF _Toc220883273 \h </w:instrText>
            </w:r>
            <w:r>
              <w:rPr>
                <w:noProof/>
                <w:webHidden/>
              </w:rPr>
            </w:r>
            <w:r>
              <w:rPr>
                <w:noProof/>
                <w:webHidden/>
              </w:rPr>
              <w:fldChar w:fldCharType="separate"/>
            </w:r>
            <w:r>
              <w:rPr>
                <w:noProof/>
                <w:webHidden/>
              </w:rPr>
              <w:t>10</w:t>
            </w:r>
            <w:r>
              <w:rPr>
                <w:noProof/>
                <w:webHidden/>
              </w:rPr>
              <w:fldChar w:fldCharType="end"/>
            </w:r>
          </w:hyperlink>
        </w:p>
        <w:p w14:paraId="517B92B6" w14:textId="3D1C78E5" w:rsidR="004730E9" w:rsidRDefault="004730E9">
          <w:pPr>
            <w:pStyle w:val="TOC2"/>
            <w:tabs>
              <w:tab w:val="right" w:leader="dot" w:pos="9350"/>
            </w:tabs>
            <w:rPr>
              <w:rFonts w:eastAsiaTheme="minorEastAsia"/>
              <w:noProof/>
            </w:rPr>
          </w:pPr>
          <w:hyperlink w:anchor="_Toc220883274" w:history="1">
            <w:r w:rsidRPr="00AB2B0F">
              <w:rPr>
                <w:rStyle w:val="Hyperlink"/>
                <w:noProof/>
              </w:rPr>
              <w:t>3.2 Target Market Segmentation &amp; Customer Profiles</w:t>
            </w:r>
            <w:r>
              <w:rPr>
                <w:noProof/>
                <w:webHidden/>
              </w:rPr>
              <w:tab/>
            </w:r>
            <w:r>
              <w:rPr>
                <w:noProof/>
                <w:webHidden/>
              </w:rPr>
              <w:fldChar w:fldCharType="begin"/>
            </w:r>
            <w:r>
              <w:rPr>
                <w:noProof/>
                <w:webHidden/>
              </w:rPr>
              <w:instrText xml:space="preserve"> PAGEREF _Toc220883274 \h </w:instrText>
            </w:r>
            <w:r>
              <w:rPr>
                <w:noProof/>
                <w:webHidden/>
              </w:rPr>
            </w:r>
            <w:r>
              <w:rPr>
                <w:noProof/>
                <w:webHidden/>
              </w:rPr>
              <w:fldChar w:fldCharType="separate"/>
            </w:r>
            <w:r>
              <w:rPr>
                <w:noProof/>
                <w:webHidden/>
              </w:rPr>
              <w:t>12</w:t>
            </w:r>
            <w:r>
              <w:rPr>
                <w:noProof/>
                <w:webHidden/>
              </w:rPr>
              <w:fldChar w:fldCharType="end"/>
            </w:r>
          </w:hyperlink>
        </w:p>
        <w:p w14:paraId="0CB83E91" w14:textId="0090DD98" w:rsidR="004730E9" w:rsidRDefault="004730E9">
          <w:pPr>
            <w:pStyle w:val="TOC2"/>
            <w:tabs>
              <w:tab w:val="right" w:leader="dot" w:pos="9350"/>
            </w:tabs>
            <w:rPr>
              <w:rFonts w:eastAsiaTheme="minorEastAsia"/>
              <w:noProof/>
            </w:rPr>
          </w:pPr>
          <w:hyperlink w:anchor="_Toc220883275" w:history="1">
            <w:r w:rsidRPr="00AB2B0F">
              <w:rPr>
                <w:rStyle w:val="Hyperlink"/>
                <w:noProof/>
              </w:rPr>
              <w:t>3.3 Customer Needs and Demand Diligence - London Market</w:t>
            </w:r>
            <w:r>
              <w:rPr>
                <w:noProof/>
                <w:webHidden/>
              </w:rPr>
              <w:tab/>
            </w:r>
            <w:r>
              <w:rPr>
                <w:noProof/>
                <w:webHidden/>
              </w:rPr>
              <w:fldChar w:fldCharType="begin"/>
            </w:r>
            <w:r>
              <w:rPr>
                <w:noProof/>
                <w:webHidden/>
              </w:rPr>
              <w:instrText xml:space="preserve"> PAGEREF _Toc220883275 \h </w:instrText>
            </w:r>
            <w:r>
              <w:rPr>
                <w:noProof/>
                <w:webHidden/>
              </w:rPr>
            </w:r>
            <w:r>
              <w:rPr>
                <w:noProof/>
                <w:webHidden/>
              </w:rPr>
              <w:fldChar w:fldCharType="separate"/>
            </w:r>
            <w:r>
              <w:rPr>
                <w:noProof/>
                <w:webHidden/>
              </w:rPr>
              <w:t>13</w:t>
            </w:r>
            <w:r>
              <w:rPr>
                <w:noProof/>
                <w:webHidden/>
              </w:rPr>
              <w:fldChar w:fldCharType="end"/>
            </w:r>
          </w:hyperlink>
        </w:p>
        <w:p w14:paraId="1344EA1D" w14:textId="046EE56F" w:rsidR="004730E9" w:rsidRDefault="004730E9">
          <w:pPr>
            <w:pStyle w:val="TOC2"/>
            <w:tabs>
              <w:tab w:val="right" w:leader="dot" w:pos="9350"/>
            </w:tabs>
            <w:rPr>
              <w:rFonts w:eastAsiaTheme="minorEastAsia"/>
              <w:noProof/>
            </w:rPr>
          </w:pPr>
          <w:hyperlink w:anchor="_Toc220883276" w:history="1">
            <w:r w:rsidRPr="00AB2B0F">
              <w:rPr>
                <w:rStyle w:val="Hyperlink"/>
                <w:noProof/>
              </w:rPr>
              <w:t>3.4 Competitive Analysis</w:t>
            </w:r>
            <w:r>
              <w:rPr>
                <w:noProof/>
                <w:webHidden/>
              </w:rPr>
              <w:tab/>
            </w:r>
            <w:r>
              <w:rPr>
                <w:noProof/>
                <w:webHidden/>
              </w:rPr>
              <w:fldChar w:fldCharType="begin"/>
            </w:r>
            <w:r>
              <w:rPr>
                <w:noProof/>
                <w:webHidden/>
              </w:rPr>
              <w:instrText xml:space="preserve"> PAGEREF _Toc220883276 \h </w:instrText>
            </w:r>
            <w:r>
              <w:rPr>
                <w:noProof/>
                <w:webHidden/>
              </w:rPr>
            </w:r>
            <w:r>
              <w:rPr>
                <w:noProof/>
                <w:webHidden/>
              </w:rPr>
              <w:fldChar w:fldCharType="separate"/>
            </w:r>
            <w:r>
              <w:rPr>
                <w:noProof/>
                <w:webHidden/>
              </w:rPr>
              <w:t>15</w:t>
            </w:r>
            <w:r>
              <w:rPr>
                <w:noProof/>
                <w:webHidden/>
              </w:rPr>
              <w:fldChar w:fldCharType="end"/>
            </w:r>
          </w:hyperlink>
        </w:p>
        <w:p w14:paraId="55D61F2B" w14:textId="0501733C" w:rsidR="004730E9" w:rsidRDefault="004730E9">
          <w:pPr>
            <w:pStyle w:val="TOC2"/>
            <w:tabs>
              <w:tab w:val="right" w:leader="dot" w:pos="9350"/>
            </w:tabs>
            <w:rPr>
              <w:rFonts w:eastAsiaTheme="minorEastAsia"/>
              <w:noProof/>
            </w:rPr>
          </w:pPr>
          <w:hyperlink w:anchor="_Toc220883277" w:history="1">
            <w:r w:rsidRPr="00AB2B0F">
              <w:rPr>
                <w:rStyle w:val="Hyperlink"/>
                <w:noProof/>
              </w:rPr>
              <w:t>3.5 Validation techniques</w:t>
            </w:r>
            <w:r>
              <w:rPr>
                <w:noProof/>
                <w:webHidden/>
              </w:rPr>
              <w:tab/>
            </w:r>
            <w:r>
              <w:rPr>
                <w:noProof/>
                <w:webHidden/>
              </w:rPr>
              <w:fldChar w:fldCharType="begin"/>
            </w:r>
            <w:r>
              <w:rPr>
                <w:noProof/>
                <w:webHidden/>
              </w:rPr>
              <w:instrText xml:space="preserve"> PAGEREF _Toc220883277 \h </w:instrText>
            </w:r>
            <w:r>
              <w:rPr>
                <w:noProof/>
                <w:webHidden/>
              </w:rPr>
            </w:r>
            <w:r>
              <w:rPr>
                <w:noProof/>
                <w:webHidden/>
              </w:rPr>
              <w:fldChar w:fldCharType="separate"/>
            </w:r>
            <w:r>
              <w:rPr>
                <w:noProof/>
                <w:webHidden/>
              </w:rPr>
              <w:t>16</w:t>
            </w:r>
            <w:r>
              <w:rPr>
                <w:noProof/>
                <w:webHidden/>
              </w:rPr>
              <w:fldChar w:fldCharType="end"/>
            </w:r>
          </w:hyperlink>
        </w:p>
        <w:p w14:paraId="12769D26" w14:textId="76BEED4E" w:rsidR="004730E9" w:rsidRDefault="004730E9">
          <w:pPr>
            <w:pStyle w:val="TOC2"/>
            <w:tabs>
              <w:tab w:val="right" w:leader="dot" w:pos="9350"/>
            </w:tabs>
            <w:rPr>
              <w:rFonts w:eastAsiaTheme="minorEastAsia"/>
              <w:noProof/>
            </w:rPr>
          </w:pPr>
          <w:hyperlink w:anchor="_Toc220883278" w:history="1">
            <w:r w:rsidRPr="00AB2B0F">
              <w:rPr>
                <w:rStyle w:val="Hyperlink"/>
                <w:noProof/>
              </w:rPr>
              <w:t>3.6 Labour and Government Support</w:t>
            </w:r>
            <w:r>
              <w:rPr>
                <w:noProof/>
                <w:webHidden/>
              </w:rPr>
              <w:tab/>
            </w:r>
            <w:r>
              <w:rPr>
                <w:noProof/>
                <w:webHidden/>
              </w:rPr>
              <w:fldChar w:fldCharType="begin"/>
            </w:r>
            <w:r>
              <w:rPr>
                <w:noProof/>
                <w:webHidden/>
              </w:rPr>
              <w:instrText xml:space="preserve"> PAGEREF _Toc220883278 \h </w:instrText>
            </w:r>
            <w:r>
              <w:rPr>
                <w:noProof/>
                <w:webHidden/>
              </w:rPr>
            </w:r>
            <w:r>
              <w:rPr>
                <w:noProof/>
                <w:webHidden/>
              </w:rPr>
              <w:fldChar w:fldCharType="separate"/>
            </w:r>
            <w:r>
              <w:rPr>
                <w:noProof/>
                <w:webHidden/>
              </w:rPr>
              <w:t>17</w:t>
            </w:r>
            <w:r>
              <w:rPr>
                <w:noProof/>
                <w:webHidden/>
              </w:rPr>
              <w:fldChar w:fldCharType="end"/>
            </w:r>
          </w:hyperlink>
        </w:p>
        <w:p w14:paraId="6B777D30" w14:textId="21EF3B50" w:rsidR="004730E9" w:rsidRDefault="004730E9">
          <w:pPr>
            <w:pStyle w:val="TOC2"/>
            <w:tabs>
              <w:tab w:val="right" w:leader="dot" w:pos="9350"/>
            </w:tabs>
            <w:rPr>
              <w:rFonts w:eastAsiaTheme="minorEastAsia"/>
              <w:noProof/>
            </w:rPr>
          </w:pPr>
          <w:hyperlink w:anchor="_Toc220883279" w:history="1">
            <w:r w:rsidRPr="00AB2B0F">
              <w:rPr>
                <w:rStyle w:val="Hyperlink"/>
                <w:noProof/>
              </w:rPr>
              <w:t>Summary</w:t>
            </w:r>
            <w:r>
              <w:rPr>
                <w:noProof/>
                <w:webHidden/>
              </w:rPr>
              <w:tab/>
            </w:r>
            <w:r>
              <w:rPr>
                <w:noProof/>
                <w:webHidden/>
              </w:rPr>
              <w:fldChar w:fldCharType="begin"/>
            </w:r>
            <w:r>
              <w:rPr>
                <w:noProof/>
                <w:webHidden/>
              </w:rPr>
              <w:instrText xml:space="preserve"> PAGEREF _Toc220883279 \h </w:instrText>
            </w:r>
            <w:r>
              <w:rPr>
                <w:noProof/>
                <w:webHidden/>
              </w:rPr>
            </w:r>
            <w:r>
              <w:rPr>
                <w:noProof/>
                <w:webHidden/>
              </w:rPr>
              <w:fldChar w:fldCharType="separate"/>
            </w:r>
            <w:r>
              <w:rPr>
                <w:noProof/>
                <w:webHidden/>
              </w:rPr>
              <w:t>18</w:t>
            </w:r>
            <w:r>
              <w:rPr>
                <w:noProof/>
                <w:webHidden/>
              </w:rPr>
              <w:fldChar w:fldCharType="end"/>
            </w:r>
          </w:hyperlink>
        </w:p>
        <w:p w14:paraId="620A9817" w14:textId="66E29430" w:rsidR="004730E9" w:rsidRDefault="004730E9">
          <w:pPr>
            <w:pStyle w:val="TOC1"/>
            <w:tabs>
              <w:tab w:val="right" w:leader="dot" w:pos="9350"/>
            </w:tabs>
            <w:rPr>
              <w:rFonts w:eastAsiaTheme="minorEastAsia"/>
              <w:noProof/>
            </w:rPr>
          </w:pPr>
          <w:hyperlink w:anchor="_Toc220883280" w:history="1">
            <w:r w:rsidRPr="00AB2B0F">
              <w:rPr>
                <w:rStyle w:val="Hyperlink"/>
                <w:noProof/>
              </w:rPr>
              <w:t>Chapter 4: Marketing and Sales Strategy</w:t>
            </w:r>
            <w:r>
              <w:rPr>
                <w:noProof/>
                <w:webHidden/>
              </w:rPr>
              <w:tab/>
            </w:r>
            <w:r>
              <w:rPr>
                <w:noProof/>
                <w:webHidden/>
              </w:rPr>
              <w:fldChar w:fldCharType="begin"/>
            </w:r>
            <w:r>
              <w:rPr>
                <w:noProof/>
                <w:webHidden/>
              </w:rPr>
              <w:instrText xml:space="preserve"> PAGEREF _Toc220883280 \h </w:instrText>
            </w:r>
            <w:r>
              <w:rPr>
                <w:noProof/>
                <w:webHidden/>
              </w:rPr>
            </w:r>
            <w:r>
              <w:rPr>
                <w:noProof/>
                <w:webHidden/>
              </w:rPr>
              <w:fldChar w:fldCharType="separate"/>
            </w:r>
            <w:r>
              <w:rPr>
                <w:noProof/>
                <w:webHidden/>
              </w:rPr>
              <w:t>20</w:t>
            </w:r>
            <w:r>
              <w:rPr>
                <w:noProof/>
                <w:webHidden/>
              </w:rPr>
              <w:fldChar w:fldCharType="end"/>
            </w:r>
          </w:hyperlink>
        </w:p>
        <w:p w14:paraId="4B799BB9" w14:textId="6B10F014" w:rsidR="004730E9" w:rsidRDefault="004730E9">
          <w:pPr>
            <w:pStyle w:val="TOC2"/>
            <w:tabs>
              <w:tab w:val="right" w:leader="dot" w:pos="9350"/>
            </w:tabs>
            <w:rPr>
              <w:rFonts w:eastAsiaTheme="minorEastAsia"/>
              <w:noProof/>
            </w:rPr>
          </w:pPr>
          <w:hyperlink w:anchor="_Toc220883281" w:history="1">
            <w:r w:rsidRPr="00AB2B0F">
              <w:rPr>
                <w:rStyle w:val="Hyperlink"/>
                <w:noProof/>
              </w:rPr>
              <w:t>4.1 Unique Selling Proposition</w:t>
            </w:r>
            <w:r>
              <w:rPr>
                <w:noProof/>
                <w:webHidden/>
              </w:rPr>
              <w:tab/>
            </w:r>
            <w:r>
              <w:rPr>
                <w:noProof/>
                <w:webHidden/>
              </w:rPr>
              <w:fldChar w:fldCharType="begin"/>
            </w:r>
            <w:r>
              <w:rPr>
                <w:noProof/>
                <w:webHidden/>
              </w:rPr>
              <w:instrText xml:space="preserve"> PAGEREF _Toc220883281 \h </w:instrText>
            </w:r>
            <w:r>
              <w:rPr>
                <w:noProof/>
                <w:webHidden/>
              </w:rPr>
            </w:r>
            <w:r>
              <w:rPr>
                <w:noProof/>
                <w:webHidden/>
              </w:rPr>
              <w:fldChar w:fldCharType="separate"/>
            </w:r>
            <w:r>
              <w:rPr>
                <w:noProof/>
                <w:webHidden/>
              </w:rPr>
              <w:t>20</w:t>
            </w:r>
            <w:r>
              <w:rPr>
                <w:noProof/>
                <w:webHidden/>
              </w:rPr>
              <w:fldChar w:fldCharType="end"/>
            </w:r>
          </w:hyperlink>
        </w:p>
        <w:p w14:paraId="1357DB3B" w14:textId="6C655877" w:rsidR="004730E9" w:rsidRDefault="004730E9">
          <w:pPr>
            <w:pStyle w:val="TOC2"/>
            <w:tabs>
              <w:tab w:val="right" w:leader="dot" w:pos="9350"/>
            </w:tabs>
            <w:rPr>
              <w:rFonts w:eastAsiaTheme="minorEastAsia"/>
              <w:noProof/>
            </w:rPr>
          </w:pPr>
          <w:hyperlink w:anchor="_Toc220883282" w:history="1">
            <w:r w:rsidRPr="00AB2B0F">
              <w:rPr>
                <w:rStyle w:val="Hyperlink"/>
                <w:noProof/>
              </w:rPr>
              <w:t>4.2 Branding and Position</w:t>
            </w:r>
            <w:r>
              <w:rPr>
                <w:noProof/>
                <w:webHidden/>
              </w:rPr>
              <w:tab/>
            </w:r>
            <w:r>
              <w:rPr>
                <w:noProof/>
                <w:webHidden/>
              </w:rPr>
              <w:fldChar w:fldCharType="begin"/>
            </w:r>
            <w:r>
              <w:rPr>
                <w:noProof/>
                <w:webHidden/>
              </w:rPr>
              <w:instrText xml:space="preserve"> PAGEREF _Toc220883282 \h </w:instrText>
            </w:r>
            <w:r>
              <w:rPr>
                <w:noProof/>
                <w:webHidden/>
              </w:rPr>
            </w:r>
            <w:r>
              <w:rPr>
                <w:noProof/>
                <w:webHidden/>
              </w:rPr>
              <w:fldChar w:fldCharType="separate"/>
            </w:r>
            <w:r>
              <w:rPr>
                <w:noProof/>
                <w:webHidden/>
              </w:rPr>
              <w:t>20</w:t>
            </w:r>
            <w:r>
              <w:rPr>
                <w:noProof/>
                <w:webHidden/>
              </w:rPr>
              <w:fldChar w:fldCharType="end"/>
            </w:r>
          </w:hyperlink>
        </w:p>
        <w:p w14:paraId="2C8223CD" w14:textId="1D455AD6" w:rsidR="004730E9" w:rsidRDefault="004730E9">
          <w:pPr>
            <w:pStyle w:val="TOC2"/>
            <w:tabs>
              <w:tab w:val="right" w:leader="dot" w:pos="9350"/>
            </w:tabs>
            <w:rPr>
              <w:rFonts w:eastAsiaTheme="minorEastAsia"/>
              <w:noProof/>
            </w:rPr>
          </w:pPr>
          <w:hyperlink w:anchor="_Toc220883283" w:history="1">
            <w:r w:rsidRPr="00AB2B0F">
              <w:rPr>
                <w:rStyle w:val="Hyperlink"/>
                <w:noProof/>
              </w:rPr>
              <w:t>4.3 Marketing Mix (7Ps)</w:t>
            </w:r>
            <w:r>
              <w:rPr>
                <w:noProof/>
                <w:webHidden/>
              </w:rPr>
              <w:tab/>
            </w:r>
            <w:r>
              <w:rPr>
                <w:noProof/>
                <w:webHidden/>
              </w:rPr>
              <w:fldChar w:fldCharType="begin"/>
            </w:r>
            <w:r>
              <w:rPr>
                <w:noProof/>
                <w:webHidden/>
              </w:rPr>
              <w:instrText xml:space="preserve"> PAGEREF _Toc220883283 \h </w:instrText>
            </w:r>
            <w:r>
              <w:rPr>
                <w:noProof/>
                <w:webHidden/>
              </w:rPr>
            </w:r>
            <w:r>
              <w:rPr>
                <w:noProof/>
                <w:webHidden/>
              </w:rPr>
              <w:fldChar w:fldCharType="separate"/>
            </w:r>
            <w:r>
              <w:rPr>
                <w:noProof/>
                <w:webHidden/>
              </w:rPr>
              <w:t>21</w:t>
            </w:r>
            <w:r>
              <w:rPr>
                <w:noProof/>
                <w:webHidden/>
              </w:rPr>
              <w:fldChar w:fldCharType="end"/>
            </w:r>
          </w:hyperlink>
        </w:p>
        <w:p w14:paraId="17A44040" w14:textId="77427112" w:rsidR="004730E9" w:rsidRDefault="004730E9">
          <w:pPr>
            <w:pStyle w:val="TOC2"/>
            <w:tabs>
              <w:tab w:val="right" w:leader="dot" w:pos="9350"/>
            </w:tabs>
            <w:rPr>
              <w:rFonts w:eastAsiaTheme="minorEastAsia"/>
              <w:noProof/>
            </w:rPr>
          </w:pPr>
          <w:hyperlink w:anchor="_Toc220883284" w:history="1">
            <w:r w:rsidRPr="00AB2B0F">
              <w:rPr>
                <w:rStyle w:val="Hyperlink"/>
                <w:noProof/>
              </w:rPr>
              <w:t>4.4 Sales Channels</w:t>
            </w:r>
            <w:r>
              <w:rPr>
                <w:noProof/>
                <w:webHidden/>
              </w:rPr>
              <w:tab/>
            </w:r>
            <w:r>
              <w:rPr>
                <w:noProof/>
                <w:webHidden/>
              </w:rPr>
              <w:fldChar w:fldCharType="begin"/>
            </w:r>
            <w:r>
              <w:rPr>
                <w:noProof/>
                <w:webHidden/>
              </w:rPr>
              <w:instrText xml:space="preserve"> PAGEREF _Toc220883284 \h </w:instrText>
            </w:r>
            <w:r>
              <w:rPr>
                <w:noProof/>
                <w:webHidden/>
              </w:rPr>
            </w:r>
            <w:r>
              <w:rPr>
                <w:noProof/>
                <w:webHidden/>
              </w:rPr>
              <w:fldChar w:fldCharType="separate"/>
            </w:r>
            <w:r>
              <w:rPr>
                <w:noProof/>
                <w:webHidden/>
              </w:rPr>
              <w:t>23</w:t>
            </w:r>
            <w:r>
              <w:rPr>
                <w:noProof/>
                <w:webHidden/>
              </w:rPr>
              <w:fldChar w:fldCharType="end"/>
            </w:r>
          </w:hyperlink>
        </w:p>
        <w:p w14:paraId="13418363" w14:textId="40BEB1C7" w:rsidR="004730E9" w:rsidRDefault="004730E9">
          <w:pPr>
            <w:pStyle w:val="TOC2"/>
            <w:tabs>
              <w:tab w:val="right" w:leader="dot" w:pos="9350"/>
            </w:tabs>
            <w:rPr>
              <w:rFonts w:eastAsiaTheme="minorEastAsia"/>
              <w:noProof/>
            </w:rPr>
          </w:pPr>
          <w:hyperlink w:anchor="_Toc220883285" w:history="1">
            <w:r w:rsidRPr="00AB2B0F">
              <w:rPr>
                <w:rStyle w:val="Hyperlink"/>
                <w:noProof/>
              </w:rPr>
              <w:t>4.5 Customer Acquisition and Retention Strategies</w:t>
            </w:r>
            <w:r>
              <w:rPr>
                <w:noProof/>
                <w:webHidden/>
              </w:rPr>
              <w:tab/>
            </w:r>
            <w:r>
              <w:rPr>
                <w:noProof/>
                <w:webHidden/>
              </w:rPr>
              <w:fldChar w:fldCharType="begin"/>
            </w:r>
            <w:r>
              <w:rPr>
                <w:noProof/>
                <w:webHidden/>
              </w:rPr>
              <w:instrText xml:space="preserve"> PAGEREF _Toc220883285 \h </w:instrText>
            </w:r>
            <w:r>
              <w:rPr>
                <w:noProof/>
                <w:webHidden/>
              </w:rPr>
            </w:r>
            <w:r>
              <w:rPr>
                <w:noProof/>
                <w:webHidden/>
              </w:rPr>
              <w:fldChar w:fldCharType="separate"/>
            </w:r>
            <w:r>
              <w:rPr>
                <w:noProof/>
                <w:webHidden/>
              </w:rPr>
              <w:t>24</w:t>
            </w:r>
            <w:r>
              <w:rPr>
                <w:noProof/>
                <w:webHidden/>
              </w:rPr>
              <w:fldChar w:fldCharType="end"/>
            </w:r>
          </w:hyperlink>
        </w:p>
        <w:p w14:paraId="535A1FEA" w14:textId="7C4401BC" w:rsidR="004730E9" w:rsidRDefault="004730E9">
          <w:pPr>
            <w:pStyle w:val="TOC2"/>
            <w:tabs>
              <w:tab w:val="right" w:leader="dot" w:pos="9350"/>
            </w:tabs>
            <w:rPr>
              <w:rFonts w:eastAsiaTheme="minorEastAsia"/>
              <w:noProof/>
            </w:rPr>
          </w:pPr>
          <w:hyperlink w:anchor="_Toc220883286" w:history="1">
            <w:r w:rsidRPr="00AB2B0F">
              <w:rPr>
                <w:rStyle w:val="Hyperlink"/>
                <w:b/>
                <w:bCs/>
                <w:noProof/>
              </w:rPr>
              <w:t xml:space="preserve">4.6 </w:t>
            </w:r>
            <w:r w:rsidRPr="00AB2B0F">
              <w:rPr>
                <w:rStyle w:val="Hyperlink"/>
                <w:noProof/>
              </w:rPr>
              <w:t>Digital Strategy</w:t>
            </w:r>
            <w:r>
              <w:rPr>
                <w:noProof/>
                <w:webHidden/>
              </w:rPr>
              <w:tab/>
            </w:r>
            <w:r>
              <w:rPr>
                <w:noProof/>
                <w:webHidden/>
              </w:rPr>
              <w:fldChar w:fldCharType="begin"/>
            </w:r>
            <w:r>
              <w:rPr>
                <w:noProof/>
                <w:webHidden/>
              </w:rPr>
              <w:instrText xml:space="preserve"> PAGEREF _Toc220883286 \h </w:instrText>
            </w:r>
            <w:r>
              <w:rPr>
                <w:noProof/>
                <w:webHidden/>
              </w:rPr>
            </w:r>
            <w:r>
              <w:rPr>
                <w:noProof/>
                <w:webHidden/>
              </w:rPr>
              <w:fldChar w:fldCharType="separate"/>
            </w:r>
            <w:r>
              <w:rPr>
                <w:noProof/>
                <w:webHidden/>
              </w:rPr>
              <w:t>26</w:t>
            </w:r>
            <w:r>
              <w:rPr>
                <w:noProof/>
                <w:webHidden/>
              </w:rPr>
              <w:fldChar w:fldCharType="end"/>
            </w:r>
          </w:hyperlink>
        </w:p>
        <w:p w14:paraId="438741A1" w14:textId="1C28F4F4" w:rsidR="004730E9" w:rsidRDefault="004730E9">
          <w:pPr>
            <w:pStyle w:val="TOC2"/>
            <w:tabs>
              <w:tab w:val="right" w:leader="dot" w:pos="9350"/>
            </w:tabs>
            <w:rPr>
              <w:rFonts w:eastAsiaTheme="minorEastAsia"/>
              <w:noProof/>
            </w:rPr>
          </w:pPr>
          <w:hyperlink w:anchor="_Toc220883287" w:history="1">
            <w:r w:rsidRPr="00AB2B0F">
              <w:rPr>
                <w:rStyle w:val="Hyperlink"/>
                <w:noProof/>
              </w:rPr>
              <w:t>4.7 Summary</w:t>
            </w:r>
            <w:r>
              <w:rPr>
                <w:noProof/>
                <w:webHidden/>
              </w:rPr>
              <w:tab/>
            </w:r>
            <w:r>
              <w:rPr>
                <w:noProof/>
                <w:webHidden/>
              </w:rPr>
              <w:fldChar w:fldCharType="begin"/>
            </w:r>
            <w:r>
              <w:rPr>
                <w:noProof/>
                <w:webHidden/>
              </w:rPr>
              <w:instrText xml:space="preserve"> PAGEREF _Toc220883287 \h </w:instrText>
            </w:r>
            <w:r>
              <w:rPr>
                <w:noProof/>
                <w:webHidden/>
              </w:rPr>
            </w:r>
            <w:r>
              <w:rPr>
                <w:noProof/>
                <w:webHidden/>
              </w:rPr>
              <w:fldChar w:fldCharType="separate"/>
            </w:r>
            <w:r>
              <w:rPr>
                <w:noProof/>
                <w:webHidden/>
              </w:rPr>
              <w:t>26</w:t>
            </w:r>
            <w:r>
              <w:rPr>
                <w:noProof/>
                <w:webHidden/>
              </w:rPr>
              <w:fldChar w:fldCharType="end"/>
            </w:r>
          </w:hyperlink>
        </w:p>
        <w:p w14:paraId="36ED8D5D" w14:textId="3400CE8A" w:rsidR="004730E9" w:rsidRDefault="004730E9">
          <w:pPr>
            <w:pStyle w:val="TOC1"/>
            <w:tabs>
              <w:tab w:val="right" w:leader="dot" w:pos="9350"/>
            </w:tabs>
            <w:rPr>
              <w:rFonts w:eastAsiaTheme="minorEastAsia"/>
              <w:noProof/>
            </w:rPr>
          </w:pPr>
          <w:hyperlink w:anchor="_Toc220883288" w:history="1">
            <w:r w:rsidRPr="00AB2B0F">
              <w:rPr>
                <w:rStyle w:val="Hyperlink"/>
                <w:noProof/>
              </w:rPr>
              <w:t>Chapter 5: Operations plan</w:t>
            </w:r>
            <w:r>
              <w:rPr>
                <w:noProof/>
                <w:webHidden/>
              </w:rPr>
              <w:tab/>
            </w:r>
            <w:r>
              <w:rPr>
                <w:noProof/>
                <w:webHidden/>
              </w:rPr>
              <w:fldChar w:fldCharType="begin"/>
            </w:r>
            <w:r>
              <w:rPr>
                <w:noProof/>
                <w:webHidden/>
              </w:rPr>
              <w:instrText xml:space="preserve"> PAGEREF _Toc220883288 \h </w:instrText>
            </w:r>
            <w:r>
              <w:rPr>
                <w:noProof/>
                <w:webHidden/>
              </w:rPr>
            </w:r>
            <w:r>
              <w:rPr>
                <w:noProof/>
                <w:webHidden/>
              </w:rPr>
              <w:fldChar w:fldCharType="separate"/>
            </w:r>
            <w:r>
              <w:rPr>
                <w:noProof/>
                <w:webHidden/>
              </w:rPr>
              <w:t>29</w:t>
            </w:r>
            <w:r>
              <w:rPr>
                <w:noProof/>
                <w:webHidden/>
              </w:rPr>
              <w:fldChar w:fldCharType="end"/>
            </w:r>
          </w:hyperlink>
        </w:p>
        <w:p w14:paraId="5254F463" w14:textId="0F920617" w:rsidR="004730E9" w:rsidRDefault="004730E9">
          <w:pPr>
            <w:pStyle w:val="TOC2"/>
            <w:tabs>
              <w:tab w:val="right" w:leader="dot" w:pos="9350"/>
            </w:tabs>
            <w:rPr>
              <w:rFonts w:eastAsiaTheme="minorEastAsia"/>
              <w:noProof/>
            </w:rPr>
          </w:pPr>
          <w:hyperlink w:anchor="_Toc220883289" w:history="1">
            <w:r w:rsidRPr="00AB2B0F">
              <w:rPr>
                <w:rStyle w:val="Hyperlink"/>
                <w:noProof/>
              </w:rPr>
              <w:t>5.1 Workflow and service Delivery Model</w:t>
            </w:r>
            <w:r>
              <w:rPr>
                <w:noProof/>
                <w:webHidden/>
              </w:rPr>
              <w:tab/>
            </w:r>
            <w:r>
              <w:rPr>
                <w:noProof/>
                <w:webHidden/>
              </w:rPr>
              <w:fldChar w:fldCharType="begin"/>
            </w:r>
            <w:r>
              <w:rPr>
                <w:noProof/>
                <w:webHidden/>
              </w:rPr>
              <w:instrText xml:space="preserve"> PAGEREF _Toc220883289 \h </w:instrText>
            </w:r>
            <w:r>
              <w:rPr>
                <w:noProof/>
                <w:webHidden/>
              </w:rPr>
            </w:r>
            <w:r>
              <w:rPr>
                <w:noProof/>
                <w:webHidden/>
              </w:rPr>
              <w:fldChar w:fldCharType="separate"/>
            </w:r>
            <w:r>
              <w:rPr>
                <w:noProof/>
                <w:webHidden/>
              </w:rPr>
              <w:t>29</w:t>
            </w:r>
            <w:r>
              <w:rPr>
                <w:noProof/>
                <w:webHidden/>
              </w:rPr>
              <w:fldChar w:fldCharType="end"/>
            </w:r>
          </w:hyperlink>
        </w:p>
        <w:p w14:paraId="20305E5F" w14:textId="5674D15F" w:rsidR="004730E9" w:rsidRDefault="004730E9">
          <w:pPr>
            <w:pStyle w:val="TOC2"/>
            <w:tabs>
              <w:tab w:val="right" w:leader="dot" w:pos="9350"/>
            </w:tabs>
            <w:rPr>
              <w:rFonts w:eastAsiaTheme="minorEastAsia"/>
              <w:noProof/>
            </w:rPr>
          </w:pPr>
          <w:hyperlink w:anchor="_Toc220883290" w:history="1">
            <w:r w:rsidRPr="00AB2B0F">
              <w:rPr>
                <w:rStyle w:val="Hyperlink"/>
                <w:noProof/>
              </w:rPr>
              <w:t>5.2 Staffing Plan</w:t>
            </w:r>
            <w:r>
              <w:rPr>
                <w:noProof/>
                <w:webHidden/>
              </w:rPr>
              <w:tab/>
            </w:r>
            <w:r>
              <w:rPr>
                <w:noProof/>
                <w:webHidden/>
              </w:rPr>
              <w:fldChar w:fldCharType="begin"/>
            </w:r>
            <w:r>
              <w:rPr>
                <w:noProof/>
                <w:webHidden/>
              </w:rPr>
              <w:instrText xml:space="preserve"> PAGEREF _Toc220883290 \h </w:instrText>
            </w:r>
            <w:r>
              <w:rPr>
                <w:noProof/>
                <w:webHidden/>
              </w:rPr>
            </w:r>
            <w:r>
              <w:rPr>
                <w:noProof/>
                <w:webHidden/>
              </w:rPr>
              <w:fldChar w:fldCharType="separate"/>
            </w:r>
            <w:r>
              <w:rPr>
                <w:noProof/>
                <w:webHidden/>
              </w:rPr>
              <w:t>30</w:t>
            </w:r>
            <w:r>
              <w:rPr>
                <w:noProof/>
                <w:webHidden/>
              </w:rPr>
              <w:fldChar w:fldCharType="end"/>
            </w:r>
          </w:hyperlink>
        </w:p>
        <w:p w14:paraId="7AA12545" w14:textId="088AE1C0" w:rsidR="004730E9" w:rsidRDefault="004730E9">
          <w:pPr>
            <w:pStyle w:val="TOC2"/>
            <w:tabs>
              <w:tab w:val="right" w:leader="dot" w:pos="9350"/>
            </w:tabs>
            <w:rPr>
              <w:rFonts w:eastAsiaTheme="minorEastAsia"/>
              <w:noProof/>
            </w:rPr>
          </w:pPr>
          <w:hyperlink w:anchor="_Toc220883291" w:history="1">
            <w:r w:rsidRPr="00AB2B0F">
              <w:rPr>
                <w:rStyle w:val="Hyperlink"/>
                <w:noProof/>
              </w:rPr>
              <w:t>5.3 Legal &amp; Regulatory Compliance</w:t>
            </w:r>
            <w:r>
              <w:rPr>
                <w:noProof/>
                <w:webHidden/>
              </w:rPr>
              <w:tab/>
            </w:r>
            <w:r>
              <w:rPr>
                <w:noProof/>
                <w:webHidden/>
              </w:rPr>
              <w:fldChar w:fldCharType="begin"/>
            </w:r>
            <w:r>
              <w:rPr>
                <w:noProof/>
                <w:webHidden/>
              </w:rPr>
              <w:instrText xml:space="preserve"> PAGEREF _Toc220883291 \h </w:instrText>
            </w:r>
            <w:r>
              <w:rPr>
                <w:noProof/>
                <w:webHidden/>
              </w:rPr>
            </w:r>
            <w:r>
              <w:rPr>
                <w:noProof/>
                <w:webHidden/>
              </w:rPr>
              <w:fldChar w:fldCharType="separate"/>
            </w:r>
            <w:r>
              <w:rPr>
                <w:noProof/>
                <w:webHidden/>
              </w:rPr>
              <w:t>32</w:t>
            </w:r>
            <w:r>
              <w:rPr>
                <w:noProof/>
                <w:webHidden/>
              </w:rPr>
              <w:fldChar w:fldCharType="end"/>
            </w:r>
          </w:hyperlink>
        </w:p>
        <w:p w14:paraId="131FC234" w14:textId="3D276209" w:rsidR="004730E9" w:rsidRDefault="004730E9">
          <w:pPr>
            <w:pStyle w:val="TOC2"/>
            <w:tabs>
              <w:tab w:val="right" w:leader="dot" w:pos="9350"/>
            </w:tabs>
            <w:rPr>
              <w:rFonts w:eastAsiaTheme="minorEastAsia"/>
              <w:noProof/>
            </w:rPr>
          </w:pPr>
          <w:hyperlink w:anchor="_Toc220883292" w:history="1">
            <w:r w:rsidRPr="00AB2B0F">
              <w:rPr>
                <w:rStyle w:val="Hyperlink"/>
                <w:noProof/>
              </w:rPr>
              <w:t>5.4 Technology and Tools</w:t>
            </w:r>
            <w:r>
              <w:rPr>
                <w:noProof/>
                <w:webHidden/>
              </w:rPr>
              <w:tab/>
            </w:r>
            <w:r>
              <w:rPr>
                <w:noProof/>
                <w:webHidden/>
              </w:rPr>
              <w:fldChar w:fldCharType="begin"/>
            </w:r>
            <w:r>
              <w:rPr>
                <w:noProof/>
                <w:webHidden/>
              </w:rPr>
              <w:instrText xml:space="preserve"> PAGEREF _Toc220883292 \h </w:instrText>
            </w:r>
            <w:r>
              <w:rPr>
                <w:noProof/>
                <w:webHidden/>
              </w:rPr>
            </w:r>
            <w:r>
              <w:rPr>
                <w:noProof/>
                <w:webHidden/>
              </w:rPr>
              <w:fldChar w:fldCharType="separate"/>
            </w:r>
            <w:r>
              <w:rPr>
                <w:noProof/>
                <w:webHidden/>
              </w:rPr>
              <w:t>33</w:t>
            </w:r>
            <w:r>
              <w:rPr>
                <w:noProof/>
                <w:webHidden/>
              </w:rPr>
              <w:fldChar w:fldCharType="end"/>
            </w:r>
          </w:hyperlink>
        </w:p>
        <w:p w14:paraId="4469FB5D" w14:textId="406D78B5" w:rsidR="004730E9" w:rsidRDefault="004730E9">
          <w:pPr>
            <w:pStyle w:val="TOC2"/>
            <w:tabs>
              <w:tab w:val="right" w:leader="dot" w:pos="9350"/>
            </w:tabs>
            <w:rPr>
              <w:rFonts w:eastAsiaTheme="minorEastAsia"/>
              <w:noProof/>
            </w:rPr>
          </w:pPr>
          <w:hyperlink w:anchor="_Toc220883293" w:history="1">
            <w:r w:rsidRPr="00AB2B0F">
              <w:rPr>
                <w:rStyle w:val="Hyperlink"/>
                <w:noProof/>
              </w:rPr>
              <w:t>5.5 Licenses et registrations</w:t>
            </w:r>
            <w:r>
              <w:rPr>
                <w:noProof/>
                <w:webHidden/>
              </w:rPr>
              <w:tab/>
            </w:r>
            <w:r>
              <w:rPr>
                <w:noProof/>
                <w:webHidden/>
              </w:rPr>
              <w:fldChar w:fldCharType="begin"/>
            </w:r>
            <w:r>
              <w:rPr>
                <w:noProof/>
                <w:webHidden/>
              </w:rPr>
              <w:instrText xml:space="preserve"> PAGEREF _Toc220883293 \h </w:instrText>
            </w:r>
            <w:r>
              <w:rPr>
                <w:noProof/>
                <w:webHidden/>
              </w:rPr>
            </w:r>
            <w:r>
              <w:rPr>
                <w:noProof/>
                <w:webHidden/>
              </w:rPr>
              <w:fldChar w:fldCharType="separate"/>
            </w:r>
            <w:r>
              <w:rPr>
                <w:noProof/>
                <w:webHidden/>
              </w:rPr>
              <w:t>35</w:t>
            </w:r>
            <w:r>
              <w:rPr>
                <w:noProof/>
                <w:webHidden/>
              </w:rPr>
              <w:fldChar w:fldCharType="end"/>
            </w:r>
          </w:hyperlink>
        </w:p>
        <w:p w14:paraId="30DCFAA6" w14:textId="549523A2" w:rsidR="004730E9" w:rsidRDefault="004730E9">
          <w:pPr>
            <w:pStyle w:val="TOC2"/>
            <w:tabs>
              <w:tab w:val="right" w:leader="dot" w:pos="9350"/>
            </w:tabs>
            <w:rPr>
              <w:rFonts w:eastAsiaTheme="minorEastAsia"/>
              <w:noProof/>
            </w:rPr>
          </w:pPr>
          <w:hyperlink w:anchor="_Toc220883294" w:history="1">
            <w:r w:rsidRPr="00AB2B0F">
              <w:rPr>
                <w:rStyle w:val="Hyperlink"/>
                <w:noProof/>
              </w:rPr>
              <w:t>5.6 Physical Setup</w:t>
            </w:r>
            <w:r>
              <w:rPr>
                <w:noProof/>
                <w:webHidden/>
              </w:rPr>
              <w:tab/>
            </w:r>
            <w:r>
              <w:rPr>
                <w:noProof/>
                <w:webHidden/>
              </w:rPr>
              <w:fldChar w:fldCharType="begin"/>
            </w:r>
            <w:r>
              <w:rPr>
                <w:noProof/>
                <w:webHidden/>
              </w:rPr>
              <w:instrText xml:space="preserve"> PAGEREF _Toc220883294 \h </w:instrText>
            </w:r>
            <w:r>
              <w:rPr>
                <w:noProof/>
                <w:webHidden/>
              </w:rPr>
            </w:r>
            <w:r>
              <w:rPr>
                <w:noProof/>
                <w:webHidden/>
              </w:rPr>
              <w:fldChar w:fldCharType="separate"/>
            </w:r>
            <w:r>
              <w:rPr>
                <w:noProof/>
                <w:webHidden/>
              </w:rPr>
              <w:t>37</w:t>
            </w:r>
            <w:r>
              <w:rPr>
                <w:noProof/>
                <w:webHidden/>
              </w:rPr>
              <w:fldChar w:fldCharType="end"/>
            </w:r>
          </w:hyperlink>
        </w:p>
        <w:p w14:paraId="2888804F" w14:textId="1F52C4EF" w:rsidR="004730E9" w:rsidRDefault="004730E9">
          <w:pPr>
            <w:pStyle w:val="TOC2"/>
            <w:tabs>
              <w:tab w:val="right" w:leader="dot" w:pos="9350"/>
            </w:tabs>
            <w:rPr>
              <w:rFonts w:eastAsiaTheme="minorEastAsia"/>
              <w:noProof/>
            </w:rPr>
          </w:pPr>
          <w:hyperlink w:anchor="_Toc220883295" w:history="1">
            <w:r w:rsidRPr="00AB2B0F">
              <w:rPr>
                <w:rStyle w:val="Hyperlink"/>
                <w:noProof/>
              </w:rPr>
              <w:t>5.7 KPIs and Quality Assurance</w:t>
            </w:r>
            <w:r>
              <w:rPr>
                <w:noProof/>
                <w:webHidden/>
              </w:rPr>
              <w:tab/>
            </w:r>
            <w:r>
              <w:rPr>
                <w:noProof/>
                <w:webHidden/>
              </w:rPr>
              <w:fldChar w:fldCharType="begin"/>
            </w:r>
            <w:r>
              <w:rPr>
                <w:noProof/>
                <w:webHidden/>
              </w:rPr>
              <w:instrText xml:space="preserve"> PAGEREF _Toc220883295 \h </w:instrText>
            </w:r>
            <w:r>
              <w:rPr>
                <w:noProof/>
                <w:webHidden/>
              </w:rPr>
            </w:r>
            <w:r>
              <w:rPr>
                <w:noProof/>
                <w:webHidden/>
              </w:rPr>
              <w:fldChar w:fldCharType="separate"/>
            </w:r>
            <w:r>
              <w:rPr>
                <w:noProof/>
                <w:webHidden/>
              </w:rPr>
              <w:t>38</w:t>
            </w:r>
            <w:r>
              <w:rPr>
                <w:noProof/>
                <w:webHidden/>
              </w:rPr>
              <w:fldChar w:fldCharType="end"/>
            </w:r>
          </w:hyperlink>
        </w:p>
        <w:p w14:paraId="17AF0D8D" w14:textId="225001FC" w:rsidR="004730E9" w:rsidRDefault="004730E9">
          <w:pPr>
            <w:pStyle w:val="TOC2"/>
            <w:tabs>
              <w:tab w:val="right" w:leader="dot" w:pos="9350"/>
            </w:tabs>
            <w:rPr>
              <w:rFonts w:eastAsiaTheme="minorEastAsia"/>
              <w:noProof/>
            </w:rPr>
          </w:pPr>
          <w:hyperlink w:anchor="_Toc220883296" w:history="1">
            <w:r w:rsidRPr="00AB2B0F">
              <w:rPr>
                <w:rStyle w:val="Hyperlink"/>
                <w:noProof/>
              </w:rPr>
              <w:t>5.8 Sustainability and ESG</w:t>
            </w:r>
            <w:r>
              <w:rPr>
                <w:noProof/>
                <w:webHidden/>
              </w:rPr>
              <w:tab/>
            </w:r>
            <w:r>
              <w:rPr>
                <w:noProof/>
                <w:webHidden/>
              </w:rPr>
              <w:fldChar w:fldCharType="begin"/>
            </w:r>
            <w:r>
              <w:rPr>
                <w:noProof/>
                <w:webHidden/>
              </w:rPr>
              <w:instrText xml:space="preserve"> PAGEREF _Toc220883296 \h </w:instrText>
            </w:r>
            <w:r>
              <w:rPr>
                <w:noProof/>
                <w:webHidden/>
              </w:rPr>
            </w:r>
            <w:r>
              <w:rPr>
                <w:noProof/>
                <w:webHidden/>
              </w:rPr>
              <w:fldChar w:fldCharType="separate"/>
            </w:r>
            <w:r>
              <w:rPr>
                <w:noProof/>
                <w:webHidden/>
              </w:rPr>
              <w:t>39</w:t>
            </w:r>
            <w:r>
              <w:rPr>
                <w:noProof/>
                <w:webHidden/>
              </w:rPr>
              <w:fldChar w:fldCharType="end"/>
            </w:r>
          </w:hyperlink>
        </w:p>
        <w:p w14:paraId="31A78C33" w14:textId="3ED94AF7" w:rsidR="004730E9" w:rsidRDefault="004730E9">
          <w:pPr>
            <w:pStyle w:val="TOC2"/>
            <w:tabs>
              <w:tab w:val="right" w:leader="dot" w:pos="9350"/>
            </w:tabs>
            <w:rPr>
              <w:rFonts w:eastAsiaTheme="minorEastAsia"/>
              <w:noProof/>
            </w:rPr>
          </w:pPr>
          <w:hyperlink w:anchor="_Toc220883297" w:history="1">
            <w:r w:rsidRPr="00AB2B0F">
              <w:rPr>
                <w:rStyle w:val="Hyperlink"/>
                <w:noProof/>
              </w:rPr>
              <w:t>5.9 Summary</w:t>
            </w:r>
            <w:r>
              <w:rPr>
                <w:noProof/>
                <w:webHidden/>
              </w:rPr>
              <w:tab/>
            </w:r>
            <w:r>
              <w:rPr>
                <w:noProof/>
                <w:webHidden/>
              </w:rPr>
              <w:fldChar w:fldCharType="begin"/>
            </w:r>
            <w:r>
              <w:rPr>
                <w:noProof/>
                <w:webHidden/>
              </w:rPr>
              <w:instrText xml:space="preserve"> PAGEREF _Toc220883297 \h </w:instrText>
            </w:r>
            <w:r>
              <w:rPr>
                <w:noProof/>
                <w:webHidden/>
              </w:rPr>
            </w:r>
            <w:r>
              <w:rPr>
                <w:noProof/>
                <w:webHidden/>
              </w:rPr>
              <w:fldChar w:fldCharType="separate"/>
            </w:r>
            <w:r>
              <w:rPr>
                <w:noProof/>
                <w:webHidden/>
              </w:rPr>
              <w:t>40</w:t>
            </w:r>
            <w:r>
              <w:rPr>
                <w:noProof/>
                <w:webHidden/>
              </w:rPr>
              <w:fldChar w:fldCharType="end"/>
            </w:r>
          </w:hyperlink>
        </w:p>
        <w:p w14:paraId="03BA604A" w14:textId="5F7E7C5D" w:rsidR="004730E9" w:rsidRDefault="004730E9">
          <w:pPr>
            <w:pStyle w:val="TOC1"/>
            <w:tabs>
              <w:tab w:val="right" w:leader="dot" w:pos="9350"/>
            </w:tabs>
            <w:rPr>
              <w:rFonts w:eastAsiaTheme="minorEastAsia"/>
              <w:noProof/>
            </w:rPr>
          </w:pPr>
          <w:hyperlink w:anchor="_Toc220883298" w:history="1">
            <w:r w:rsidRPr="00AB2B0F">
              <w:rPr>
                <w:rStyle w:val="Hyperlink"/>
                <w:noProof/>
              </w:rPr>
              <w:t>Chapter 6: Human Resource capital Allocation</w:t>
            </w:r>
            <w:r>
              <w:rPr>
                <w:noProof/>
                <w:webHidden/>
              </w:rPr>
              <w:tab/>
            </w:r>
            <w:r>
              <w:rPr>
                <w:noProof/>
                <w:webHidden/>
              </w:rPr>
              <w:fldChar w:fldCharType="begin"/>
            </w:r>
            <w:r>
              <w:rPr>
                <w:noProof/>
                <w:webHidden/>
              </w:rPr>
              <w:instrText xml:space="preserve"> PAGEREF _Toc220883298 \h </w:instrText>
            </w:r>
            <w:r>
              <w:rPr>
                <w:noProof/>
                <w:webHidden/>
              </w:rPr>
            </w:r>
            <w:r>
              <w:rPr>
                <w:noProof/>
                <w:webHidden/>
              </w:rPr>
              <w:fldChar w:fldCharType="separate"/>
            </w:r>
            <w:r>
              <w:rPr>
                <w:noProof/>
                <w:webHidden/>
              </w:rPr>
              <w:t>42</w:t>
            </w:r>
            <w:r>
              <w:rPr>
                <w:noProof/>
                <w:webHidden/>
              </w:rPr>
              <w:fldChar w:fldCharType="end"/>
            </w:r>
          </w:hyperlink>
        </w:p>
        <w:p w14:paraId="200CAF9B" w14:textId="4D2F7132" w:rsidR="004730E9" w:rsidRDefault="004730E9">
          <w:pPr>
            <w:pStyle w:val="TOC2"/>
            <w:tabs>
              <w:tab w:val="right" w:leader="dot" w:pos="9350"/>
            </w:tabs>
            <w:rPr>
              <w:rFonts w:eastAsiaTheme="minorEastAsia"/>
              <w:noProof/>
            </w:rPr>
          </w:pPr>
          <w:hyperlink w:anchor="_Toc220883299" w:history="1">
            <w:r w:rsidRPr="00AB2B0F">
              <w:rPr>
                <w:rStyle w:val="Hyperlink"/>
                <w:noProof/>
              </w:rPr>
              <w:t>6.1 HR Structure Overview</w:t>
            </w:r>
            <w:r>
              <w:rPr>
                <w:noProof/>
                <w:webHidden/>
              </w:rPr>
              <w:tab/>
            </w:r>
            <w:r>
              <w:rPr>
                <w:noProof/>
                <w:webHidden/>
              </w:rPr>
              <w:fldChar w:fldCharType="begin"/>
            </w:r>
            <w:r>
              <w:rPr>
                <w:noProof/>
                <w:webHidden/>
              </w:rPr>
              <w:instrText xml:space="preserve"> PAGEREF _Toc220883299 \h </w:instrText>
            </w:r>
            <w:r>
              <w:rPr>
                <w:noProof/>
                <w:webHidden/>
              </w:rPr>
            </w:r>
            <w:r>
              <w:rPr>
                <w:noProof/>
                <w:webHidden/>
              </w:rPr>
              <w:fldChar w:fldCharType="separate"/>
            </w:r>
            <w:r>
              <w:rPr>
                <w:noProof/>
                <w:webHidden/>
              </w:rPr>
              <w:t>43</w:t>
            </w:r>
            <w:r>
              <w:rPr>
                <w:noProof/>
                <w:webHidden/>
              </w:rPr>
              <w:fldChar w:fldCharType="end"/>
            </w:r>
          </w:hyperlink>
        </w:p>
        <w:p w14:paraId="21B9940B" w14:textId="641CC0D4" w:rsidR="004730E9" w:rsidRDefault="004730E9">
          <w:pPr>
            <w:pStyle w:val="TOC2"/>
            <w:tabs>
              <w:tab w:val="right" w:leader="dot" w:pos="9350"/>
            </w:tabs>
            <w:rPr>
              <w:rFonts w:eastAsiaTheme="minorEastAsia"/>
              <w:noProof/>
            </w:rPr>
          </w:pPr>
          <w:hyperlink w:anchor="_Toc220883300" w:history="1">
            <w:r w:rsidRPr="00AB2B0F">
              <w:rPr>
                <w:rStyle w:val="Hyperlink"/>
                <w:noProof/>
              </w:rPr>
              <w:t>6.2 Role Allocation and Responsibilities</w:t>
            </w:r>
            <w:r>
              <w:rPr>
                <w:noProof/>
                <w:webHidden/>
              </w:rPr>
              <w:tab/>
            </w:r>
            <w:r>
              <w:rPr>
                <w:noProof/>
                <w:webHidden/>
              </w:rPr>
              <w:fldChar w:fldCharType="begin"/>
            </w:r>
            <w:r>
              <w:rPr>
                <w:noProof/>
                <w:webHidden/>
              </w:rPr>
              <w:instrText xml:space="preserve"> PAGEREF _Toc220883300 \h </w:instrText>
            </w:r>
            <w:r>
              <w:rPr>
                <w:noProof/>
                <w:webHidden/>
              </w:rPr>
            </w:r>
            <w:r>
              <w:rPr>
                <w:noProof/>
                <w:webHidden/>
              </w:rPr>
              <w:fldChar w:fldCharType="separate"/>
            </w:r>
            <w:r>
              <w:rPr>
                <w:noProof/>
                <w:webHidden/>
              </w:rPr>
              <w:t>43</w:t>
            </w:r>
            <w:r>
              <w:rPr>
                <w:noProof/>
                <w:webHidden/>
              </w:rPr>
              <w:fldChar w:fldCharType="end"/>
            </w:r>
          </w:hyperlink>
        </w:p>
        <w:p w14:paraId="67712F74" w14:textId="327F5750" w:rsidR="004730E9" w:rsidRDefault="004730E9">
          <w:pPr>
            <w:pStyle w:val="TOC2"/>
            <w:tabs>
              <w:tab w:val="right" w:leader="dot" w:pos="9350"/>
            </w:tabs>
            <w:rPr>
              <w:rFonts w:eastAsiaTheme="minorEastAsia"/>
              <w:noProof/>
            </w:rPr>
          </w:pPr>
          <w:hyperlink w:anchor="_Toc220883301" w:history="1">
            <w:r w:rsidRPr="00AB2B0F">
              <w:rPr>
                <w:rStyle w:val="Hyperlink"/>
                <w:noProof/>
              </w:rPr>
              <w:t>6.3 Year 1 vs Year 2 Human Capital Forecast</w:t>
            </w:r>
            <w:r>
              <w:rPr>
                <w:noProof/>
                <w:webHidden/>
              </w:rPr>
              <w:tab/>
            </w:r>
            <w:r>
              <w:rPr>
                <w:noProof/>
                <w:webHidden/>
              </w:rPr>
              <w:fldChar w:fldCharType="begin"/>
            </w:r>
            <w:r>
              <w:rPr>
                <w:noProof/>
                <w:webHidden/>
              </w:rPr>
              <w:instrText xml:space="preserve"> PAGEREF _Toc220883301 \h </w:instrText>
            </w:r>
            <w:r>
              <w:rPr>
                <w:noProof/>
                <w:webHidden/>
              </w:rPr>
            </w:r>
            <w:r>
              <w:rPr>
                <w:noProof/>
                <w:webHidden/>
              </w:rPr>
              <w:fldChar w:fldCharType="separate"/>
            </w:r>
            <w:r>
              <w:rPr>
                <w:noProof/>
                <w:webHidden/>
              </w:rPr>
              <w:t>45</w:t>
            </w:r>
            <w:r>
              <w:rPr>
                <w:noProof/>
                <w:webHidden/>
              </w:rPr>
              <w:fldChar w:fldCharType="end"/>
            </w:r>
          </w:hyperlink>
        </w:p>
        <w:p w14:paraId="7C365D96" w14:textId="32721C25" w:rsidR="004730E9" w:rsidRDefault="004730E9">
          <w:pPr>
            <w:pStyle w:val="TOC2"/>
            <w:tabs>
              <w:tab w:val="right" w:leader="dot" w:pos="9350"/>
            </w:tabs>
            <w:rPr>
              <w:rFonts w:eastAsiaTheme="minorEastAsia"/>
              <w:noProof/>
            </w:rPr>
          </w:pPr>
          <w:hyperlink w:anchor="_Toc220883302" w:history="1">
            <w:r w:rsidRPr="00AB2B0F">
              <w:rPr>
                <w:rStyle w:val="Hyperlink"/>
                <w:noProof/>
              </w:rPr>
              <w:t>6.4 Part-Time Internship Model</w:t>
            </w:r>
            <w:r>
              <w:rPr>
                <w:noProof/>
                <w:webHidden/>
              </w:rPr>
              <w:tab/>
            </w:r>
            <w:r>
              <w:rPr>
                <w:noProof/>
                <w:webHidden/>
              </w:rPr>
              <w:fldChar w:fldCharType="begin"/>
            </w:r>
            <w:r>
              <w:rPr>
                <w:noProof/>
                <w:webHidden/>
              </w:rPr>
              <w:instrText xml:space="preserve"> PAGEREF _Toc220883302 \h </w:instrText>
            </w:r>
            <w:r>
              <w:rPr>
                <w:noProof/>
                <w:webHidden/>
              </w:rPr>
            </w:r>
            <w:r>
              <w:rPr>
                <w:noProof/>
                <w:webHidden/>
              </w:rPr>
              <w:fldChar w:fldCharType="separate"/>
            </w:r>
            <w:r>
              <w:rPr>
                <w:noProof/>
                <w:webHidden/>
              </w:rPr>
              <w:t>45</w:t>
            </w:r>
            <w:r>
              <w:rPr>
                <w:noProof/>
                <w:webHidden/>
              </w:rPr>
              <w:fldChar w:fldCharType="end"/>
            </w:r>
          </w:hyperlink>
        </w:p>
        <w:p w14:paraId="4CB14BA3" w14:textId="6B2D7BA2" w:rsidR="004730E9" w:rsidRDefault="004730E9">
          <w:pPr>
            <w:pStyle w:val="TOC2"/>
            <w:tabs>
              <w:tab w:val="right" w:leader="dot" w:pos="9350"/>
            </w:tabs>
            <w:rPr>
              <w:rFonts w:eastAsiaTheme="minorEastAsia"/>
              <w:noProof/>
            </w:rPr>
          </w:pPr>
          <w:hyperlink w:anchor="_Toc220883303" w:history="1">
            <w:r w:rsidRPr="00AB2B0F">
              <w:rPr>
                <w:rStyle w:val="Hyperlink"/>
                <w:noProof/>
              </w:rPr>
              <w:t>6.5 Compensation and Incentives</w:t>
            </w:r>
            <w:r>
              <w:rPr>
                <w:noProof/>
                <w:webHidden/>
              </w:rPr>
              <w:tab/>
            </w:r>
            <w:r>
              <w:rPr>
                <w:noProof/>
                <w:webHidden/>
              </w:rPr>
              <w:fldChar w:fldCharType="begin"/>
            </w:r>
            <w:r>
              <w:rPr>
                <w:noProof/>
                <w:webHidden/>
              </w:rPr>
              <w:instrText xml:space="preserve"> PAGEREF _Toc220883303 \h </w:instrText>
            </w:r>
            <w:r>
              <w:rPr>
                <w:noProof/>
                <w:webHidden/>
              </w:rPr>
            </w:r>
            <w:r>
              <w:rPr>
                <w:noProof/>
                <w:webHidden/>
              </w:rPr>
              <w:fldChar w:fldCharType="separate"/>
            </w:r>
            <w:r>
              <w:rPr>
                <w:noProof/>
                <w:webHidden/>
              </w:rPr>
              <w:t>47</w:t>
            </w:r>
            <w:r>
              <w:rPr>
                <w:noProof/>
                <w:webHidden/>
              </w:rPr>
              <w:fldChar w:fldCharType="end"/>
            </w:r>
          </w:hyperlink>
        </w:p>
        <w:p w14:paraId="48AF87B4" w14:textId="7FD646C3" w:rsidR="004730E9" w:rsidRDefault="004730E9">
          <w:pPr>
            <w:pStyle w:val="TOC2"/>
            <w:tabs>
              <w:tab w:val="right" w:leader="dot" w:pos="9350"/>
            </w:tabs>
            <w:rPr>
              <w:rFonts w:eastAsiaTheme="minorEastAsia"/>
              <w:noProof/>
            </w:rPr>
          </w:pPr>
          <w:hyperlink w:anchor="_Toc220883304" w:history="1">
            <w:r w:rsidRPr="00AB2B0F">
              <w:rPr>
                <w:rStyle w:val="Hyperlink"/>
                <w:noProof/>
              </w:rPr>
              <w:t>6.6 Diversity, Inclusion, and Work Culture</w:t>
            </w:r>
            <w:r>
              <w:rPr>
                <w:noProof/>
                <w:webHidden/>
              </w:rPr>
              <w:tab/>
            </w:r>
            <w:r>
              <w:rPr>
                <w:noProof/>
                <w:webHidden/>
              </w:rPr>
              <w:fldChar w:fldCharType="begin"/>
            </w:r>
            <w:r>
              <w:rPr>
                <w:noProof/>
                <w:webHidden/>
              </w:rPr>
              <w:instrText xml:space="preserve"> PAGEREF _Toc220883304 \h </w:instrText>
            </w:r>
            <w:r>
              <w:rPr>
                <w:noProof/>
                <w:webHidden/>
              </w:rPr>
            </w:r>
            <w:r>
              <w:rPr>
                <w:noProof/>
                <w:webHidden/>
              </w:rPr>
              <w:fldChar w:fldCharType="separate"/>
            </w:r>
            <w:r>
              <w:rPr>
                <w:noProof/>
                <w:webHidden/>
              </w:rPr>
              <w:t>47</w:t>
            </w:r>
            <w:r>
              <w:rPr>
                <w:noProof/>
                <w:webHidden/>
              </w:rPr>
              <w:fldChar w:fldCharType="end"/>
            </w:r>
          </w:hyperlink>
        </w:p>
        <w:p w14:paraId="10F5D5EA" w14:textId="059E672A" w:rsidR="004730E9" w:rsidRDefault="004730E9">
          <w:pPr>
            <w:pStyle w:val="TOC2"/>
            <w:tabs>
              <w:tab w:val="right" w:leader="dot" w:pos="9350"/>
            </w:tabs>
            <w:rPr>
              <w:rFonts w:eastAsiaTheme="minorEastAsia"/>
              <w:noProof/>
            </w:rPr>
          </w:pPr>
          <w:hyperlink w:anchor="_Toc220883305" w:history="1">
            <w:r w:rsidRPr="00AB2B0F">
              <w:rPr>
                <w:rStyle w:val="Hyperlink"/>
                <w:noProof/>
              </w:rPr>
              <w:t>6.7 Future Talent Development Plan</w:t>
            </w:r>
            <w:r>
              <w:rPr>
                <w:noProof/>
                <w:webHidden/>
              </w:rPr>
              <w:tab/>
            </w:r>
            <w:r>
              <w:rPr>
                <w:noProof/>
                <w:webHidden/>
              </w:rPr>
              <w:fldChar w:fldCharType="begin"/>
            </w:r>
            <w:r>
              <w:rPr>
                <w:noProof/>
                <w:webHidden/>
              </w:rPr>
              <w:instrText xml:space="preserve"> PAGEREF _Toc220883305 \h </w:instrText>
            </w:r>
            <w:r>
              <w:rPr>
                <w:noProof/>
                <w:webHidden/>
              </w:rPr>
            </w:r>
            <w:r>
              <w:rPr>
                <w:noProof/>
                <w:webHidden/>
              </w:rPr>
              <w:fldChar w:fldCharType="separate"/>
            </w:r>
            <w:r>
              <w:rPr>
                <w:noProof/>
                <w:webHidden/>
              </w:rPr>
              <w:t>48</w:t>
            </w:r>
            <w:r>
              <w:rPr>
                <w:noProof/>
                <w:webHidden/>
              </w:rPr>
              <w:fldChar w:fldCharType="end"/>
            </w:r>
          </w:hyperlink>
        </w:p>
        <w:p w14:paraId="421C3D76" w14:textId="7483E19E" w:rsidR="004730E9" w:rsidRDefault="004730E9">
          <w:pPr>
            <w:pStyle w:val="TOC1"/>
            <w:tabs>
              <w:tab w:val="right" w:leader="dot" w:pos="9350"/>
            </w:tabs>
            <w:rPr>
              <w:rFonts w:eastAsiaTheme="minorEastAsia"/>
              <w:noProof/>
            </w:rPr>
          </w:pPr>
          <w:hyperlink w:anchor="_Toc220883306" w:history="1">
            <w:r w:rsidRPr="00AB2B0F">
              <w:rPr>
                <w:rStyle w:val="Hyperlink"/>
                <w:noProof/>
              </w:rPr>
              <w:t>Chapter 7 Financial Plan (Overview)</w:t>
            </w:r>
            <w:r>
              <w:rPr>
                <w:noProof/>
                <w:webHidden/>
              </w:rPr>
              <w:tab/>
            </w:r>
            <w:r>
              <w:rPr>
                <w:noProof/>
                <w:webHidden/>
              </w:rPr>
              <w:fldChar w:fldCharType="begin"/>
            </w:r>
            <w:r>
              <w:rPr>
                <w:noProof/>
                <w:webHidden/>
              </w:rPr>
              <w:instrText xml:space="preserve"> PAGEREF _Toc220883306 \h </w:instrText>
            </w:r>
            <w:r>
              <w:rPr>
                <w:noProof/>
                <w:webHidden/>
              </w:rPr>
            </w:r>
            <w:r>
              <w:rPr>
                <w:noProof/>
                <w:webHidden/>
              </w:rPr>
              <w:fldChar w:fldCharType="separate"/>
            </w:r>
            <w:r>
              <w:rPr>
                <w:noProof/>
                <w:webHidden/>
              </w:rPr>
              <w:t>50</w:t>
            </w:r>
            <w:r>
              <w:rPr>
                <w:noProof/>
                <w:webHidden/>
              </w:rPr>
              <w:fldChar w:fldCharType="end"/>
            </w:r>
          </w:hyperlink>
        </w:p>
        <w:p w14:paraId="506EAE55" w14:textId="1D9FEC38" w:rsidR="004730E9" w:rsidRDefault="004730E9">
          <w:pPr>
            <w:pStyle w:val="TOC2"/>
            <w:tabs>
              <w:tab w:val="right" w:leader="dot" w:pos="9350"/>
            </w:tabs>
            <w:rPr>
              <w:rFonts w:eastAsiaTheme="minorEastAsia"/>
              <w:noProof/>
            </w:rPr>
          </w:pPr>
          <w:hyperlink w:anchor="_Toc220883307" w:history="1">
            <w:r w:rsidRPr="00AB2B0F">
              <w:rPr>
                <w:rStyle w:val="Hyperlink"/>
                <w:noProof/>
              </w:rPr>
              <w:t>7.1 Revenue Model and Pricing Logic – Diligence Ltd</w:t>
            </w:r>
            <w:r>
              <w:rPr>
                <w:noProof/>
                <w:webHidden/>
              </w:rPr>
              <w:tab/>
            </w:r>
            <w:r>
              <w:rPr>
                <w:noProof/>
                <w:webHidden/>
              </w:rPr>
              <w:fldChar w:fldCharType="begin"/>
            </w:r>
            <w:r>
              <w:rPr>
                <w:noProof/>
                <w:webHidden/>
              </w:rPr>
              <w:instrText xml:space="preserve"> PAGEREF _Toc220883307 \h </w:instrText>
            </w:r>
            <w:r>
              <w:rPr>
                <w:noProof/>
                <w:webHidden/>
              </w:rPr>
            </w:r>
            <w:r>
              <w:rPr>
                <w:noProof/>
                <w:webHidden/>
              </w:rPr>
              <w:fldChar w:fldCharType="separate"/>
            </w:r>
            <w:r>
              <w:rPr>
                <w:noProof/>
                <w:webHidden/>
              </w:rPr>
              <w:t>50</w:t>
            </w:r>
            <w:r>
              <w:rPr>
                <w:noProof/>
                <w:webHidden/>
              </w:rPr>
              <w:fldChar w:fldCharType="end"/>
            </w:r>
          </w:hyperlink>
        </w:p>
        <w:p w14:paraId="4122E43F" w14:textId="7D480E3A" w:rsidR="004730E9" w:rsidRDefault="004730E9">
          <w:pPr>
            <w:pStyle w:val="TOC2"/>
            <w:tabs>
              <w:tab w:val="right" w:leader="dot" w:pos="9350"/>
            </w:tabs>
            <w:rPr>
              <w:rFonts w:eastAsiaTheme="minorEastAsia"/>
              <w:noProof/>
            </w:rPr>
          </w:pPr>
          <w:hyperlink w:anchor="_Toc220883308" w:history="1">
            <w:r w:rsidRPr="00AB2B0F">
              <w:rPr>
                <w:rStyle w:val="Hyperlink"/>
                <w:noProof/>
              </w:rPr>
              <w:t>7.2 Forecasting Assumptions, Demand, and Capacity</w:t>
            </w:r>
            <w:r>
              <w:rPr>
                <w:noProof/>
                <w:webHidden/>
              </w:rPr>
              <w:tab/>
            </w:r>
            <w:r>
              <w:rPr>
                <w:noProof/>
                <w:webHidden/>
              </w:rPr>
              <w:fldChar w:fldCharType="begin"/>
            </w:r>
            <w:r>
              <w:rPr>
                <w:noProof/>
                <w:webHidden/>
              </w:rPr>
              <w:instrText xml:space="preserve"> PAGEREF _Toc220883308 \h </w:instrText>
            </w:r>
            <w:r>
              <w:rPr>
                <w:noProof/>
                <w:webHidden/>
              </w:rPr>
            </w:r>
            <w:r>
              <w:rPr>
                <w:noProof/>
                <w:webHidden/>
              </w:rPr>
              <w:fldChar w:fldCharType="separate"/>
            </w:r>
            <w:r>
              <w:rPr>
                <w:noProof/>
                <w:webHidden/>
              </w:rPr>
              <w:t>53</w:t>
            </w:r>
            <w:r>
              <w:rPr>
                <w:noProof/>
                <w:webHidden/>
              </w:rPr>
              <w:fldChar w:fldCharType="end"/>
            </w:r>
          </w:hyperlink>
        </w:p>
        <w:p w14:paraId="729B17E8" w14:textId="288FC390" w:rsidR="004730E9" w:rsidRDefault="004730E9">
          <w:pPr>
            <w:pStyle w:val="TOC2"/>
            <w:tabs>
              <w:tab w:val="right" w:leader="dot" w:pos="9350"/>
            </w:tabs>
            <w:rPr>
              <w:rFonts w:eastAsiaTheme="minorEastAsia"/>
              <w:noProof/>
            </w:rPr>
          </w:pPr>
          <w:hyperlink w:anchor="_Toc220883309" w:history="1">
            <w:r w:rsidRPr="00AB2B0F">
              <w:rPr>
                <w:rStyle w:val="Hyperlink"/>
                <w:noProof/>
              </w:rPr>
              <w:t>7.3 Profit and Loss (P&amp;L) Forecast – 12 Months</w:t>
            </w:r>
            <w:r>
              <w:rPr>
                <w:noProof/>
                <w:webHidden/>
              </w:rPr>
              <w:tab/>
            </w:r>
            <w:r>
              <w:rPr>
                <w:noProof/>
                <w:webHidden/>
              </w:rPr>
              <w:fldChar w:fldCharType="begin"/>
            </w:r>
            <w:r>
              <w:rPr>
                <w:noProof/>
                <w:webHidden/>
              </w:rPr>
              <w:instrText xml:space="preserve"> PAGEREF _Toc220883309 \h </w:instrText>
            </w:r>
            <w:r>
              <w:rPr>
                <w:noProof/>
                <w:webHidden/>
              </w:rPr>
            </w:r>
            <w:r>
              <w:rPr>
                <w:noProof/>
                <w:webHidden/>
              </w:rPr>
              <w:fldChar w:fldCharType="separate"/>
            </w:r>
            <w:r>
              <w:rPr>
                <w:noProof/>
                <w:webHidden/>
              </w:rPr>
              <w:t>53</w:t>
            </w:r>
            <w:r>
              <w:rPr>
                <w:noProof/>
                <w:webHidden/>
              </w:rPr>
              <w:fldChar w:fldCharType="end"/>
            </w:r>
          </w:hyperlink>
        </w:p>
        <w:p w14:paraId="42F10303" w14:textId="0921F8FA" w:rsidR="004730E9" w:rsidRDefault="004730E9">
          <w:pPr>
            <w:pStyle w:val="TOC2"/>
            <w:tabs>
              <w:tab w:val="right" w:leader="dot" w:pos="9350"/>
            </w:tabs>
            <w:rPr>
              <w:rFonts w:eastAsiaTheme="minorEastAsia"/>
              <w:noProof/>
            </w:rPr>
          </w:pPr>
          <w:hyperlink w:anchor="_Toc220883310" w:history="1">
            <w:r w:rsidRPr="00AB2B0F">
              <w:rPr>
                <w:rStyle w:val="Hyperlink"/>
                <w:noProof/>
              </w:rPr>
              <w:t>7.4 Cash Flow and Runway</w:t>
            </w:r>
            <w:r>
              <w:rPr>
                <w:noProof/>
                <w:webHidden/>
              </w:rPr>
              <w:tab/>
            </w:r>
            <w:r>
              <w:rPr>
                <w:noProof/>
                <w:webHidden/>
              </w:rPr>
              <w:fldChar w:fldCharType="begin"/>
            </w:r>
            <w:r>
              <w:rPr>
                <w:noProof/>
                <w:webHidden/>
              </w:rPr>
              <w:instrText xml:space="preserve"> PAGEREF _Toc220883310 \h </w:instrText>
            </w:r>
            <w:r>
              <w:rPr>
                <w:noProof/>
                <w:webHidden/>
              </w:rPr>
            </w:r>
            <w:r>
              <w:rPr>
                <w:noProof/>
                <w:webHidden/>
              </w:rPr>
              <w:fldChar w:fldCharType="separate"/>
            </w:r>
            <w:r>
              <w:rPr>
                <w:noProof/>
                <w:webHidden/>
              </w:rPr>
              <w:t>55</w:t>
            </w:r>
            <w:r>
              <w:rPr>
                <w:noProof/>
                <w:webHidden/>
              </w:rPr>
              <w:fldChar w:fldCharType="end"/>
            </w:r>
          </w:hyperlink>
        </w:p>
        <w:p w14:paraId="330D5AF0" w14:textId="366B0E1E" w:rsidR="004730E9" w:rsidRDefault="004730E9">
          <w:pPr>
            <w:pStyle w:val="TOC2"/>
            <w:tabs>
              <w:tab w:val="right" w:leader="dot" w:pos="9350"/>
            </w:tabs>
            <w:rPr>
              <w:rFonts w:eastAsiaTheme="minorEastAsia"/>
              <w:noProof/>
            </w:rPr>
          </w:pPr>
          <w:hyperlink w:anchor="_Toc220883311" w:history="1">
            <w:r w:rsidRPr="00AB2B0F">
              <w:rPr>
                <w:rStyle w:val="Hyperlink"/>
                <w:noProof/>
              </w:rPr>
              <w:t>7.5 Cost Architecture: United Kingdom</w:t>
            </w:r>
            <w:r>
              <w:rPr>
                <w:noProof/>
                <w:webHidden/>
              </w:rPr>
              <w:tab/>
            </w:r>
            <w:r>
              <w:rPr>
                <w:noProof/>
                <w:webHidden/>
              </w:rPr>
              <w:fldChar w:fldCharType="begin"/>
            </w:r>
            <w:r>
              <w:rPr>
                <w:noProof/>
                <w:webHidden/>
              </w:rPr>
              <w:instrText xml:space="preserve"> PAGEREF _Toc220883311 \h </w:instrText>
            </w:r>
            <w:r>
              <w:rPr>
                <w:noProof/>
                <w:webHidden/>
              </w:rPr>
            </w:r>
            <w:r>
              <w:rPr>
                <w:noProof/>
                <w:webHidden/>
              </w:rPr>
              <w:fldChar w:fldCharType="separate"/>
            </w:r>
            <w:r>
              <w:rPr>
                <w:noProof/>
                <w:webHidden/>
              </w:rPr>
              <w:t>57</w:t>
            </w:r>
            <w:r>
              <w:rPr>
                <w:noProof/>
                <w:webHidden/>
              </w:rPr>
              <w:fldChar w:fldCharType="end"/>
            </w:r>
          </w:hyperlink>
        </w:p>
        <w:p w14:paraId="226682A7" w14:textId="390C98C8" w:rsidR="004730E9" w:rsidRDefault="004730E9">
          <w:pPr>
            <w:pStyle w:val="TOC2"/>
            <w:tabs>
              <w:tab w:val="right" w:leader="dot" w:pos="9350"/>
            </w:tabs>
            <w:rPr>
              <w:rFonts w:eastAsiaTheme="minorEastAsia"/>
              <w:noProof/>
            </w:rPr>
          </w:pPr>
          <w:hyperlink w:anchor="_Toc220883312" w:history="1">
            <w:r w:rsidRPr="00AB2B0F">
              <w:rPr>
                <w:rStyle w:val="Hyperlink"/>
                <w:noProof/>
              </w:rPr>
              <w:t>7.6 Tooling and Platform Budget</w:t>
            </w:r>
            <w:r>
              <w:rPr>
                <w:noProof/>
                <w:webHidden/>
              </w:rPr>
              <w:tab/>
            </w:r>
            <w:r>
              <w:rPr>
                <w:noProof/>
                <w:webHidden/>
              </w:rPr>
              <w:fldChar w:fldCharType="begin"/>
            </w:r>
            <w:r>
              <w:rPr>
                <w:noProof/>
                <w:webHidden/>
              </w:rPr>
              <w:instrText xml:space="preserve"> PAGEREF _Toc220883312 \h </w:instrText>
            </w:r>
            <w:r>
              <w:rPr>
                <w:noProof/>
                <w:webHidden/>
              </w:rPr>
            </w:r>
            <w:r>
              <w:rPr>
                <w:noProof/>
                <w:webHidden/>
              </w:rPr>
              <w:fldChar w:fldCharType="separate"/>
            </w:r>
            <w:r>
              <w:rPr>
                <w:noProof/>
                <w:webHidden/>
              </w:rPr>
              <w:t>58</w:t>
            </w:r>
            <w:r>
              <w:rPr>
                <w:noProof/>
                <w:webHidden/>
              </w:rPr>
              <w:fldChar w:fldCharType="end"/>
            </w:r>
          </w:hyperlink>
        </w:p>
        <w:p w14:paraId="51AF15DC" w14:textId="523ACFB9" w:rsidR="004730E9" w:rsidRDefault="004730E9">
          <w:pPr>
            <w:pStyle w:val="TOC2"/>
            <w:tabs>
              <w:tab w:val="right" w:leader="dot" w:pos="9350"/>
            </w:tabs>
            <w:rPr>
              <w:rFonts w:eastAsiaTheme="minorEastAsia"/>
              <w:noProof/>
            </w:rPr>
          </w:pPr>
          <w:hyperlink w:anchor="_Toc220883313" w:history="1">
            <w:r w:rsidRPr="00AB2B0F">
              <w:rPr>
                <w:rStyle w:val="Hyperlink"/>
                <w:noProof/>
              </w:rPr>
              <w:t>7.7 Unit Economics, CAC, LTV, and Payback</w:t>
            </w:r>
            <w:r>
              <w:rPr>
                <w:noProof/>
                <w:webHidden/>
              </w:rPr>
              <w:tab/>
            </w:r>
            <w:r>
              <w:rPr>
                <w:noProof/>
                <w:webHidden/>
              </w:rPr>
              <w:fldChar w:fldCharType="begin"/>
            </w:r>
            <w:r>
              <w:rPr>
                <w:noProof/>
                <w:webHidden/>
              </w:rPr>
              <w:instrText xml:space="preserve"> PAGEREF _Toc220883313 \h </w:instrText>
            </w:r>
            <w:r>
              <w:rPr>
                <w:noProof/>
                <w:webHidden/>
              </w:rPr>
            </w:r>
            <w:r>
              <w:rPr>
                <w:noProof/>
                <w:webHidden/>
              </w:rPr>
              <w:fldChar w:fldCharType="separate"/>
            </w:r>
            <w:r>
              <w:rPr>
                <w:noProof/>
                <w:webHidden/>
              </w:rPr>
              <w:t>58</w:t>
            </w:r>
            <w:r>
              <w:rPr>
                <w:noProof/>
                <w:webHidden/>
              </w:rPr>
              <w:fldChar w:fldCharType="end"/>
            </w:r>
          </w:hyperlink>
        </w:p>
        <w:p w14:paraId="44E686EB" w14:textId="6DAB68DA" w:rsidR="004730E9" w:rsidRDefault="004730E9">
          <w:pPr>
            <w:pStyle w:val="TOC2"/>
            <w:tabs>
              <w:tab w:val="right" w:leader="dot" w:pos="9350"/>
            </w:tabs>
            <w:rPr>
              <w:rFonts w:eastAsiaTheme="minorEastAsia"/>
              <w:noProof/>
            </w:rPr>
          </w:pPr>
          <w:hyperlink w:anchor="_Toc220883314" w:history="1">
            <w:r w:rsidRPr="00AB2B0F">
              <w:rPr>
                <w:rStyle w:val="Hyperlink"/>
                <w:noProof/>
              </w:rPr>
              <w:t>7.8 Break-Even and Sensitivity Analysis</w:t>
            </w:r>
            <w:r>
              <w:rPr>
                <w:noProof/>
                <w:webHidden/>
              </w:rPr>
              <w:tab/>
            </w:r>
            <w:r>
              <w:rPr>
                <w:noProof/>
                <w:webHidden/>
              </w:rPr>
              <w:fldChar w:fldCharType="begin"/>
            </w:r>
            <w:r>
              <w:rPr>
                <w:noProof/>
                <w:webHidden/>
              </w:rPr>
              <w:instrText xml:space="preserve"> PAGEREF _Toc220883314 \h </w:instrText>
            </w:r>
            <w:r>
              <w:rPr>
                <w:noProof/>
                <w:webHidden/>
              </w:rPr>
            </w:r>
            <w:r>
              <w:rPr>
                <w:noProof/>
                <w:webHidden/>
              </w:rPr>
              <w:fldChar w:fldCharType="separate"/>
            </w:r>
            <w:r>
              <w:rPr>
                <w:noProof/>
                <w:webHidden/>
              </w:rPr>
              <w:t>58</w:t>
            </w:r>
            <w:r>
              <w:rPr>
                <w:noProof/>
                <w:webHidden/>
              </w:rPr>
              <w:fldChar w:fldCharType="end"/>
            </w:r>
          </w:hyperlink>
        </w:p>
        <w:p w14:paraId="5AD2B1B9" w14:textId="001EB111" w:rsidR="004730E9" w:rsidRDefault="004730E9">
          <w:pPr>
            <w:pStyle w:val="TOC2"/>
            <w:tabs>
              <w:tab w:val="right" w:leader="dot" w:pos="9350"/>
            </w:tabs>
            <w:rPr>
              <w:rFonts w:eastAsiaTheme="minorEastAsia"/>
              <w:noProof/>
            </w:rPr>
          </w:pPr>
          <w:hyperlink w:anchor="_Toc220883315" w:history="1">
            <w:r w:rsidRPr="00AB2B0F">
              <w:rPr>
                <w:rStyle w:val="Hyperlink"/>
                <w:noProof/>
              </w:rPr>
              <w:t>7.9 Tax and Compliance Considerations</w:t>
            </w:r>
            <w:r>
              <w:rPr>
                <w:noProof/>
                <w:webHidden/>
              </w:rPr>
              <w:tab/>
            </w:r>
            <w:r>
              <w:rPr>
                <w:noProof/>
                <w:webHidden/>
              </w:rPr>
              <w:fldChar w:fldCharType="begin"/>
            </w:r>
            <w:r>
              <w:rPr>
                <w:noProof/>
                <w:webHidden/>
              </w:rPr>
              <w:instrText xml:space="preserve"> PAGEREF _Toc220883315 \h </w:instrText>
            </w:r>
            <w:r>
              <w:rPr>
                <w:noProof/>
                <w:webHidden/>
              </w:rPr>
            </w:r>
            <w:r>
              <w:rPr>
                <w:noProof/>
                <w:webHidden/>
              </w:rPr>
              <w:fldChar w:fldCharType="separate"/>
            </w:r>
            <w:r>
              <w:rPr>
                <w:noProof/>
                <w:webHidden/>
              </w:rPr>
              <w:t>59</w:t>
            </w:r>
            <w:r>
              <w:rPr>
                <w:noProof/>
                <w:webHidden/>
              </w:rPr>
              <w:fldChar w:fldCharType="end"/>
            </w:r>
          </w:hyperlink>
        </w:p>
        <w:p w14:paraId="5FF8E391" w14:textId="01EC9E90" w:rsidR="004730E9" w:rsidRDefault="004730E9">
          <w:pPr>
            <w:pStyle w:val="TOC2"/>
            <w:tabs>
              <w:tab w:val="right" w:leader="dot" w:pos="9350"/>
            </w:tabs>
            <w:rPr>
              <w:rFonts w:eastAsiaTheme="minorEastAsia"/>
              <w:noProof/>
            </w:rPr>
          </w:pPr>
          <w:hyperlink w:anchor="_Toc220883316" w:history="1">
            <w:r w:rsidRPr="00AB2B0F">
              <w:rPr>
                <w:rStyle w:val="Hyperlink"/>
                <w:noProof/>
              </w:rPr>
              <w:t>7.10 Financial Controls and Reporting</w:t>
            </w:r>
            <w:r>
              <w:rPr>
                <w:noProof/>
                <w:webHidden/>
              </w:rPr>
              <w:tab/>
            </w:r>
            <w:r>
              <w:rPr>
                <w:noProof/>
                <w:webHidden/>
              </w:rPr>
              <w:fldChar w:fldCharType="begin"/>
            </w:r>
            <w:r>
              <w:rPr>
                <w:noProof/>
                <w:webHidden/>
              </w:rPr>
              <w:instrText xml:space="preserve"> PAGEREF _Toc220883316 \h </w:instrText>
            </w:r>
            <w:r>
              <w:rPr>
                <w:noProof/>
                <w:webHidden/>
              </w:rPr>
            </w:r>
            <w:r>
              <w:rPr>
                <w:noProof/>
                <w:webHidden/>
              </w:rPr>
              <w:fldChar w:fldCharType="separate"/>
            </w:r>
            <w:r>
              <w:rPr>
                <w:noProof/>
                <w:webHidden/>
              </w:rPr>
              <w:t>59</w:t>
            </w:r>
            <w:r>
              <w:rPr>
                <w:noProof/>
                <w:webHidden/>
              </w:rPr>
              <w:fldChar w:fldCharType="end"/>
            </w:r>
          </w:hyperlink>
        </w:p>
        <w:p w14:paraId="6A3F17F3" w14:textId="21B99A04" w:rsidR="004730E9" w:rsidRDefault="004730E9">
          <w:pPr>
            <w:pStyle w:val="TOC2"/>
            <w:tabs>
              <w:tab w:val="right" w:leader="dot" w:pos="9350"/>
            </w:tabs>
            <w:rPr>
              <w:rFonts w:eastAsiaTheme="minorEastAsia"/>
              <w:noProof/>
            </w:rPr>
          </w:pPr>
          <w:hyperlink w:anchor="_Toc220883317" w:history="1">
            <w:r w:rsidRPr="00AB2B0F">
              <w:rPr>
                <w:rStyle w:val="Hyperlink"/>
                <w:noProof/>
              </w:rPr>
              <w:t>7.11 Evidence and Benchmarks, Success, and Failure Parallels</w:t>
            </w:r>
            <w:r>
              <w:rPr>
                <w:noProof/>
                <w:webHidden/>
              </w:rPr>
              <w:tab/>
            </w:r>
            <w:r>
              <w:rPr>
                <w:noProof/>
                <w:webHidden/>
              </w:rPr>
              <w:fldChar w:fldCharType="begin"/>
            </w:r>
            <w:r>
              <w:rPr>
                <w:noProof/>
                <w:webHidden/>
              </w:rPr>
              <w:instrText xml:space="preserve"> PAGEREF _Toc220883317 \h </w:instrText>
            </w:r>
            <w:r>
              <w:rPr>
                <w:noProof/>
                <w:webHidden/>
              </w:rPr>
            </w:r>
            <w:r>
              <w:rPr>
                <w:noProof/>
                <w:webHidden/>
              </w:rPr>
              <w:fldChar w:fldCharType="separate"/>
            </w:r>
            <w:r>
              <w:rPr>
                <w:noProof/>
                <w:webHidden/>
              </w:rPr>
              <w:t>59</w:t>
            </w:r>
            <w:r>
              <w:rPr>
                <w:noProof/>
                <w:webHidden/>
              </w:rPr>
              <w:fldChar w:fldCharType="end"/>
            </w:r>
          </w:hyperlink>
        </w:p>
        <w:p w14:paraId="1186C329" w14:textId="54A9C93A" w:rsidR="004730E9" w:rsidRDefault="004730E9">
          <w:pPr>
            <w:pStyle w:val="TOC1"/>
            <w:tabs>
              <w:tab w:val="right" w:leader="dot" w:pos="9350"/>
            </w:tabs>
            <w:rPr>
              <w:rFonts w:eastAsiaTheme="minorEastAsia"/>
              <w:noProof/>
            </w:rPr>
          </w:pPr>
          <w:hyperlink w:anchor="_Toc220883318" w:history="1">
            <w:r w:rsidRPr="00AB2B0F">
              <w:rPr>
                <w:rStyle w:val="Hyperlink"/>
                <w:noProof/>
              </w:rPr>
              <w:t>Chapter 8: Risk Analysis and Management</w:t>
            </w:r>
            <w:r>
              <w:rPr>
                <w:noProof/>
                <w:webHidden/>
              </w:rPr>
              <w:tab/>
            </w:r>
            <w:r>
              <w:rPr>
                <w:noProof/>
                <w:webHidden/>
              </w:rPr>
              <w:fldChar w:fldCharType="begin"/>
            </w:r>
            <w:r>
              <w:rPr>
                <w:noProof/>
                <w:webHidden/>
              </w:rPr>
              <w:instrText xml:space="preserve"> PAGEREF _Toc220883318 \h </w:instrText>
            </w:r>
            <w:r>
              <w:rPr>
                <w:noProof/>
                <w:webHidden/>
              </w:rPr>
            </w:r>
            <w:r>
              <w:rPr>
                <w:noProof/>
                <w:webHidden/>
              </w:rPr>
              <w:fldChar w:fldCharType="separate"/>
            </w:r>
            <w:r>
              <w:rPr>
                <w:noProof/>
                <w:webHidden/>
              </w:rPr>
              <w:t>60</w:t>
            </w:r>
            <w:r>
              <w:rPr>
                <w:noProof/>
                <w:webHidden/>
              </w:rPr>
              <w:fldChar w:fldCharType="end"/>
            </w:r>
          </w:hyperlink>
        </w:p>
        <w:p w14:paraId="79F9B55C" w14:textId="725A3F77" w:rsidR="004730E9" w:rsidRDefault="004730E9">
          <w:pPr>
            <w:pStyle w:val="TOC2"/>
            <w:tabs>
              <w:tab w:val="right" w:leader="dot" w:pos="9350"/>
            </w:tabs>
            <w:rPr>
              <w:rFonts w:eastAsiaTheme="minorEastAsia"/>
              <w:noProof/>
            </w:rPr>
          </w:pPr>
          <w:hyperlink w:anchor="_Toc220883319" w:history="1">
            <w:r w:rsidRPr="00AB2B0F">
              <w:rPr>
                <w:rStyle w:val="Hyperlink"/>
                <w:noProof/>
              </w:rPr>
              <w:t>8.1 Risk Policy and Governance</w:t>
            </w:r>
            <w:r>
              <w:rPr>
                <w:noProof/>
                <w:webHidden/>
              </w:rPr>
              <w:tab/>
            </w:r>
            <w:r>
              <w:rPr>
                <w:noProof/>
                <w:webHidden/>
              </w:rPr>
              <w:fldChar w:fldCharType="begin"/>
            </w:r>
            <w:r>
              <w:rPr>
                <w:noProof/>
                <w:webHidden/>
              </w:rPr>
              <w:instrText xml:space="preserve"> PAGEREF _Toc220883319 \h </w:instrText>
            </w:r>
            <w:r>
              <w:rPr>
                <w:noProof/>
                <w:webHidden/>
              </w:rPr>
            </w:r>
            <w:r>
              <w:rPr>
                <w:noProof/>
                <w:webHidden/>
              </w:rPr>
              <w:fldChar w:fldCharType="separate"/>
            </w:r>
            <w:r>
              <w:rPr>
                <w:noProof/>
                <w:webHidden/>
              </w:rPr>
              <w:t>60</w:t>
            </w:r>
            <w:r>
              <w:rPr>
                <w:noProof/>
                <w:webHidden/>
              </w:rPr>
              <w:fldChar w:fldCharType="end"/>
            </w:r>
          </w:hyperlink>
        </w:p>
        <w:p w14:paraId="7BAF96D6" w14:textId="6EF1FE3F" w:rsidR="004730E9" w:rsidRDefault="004730E9">
          <w:pPr>
            <w:pStyle w:val="TOC2"/>
            <w:tabs>
              <w:tab w:val="right" w:leader="dot" w:pos="9350"/>
            </w:tabs>
            <w:rPr>
              <w:rFonts w:eastAsiaTheme="minorEastAsia"/>
              <w:noProof/>
            </w:rPr>
          </w:pPr>
          <w:hyperlink w:anchor="_Toc220883320" w:history="1">
            <w:r w:rsidRPr="00AB2B0F">
              <w:rPr>
                <w:rStyle w:val="Hyperlink"/>
                <w:noProof/>
              </w:rPr>
              <w:t>8.2 Risk Heat Map</w:t>
            </w:r>
            <w:r>
              <w:rPr>
                <w:noProof/>
                <w:webHidden/>
              </w:rPr>
              <w:tab/>
            </w:r>
            <w:r>
              <w:rPr>
                <w:noProof/>
                <w:webHidden/>
              </w:rPr>
              <w:fldChar w:fldCharType="begin"/>
            </w:r>
            <w:r>
              <w:rPr>
                <w:noProof/>
                <w:webHidden/>
              </w:rPr>
              <w:instrText xml:space="preserve"> PAGEREF _Toc220883320 \h </w:instrText>
            </w:r>
            <w:r>
              <w:rPr>
                <w:noProof/>
                <w:webHidden/>
              </w:rPr>
            </w:r>
            <w:r>
              <w:rPr>
                <w:noProof/>
                <w:webHidden/>
              </w:rPr>
              <w:fldChar w:fldCharType="separate"/>
            </w:r>
            <w:r>
              <w:rPr>
                <w:noProof/>
                <w:webHidden/>
              </w:rPr>
              <w:t>61</w:t>
            </w:r>
            <w:r>
              <w:rPr>
                <w:noProof/>
                <w:webHidden/>
              </w:rPr>
              <w:fldChar w:fldCharType="end"/>
            </w:r>
          </w:hyperlink>
        </w:p>
        <w:p w14:paraId="1A3A78DF" w14:textId="0CA66924" w:rsidR="004730E9" w:rsidRDefault="004730E9">
          <w:pPr>
            <w:pStyle w:val="TOC2"/>
            <w:tabs>
              <w:tab w:val="right" w:leader="dot" w:pos="9350"/>
            </w:tabs>
            <w:rPr>
              <w:rFonts w:eastAsiaTheme="minorEastAsia"/>
              <w:noProof/>
            </w:rPr>
          </w:pPr>
          <w:hyperlink w:anchor="_Toc220883321" w:history="1">
            <w:r w:rsidRPr="00AB2B0F">
              <w:rPr>
                <w:rStyle w:val="Hyperlink"/>
                <w:noProof/>
              </w:rPr>
              <w:t>8.3 Risk Register</w:t>
            </w:r>
            <w:r>
              <w:rPr>
                <w:noProof/>
                <w:webHidden/>
              </w:rPr>
              <w:tab/>
            </w:r>
            <w:r>
              <w:rPr>
                <w:noProof/>
                <w:webHidden/>
              </w:rPr>
              <w:fldChar w:fldCharType="begin"/>
            </w:r>
            <w:r>
              <w:rPr>
                <w:noProof/>
                <w:webHidden/>
              </w:rPr>
              <w:instrText xml:space="preserve"> PAGEREF _Toc220883321 \h </w:instrText>
            </w:r>
            <w:r>
              <w:rPr>
                <w:noProof/>
                <w:webHidden/>
              </w:rPr>
            </w:r>
            <w:r>
              <w:rPr>
                <w:noProof/>
                <w:webHidden/>
              </w:rPr>
              <w:fldChar w:fldCharType="separate"/>
            </w:r>
            <w:r>
              <w:rPr>
                <w:noProof/>
                <w:webHidden/>
              </w:rPr>
              <w:t>62</w:t>
            </w:r>
            <w:r>
              <w:rPr>
                <w:noProof/>
                <w:webHidden/>
              </w:rPr>
              <w:fldChar w:fldCharType="end"/>
            </w:r>
          </w:hyperlink>
        </w:p>
        <w:p w14:paraId="503BB07E" w14:textId="3F477B38" w:rsidR="004730E9" w:rsidRDefault="004730E9">
          <w:pPr>
            <w:pStyle w:val="TOC2"/>
            <w:tabs>
              <w:tab w:val="right" w:leader="dot" w:pos="9350"/>
            </w:tabs>
            <w:rPr>
              <w:rFonts w:eastAsiaTheme="minorEastAsia"/>
              <w:noProof/>
            </w:rPr>
          </w:pPr>
          <w:hyperlink w:anchor="_Toc220883322" w:history="1">
            <w:r w:rsidRPr="00AB2B0F">
              <w:rPr>
                <w:rStyle w:val="Hyperlink"/>
                <w:noProof/>
              </w:rPr>
              <w:t>8.4 Scenario Testing</w:t>
            </w:r>
            <w:r>
              <w:rPr>
                <w:noProof/>
                <w:webHidden/>
              </w:rPr>
              <w:tab/>
            </w:r>
            <w:r>
              <w:rPr>
                <w:noProof/>
                <w:webHidden/>
              </w:rPr>
              <w:fldChar w:fldCharType="begin"/>
            </w:r>
            <w:r>
              <w:rPr>
                <w:noProof/>
                <w:webHidden/>
              </w:rPr>
              <w:instrText xml:space="preserve"> PAGEREF _Toc220883322 \h </w:instrText>
            </w:r>
            <w:r>
              <w:rPr>
                <w:noProof/>
                <w:webHidden/>
              </w:rPr>
            </w:r>
            <w:r>
              <w:rPr>
                <w:noProof/>
                <w:webHidden/>
              </w:rPr>
              <w:fldChar w:fldCharType="separate"/>
            </w:r>
            <w:r>
              <w:rPr>
                <w:noProof/>
                <w:webHidden/>
              </w:rPr>
              <w:t>63</w:t>
            </w:r>
            <w:r>
              <w:rPr>
                <w:noProof/>
                <w:webHidden/>
              </w:rPr>
              <w:fldChar w:fldCharType="end"/>
            </w:r>
          </w:hyperlink>
        </w:p>
        <w:p w14:paraId="1CEEB56E" w14:textId="5152E83D" w:rsidR="004730E9" w:rsidRDefault="004730E9">
          <w:pPr>
            <w:pStyle w:val="TOC2"/>
            <w:tabs>
              <w:tab w:val="right" w:leader="dot" w:pos="9350"/>
            </w:tabs>
            <w:rPr>
              <w:rFonts w:eastAsiaTheme="minorEastAsia"/>
              <w:noProof/>
            </w:rPr>
          </w:pPr>
          <w:hyperlink w:anchor="_Toc220883323" w:history="1">
            <w:r w:rsidRPr="00AB2B0F">
              <w:rPr>
                <w:rStyle w:val="Hyperlink"/>
                <w:noProof/>
              </w:rPr>
              <w:t>8.5 Business Continuity and Incident Response</w:t>
            </w:r>
            <w:r>
              <w:rPr>
                <w:noProof/>
                <w:webHidden/>
              </w:rPr>
              <w:tab/>
            </w:r>
            <w:r>
              <w:rPr>
                <w:noProof/>
                <w:webHidden/>
              </w:rPr>
              <w:fldChar w:fldCharType="begin"/>
            </w:r>
            <w:r>
              <w:rPr>
                <w:noProof/>
                <w:webHidden/>
              </w:rPr>
              <w:instrText xml:space="preserve"> PAGEREF _Toc220883323 \h </w:instrText>
            </w:r>
            <w:r>
              <w:rPr>
                <w:noProof/>
                <w:webHidden/>
              </w:rPr>
            </w:r>
            <w:r>
              <w:rPr>
                <w:noProof/>
                <w:webHidden/>
              </w:rPr>
              <w:fldChar w:fldCharType="separate"/>
            </w:r>
            <w:r>
              <w:rPr>
                <w:noProof/>
                <w:webHidden/>
              </w:rPr>
              <w:t>63</w:t>
            </w:r>
            <w:r>
              <w:rPr>
                <w:noProof/>
                <w:webHidden/>
              </w:rPr>
              <w:fldChar w:fldCharType="end"/>
            </w:r>
          </w:hyperlink>
        </w:p>
        <w:p w14:paraId="0CB306C5" w14:textId="5F20C885" w:rsidR="004730E9" w:rsidRDefault="004730E9">
          <w:pPr>
            <w:pStyle w:val="TOC2"/>
            <w:tabs>
              <w:tab w:val="right" w:leader="dot" w:pos="9350"/>
            </w:tabs>
            <w:rPr>
              <w:rFonts w:eastAsiaTheme="minorEastAsia"/>
              <w:noProof/>
            </w:rPr>
          </w:pPr>
          <w:hyperlink w:anchor="_Toc220883324" w:history="1">
            <w:r w:rsidRPr="00AB2B0F">
              <w:rPr>
                <w:rStyle w:val="Hyperlink"/>
                <w:noProof/>
              </w:rPr>
              <w:t>8.6 Compliance Monitoring</w:t>
            </w:r>
            <w:r>
              <w:rPr>
                <w:noProof/>
                <w:webHidden/>
              </w:rPr>
              <w:tab/>
            </w:r>
            <w:r>
              <w:rPr>
                <w:noProof/>
                <w:webHidden/>
              </w:rPr>
              <w:fldChar w:fldCharType="begin"/>
            </w:r>
            <w:r>
              <w:rPr>
                <w:noProof/>
                <w:webHidden/>
              </w:rPr>
              <w:instrText xml:space="preserve"> PAGEREF _Toc220883324 \h </w:instrText>
            </w:r>
            <w:r>
              <w:rPr>
                <w:noProof/>
                <w:webHidden/>
              </w:rPr>
            </w:r>
            <w:r>
              <w:rPr>
                <w:noProof/>
                <w:webHidden/>
              </w:rPr>
              <w:fldChar w:fldCharType="separate"/>
            </w:r>
            <w:r>
              <w:rPr>
                <w:noProof/>
                <w:webHidden/>
              </w:rPr>
              <w:t>64</w:t>
            </w:r>
            <w:r>
              <w:rPr>
                <w:noProof/>
                <w:webHidden/>
              </w:rPr>
              <w:fldChar w:fldCharType="end"/>
            </w:r>
          </w:hyperlink>
        </w:p>
        <w:p w14:paraId="4B1763D2" w14:textId="74718DC3" w:rsidR="004730E9" w:rsidRDefault="004730E9">
          <w:pPr>
            <w:pStyle w:val="TOC1"/>
            <w:tabs>
              <w:tab w:val="right" w:leader="dot" w:pos="9350"/>
            </w:tabs>
            <w:rPr>
              <w:rFonts w:eastAsiaTheme="minorEastAsia"/>
              <w:noProof/>
            </w:rPr>
          </w:pPr>
          <w:hyperlink w:anchor="_Toc220883325" w:history="1">
            <w:r w:rsidRPr="00AB2B0F">
              <w:rPr>
                <w:rStyle w:val="Hyperlink"/>
                <w:noProof/>
              </w:rPr>
              <w:t>Chapter 9: Implementation Plan (12-Month Horizon)</w:t>
            </w:r>
            <w:r>
              <w:rPr>
                <w:noProof/>
                <w:webHidden/>
              </w:rPr>
              <w:tab/>
            </w:r>
            <w:r>
              <w:rPr>
                <w:noProof/>
                <w:webHidden/>
              </w:rPr>
              <w:fldChar w:fldCharType="begin"/>
            </w:r>
            <w:r>
              <w:rPr>
                <w:noProof/>
                <w:webHidden/>
              </w:rPr>
              <w:instrText xml:space="preserve"> PAGEREF _Toc220883325 \h </w:instrText>
            </w:r>
            <w:r>
              <w:rPr>
                <w:noProof/>
                <w:webHidden/>
              </w:rPr>
            </w:r>
            <w:r>
              <w:rPr>
                <w:noProof/>
                <w:webHidden/>
              </w:rPr>
              <w:fldChar w:fldCharType="separate"/>
            </w:r>
            <w:r>
              <w:rPr>
                <w:noProof/>
                <w:webHidden/>
              </w:rPr>
              <w:t>65</w:t>
            </w:r>
            <w:r>
              <w:rPr>
                <w:noProof/>
                <w:webHidden/>
              </w:rPr>
              <w:fldChar w:fldCharType="end"/>
            </w:r>
          </w:hyperlink>
        </w:p>
        <w:p w14:paraId="5B5D483A" w14:textId="33A5DB89" w:rsidR="004730E9" w:rsidRDefault="004730E9">
          <w:pPr>
            <w:pStyle w:val="TOC2"/>
            <w:tabs>
              <w:tab w:val="right" w:leader="dot" w:pos="9350"/>
            </w:tabs>
            <w:rPr>
              <w:rFonts w:eastAsiaTheme="minorEastAsia"/>
              <w:noProof/>
            </w:rPr>
          </w:pPr>
          <w:hyperlink w:anchor="_Toc220883326" w:history="1">
            <w:r w:rsidRPr="00AB2B0F">
              <w:rPr>
                <w:rStyle w:val="Hyperlink"/>
                <w:noProof/>
              </w:rPr>
              <w:t>9.1 (12-Month Roadmap)</w:t>
            </w:r>
            <w:r>
              <w:rPr>
                <w:noProof/>
                <w:webHidden/>
              </w:rPr>
              <w:tab/>
            </w:r>
            <w:r>
              <w:rPr>
                <w:noProof/>
                <w:webHidden/>
              </w:rPr>
              <w:fldChar w:fldCharType="begin"/>
            </w:r>
            <w:r>
              <w:rPr>
                <w:noProof/>
                <w:webHidden/>
              </w:rPr>
              <w:instrText xml:space="preserve"> PAGEREF _Toc220883326 \h </w:instrText>
            </w:r>
            <w:r>
              <w:rPr>
                <w:noProof/>
                <w:webHidden/>
              </w:rPr>
            </w:r>
            <w:r>
              <w:rPr>
                <w:noProof/>
                <w:webHidden/>
              </w:rPr>
              <w:fldChar w:fldCharType="separate"/>
            </w:r>
            <w:r>
              <w:rPr>
                <w:noProof/>
                <w:webHidden/>
              </w:rPr>
              <w:t>66</w:t>
            </w:r>
            <w:r>
              <w:rPr>
                <w:noProof/>
                <w:webHidden/>
              </w:rPr>
              <w:fldChar w:fldCharType="end"/>
            </w:r>
          </w:hyperlink>
        </w:p>
        <w:p w14:paraId="24A8CA37" w14:textId="4FA68170" w:rsidR="004730E9" w:rsidRDefault="004730E9">
          <w:pPr>
            <w:pStyle w:val="TOC2"/>
            <w:tabs>
              <w:tab w:val="right" w:leader="dot" w:pos="9350"/>
            </w:tabs>
            <w:rPr>
              <w:rFonts w:eastAsiaTheme="minorEastAsia"/>
              <w:noProof/>
            </w:rPr>
          </w:pPr>
          <w:hyperlink w:anchor="_Toc220883327" w:history="1">
            <w:r w:rsidRPr="00AB2B0F">
              <w:rPr>
                <w:rStyle w:val="Hyperlink"/>
                <w:noProof/>
              </w:rPr>
              <w:t>9.4 Resource and Budget Notes</w:t>
            </w:r>
            <w:r>
              <w:rPr>
                <w:noProof/>
                <w:webHidden/>
              </w:rPr>
              <w:tab/>
            </w:r>
            <w:r>
              <w:rPr>
                <w:noProof/>
                <w:webHidden/>
              </w:rPr>
              <w:fldChar w:fldCharType="begin"/>
            </w:r>
            <w:r>
              <w:rPr>
                <w:noProof/>
                <w:webHidden/>
              </w:rPr>
              <w:instrText xml:space="preserve"> PAGEREF _Toc220883327 \h </w:instrText>
            </w:r>
            <w:r>
              <w:rPr>
                <w:noProof/>
                <w:webHidden/>
              </w:rPr>
            </w:r>
            <w:r>
              <w:rPr>
                <w:noProof/>
                <w:webHidden/>
              </w:rPr>
              <w:fldChar w:fldCharType="separate"/>
            </w:r>
            <w:r>
              <w:rPr>
                <w:noProof/>
                <w:webHidden/>
              </w:rPr>
              <w:t>68</w:t>
            </w:r>
            <w:r>
              <w:rPr>
                <w:noProof/>
                <w:webHidden/>
              </w:rPr>
              <w:fldChar w:fldCharType="end"/>
            </w:r>
          </w:hyperlink>
        </w:p>
        <w:p w14:paraId="7A625E18" w14:textId="1247DFF1" w:rsidR="004730E9" w:rsidRDefault="004730E9">
          <w:pPr>
            <w:pStyle w:val="TOC2"/>
            <w:tabs>
              <w:tab w:val="right" w:leader="dot" w:pos="9350"/>
            </w:tabs>
            <w:rPr>
              <w:rFonts w:eastAsiaTheme="minorEastAsia"/>
              <w:noProof/>
            </w:rPr>
          </w:pPr>
          <w:hyperlink w:anchor="_Toc220883328" w:history="1">
            <w:r w:rsidRPr="00AB2B0F">
              <w:rPr>
                <w:rStyle w:val="Hyperlink"/>
                <w:noProof/>
              </w:rPr>
              <w:t>9.5 KPIs and Stage Gates</w:t>
            </w:r>
            <w:r w:rsidRPr="00AB2B0F">
              <w:rPr>
                <w:rStyle w:val="Hyperlink"/>
                <w:rFonts w:ascii="Arial" w:hAnsi="Arial" w:cs="Arial"/>
                <w:noProof/>
              </w:rPr>
              <w:t>↓</w:t>
            </w:r>
            <w:r>
              <w:rPr>
                <w:noProof/>
                <w:webHidden/>
              </w:rPr>
              <w:tab/>
            </w:r>
            <w:r>
              <w:rPr>
                <w:noProof/>
                <w:webHidden/>
              </w:rPr>
              <w:fldChar w:fldCharType="begin"/>
            </w:r>
            <w:r>
              <w:rPr>
                <w:noProof/>
                <w:webHidden/>
              </w:rPr>
              <w:instrText xml:space="preserve"> PAGEREF _Toc220883328 \h </w:instrText>
            </w:r>
            <w:r>
              <w:rPr>
                <w:noProof/>
                <w:webHidden/>
              </w:rPr>
            </w:r>
            <w:r>
              <w:rPr>
                <w:noProof/>
                <w:webHidden/>
              </w:rPr>
              <w:fldChar w:fldCharType="separate"/>
            </w:r>
            <w:r>
              <w:rPr>
                <w:noProof/>
                <w:webHidden/>
              </w:rPr>
              <w:t>68</w:t>
            </w:r>
            <w:r>
              <w:rPr>
                <w:noProof/>
                <w:webHidden/>
              </w:rPr>
              <w:fldChar w:fldCharType="end"/>
            </w:r>
          </w:hyperlink>
        </w:p>
        <w:p w14:paraId="2AC0AED0" w14:textId="053469FA" w:rsidR="004730E9" w:rsidRDefault="004730E9">
          <w:pPr>
            <w:pStyle w:val="TOC2"/>
            <w:tabs>
              <w:tab w:val="right" w:leader="dot" w:pos="9350"/>
            </w:tabs>
            <w:rPr>
              <w:rFonts w:eastAsiaTheme="minorEastAsia"/>
              <w:noProof/>
            </w:rPr>
          </w:pPr>
          <w:hyperlink w:anchor="_Toc220883329" w:history="1">
            <w:r w:rsidRPr="00AB2B0F">
              <w:rPr>
                <w:rStyle w:val="Hyperlink"/>
                <w:noProof/>
              </w:rPr>
              <w:t>9.6 Change Management</w:t>
            </w:r>
            <w:r>
              <w:rPr>
                <w:noProof/>
                <w:webHidden/>
              </w:rPr>
              <w:tab/>
            </w:r>
            <w:r>
              <w:rPr>
                <w:noProof/>
                <w:webHidden/>
              </w:rPr>
              <w:fldChar w:fldCharType="begin"/>
            </w:r>
            <w:r>
              <w:rPr>
                <w:noProof/>
                <w:webHidden/>
              </w:rPr>
              <w:instrText xml:space="preserve"> PAGEREF _Toc220883329 \h </w:instrText>
            </w:r>
            <w:r>
              <w:rPr>
                <w:noProof/>
                <w:webHidden/>
              </w:rPr>
            </w:r>
            <w:r>
              <w:rPr>
                <w:noProof/>
                <w:webHidden/>
              </w:rPr>
              <w:fldChar w:fldCharType="separate"/>
            </w:r>
            <w:r>
              <w:rPr>
                <w:noProof/>
                <w:webHidden/>
              </w:rPr>
              <w:t>69</w:t>
            </w:r>
            <w:r>
              <w:rPr>
                <w:noProof/>
                <w:webHidden/>
              </w:rPr>
              <w:fldChar w:fldCharType="end"/>
            </w:r>
          </w:hyperlink>
        </w:p>
        <w:p w14:paraId="3CFF3136" w14:textId="0FB70B93" w:rsidR="004730E9" w:rsidRDefault="004730E9">
          <w:pPr>
            <w:pStyle w:val="TOC1"/>
            <w:tabs>
              <w:tab w:val="right" w:leader="dot" w:pos="9350"/>
            </w:tabs>
            <w:rPr>
              <w:rFonts w:eastAsiaTheme="minorEastAsia"/>
              <w:noProof/>
            </w:rPr>
          </w:pPr>
          <w:hyperlink w:anchor="_Toc220883330" w:history="1">
            <w:r w:rsidRPr="00AB2B0F">
              <w:rPr>
                <w:rStyle w:val="Hyperlink"/>
                <w:noProof/>
              </w:rPr>
              <w:t>Chapter 10: Business Model Canvas</w:t>
            </w:r>
            <w:r>
              <w:rPr>
                <w:noProof/>
                <w:webHidden/>
              </w:rPr>
              <w:tab/>
            </w:r>
            <w:r>
              <w:rPr>
                <w:noProof/>
                <w:webHidden/>
              </w:rPr>
              <w:fldChar w:fldCharType="begin"/>
            </w:r>
            <w:r>
              <w:rPr>
                <w:noProof/>
                <w:webHidden/>
              </w:rPr>
              <w:instrText xml:space="preserve"> PAGEREF _Toc220883330 \h </w:instrText>
            </w:r>
            <w:r>
              <w:rPr>
                <w:noProof/>
                <w:webHidden/>
              </w:rPr>
            </w:r>
            <w:r>
              <w:rPr>
                <w:noProof/>
                <w:webHidden/>
              </w:rPr>
              <w:fldChar w:fldCharType="separate"/>
            </w:r>
            <w:r>
              <w:rPr>
                <w:noProof/>
                <w:webHidden/>
              </w:rPr>
              <w:t>70</w:t>
            </w:r>
            <w:r>
              <w:rPr>
                <w:noProof/>
                <w:webHidden/>
              </w:rPr>
              <w:fldChar w:fldCharType="end"/>
            </w:r>
          </w:hyperlink>
        </w:p>
        <w:p w14:paraId="250FC1AE" w14:textId="4E0DB519" w:rsidR="004730E9" w:rsidRDefault="004730E9">
          <w:pPr>
            <w:pStyle w:val="TOC2"/>
            <w:tabs>
              <w:tab w:val="right" w:leader="dot" w:pos="9350"/>
            </w:tabs>
            <w:rPr>
              <w:rFonts w:eastAsiaTheme="minorEastAsia"/>
              <w:noProof/>
            </w:rPr>
          </w:pPr>
          <w:hyperlink w:anchor="_Toc220883331" w:history="1">
            <w:r w:rsidRPr="00AB2B0F">
              <w:rPr>
                <w:rStyle w:val="Hyperlink"/>
                <w:noProof/>
              </w:rPr>
              <w:t>10.1 Customer Segments</w:t>
            </w:r>
            <w:r>
              <w:rPr>
                <w:noProof/>
                <w:webHidden/>
              </w:rPr>
              <w:tab/>
            </w:r>
            <w:r>
              <w:rPr>
                <w:noProof/>
                <w:webHidden/>
              </w:rPr>
              <w:fldChar w:fldCharType="begin"/>
            </w:r>
            <w:r>
              <w:rPr>
                <w:noProof/>
                <w:webHidden/>
              </w:rPr>
              <w:instrText xml:space="preserve"> PAGEREF _Toc220883331 \h </w:instrText>
            </w:r>
            <w:r>
              <w:rPr>
                <w:noProof/>
                <w:webHidden/>
              </w:rPr>
            </w:r>
            <w:r>
              <w:rPr>
                <w:noProof/>
                <w:webHidden/>
              </w:rPr>
              <w:fldChar w:fldCharType="separate"/>
            </w:r>
            <w:r>
              <w:rPr>
                <w:noProof/>
                <w:webHidden/>
              </w:rPr>
              <w:t>70</w:t>
            </w:r>
            <w:r>
              <w:rPr>
                <w:noProof/>
                <w:webHidden/>
              </w:rPr>
              <w:fldChar w:fldCharType="end"/>
            </w:r>
          </w:hyperlink>
        </w:p>
        <w:p w14:paraId="6885FA9D" w14:textId="5AA6F355" w:rsidR="004730E9" w:rsidRDefault="004730E9">
          <w:pPr>
            <w:pStyle w:val="TOC2"/>
            <w:tabs>
              <w:tab w:val="right" w:leader="dot" w:pos="9350"/>
            </w:tabs>
            <w:rPr>
              <w:rFonts w:eastAsiaTheme="minorEastAsia"/>
              <w:noProof/>
            </w:rPr>
          </w:pPr>
          <w:hyperlink w:anchor="_Toc220883332" w:history="1">
            <w:r w:rsidRPr="00AB2B0F">
              <w:rPr>
                <w:rStyle w:val="Hyperlink"/>
                <w:noProof/>
              </w:rPr>
              <w:t>10.2 Value Propositions</w:t>
            </w:r>
            <w:r>
              <w:rPr>
                <w:noProof/>
                <w:webHidden/>
              </w:rPr>
              <w:tab/>
            </w:r>
            <w:r>
              <w:rPr>
                <w:noProof/>
                <w:webHidden/>
              </w:rPr>
              <w:fldChar w:fldCharType="begin"/>
            </w:r>
            <w:r>
              <w:rPr>
                <w:noProof/>
                <w:webHidden/>
              </w:rPr>
              <w:instrText xml:space="preserve"> PAGEREF _Toc220883332 \h </w:instrText>
            </w:r>
            <w:r>
              <w:rPr>
                <w:noProof/>
                <w:webHidden/>
              </w:rPr>
            </w:r>
            <w:r>
              <w:rPr>
                <w:noProof/>
                <w:webHidden/>
              </w:rPr>
              <w:fldChar w:fldCharType="separate"/>
            </w:r>
            <w:r>
              <w:rPr>
                <w:noProof/>
                <w:webHidden/>
              </w:rPr>
              <w:t>70</w:t>
            </w:r>
            <w:r>
              <w:rPr>
                <w:noProof/>
                <w:webHidden/>
              </w:rPr>
              <w:fldChar w:fldCharType="end"/>
            </w:r>
          </w:hyperlink>
        </w:p>
        <w:p w14:paraId="76EC4108" w14:textId="7FDF77B6" w:rsidR="004730E9" w:rsidRDefault="004730E9">
          <w:pPr>
            <w:pStyle w:val="TOC2"/>
            <w:tabs>
              <w:tab w:val="right" w:leader="dot" w:pos="9350"/>
            </w:tabs>
            <w:rPr>
              <w:rFonts w:eastAsiaTheme="minorEastAsia"/>
              <w:noProof/>
            </w:rPr>
          </w:pPr>
          <w:hyperlink w:anchor="_Toc220883333" w:history="1">
            <w:r w:rsidRPr="00AB2B0F">
              <w:rPr>
                <w:rStyle w:val="Hyperlink"/>
                <w:noProof/>
              </w:rPr>
              <w:t>10.3 Channels</w:t>
            </w:r>
            <w:r>
              <w:rPr>
                <w:noProof/>
                <w:webHidden/>
              </w:rPr>
              <w:tab/>
            </w:r>
            <w:r>
              <w:rPr>
                <w:noProof/>
                <w:webHidden/>
              </w:rPr>
              <w:fldChar w:fldCharType="begin"/>
            </w:r>
            <w:r>
              <w:rPr>
                <w:noProof/>
                <w:webHidden/>
              </w:rPr>
              <w:instrText xml:space="preserve"> PAGEREF _Toc220883333 \h </w:instrText>
            </w:r>
            <w:r>
              <w:rPr>
                <w:noProof/>
                <w:webHidden/>
              </w:rPr>
            </w:r>
            <w:r>
              <w:rPr>
                <w:noProof/>
                <w:webHidden/>
              </w:rPr>
              <w:fldChar w:fldCharType="separate"/>
            </w:r>
            <w:r>
              <w:rPr>
                <w:noProof/>
                <w:webHidden/>
              </w:rPr>
              <w:t>71</w:t>
            </w:r>
            <w:r>
              <w:rPr>
                <w:noProof/>
                <w:webHidden/>
              </w:rPr>
              <w:fldChar w:fldCharType="end"/>
            </w:r>
          </w:hyperlink>
        </w:p>
        <w:p w14:paraId="6087D49A" w14:textId="1F28A49F" w:rsidR="004730E9" w:rsidRDefault="004730E9">
          <w:pPr>
            <w:pStyle w:val="TOC2"/>
            <w:tabs>
              <w:tab w:val="right" w:leader="dot" w:pos="9350"/>
            </w:tabs>
            <w:rPr>
              <w:rFonts w:eastAsiaTheme="minorEastAsia"/>
              <w:noProof/>
            </w:rPr>
          </w:pPr>
          <w:hyperlink w:anchor="_Toc220883334" w:history="1">
            <w:r w:rsidRPr="00AB2B0F">
              <w:rPr>
                <w:rStyle w:val="Hyperlink"/>
                <w:noProof/>
              </w:rPr>
              <w:t>10.4 Customer Relationships</w:t>
            </w:r>
            <w:r>
              <w:rPr>
                <w:noProof/>
                <w:webHidden/>
              </w:rPr>
              <w:tab/>
            </w:r>
            <w:r>
              <w:rPr>
                <w:noProof/>
                <w:webHidden/>
              </w:rPr>
              <w:fldChar w:fldCharType="begin"/>
            </w:r>
            <w:r>
              <w:rPr>
                <w:noProof/>
                <w:webHidden/>
              </w:rPr>
              <w:instrText xml:space="preserve"> PAGEREF _Toc220883334 \h </w:instrText>
            </w:r>
            <w:r>
              <w:rPr>
                <w:noProof/>
                <w:webHidden/>
              </w:rPr>
            </w:r>
            <w:r>
              <w:rPr>
                <w:noProof/>
                <w:webHidden/>
              </w:rPr>
              <w:fldChar w:fldCharType="separate"/>
            </w:r>
            <w:r>
              <w:rPr>
                <w:noProof/>
                <w:webHidden/>
              </w:rPr>
              <w:t>71</w:t>
            </w:r>
            <w:r>
              <w:rPr>
                <w:noProof/>
                <w:webHidden/>
              </w:rPr>
              <w:fldChar w:fldCharType="end"/>
            </w:r>
          </w:hyperlink>
        </w:p>
        <w:p w14:paraId="55F40C28" w14:textId="3AFC7B52" w:rsidR="004730E9" w:rsidRDefault="004730E9">
          <w:pPr>
            <w:pStyle w:val="TOC2"/>
            <w:tabs>
              <w:tab w:val="right" w:leader="dot" w:pos="9350"/>
            </w:tabs>
            <w:rPr>
              <w:rFonts w:eastAsiaTheme="minorEastAsia"/>
              <w:noProof/>
            </w:rPr>
          </w:pPr>
          <w:hyperlink w:anchor="_Toc220883335" w:history="1">
            <w:r w:rsidRPr="00AB2B0F">
              <w:rPr>
                <w:rStyle w:val="Hyperlink"/>
                <w:noProof/>
              </w:rPr>
              <w:t>10.6 Key Resources</w:t>
            </w:r>
            <w:r>
              <w:rPr>
                <w:noProof/>
                <w:webHidden/>
              </w:rPr>
              <w:tab/>
            </w:r>
            <w:r>
              <w:rPr>
                <w:noProof/>
                <w:webHidden/>
              </w:rPr>
              <w:fldChar w:fldCharType="begin"/>
            </w:r>
            <w:r>
              <w:rPr>
                <w:noProof/>
                <w:webHidden/>
              </w:rPr>
              <w:instrText xml:space="preserve"> PAGEREF _Toc220883335 \h </w:instrText>
            </w:r>
            <w:r>
              <w:rPr>
                <w:noProof/>
                <w:webHidden/>
              </w:rPr>
            </w:r>
            <w:r>
              <w:rPr>
                <w:noProof/>
                <w:webHidden/>
              </w:rPr>
              <w:fldChar w:fldCharType="separate"/>
            </w:r>
            <w:r>
              <w:rPr>
                <w:noProof/>
                <w:webHidden/>
              </w:rPr>
              <w:t>71</w:t>
            </w:r>
            <w:r>
              <w:rPr>
                <w:noProof/>
                <w:webHidden/>
              </w:rPr>
              <w:fldChar w:fldCharType="end"/>
            </w:r>
          </w:hyperlink>
        </w:p>
        <w:p w14:paraId="0E83502C" w14:textId="27AFDCC1" w:rsidR="004730E9" w:rsidRDefault="004730E9">
          <w:pPr>
            <w:pStyle w:val="TOC2"/>
            <w:tabs>
              <w:tab w:val="right" w:leader="dot" w:pos="9350"/>
            </w:tabs>
            <w:rPr>
              <w:rFonts w:eastAsiaTheme="minorEastAsia"/>
              <w:noProof/>
            </w:rPr>
          </w:pPr>
          <w:hyperlink w:anchor="_Toc220883336" w:history="1">
            <w:r w:rsidRPr="00AB2B0F">
              <w:rPr>
                <w:rStyle w:val="Hyperlink"/>
                <w:noProof/>
              </w:rPr>
              <w:t>10.7 Key Partners</w:t>
            </w:r>
            <w:r>
              <w:rPr>
                <w:noProof/>
                <w:webHidden/>
              </w:rPr>
              <w:tab/>
            </w:r>
            <w:r>
              <w:rPr>
                <w:noProof/>
                <w:webHidden/>
              </w:rPr>
              <w:fldChar w:fldCharType="begin"/>
            </w:r>
            <w:r>
              <w:rPr>
                <w:noProof/>
                <w:webHidden/>
              </w:rPr>
              <w:instrText xml:space="preserve"> PAGEREF _Toc220883336 \h </w:instrText>
            </w:r>
            <w:r>
              <w:rPr>
                <w:noProof/>
                <w:webHidden/>
              </w:rPr>
            </w:r>
            <w:r>
              <w:rPr>
                <w:noProof/>
                <w:webHidden/>
              </w:rPr>
              <w:fldChar w:fldCharType="separate"/>
            </w:r>
            <w:r>
              <w:rPr>
                <w:noProof/>
                <w:webHidden/>
              </w:rPr>
              <w:t>72</w:t>
            </w:r>
            <w:r>
              <w:rPr>
                <w:noProof/>
                <w:webHidden/>
              </w:rPr>
              <w:fldChar w:fldCharType="end"/>
            </w:r>
          </w:hyperlink>
        </w:p>
        <w:p w14:paraId="5EA76234" w14:textId="49B244A6" w:rsidR="004730E9" w:rsidRDefault="004730E9">
          <w:pPr>
            <w:pStyle w:val="TOC2"/>
            <w:tabs>
              <w:tab w:val="right" w:leader="dot" w:pos="9350"/>
            </w:tabs>
            <w:rPr>
              <w:rFonts w:eastAsiaTheme="minorEastAsia"/>
              <w:noProof/>
            </w:rPr>
          </w:pPr>
          <w:hyperlink w:anchor="_Toc220883337" w:history="1">
            <w:r w:rsidRPr="00AB2B0F">
              <w:rPr>
                <w:rStyle w:val="Hyperlink"/>
                <w:noProof/>
              </w:rPr>
              <w:t>10.6 Key Resources</w:t>
            </w:r>
            <w:r>
              <w:rPr>
                <w:noProof/>
                <w:webHidden/>
              </w:rPr>
              <w:tab/>
            </w:r>
            <w:r>
              <w:rPr>
                <w:noProof/>
                <w:webHidden/>
              </w:rPr>
              <w:fldChar w:fldCharType="begin"/>
            </w:r>
            <w:r>
              <w:rPr>
                <w:noProof/>
                <w:webHidden/>
              </w:rPr>
              <w:instrText xml:space="preserve"> PAGEREF _Toc220883337 \h </w:instrText>
            </w:r>
            <w:r>
              <w:rPr>
                <w:noProof/>
                <w:webHidden/>
              </w:rPr>
            </w:r>
            <w:r>
              <w:rPr>
                <w:noProof/>
                <w:webHidden/>
              </w:rPr>
              <w:fldChar w:fldCharType="separate"/>
            </w:r>
            <w:r>
              <w:rPr>
                <w:noProof/>
                <w:webHidden/>
              </w:rPr>
              <w:t>72</w:t>
            </w:r>
            <w:r>
              <w:rPr>
                <w:noProof/>
                <w:webHidden/>
              </w:rPr>
              <w:fldChar w:fldCharType="end"/>
            </w:r>
          </w:hyperlink>
        </w:p>
        <w:p w14:paraId="566F43E6" w14:textId="49995011" w:rsidR="004730E9" w:rsidRDefault="004730E9">
          <w:pPr>
            <w:pStyle w:val="TOC2"/>
            <w:tabs>
              <w:tab w:val="right" w:leader="dot" w:pos="9350"/>
            </w:tabs>
            <w:rPr>
              <w:rFonts w:eastAsiaTheme="minorEastAsia"/>
              <w:noProof/>
            </w:rPr>
          </w:pPr>
          <w:hyperlink w:anchor="_Toc220883338" w:history="1">
            <w:r w:rsidRPr="00AB2B0F">
              <w:rPr>
                <w:rStyle w:val="Hyperlink"/>
                <w:noProof/>
              </w:rPr>
              <w:t>10.7 Key Partners</w:t>
            </w:r>
            <w:r>
              <w:rPr>
                <w:noProof/>
                <w:webHidden/>
              </w:rPr>
              <w:tab/>
            </w:r>
            <w:r>
              <w:rPr>
                <w:noProof/>
                <w:webHidden/>
              </w:rPr>
              <w:fldChar w:fldCharType="begin"/>
            </w:r>
            <w:r>
              <w:rPr>
                <w:noProof/>
                <w:webHidden/>
              </w:rPr>
              <w:instrText xml:space="preserve"> PAGEREF _Toc220883338 \h </w:instrText>
            </w:r>
            <w:r>
              <w:rPr>
                <w:noProof/>
                <w:webHidden/>
              </w:rPr>
            </w:r>
            <w:r>
              <w:rPr>
                <w:noProof/>
                <w:webHidden/>
              </w:rPr>
              <w:fldChar w:fldCharType="separate"/>
            </w:r>
            <w:r>
              <w:rPr>
                <w:noProof/>
                <w:webHidden/>
              </w:rPr>
              <w:t>72</w:t>
            </w:r>
            <w:r>
              <w:rPr>
                <w:noProof/>
                <w:webHidden/>
              </w:rPr>
              <w:fldChar w:fldCharType="end"/>
            </w:r>
          </w:hyperlink>
        </w:p>
        <w:p w14:paraId="058CB4B0" w14:textId="61843145" w:rsidR="004730E9" w:rsidRDefault="004730E9">
          <w:pPr>
            <w:pStyle w:val="TOC2"/>
            <w:tabs>
              <w:tab w:val="right" w:leader="dot" w:pos="9350"/>
            </w:tabs>
            <w:rPr>
              <w:rFonts w:eastAsiaTheme="minorEastAsia"/>
              <w:noProof/>
            </w:rPr>
          </w:pPr>
          <w:hyperlink w:anchor="_Toc220883339" w:history="1">
            <w:r w:rsidRPr="00AB2B0F">
              <w:rPr>
                <w:rStyle w:val="Hyperlink"/>
                <w:noProof/>
              </w:rPr>
              <w:t>10.8 Cost Structure</w:t>
            </w:r>
            <w:r>
              <w:rPr>
                <w:noProof/>
                <w:webHidden/>
              </w:rPr>
              <w:tab/>
            </w:r>
            <w:r>
              <w:rPr>
                <w:noProof/>
                <w:webHidden/>
              </w:rPr>
              <w:fldChar w:fldCharType="begin"/>
            </w:r>
            <w:r>
              <w:rPr>
                <w:noProof/>
                <w:webHidden/>
              </w:rPr>
              <w:instrText xml:space="preserve"> PAGEREF _Toc220883339 \h </w:instrText>
            </w:r>
            <w:r>
              <w:rPr>
                <w:noProof/>
                <w:webHidden/>
              </w:rPr>
            </w:r>
            <w:r>
              <w:rPr>
                <w:noProof/>
                <w:webHidden/>
              </w:rPr>
              <w:fldChar w:fldCharType="separate"/>
            </w:r>
            <w:r>
              <w:rPr>
                <w:noProof/>
                <w:webHidden/>
              </w:rPr>
              <w:t>73</w:t>
            </w:r>
            <w:r>
              <w:rPr>
                <w:noProof/>
                <w:webHidden/>
              </w:rPr>
              <w:fldChar w:fldCharType="end"/>
            </w:r>
          </w:hyperlink>
        </w:p>
        <w:p w14:paraId="01FC6728" w14:textId="200BECE8" w:rsidR="004730E9" w:rsidRDefault="004730E9">
          <w:pPr>
            <w:pStyle w:val="TOC2"/>
            <w:tabs>
              <w:tab w:val="right" w:leader="dot" w:pos="9350"/>
            </w:tabs>
            <w:rPr>
              <w:rFonts w:eastAsiaTheme="minorEastAsia"/>
              <w:noProof/>
            </w:rPr>
          </w:pPr>
          <w:hyperlink w:anchor="_Toc220883340" w:history="1">
            <w:r w:rsidRPr="00AB2B0F">
              <w:rPr>
                <w:rStyle w:val="Hyperlink"/>
                <w:noProof/>
              </w:rPr>
              <w:t>10.9 Revenue Streams</w:t>
            </w:r>
            <w:r>
              <w:rPr>
                <w:noProof/>
                <w:webHidden/>
              </w:rPr>
              <w:tab/>
            </w:r>
            <w:r>
              <w:rPr>
                <w:noProof/>
                <w:webHidden/>
              </w:rPr>
              <w:fldChar w:fldCharType="begin"/>
            </w:r>
            <w:r>
              <w:rPr>
                <w:noProof/>
                <w:webHidden/>
              </w:rPr>
              <w:instrText xml:space="preserve"> PAGEREF _Toc220883340 \h </w:instrText>
            </w:r>
            <w:r>
              <w:rPr>
                <w:noProof/>
                <w:webHidden/>
              </w:rPr>
            </w:r>
            <w:r>
              <w:rPr>
                <w:noProof/>
                <w:webHidden/>
              </w:rPr>
              <w:fldChar w:fldCharType="separate"/>
            </w:r>
            <w:r>
              <w:rPr>
                <w:noProof/>
                <w:webHidden/>
              </w:rPr>
              <w:t>73</w:t>
            </w:r>
            <w:r>
              <w:rPr>
                <w:noProof/>
                <w:webHidden/>
              </w:rPr>
              <w:fldChar w:fldCharType="end"/>
            </w:r>
          </w:hyperlink>
        </w:p>
        <w:p w14:paraId="4B0E2B3E" w14:textId="140EAF9B" w:rsidR="004730E9" w:rsidRDefault="004730E9">
          <w:pPr>
            <w:pStyle w:val="TOC2"/>
            <w:tabs>
              <w:tab w:val="right" w:leader="dot" w:pos="9350"/>
            </w:tabs>
            <w:rPr>
              <w:rFonts w:eastAsiaTheme="minorEastAsia"/>
              <w:noProof/>
            </w:rPr>
          </w:pPr>
          <w:hyperlink w:anchor="_Toc220883341" w:history="1">
            <w:r w:rsidRPr="00AB2B0F">
              <w:rPr>
                <w:rStyle w:val="Hyperlink"/>
                <w:noProof/>
              </w:rPr>
              <w:t>10.10 Integration of the Canvas</w:t>
            </w:r>
            <w:r>
              <w:rPr>
                <w:noProof/>
                <w:webHidden/>
              </w:rPr>
              <w:tab/>
            </w:r>
            <w:r>
              <w:rPr>
                <w:noProof/>
                <w:webHidden/>
              </w:rPr>
              <w:fldChar w:fldCharType="begin"/>
            </w:r>
            <w:r>
              <w:rPr>
                <w:noProof/>
                <w:webHidden/>
              </w:rPr>
              <w:instrText xml:space="preserve"> PAGEREF _Toc220883341 \h </w:instrText>
            </w:r>
            <w:r>
              <w:rPr>
                <w:noProof/>
                <w:webHidden/>
              </w:rPr>
            </w:r>
            <w:r>
              <w:rPr>
                <w:noProof/>
                <w:webHidden/>
              </w:rPr>
              <w:fldChar w:fldCharType="separate"/>
            </w:r>
            <w:r>
              <w:rPr>
                <w:noProof/>
                <w:webHidden/>
              </w:rPr>
              <w:t>73</w:t>
            </w:r>
            <w:r>
              <w:rPr>
                <w:noProof/>
                <w:webHidden/>
              </w:rPr>
              <w:fldChar w:fldCharType="end"/>
            </w:r>
          </w:hyperlink>
        </w:p>
        <w:p w14:paraId="799DCED3" w14:textId="74BE8993" w:rsidR="004730E9" w:rsidRDefault="004730E9">
          <w:pPr>
            <w:pStyle w:val="TOC1"/>
            <w:tabs>
              <w:tab w:val="right" w:leader="dot" w:pos="9350"/>
            </w:tabs>
            <w:rPr>
              <w:rFonts w:eastAsiaTheme="minorEastAsia"/>
              <w:noProof/>
            </w:rPr>
          </w:pPr>
          <w:hyperlink w:anchor="_Toc220883342" w:history="1">
            <w:r w:rsidRPr="00AB2B0F">
              <w:rPr>
                <w:rStyle w:val="Hyperlink"/>
                <w:noProof/>
              </w:rPr>
              <w:t>Conclusion</w:t>
            </w:r>
            <w:r>
              <w:rPr>
                <w:noProof/>
                <w:webHidden/>
              </w:rPr>
              <w:tab/>
            </w:r>
            <w:r>
              <w:rPr>
                <w:noProof/>
                <w:webHidden/>
              </w:rPr>
              <w:fldChar w:fldCharType="begin"/>
            </w:r>
            <w:r>
              <w:rPr>
                <w:noProof/>
                <w:webHidden/>
              </w:rPr>
              <w:instrText xml:space="preserve"> PAGEREF _Toc220883342 \h </w:instrText>
            </w:r>
            <w:r>
              <w:rPr>
                <w:noProof/>
                <w:webHidden/>
              </w:rPr>
            </w:r>
            <w:r>
              <w:rPr>
                <w:noProof/>
                <w:webHidden/>
              </w:rPr>
              <w:fldChar w:fldCharType="separate"/>
            </w:r>
            <w:r>
              <w:rPr>
                <w:noProof/>
                <w:webHidden/>
              </w:rPr>
              <w:t>73</w:t>
            </w:r>
            <w:r>
              <w:rPr>
                <w:noProof/>
                <w:webHidden/>
              </w:rPr>
              <w:fldChar w:fldCharType="end"/>
            </w:r>
          </w:hyperlink>
        </w:p>
        <w:p w14:paraId="36147BAD" w14:textId="361C02AE" w:rsidR="004730E9" w:rsidRDefault="004730E9">
          <w:pPr>
            <w:pStyle w:val="TOC1"/>
            <w:tabs>
              <w:tab w:val="right" w:leader="dot" w:pos="9350"/>
            </w:tabs>
            <w:rPr>
              <w:rFonts w:eastAsiaTheme="minorEastAsia"/>
              <w:noProof/>
            </w:rPr>
          </w:pPr>
          <w:hyperlink w:anchor="_Toc220883343" w:history="1">
            <w:r w:rsidRPr="00AB2B0F">
              <w:rPr>
                <w:rStyle w:val="Hyperlink"/>
                <w:noProof/>
              </w:rPr>
              <w:t>References</w:t>
            </w:r>
            <w:r>
              <w:rPr>
                <w:noProof/>
                <w:webHidden/>
              </w:rPr>
              <w:tab/>
            </w:r>
            <w:r>
              <w:rPr>
                <w:noProof/>
                <w:webHidden/>
              </w:rPr>
              <w:fldChar w:fldCharType="begin"/>
            </w:r>
            <w:r>
              <w:rPr>
                <w:noProof/>
                <w:webHidden/>
              </w:rPr>
              <w:instrText xml:space="preserve"> PAGEREF _Toc220883343 \h </w:instrText>
            </w:r>
            <w:r>
              <w:rPr>
                <w:noProof/>
                <w:webHidden/>
              </w:rPr>
            </w:r>
            <w:r>
              <w:rPr>
                <w:noProof/>
                <w:webHidden/>
              </w:rPr>
              <w:fldChar w:fldCharType="separate"/>
            </w:r>
            <w:r>
              <w:rPr>
                <w:noProof/>
                <w:webHidden/>
              </w:rPr>
              <w:t>74</w:t>
            </w:r>
            <w:r>
              <w:rPr>
                <w:noProof/>
                <w:webHidden/>
              </w:rPr>
              <w:fldChar w:fldCharType="end"/>
            </w:r>
          </w:hyperlink>
        </w:p>
        <w:p w14:paraId="54A0FB82" w14:textId="4AD95B9C" w:rsidR="009F416F" w:rsidRDefault="00104AE2" w:rsidP="004730E9">
          <w:r>
            <w:rPr>
              <w:b/>
              <w:bCs/>
              <w:noProof/>
            </w:rPr>
            <w:fldChar w:fldCharType="end"/>
          </w:r>
        </w:p>
      </w:sdtContent>
    </w:sdt>
    <w:p w14:paraId="2DBEA207" w14:textId="77777777" w:rsidR="004730E9" w:rsidRDefault="004730E9" w:rsidP="004730E9"/>
    <w:p w14:paraId="1C1048FC" w14:textId="77777777" w:rsidR="007E53D9" w:rsidRPr="004730E9" w:rsidRDefault="007E53D9" w:rsidP="004730E9"/>
    <w:p w14:paraId="63C81FC1" w14:textId="025992F0" w:rsidR="00241482" w:rsidRDefault="00241482" w:rsidP="00D27F3C">
      <w:pPr>
        <w:pStyle w:val="Heading1"/>
      </w:pPr>
      <w:bookmarkStart w:id="0" w:name="_Toc220883263"/>
      <w:r>
        <w:t>Chapter 1</w:t>
      </w:r>
      <w:r w:rsidR="00F24F59">
        <w:t xml:space="preserve"> Executive summary</w:t>
      </w:r>
      <w:bookmarkEnd w:id="0"/>
      <w:r w:rsidR="00F24F59">
        <w:t xml:space="preserve"> </w:t>
      </w:r>
    </w:p>
    <w:p w14:paraId="7373514D" w14:textId="77777777" w:rsidR="00F24F59" w:rsidRDefault="00F24F59" w:rsidP="00F24F59">
      <w:r>
        <w:t xml:space="preserve">Diligence Legal Support and Civil Mediation Services is a UK-based entity founded to offer professional, confidential, and ethical mediation and legal support services. The venture is a reaction to the growing need for Alternative Dispute Resolution (ADR) as a quicker, cheaper, and less contentious alternative to traditional court litigation. Diligence seeks to </w:t>
      </w:r>
      <w:r>
        <w:lastRenderedPageBreak/>
        <w:t>help individuals, small and medium-sized enterprises (SMEs), landlords, tenants, and organizations in need of effective and fair dispute resolution.</w:t>
      </w:r>
    </w:p>
    <w:p w14:paraId="2A02E2C2" w14:textId="77777777" w:rsidR="00F24F59" w:rsidRDefault="00F24F59" w:rsidP="00F24F59">
      <w:r>
        <w:t>The venture provides organized civil mediation services with professional case coordination and legal support. The main service areas include workplace disputes, landlord and tenant disputes, family and interpersonal disputes, and commercial disputes. Through a focus on impartiality, confidentiality, and effective communication, Diligence seeks to help clients efficiently resolve disputes while minimizing emotional distress, legal expenses, and litigation time.</w:t>
      </w:r>
    </w:p>
    <w:p w14:paraId="01AFCE2B" w14:textId="4BC1FE5F" w:rsidR="00F24F59" w:rsidRDefault="00F24F59" w:rsidP="00F24F59">
      <w:r>
        <w:t>Diligence is a private limited company registered in the UK and founded on robust governance, ethics, and adherence to applicable legal and professional frameworks. The value proposition for the organization lies in professionalism, empathy, and accessibility, making it a credible alternative to court-based dispute resolution. Strategic alliances with legal practitioners and social organizations enhance service delivery and referral channels.</w:t>
      </w:r>
    </w:p>
    <w:p w14:paraId="358419A5" w14:textId="77777777" w:rsidR="009F416F" w:rsidRDefault="009F416F" w:rsidP="009F416F">
      <w:r>
        <w:t>Market research reveals an increasing demand for mediation services in the UK because of court delays, increasing legal expenses, and government support for ADR. Diligence’s marketing and sales plan emphasizes branding, online presence, referral-driven sales, and building long-term business relationships. The firm pursues an optimal marketing mix and online approach to efficiently target its primary market segments.</w:t>
      </w:r>
    </w:p>
    <w:p w14:paraId="3A82B85A" w14:textId="77777777" w:rsidR="009F416F" w:rsidRDefault="009F416F" w:rsidP="009F416F">
      <w:r>
        <w:t>From an operational perspective, Diligence operates an organized business and service delivery process facilitated by qualified personnel, secure technology infrastructure, and established quality assurance procedures. Human resource management emphasizes qualified mediators, administrative staff, and flexible personnel arrangements to ensure service quality and scalability. Compliance, risk, and sustainability factors are integrated into ongoing business operations.</w:t>
      </w:r>
    </w:p>
    <w:p w14:paraId="0DEF981B" w14:textId="77777777" w:rsidR="009F416F" w:rsidRDefault="009F416F" w:rsidP="009F416F">
      <w:r>
        <w:t xml:space="preserve">The business financial plan assumes a 12-month forecasting period, with income derived from mediation services, fixed-price service packages, and organizational service contracts. Sound cash flow management, expense management, and performance analysis </w:t>
      </w:r>
      <w:r w:rsidR="00F24F59">
        <w:t>support financial sustainability. The implementation plan uses a phased approach with clear milestones, KPIs, and stage-gate reviews to manage growth and reduce risk.</w:t>
      </w:r>
    </w:p>
    <w:p w14:paraId="5720D771" w14:textId="588F5653" w:rsidR="00F24F59" w:rsidRDefault="009F416F" w:rsidP="009F416F">
      <w:proofErr w:type="gramStart"/>
      <w:r w:rsidRPr="009F416F">
        <w:t>On the whole</w:t>
      </w:r>
      <w:proofErr w:type="gramEnd"/>
      <w:r w:rsidRPr="009F416F">
        <w:t>, Diligence Legal Support and Civil Mediation Services is positioned as a credible, ethical, and sustainable mediator service organization in the UK. With a strategic direction, implementation plan, and alignment with the UK ADR policies, the business is poised to create long-term value for its clients and stakeholders.</w:t>
      </w:r>
    </w:p>
    <w:p w14:paraId="07749525" w14:textId="716BFEF4" w:rsidR="000F02B1" w:rsidRDefault="00D27F3C" w:rsidP="00D27F3C">
      <w:pPr>
        <w:pStyle w:val="Heading1"/>
      </w:pPr>
      <w:r>
        <w:lastRenderedPageBreak/>
        <w:t xml:space="preserve">   </w:t>
      </w:r>
    </w:p>
    <w:p w14:paraId="3F65F6D5" w14:textId="77777777" w:rsidR="000F02B1" w:rsidRDefault="000F02B1" w:rsidP="00D27F3C">
      <w:pPr>
        <w:pStyle w:val="Heading1"/>
      </w:pPr>
    </w:p>
    <w:p w14:paraId="39651472" w14:textId="77777777" w:rsidR="000F02B1" w:rsidRDefault="000F02B1" w:rsidP="00D27F3C">
      <w:pPr>
        <w:pStyle w:val="Heading1"/>
      </w:pPr>
    </w:p>
    <w:p w14:paraId="1EB032CD" w14:textId="77777777" w:rsidR="00845B34" w:rsidRDefault="00845B34" w:rsidP="009F416F">
      <w:pPr>
        <w:pStyle w:val="Heading1"/>
      </w:pPr>
      <w:bookmarkStart w:id="1" w:name="_Toc220883264"/>
      <w:r>
        <w:t>Chapter 2: Company Description</w:t>
      </w:r>
      <w:bookmarkEnd w:id="1"/>
    </w:p>
    <w:p w14:paraId="6978E1A9" w14:textId="77777777" w:rsidR="00845B34" w:rsidRDefault="00845B34" w:rsidP="00845B34">
      <w:r>
        <w:t>In this chapter, an overall description of Diligence Legal Support and Civil Mediation Services is presented, including the identity, purpose, and background of the company, as well as its services and strategic position.</w:t>
      </w:r>
    </w:p>
    <w:p w14:paraId="5D75F698" w14:textId="77777777" w:rsidR="00845B34" w:rsidRDefault="00845B34" w:rsidP="009F416F">
      <w:pPr>
        <w:pStyle w:val="Heading2"/>
      </w:pPr>
      <w:bookmarkStart w:id="2" w:name="_Toc220883265"/>
      <w:r>
        <w:t>2.1 Business Identity and Legal Structure</w:t>
      </w:r>
      <w:bookmarkEnd w:id="2"/>
    </w:p>
    <w:p w14:paraId="477E01F1" w14:textId="77777777" w:rsidR="00845B34" w:rsidRDefault="00845B34" w:rsidP="00845B34">
      <w:r>
        <w:t>Diligence Legal Support and Civil Mediation Services is a Private Limited Company (Ltd), operating and registered in the United Kingdom. The business is structured to provide confidential, neutral, and professional mediation and legal support services to individuals and businesses within the United Kingdom. Operating as a Private Limited Company provides legal, professional, and strategic advantages for the business, including a framework for working with individual, SME, and corporate customers.</w:t>
      </w:r>
    </w:p>
    <w:p w14:paraId="2A017D91" w14:textId="77777777" w:rsidR="00845B34" w:rsidRDefault="00845B34" w:rsidP="00845B34">
      <w:r>
        <w:t>The business is located within the UK and complies with all legal, regulatory, and professional requirements. Business identity is built on trust, neutrality, professionalism, and ethical working, all of which are critical success factors for a business operating within the mediation and legal support sector.</w:t>
      </w:r>
    </w:p>
    <w:p w14:paraId="151BF98A" w14:textId="77777777" w:rsidR="003E1E63" w:rsidRDefault="003E1E63" w:rsidP="00845B34"/>
    <w:p w14:paraId="7D9B93D0" w14:textId="60BB864C" w:rsidR="00845B34" w:rsidRDefault="00845B34" w:rsidP="009F416F">
      <w:pPr>
        <w:pStyle w:val="Heading2"/>
      </w:pPr>
      <w:bookmarkStart w:id="3" w:name="_Toc220883266"/>
      <w:r>
        <w:t>2.2 Mission, Vision, and Core Values</w:t>
      </w:r>
      <w:bookmarkEnd w:id="3"/>
    </w:p>
    <w:p w14:paraId="2D73BB56" w14:textId="77777777" w:rsidR="00845B34" w:rsidRDefault="00845B34" w:rsidP="00845B34">
      <w:r>
        <w:t xml:space="preserve">The mission of Diligence is to offer accessible, confidential, and professional mediation services that assist individuals and </w:t>
      </w:r>
      <w:proofErr w:type="spellStart"/>
      <w:r>
        <w:t>organisations</w:t>
      </w:r>
      <w:proofErr w:type="spellEnd"/>
      <w:r>
        <w:t xml:space="preserve"> in resolving disputes efficiently and with respect, without the need for unnecessary legal conflict.</w:t>
      </w:r>
    </w:p>
    <w:p w14:paraId="6B1C9688" w14:textId="77777777" w:rsidR="00845B34" w:rsidRDefault="00845B34" w:rsidP="00845B34">
      <w:r>
        <w:t>The vision of the company is to be a reputable and trusted mediator and legal support service provider in the UK, known for their ethical conduct, professionalism, and client-centric approach to service delivery.</w:t>
      </w:r>
    </w:p>
    <w:p w14:paraId="06FA2AF2" w14:textId="77777777" w:rsidR="00845B34" w:rsidRDefault="00845B34" w:rsidP="00845B34">
      <w:r>
        <w:t xml:space="preserve">The core values of Diligence are neutrality, in that they are committed to ensuring fairness and impartiality in all cases; confidentiality, in that they are committed to protecting client </w:t>
      </w:r>
      <w:r>
        <w:lastRenderedPageBreak/>
        <w:t>confidentiality at all times; professionalism, in that they are committed to maintaining high standards of conduct and compliance; and empathy, in that they understand the emotional nature of disputes while being objective.</w:t>
      </w:r>
    </w:p>
    <w:p w14:paraId="55EEE30D" w14:textId="211F9341" w:rsidR="00845B34" w:rsidRDefault="00845B34" w:rsidP="009F416F">
      <w:pPr>
        <w:pStyle w:val="Heading2"/>
      </w:pPr>
      <w:bookmarkStart w:id="4" w:name="_Toc220883267"/>
      <w:r>
        <w:t>2.3 Founding Background and Business Inspiration</w:t>
      </w:r>
      <w:bookmarkEnd w:id="4"/>
    </w:p>
    <w:p w14:paraId="7D833916" w14:textId="551CDB0B" w:rsidR="00845B34" w:rsidRDefault="00845B34" w:rsidP="00845B34">
      <w:r>
        <w:t xml:space="preserve">Diligence was established due to the growing difficulties faced by individuals and </w:t>
      </w:r>
      <w:proofErr w:type="spellStart"/>
      <w:r>
        <w:t>organisations</w:t>
      </w:r>
      <w:proofErr w:type="spellEnd"/>
      <w:r>
        <w:t xml:space="preserve"> in navigating traditional legal approaches to dispute resolution. Court-based methods in the UK are often time-consuming, expensive, and emotionally draining. The inspiration for Diligence arises from the need for a more human-centric, efficient, and confidential approach.</w:t>
      </w:r>
    </w:p>
    <w:p w14:paraId="3F7403D9" w14:textId="77777777" w:rsidR="00724FCD" w:rsidRDefault="00724FCD" w:rsidP="00724FCD">
      <w:r>
        <w:t>The entrepreneur recognized a market gap for mediation services that combine professionalism with empathy, especially for individuals, SMEs, landlords, tenants, and multicultural groups. This informed the development of Diligence as a service that helps mitigate conflict, sustain relationships, and provide tangible solutions.</w:t>
      </w:r>
    </w:p>
    <w:p w14:paraId="3D49788C" w14:textId="77777777" w:rsidR="00724FCD" w:rsidRDefault="00724FCD" w:rsidP="00724FCD"/>
    <w:p w14:paraId="0386060E" w14:textId="77777777" w:rsidR="003E1E63" w:rsidRDefault="003E1E63" w:rsidP="009F416F">
      <w:pPr>
        <w:pStyle w:val="Heading2"/>
      </w:pPr>
    </w:p>
    <w:p w14:paraId="46A27025" w14:textId="5C74AFB8" w:rsidR="00724FCD" w:rsidRDefault="00724FCD" w:rsidP="009F416F">
      <w:pPr>
        <w:pStyle w:val="Heading2"/>
      </w:pPr>
      <w:bookmarkStart w:id="5" w:name="_Toc220883268"/>
      <w:r>
        <w:t>2.4 Service Overview and Problem Solved</w:t>
      </w:r>
      <w:bookmarkEnd w:id="5"/>
    </w:p>
    <w:p w14:paraId="1ED01364" w14:textId="77777777" w:rsidR="00724FCD" w:rsidRDefault="00724FCD" w:rsidP="00724FCD">
      <w:r>
        <w:t>Diligence is a business offering organized civil mediation and legal assistance services to help resolve conflicts without going to court. The business offers mediation services for family, workplace, landlord-tenant, commercial, and interpersonal conflicts, with comprehensive documentation and professional case management.</w:t>
      </w:r>
    </w:p>
    <w:p w14:paraId="0D71C4D0" w14:textId="77777777" w:rsidR="00724FCD" w:rsidRDefault="00724FCD" w:rsidP="00724FCD">
      <w:r>
        <w:t>The main problem solved by Diligence is the inefficiency and stress associated with court processes. Through mediation services, the business assists clients in saving time, money, and sustaining confidentiality while achieving mutually acceptable solutions. This is ideal for fast-tracking solutions without causing stress and disruption.</w:t>
      </w:r>
    </w:p>
    <w:p w14:paraId="3DD473B3" w14:textId="4F8C826F" w:rsidR="00724FCD" w:rsidRDefault="00724FCD" w:rsidP="009F416F">
      <w:pPr>
        <w:pStyle w:val="Heading2"/>
      </w:pPr>
      <w:bookmarkStart w:id="6" w:name="_Toc220883269"/>
      <w:r>
        <w:t>2.6 Unique Value Proposition and Strategic Advantage</w:t>
      </w:r>
      <w:bookmarkEnd w:id="6"/>
    </w:p>
    <w:p w14:paraId="0CF1C78A" w14:textId="77777777" w:rsidR="00724FCD" w:rsidRDefault="00724FCD" w:rsidP="00724FCD">
      <w:r>
        <w:t>The unique value proposition for Diligence is found in its unique blend of ethical professionalism, impartiality, and client-centric service delivery. Unlike conventional legal practices that tend to be confrontational, Diligence encourages collaboration and constructive communication.</w:t>
      </w:r>
    </w:p>
    <w:p w14:paraId="429BC435" w14:textId="324A77FF" w:rsidR="003E1E63" w:rsidRPr="003E1E63" w:rsidRDefault="003E1E63" w:rsidP="003E1E63">
      <w:r w:rsidRPr="003E1E63">
        <w:t xml:space="preserve">Its competitive advantage is based on its compliance with UK mediation regulations, a serene and reliable brand image, and a unique approach that focuses on legal and </w:t>
      </w:r>
      <w:r w:rsidRPr="003E1E63">
        <w:lastRenderedPageBreak/>
        <w:t>emotional intelligence. This makes Diligence a reliable and approachable alternative to litigation processes.</w:t>
      </w:r>
    </w:p>
    <w:p w14:paraId="62A8C1A6" w14:textId="32860586" w:rsidR="003E1E63" w:rsidRPr="003E1E63" w:rsidRDefault="003E1E63" w:rsidP="009F416F">
      <w:pPr>
        <w:pStyle w:val="Heading2"/>
        <w:rPr>
          <w:rFonts w:eastAsiaTheme="minorHAnsi"/>
        </w:rPr>
      </w:pPr>
      <w:bookmarkStart w:id="7" w:name="_Toc220883270"/>
      <w:r w:rsidRPr="003E1E63">
        <w:rPr>
          <w:rFonts w:eastAsiaTheme="minorHAnsi"/>
        </w:rPr>
        <w:t>2.7 Alignment with Trends and UK Policies</w:t>
      </w:r>
      <w:bookmarkEnd w:id="7"/>
    </w:p>
    <w:p w14:paraId="1F706052" w14:textId="77777777" w:rsidR="003E1E63" w:rsidRPr="003E1E63" w:rsidRDefault="003E1E63" w:rsidP="004730E9">
      <w:r w:rsidRPr="003E1E63">
        <w:t>Diligence is highly aligned with the current trends in the UK legal system, which favors Alternative Dispute Resolution (ADR) in the UK legal system. The UK government is actively promoting mediation processes to help reduce court congestion and provide timely and cost-effective solutions to civil disputes.</w:t>
      </w:r>
    </w:p>
    <w:p w14:paraId="3D7417D1" w14:textId="7021BC5F" w:rsidR="000F02B1" w:rsidRDefault="003E1E63" w:rsidP="004730E9">
      <w:r w:rsidRPr="003E1E63">
        <w:t>The growing need for confidential, cost-effective, and timely dispute resolution processes makes Diligence’s services highly relevant. The organization’s approach to ethical practice and compliance is highly aligned with UK policies and is expected to drive growth in the face of a changing UK legal system.</w:t>
      </w:r>
    </w:p>
    <w:p w14:paraId="70E4F213" w14:textId="77777777" w:rsidR="000F02B1" w:rsidRDefault="000F02B1" w:rsidP="000F02B1">
      <w:pPr>
        <w:pStyle w:val="Heading1"/>
      </w:pPr>
      <w:bookmarkStart w:id="8" w:name="_Toc220883271"/>
      <w:r>
        <w:t>Chapter 3; Market Research and validation</w:t>
      </w:r>
      <w:bookmarkEnd w:id="8"/>
      <w:r>
        <w:t xml:space="preserve"> </w:t>
      </w:r>
    </w:p>
    <w:p w14:paraId="1A27C43B" w14:textId="77777777" w:rsidR="000F02B1" w:rsidRDefault="000F02B1" w:rsidP="000F02B1"/>
    <w:p w14:paraId="029FD2B2" w14:textId="77777777" w:rsidR="000F02B1" w:rsidRDefault="000F02B1" w:rsidP="000F02B1">
      <w:pPr>
        <w:pStyle w:val="Heading2"/>
      </w:pPr>
      <w:bookmarkStart w:id="9" w:name="_Toc220883272"/>
      <w:r>
        <w:t>3.1 Industry Overview</w:t>
      </w:r>
      <w:bookmarkEnd w:id="9"/>
      <w:r>
        <w:t xml:space="preserve"> </w:t>
      </w:r>
    </w:p>
    <w:p w14:paraId="4862A02D" w14:textId="77777777" w:rsidR="000F02B1" w:rsidRPr="00A7258D" w:rsidRDefault="000F02B1" w:rsidP="000F02B1">
      <w:pPr>
        <w:jc w:val="right"/>
      </w:pPr>
      <w:r w:rsidRPr="00A7258D">
        <w:rPr>
          <w:noProof/>
        </w:rPr>
        <w:drawing>
          <wp:inline distT="0" distB="0" distL="0" distR="0" wp14:anchorId="53AE762D" wp14:editId="66F881B9">
            <wp:extent cx="5943600" cy="3466465"/>
            <wp:effectExtent l="0" t="0" r="0" b="635"/>
            <wp:docPr id="2113361544" name="Picture 1" descr="A table with a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61544" name="Picture 1" descr="A table with a view of a city&#10;&#10;AI-generated content may be incorrect."/>
                    <pic:cNvPicPr/>
                  </pic:nvPicPr>
                  <pic:blipFill>
                    <a:blip r:embed="rId10"/>
                    <a:stretch>
                      <a:fillRect/>
                    </a:stretch>
                  </pic:blipFill>
                  <pic:spPr>
                    <a:xfrm>
                      <a:off x="0" y="0"/>
                      <a:ext cx="5943600" cy="3466465"/>
                    </a:xfrm>
                    <a:prstGeom prst="rect">
                      <a:avLst/>
                    </a:prstGeom>
                  </pic:spPr>
                </pic:pic>
              </a:graphicData>
            </a:graphic>
          </wp:inline>
        </w:drawing>
      </w:r>
    </w:p>
    <w:p w14:paraId="0AA7A9F5" w14:textId="77777777" w:rsidR="000F02B1" w:rsidRDefault="000F02B1" w:rsidP="000F02B1">
      <w:r>
        <w:t xml:space="preserve">The mediation and legal support industry in London is steadily growing due to changes in how disputes are resolved in the UK. Traditional court processes are known to be slow, </w:t>
      </w:r>
      <w:r>
        <w:lastRenderedPageBreak/>
        <w:t>expensive, and require many resources. Because of this, individuals and businesses are increasingly choosing mediation as a quicker and cheaper option.</w:t>
      </w:r>
    </w:p>
    <w:p w14:paraId="5D2FCAAF" w14:textId="77777777" w:rsidR="000F02B1" w:rsidRDefault="000F02B1" w:rsidP="000F02B1">
      <w:r>
        <w:t>From a regulatory standpoint, the UK government actively supports mediation, especially in civil, commercial, and family matters. This support is part of the strategy to lessen the load on the court system. Consequently, mediation has become a common way to resolve disputes, rather than just an alternative or secondary method.</w:t>
      </w:r>
    </w:p>
    <w:p w14:paraId="0D7F7BA3" w14:textId="77777777" w:rsidR="000F02B1" w:rsidRDefault="000F02B1" w:rsidP="000F02B1">
      <w:r>
        <w:t>London's market conditions also boost demand. As a global financial center with a diverse population and many small and medium-sized enterprises, disputes over contracts, workplaces, property, and personal issues are frequent. Many of these cases can be handled more effectively with a neutral mediator, especially when confidentiality and quick resolutions are important.</w:t>
      </w:r>
    </w:p>
    <w:p w14:paraId="6EB6CA71" w14:textId="77777777" w:rsidR="000F02B1" w:rsidRPr="00DC706A" w:rsidRDefault="000F02B1" w:rsidP="000F02B1">
      <w:pPr>
        <w:pStyle w:val="Heading2"/>
      </w:pPr>
      <w:bookmarkStart w:id="10" w:name="_Toc220883273"/>
      <w:r w:rsidRPr="00DC706A">
        <w:t>Consumers and businesses in London are increasingly looking for:</w:t>
      </w:r>
      <w:bookmarkEnd w:id="10"/>
    </w:p>
    <w:p w14:paraId="75815406" w14:textId="77777777" w:rsidR="000F02B1" w:rsidRDefault="000F02B1" w:rsidP="000F02B1"/>
    <w:p w14:paraId="7D81577F" w14:textId="77777777" w:rsidR="000F02B1" w:rsidRDefault="000F02B1" w:rsidP="000F02B1">
      <w:r w:rsidRPr="00DC706A">
        <w:rPr>
          <w:b/>
          <w:bCs/>
        </w:rPr>
        <w:t>Neutral, third-party guidance instead of confrontational court processes</w:t>
      </w:r>
    </w:p>
    <w:p w14:paraId="6606A3F0" w14:textId="77777777" w:rsidR="000F02B1" w:rsidRDefault="000F02B1" w:rsidP="000F02B1">
      <w:r w:rsidRPr="00DC706A">
        <w:t xml:space="preserve">Instead of going to court—where both sides fight against each other—mediation gives people a </w:t>
      </w:r>
      <w:r w:rsidRPr="00DC706A">
        <w:rPr>
          <w:b/>
          <w:bCs/>
        </w:rPr>
        <w:t>neutral person</w:t>
      </w:r>
      <w:r w:rsidRPr="00DC706A">
        <w:t xml:space="preserve"> who helps them talk calmly and fairly.</w:t>
      </w:r>
      <w:r w:rsidRPr="00DC706A">
        <w:br/>
        <w:t>The mediator doesn’t take sides; they just help both parties reach an agreement.</w:t>
      </w:r>
    </w:p>
    <w:p w14:paraId="27CC1152" w14:textId="77777777" w:rsidR="000F02B1" w:rsidRDefault="000F02B1" w:rsidP="000F02B1">
      <w:pPr>
        <w:rPr>
          <w:b/>
          <w:bCs/>
        </w:rPr>
      </w:pPr>
      <w:r>
        <w:t xml:space="preserve"> </w:t>
      </w:r>
      <w:r w:rsidRPr="00DC706A">
        <w:rPr>
          <w:b/>
          <w:bCs/>
        </w:rPr>
        <w:t>Confidential discussions, particularly when reputational or business sensitivities are at stake</w:t>
      </w:r>
    </w:p>
    <w:p w14:paraId="5AC1362D" w14:textId="77777777" w:rsidR="000F02B1" w:rsidRPr="00DC706A" w:rsidRDefault="000F02B1" w:rsidP="000F02B1">
      <w:r w:rsidRPr="00DC706A">
        <w:t xml:space="preserve">Court cases become public records, but mediation is </w:t>
      </w:r>
      <w:r w:rsidRPr="00DC706A">
        <w:rPr>
          <w:b/>
          <w:bCs/>
        </w:rPr>
        <w:t>private</w:t>
      </w:r>
      <w:r w:rsidRPr="00DC706A">
        <w:t>.</w:t>
      </w:r>
      <w:r w:rsidRPr="00DC706A">
        <w:br/>
        <w:t>This is important for:</w:t>
      </w:r>
    </w:p>
    <w:p w14:paraId="41484FD0" w14:textId="77777777" w:rsidR="000F02B1" w:rsidRPr="00DC706A" w:rsidRDefault="000F02B1" w:rsidP="000F02B1">
      <w:pPr>
        <w:ind w:left="720"/>
      </w:pPr>
      <w:r w:rsidRPr="00DC706A">
        <w:t>protecting someone’s reputation</w:t>
      </w:r>
    </w:p>
    <w:p w14:paraId="0E2AB4E2" w14:textId="77777777" w:rsidR="000F02B1" w:rsidRPr="00DC706A" w:rsidRDefault="000F02B1" w:rsidP="000F02B1">
      <w:pPr>
        <w:ind w:left="720"/>
      </w:pPr>
      <w:r w:rsidRPr="00DC706A">
        <w:t>keeping business information safe</w:t>
      </w:r>
    </w:p>
    <w:p w14:paraId="1769FF2C" w14:textId="77777777" w:rsidR="000F02B1" w:rsidRPr="00DC706A" w:rsidRDefault="000F02B1" w:rsidP="000F02B1">
      <w:pPr>
        <w:ind w:left="720"/>
      </w:pPr>
      <w:r w:rsidRPr="00DC706A">
        <w:t>avoiding unnecessary embarrassment</w:t>
      </w:r>
      <w:r>
        <w:t xml:space="preserve"> (</w:t>
      </w:r>
      <w:r w:rsidRPr="00DC706A">
        <w:t>Everything said in mediation stays in the room.</w:t>
      </w:r>
      <w:r>
        <w:t>)</w:t>
      </w:r>
    </w:p>
    <w:p w14:paraId="32F59415" w14:textId="77777777" w:rsidR="000F02B1" w:rsidRPr="00DC706A" w:rsidRDefault="000F02B1" w:rsidP="000F02B1">
      <w:pPr>
        <w:rPr>
          <w:b/>
          <w:bCs/>
        </w:rPr>
      </w:pPr>
      <w:r>
        <w:t xml:space="preserve"> </w:t>
      </w:r>
      <w:r w:rsidRPr="00DC706A">
        <w:rPr>
          <w:b/>
          <w:bCs/>
        </w:rPr>
        <w:t>Cost-effective solutions that avoid the legal fees associated with litigation</w:t>
      </w:r>
    </w:p>
    <w:p w14:paraId="123EC173" w14:textId="77777777" w:rsidR="000F02B1" w:rsidRDefault="000F02B1" w:rsidP="000F02B1">
      <w:r w:rsidRPr="00DC706A">
        <w:t>Going to court is expensive because of lawyer fees, long processes, and paperwork.</w:t>
      </w:r>
      <w:r w:rsidRPr="00DC706A">
        <w:br/>
        <w:t xml:space="preserve">Mediation is usually much </w:t>
      </w:r>
      <w:r w:rsidRPr="00DC706A">
        <w:rPr>
          <w:b/>
          <w:bCs/>
        </w:rPr>
        <w:t>cheaper</w:t>
      </w:r>
      <w:r w:rsidRPr="00DC706A">
        <w:t>, so people and businesses save money</w:t>
      </w:r>
    </w:p>
    <w:p w14:paraId="0C9007C3" w14:textId="77777777" w:rsidR="000F02B1" w:rsidRDefault="000F02B1" w:rsidP="000F02B1">
      <w:pPr>
        <w:rPr>
          <w:b/>
          <w:bCs/>
        </w:rPr>
      </w:pPr>
      <w:r>
        <w:t xml:space="preserve"> </w:t>
      </w:r>
      <w:r w:rsidRPr="00DC706A">
        <w:rPr>
          <w:b/>
          <w:bCs/>
        </w:rPr>
        <w:t>Timely outcomes to prevent disruptions in personal lives or business operations</w:t>
      </w:r>
    </w:p>
    <w:p w14:paraId="0C86730C" w14:textId="77777777" w:rsidR="000F02B1" w:rsidRDefault="000F02B1" w:rsidP="000F02B1">
      <w:r>
        <w:t xml:space="preserve">In this case mediator just takes hour or few </w:t>
      </w:r>
      <w:proofErr w:type="gramStart"/>
      <w:r>
        <w:t>week</w:t>
      </w:r>
      <w:proofErr w:type="gramEnd"/>
      <w:r>
        <w:t xml:space="preserve"> which will help </w:t>
      </w:r>
    </w:p>
    <w:p w14:paraId="1CF85779" w14:textId="77777777" w:rsidR="000F02B1" w:rsidRPr="007C7911" w:rsidRDefault="000F02B1" w:rsidP="000F02B1">
      <w:r>
        <w:lastRenderedPageBreak/>
        <w:t xml:space="preserve">1 </w:t>
      </w:r>
      <w:r w:rsidRPr="007C7911">
        <w:t>family move on</w:t>
      </w:r>
    </w:p>
    <w:p w14:paraId="7E4074B3" w14:textId="77777777" w:rsidR="000F02B1" w:rsidRPr="007C7911" w:rsidRDefault="000F02B1" w:rsidP="000F02B1">
      <w:r>
        <w:t xml:space="preserve">2 </w:t>
      </w:r>
      <w:r w:rsidRPr="007C7911">
        <w:t>businesses avoid delays</w:t>
      </w:r>
    </w:p>
    <w:p w14:paraId="09C9FCA1" w14:textId="77777777" w:rsidR="000F02B1" w:rsidRPr="007C7911" w:rsidRDefault="000F02B1" w:rsidP="000F02B1">
      <w:r>
        <w:t>3</w:t>
      </w:r>
      <w:r w:rsidRPr="007C7911">
        <w:t xml:space="preserve"> both sides reduce stress and uncertainty</w:t>
      </w:r>
    </w:p>
    <w:p w14:paraId="24ED5ADF" w14:textId="77777777" w:rsidR="000F02B1" w:rsidRDefault="000F02B1" w:rsidP="000F02B1">
      <w:r>
        <w:t xml:space="preserve">This change in behavior creates a favorable environment for a specialized mediation service. </w:t>
      </w:r>
    </w:p>
    <w:p w14:paraId="40C3E132" w14:textId="77777777" w:rsidR="000F02B1" w:rsidRDefault="000F02B1" w:rsidP="000F02B1">
      <w:r>
        <w:t>For Diligence, the London market strongly aligns with its values of trust, neutrality, confidentiality, and professionalism. These qualities are exactly what clients, regulators, and business partners expect from modern Alternative Dispute Resolution services.</w:t>
      </w:r>
    </w:p>
    <w:p w14:paraId="35A3203E" w14:textId="77777777" w:rsidR="000F02B1" w:rsidRDefault="000F02B1" w:rsidP="000F02B1">
      <w:r>
        <w:t>As a result, Diligence is well-situated to operate in a market where demand is growing, government policies are supportive, and customer expectations align with the company’s identity and service model.</w:t>
      </w:r>
    </w:p>
    <w:p w14:paraId="4E18C5A3" w14:textId="77777777" w:rsidR="000F02B1" w:rsidRDefault="000F02B1" w:rsidP="000F02B1"/>
    <w:p w14:paraId="2762D343" w14:textId="77777777" w:rsidR="000F02B1" w:rsidRDefault="000F02B1" w:rsidP="004730E9">
      <w:pPr>
        <w:pStyle w:val="Heading2"/>
      </w:pPr>
      <w:bookmarkStart w:id="11" w:name="_Toc220883274"/>
      <w:r>
        <w:t>3.2 Target Market Segmentation &amp; Customer Profiles</w:t>
      </w:r>
      <w:bookmarkEnd w:id="11"/>
      <w:r>
        <w:t xml:space="preserve"> </w:t>
      </w:r>
    </w:p>
    <w:p w14:paraId="154F6B0A" w14:textId="77777777" w:rsidR="000F02B1" w:rsidRDefault="000F02B1" w:rsidP="000F02B1">
      <w:r w:rsidRPr="00A7258D">
        <w:rPr>
          <w:noProof/>
        </w:rPr>
        <w:drawing>
          <wp:inline distT="0" distB="0" distL="0" distR="0" wp14:anchorId="66958D31" wp14:editId="12567BBA">
            <wp:extent cx="5943600" cy="3115945"/>
            <wp:effectExtent l="0" t="0" r="0" b="8255"/>
            <wp:docPr id="1537280521" name="Picture 1" descr="A group of people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280521" name="Picture 1" descr="A group of people around a table&#10;&#10;AI-generated content may be incorrect."/>
                    <pic:cNvPicPr/>
                  </pic:nvPicPr>
                  <pic:blipFill>
                    <a:blip r:embed="rId11"/>
                    <a:stretch>
                      <a:fillRect/>
                    </a:stretch>
                  </pic:blipFill>
                  <pic:spPr>
                    <a:xfrm>
                      <a:off x="0" y="0"/>
                      <a:ext cx="5943600" cy="3115945"/>
                    </a:xfrm>
                    <a:prstGeom prst="rect">
                      <a:avLst/>
                    </a:prstGeom>
                  </pic:spPr>
                </pic:pic>
              </a:graphicData>
            </a:graphic>
          </wp:inline>
        </w:drawing>
      </w:r>
    </w:p>
    <w:p w14:paraId="22CA0CDE" w14:textId="77777777" w:rsidR="000F02B1" w:rsidRDefault="000F02B1" w:rsidP="000F02B1">
      <w:r>
        <w:t>1. People</w:t>
      </w:r>
    </w:p>
    <w:p w14:paraId="3C5C56E6" w14:textId="77777777" w:rsidR="000F02B1" w:rsidRDefault="000F02B1" w:rsidP="000F02B1">
      <w:r>
        <w:t xml:space="preserve">This group includes ordinary people in London trying to sort out personal disputes, such as family fallouts, </w:t>
      </w:r>
      <w:proofErr w:type="spellStart"/>
      <w:r>
        <w:t>neighbour</w:t>
      </w:r>
      <w:proofErr w:type="spellEnd"/>
      <w:r>
        <w:t xml:space="preserve"> issues, or breakdowns in communication. They are often seeking a calm and private environment to work out their issues without the pressure of court. They </w:t>
      </w:r>
      <w:r>
        <w:lastRenderedPageBreak/>
        <w:t>like mediation because it is respectful, confidential, and allows them to find a peaceful solution without exacerbating the conflict.</w:t>
      </w:r>
    </w:p>
    <w:p w14:paraId="387B87F4" w14:textId="77777777" w:rsidR="000F02B1" w:rsidRDefault="000F02B1" w:rsidP="000F02B1">
      <w:r>
        <w:t>2. Small and Medium-Sized Enterprises (SMEs)</w:t>
      </w:r>
    </w:p>
    <w:p w14:paraId="761B77B9" w14:textId="77777777" w:rsidR="000F02B1" w:rsidRDefault="000F02B1" w:rsidP="000F02B1">
      <w:r>
        <w:t>Common SME problems for London include disputes over contracts, disagreements among employees, or perhaps among partners. Such situations can disrupt the routine of work processes and shake working relationships. Mediation gives them a quick, professional, and neutral means of resolving business problems without investing heavily in legal costs or wasting precious time.</w:t>
      </w:r>
    </w:p>
    <w:p w14:paraId="5125022B" w14:textId="77777777" w:rsidR="000F02B1" w:rsidRDefault="000F02B1" w:rsidP="000F02B1">
      <w:r>
        <w:t xml:space="preserve">3. Landlords and Tenants </w:t>
      </w:r>
    </w:p>
    <w:p w14:paraId="13D10517" w14:textId="77777777" w:rsidR="000F02B1" w:rsidRDefault="000F02B1" w:rsidP="000F02B1">
      <w:r>
        <w:t>Disputes related to various issues, such as rent payments, deposit disagreements, or property conditions, may turn out to be quite stressful for both landlords and tenants due to London's immense and busy rental market. Mediation helps create a fair conversation where each party can explain their concerns and come to a mutual agreement as soon as possible, avoiding costly legal action.</w:t>
      </w:r>
    </w:p>
    <w:p w14:paraId="54BCF22F" w14:textId="77777777" w:rsidR="000F02B1" w:rsidRDefault="000F02B1" w:rsidP="000F02B1"/>
    <w:p w14:paraId="6FA3E311" w14:textId="77777777" w:rsidR="000F02B1" w:rsidRDefault="000F02B1" w:rsidP="000F02B1">
      <w:r>
        <w:t>4. Immigrant and Multicultural Communities</w:t>
      </w:r>
    </w:p>
    <w:p w14:paraId="7D4AF5E3" w14:textId="77777777" w:rsidR="000F02B1" w:rsidRDefault="000F02B1" w:rsidP="000F02B1">
      <w:r>
        <w:t>London's cultural diversity means that there are many people who come from backgrounds that may find the court system alien or even intimidating. These communities often favor neutral mediators who can clearly and respectfully communicate with them. In mediation, they find a safe, approachable venue where one can discuss conflicts in a cool manner without feeling overwhelmed.</w:t>
      </w:r>
    </w:p>
    <w:p w14:paraId="3FC80944" w14:textId="77777777" w:rsidR="000F02B1" w:rsidRDefault="000F02B1" w:rsidP="004730E9">
      <w:r>
        <w:t xml:space="preserve">Targeting </w:t>
      </w:r>
    </w:p>
    <w:p w14:paraId="78183CA8" w14:textId="77777777" w:rsidR="000F02B1" w:rsidRDefault="000F02B1" w:rsidP="000F02B1">
      <w:r>
        <w:t>Diligence will primarily focus on individuals who want private, respectful help, SMEs needing fast and impartial solutions, and landlord–tenant disputes where demand is very high. It also aims to support English-speaking residents from diverse backgrounds who require clear mediation without complicated legal procedures.</w:t>
      </w:r>
    </w:p>
    <w:p w14:paraId="54DBF9C2" w14:textId="77777777" w:rsidR="000F02B1" w:rsidRDefault="000F02B1" w:rsidP="004730E9">
      <w:r>
        <w:t xml:space="preserve">Positioning </w:t>
      </w:r>
    </w:p>
    <w:p w14:paraId="0946FEFA" w14:textId="6AFF3723" w:rsidR="000F02B1" w:rsidRDefault="000F02B1" w:rsidP="000F02B1">
      <w:r>
        <w:t>With Diligence, the positioning is that of a calm, trustworthy, and professional mediation service based in London. Business aspires to appear supportive yet neutral to guide people in working out their conflicts with fairness, clarity, and dignity. This reflects Diligence's brand personality, which is calm, authoritative, reassuring, minimalist, and always approachable.</w:t>
      </w:r>
    </w:p>
    <w:p w14:paraId="03B070AD" w14:textId="77777777" w:rsidR="000F02B1" w:rsidRDefault="000F02B1" w:rsidP="000F02B1">
      <w:pPr>
        <w:pStyle w:val="Heading2"/>
      </w:pPr>
    </w:p>
    <w:p w14:paraId="22DF5023" w14:textId="77777777" w:rsidR="000F02B1" w:rsidRDefault="000F02B1" w:rsidP="000F02B1">
      <w:pPr>
        <w:pStyle w:val="Heading2"/>
      </w:pPr>
      <w:bookmarkStart w:id="12" w:name="_Toc220883275"/>
      <w:r>
        <w:t>3.3 Customer Needs and Demand Diligence - London Market</w:t>
      </w:r>
      <w:bookmarkEnd w:id="12"/>
    </w:p>
    <w:p w14:paraId="6C122225" w14:textId="77777777" w:rsidR="000F02B1" w:rsidRDefault="000F02B1" w:rsidP="000F02B1">
      <w:r>
        <w:t xml:space="preserve">With the time, cost, and stress involved, there is an increasing demand </w:t>
      </w:r>
      <w:proofErr w:type="gramStart"/>
      <w:r>
        <w:t>by</w:t>
      </w:r>
      <w:proofErr w:type="gramEnd"/>
      <w:r>
        <w:t xml:space="preserve"> London clients for alternatives to going to court. Diligence meets such demands through structured, professional, and confidential mediation services. Below is a detailed analysis of customer needs:</w:t>
      </w:r>
    </w:p>
    <w:p w14:paraId="0EB4DC52" w14:textId="77777777" w:rsidR="000F02B1" w:rsidRDefault="000F02B1" w:rsidP="000F02B1"/>
    <w:p w14:paraId="4B74DCD4" w14:textId="77777777" w:rsidR="000F02B1" w:rsidRPr="00453CCF" w:rsidRDefault="000F02B1" w:rsidP="000F02B1">
      <w:pPr>
        <w:rPr>
          <w:b/>
          <w:bCs/>
        </w:rPr>
      </w:pPr>
      <w:r w:rsidRPr="00453CCF">
        <w:rPr>
          <w:b/>
          <w:bCs/>
        </w:rPr>
        <w:t>1. Confidentiality</w:t>
      </w:r>
    </w:p>
    <w:p w14:paraId="5D487CD7" w14:textId="77777777" w:rsidR="000F02B1" w:rsidRDefault="000F02B1" w:rsidP="000F02B1">
      <w:r>
        <w:t>There is a need for privacy among the clients in London in the resolution of disputes. The court proceedings are public events, and sometimes, personal, financial, or business information may be exposed. Diligence provides an environment that is confidential, where clients can speak openly without any reputational or financial consequences.</w:t>
      </w:r>
    </w:p>
    <w:p w14:paraId="40EA3D6A" w14:textId="77777777" w:rsidR="000F02B1" w:rsidRDefault="000F02B1" w:rsidP="000F02B1">
      <w:r>
        <w:t>Example: A corporate client with a family trust dispute needs discretion. Diligence means all discussions are private, protecting reputation and sensitive information.2</w:t>
      </w:r>
    </w:p>
    <w:p w14:paraId="7542E844" w14:textId="77777777" w:rsidR="000F02B1" w:rsidRDefault="000F02B1" w:rsidP="000F02B1"/>
    <w:p w14:paraId="22D573F6" w14:textId="77777777" w:rsidR="000F02B1" w:rsidRPr="00453CCF" w:rsidRDefault="000F02B1" w:rsidP="000F02B1">
      <w:pPr>
        <w:rPr>
          <w:b/>
          <w:bCs/>
        </w:rPr>
      </w:pPr>
      <w:r w:rsidRPr="00453CCF">
        <w:rPr>
          <w:b/>
          <w:bCs/>
        </w:rPr>
        <w:t>2. Cost-Effectiveness</w:t>
      </w:r>
    </w:p>
    <w:p w14:paraId="71CE7690" w14:textId="77777777" w:rsidR="000F02B1" w:rsidRDefault="000F02B1" w:rsidP="000F02B1">
      <w:r>
        <w:t>The litigation process is costly in terms of legal fees, court charges, and delays. Many clients, particularly SMEs and individuals, want mediation because it may be a less costly process. Diligence can provide professional mediation at lower costs, thus offering strong value at no compromise on quality and reliability.</w:t>
      </w:r>
    </w:p>
    <w:p w14:paraId="18A7561F" w14:textId="77777777" w:rsidR="000F02B1" w:rsidRDefault="000F02B1" w:rsidP="000F02B1">
      <w:r>
        <w:t>Example: An SME in dispute with a supplier avoids high legal fees by using Diligence and reaches a resolution quickly without affecting business relations.</w:t>
      </w:r>
    </w:p>
    <w:p w14:paraId="669F94A3" w14:textId="77777777" w:rsidR="000F02B1" w:rsidRDefault="000F02B1" w:rsidP="000F02B1"/>
    <w:p w14:paraId="131625F5" w14:textId="77777777" w:rsidR="000F02B1" w:rsidRDefault="000F02B1" w:rsidP="000F02B1">
      <w:r>
        <w:t xml:space="preserve"> </w:t>
      </w:r>
      <w:r w:rsidRPr="00453CCF">
        <w:rPr>
          <w:b/>
          <w:bCs/>
        </w:rPr>
        <w:t>Professionalism</w:t>
      </w:r>
      <w:r>
        <w:t xml:space="preserve"> and Compliance Mediation clients, especially those from financial institutions, demand the highest standards of professionalism and compliance in mediation services. Diligence follows UK civil mediation frameworks and best practices, ensuring all outcomes are legally sound and ethically managed.</w:t>
      </w:r>
    </w:p>
    <w:p w14:paraId="53BADB54" w14:textId="77777777" w:rsidR="000F02B1" w:rsidRDefault="000F02B1" w:rsidP="000F02B1">
      <w:r>
        <w:t xml:space="preserve"> Example: A bank refers to a client to Diligence, confident that all procedures are documented, compliant, and aligned with regulatory requirements. </w:t>
      </w:r>
    </w:p>
    <w:p w14:paraId="427D0F9D" w14:textId="77777777" w:rsidR="000F02B1" w:rsidRDefault="000F02B1" w:rsidP="000F02B1">
      <w:r>
        <w:t xml:space="preserve"> </w:t>
      </w:r>
      <w:r w:rsidRPr="00453CCF">
        <w:rPr>
          <w:b/>
          <w:bCs/>
        </w:rPr>
        <w:t>Empathy</w:t>
      </w:r>
      <w:r>
        <w:t xml:space="preserve"> and Support Disputes are emotional, and clients appreciate mediators showing an understanding of their feelings while keeping professionalism. Diligence emphasizes </w:t>
      </w:r>
      <w:r>
        <w:lastRenderedPageBreak/>
        <w:t>empathy by making clients feel heard and their dignity respected, thus increasing the possibility of durable agreements. Example: A dispute over property inheritance among family members is handled with tact and consideration to individual feelings throughout the process. Overview Diligence meets the key requirements of London clients for confidentiality, neutrality, speed, affordability, professionalism, and empathy. Individuals, SMEs, landlords, tenants, and multicultural communities appreciate this approach as an effective, respectful alternative to court. With its value proposition, Diligence creates a foundation for trust and reliability as a mediation partner for clients and financial institutions.</w:t>
      </w:r>
    </w:p>
    <w:p w14:paraId="52CCDBAA" w14:textId="77777777" w:rsidR="000F02B1" w:rsidRDefault="000F02B1" w:rsidP="000F02B1"/>
    <w:p w14:paraId="1813FC9A" w14:textId="77777777" w:rsidR="000F02B1" w:rsidRDefault="000F02B1" w:rsidP="000F02B1"/>
    <w:p w14:paraId="51CE4C61" w14:textId="77777777" w:rsidR="000F02B1" w:rsidRDefault="000F02B1" w:rsidP="000F02B1">
      <w:pPr>
        <w:pStyle w:val="Heading2"/>
      </w:pPr>
      <w:bookmarkStart w:id="13" w:name="_Toc220883276"/>
      <w:r>
        <w:t>3.4 Competitive Analysis</w:t>
      </w:r>
      <w:bookmarkEnd w:id="13"/>
    </w:p>
    <w:p w14:paraId="7254F40F" w14:textId="77777777" w:rsidR="000F02B1" w:rsidRPr="00136A42" w:rsidRDefault="000F02B1" w:rsidP="000F02B1">
      <w:pPr>
        <w:rPr>
          <w:b/>
          <w:bCs/>
        </w:rPr>
      </w:pPr>
      <w:r w:rsidRPr="00136A42">
        <w:rPr>
          <w:b/>
          <w:bCs/>
        </w:rPr>
        <w:t xml:space="preserve">Overview </w:t>
      </w:r>
    </w:p>
    <w:p w14:paraId="4023E6F3" w14:textId="77777777" w:rsidR="000F02B1" w:rsidRDefault="000F02B1" w:rsidP="000F02B1">
      <w:r>
        <w:t>The London mediation market is fiercely competitive, with independent mediators, law firms offering mediation services, specialist mediation centers, and accredited practitioners regulated under UK frameworks such as the Civil Mediation Council. Many competitors have well-established reputations, long-standing client bases, and strong networks in legal and corporate sectors. However, there is increasing demand for mediation services that are efficient, confidential, and empathetic, particularly for clients connected to financial institutions.</w:t>
      </w:r>
    </w:p>
    <w:p w14:paraId="3C5FC9BA" w14:textId="77777777" w:rsidR="000F02B1" w:rsidRPr="00136A42" w:rsidRDefault="000F02B1" w:rsidP="000F02B1">
      <w:pPr>
        <w:rPr>
          <w:b/>
          <w:bCs/>
        </w:rPr>
      </w:pPr>
      <w:r>
        <w:t xml:space="preserve"> </w:t>
      </w:r>
      <w:r w:rsidRPr="00136A42">
        <w:rPr>
          <w:b/>
          <w:bCs/>
        </w:rPr>
        <w:t>Competitor Strengths</w:t>
      </w:r>
    </w:p>
    <w:p w14:paraId="41CAA90E" w14:textId="77777777" w:rsidR="000F02B1" w:rsidRDefault="000F02B1" w:rsidP="000F02B1">
      <w:r>
        <w:t xml:space="preserve">Some advantages clearly lie with </w:t>
      </w:r>
      <w:proofErr w:type="gramStart"/>
      <w:r>
        <w:t>a number of</w:t>
      </w:r>
      <w:proofErr w:type="gramEnd"/>
      <w:r>
        <w:t xml:space="preserve"> London mediators and firms. Well-established mediation firms and centers bring a long history, sometimes decades, of experience and credibility in civil, commercial, or family mediation. Law firms offering mediation can link their legal advice with the process of mediation, which is very appealing to some clients. Most competitors have extensive networks, including referrals from lawyers, corporate clients, and community organizations. Such strengths make them trusted options for clients wanting conventional or legally integrated </w:t>
      </w:r>
      <w:proofErr w:type="gramStart"/>
      <w:r>
        <w:t>mediation.(</w:t>
      </w:r>
      <w:proofErr w:type="gramEnd"/>
      <w:r>
        <w:t xml:space="preserve"> like ADR </w:t>
      </w:r>
      <w:proofErr w:type="spellStart"/>
      <w:proofErr w:type="gramStart"/>
      <w:r>
        <w:t>group,London</w:t>
      </w:r>
      <w:proofErr w:type="spellEnd"/>
      <w:proofErr w:type="gramEnd"/>
      <w:r>
        <w:t xml:space="preserve"> mediation and calm mediation.</w:t>
      </w:r>
    </w:p>
    <w:p w14:paraId="16C458AD" w14:textId="77777777" w:rsidR="000F02B1" w:rsidRDefault="000F02B1" w:rsidP="000F02B1"/>
    <w:p w14:paraId="058AAF7B" w14:textId="77777777" w:rsidR="000F02B1" w:rsidRDefault="000F02B1" w:rsidP="000F02B1">
      <w:r w:rsidRPr="009228EA">
        <w:rPr>
          <w:b/>
          <w:bCs/>
        </w:rPr>
        <w:t>Gaps in the Market</w:t>
      </w:r>
    </w:p>
    <w:p w14:paraId="347AB1DD" w14:textId="77777777" w:rsidR="000F02B1" w:rsidRDefault="000F02B1" w:rsidP="000F02B1">
      <w:r>
        <w:t xml:space="preserve">Notwithstanding this competition, there are </w:t>
      </w:r>
      <w:proofErr w:type="gramStart"/>
      <w:r>
        <w:t>a number of</w:t>
      </w:r>
      <w:proofErr w:type="gramEnd"/>
      <w:r>
        <w:t xml:space="preserve"> gaps that Diligence can fill: many mediators are very legally focused and provide little in the way of empathy or emotional </w:t>
      </w:r>
      <w:r>
        <w:lastRenderedPageBreak/>
        <w:t>support for their client's needs; many services have solutions that are complicated with lots of legal terminology and processes that may overwhelm an individual or SME. Finally, few competitors are specifically set up to work with corporate partners or financial institutions, and many do not have professional branding that conveys ethical standards, neutrality, and a calm, authoritative presence.</w:t>
      </w:r>
    </w:p>
    <w:p w14:paraId="62063D41" w14:textId="77777777" w:rsidR="000F02B1" w:rsidRDefault="000F02B1" w:rsidP="000F02B1"/>
    <w:p w14:paraId="2468DBE1" w14:textId="77777777" w:rsidR="000F02B1" w:rsidRPr="009228EA" w:rsidRDefault="000F02B1" w:rsidP="000F02B1">
      <w:pPr>
        <w:rPr>
          <w:b/>
          <w:bCs/>
        </w:rPr>
      </w:pPr>
      <w:r>
        <w:t xml:space="preserve"> </w:t>
      </w:r>
      <w:r w:rsidRPr="009228EA">
        <w:rPr>
          <w:b/>
          <w:bCs/>
        </w:rPr>
        <w:t>Diligence's Competitive Advantage</w:t>
      </w:r>
    </w:p>
    <w:p w14:paraId="65C8047A" w14:textId="77777777" w:rsidR="000F02B1" w:rsidRDefault="000F02B1" w:rsidP="000F02B1">
      <w:r>
        <w:t xml:space="preserve">What makes Diligence stand out is its combination of professionalism, empathy, and operational excellence. The mediators maintain neutrality but make clients feel heard and respected. Practices are tailored to fit the expectations of the financial institutions </w:t>
      </w:r>
      <w:proofErr w:type="gramStart"/>
      <w:r>
        <w:t>with regard to</w:t>
      </w:r>
      <w:proofErr w:type="gramEnd"/>
      <w:r>
        <w:t xml:space="preserve"> strict compliance, confidentiality, and documentation. The process is both structured and client-friendly, minimizing stress for individuals, SMEs, landlords, tenants, and multicultural communities. Ethical conduct, fairness, and trust form the core of the brand, making Diligence preferred both in terms of results and for a good mediation experience.</w:t>
      </w:r>
    </w:p>
    <w:p w14:paraId="4560AFEF" w14:textId="77777777" w:rsidR="000F02B1" w:rsidRDefault="000F02B1" w:rsidP="000F02B1"/>
    <w:p w14:paraId="294A4814" w14:textId="77777777" w:rsidR="000F02B1" w:rsidRDefault="000F02B1" w:rsidP="000F02B1">
      <w:r w:rsidRPr="009228EA">
        <w:rPr>
          <w:b/>
          <w:bCs/>
        </w:rPr>
        <w:t>Market Opportunity</w:t>
      </w:r>
      <w:r>
        <w:t xml:space="preserve"> Increasing demand in London for faster, cost-effective, and private means of conflict resolution </w:t>
      </w:r>
      <w:proofErr w:type="gramStart"/>
      <w:r>
        <w:t>opens up</w:t>
      </w:r>
      <w:proofErr w:type="gramEnd"/>
      <w:r>
        <w:t xml:space="preserve"> opportunities for Diligence. Most competitors have legal-heavy or niche mediation services. This opens the window for Diligence to clearly differentiate itself by providing empathetic, highly professional services tailored to a client base that values confidentiality, trust, and alignment with corporate standards. Indeed, it positions the firm to capture both private and corporate clients looking for quality, reliable mediation.</w:t>
      </w:r>
    </w:p>
    <w:p w14:paraId="21BC0275" w14:textId="77777777" w:rsidR="000F02B1" w:rsidRPr="00A7258D" w:rsidRDefault="000F02B1" w:rsidP="000F02B1">
      <w:pPr>
        <w:pStyle w:val="Heading2"/>
      </w:pPr>
      <w:bookmarkStart w:id="14" w:name="_Toc220883277"/>
      <w:r w:rsidRPr="00A7258D">
        <w:t>3.5 Validation techniques</w:t>
      </w:r>
      <w:bookmarkEnd w:id="14"/>
    </w:p>
    <w:p w14:paraId="44B6F827" w14:textId="77777777" w:rsidR="000F02B1" w:rsidRDefault="000F02B1" w:rsidP="000F02B1"/>
    <w:p w14:paraId="3A5ACC1B" w14:textId="77777777" w:rsidR="000F02B1" w:rsidRDefault="000F02B1" w:rsidP="000F02B1">
      <w:r>
        <w:t>Prior to full-scale operation, Diligence can validate the demand for its market with the use of:</w:t>
      </w:r>
    </w:p>
    <w:p w14:paraId="4854FCC7" w14:textId="77777777" w:rsidR="000F02B1" w:rsidRDefault="000F02B1" w:rsidP="000F02B1">
      <w:r>
        <w:t>Interviews: Engaging potential clients, from corporate legal departments and SMEs to private individuals, about their pain points and preferences.</w:t>
      </w:r>
    </w:p>
    <w:p w14:paraId="5BC38351" w14:textId="77777777" w:rsidR="000F02B1" w:rsidRDefault="000F02B1" w:rsidP="000F02B1">
      <w:r>
        <w:t>Online Surveys: It will gauge the interest of corporate and individual clients in mediation regarding contractual, workplace, family, or property disputes.</w:t>
      </w:r>
    </w:p>
    <w:p w14:paraId="4A4DC23C" w14:textId="77777777" w:rsidR="000F02B1" w:rsidRDefault="000F02B1" w:rsidP="000F02B1">
      <w:r>
        <w:lastRenderedPageBreak/>
        <w:t xml:space="preserve">Pilot Sessions: Providing sample mediation sessions to a few clients </w:t>
      </w:r>
      <w:proofErr w:type="gramStart"/>
      <w:r>
        <w:t>in order to</w:t>
      </w:r>
      <w:proofErr w:type="gramEnd"/>
      <w:r>
        <w:t xml:space="preserve"> test processes, obtain feedback, and showcase professionalism to upscale clients such as banks.</w:t>
      </w:r>
    </w:p>
    <w:p w14:paraId="30760729" w14:textId="77777777" w:rsidR="000F02B1" w:rsidRDefault="000F02B1" w:rsidP="000F02B1">
      <w:r>
        <w:t xml:space="preserve">Website/Landing Page Testing: Track inquiries or requests for consultations </w:t>
      </w:r>
      <w:proofErr w:type="gramStart"/>
      <w:r>
        <w:t>as a way to</w:t>
      </w:r>
      <w:proofErr w:type="gramEnd"/>
      <w:r>
        <w:t xml:space="preserve"> gauge interest before investing in full marketing campaigns.</w:t>
      </w:r>
    </w:p>
    <w:p w14:paraId="289D255F" w14:textId="77777777" w:rsidR="000F02B1" w:rsidRDefault="000F02B1" w:rsidP="000F02B1">
      <w:r>
        <w:t>Networking with Legal Professionals: This involves understanding referral opportunities, competitor offerings, and market gaps through partnerships with law firms and industry associations.</w:t>
      </w:r>
    </w:p>
    <w:p w14:paraId="2FAF7691" w14:textId="77777777" w:rsidR="000F02B1" w:rsidRDefault="000F02B1" w:rsidP="000F02B1">
      <w:pPr>
        <w:pStyle w:val="Heading2"/>
      </w:pPr>
    </w:p>
    <w:p w14:paraId="79647655" w14:textId="77777777" w:rsidR="000F02B1" w:rsidRDefault="000F02B1" w:rsidP="000F02B1">
      <w:pPr>
        <w:pStyle w:val="Heading2"/>
      </w:pPr>
      <w:bookmarkStart w:id="15" w:name="_Toc220883278"/>
      <w:r>
        <w:t xml:space="preserve">3.6 </w:t>
      </w:r>
      <w:proofErr w:type="spellStart"/>
      <w:r>
        <w:t>Labour</w:t>
      </w:r>
      <w:proofErr w:type="spellEnd"/>
      <w:r>
        <w:t xml:space="preserve"> and Government Support</w:t>
      </w:r>
      <w:bookmarkEnd w:id="15"/>
      <w:r>
        <w:t xml:space="preserve"> </w:t>
      </w:r>
    </w:p>
    <w:p w14:paraId="1E1C9D08" w14:textId="77777777" w:rsidR="000F02B1" w:rsidRDefault="000F02B1" w:rsidP="000F02B1"/>
    <w:p w14:paraId="4AC10303" w14:textId="77777777" w:rsidR="000F02B1" w:rsidRDefault="000F02B1" w:rsidP="000F02B1">
      <w:r>
        <w:t>With its robust professional and regulatory environment, the mediation sector in London provides a perfect fit for Diligence's operations. The UK government is very keen on encouraging Alternative Dispute Resolution to ease the caseload pressure that normally characterizes the courts in litigating civil, family, and commercial disputes. This rationale significantly applies to corporate clients, such as banks, financial institutions, and SMEs, in pursuit of effective, confidential, and neutral dispute resolution mechanisms.</w:t>
      </w:r>
    </w:p>
    <w:p w14:paraId="583A3A2C" w14:textId="77777777" w:rsidR="000F02B1" w:rsidRDefault="000F02B1" w:rsidP="000F02B1">
      <w:r>
        <w:t>The Civil Mediation Council (CMC) provides a system of accreditation, standards, and guidance for mediators in England and Wales. Diligence will adhere to the CMC standards, ensuring that its professional and legal standards are maintained to handle sensitive corporate or high-profile cases. Accreditation enhances credibility and reassures clients that their disputes are being handled professionally and impartially.</w:t>
      </w:r>
    </w:p>
    <w:p w14:paraId="5E049662" w14:textId="77777777" w:rsidR="000F02B1" w:rsidRDefault="000F02B1" w:rsidP="000F02B1">
      <w:r>
        <w:t xml:space="preserve">London offers </w:t>
      </w:r>
      <w:proofErr w:type="gramStart"/>
      <w:r>
        <w:t>the</w:t>
      </w:r>
      <w:proofErr w:type="gramEnd"/>
      <w:r>
        <w:t xml:space="preserve"> skilled labor pool of trained mediators, legal administrators, and paralegals, along with bilingual support staff, to assist in intricate disputes between financial institutions, commercial clients, and individuals. This ensures that Diligence can maintain high-quality service and operational efficiency.</w:t>
      </w:r>
    </w:p>
    <w:p w14:paraId="2850B149" w14:textId="77777777" w:rsidR="000F02B1" w:rsidRDefault="000F02B1" w:rsidP="000F02B1">
      <w:r>
        <w:t>The UK business support ecosystem offers resources, grants, and guidance for startups. These allow Diligence to invest in the training of personnel, infrastructure, and compliance measures, supporting sustainable growth along with professional operations.</w:t>
      </w:r>
    </w:p>
    <w:p w14:paraId="41840FF6" w14:textId="77777777" w:rsidR="000F02B1" w:rsidRDefault="000F02B1" w:rsidP="000F02B1">
      <w:r>
        <w:t>Legal Structure</w:t>
      </w:r>
    </w:p>
    <w:p w14:paraId="7B08E7D7" w14:textId="77777777" w:rsidR="000F02B1" w:rsidRDefault="000F02B1" w:rsidP="000F02B1">
      <w:r>
        <w:t>Operating as a Private Limited Company (Ltd) is the most suitable option for Diligence:</w:t>
      </w:r>
    </w:p>
    <w:p w14:paraId="3652F6E4" w14:textId="77777777" w:rsidR="000F02B1" w:rsidRDefault="000F02B1" w:rsidP="000F02B1">
      <w:r>
        <w:t>Provides liability protection, necessary in the handling of sensitive and high-value disputes.</w:t>
      </w:r>
    </w:p>
    <w:p w14:paraId="679F5FC3" w14:textId="77777777" w:rsidR="000F02B1" w:rsidRDefault="000F02B1" w:rsidP="000F02B1">
      <w:r>
        <w:lastRenderedPageBreak/>
        <w:t>Signals professionalism and compliance to corporate and financial clients.</w:t>
      </w:r>
    </w:p>
    <w:p w14:paraId="241CE3CD" w14:textId="77777777" w:rsidR="000F02B1" w:rsidRDefault="000F02B1" w:rsidP="000F02B1">
      <w:r>
        <w:t>Scalability is possible by growing a skilled workforce and expanding service offerings while not compromising on governance and accountability.</w:t>
      </w:r>
    </w:p>
    <w:p w14:paraId="3B5754FB" w14:textId="2A42DEFD" w:rsidR="000F02B1" w:rsidRDefault="000F02B1" w:rsidP="000F02B1">
      <w:r>
        <w:t xml:space="preserve">Government guidance, professional standards, a skilled workforce, and appropriate legal structure all </w:t>
      </w:r>
      <w:proofErr w:type="gramStart"/>
      <w:r>
        <w:t>combine</w:t>
      </w:r>
      <w:proofErr w:type="gramEnd"/>
      <w:r>
        <w:t xml:space="preserve"> to place Diligence in a prime position to offer confidential, professional, and efficient mediation services to individual and corporate clients </w:t>
      </w:r>
      <w:proofErr w:type="gramStart"/>
      <w:r>
        <w:t>alike</w:t>
      </w:r>
      <w:proofErr w:type="gramEnd"/>
      <w:r>
        <w:t xml:space="preserve"> in London.</w:t>
      </w:r>
    </w:p>
    <w:p w14:paraId="2064060A" w14:textId="77777777" w:rsidR="000F02B1" w:rsidRDefault="000F02B1" w:rsidP="000F02B1"/>
    <w:p w14:paraId="534157F6" w14:textId="77777777" w:rsidR="000F02B1" w:rsidRDefault="000F02B1" w:rsidP="000F02B1">
      <w:pPr>
        <w:rPr>
          <w:rStyle w:val="Heading2Char"/>
        </w:rPr>
      </w:pPr>
      <w:bookmarkStart w:id="16" w:name="_Toc220883279"/>
      <w:r w:rsidRPr="00A7258D">
        <w:rPr>
          <w:rStyle w:val="Heading2Char"/>
        </w:rPr>
        <w:t>Summary</w:t>
      </w:r>
      <w:bookmarkEnd w:id="16"/>
    </w:p>
    <w:p w14:paraId="0CD858F4" w14:textId="77777777" w:rsidR="000F02B1" w:rsidRDefault="000F02B1" w:rsidP="000F02B1">
      <w:pPr>
        <w:jc w:val="center"/>
      </w:pPr>
      <w:r w:rsidRPr="00A7258D">
        <w:rPr>
          <w:noProof/>
        </w:rPr>
        <w:drawing>
          <wp:inline distT="0" distB="0" distL="0" distR="0" wp14:anchorId="1AD549C4" wp14:editId="037BAAB7">
            <wp:extent cx="4810125" cy="3287947"/>
            <wp:effectExtent l="0" t="0" r="0" b="8255"/>
            <wp:docPr id="23385453" name="Picture 1" descr="A group of people shak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5453" name="Picture 1" descr="A group of people shaking hands&#10;&#10;AI-generated content may be incorrect."/>
                    <pic:cNvPicPr/>
                  </pic:nvPicPr>
                  <pic:blipFill>
                    <a:blip r:embed="rId12"/>
                    <a:stretch>
                      <a:fillRect/>
                    </a:stretch>
                  </pic:blipFill>
                  <pic:spPr>
                    <a:xfrm>
                      <a:off x="0" y="0"/>
                      <a:ext cx="4858032" cy="3320693"/>
                    </a:xfrm>
                    <a:prstGeom prst="rect">
                      <a:avLst/>
                    </a:prstGeom>
                  </pic:spPr>
                </pic:pic>
              </a:graphicData>
            </a:graphic>
          </wp:inline>
        </w:drawing>
      </w:r>
    </w:p>
    <w:p w14:paraId="62D94149" w14:textId="77777777" w:rsidR="000F02B1" w:rsidRDefault="000F02B1" w:rsidP="000F02B1">
      <w:r>
        <w:t>Diligence operates within the prosperous London mediation market, where demand for fast, confidential, cost-effective dispute resolution is on an upward trajectory among individuals, SMEs, landlords, tenants, and corporate clients-including banks and financial institutions. The UK government's support for ADR, professional accreditation through the Civil Mediation Council, and access to a skilled workforce provide a solid ground for growth.</w:t>
      </w:r>
    </w:p>
    <w:p w14:paraId="7D2370E2" w14:textId="77777777" w:rsidR="000F02B1" w:rsidRDefault="000F02B1" w:rsidP="000F02B1">
      <w:r>
        <w:t xml:space="preserve">These would include neutrality, professionalism, confidentiality, and expediency, adding that each of the services offered is uniquely delivered in a calm, authoritative, yet empathetic manner. Diligence emphasizes trust, integrity, and accessibility to fill in the gaps that other companies cannot and provide service at the level corporate clients would </w:t>
      </w:r>
      <w:r>
        <w:lastRenderedPageBreak/>
        <w:t>expect. Validation of services through interviews, surveys, pilot sessions, and networking with legal professionals will ensure that the services on offer from Diligence are indeed appropriate for identified client needs. It is suited to sustainable growth with its appropriate legal structure-Private Limited Company-and professional governance. In sum, Diligence brings together market opportunity, regulatory support, professional service delivery, and corporate-focused reliability to provide principled, effective, and approachable mediation services in the competitive ADR landscape of London. This places it well to excel while serving individual and high-profile corporate clients with excellence.</w:t>
      </w:r>
    </w:p>
    <w:p w14:paraId="248ADBF4" w14:textId="77777777" w:rsidR="000F02B1" w:rsidRDefault="000F02B1" w:rsidP="00D27F3C">
      <w:pPr>
        <w:pStyle w:val="Heading1"/>
      </w:pPr>
    </w:p>
    <w:p w14:paraId="25947957" w14:textId="77777777" w:rsidR="00B02042" w:rsidRDefault="00B02042" w:rsidP="00B02042">
      <w:pPr>
        <w:pStyle w:val="Heading1"/>
      </w:pPr>
      <w:bookmarkStart w:id="17" w:name="_Toc220883280"/>
      <w:r>
        <w:t>Chapter 4: Marketing and Sales Strategy</w:t>
      </w:r>
      <w:bookmarkEnd w:id="17"/>
    </w:p>
    <w:p w14:paraId="4BFFBD18" w14:textId="77777777" w:rsidR="00B02042" w:rsidRDefault="00B02042" w:rsidP="00B02042"/>
    <w:p w14:paraId="2D062E4B" w14:textId="77777777" w:rsidR="00B02042" w:rsidRDefault="00B02042" w:rsidP="00B02042">
      <w:pPr>
        <w:pStyle w:val="Heading2"/>
      </w:pPr>
      <w:bookmarkStart w:id="18" w:name="_Toc220883281"/>
      <w:r>
        <w:t>4.1 Unique Selling Proposition</w:t>
      </w:r>
      <w:bookmarkEnd w:id="18"/>
    </w:p>
    <w:p w14:paraId="612AAE4A" w14:textId="77777777" w:rsidR="00B02042" w:rsidRDefault="00B02042" w:rsidP="00B02042"/>
    <w:p w14:paraId="3D6D2BD1" w14:textId="77777777" w:rsidR="00B02042" w:rsidRDefault="00B02042" w:rsidP="00B02042">
      <w:r>
        <w:t>A Unique Selling Proposition: This helps in establishing a clear reason why a customer should choose Diligence over other organizations. In a competitive marketplace like the modern world, it has become necessary to focus on differentiation.</w:t>
      </w:r>
    </w:p>
    <w:p w14:paraId="2036D016" w14:textId="77777777" w:rsidR="00B02042" w:rsidRDefault="00B02042" w:rsidP="00B02042">
      <w:r>
        <w:t>USP of Diligence consists of three integrated pillars:</w:t>
      </w:r>
    </w:p>
    <w:p w14:paraId="71D9A9B1" w14:textId="77777777" w:rsidR="00B02042" w:rsidRDefault="00B02042" w:rsidP="00B02042">
      <w:r>
        <w:t>1</w:t>
      </w:r>
      <w:r w:rsidRPr="00F47A30">
        <w:t xml:space="preserve"> </w:t>
      </w:r>
      <w:r>
        <w:t>Personalization</w:t>
      </w:r>
    </w:p>
    <w:p w14:paraId="464FD300" w14:textId="77777777" w:rsidR="00B02042" w:rsidRDefault="00B02042" w:rsidP="00B02042">
      <w:r>
        <w:t>In contrast to the standardized service providers, Diligence aims at addressing the specific needs of each customer. This builds greater perceived value and is supported by relationship marketing theory because the theory concentrates on long-run interaction and not on single transactions.</w:t>
      </w:r>
    </w:p>
    <w:p w14:paraId="7F5E8FD2" w14:textId="77777777" w:rsidR="00B02042" w:rsidRDefault="00B02042" w:rsidP="00B02042">
      <w:r>
        <w:t>2.Reliability</w:t>
      </w:r>
    </w:p>
    <w:p w14:paraId="69C06FE9" w14:textId="77777777" w:rsidR="00B02042" w:rsidRDefault="00B02042" w:rsidP="00B02042">
      <w:r>
        <w:t>Customers continue to appreciate trust, consistency, and openness. The trait of diligence meets this need in several ways. The trait promotes reliability in communication, performance, and ethics. The customers will therefore appreciate the reduced risk involved in working with the business. This will aid in the development of the customers.</w:t>
      </w:r>
    </w:p>
    <w:p w14:paraId="16922AF8" w14:textId="77777777" w:rsidR="00B02042" w:rsidRDefault="00B02042" w:rsidP="00B02042">
      <w:r>
        <w:t>3.Digital Convenience with Human Touch</w:t>
      </w:r>
    </w:p>
    <w:p w14:paraId="00872019" w14:textId="77777777" w:rsidR="00B02042" w:rsidRDefault="00B02042" w:rsidP="00B02042">
      <w:r>
        <w:lastRenderedPageBreak/>
        <w:t>Although many rivals are either fully digital-based or fully traditional, Diligence combines digital accessibility with human interactions in a unique way that gives a competitive edge to the business.</w:t>
      </w:r>
    </w:p>
    <w:p w14:paraId="5AE714CE" w14:textId="77777777" w:rsidR="00B02042" w:rsidRDefault="00B02042" w:rsidP="00B02042"/>
    <w:p w14:paraId="6E1605BD" w14:textId="77777777" w:rsidR="00B02042" w:rsidRDefault="00B02042" w:rsidP="00B02042">
      <w:pPr>
        <w:pStyle w:val="Heading2"/>
      </w:pPr>
      <w:bookmarkStart w:id="19" w:name="_Toc220883282"/>
      <w:r>
        <w:t>4.2 Branding and Position</w:t>
      </w:r>
      <w:bookmarkEnd w:id="19"/>
    </w:p>
    <w:p w14:paraId="5DE72655" w14:textId="77777777" w:rsidR="00B02042" w:rsidRPr="00F47A30" w:rsidRDefault="00B02042" w:rsidP="00B02042">
      <w:pPr>
        <w:rPr>
          <w:b/>
          <w:bCs/>
        </w:rPr>
      </w:pPr>
      <w:r w:rsidRPr="00F47A30">
        <w:rPr>
          <w:b/>
          <w:bCs/>
        </w:rPr>
        <w:t>Branding</w:t>
      </w:r>
    </w:p>
    <w:p w14:paraId="210F0321" w14:textId="77777777" w:rsidR="004730E9" w:rsidRDefault="00B02042" w:rsidP="00B02042">
      <w:r>
        <w:t>Branding involves more than a logo and colors; brand identity encompasses the overall customer perception of Diligence. Brand identity is constructed based on:</w:t>
      </w:r>
    </w:p>
    <w:p w14:paraId="17B2ED9C" w14:textId="020BFDAA" w:rsidR="00B02042" w:rsidRDefault="00B02042" w:rsidP="00B02042">
      <w:r>
        <w:t>Trust</w:t>
      </w:r>
    </w:p>
    <w:p w14:paraId="46524460" w14:textId="77777777" w:rsidR="00B02042" w:rsidRDefault="00B02042" w:rsidP="00B02042">
      <w:r>
        <w:t>Efficiency</w:t>
      </w:r>
    </w:p>
    <w:p w14:paraId="5D15F462" w14:textId="77777777" w:rsidR="00B02042" w:rsidRDefault="00B02042" w:rsidP="00B02042">
      <w:r>
        <w:t xml:space="preserve">Customer Care </w:t>
      </w:r>
    </w:p>
    <w:p w14:paraId="2E4D47D1" w14:textId="77777777" w:rsidR="00B02042" w:rsidRDefault="00B02042" w:rsidP="00B02042">
      <w:r>
        <w:t>Customer</w:t>
      </w:r>
    </w:p>
    <w:p w14:paraId="65C8EC33" w14:textId="77777777" w:rsidR="00B02042" w:rsidRDefault="00B02042" w:rsidP="00B02042">
      <w:r>
        <w:t>The name "Diligence" itself exudes a high level of precision and quality, underlining the strength of the company’s offering.</w:t>
      </w:r>
    </w:p>
    <w:p w14:paraId="681A411C" w14:textId="77777777" w:rsidR="00B02042" w:rsidRPr="00F47A30" w:rsidRDefault="00B02042" w:rsidP="00B02042">
      <w:pPr>
        <w:rPr>
          <w:b/>
          <w:bCs/>
        </w:rPr>
      </w:pPr>
      <w:r w:rsidRPr="00F47A30">
        <w:rPr>
          <w:b/>
          <w:bCs/>
        </w:rPr>
        <w:t>Positioning</w:t>
      </w:r>
    </w:p>
    <w:p w14:paraId="166700D7" w14:textId="77777777" w:rsidR="00B02042" w:rsidRDefault="00B02042" w:rsidP="00B02042">
      <w:r>
        <w:t>Using the perceptual mapping technique,</w:t>
      </w:r>
    </w:p>
    <w:p w14:paraId="4A857EA6" w14:textId="77777777" w:rsidR="00B02042" w:rsidRDefault="00B02042" w:rsidP="00B02042">
      <w:proofErr w:type="gramStart"/>
      <w:r>
        <w:t>High on</w:t>
      </w:r>
      <w:proofErr w:type="gramEnd"/>
      <w:r>
        <w:t xml:space="preserve"> quality</w:t>
      </w:r>
    </w:p>
    <w:p w14:paraId="7E588B9B" w14:textId="77777777" w:rsidR="00B02042" w:rsidRDefault="00B02042" w:rsidP="00B02042">
      <w:r>
        <w:t>Occurs moderately priced</w:t>
      </w:r>
    </w:p>
    <w:p w14:paraId="25F0A954" w14:textId="77777777" w:rsidR="00B02042" w:rsidRDefault="00B02042" w:rsidP="00B02042">
      <w:r>
        <w:t>As a result, it ends up between low-cost suppliers and high-cost suppliers, which can offer quality but are out of budget for cost-conscious customers.</w:t>
      </w:r>
    </w:p>
    <w:p w14:paraId="1C9CC446" w14:textId="77777777" w:rsidR="00B02042" w:rsidRDefault="00B02042" w:rsidP="00B02042">
      <w:r>
        <w:t>TARGET MARKET ALIGNMENT</w:t>
      </w:r>
    </w:p>
    <w:p w14:paraId="55AAF140" w14:textId="77777777" w:rsidR="00B02042" w:rsidRDefault="00B02042" w:rsidP="00B02042">
      <w:r>
        <w:t>This positioning strongly appeals to:</w:t>
      </w:r>
    </w:p>
    <w:p w14:paraId="19F61026" w14:textId="77777777" w:rsidR="00B02042" w:rsidRDefault="00B02042" w:rsidP="00B02042">
      <w:r>
        <w:t>Young Professionals</w:t>
      </w:r>
    </w:p>
    <w:p w14:paraId="0FD64ADD" w14:textId="77777777" w:rsidR="00B02042" w:rsidRDefault="00B02042" w:rsidP="00B02042">
      <w:r>
        <w:t>Small and Medium-Sized Enterprises (SMEs</w:t>
      </w:r>
    </w:p>
    <w:p w14:paraId="2B02B795" w14:textId="77777777" w:rsidR="00B02042" w:rsidRDefault="00B02042" w:rsidP="00B02042">
      <w:r>
        <w:t>Customers wanting quality without high prices</w:t>
      </w:r>
    </w:p>
    <w:p w14:paraId="2249AAEB" w14:textId="77777777" w:rsidR="00B02042" w:rsidRDefault="00B02042" w:rsidP="00B02042">
      <w:bookmarkStart w:id="20" w:name="_Toc220883283"/>
      <w:r w:rsidRPr="00F47A30">
        <w:rPr>
          <w:rStyle w:val="Heading2Char"/>
        </w:rPr>
        <w:t>4.3 Marketing Mix (7Ps)</w:t>
      </w:r>
      <w:bookmarkEnd w:id="20"/>
      <w:r>
        <w:t xml:space="preserve"> </w:t>
      </w:r>
    </w:p>
    <w:p w14:paraId="7F2EC066" w14:textId="77777777" w:rsidR="00B02042" w:rsidRDefault="00B02042" w:rsidP="00B02042">
      <w:r>
        <w:t>Product</w:t>
      </w:r>
    </w:p>
    <w:p w14:paraId="3F9810C0" w14:textId="77777777" w:rsidR="00B02042" w:rsidRDefault="00B02042" w:rsidP="00B02042">
      <w:proofErr w:type="spellStart"/>
      <w:r>
        <w:lastRenderedPageBreak/>
        <w:t>Deligance</w:t>
      </w:r>
      <w:proofErr w:type="spellEnd"/>
      <w:r>
        <w:t xml:space="preserve"> provides intangible services, and the service experience is therefore just as important as the service itself.</w:t>
      </w:r>
    </w:p>
    <w:p w14:paraId="47C76DCA" w14:textId="77777777" w:rsidR="00B02042" w:rsidRDefault="00B02042" w:rsidP="00B02042">
      <w:r>
        <w:t>At Diligence:</w:t>
      </w:r>
    </w:p>
    <w:p w14:paraId="48CBC8A2" w14:textId="77777777" w:rsidR="00B02042" w:rsidRDefault="00B02042" w:rsidP="00B02042">
      <w:r>
        <w:t>Customization</w:t>
      </w:r>
    </w:p>
    <w:p w14:paraId="4A8DDCAF" w14:textId="77777777" w:rsidR="00B02042" w:rsidRDefault="00B02042" w:rsidP="00B02042">
      <w:r>
        <w:t>Reliability</w:t>
      </w:r>
    </w:p>
    <w:p w14:paraId="3F57F91F" w14:textId="77777777" w:rsidR="00B02042" w:rsidRDefault="00B02042" w:rsidP="00B02042">
      <w:r>
        <w:t>After-sales service</w:t>
      </w:r>
    </w:p>
    <w:p w14:paraId="4387D27B" w14:textId="77777777" w:rsidR="00B151E9" w:rsidRDefault="00B02042" w:rsidP="00B02042">
      <w:r>
        <w:t>are considered a part of the product.</w:t>
      </w:r>
    </w:p>
    <w:p w14:paraId="7C789A48" w14:textId="61E25947" w:rsidR="00B02042" w:rsidRDefault="00B02042" w:rsidP="00B02042">
      <w:r>
        <w:t>This fits the service-dominant logic because value is being co-created.</w:t>
      </w:r>
    </w:p>
    <w:p w14:paraId="2468CF3E" w14:textId="77777777" w:rsidR="00B02042" w:rsidRPr="00F47A30" w:rsidRDefault="00B02042" w:rsidP="00B02042">
      <w:pPr>
        <w:rPr>
          <w:b/>
          <w:bCs/>
        </w:rPr>
      </w:pPr>
      <w:r w:rsidRPr="00F47A30">
        <w:rPr>
          <w:b/>
          <w:bCs/>
        </w:rPr>
        <w:t>Price</w:t>
      </w:r>
    </w:p>
    <w:p w14:paraId="63E34DFF" w14:textId="77777777" w:rsidR="00B02042" w:rsidRDefault="00B02042" w:rsidP="00B02042">
      <w:r>
        <w:t>Diligence uses a value-based pricing method and not a cost-plus pricing method. Prices are determined by:</w:t>
      </w:r>
    </w:p>
    <w:p w14:paraId="22340CA0" w14:textId="77777777" w:rsidR="00B02042" w:rsidRDefault="00B02042" w:rsidP="00B02042">
      <w:r>
        <w:t>Perceived quality</w:t>
      </w:r>
    </w:p>
    <w:p w14:paraId="41D51990" w14:textId="77777777" w:rsidR="00B02042" w:rsidRDefault="00B02042" w:rsidP="00B02042">
      <w:r>
        <w:t>Service Reliability</w:t>
      </w:r>
    </w:p>
    <w:p w14:paraId="27426F13" w14:textId="77777777" w:rsidR="00B02042" w:rsidRDefault="00B02042" w:rsidP="00B02042">
      <w:r>
        <w:t>Customer experience</w:t>
      </w:r>
    </w:p>
    <w:p w14:paraId="3AABE380" w14:textId="77777777" w:rsidR="00B02042" w:rsidRDefault="00B02042" w:rsidP="00B02042">
      <w:r>
        <w:t>Introductory offers lower entry barriers for new customers, whereas bundled packages boost the average transaction value.</w:t>
      </w:r>
    </w:p>
    <w:p w14:paraId="6F4376CB" w14:textId="77777777" w:rsidR="00B02042" w:rsidRDefault="00B02042" w:rsidP="00B02042">
      <w:r>
        <w:t>This approach combines competitiveness and profitability.</w:t>
      </w:r>
    </w:p>
    <w:p w14:paraId="0A314D06" w14:textId="77777777" w:rsidR="00B02042" w:rsidRPr="000A43C2" w:rsidRDefault="00B02042" w:rsidP="00B02042">
      <w:pPr>
        <w:rPr>
          <w:b/>
          <w:bCs/>
        </w:rPr>
      </w:pPr>
      <w:r w:rsidRPr="000A43C2">
        <w:rPr>
          <w:b/>
          <w:bCs/>
        </w:rPr>
        <w:t>Place</w:t>
      </w:r>
    </w:p>
    <w:p w14:paraId="20649BA6" w14:textId="77777777" w:rsidR="00B02042" w:rsidRDefault="00B02042" w:rsidP="00B02042">
      <w:r>
        <w:t>The major focus is on digital platform delivery of the services, ensuring that:</w:t>
      </w:r>
    </w:p>
    <w:p w14:paraId="4EB3F92F" w14:textId="77777777" w:rsidR="00B02042" w:rsidRDefault="00B02042" w:rsidP="00B02042">
      <w:r>
        <w:t>Larger Geographic Distribution</w:t>
      </w:r>
    </w:p>
    <w:p w14:paraId="696B5DA8" w14:textId="77777777" w:rsidR="00B02042" w:rsidRDefault="00B02042" w:rsidP="00B02042">
      <w:r>
        <w:t>Reduced operational costs</w:t>
      </w:r>
    </w:p>
    <w:p w14:paraId="56F4F136" w14:textId="77777777" w:rsidR="00B02042" w:rsidRDefault="00B02042" w:rsidP="00B02042">
      <w:r>
        <w:t>Quick customer interaction</w:t>
      </w:r>
    </w:p>
    <w:p w14:paraId="0DD69623" w14:textId="77777777" w:rsidR="00B02042" w:rsidRPr="000A43C2" w:rsidRDefault="00B02042" w:rsidP="00B02042">
      <w:pPr>
        <w:rPr>
          <w:b/>
          <w:bCs/>
        </w:rPr>
      </w:pPr>
      <w:r w:rsidRPr="000A43C2">
        <w:rPr>
          <w:b/>
          <w:bCs/>
        </w:rPr>
        <w:t>Promotion</w:t>
      </w:r>
    </w:p>
    <w:p w14:paraId="7C4A774E" w14:textId="77777777" w:rsidR="00B02042" w:rsidRDefault="00B02042" w:rsidP="00B02042">
      <w:r>
        <w:t>Promotion emphasizes the concept of integrated marketing communications, wherein the message across different communication channels should be synchronized and consistent,</w:t>
      </w:r>
    </w:p>
    <w:p w14:paraId="4FCFED30" w14:textId="77777777" w:rsidR="00B02042" w:rsidRDefault="00B02042" w:rsidP="00B02042">
      <w:r>
        <w:t>Social Media Creates Awareness and Engagement</w:t>
      </w:r>
    </w:p>
    <w:p w14:paraId="76CB1C08" w14:textId="77777777" w:rsidR="00B02042" w:rsidRDefault="00B02042" w:rsidP="00B02042">
      <w:r>
        <w:lastRenderedPageBreak/>
        <w:t>There is widespread familiarity with</w:t>
      </w:r>
    </w:p>
    <w:p w14:paraId="68FF57B0" w14:textId="77777777" w:rsidR="00B02042" w:rsidRDefault="00B02042" w:rsidP="00B02042">
      <w:r>
        <w:t>SEO Enhances Long-term Visibility</w:t>
      </w:r>
    </w:p>
    <w:p w14:paraId="26D3F3A6" w14:textId="77777777" w:rsidR="00B02042" w:rsidRDefault="00B02042" w:rsidP="00B02042">
      <w:r>
        <w:t>Email marketing assists with retention.  |</w:t>
      </w:r>
    </w:p>
    <w:p w14:paraId="2C36F2AF" w14:textId="77777777" w:rsidR="00B02042" w:rsidRDefault="00B02042" w:rsidP="00B02042">
      <w:r>
        <w:t>Trust generation comes from referrals</w:t>
      </w:r>
    </w:p>
    <w:p w14:paraId="5308F313" w14:textId="77777777" w:rsidR="00B02042" w:rsidRPr="000A43C2" w:rsidRDefault="00B02042" w:rsidP="00B02042">
      <w:pPr>
        <w:rPr>
          <w:b/>
          <w:bCs/>
        </w:rPr>
      </w:pPr>
      <w:r w:rsidRPr="000A43C2">
        <w:rPr>
          <w:b/>
          <w:bCs/>
        </w:rPr>
        <w:t>People</w:t>
      </w:r>
    </w:p>
    <w:p w14:paraId="1961EF08" w14:textId="77777777" w:rsidR="00B02042" w:rsidRDefault="00B02042" w:rsidP="00B02042">
      <w:r>
        <w:t>In service-oriented companies, it is employees who carry on the branding. Diligence focuses on:</w:t>
      </w:r>
    </w:p>
    <w:p w14:paraId="5D1BB230" w14:textId="77777777" w:rsidR="00B02042" w:rsidRDefault="00B02042" w:rsidP="00B02042">
      <w:r>
        <w:t>Staff training</w:t>
      </w:r>
    </w:p>
    <w:p w14:paraId="0A8FC2B1" w14:textId="77777777" w:rsidR="00B02042" w:rsidRDefault="00B02042" w:rsidP="00B02042">
      <w:r>
        <w:t>Communication skills</w:t>
      </w:r>
    </w:p>
    <w:p w14:paraId="482CBF51" w14:textId="77777777" w:rsidR="00B02042" w:rsidRDefault="00B02042" w:rsidP="00B02042">
      <w:r>
        <w:t>Customer Empathy</w:t>
      </w:r>
    </w:p>
    <w:p w14:paraId="77B4570C" w14:textId="77777777" w:rsidR="00B02042" w:rsidRDefault="00B02042" w:rsidP="00B02042">
      <w:r>
        <w:t>Process</w:t>
      </w:r>
    </w:p>
    <w:p w14:paraId="5C7C5248" w14:textId="77777777" w:rsidR="00B02042" w:rsidRDefault="00B02042" w:rsidP="00B02042">
      <w:r>
        <w:t>Well-organized and efficient processes are known to stabilize services by minimizing variations and ensure that customers are not frustrated by inefficient services. The technology used</w:t>
      </w:r>
    </w:p>
    <w:p w14:paraId="286D75CA" w14:textId="77777777" w:rsidR="00B02042" w:rsidRDefault="00B02042" w:rsidP="00B02042"/>
    <w:p w14:paraId="0A4C93DD" w14:textId="77777777" w:rsidR="00B02042" w:rsidRPr="000A43C2" w:rsidRDefault="00B02042" w:rsidP="00B02042">
      <w:pPr>
        <w:rPr>
          <w:b/>
          <w:bCs/>
        </w:rPr>
      </w:pPr>
      <w:r w:rsidRPr="000A43C2">
        <w:rPr>
          <w:b/>
          <w:bCs/>
        </w:rPr>
        <w:t>Customer enquiry tracking</w:t>
      </w:r>
    </w:p>
    <w:p w14:paraId="36D131B8" w14:textId="77777777" w:rsidR="00B02042" w:rsidRDefault="00B02042" w:rsidP="00B02042">
      <w:r>
        <w:t>Manage the provision of the service</w:t>
      </w:r>
    </w:p>
    <w:p w14:paraId="126D2EAC" w14:textId="77777777" w:rsidR="00B02042" w:rsidRDefault="00B02042" w:rsidP="00B02042">
      <w:r>
        <w:t>Collect Feedback</w:t>
      </w:r>
    </w:p>
    <w:p w14:paraId="01A43343" w14:textId="77777777" w:rsidR="00B02042" w:rsidRDefault="00B02042" w:rsidP="00B02042">
      <w:r>
        <w:t>Physical Evidence</w:t>
      </w:r>
    </w:p>
    <w:p w14:paraId="134F3C5A" w14:textId="77777777" w:rsidR="00B02042" w:rsidRDefault="00B02042" w:rsidP="00B02042">
      <w:r>
        <w:t xml:space="preserve">Due to the intangible nature of services, customers make judgments of their quality </w:t>
      </w:r>
      <w:proofErr w:type="gramStart"/>
      <w:r>
        <w:t>on the basis of</w:t>
      </w:r>
      <w:proofErr w:type="gramEnd"/>
      <w:r>
        <w:t xml:space="preserve"> various signals. These include</w:t>
      </w:r>
    </w:p>
    <w:p w14:paraId="61CB0636" w14:textId="77777777" w:rsidR="00B02042" w:rsidRDefault="00B02042" w:rsidP="00B02042">
      <w:r>
        <w:t>Website design</w:t>
      </w:r>
    </w:p>
    <w:p w14:paraId="44BA2FD4" w14:textId="77777777" w:rsidR="00B02042" w:rsidRDefault="00B02042" w:rsidP="00B02042">
      <w:r>
        <w:t>Reviews and testimonials</w:t>
      </w:r>
    </w:p>
    <w:p w14:paraId="35C9B0E2" w14:textId="77777777" w:rsidR="00B02042" w:rsidRDefault="00B02042" w:rsidP="00B02042">
      <w:r>
        <w:t>Professional Documentation</w:t>
      </w:r>
    </w:p>
    <w:p w14:paraId="159391EA" w14:textId="77777777" w:rsidR="00B02042" w:rsidRPr="00F47A30" w:rsidRDefault="00B02042" w:rsidP="00B02042">
      <w:pPr>
        <w:pStyle w:val="Heading2"/>
      </w:pPr>
      <w:bookmarkStart w:id="21" w:name="_Toc220883284"/>
      <w:r w:rsidRPr="00F47A30">
        <w:t>4.4 Sales Channels</w:t>
      </w:r>
      <w:bookmarkEnd w:id="21"/>
    </w:p>
    <w:p w14:paraId="5951803E" w14:textId="77777777" w:rsidR="00B02042" w:rsidRDefault="00B02042" w:rsidP="00B02042">
      <w:r>
        <w:t xml:space="preserve">Sales channels in the mediation and legal support sector are quite different from consumer sales channels due to the greater reliance of clients’ choices on trust, urgency, confidentiality, and perceived credibility. In the London-based legal and business </w:t>
      </w:r>
      <w:r>
        <w:lastRenderedPageBreak/>
        <w:t>environment, parties seeking dispute resolution services are likely to prefer sales channels characterized by low risk.</w:t>
      </w:r>
    </w:p>
    <w:p w14:paraId="26B1BA3E" w14:textId="77777777" w:rsidR="00B02042" w:rsidRDefault="00B02042" w:rsidP="00B02042">
      <w:r>
        <w:t xml:space="preserve">Diligence uses a multi-channel approach for greater reach and for keeping professional integrity </w:t>
      </w:r>
      <w:proofErr w:type="gramStart"/>
      <w:r>
        <w:t>in tact</w:t>
      </w:r>
      <w:proofErr w:type="gramEnd"/>
      <w:r>
        <w:t xml:space="preserve"> as possible. It also helps the company deal with its clients when they are in a decision-making stage that varies for each one of them.</w:t>
      </w:r>
    </w:p>
    <w:p w14:paraId="0B42AFB3" w14:textId="77777777" w:rsidR="00B02042" w:rsidRDefault="00B02042" w:rsidP="00B02042">
      <w:r>
        <w:t xml:space="preserve">The main outlet through which </w:t>
      </w:r>
      <w:proofErr w:type="spellStart"/>
      <w:r>
        <w:t>Deligance</w:t>
      </w:r>
      <w:proofErr w:type="spellEnd"/>
      <w:r>
        <w:t xml:space="preserve"> conducts its business is its official website. The website not only serves as a contact point or a place of inquiry but also as a place of education. Through the website, clients are </w:t>
      </w:r>
      <w:proofErr w:type="gramStart"/>
      <w:r>
        <w:t>in a position</w:t>
      </w:r>
      <w:proofErr w:type="gramEnd"/>
      <w:r>
        <w:t xml:space="preserve"> to gain access to all sorts of information regarding the mediation procedures and payment structures.</w:t>
      </w:r>
    </w:p>
    <w:p w14:paraId="185B0AF8" w14:textId="77777777" w:rsidR="00B02042" w:rsidRDefault="00B02042" w:rsidP="00B02042">
      <w:r>
        <w:t xml:space="preserve">Professional referrals are a key secondary sales channel. The relationships </w:t>
      </w:r>
      <w:proofErr w:type="spellStart"/>
      <w:r>
        <w:t>Deligance</w:t>
      </w:r>
      <w:proofErr w:type="spellEnd"/>
      <w:r>
        <w:t xml:space="preserve"> has established with lawyers, HR consultants, accountants, property advisors, </w:t>
      </w:r>
      <w:proofErr w:type="spellStart"/>
      <w:r>
        <w:t>andhousing</w:t>
      </w:r>
      <w:proofErr w:type="spellEnd"/>
      <w:r>
        <w:t xml:space="preserve"> associations provide access to clients who already understand the need for dispute resolution services. The referral business model is successful for legal firms because of the large amount of trust that exists when a recommendation is made.</w:t>
      </w:r>
    </w:p>
    <w:p w14:paraId="77C0949F" w14:textId="77777777" w:rsidR="00B02042" w:rsidRDefault="00B02042" w:rsidP="00B02042">
      <w:proofErr w:type="spellStart"/>
      <w:r>
        <w:t>Deligance</w:t>
      </w:r>
      <w:proofErr w:type="spellEnd"/>
      <w:r>
        <w:t xml:space="preserve"> also has clients from the corporate and SME sector, and they deal with relationship-based sales. They </w:t>
      </w:r>
      <w:proofErr w:type="gramStart"/>
      <w:r>
        <w:t>are able to</w:t>
      </w:r>
      <w:proofErr w:type="gramEnd"/>
      <w:r>
        <w:t xml:space="preserve"> achieve this through the provision of retainer and mediation support contracts, thus positioning the organization as a strategic partner and not a one-time provider of services.</w:t>
      </w:r>
    </w:p>
    <w:p w14:paraId="3212915F" w14:textId="77777777" w:rsidR="00B02042" w:rsidRDefault="00B02042" w:rsidP="00B02042">
      <w:r>
        <w:t>The use of electronic communication tools like email consultations and secured video conferences has been enhanced. The selling channels presented above promote scalability while maintaining professionalism in the mediation and legal support sector.</w:t>
      </w:r>
    </w:p>
    <w:p w14:paraId="0D5FBBDD" w14:textId="77777777" w:rsidR="00B02042" w:rsidRDefault="00B02042" w:rsidP="00B02042"/>
    <w:p w14:paraId="2CB6B24D" w14:textId="77777777" w:rsidR="00B02042" w:rsidRDefault="00B02042" w:rsidP="00B02042"/>
    <w:p w14:paraId="77E30378" w14:textId="77777777" w:rsidR="00B02042" w:rsidRDefault="00B02042" w:rsidP="00B02042">
      <w:pPr>
        <w:pStyle w:val="Heading2"/>
      </w:pPr>
      <w:bookmarkStart w:id="22" w:name="_Toc220883285"/>
      <w:r>
        <w:t>4.5 Customer Acquisition and Retention Strategies</w:t>
      </w:r>
      <w:bookmarkEnd w:id="22"/>
    </w:p>
    <w:p w14:paraId="5B090814" w14:textId="77777777" w:rsidR="00B02042" w:rsidRDefault="00B02042" w:rsidP="00B02042"/>
    <w:p w14:paraId="0487E047" w14:textId="77777777" w:rsidR="00B02042" w:rsidRDefault="00B02042" w:rsidP="00B02042">
      <w:r>
        <w:t>4.5.1 Customer Acquisition</w:t>
      </w:r>
    </w:p>
    <w:p w14:paraId="6BB3C4AE" w14:textId="77777777" w:rsidR="00B02042" w:rsidRDefault="00B02042" w:rsidP="00B02042">
      <w:r>
        <w:t xml:space="preserve">Customer acquisition in the mediation and legal assistance field needs to target high perceived risk since clients are not aware of mediation and may doubt its efficiency. </w:t>
      </w:r>
      <w:proofErr w:type="spellStart"/>
      <w:r>
        <w:t>Deligance</w:t>
      </w:r>
      <w:proofErr w:type="spellEnd"/>
      <w:r>
        <w:t xml:space="preserve"> also specializes in customer acquisition based on trust-building and not volume-building marketing campaigns.</w:t>
      </w:r>
    </w:p>
    <w:p w14:paraId="6A8D2C96" w14:textId="77777777" w:rsidR="00B02042" w:rsidRDefault="00B02042" w:rsidP="00B02042">
      <w:r>
        <w:lastRenderedPageBreak/>
        <w:t>One of the most effective acquisition methods is the free initial consultation, which allows a potential client to talk about their case in a dispute, learn what a mediation process is, and determine if it is right for them, free of charge.</w:t>
      </w:r>
    </w:p>
    <w:p w14:paraId="44F46D8E" w14:textId="77777777" w:rsidR="00B02042" w:rsidRDefault="00B02042" w:rsidP="00B02042">
      <w:r>
        <w:t xml:space="preserve">Recruitment is greatly aided through education marketing. </w:t>
      </w:r>
      <w:proofErr w:type="spellStart"/>
      <w:r>
        <w:t>Deligance</w:t>
      </w:r>
      <w:proofErr w:type="spellEnd"/>
      <w:r>
        <w:t xml:space="preserve"> offers informative information on:</w:t>
      </w:r>
    </w:p>
    <w:p w14:paraId="701BAC1C" w14:textId="77777777" w:rsidR="00B02042" w:rsidRDefault="00B02042" w:rsidP="00B02042">
      <w:r>
        <w:t>Differences between mediation and litigation</w:t>
      </w:r>
    </w:p>
    <w:p w14:paraId="70A6B1F8" w14:textId="77777777" w:rsidR="00B02042" w:rsidRDefault="00B02042" w:rsidP="00B02042">
      <w:r>
        <w:t>Cost and Time Factors of Mediation Even in today’s technology</w:t>
      </w:r>
    </w:p>
    <w:p w14:paraId="4606646A" w14:textId="77777777" w:rsidR="00B02042" w:rsidRDefault="00B02042" w:rsidP="00B02042">
      <w:r>
        <w:t>Confidentiality and Neutrality Safe</w:t>
      </w:r>
    </w:p>
    <w:p w14:paraId="7E4710F1" w14:textId="77777777" w:rsidR="00B02042" w:rsidRDefault="00B02042" w:rsidP="00B02042">
      <w:r>
        <w:t>This approach places Diligence as a "thought leader" and hence enhances its reputation and credibility, especially for SMEs and professionals in London.</w:t>
      </w:r>
    </w:p>
    <w:p w14:paraId="0761F6F9" w14:textId="77777777" w:rsidR="00B02042" w:rsidRDefault="00B02042" w:rsidP="00B02042">
      <w:r>
        <w:t>The online marketing of Diligence’s services to a targeted audience through local SEO and online advertising searches will give the firm constant visibility among clients who are searching for dispute resolution services. Partnerships also enhance the acquisition of clients since the firm will obtain pre-qualified leads.</w:t>
      </w:r>
    </w:p>
    <w:p w14:paraId="74702B0E" w14:textId="77777777" w:rsidR="00B02042" w:rsidRDefault="00B02042" w:rsidP="00B02042">
      <w:r>
        <w:t>4.5.2 Customer Ret</w:t>
      </w:r>
    </w:p>
    <w:p w14:paraId="0E30A0EA" w14:textId="77777777" w:rsidR="00B02042" w:rsidRDefault="00B02042" w:rsidP="00B02042">
      <w:r>
        <w:t xml:space="preserve">Customer retention becomes a major objective, especially in the service sector, since referrals </w:t>
      </w:r>
      <w:proofErr w:type="gramStart"/>
      <w:r>
        <w:t>make</w:t>
      </w:r>
      <w:proofErr w:type="gramEnd"/>
      <w:r>
        <w:t xml:space="preserve"> a significant impact on profitability. </w:t>
      </w:r>
      <w:proofErr w:type="spellStart"/>
      <w:r>
        <w:t>Deligance</w:t>
      </w:r>
      <w:proofErr w:type="spellEnd"/>
      <w:r>
        <w:t xml:space="preserve"> emphasizes on retaining customers through service quality and ethical practice.</w:t>
      </w:r>
    </w:p>
    <w:p w14:paraId="7A99E8FA" w14:textId="77777777" w:rsidR="00B02042" w:rsidRDefault="00B02042" w:rsidP="00B02042">
      <w:r>
        <w:t xml:space="preserve">High satisfaction levels and rates of resolution ensure that customers return for services on their own accord, especially within the SME sector that is prone to internal disputes at the workplace and through business contracts. In that regard, </w:t>
      </w:r>
      <w:proofErr w:type="spellStart"/>
      <w:r>
        <w:t>Deligance</w:t>
      </w:r>
      <w:proofErr w:type="spellEnd"/>
      <w:r>
        <w:t xml:space="preserve"> maintains communication with customers following the mediation process through implementation of agreements and customer satisfaction.</w:t>
      </w:r>
    </w:p>
    <w:p w14:paraId="7D8BB2F5" w14:textId="77777777" w:rsidR="00B02042" w:rsidRDefault="00B02042" w:rsidP="00B02042">
      <w:r>
        <w:t>In the case of large-scale corporate organizations, the law firm provides retainer agreements. This not only leads to a retention level that beats the competition but also results in superior long-term business relationships. Feedback processes for clients aim to improve services continuously by showing responsiveness and a focus on quality improvements. Service retention strategies aim to enhance customer lifetime value and develop customer loyalties.</w:t>
      </w:r>
    </w:p>
    <w:p w14:paraId="735D4FD2" w14:textId="77777777" w:rsidR="00B02042" w:rsidRDefault="00B02042" w:rsidP="00B02042">
      <w:pPr>
        <w:pStyle w:val="Heading2"/>
        <w:rPr>
          <w:b/>
          <w:bCs/>
        </w:rPr>
      </w:pPr>
      <w:r>
        <w:t xml:space="preserve"> </w:t>
      </w:r>
      <w:bookmarkStart w:id="23" w:name="_Toc220883286"/>
      <w:r w:rsidRPr="00A75BA5">
        <w:rPr>
          <w:b/>
          <w:bCs/>
        </w:rPr>
        <w:t>4.6</w:t>
      </w:r>
      <w:r>
        <w:rPr>
          <w:b/>
          <w:bCs/>
        </w:rPr>
        <w:t xml:space="preserve"> </w:t>
      </w:r>
      <w:r>
        <w:t>Digital Strategy</w:t>
      </w:r>
      <w:bookmarkEnd w:id="23"/>
    </w:p>
    <w:p w14:paraId="5DCC1E01" w14:textId="77777777" w:rsidR="00B02042" w:rsidRDefault="00B02042" w:rsidP="00B02042">
      <w:r w:rsidRPr="00A75BA5">
        <w:rPr>
          <w:b/>
          <w:bCs/>
        </w:rPr>
        <w:t xml:space="preserve"> Personal Brand</w:t>
      </w:r>
      <w:r>
        <w:t xml:space="preserve"> Digital Strategy is an integral part of </w:t>
      </w:r>
      <w:proofErr w:type="spellStart"/>
      <w:r>
        <w:t>Deligance’s</w:t>
      </w:r>
      <w:proofErr w:type="spellEnd"/>
      <w:r>
        <w:t xml:space="preserve"> Marketing and Service Offer because of the rising </w:t>
      </w:r>
      <w:proofErr w:type="spellStart"/>
      <w:r>
        <w:t>digitalisation</w:t>
      </w:r>
      <w:proofErr w:type="spellEnd"/>
      <w:r>
        <w:t xml:space="preserve"> of the professional services sector in the UK. The </w:t>
      </w:r>
      <w:r>
        <w:lastRenderedPageBreak/>
        <w:t xml:space="preserve">clients in London are demanding convenience, rapid, and secure digital communication, especially in relation to sensitive disputes. </w:t>
      </w:r>
      <w:proofErr w:type="spellStart"/>
      <w:r>
        <w:t>Deligance’s</w:t>
      </w:r>
      <w:proofErr w:type="spellEnd"/>
      <w:r>
        <w:t xml:space="preserve"> online plan is centered on the principles of visibility, accessibility, confidentiality, and efficiency. The company’s website is optimized </w:t>
      </w:r>
      <w:proofErr w:type="gramStart"/>
      <w:r>
        <w:t>on</w:t>
      </w:r>
      <w:proofErr w:type="gramEnd"/>
      <w:r>
        <w:t xml:space="preserve"> search engines, especially </w:t>
      </w:r>
      <w:proofErr w:type="gramStart"/>
      <w:r>
        <w:t>on</w:t>
      </w:r>
      <w:proofErr w:type="gramEnd"/>
      <w:r>
        <w:t xml:space="preserve"> geographical search terms like ‘mediation services in London’ or ‘alternative dispute resolution in the UK.’ The secure online mediation platform offered by </w:t>
      </w:r>
      <w:proofErr w:type="spellStart"/>
      <w:r>
        <w:t>Deligance</w:t>
      </w:r>
      <w:proofErr w:type="spellEnd"/>
      <w:r>
        <w:t xml:space="preserve"> enables them to hold online mediation sessions. This portal builds on the privacy that online communication provides. This would be beneficial to </w:t>
      </w:r>
      <w:proofErr w:type="spellStart"/>
      <w:r>
        <w:t>Deligance’s</w:t>
      </w:r>
      <w:proofErr w:type="spellEnd"/>
      <w:r>
        <w:t xml:space="preserve"> various clients who require discretion. Such clients may include companies that operate in distant locations. Such firms would Content marketing is helpful for both acquisition and retention purposes by educating clients and demonstrating expertise. Blogging, FAQs, and informative pages tackle concerns and myths that exist about mediation. They use digital </w:t>
      </w:r>
      <w:proofErr w:type="gramStart"/>
      <w:r>
        <w:t>analytics tools</w:t>
      </w:r>
      <w:proofErr w:type="gramEnd"/>
      <w:r>
        <w:t xml:space="preserve"> to track traffic, conversion rate, or behavior. With this data-driven approach, </w:t>
      </w:r>
      <w:proofErr w:type="spellStart"/>
      <w:r>
        <w:t>Deligance</w:t>
      </w:r>
      <w:proofErr w:type="spellEnd"/>
      <w:r>
        <w:t xml:space="preserve"> can optimize its digital marketing practices to provide cost-effectiveness and improved return on investment.</w:t>
      </w:r>
    </w:p>
    <w:p w14:paraId="7AA7E9CC" w14:textId="77777777" w:rsidR="00B02042" w:rsidRDefault="00B02042" w:rsidP="00B02042">
      <w:pPr>
        <w:pStyle w:val="Heading2"/>
      </w:pPr>
      <w:r>
        <w:t xml:space="preserve"> </w:t>
      </w:r>
      <w:bookmarkStart w:id="24" w:name="_Toc220883287"/>
      <w:r>
        <w:t>4.7 Summary</w:t>
      </w:r>
      <w:bookmarkEnd w:id="24"/>
      <w:r>
        <w:t xml:space="preserve"> </w:t>
      </w:r>
    </w:p>
    <w:p w14:paraId="327E2417" w14:textId="4CA2A2C8" w:rsidR="00B02042" w:rsidRDefault="00B02042" w:rsidP="00B02042">
      <w:r>
        <w:t xml:space="preserve">MARKETING A good marketing budget for the mediation and legal support sector would have to </w:t>
      </w:r>
      <w:proofErr w:type="gramStart"/>
      <w:r>
        <w:t>take into account</w:t>
      </w:r>
      <w:proofErr w:type="gramEnd"/>
      <w:r>
        <w:t xml:space="preserve"> financial planning to avoid overspending yet remain credible to clients and the market. </w:t>
      </w:r>
      <w:proofErr w:type="spellStart"/>
      <w:r>
        <w:t>Deligance</w:t>
      </w:r>
      <w:proofErr w:type="spellEnd"/>
      <w:r>
        <w:t xml:space="preserve"> dedicates a marketing budget of around 8 to 10% of its projected annual turnover. A significantly larger marketing budget goes towards digital marketing and SEO since this method delivers tangible results and ensures targeted marketing of London-based clients. </w:t>
      </w:r>
      <w:proofErr w:type="gramStart"/>
      <w:r>
        <w:t>A marketing</w:t>
      </w:r>
      <w:proofErr w:type="gramEnd"/>
      <w:r>
        <w:t xml:space="preserve"> spend on content development helps with brand positioning and educational marketing. A major budget is also allocated towards the security of the website and digital infrastructure, indicating that confidentiality and data protection are core considerations in the legal field. A law firm that upholds the best cybersecurity measures is more appealing to prospective clients. The remaining allocations are for professional networking, industry events, and business partnership building. They are all aimed at improving reputation and referral business growth. </w:t>
      </w:r>
      <w:proofErr w:type="gramStart"/>
      <w:r>
        <w:t>On the whole</w:t>
      </w:r>
      <w:proofErr w:type="gramEnd"/>
      <w:r>
        <w:t xml:space="preserve">, the marketing budget will help maintain a balance between acquiring clients in the short run and developing the brand in the long run. 4.8 This section of the chapter has offered a close examination of </w:t>
      </w:r>
      <w:proofErr w:type="spellStart"/>
      <w:r>
        <w:t>Deligance’s</w:t>
      </w:r>
      <w:proofErr w:type="spellEnd"/>
      <w:r>
        <w:t xml:space="preserve"> sales platforms, customer engagement and retention practices, digital approach, and marketing expenses in the context of the London mediation and legal services sector. With a multi-channel, trust-based selling strategy, </w:t>
      </w:r>
      <w:proofErr w:type="spellStart"/>
      <w:r>
        <w:t>Deligance</w:t>
      </w:r>
      <w:proofErr w:type="spellEnd"/>
      <w:r>
        <w:t xml:space="preserve"> is both accessible while retaining credibility. Client acquisition methods prioritize education and risk mitigation, whereas retention methods prioritize relationship-building. Their online strategy improves visibility, efficiency, and confidentiality, which complies with what is expected of a modern client. Finally, their well-planned marketing budget is a combination of short- and long-term growth. Individually and cumulatively, </w:t>
      </w:r>
      <w:r>
        <w:lastRenderedPageBreak/>
        <w:t xml:space="preserve">these measures put </w:t>
      </w:r>
      <w:proofErr w:type="spellStart"/>
      <w:r>
        <w:t>Deligance</w:t>
      </w:r>
      <w:proofErr w:type="spellEnd"/>
      <w:r>
        <w:t xml:space="preserve"> on a strong footing to take advantage of the rising demand for mediation services in London.</w:t>
      </w:r>
    </w:p>
    <w:p w14:paraId="7150485B" w14:textId="77777777" w:rsidR="00B151E9" w:rsidRDefault="00B151E9" w:rsidP="00B02042">
      <w:pPr>
        <w:pStyle w:val="Heading1"/>
        <w:jc w:val="center"/>
      </w:pPr>
      <w:bookmarkStart w:id="25" w:name="_Toc220883288"/>
    </w:p>
    <w:p w14:paraId="5C18673E" w14:textId="77777777" w:rsidR="00B151E9" w:rsidRDefault="00B151E9" w:rsidP="00B02042">
      <w:pPr>
        <w:pStyle w:val="Heading1"/>
        <w:jc w:val="center"/>
      </w:pPr>
    </w:p>
    <w:p w14:paraId="24444B08" w14:textId="77777777" w:rsidR="007E53D9" w:rsidRPr="007E53D9" w:rsidRDefault="007E53D9" w:rsidP="007E53D9"/>
    <w:p w14:paraId="265F8F06" w14:textId="2FF4C438" w:rsidR="00B02042" w:rsidRDefault="00B02042" w:rsidP="00B02042">
      <w:pPr>
        <w:pStyle w:val="Heading1"/>
        <w:jc w:val="center"/>
      </w:pPr>
      <w:r w:rsidRPr="00207DFF">
        <w:t>Chapter 5</w:t>
      </w:r>
      <w:r>
        <w:t>: Operations plan</w:t>
      </w:r>
      <w:bookmarkEnd w:id="25"/>
    </w:p>
    <w:p w14:paraId="3AFE98CB" w14:textId="77777777" w:rsidR="00B02042" w:rsidRDefault="00B02042" w:rsidP="00B02042"/>
    <w:p w14:paraId="543885C0" w14:textId="77777777" w:rsidR="00B02042" w:rsidRDefault="00B02042" w:rsidP="00B02042">
      <w:pPr>
        <w:pStyle w:val="Heading2"/>
      </w:pPr>
      <w:bookmarkStart w:id="26" w:name="_Toc220883289"/>
      <w:r>
        <w:t>5.1 Workflow and service Delivery Model</w:t>
      </w:r>
      <w:bookmarkEnd w:id="26"/>
    </w:p>
    <w:p w14:paraId="17700712" w14:textId="77777777" w:rsidR="00B02042" w:rsidRPr="00CB774E" w:rsidRDefault="00B02042" w:rsidP="00B02042"/>
    <w:p w14:paraId="3FCBFBBB" w14:textId="77777777" w:rsidR="00B02042" w:rsidRPr="005D0F4C" w:rsidRDefault="00B02042" w:rsidP="00B02042">
      <w:r>
        <w:rPr>
          <w:noProof/>
        </w:rPr>
        <w:drawing>
          <wp:inline distT="0" distB="0" distL="0" distR="0" wp14:anchorId="7814D3B6" wp14:editId="520AE7ED">
            <wp:extent cx="5943600" cy="1370965"/>
            <wp:effectExtent l="0" t="0" r="0" b="635"/>
            <wp:docPr id="604139282" name="Picture 6" descr="A person sitting at a desk with a couple of people in front of hi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39282" name="Picture 6" descr="A person sitting at a desk with a couple of people in front of him&#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43600" cy="1370965"/>
                    </a:xfrm>
                    <a:prstGeom prst="rect">
                      <a:avLst/>
                    </a:prstGeom>
                  </pic:spPr>
                </pic:pic>
              </a:graphicData>
            </a:graphic>
          </wp:inline>
        </w:drawing>
      </w:r>
    </w:p>
    <w:p w14:paraId="0F8505A2" w14:textId="77777777" w:rsidR="00B02042" w:rsidRDefault="00B02042" w:rsidP="00B02042">
      <w:r>
        <w:t xml:space="preserve">The workflow and service delivery model of Diligence legal support and mediation company aims to provide a clear, ethical, and client-focused approach to resolving disputes. Because civil disputes can be sensitive, the organization emphasizes confidentiality, fairness, and clear procedures </w:t>
      </w:r>
      <w:proofErr w:type="gramStart"/>
      <w:r>
        <w:t>at</w:t>
      </w:r>
      <w:proofErr w:type="gramEnd"/>
      <w:r>
        <w:t xml:space="preserve"> every part of the service.</w:t>
      </w:r>
    </w:p>
    <w:p w14:paraId="7D35E360" w14:textId="77777777" w:rsidR="00B02042" w:rsidRDefault="00B02042" w:rsidP="00B02042">
      <w:r>
        <w:t xml:space="preserve">The process starts with an initial inquiry and </w:t>
      </w:r>
      <w:proofErr w:type="gramStart"/>
      <w:r>
        <w:t>suitability assessment</w:t>
      </w:r>
      <w:proofErr w:type="gramEnd"/>
      <w:r>
        <w:t>. Potential clients can reach the organization through digital platforms, phone calls, or referrals. During this stage, the company checks if mediation fits the dispute, following the UK Guide to Civil Mediation. This step helps them exclude cases involving violence, coercion, or legal restrictions, safeguarding everyone involved.</w:t>
      </w:r>
    </w:p>
    <w:p w14:paraId="1760DDAD" w14:textId="77777777" w:rsidR="00B02042" w:rsidRDefault="00B02042" w:rsidP="00B02042">
      <w:r>
        <w:t>Next, there is a formal intake and agreement stage. All parties give informed consent, confidentiality agreements are signed, and the mediation scope is clearly outlined. This phase builds trust and demonstrates the company's ethical commitment to fairness and neutrality.</w:t>
      </w:r>
    </w:p>
    <w:p w14:paraId="7A24FCCD" w14:textId="77777777" w:rsidR="00B02042" w:rsidRDefault="00B02042" w:rsidP="00B02042">
      <w:r>
        <w:lastRenderedPageBreak/>
        <w:t>The mediation preparation stage focuses on collecting background information, clarifying issues, and setting ground rules. Mediation sessions can take place together or apart, based on the dispute's nature. The mediator encourages open dialogue, helps build mutual understanding, and supports the parties in reaching a voluntary agreement without making decisions for them.</w:t>
      </w:r>
    </w:p>
    <w:p w14:paraId="78034532" w14:textId="77777777" w:rsidR="00B02042" w:rsidRDefault="00B02042" w:rsidP="00B02042">
      <w:r>
        <w:t>Once an agreement is finalized, the outcomes are documented in a clear and legally suitable format, ensuring they are understandable and enforceable when necessary. The last stage includes post-mediation support, such as follow-up communication and referrals if more legal help is needed. This clear workflow promotes efficient dispute resolution while lowering emotional stress and legal costs.</w:t>
      </w:r>
    </w:p>
    <w:p w14:paraId="308291C4" w14:textId="77777777" w:rsidR="00B02042" w:rsidRDefault="00B02042" w:rsidP="00B02042"/>
    <w:p w14:paraId="1C1ED6C2" w14:textId="77777777" w:rsidR="00B02042" w:rsidRDefault="00B02042" w:rsidP="00B02042"/>
    <w:p w14:paraId="6621A00C" w14:textId="77777777" w:rsidR="00B02042" w:rsidRDefault="00B02042" w:rsidP="00B02042">
      <w:pPr>
        <w:pStyle w:val="Heading2"/>
      </w:pPr>
      <w:bookmarkStart w:id="27" w:name="_Toc220883290"/>
      <w:r>
        <w:t>5.2 Staffing Plan</w:t>
      </w:r>
      <w:bookmarkEnd w:id="27"/>
      <w:r>
        <w:t xml:space="preserve"> </w:t>
      </w:r>
    </w:p>
    <w:p w14:paraId="3305E8D1" w14:textId="77777777" w:rsidR="00B02042" w:rsidRPr="004D49B2" w:rsidRDefault="00B02042" w:rsidP="00B02042">
      <w:pPr>
        <w:rPr>
          <w:b/>
          <w:bCs/>
        </w:rPr>
      </w:pPr>
      <w:r>
        <w:t xml:space="preserve">                                                         </w:t>
      </w:r>
      <w:r w:rsidRPr="004D49B2">
        <w:rPr>
          <w:b/>
          <w:bCs/>
        </w:rPr>
        <w:t xml:space="preserve">Organizational Structure </w:t>
      </w:r>
    </w:p>
    <w:p w14:paraId="04C16874" w14:textId="77777777" w:rsidR="00B02042" w:rsidRDefault="00B02042" w:rsidP="00B02042">
      <w:r>
        <w:t xml:space="preserve">                                                                             </w:t>
      </w:r>
      <w:r>
        <w:rPr>
          <w:noProof/>
        </w:rPr>
        <w:drawing>
          <wp:inline distT="0" distB="0" distL="0" distR="0" wp14:anchorId="07703DDA" wp14:editId="780183FF">
            <wp:extent cx="361950" cy="361950"/>
            <wp:effectExtent l="0" t="0" r="0" b="0"/>
            <wp:docPr id="1439235053" name="Graphic 2"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35053" name="Graphic 1439235053" descr="Arrow Down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361950" cy="361950"/>
                    </a:xfrm>
                    <a:prstGeom prst="rect">
                      <a:avLst/>
                    </a:prstGeom>
                  </pic:spPr>
                </pic:pic>
              </a:graphicData>
            </a:graphic>
          </wp:inline>
        </w:drawing>
      </w:r>
      <w:r>
        <w:t xml:space="preserve">        </w:t>
      </w:r>
    </w:p>
    <w:p w14:paraId="0AD0EB68" w14:textId="77777777" w:rsidR="00B02042" w:rsidRDefault="00B02042" w:rsidP="00B02042">
      <w:pPr>
        <w:rPr>
          <w:b/>
          <w:bCs/>
        </w:rPr>
      </w:pPr>
      <w:r w:rsidRPr="007E3B96">
        <w:rPr>
          <w:b/>
          <w:bCs/>
        </w:rPr>
        <w:t xml:space="preserve">                                                        Founding &amp; Managing Director</w:t>
      </w:r>
    </w:p>
    <w:p w14:paraId="0BE3B047" w14:textId="77777777" w:rsidR="00B02042" w:rsidRDefault="00B02042" w:rsidP="00B02042">
      <w:pPr>
        <w:rPr>
          <w:b/>
          <w:bCs/>
        </w:rPr>
      </w:pPr>
      <w:r>
        <w:rPr>
          <w:b/>
          <w:bCs/>
        </w:rPr>
        <w:t xml:space="preserve">                                                                              </w:t>
      </w:r>
      <w:r>
        <w:rPr>
          <w:b/>
          <w:bCs/>
          <w:noProof/>
        </w:rPr>
        <w:drawing>
          <wp:inline distT="0" distB="0" distL="0" distR="0" wp14:anchorId="6D31C97E" wp14:editId="2A0BCA5B">
            <wp:extent cx="333375" cy="333375"/>
            <wp:effectExtent l="0" t="0" r="0" b="9525"/>
            <wp:docPr id="1010179119" name="Graphic 3"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79119" name="Graphic 1010179119" descr="Arrow Down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333375" cy="333375"/>
                    </a:xfrm>
                    <a:prstGeom prst="rect">
                      <a:avLst/>
                    </a:prstGeom>
                  </pic:spPr>
                </pic:pic>
              </a:graphicData>
            </a:graphic>
          </wp:inline>
        </w:drawing>
      </w:r>
    </w:p>
    <w:p w14:paraId="38EE4FD0" w14:textId="77777777" w:rsidR="00B02042" w:rsidRDefault="00B02042" w:rsidP="00B02042">
      <w:pPr>
        <w:rPr>
          <w:b/>
          <w:bCs/>
        </w:rPr>
      </w:pPr>
      <w:r>
        <w:rPr>
          <w:b/>
          <w:bCs/>
        </w:rPr>
        <w:t xml:space="preserve">                                                                Lead Civil Mediator</w:t>
      </w:r>
    </w:p>
    <w:p w14:paraId="2978A4FF" w14:textId="77777777" w:rsidR="00B02042" w:rsidRDefault="00B02042" w:rsidP="00B02042">
      <w:pPr>
        <w:rPr>
          <w:b/>
          <w:bCs/>
        </w:rPr>
      </w:pPr>
      <w:r>
        <w:rPr>
          <w:b/>
          <w:bCs/>
          <w:noProof/>
        </w:rPr>
        <w:t xml:space="preserve">                                                                             </w:t>
      </w:r>
      <w:r>
        <w:rPr>
          <w:b/>
          <w:bCs/>
          <w:noProof/>
        </w:rPr>
        <w:drawing>
          <wp:inline distT="0" distB="0" distL="0" distR="0" wp14:anchorId="215EC7F9" wp14:editId="4C2A56CD">
            <wp:extent cx="371475" cy="371475"/>
            <wp:effectExtent l="0" t="0" r="0" b="9525"/>
            <wp:docPr id="259655404" name="Graphic 4"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55404" name="Graphic 259655404" descr="Arrow Down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371475" cy="371475"/>
                    </a:xfrm>
                    <a:prstGeom prst="rect">
                      <a:avLst/>
                    </a:prstGeom>
                  </pic:spPr>
                </pic:pic>
              </a:graphicData>
            </a:graphic>
          </wp:inline>
        </w:drawing>
      </w:r>
    </w:p>
    <w:p w14:paraId="145E9A97" w14:textId="77777777" w:rsidR="00B02042" w:rsidRDefault="00B02042" w:rsidP="00B02042">
      <w:pPr>
        <w:rPr>
          <w:b/>
          <w:bCs/>
        </w:rPr>
      </w:pPr>
      <w:r>
        <w:rPr>
          <w:b/>
          <w:bCs/>
        </w:rPr>
        <w:t xml:space="preserve">                                                                Legal Support Officers </w:t>
      </w:r>
    </w:p>
    <w:p w14:paraId="0C5D3F11" w14:textId="77777777" w:rsidR="00B02042" w:rsidRDefault="00B02042" w:rsidP="00B02042">
      <w:pPr>
        <w:rPr>
          <w:b/>
          <w:bCs/>
        </w:rPr>
      </w:pPr>
      <w:r>
        <w:rPr>
          <w:b/>
          <w:bCs/>
          <w:noProof/>
        </w:rPr>
        <w:t xml:space="preserve">                                                                              </w:t>
      </w:r>
      <w:r>
        <w:rPr>
          <w:b/>
          <w:bCs/>
          <w:noProof/>
        </w:rPr>
        <w:drawing>
          <wp:inline distT="0" distB="0" distL="0" distR="0" wp14:anchorId="0F50CAEC" wp14:editId="2985680C">
            <wp:extent cx="333375" cy="333375"/>
            <wp:effectExtent l="0" t="0" r="0" b="9525"/>
            <wp:docPr id="177466793" name="Graphic 3"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79119" name="Graphic 1010179119" descr="Arrow Down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333375" cy="333375"/>
                    </a:xfrm>
                    <a:prstGeom prst="rect">
                      <a:avLst/>
                    </a:prstGeom>
                  </pic:spPr>
                </pic:pic>
              </a:graphicData>
            </a:graphic>
          </wp:inline>
        </w:drawing>
      </w:r>
    </w:p>
    <w:p w14:paraId="70492918" w14:textId="77777777" w:rsidR="00B02042" w:rsidRDefault="00B02042" w:rsidP="00B02042">
      <w:pPr>
        <w:rPr>
          <w:b/>
          <w:bCs/>
        </w:rPr>
      </w:pPr>
      <w:r>
        <w:rPr>
          <w:b/>
          <w:bCs/>
        </w:rPr>
        <w:t xml:space="preserve">                                                              Case coordinator</w:t>
      </w:r>
    </w:p>
    <w:p w14:paraId="41BA6738" w14:textId="77777777" w:rsidR="00B02042" w:rsidRDefault="00B02042" w:rsidP="00B02042">
      <w:pPr>
        <w:rPr>
          <w:b/>
          <w:bCs/>
        </w:rPr>
      </w:pPr>
      <w:r>
        <w:rPr>
          <w:b/>
          <w:bCs/>
        </w:rPr>
        <w:t xml:space="preserve">                                                                              </w:t>
      </w:r>
      <w:r>
        <w:rPr>
          <w:b/>
          <w:bCs/>
          <w:noProof/>
        </w:rPr>
        <w:drawing>
          <wp:inline distT="0" distB="0" distL="0" distR="0" wp14:anchorId="7DF5638E" wp14:editId="49F93E90">
            <wp:extent cx="333375" cy="333375"/>
            <wp:effectExtent l="0" t="0" r="0" b="9525"/>
            <wp:docPr id="728934857" name="Graphic 3" descr="Arrow Dow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79119" name="Graphic 1010179119" descr="Arrow Down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333375" cy="333375"/>
                    </a:xfrm>
                    <a:prstGeom prst="rect">
                      <a:avLst/>
                    </a:prstGeom>
                  </pic:spPr>
                </pic:pic>
              </a:graphicData>
            </a:graphic>
          </wp:inline>
        </w:drawing>
      </w:r>
    </w:p>
    <w:p w14:paraId="27169F98" w14:textId="77777777" w:rsidR="00B02042" w:rsidRDefault="00B02042" w:rsidP="00B02042">
      <w:pPr>
        <w:rPr>
          <w:b/>
          <w:bCs/>
        </w:rPr>
      </w:pPr>
      <w:r>
        <w:rPr>
          <w:b/>
          <w:bCs/>
        </w:rPr>
        <w:t xml:space="preserve">                                                   Administers and client support</w:t>
      </w:r>
    </w:p>
    <w:p w14:paraId="29F5524D" w14:textId="77777777" w:rsidR="00B02042" w:rsidRPr="007E3B96" w:rsidRDefault="00B02042" w:rsidP="00B02042">
      <w:pPr>
        <w:rPr>
          <w:b/>
          <w:bCs/>
        </w:rPr>
      </w:pPr>
      <w:r>
        <w:rPr>
          <w:b/>
          <w:bCs/>
        </w:rPr>
        <w:t xml:space="preserve">                           </w:t>
      </w:r>
    </w:p>
    <w:p w14:paraId="436323C5" w14:textId="77777777" w:rsidR="00B02042" w:rsidRDefault="00B02042" w:rsidP="00B02042">
      <w:r>
        <w:lastRenderedPageBreak/>
        <w:t>The staffing plan of Diligence legal support and mediation services is designed to support its mission of providing fair, transparent, and compassionate dispute resolution. Due to the sensitive and emotional nature of mediation services, human resources are viewed as a key factor for success, not just a necessary function. The organization prioritizes competence, neutrality, ethical behavior, and interpersonal skills in all staffing choices.</w:t>
      </w:r>
    </w:p>
    <w:p w14:paraId="4D602790" w14:textId="77777777" w:rsidR="00B02042" w:rsidRDefault="00B02042" w:rsidP="00B02042">
      <w:r>
        <w:t xml:space="preserve">At the leadership level, the Founder and Managing Director </w:t>
      </w:r>
      <w:proofErr w:type="gramStart"/>
      <w:r>
        <w:t>plays</w:t>
      </w:r>
      <w:proofErr w:type="gramEnd"/>
      <w:r>
        <w:t xml:space="preserve"> an important role in shaping the direction, culture, and ethical standards of the company. This role includes responsibilities for regulatory compliance, developing partnerships, innovating services, and overseeing finances. Since mediation services </w:t>
      </w:r>
      <w:proofErr w:type="gramStart"/>
      <w:r>
        <w:t>rely on</w:t>
      </w:r>
      <w:proofErr w:type="gramEnd"/>
      <w:r>
        <w:t xml:space="preserve"> public trust, visible leadership and accountability are crucial for strengthening the company’s professional identity and credibility.</w:t>
      </w:r>
    </w:p>
    <w:p w14:paraId="7CDAA7D6" w14:textId="77777777" w:rsidR="00B02042" w:rsidRDefault="00B02042" w:rsidP="00B02042">
      <w:r>
        <w:t>The main operational role is fulfilled by Accredited Civil Mediators, who facilitate structured dialogue between conflicting parties. These professionals need to show strong negotiation skills, emotional intelligence, legal knowledge, and strict neutrality. Mediators either hold formal accreditation or are working toward accreditation according to recognized UK civil mediation standards. Continuous professional development is encouraged to keep mediators in line with changing legal frameworks and best practices.</w:t>
      </w:r>
    </w:p>
    <w:p w14:paraId="6B65A57D" w14:textId="77777777" w:rsidR="00B02042" w:rsidRDefault="00B02042" w:rsidP="00B02042">
      <w:r>
        <w:t>Supporting the mediators are Legal Support Officers, who manage case documents, consent forms, confidentiality agreements, and procedural guidance. Although they do not give legal advice, their role is vital for ensuring administrative accuracy, regulatory compliance, and smooth case progress. Their efforts reduce the operational burden on mediators and improve overall service efficiency.</w:t>
      </w:r>
    </w:p>
    <w:p w14:paraId="358AAA37" w14:textId="77777777" w:rsidR="00B02042" w:rsidRDefault="00B02042" w:rsidP="00B02042">
      <w:r>
        <w:t>The Case Coordinator role focuses on operations and client communication. This position handles appointment scheduling, case tracking, and communication between parties, mediators, and other stakeholders. By ensuring timely communication and organized workflows, the Case Coordinator directly contributes to client satisfaction and service reliability.</w:t>
      </w:r>
    </w:p>
    <w:p w14:paraId="23B0D8EC" w14:textId="77777777" w:rsidR="00B02042" w:rsidRDefault="00B02042" w:rsidP="00B02042">
      <w:r>
        <w:t>Administrative and client support staff manage inquiries, record-keeping, billing, and general office operations. Given the confidential nature of mediation, all staff members receive training in data protection, ethical behavior, and client sensitivity. This training helps maintain professionalism across all client interactions.</w:t>
      </w:r>
    </w:p>
    <w:p w14:paraId="527EA083" w14:textId="77777777" w:rsidR="00B02042" w:rsidRDefault="00B02042" w:rsidP="00B02042">
      <w:r>
        <w:t>To support growth and cost efficiency, the company uses a flexible staffing model. During busy times, extra mediators and legal consultants may be hired on a contract or freelance basis. This approach allows the organization to meet market demands without sacrificing service quality or incurring unnecessary fixed costs.</w:t>
      </w:r>
    </w:p>
    <w:p w14:paraId="5EE0A611" w14:textId="77777777" w:rsidR="00B02042" w:rsidRDefault="00B02042" w:rsidP="00B02042">
      <w:r>
        <w:lastRenderedPageBreak/>
        <w:t>Staff recruitment follows values-based criteria, highlighting integrity, empathy, respect, and impartiality. Performance evaluations focus not only on case outcomes but also on ethical conduct, client feedback, and adherence to professional standards. This ensures that individual performance aligns with organizational values.</w:t>
      </w:r>
    </w:p>
    <w:p w14:paraId="1636CBD9" w14:textId="2F3D99A1" w:rsidR="00B02042" w:rsidRDefault="00B02042" w:rsidP="00B02042">
      <w:r>
        <w:t>Overall, the staffing plan enables Diligence to deliver high-quality, ethical, and scalable mediation services. By investing in skilled professionals and maintaining a flexible workforce, the organization ensures operational excellence while protecting its reputation and long-term sustainability.</w:t>
      </w:r>
    </w:p>
    <w:p w14:paraId="4F370851" w14:textId="77777777" w:rsidR="00B02042" w:rsidRDefault="00B02042" w:rsidP="00B02042">
      <w:pPr>
        <w:pStyle w:val="Heading2"/>
        <w:tabs>
          <w:tab w:val="left" w:pos="5370"/>
        </w:tabs>
      </w:pPr>
      <w:bookmarkStart w:id="28" w:name="_Toc220883291"/>
      <w:r>
        <w:t>5.3 Legal &amp; Regulatory Compliance</w:t>
      </w:r>
      <w:bookmarkEnd w:id="28"/>
      <w:r>
        <w:t xml:space="preserve"> </w:t>
      </w:r>
      <w:r>
        <w:tab/>
      </w:r>
    </w:p>
    <w:p w14:paraId="0D46E604" w14:textId="77777777" w:rsidR="00B02042" w:rsidRDefault="00B02042" w:rsidP="00B02042">
      <w:r>
        <w:t>The Legal and Regulatory Compliance framework is a vital part of Diligence's legal support and civil mediation services. Mediation services are sensitive and confidential. Therefore, following UK legal standards and professional regulations is crucial for maintaining trust, protecting client rights, and ensuring ethical operations. Compliance is not just a legal duty; it is also central to the organization’s professional identity and reputation.</w:t>
      </w:r>
    </w:p>
    <w:p w14:paraId="73F2F214" w14:textId="77777777" w:rsidR="00B02042" w:rsidRDefault="00B02042" w:rsidP="00B02042">
      <w:r w:rsidRPr="00762B82">
        <w:rPr>
          <w:noProof/>
        </w:rPr>
        <w:drawing>
          <wp:inline distT="0" distB="0" distL="0" distR="0" wp14:anchorId="79E1FD70" wp14:editId="6DC4BDCD">
            <wp:extent cx="5943600" cy="3446145"/>
            <wp:effectExtent l="0" t="0" r="0" b="1905"/>
            <wp:docPr id="1316164635" name="Picture 1" descr="A diagram of legal compli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64635" name="Picture 1" descr="A diagram of legal compliance&#10;&#10;AI-generated content may be incorrect."/>
                    <pic:cNvPicPr/>
                  </pic:nvPicPr>
                  <pic:blipFill>
                    <a:blip r:embed="rId16"/>
                    <a:stretch>
                      <a:fillRect/>
                    </a:stretch>
                  </pic:blipFill>
                  <pic:spPr>
                    <a:xfrm>
                      <a:off x="0" y="0"/>
                      <a:ext cx="5943600" cy="3446145"/>
                    </a:xfrm>
                    <a:prstGeom prst="rect">
                      <a:avLst/>
                    </a:prstGeom>
                  </pic:spPr>
                </pic:pic>
              </a:graphicData>
            </a:graphic>
          </wp:inline>
        </w:drawing>
      </w:r>
    </w:p>
    <w:p w14:paraId="4A3DE62C" w14:textId="77777777" w:rsidR="00B02042" w:rsidRDefault="00B02042" w:rsidP="00B02042">
      <w:r>
        <w:t>The company follows the Civil Procedure Rules (CPR), which promote using alternative dispute resolution before litigation. All mediation activities follow the UK Guide to Civil Mediation, which stresses neutrality, confidentiality, voluntary participation, and informed consent. By adhering to these standards, the organization ensures that mediators remain impartial and that clients' rights and interests are fully protected.</w:t>
      </w:r>
    </w:p>
    <w:p w14:paraId="43B3F808" w14:textId="77777777" w:rsidR="00B02042" w:rsidRDefault="00B02042" w:rsidP="00B02042">
      <w:r>
        <w:lastRenderedPageBreak/>
        <w:t>Additionally, the company complies with the Data Protection Act 2018 and the UK General Data Protection Regulation (UK GDPR). Client information is sensitive and includes personal, financial, and legal details. The organization uses secure digital systems to store, access, and transmit data. Staff members receive training in data protection, confidentiality, and cybersecurity, ensuring they meet legal requirements and maintain client trust.</w:t>
      </w:r>
    </w:p>
    <w:p w14:paraId="6A3F20C6" w14:textId="77777777" w:rsidR="00B02042" w:rsidRDefault="00B02042" w:rsidP="00B02042">
      <w:r>
        <w:t>The organization also follows the Equality Act 2010, providing non-discriminatory services. All staff are trained to deliver inclusive and impartial services, respecting diversity, cultural sensitivities, and individual rights. Ethical principles like honesty, fairness, and integrity guide all operational decisions.</w:t>
      </w:r>
    </w:p>
    <w:p w14:paraId="12D92BEA" w14:textId="77777777" w:rsidR="00B02042" w:rsidRDefault="00B02042" w:rsidP="00B02042">
      <w:r>
        <w:t>Mediators are either fully accredited or working towards recognized UK civil mediation accreditation. Accreditation guarantees that mediators meet professional competency standards and follow a code of conduct regarding ethical behavior, neutrality, and client confidentiality. The company has internal policies and procedures to monitor compliance, conduct regular audits, and offer ongoing staff training in legal and ethical standards.</w:t>
      </w:r>
    </w:p>
    <w:p w14:paraId="30767DA3" w14:textId="77777777" w:rsidR="00B02042" w:rsidRDefault="00B02042" w:rsidP="00B02042">
      <w:r>
        <w:t xml:space="preserve">To manage regulatory risk, the company carries professional indemnity insurance, covering possible claims from professional negligence. Transparent documentation, clear consent procedures, and thorough record-keeping further improve the company’s compliance profile, providing both legal </w:t>
      </w:r>
      <w:proofErr w:type="gramStart"/>
      <w:r>
        <w:t>protections</w:t>
      </w:r>
      <w:proofErr w:type="gramEnd"/>
      <w:r>
        <w:t xml:space="preserve"> and reassurance to clients.</w:t>
      </w:r>
    </w:p>
    <w:p w14:paraId="4CBE9095" w14:textId="77777777" w:rsidR="00B02042" w:rsidRDefault="00B02042" w:rsidP="00B02042">
      <w:r>
        <w:t>Overall, Legal and Regulatory Compliance at Diligence takes a multi-layered approach that combines national laws, professional accreditation standards, internal policies, and ethical practices. By systematically incorporating compliance into daily activities, the company ensures that all mediation services are provided responsibly, ethically, and legally, thereby enhancing client confidence and maintaining the organization’s long-term credibility.</w:t>
      </w:r>
    </w:p>
    <w:p w14:paraId="45BD9113" w14:textId="77777777" w:rsidR="00B02042" w:rsidRDefault="00B02042" w:rsidP="00B02042"/>
    <w:p w14:paraId="147363CA" w14:textId="77777777" w:rsidR="00B02042" w:rsidRDefault="00B02042" w:rsidP="00B02042">
      <w:pPr>
        <w:pStyle w:val="Heading2"/>
      </w:pPr>
      <w:bookmarkStart w:id="29" w:name="_Toc220883292"/>
      <w:r>
        <w:t>5.4 Technology and Tools</w:t>
      </w:r>
      <w:bookmarkEnd w:id="29"/>
    </w:p>
    <w:p w14:paraId="29C806B7" w14:textId="77777777" w:rsidR="00B02042" w:rsidRDefault="00B02042" w:rsidP="00B02042"/>
    <w:p w14:paraId="79B65525" w14:textId="77777777" w:rsidR="00B02042" w:rsidRPr="00970C56" w:rsidRDefault="00B02042" w:rsidP="00B02042">
      <w:pPr>
        <w:jc w:val="center"/>
      </w:pPr>
      <w:r>
        <w:rPr>
          <w:noProof/>
        </w:rPr>
        <w:lastRenderedPageBreak/>
        <w:drawing>
          <wp:inline distT="0" distB="0" distL="0" distR="0" wp14:anchorId="2FB25517" wp14:editId="67771152">
            <wp:extent cx="4514850" cy="2095500"/>
            <wp:effectExtent l="0" t="0" r="0" b="0"/>
            <wp:docPr id="190823636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ED7542" w14:textId="77777777" w:rsidR="00B02042" w:rsidRDefault="00B02042" w:rsidP="00B02042">
      <w:r>
        <w:t>Technology and digital tools are essential to the operations of the Diligence legal support and civil mediation services company. Mediation cases are sensitive, confidential, and time-sensitive, so reliable technology helps ensure efficiency, security, and accessibility while improving the overall client experience. Using technology in service delivery streamlines operations and supports compliance with legal and regulatory requirements.</w:t>
      </w:r>
    </w:p>
    <w:p w14:paraId="4AB858E4" w14:textId="77777777" w:rsidR="00B02042" w:rsidRDefault="00B02042" w:rsidP="00B02042">
      <w:r>
        <w:t>The organization employs a case management system to monitor disputes from intake to resolution. This software allows mediators and administrative staff to access case files securely, manage schedules, and update records in real time. Centralizing information reduces the risk of errors, ensures consistency, and makes reporting more efficient.</w:t>
      </w:r>
    </w:p>
    <w:p w14:paraId="1D36FC98" w14:textId="77777777" w:rsidR="00B02042" w:rsidRDefault="00B02042" w:rsidP="00B02042">
      <w:r>
        <w:t xml:space="preserve">To support remote mediation sessions, the company uses secure video conferencing platforms. These platforms let parties participate from anywhere, which cuts </w:t>
      </w:r>
      <w:proofErr w:type="gramStart"/>
      <w:r>
        <w:t>down</w:t>
      </w:r>
      <w:proofErr w:type="gramEnd"/>
      <w:r>
        <w:t xml:space="preserve"> travel needs and increases accessibility for clients in the UK and internationally. Security features like end-to-end encryption, password-protected meetings, and controlled access keep confidential information safe during online sessions.</w:t>
      </w:r>
    </w:p>
    <w:p w14:paraId="61851DEC" w14:textId="77777777" w:rsidR="00B02042" w:rsidRDefault="00B02042" w:rsidP="00B02042">
      <w:r>
        <w:t>Digital documentation tools, such as encrypted cloud storage and digital signing software, manage consent forms, confidentiality agreements, and mediation outcomes. These tools keep all documents secure, easily retrievable, and compliant with the Data Protection Act 2018 and UK GDPR. By reducing paper use, the organization also supports environmentally friendly practices.</w:t>
      </w:r>
    </w:p>
    <w:p w14:paraId="4AD9C43F" w14:textId="77777777" w:rsidR="00B02042" w:rsidRDefault="00B02042" w:rsidP="00B02042">
      <w:r>
        <w:t>Additionally, the company uses communication and collaboration tools to ensure clear and timely interaction between mediators, clients, and administrative staff. Secure email platforms, encrypted messaging systems, and shared calendars enhance coordination, lessen miscommunication, and improve the overall workflow.</w:t>
      </w:r>
    </w:p>
    <w:p w14:paraId="1F4A72BD" w14:textId="77777777" w:rsidR="00B02042" w:rsidRDefault="00B02042" w:rsidP="00B02042">
      <w:r>
        <w:t xml:space="preserve">Training staff to use these technologies effectively is a key part of the company’s operations. Mediators, legal support officers, and administrative personnel receive ongoing </w:t>
      </w:r>
      <w:r>
        <w:lastRenderedPageBreak/>
        <w:t>guidance on cybersecurity, data management, and best practices for online mediation. This approach ensures that technology enhances service delivery without violating ethical or legal standards.</w:t>
      </w:r>
    </w:p>
    <w:p w14:paraId="06208BF0" w14:textId="77777777" w:rsidR="00B02042" w:rsidRDefault="00B02042" w:rsidP="00B02042">
      <w:r>
        <w:t>Overall, integrating technology and tools within the Diligence company allows for secure, efficient, and scalable service delivery, facilitating both traditional and remote mediation processes. By combining effective digital systems with thorough staff training and regulatory compliance, the organization builds client trust, boosts operational efficiency, and provides high-quality, professional mediation services.</w:t>
      </w:r>
    </w:p>
    <w:p w14:paraId="29A53069" w14:textId="77777777" w:rsidR="00B02042" w:rsidRDefault="00B02042" w:rsidP="00B02042"/>
    <w:p w14:paraId="413EE4CA" w14:textId="77777777" w:rsidR="00B02042" w:rsidRDefault="00B02042" w:rsidP="00B02042">
      <w:pPr>
        <w:pStyle w:val="Heading2"/>
      </w:pPr>
      <w:bookmarkStart w:id="30" w:name="_Toc220883293"/>
      <w:r>
        <w:t>5.5 Licenses et registrations</w:t>
      </w:r>
      <w:bookmarkEnd w:id="30"/>
    </w:p>
    <w:p w14:paraId="24DBFF83" w14:textId="77777777" w:rsidR="00B02042" w:rsidRDefault="00B02042" w:rsidP="00B02042"/>
    <w:p w14:paraId="26E60E2C" w14:textId="77777777" w:rsidR="00B02042" w:rsidRPr="00970C56" w:rsidRDefault="00B02042" w:rsidP="00B02042">
      <w:r>
        <w:rPr>
          <w:noProof/>
        </w:rPr>
        <w:drawing>
          <wp:inline distT="0" distB="0" distL="0" distR="0" wp14:anchorId="5DE058F2" wp14:editId="02C113CF">
            <wp:extent cx="3619500" cy="2438400"/>
            <wp:effectExtent l="38100" t="0" r="76200" b="0"/>
            <wp:docPr id="776322913"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2BA6FB2" w14:textId="77777777" w:rsidR="00B02042" w:rsidRDefault="00B02042" w:rsidP="00B02042">
      <w:r>
        <w:rPr>
          <w:noProof/>
        </w:rPr>
        <w:drawing>
          <wp:inline distT="0" distB="0" distL="0" distR="0" wp14:anchorId="4421A226" wp14:editId="59565D41">
            <wp:extent cx="3762375" cy="1914525"/>
            <wp:effectExtent l="0" t="0" r="28575" b="9525"/>
            <wp:docPr id="1560293738"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r>
        <w:t xml:space="preserve">                </w:t>
      </w:r>
    </w:p>
    <w:p w14:paraId="255BE4F8" w14:textId="77777777" w:rsidR="00B02042" w:rsidRDefault="00B02042" w:rsidP="00B02042">
      <w:r>
        <w:t xml:space="preserve">Licenses and Registrations: This is a vital part of the running structure of </w:t>
      </w:r>
      <w:proofErr w:type="gramStart"/>
      <w:r>
        <w:t>the Diligence</w:t>
      </w:r>
      <w:proofErr w:type="gramEnd"/>
      <w:r>
        <w:t xml:space="preserve"> legal support and civil mediation services business. The key reason for ensuring the organization </w:t>
      </w:r>
      <w:r>
        <w:lastRenderedPageBreak/>
        <w:t>is licensed and has necessary legal permits is for the sake of professionalism and integrity for the organization.</w:t>
      </w:r>
    </w:p>
    <w:p w14:paraId="516BC7BF" w14:textId="77777777" w:rsidR="00B02042" w:rsidRDefault="00B02042" w:rsidP="00B02042">
      <w:r>
        <w:t xml:space="preserve">The business is registered as a Private Limited Company (Ltd) with Companies House, UK. The incorporation status gives the business owners protection against liability, allowing business and personal funds to be separate. The business is registered with HM Revenue &amp; Customs (HMRC) for compliance with all tax matters as well as for accurate reporting </w:t>
      </w:r>
      <w:proofErr w:type="gramStart"/>
      <w:r>
        <w:t>of</w:t>
      </w:r>
      <w:proofErr w:type="gramEnd"/>
      <w:r>
        <w:t xml:space="preserve"> the business finances.</w:t>
      </w:r>
    </w:p>
    <w:p w14:paraId="2EDAD96F" w14:textId="77777777" w:rsidR="00B02042" w:rsidRDefault="00B02042" w:rsidP="00B02042">
      <w:r w:rsidRPr="008C0499">
        <w:rPr>
          <w:noProof/>
        </w:rPr>
        <w:drawing>
          <wp:inline distT="0" distB="0" distL="0" distR="0" wp14:anchorId="61446219" wp14:editId="177450F8">
            <wp:extent cx="5943600" cy="3362325"/>
            <wp:effectExtent l="0" t="0" r="0" b="9525"/>
            <wp:docPr id="1159533756" name="Picture 1" descr="A close-up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33756" name="Picture 1" descr="A close-up of a building&#10;&#10;AI-generated content may be incorrect."/>
                    <pic:cNvPicPr/>
                  </pic:nvPicPr>
                  <pic:blipFill>
                    <a:blip r:embed="rId28"/>
                    <a:stretch>
                      <a:fillRect/>
                    </a:stretch>
                  </pic:blipFill>
                  <pic:spPr>
                    <a:xfrm>
                      <a:off x="0" y="0"/>
                      <a:ext cx="5943600" cy="3362325"/>
                    </a:xfrm>
                    <a:prstGeom prst="rect">
                      <a:avLst/>
                    </a:prstGeom>
                  </pic:spPr>
                </pic:pic>
              </a:graphicData>
            </a:graphic>
          </wp:inline>
        </w:drawing>
      </w:r>
    </w:p>
    <w:p w14:paraId="1CD43225" w14:textId="77777777" w:rsidR="00B02042" w:rsidRDefault="00B02042" w:rsidP="00B02042">
      <w:r>
        <w:t xml:space="preserve">Apart from company registration, the </w:t>
      </w:r>
      <w:proofErr w:type="spellStart"/>
      <w:r>
        <w:t>organisation</w:t>
      </w:r>
      <w:proofErr w:type="spellEnd"/>
      <w:r>
        <w:t xml:space="preserve"> ensures that mediators within the framework conform to accreditation criteria set by approved UK mediation standards. This applies to criteria approved by the Civil Mediation Council and other professional </w:t>
      </w:r>
    </w:p>
    <w:p w14:paraId="13947F79" w14:textId="77777777" w:rsidR="00B02042" w:rsidRDefault="00B02042" w:rsidP="00B02042">
      <w:r>
        <w:t xml:space="preserve">accreditation. This ensures that mediators have their competence, professional ethics, and compliance with best practices formally approved, thus honoring public trust in the services provided by such an </w:t>
      </w:r>
      <w:proofErr w:type="spellStart"/>
      <w:r>
        <w:t>organisation</w:t>
      </w:r>
      <w:proofErr w:type="spellEnd"/>
      <w:r>
        <w:t>.</w:t>
      </w:r>
    </w:p>
    <w:p w14:paraId="42EB0A1E" w14:textId="77777777" w:rsidR="00B02042" w:rsidRDefault="00B02042" w:rsidP="00B02042">
      <w:r>
        <w:t>The company also has professional indemnity insurance and where necessary, business insurance. These ensure that both the clients and the company are protected against potential claims that may arise out of professional mistakes and/or omissions committed during mediation. The insurance is constantly reviewed and updated to incorporate changes with respect to the nature of the services provided.</w:t>
      </w:r>
    </w:p>
    <w:p w14:paraId="4DEFED7A" w14:textId="77777777" w:rsidR="00B02042" w:rsidRDefault="00B02042" w:rsidP="00B02042">
      <w:r>
        <w:lastRenderedPageBreak/>
        <w:t>Transparent documentation and formal agreements are also regarded as a part of compliance and registration processes. These may include signed copies of mediation agreements, contracts of confidentiality, and consent documents, all of which are kept and governed properly as per the guidelines of the Data Protection Act 2018 and the UK GDPR. The documents help in ensuring ethical, lawful, and standard delivery of the service.</w:t>
      </w:r>
    </w:p>
    <w:p w14:paraId="08762D3A" w14:textId="77777777" w:rsidR="00B02042" w:rsidRDefault="00B02042" w:rsidP="00B02042">
      <w:r>
        <w:t xml:space="preserve">Additionally, the corporation is aware of any developments in legislature or guidelines related to the field of civil mediation. The continuous updating of the registrations and </w:t>
      </w:r>
      <w:proofErr w:type="gramStart"/>
      <w:r>
        <w:t>procuring of</w:t>
      </w:r>
      <w:proofErr w:type="gramEnd"/>
      <w:r>
        <w:t xml:space="preserve"> further licenses when needed enable the organization to provide a continuous flow of services.</w:t>
      </w:r>
    </w:p>
    <w:p w14:paraId="38B1BD9F" w14:textId="77777777" w:rsidR="00B02042" w:rsidRDefault="00B02042" w:rsidP="00B02042">
      <w:r>
        <w:t>In conclusion, the licenses and registrations of the firm, the Diligence company, play an important part in providing the firm with the legal and professional platform and credentials necessary for the firm to operate</w:t>
      </w:r>
    </w:p>
    <w:p w14:paraId="15C45568" w14:textId="77777777" w:rsidR="00B02042" w:rsidRPr="00FA3F6B" w:rsidRDefault="00B02042" w:rsidP="00B02042">
      <w:pPr>
        <w:pStyle w:val="Heading2"/>
      </w:pPr>
      <w:bookmarkStart w:id="31" w:name="_Toc220883294"/>
      <w:r>
        <w:t>5.6 Physical Setup</w:t>
      </w:r>
      <w:bookmarkEnd w:id="31"/>
    </w:p>
    <w:p w14:paraId="280D25B0" w14:textId="77777777" w:rsidR="00B02042" w:rsidRPr="00FA3F6B" w:rsidRDefault="00B02042" w:rsidP="00B02042">
      <w:pPr>
        <w:jc w:val="both"/>
      </w:pPr>
      <w:r w:rsidRPr="00FA3F6B">
        <w:rPr>
          <w:noProof/>
        </w:rPr>
        <w:drawing>
          <wp:inline distT="0" distB="0" distL="0" distR="0" wp14:anchorId="6453058B" wp14:editId="73C06082">
            <wp:extent cx="5943600" cy="3168650"/>
            <wp:effectExtent l="0" t="0" r="0" b="0"/>
            <wp:docPr id="1788088771" name="Picture 1" descr="A conference room with a large table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088771" name="Picture 1" descr="A conference room with a large table and chairs&#10;&#10;AI-generated content may be incorrect."/>
                    <pic:cNvPicPr/>
                  </pic:nvPicPr>
                  <pic:blipFill>
                    <a:blip r:embed="rId29"/>
                    <a:stretch>
                      <a:fillRect/>
                    </a:stretch>
                  </pic:blipFill>
                  <pic:spPr>
                    <a:xfrm>
                      <a:off x="0" y="0"/>
                      <a:ext cx="5943600" cy="3168650"/>
                    </a:xfrm>
                    <a:prstGeom prst="rect">
                      <a:avLst/>
                    </a:prstGeom>
                  </pic:spPr>
                </pic:pic>
              </a:graphicData>
            </a:graphic>
          </wp:inline>
        </w:drawing>
      </w:r>
    </w:p>
    <w:p w14:paraId="1B6B9F8A" w14:textId="77777777" w:rsidR="00B02042" w:rsidRDefault="00B02042" w:rsidP="00B02042"/>
    <w:p w14:paraId="0AD4395E" w14:textId="77777777" w:rsidR="00B02042" w:rsidRDefault="00B02042" w:rsidP="00B02042">
      <w:r>
        <w:t>The layout of the Diligence legal support and civil mediation services company aims to incorporate professionalism, confidentiality, and efficiency. Because civil mediation can involve sensitive clients, facility design, as well as technology, aims at ensuring that there is a safe, convenient, and client-focused way of delivering these services.</w:t>
      </w:r>
    </w:p>
    <w:p w14:paraId="0AA98286" w14:textId="77777777" w:rsidR="00B02042" w:rsidRDefault="00B02042" w:rsidP="00B02042">
      <w:r>
        <w:t xml:space="preserve">The firm uses a hybrid model, which brings together the concept of a registered office for administrative matters together with online mediation services. While the registered office </w:t>
      </w:r>
      <w:r>
        <w:lastRenderedPageBreak/>
        <w:t>acts as an office for documentation as well as administration with possible face-to-face mediations, online services enable clients to access these services from anywhere.</w:t>
      </w:r>
    </w:p>
    <w:p w14:paraId="24010B13" w14:textId="77777777" w:rsidR="00B02042" w:rsidRDefault="00B02042" w:rsidP="00B02042">
      <w:r>
        <w:t>All physical environments that will be employed in mediation sessions will be carefully considered to ensure neutrality, privacy, and security. This is necessary to ensure that both parties to a dispute feel comfortable in contributing to proceedings. This is achieved by soundproofing all meeting rooms to ensure privacy. Online security is guaranteed by encryption.</w:t>
      </w:r>
    </w:p>
    <w:p w14:paraId="57129AD0" w14:textId="77777777" w:rsidR="00B02042" w:rsidRDefault="00B02042" w:rsidP="00B02042">
      <w:r>
        <w:t>Such physical arrangement of the company also fits into the brand identity, exuding professionalism, professionalism, and friendliness. Minimalist office decor, proper markings, and comfortable client waiting space enable the company to be professional as well as a welcoming venture. Efficiency in operations is facilitated through shared workspaces for the staff.</w:t>
      </w:r>
    </w:p>
    <w:p w14:paraId="1AC94658" w14:textId="3EE4D8AF" w:rsidR="00B02042" w:rsidRDefault="00B02042" w:rsidP="00B02042">
      <w:r>
        <w:t>To ensure that all their mediation services are provided with the required reliability, confidentiality, and efficacy while having the flexibility to be scaled for convenience, the company has a hybrid operational model coupled with secure and professional physical spaces.</w:t>
      </w:r>
    </w:p>
    <w:p w14:paraId="369C4DC7" w14:textId="77777777" w:rsidR="00B02042" w:rsidRDefault="00B02042" w:rsidP="00B02042"/>
    <w:p w14:paraId="2560916E" w14:textId="77777777" w:rsidR="00B02042" w:rsidRPr="006052C5" w:rsidRDefault="00B02042" w:rsidP="00B02042">
      <w:pPr>
        <w:pStyle w:val="Heading2"/>
      </w:pPr>
      <w:bookmarkStart w:id="32" w:name="_Toc220883295"/>
      <w:r w:rsidRPr="006052C5">
        <w:t>5.7 KPIs and Quality Assurance</w:t>
      </w:r>
      <w:bookmarkEnd w:id="32"/>
    </w:p>
    <w:p w14:paraId="1CA78554" w14:textId="6C59808C" w:rsidR="00B02042" w:rsidRDefault="00B02042" w:rsidP="00B02042">
      <w:r>
        <w:t>Key Performance Indicators and Quality Assurance Tools" are a crucial aspect of ensuring the highest standards of service delivery and client satisfaction. The Diligence Corporation operates with a systematic and efficient means of tracking the effectiveness of the organization.</w:t>
      </w:r>
    </w:p>
    <w:p w14:paraId="61B29FEF" w14:textId="77777777" w:rsidR="00B02042" w:rsidRDefault="00B02042" w:rsidP="00B02042">
      <w:r>
        <w:t>Case resolution rate – The rate at which cases are resolved through mediation to mutual agreement.</w:t>
      </w:r>
    </w:p>
    <w:p w14:paraId="1CAE8B6A" w14:textId="77777777" w:rsidR="00B02042" w:rsidRDefault="00B02042" w:rsidP="00B02042">
      <w:r>
        <w:t>Average time to resolution – measuring efficiency in managing and concluding cases.</w:t>
      </w:r>
    </w:p>
    <w:p w14:paraId="6F271116" w14:textId="77777777" w:rsidR="00B02042" w:rsidRDefault="00B02042" w:rsidP="00B02042">
      <w:r>
        <w:t xml:space="preserve"> Client satisfaction scores- This is client response to professionalism, understanding, and outcome fairness.</w:t>
      </w:r>
    </w:p>
    <w:p w14:paraId="48C75FF2" w14:textId="77777777" w:rsidR="00B02042" w:rsidRDefault="00B02042" w:rsidP="00B02042">
      <w:r>
        <w:t>Compliance adherence – accuracy of documentation, compliance with ethics and the law, and confidentiality of important data.</w:t>
      </w:r>
    </w:p>
    <w:p w14:paraId="23B89092" w14:textId="77777777" w:rsidR="00B02042" w:rsidRDefault="00B02042" w:rsidP="00B02042">
      <w:r>
        <w:t xml:space="preserve">Employee performance: monitoring mediator performance as well as employee performance relative to </w:t>
      </w:r>
      <w:proofErr w:type="spellStart"/>
      <w:r>
        <w:t>organisational</w:t>
      </w:r>
      <w:proofErr w:type="spellEnd"/>
      <w:r>
        <w:t xml:space="preserve"> values and ethical standards.</w:t>
      </w:r>
    </w:p>
    <w:p w14:paraId="7A8EF9B7" w14:textId="77777777" w:rsidR="00B02042" w:rsidRDefault="00B02042" w:rsidP="00B02042">
      <w:r>
        <w:lastRenderedPageBreak/>
        <w:t>Quality assurance is ensured through peer reviews, case audits, and oversight. Every mediation session is checked for adherence to the norms of accreditation, ethics, and procedural correctness. Feedback from the client is gathered systematically to determine trends, staff needs for training, and service improvement areas.</w:t>
      </w:r>
    </w:p>
    <w:p w14:paraId="5A0EE906" w14:textId="77777777" w:rsidR="00B02042" w:rsidRDefault="00B02042" w:rsidP="00B02042">
      <w:r>
        <w:t xml:space="preserve">By incorporating KPIs and quality assurance procedures, the firm </w:t>
      </w:r>
      <w:proofErr w:type="gramStart"/>
      <w:r>
        <w:t>is able to</w:t>
      </w:r>
      <w:proofErr w:type="gramEnd"/>
      <w:r>
        <w:t xml:space="preserve"> provide continuous excellence in services, operational clarity, and learning, which improves the level of trust and professionalism on the part of the clients.</w:t>
      </w:r>
    </w:p>
    <w:p w14:paraId="090E7BA7" w14:textId="77777777" w:rsidR="00B02042" w:rsidRDefault="00B02042" w:rsidP="00B02042">
      <w:r w:rsidRPr="00FA3F6B">
        <w:rPr>
          <w:noProof/>
        </w:rPr>
        <w:drawing>
          <wp:inline distT="0" distB="0" distL="0" distR="0" wp14:anchorId="46483B85" wp14:editId="5C203056">
            <wp:extent cx="5943600" cy="3099435"/>
            <wp:effectExtent l="0" t="0" r="0" b="5715"/>
            <wp:docPr id="927661973" name="Picture 1" descr="A screenshot of a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661973" name="Picture 1" descr="A screenshot of a dashboard"/>
                    <pic:cNvPicPr/>
                  </pic:nvPicPr>
                  <pic:blipFill>
                    <a:blip r:embed="rId30"/>
                    <a:stretch>
                      <a:fillRect/>
                    </a:stretch>
                  </pic:blipFill>
                  <pic:spPr>
                    <a:xfrm>
                      <a:off x="0" y="0"/>
                      <a:ext cx="5943600" cy="3099435"/>
                    </a:xfrm>
                    <a:prstGeom prst="rect">
                      <a:avLst/>
                    </a:prstGeom>
                  </pic:spPr>
                </pic:pic>
              </a:graphicData>
            </a:graphic>
          </wp:inline>
        </w:drawing>
      </w:r>
    </w:p>
    <w:p w14:paraId="0BAA5B6F" w14:textId="77777777" w:rsidR="00B02042" w:rsidRDefault="00B02042" w:rsidP="00B02042"/>
    <w:p w14:paraId="218279C8" w14:textId="77777777" w:rsidR="00B02042" w:rsidRDefault="00B02042" w:rsidP="00B02042"/>
    <w:p w14:paraId="2586B9EF" w14:textId="77777777" w:rsidR="00B02042" w:rsidRDefault="00B02042" w:rsidP="00B02042"/>
    <w:p w14:paraId="3C97DC38" w14:textId="77777777" w:rsidR="00B02042" w:rsidRDefault="00B02042" w:rsidP="00B02042"/>
    <w:p w14:paraId="28E81461" w14:textId="77777777" w:rsidR="00B02042" w:rsidRPr="00FA3F6B" w:rsidRDefault="00B02042" w:rsidP="00B02042">
      <w:pPr>
        <w:pStyle w:val="Heading2"/>
      </w:pPr>
      <w:bookmarkStart w:id="33" w:name="_Toc220883296"/>
      <w:r w:rsidRPr="006052C5">
        <w:t>5.8 Sustainability and ESG</w:t>
      </w:r>
      <w:bookmarkEnd w:id="33"/>
    </w:p>
    <w:p w14:paraId="6A62A461" w14:textId="77777777" w:rsidR="00B02042" w:rsidRDefault="00B02042" w:rsidP="00B02042">
      <w:r>
        <w:t>Sustainability and ESG principles are part of the culture of the Diligence company to ensure that the practices are socially responsible and environmentally positive.</w:t>
      </w:r>
    </w:p>
    <w:p w14:paraId="65490097" w14:textId="77777777" w:rsidR="00B02042" w:rsidRDefault="00B02042" w:rsidP="00B02042">
      <w:r w:rsidRPr="00E6392B">
        <w:rPr>
          <w:b/>
          <w:bCs/>
        </w:rPr>
        <w:t>According to Eccles, Ioannou, and Serafeim</w:t>
      </w:r>
      <w:r w:rsidRPr="00E6392B">
        <w:t xml:space="preserve"> (2014), ESG (Environmental, Social, Governance) evaluates a company’s sustainability, ethical impact, and long-term risk management. It helps businesses create value while maintaining responsibility to stakeholders and society.</w:t>
      </w:r>
    </w:p>
    <w:p w14:paraId="3CA89B83" w14:textId="77777777" w:rsidR="00B02042" w:rsidRDefault="00B02042" w:rsidP="00B02042">
      <w:pPr>
        <w:jc w:val="center"/>
      </w:pPr>
      <w:r w:rsidRPr="00FA3F6B">
        <w:rPr>
          <w:noProof/>
        </w:rPr>
        <w:lastRenderedPageBreak/>
        <w:drawing>
          <wp:inline distT="0" distB="0" distL="0" distR="0" wp14:anchorId="59EB36F8" wp14:editId="2FA8BF3B">
            <wp:extent cx="2902272" cy="2733675"/>
            <wp:effectExtent l="0" t="0" r="0" b="0"/>
            <wp:docPr id="518585605" name="Picture 1" descr="A diagram of esg ris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85605" name="Picture 1" descr="A diagram of esg risks&#10;&#10;AI-generated content may be incorrect."/>
                    <pic:cNvPicPr/>
                  </pic:nvPicPr>
                  <pic:blipFill>
                    <a:blip r:embed="rId31"/>
                    <a:stretch>
                      <a:fillRect/>
                    </a:stretch>
                  </pic:blipFill>
                  <pic:spPr>
                    <a:xfrm>
                      <a:off x="0" y="0"/>
                      <a:ext cx="2913750" cy="2744486"/>
                    </a:xfrm>
                    <a:prstGeom prst="rect">
                      <a:avLst/>
                    </a:prstGeom>
                  </pic:spPr>
                </pic:pic>
              </a:graphicData>
            </a:graphic>
          </wp:inline>
        </w:drawing>
      </w:r>
    </w:p>
    <w:p w14:paraId="2B62D7B1" w14:textId="77777777" w:rsidR="00B02042" w:rsidRDefault="00B02042" w:rsidP="00B02042">
      <w:r>
        <w:t>Sustainability of the environment is promoted through digital workflow systems, paperless filing, and web-based mediation services, thus lowering carbon print and use of resources. Social responsibly is shown through facilitating access to justice through mediation, providing mediator services at low cost, valuing and accommodating Diversity and Inclusion, and helping the parties to solve disputes without going through protracted trials. Employee training also entails environmental and cultural sensitivity and empathy.</w:t>
      </w:r>
    </w:p>
    <w:p w14:paraId="4299E9E3" w14:textId="77777777" w:rsidR="00B02042" w:rsidRDefault="00B02042" w:rsidP="00B02042">
      <w:r>
        <w:t xml:space="preserve">Best practices in governance relate to transparency, accountability, and ethics. Internal audits, strict adherence to UK law and best practice, and the adoption of </w:t>
      </w:r>
      <w:proofErr w:type="spellStart"/>
      <w:r>
        <w:t>organisational</w:t>
      </w:r>
      <w:proofErr w:type="spellEnd"/>
      <w:r>
        <w:t xml:space="preserve"> policies guarantee that the firm conducts itself in a trustworthy and reliable manner. Integrating ESG factors improves the firm's reputation, correlates with the mission to provide fair and impartial mediation services, and promotes sustainability.</w:t>
      </w:r>
    </w:p>
    <w:p w14:paraId="3562BCD1" w14:textId="77777777" w:rsidR="00B02042" w:rsidRDefault="00B02042" w:rsidP="00B02042">
      <w:pPr>
        <w:pStyle w:val="Heading2"/>
      </w:pPr>
      <w:bookmarkStart w:id="34" w:name="_Toc220883297"/>
      <w:r>
        <w:t>5.9 Summary</w:t>
      </w:r>
      <w:bookmarkEnd w:id="34"/>
    </w:p>
    <w:p w14:paraId="19710854" w14:textId="77777777" w:rsidR="00B02042" w:rsidRDefault="00B02042" w:rsidP="00B02042">
      <w:r>
        <w:t>Chapter 5 showcases the operational framework of the Diligence legal support and civil mediation services firm. The operations of the firm are designed to incorporate professionalism, ethics, and client-focused delivery. This is ensured using well-qualified personnel, strict adherence to the law, modern technology, safe environments, and quality control.</w:t>
      </w:r>
    </w:p>
    <w:p w14:paraId="15A09B3A" w14:textId="56A97B1D" w:rsidR="000F02B1" w:rsidRDefault="00B02042" w:rsidP="007E53D9">
      <w:r>
        <w:t xml:space="preserve">With the integration of KPIs, ESG values, and scalable best practices, the company can operate in an efficient, reliable, and sustainable manner. The process, staff, compliance, and technology infrastructure combine to consolidate </w:t>
      </w:r>
      <w:proofErr w:type="gramStart"/>
      <w:r>
        <w:t>the brand</w:t>
      </w:r>
      <w:proofErr w:type="gramEnd"/>
      <w:r>
        <w:t xml:space="preserve"> identity for trust, impartiality, and professionalism for the organization, while enabling their clients to benefit from easily accessed mediation services with good quality</w:t>
      </w:r>
    </w:p>
    <w:p w14:paraId="51A98F22" w14:textId="77777777" w:rsidR="000F02B1" w:rsidRDefault="000F02B1" w:rsidP="00D27F3C">
      <w:pPr>
        <w:pStyle w:val="Heading1"/>
      </w:pPr>
    </w:p>
    <w:p w14:paraId="34646C1E" w14:textId="4D6FB618" w:rsidR="00D27F3C" w:rsidRPr="00D27F3C" w:rsidRDefault="00D27F3C" w:rsidP="00D27F3C">
      <w:pPr>
        <w:pStyle w:val="Heading1"/>
      </w:pPr>
      <w:r>
        <w:t xml:space="preserve">        </w:t>
      </w:r>
      <w:bookmarkStart w:id="35" w:name="_Toc220883298"/>
      <w:r>
        <w:t>Chapter 6: Human Resource capital Allocation</w:t>
      </w:r>
      <w:bookmarkEnd w:id="35"/>
      <w:r>
        <w:t xml:space="preserve"> </w:t>
      </w:r>
    </w:p>
    <w:p w14:paraId="07D2DF7B" w14:textId="16D4A7BC" w:rsidR="00D27F3C" w:rsidRPr="00D27F3C" w:rsidRDefault="00D27F3C" w:rsidP="00D27F3C">
      <w:r>
        <w:t xml:space="preserve">      </w:t>
      </w:r>
      <w:r w:rsidRPr="00D27F3C">
        <w:rPr>
          <w:noProof/>
        </w:rPr>
        <w:drawing>
          <wp:inline distT="0" distB="0" distL="0" distR="0" wp14:anchorId="2BC0E9E7" wp14:editId="08B27736">
            <wp:extent cx="5488710" cy="3133725"/>
            <wp:effectExtent l="0" t="0" r="0" b="0"/>
            <wp:docPr id="1597507255" name="Picture 1"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07255" name="Picture 1" descr="A group of people sitting around a table&#10;&#10;AI-generated content may be incorrect."/>
                    <pic:cNvPicPr/>
                  </pic:nvPicPr>
                  <pic:blipFill>
                    <a:blip r:embed="rId32"/>
                    <a:stretch>
                      <a:fillRect/>
                    </a:stretch>
                  </pic:blipFill>
                  <pic:spPr>
                    <a:xfrm>
                      <a:off x="0" y="0"/>
                      <a:ext cx="5499345" cy="3139797"/>
                    </a:xfrm>
                    <a:prstGeom prst="rect">
                      <a:avLst/>
                    </a:prstGeom>
                  </pic:spPr>
                </pic:pic>
              </a:graphicData>
            </a:graphic>
          </wp:inline>
        </w:drawing>
      </w:r>
    </w:p>
    <w:p w14:paraId="6052D35B" w14:textId="0089C492" w:rsidR="00D27F3C" w:rsidRDefault="00D27F3C" w:rsidP="00D27F3C">
      <w:r>
        <w:t>Human Resource Capital Allocation really sits at the heart of what Diligence Legal Support and Civil Mediation Services do. Unlike companies that sell products, mediation is all about people — their judgment, their ethics, their emotional smarts, and their know-how. The way Diligence sets up, develops, and keeps its team directly shapes how effective, credible, and sustainable the organization is. In this chapter, you’ll get a look at Diligence’s approach to human capital — how they design roles, plan for staffing, use flexible hiring, set up pay, encourage diversity, and grow talent for the long haul.</w:t>
      </w:r>
    </w:p>
    <w:p w14:paraId="0BF52C8D" w14:textId="5412F2F7" w:rsidR="00D27F3C" w:rsidRDefault="00D27F3C" w:rsidP="00D27F3C"/>
    <w:p w14:paraId="1638BDE7" w14:textId="6C318E99" w:rsidR="00D27F3C" w:rsidRDefault="00D27F3C" w:rsidP="00D27F3C">
      <w:pPr>
        <w:pStyle w:val="Heading2"/>
      </w:pPr>
      <w:bookmarkStart w:id="36" w:name="_Toc220883299"/>
      <w:r>
        <w:t>6.1 HR Structure Overview</w:t>
      </w:r>
      <w:bookmarkEnd w:id="36"/>
    </w:p>
    <w:p w14:paraId="4A438702" w14:textId="2B56FF26" w:rsidR="00D27F3C" w:rsidRDefault="00D27F3C" w:rsidP="00D27F3C">
      <w:r>
        <w:t xml:space="preserve">     </w:t>
      </w:r>
    </w:p>
    <w:p w14:paraId="229BF1BA" w14:textId="657B1494" w:rsidR="00D27F3C" w:rsidRDefault="00D27F3C" w:rsidP="00D27F3C">
      <w:pPr>
        <w:jc w:val="center"/>
        <w:rPr>
          <w:b/>
          <w:bCs/>
        </w:rPr>
      </w:pPr>
      <w:r w:rsidRPr="00D27F3C">
        <w:rPr>
          <w:b/>
          <w:bCs/>
          <w:highlight w:val="yellow"/>
        </w:rPr>
        <w:t>Diligence Human Resource Structure</w:t>
      </w:r>
    </w:p>
    <w:p w14:paraId="0852728C" w14:textId="48CF6268" w:rsidR="00D27F3C" w:rsidRDefault="00D27F3C" w:rsidP="00D27F3C">
      <w:pPr>
        <w:jc w:val="center"/>
        <w:rPr>
          <w:b/>
          <w:bCs/>
        </w:rPr>
      </w:pPr>
      <w:r w:rsidRPr="00D27F3C">
        <w:rPr>
          <w:b/>
          <w:bCs/>
          <w:noProof/>
        </w:rPr>
        <mc:AlternateContent>
          <mc:Choice Requires="wps">
            <w:drawing>
              <wp:anchor distT="45720" distB="45720" distL="114300" distR="114300" simplePos="0" relativeHeight="251661312" behindDoc="0" locked="0" layoutInCell="1" allowOverlap="1" wp14:anchorId="61D36391" wp14:editId="1082D18D">
                <wp:simplePos x="0" y="0"/>
                <wp:positionH relativeFrom="column">
                  <wp:posOffset>1800225</wp:posOffset>
                </wp:positionH>
                <wp:positionV relativeFrom="paragraph">
                  <wp:posOffset>16510</wp:posOffset>
                </wp:positionV>
                <wp:extent cx="2162175" cy="619125"/>
                <wp:effectExtent l="0" t="0" r="28575" b="28575"/>
                <wp:wrapSquare wrapText="bothSides"/>
                <wp:docPr id="290610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619125"/>
                        </a:xfrm>
                        <a:prstGeom prst="rect">
                          <a:avLst/>
                        </a:prstGeom>
                        <a:solidFill>
                          <a:srgbClr val="FFFFFF"/>
                        </a:solidFill>
                        <a:ln w="9525">
                          <a:solidFill>
                            <a:srgbClr val="000000"/>
                          </a:solidFill>
                          <a:miter lim="800000"/>
                          <a:headEnd/>
                          <a:tailEnd/>
                        </a:ln>
                      </wps:spPr>
                      <wps:txbx>
                        <w:txbxContent>
                          <w:p w14:paraId="16FF8387" w14:textId="7610230D" w:rsidR="00D27F3C" w:rsidRPr="00D27F3C" w:rsidRDefault="00D27F3C">
                            <w:pPr>
                              <w:rPr>
                                <w:highlight w:val="green"/>
                                <w:u w:val="single"/>
                              </w:rPr>
                            </w:pPr>
                            <w:r w:rsidRPr="00D27F3C">
                              <w:rPr>
                                <w:highlight w:val="green"/>
                                <w:u w:val="single"/>
                              </w:rPr>
                              <w:t xml:space="preserve">Founder&amp; Managing director </w:t>
                            </w:r>
                          </w:p>
                          <w:p w14:paraId="5ED95431" w14:textId="3C228B11" w:rsidR="00D27F3C" w:rsidRPr="00D27F3C" w:rsidRDefault="00D27F3C" w:rsidP="00D27F3C">
                            <w:pPr>
                              <w:jc w:val="center"/>
                              <w:rPr>
                                <w:u w:val="single"/>
                              </w:rPr>
                            </w:pPr>
                            <w:r w:rsidRPr="00D27F3C">
                              <w:rPr>
                                <w:highlight w:val="green"/>
                                <w:u w:val="single"/>
                              </w:rPr>
                              <w:t>Leadership&amp; Strategy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D36391" id="_x0000_t202" coordsize="21600,21600" o:spt="202" path="m,l,21600r21600,l21600,xe">
                <v:stroke joinstyle="miter"/>
                <v:path gradientshapeok="t" o:connecttype="rect"/>
              </v:shapetype>
              <v:shape id="Text Box 2" o:spid="_x0000_s1026" type="#_x0000_t202" style="position:absolute;left:0;text-align:left;margin-left:141.75pt;margin-top:1.3pt;width:170.25pt;height:48.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">
                <v:textbox>
                  <w:txbxContent>
                    <w:p w14:paraId="16FF8387" w14:textId="7610230D" w:rsidR="00D27F3C" w:rsidRPr="00D27F3C" w:rsidRDefault="00D27F3C">
                      <w:pPr>
                        <w:rPr>
                          <w:highlight w:val="green"/>
                          <w:u w:val="single"/>
                        </w:rPr>
                      </w:pPr>
                      <w:r w:rsidRPr="00D27F3C">
                        <w:rPr>
                          <w:highlight w:val="green"/>
                          <w:u w:val="single"/>
                        </w:rPr>
                        <w:t xml:space="preserve">Founder&amp; Managing director </w:t>
                      </w:r>
                    </w:p>
                    <w:p w14:paraId="5ED95431" w14:textId="3C228B11" w:rsidR="00D27F3C" w:rsidRPr="00D27F3C" w:rsidRDefault="00D27F3C" w:rsidP="00D27F3C">
                      <w:pPr>
                        <w:jc w:val="center"/>
                        <w:rPr>
                          <w:u w:val="single"/>
                        </w:rPr>
                      </w:pPr>
                      <w:r w:rsidRPr="00D27F3C">
                        <w:rPr>
                          <w:highlight w:val="green"/>
                          <w:u w:val="single"/>
                        </w:rPr>
                        <w:t>Leadership&amp; Strategy</w:t>
                      </w:r>
                    </w:p>
                  </w:txbxContent>
                </v:textbox>
                <w10:wrap type="square"/>
              </v:shape>
            </w:pict>
          </mc:Fallback>
        </mc:AlternateContent>
      </w:r>
    </w:p>
    <w:p w14:paraId="0CAA36A9" w14:textId="76475AF6" w:rsidR="00D27F3C" w:rsidRPr="00D27F3C" w:rsidRDefault="00D27F3C" w:rsidP="00D27F3C">
      <w:pPr>
        <w:jc w:val="center"/>
        <w:rPr>
          <w:b/>
          <w:bCs/>
          <w:u w:val="single"/>
        </w:rPr>
      </w:pPr>
      <w:r>
        <w:rPr>
          <w:noProof/>
        </w:rPr>
        <w:lastRenderedPageBreak/>
        <mc:AlternateContent>
          <mc:Choice Requires="wps">
            <w:drawing>
              <wp:anchor distT="0" distB="0" distL="114300" distR="114300" simplePos="0" relativeHeight="251673600" behindDoc="0" locked="0" layoutInCell="1" allowOverlap="1" wp14:anchorId="476CD5BF" wp14:editId="2A797CC4">
                <wp:simplePos x="0" y="0"/>
                <wp:positionH relativeFrom="column">
                  <wp:posOffset>4524375</wp:posOffset>
                </wp:positionH>
                <wp:positionV relativeFrom="paragraph">
                  <wp:posOffset>1119506</wp:posOffset>
                </wp:positionV>
                <wp:extent cx="2019300" cy="742950"/>
                <wp:effectExtent l="0" t="0" r="19050" b="19050"/>
                <wp:wrapNone/>
                <wp:docPr id="220721627" name="Rectangle 8"/>
                <wp:cNvGraphicFramePr/>
                <a:graphic xmlns:a="http://schemas.openxmlformats.org/drawingml/2006/main">
                  <a:graphicData uri="http://schemas.microsoft.com/office/word/2010/wordprocessingShape">
                    <wps:wsp>
                      <wps:cNvSpPr/>
                      <wps:spPr>
                        <a:xfrm>
                          <a:off x="0" y="0"/>
                          <a:ext cx="2019300" cy="7429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70F80F" w14:textId="3173127A" w:rsidR="00D27F3C" w:rsidRPr="00D27F3C" w:rsidRDefault="00D27F3C" w:rsidP="00D27F3C">
                            <w:pPr>
                              <w:jc w:val="center"/>
                              <w:rPr>
                                <w:u w:val="single"/>
                              </w:rPr>
                            </w:pPr>
                            <w:r w:rsidRPr="00D27F3C">
                              <w:rPr>
                                <w:u w:val="single"/>
                              </w:rPr>
                              <w:t>Clear Reporting Lines Communication &amp; transparency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CD5BF" id="Rectangle 8" o:spid="_x0000_s1027" style="position:absolute;left:0;text-align:left;margin-left:356.25pt;margin-top:88.15pt;width:159pt;height: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" fillcolor="#156082 [3204]" strokecolor="#030e13 [484]" strokeweight="1.5pt">
                <v:textbox>
                  <w:txbxContent>
                    <w:p w14:paraId="3570F80F" w14:textId="3173127A" w:rsidR="00D27F3C" w:rsidRPr="00D27F3C" w:rsidRDefault="00D27F3C" w:rsidP="00D27F3C">
                      <w:pPr>
                        <w:jc w:val="center"/>
                        <w:rPr>
                          <w:u w:val="single"/>
                        </w:rPr>
                      </w:pPr>
                      <w:r w:rsidRPr="00D27F3C">
                        <w:rPr>
                          <w:u w:val="single"/>
                        </w:rPr>
                        <w:t>Clear Reporting Lines Communication &amp; transparency</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72BD6179" wp14:editId="6E5EF737">
                <wp:simplePos x="0" y="0"/>
                <wp:positionH relativeFrom="column">
                  <wp:posOffset>1781175</wp:posOffset>
                </wp:positionH>
                <wp:positionV relativeFrom="paragraph">
                  <wp:posOffset>1100455</wp:posOffset>
                </wp:positionV>
                <wp:extent cx="1828800" cy="714375"/>
                <wp:effectExtent l="0" t="0" r="19050" b="28575"/>
                <wp:wrapNone/>
                <wp:docPr id="1822298975" name="Rectangle 5"/>
                <wp:cNvGraphicFramePr/>
                <a:graphic xmlns:a="http://schemas.openxmlformats.org/drawingml/2006/main">
                  <a:graphicData uri="http://schemas.microsoft.com/office/word/2010/wordprocessingShape">
                    <wps:wsp>
                      <wps:cNvSpPr/>
                      <wps:spPr>
                        <a:xfrm>
                          <a:off x="0" y="0"/>
                          <a:ext cx="1828800" cy="7143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9FA5AD" w14:textId="0C6687AF" w:rsidR="00D27F3C" w:rsidRDefault="00D27F3C" w:rsidP="00D27F3C">
                            <w:pPr>
                              <w:jc w:val="center"/>
                              <w:rPr>
                                <w:u w:val="single"/>
                              </w:rPr>
                            </w:pPr>
                            <w:r w:rsidRPr="00D27F3C">
                              <w:rPr>
                                <w:u w:val="single"/>
                              </w:rPr>
                              <w:t>Lean Initial Stage</w:t>
                            </w:r>
                            <w:r>
                              <w:rPr>
                                <w:u w:val="single"/>
                              </w:rPr>
                              <w:t xml:space="preserve">      </w:t>
                            </w:r>
                          </w:p>
                          <w:p w14:paraId="1F63AE8F" w14:textId="56488D60" w:rsidR="00D27F3C" w:rsidRPr="00D27F3C" w:rsidRDefault="00D27F3C" w:rsidP="00D27F3C">
                            <w:pPr>
                              <w:jc w:val="center"/>
                              <w:rPr>
                                <w:u w:val="single"/>
                              </w:rPr>
                            </w:pPr>
                            <w:r>
                              <w:rPr>
                                <w:u w:val="single"/>
                              </w:rPr>
                              <w:t xml:space="preserve">Maintain quality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D6179" id="Rectangle 5" o:spid="_x0000_s1028" style="position:absolute;left:0;text-align:left;margin-left:140.25pt;margin-top:86.65pt;width:2in;height:5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" fillcolor="#156082 [3204]" strokecolor="#030e13 [484]" strokeweight="1.5pt">
                <v:textbox>
                  <w:txbxContent>
                    <w:p w14:paraId="449FA5AD" w14:textId="0C6687AF" w:rsidR="00D27F3C" w:rsidRDefault="00D27F3C" w:rsidP="00D27F3C">
                      <w:pPr>
                        <w:jc w:val="center"/>
                        <w:rPr>
                          <w:u w:val="single"/>
                        </w:rPr>
                      </w:pPr>
                      <w:r w:rsidRPr="00D27F3C">
                        <w:rPr>
                          <w:u w:val="single"/>
                        </w:rPr>
                        <w:t>Lean Initial Stage</w:t>
                      </w:r>
                      <w:r>
                        <w:rPr>
                          <w:u w:val="single"/>
                        </w:rPr>
                        <w:t xml:space="preserve">      </w:t>
                      </w:r>
                    </w:p>
                    <w:p w14:paraId="1F63AE8F" w14:textId="56488D60" w:rsidR="00D27F3C" w:rsidRPr="00D27F3C" w:rsidRDefault="00D27F3C" w:rsidP="00D27F3C">
                      <w:pPr>
                        <w:jc w:val="center"/>
                        <w:rPr>
                          <w:u w:val="single"/>
                        </w:rPr>
                      </w:pPr>
                      <w:r>
                        <w:rPr>
                          <w:u w:val="single"/>
                        </w:rPr>
                        <w:t xml:space="preserve">Maintain quality </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28BEB666" wp14:editId="5556DFE6">
                <wp:simplePos x="0" y="0"/>
                <wp:positionH relativeFrom="column">
                  <wp:posOffset>-419100</wp:posOffset>
                </wp:positionH>
                <wp:positionV relativeFrom="paragraph">
                  <wp:posOffset>1100455</wp:posOffset>
                </wp:positionV>
                <wp:extent cx="1562100" cy="704850"/>
                <wp:effectExtent l="0" t="0" r="19050" b="19050"/>
                <wp:wrapNone/>
                <wp:docPr id="1606001801" name="Rectangle 4"/>
                <wp:cNvGraphicFramePr/>
                <a:graphic xmlns:a="http://schemas.openxmlformats.org/drawingml/2006/main">
                  <a:graphicData uri="http://schemas.microsoft.com/office/word/2010/wordprocessingShape">
                    <wps:wsp>
                      <wps:cNvSpPr/>
                      <wps:spPr>
                        <a:xfrm>
                          <a:off x="0" y="0"/>
                          <a:ext cx="1562100" cy="7048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31EBC5" w14:textId="18C98A0A" w:rsidR="00D27F3C" w:rsidRPr="00D27F3C" w:rsidRDefault="00D27F3C" w:rsidP="00D27F3C">
                            <w:pPr>
                              <w:rPr>
                                <w:u w:val="single"/>
                              </w:rPr>
                            </w:pPr>
                            <w:r w:rsidRPr="00D27F3C">
                              <w:rPr>
                                <w:u w:val="single"/>
                              </w:rPr>
                              <w:t>Flexible structure</w:t>
                            </w:r>
                            <w:r>
                              <w:rPr>
                                <w:u w:val="single"/>
                              </w:rPr>
                              <w:t xml:space="preserve">    Accountability &amp; </w:t>
                            </w:r>
                            <w:r>
                              <w:rPr>
                                <w:u w:val="single"/>
                              </w:rPr>
                              <w:t xml:space="preserve">Addapability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EB666" id="Rectangle 4" o:spid="_x0000_s1029" style="position:absolute;left:0;text-align:left;margin-left:-33pt;margin-top:86.65pt;width:123pt;height: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" fillcolor="#156082 [3204]" strokecolor="#030e13 [484]" strokeweight="1.5pt">
                <v:textbox>
                  <w:txbxContent>
                    <w:p w14:paraId="0E31EBC5" w14:textId="18C98A0A" w:rsidR="00D27F3C" w:rsidRPr="00D27F3C" w:rsidRDefault="00D27F3C" w:rsidP="00D27F3C">
                      <w:pPr>
                        <w:rPr>
                          <w:u w:val="single"/>
                        </w:rPr>
                      </w:pPr>
                      <w:r w:rsidRPr="00D27F3C">
                        <w:rPr>
                          <w:u w:val="single"/>
                        </w:rPr>
                        <w:t>Flexible structure</w:t>
                      </w:r>
                      <w:r>
                        <w:rPr>
                          <w:u w:val="single"/>
                        </w:rPr>
                        <w:t xml:space="preserve">    Accountability &amp; </w:t>
                      </w:r>
                      <w:proofErr w:type="spellStart"/>
                      <w:r>
                        <w:rPr>
                          <w:u w:val="single"/>
                        </w:rPr>
                        <w:t>Addapability</w:t>
                      </w:r>
                      <w:proofErr w:type="spellEnd"/>
                      <w:r>
                        <w:rPr>
                          <w:u w:val="single"/>
                        </w:rPr>
                        <w:t xml:space="preserve">                  </w:t>
                      </w:r>
                    </w:p>
                  </w:txbxContent>
                </v:textbox>
              </v:rect>
            </w:pict>
          </mc:Fallback>
        </mc:AlternateContent>
      </w:r>
      <w:r>
        <w:rPr>
          <w:noProof/>
        </w:rPr>
        <mc:AlternateContent>
          <mc:Choice Requires="wps">
            <w:drawing>
              <wp:anchor distT="45720" distB="45720" distL="114300" distR="114300" simplePos="0" relativeHeight="251669504" behindDoc="0" locked="0" layoutInCell="1" allowOverlap="1" wp14:anchorId="30305E77" wp14:editId="3AA6D594">
                <wp:simplePos x="0" y="0"/>
                <wp:positionH relativeFrom="column">
                  <wp:posOffset>5124450</wp:posOffset>
                </wp:positionH>
                <wp:positionV relativeFrom="paragraph">
                  <wp:posOffset>338455</wp:posOffset>
                </wp:positionV>
                <wp:extent cx="1676400" cy="571500"/>
                <wp:effectExtent l="0" t="0" r="19050" b="19050"/>
                <wp:wrapSquare wrapText="bothSides"/>
                <wp:docPr id="130052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76400" cy="571500"/>
                        </a:xfrm>
                        <a:prstGeom prst="rect">
                          <a:avLst/>
                        </a:prstGeom>
                        <a:solidFill>
                          <a:srgbClr val="FFFFFF"/>
                        </a:solidFill>
                        <a:ln w="9525">
                          <a:solidFill>
                            <a:srgbClr val="000000"/>
                          </a:solidFill>
                          <a:miter lim="800000"/>
                          <a:headEnd/>
                          <a:tailEnd/>
                        </a:ln>
                      </wps:spPr>
                      <wps:txbx>
                        <w:txbxContent>
                          <w:p w14:paraId="5EA87328" w14:textId="52302598" w:rsidR="00D27F3C" w:rsidRPr="00D27F3C" w:rsidRDefault="00D27F3C">
                            <w:r w:rsidRPr="00D27F3C">
                              <w:rPr>
                                <w:highlight w:val="green"/>
                              </w:rPr>
                              <w:t>Admin&amp;Client Support office&amp;Client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305E77" id="_x0000_s1030" type="#_x0000_t202" style="position:absolute;left:0;text-align:left;margin-left:403.5pt;margin-top:26.65pt;width:132pt;height:45pt;flip:x;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">
                <v:textbox>
                  <w:txbxContent>
                    <w:p w14:paraId="5EA87328" w14:textId="52302598" w:rsidR="00D27F3C" w:rsidRPr="00D27F3C" w:rsidRDefault="00D27F3C">
                      <w:proofErr w:type="spellStart"/>
                      <w:r w:rsidRPr="00D27F3C">
                        <w:rPr>
                          <w:highlight w:val="green"/>
                        </w:rPr>
                        <w:t>Admin&amp;Client</w:t>
                      </w:r>
                      <w:proofErr w:type="spellEnd"/>
                      <w:r w:rsidRPr="00D27F3C">
                        <w:rPr>
                          <w:highlight w:val="green"/>
                        </w:rPr>
                        <w:t xml:space="preserve"> Support </w:t>
                      </w:r>
                      <w:proofErr w:type="spellStart"/>
                      <w:r w:rsidRPr="00D27F3C">
                        <w:rPr>
                          <w:highlight w:val="green"/>
                        </w:rPr>
                        <w:t>office&amp;Client</w:t>
                      </w:r>
                      <w:proofErr w:type="spellEnd"/>
                      <w:r w:rsidRPr="00D27F3C">
                        <w:rPr>
                          <w:highlight w:val="green"/>
                        </w:rPr>
                        <w:t xml:space="preserve"> Services</w:t>
                      </w:r>
                    </w:p>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4184BFFB" wp14:editId="12A88CC9">
                <wp:simplePos x="0" y="0"/>
                <wp:positionH relativeFrom="column">
                  <wp:posOffset>3400425</wp:posOffset>
                </wp:positionH>
                <wp:positionV relativeFrom="paragraph">
                  <wp:posOffset>309880</wp:posOffset>
                </wp:positionV>
                <wp:extent cx="1695450" cy="609600"/>
                <wp:effectExtent l="0" t="0" r="19050" b="19050"/>
                <wp:wrapSquare wrapText="bothSides"/>
                <wp:docPr id="6832187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609600"/>
                        </a:xfrm>
                        <a:prstGeom prst="rect">
                          <a:avLst/>
                        </a:prstGeom>
                        <a:solidFill>
                          <a:srgbClr val="FFFFFF"/>
                        </a:solidFill>
                        <a:ln w="9525">
                          <a:solidFill>
                            <a:srgbClr val="000000"/>
                          </a:solidFill>
                          <a:miter lim="800000"/>
                          <a:headEnd/>
                          <a:tailEnd/>
                        </a:ln>
                      </wps:spPr>
                      <wps:txbx>
                        <w:txbxContent>
                          <w:p w14:paraId="3C673F65" w14:textId="68C0DF39" w:rsidR="00D27F3C" w:rsidRPr="00D27F3C" w:rsidRDefault="00D27F3C">
                            <w:pPr>
                              <w:rPr>
                                <w:u w:val="single"/>
                              </w:rPr>
                            </w:pPr>
                            <w:r w:rsidRPr="00D27F3C">
                              <w:rPr>
                                <w:highlight w:val="green"/>
                                <w:u w:val="single"/>
                              </w:rPr>
                              <w:t>Operational  Staff    case Coordinator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84BFFB" id="_x0000_s1031" type="#_x0000_t202" style="position:absolute;left:0;text-align:left;margin-left:267.75pt;margin-top:24.4pt;width:133.5pt;height:4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">
                <v:textbox>
                  <w:txbxContent>
                    <w:p w14:paraId="3C673F65" w14:textId="68C0DF39" w:rsidR="00D27F3C" w:rsidRPr="00D27F3C" w:rsidRDefault="00D27F3C">
                      <w:pPr>
                        <w:rPr>
                          <w:u w:val="single"/>
                        </w:rPr>
                      </w:pPr>
                      <w:proofErr w:type="gramStart"/>
                      <w:r w:rsidRPr="00D27F3C">
                        <w:rPr>
                          <w:highlight w:val="green"/>
                          <w:u w:val="single"/>
                        </w:rPr>
                        <w:t>Operational  Staff</w:t>
                      </w:r>
                      <w:proofErr w:type="gramEnd"/>
                      <w:r w:rsidRPr="00D27F3C">
                        <w:rPr>
                          <w:highlight w:val="green"/>
                          <w:u w:val="single"/>
                        </w:rPr>
                        <w:t xml:space="preserve">    case Coordinator</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32446379" wp14:editId="3E6F7F7E">
                <wp:simplePos x="0" y="0"/>
                <wp:positionH relativeFrom="column">
                  <wp:posOffset>1542415</wp:posOffset>
                </wp:positionH>
                <wp:positionV relativeFrom="paragraph">
                  <wp:posOffset>338455</wp:posOffset>
                </wp:positionV>
                <wp:extent cx="1828800" cy="571500"/>
                <wp:effectExtent l="0" t="0" r="19050" b="19050"/>
                <wp:wrapSquare wrapText="bothSides"/>
                <wp:docPr id="503209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28800" cy="571500"/>
                        </a:xfrm>
                        <a:prstGeom prst="rect">
                          <a:avLst/>
                        </a:prstGeom>
                        <a:solidFill>
                          <a:srgbClr val="FFFFFF"/>
                        </a:solidFill>
                        <a:ln w="9525">
                          <a:solidFill>
                            <a:srgbClr val="000000"/>
                          </a:solidFill>
                          <a:miter lim="800000"/>
                          <a:headEnd/>
                          <a:tailEnd/>
                        </a:ln>
                      </wps:spPr>
                      <wps:txbx>
                        <w:txbxContent>
                          <w:p w14:paraId="5BD771AC" w14:textId="21CFFB9F" w:rsidR="00D27F3C" w:rsidRPr="00D27F3C" w:rsidRDefault="00D27F3C">
                            <w:pPr>
                              <w:rPr>
                                <w:u w:val="single"/>
                              </w:rPr>
                            </w:pPr>
                            <w:r w:rsidRPr="00D27F3C">
                              <w:rPr>
                                <w:highlight w:val="green"/>
                                <w:u w:val="single"/>
                              </w:rPr>
                              <w:t>Legal Support Officers case documentation</w:t>
                            </w:r>
                            <w:r>
                              <w:rPr>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46379" id="_x0000_s1032" type="#_x0000_t202" style="position:absolute;left:0;text-align:left;margin-left:121.45pt;margin-top:26.65pt;width:2in;height:45pt;flip:x;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">
                <v:textbox>
                  <w:txbxContent>
                    <w:p w14:paraId="5BD771AC" w14:textId="21CFFB9F" w:rsidR="00D27F3C" w:rsidRPr="00D27F3C" w:rsidRDefault="00D27F3C">
                      <w:pPr>
                        <w:rPr>
                          <w:u w:val="single"/>
                        </w:rPr>
                      </w:pPr>
                      <w:r w:rsidRPr="00D27F3C">
                        <w:rPr>
                          <w:highlight w:val="green"/>
                          <w:u w:val="single"/>
                        </w:rPr>
                        <w:t>Legal Support Officers case documentation</w:t>
                      </w:r>
                      <w:r>
                        <w:rPr>
                          <w:u w:val="single"/>
                        </w:rPr>
                        <w:t xml:space="preserve"> </w:t>
                      </w:r>
                    </w:p>
                  </w:txbxContent>
                </v:textbox>
                <w10:wrap type="square"/>
              </v:shape>
            </w:pict>
          </mc:Fallback>
        </mc:AlternateContent>
      </w:r>
      <w:r>
        <w:rPr>
          <w:noProof/>
        </w:rPr>
        <mc:AlternateContent>
          <mc:Choice Requires="wps">
            <w:drawing>
              <wp:anchor distT="45720" distB="45720" distL="114300" distR="114300" simplePos="0" relativeHeight="251663360" behindDoc="0" locked="0" layoutInCell="1" allowOverlap="1" wp14:anchorId="04B3D312" wp14:editId="45D36C5A">
                <wp:simplePos x="0" y="0"/>
                <wp:positionH relativeFrom="page">
                  <wp:posOffset>476250</wp:posOffset>
                </wp:positionH>
                <wp:positionV relativeFrom="paragraph">
                  <wp:posOffset>328930</wp:posOffset>
                </wp:positionV>
                <wp:extent cx="1990725" cy="5810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581025"/>
                        </a:xfrm>
                        <a:prstGeom prst="rect">
                          <a:avLst/>
                        </a:prstGeom>
                        <a:solidFill>
                          <a:srgbClr val="FFFFFF"/>
                        </a:solidFill>
                        <a:ln w="9525">
                          <a:solidFill>
                            <a:srgbClr val="000000"/>
                          </a:solidFill>
                          <a:miter lim="800000"/>
                          <a:headEnd/>
                          <a:tailEnd/>
                        </a:ln>
                      </wps:spPr>
                      <wps:txbx>
                        <w:txbxContent>
                          <w:p w14:paraId="336EF71A" w14:textId="69899C4F" w:rsidR="00D27F3C" w:rsidRPr="00D27F3C" w:rsidRDefault="00D27F3C">
                            <w:pPr>
                              <w:rPr>
                                <w:u w:val="single"/>
                              </w:rPr>
                            </w:pPr>
                            <w:r w:rsidRPr="00D27F3C">
                              <w:rPr>
                                <w:highlight w:val="green"/>
                                <w:u w:val="single"/>
                              </w:rPr>
                              <w:t xml:space="preserve">Mediation Professional Accredited </w:t>
                            </w:r>
                            <w:r w:rsidRPr="00D27F3C">
                              <w:rPr>
                                <w:highlight w:val="green"/>
                                <w:u w:val="single"/>
                              </w:rPr>
                              <w:t>civil Mediators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3D312" id="_x0000_s1033" type="#_x0000_t202" style="position:absolute;left:0;text-align:left;margin-left:37.5pt;margin-top:25.9pt;width:156.75pt;height:45.7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">
                <v:textbox>
                  <w:txbxContent>
                    <w:p w14:paraId="336EF71A" w14:textId="69899C4F" w:rsidR="00D27F3C" w:rsidRPr="00D27F3C" w:rsidRDefault="00D27F3C">
                      <w:pPr>
                        <w:rPr>
                          <w:u w:val="single"/>
                        </w:rPr>
                      </w:pPr>
                      <w:r w:rsidRPr="00D27F3C">
                        <w:rPr>
                          <w:highlight w:val="green"/>
                          <w:u w:val="single"/>
                        </w:rPr>
                        <w:t xml:space="preserve">Mediation Professional Accredited </w:t>
                      </w:r>
                      <w:proofErr w:type="gramStart"/>
                      <w:r w:rsidRPr="00D27F3C">
                        <w:rPr>
                          <w:highlight w:val="green"/>
                          <w:u w:val="single"/>
                        </w:rPr>
                        <w:t>civil</w:t>
                      </w:r>
                      <w:proofErr w:type="gramEnd"/>
                      <w:r w:rsidRPr="00D27F3C">
                        <w:rPr>
                          <w:highlight w:val="green"/>
                          <w:u w:val="single"/>
                        </w:rPr>
                        <w:t xml:space="preserve"> Mediators</w:t>
                      </w:r>
                    </w:p>
                  </w:txbxContent>
                </v:textbox>
                <w10:wrap type="square" anchorx="page"/>
              </v:shape>
            </w:pict>
          </mc:Fallback>
        </mc:AlternateContent>
      </w:r>
    </w:p>
    <w:p w14:paraId="5AB842BE" w14:textId="0F7CCD45" w:rsidR="00D27F3C" w:rsidRPr="00D27F3C" w:rsidRDefault="00D27F3C" w:rsidP="00D27F3C">
      <w:pPr>
        <w:rPr>
          <w:b/>
          <w:bCs/>
        </w:rPr>
      </w:pPr>
      <w:r>
        <w:t>Diligence built its HR structure to deliver ethical service, keep things running smoothly, and grow when needed. Because civil mediation deals with private and sensitive matters, the company uses a central HR setup that stays flexible. That way, they can stay accountable but still adjust if case numbers go up or down.</w:t>
      </w:r>
    </w:p>
    <w:p w14:paraId="1CA5CD41" w14:textId="77777777" w:rsidR="00D27F3C" w:rsidRDefault="00D27F3C" w:rsidP="00D27F3C">
      <w:r>
        <w:t>To keep overhead low and quality high, Diligence runs lean at the start. The core team mixes permanent leaders with flexible staff who can scale up or down with demand. This setup means Diligence can handle busy periods without taking on more permanent costs than they need.</w:t>
      </w:r>
    </w:p>
    <w:p w14:paraId="20E041E4" w14:textId="77777777" w:rsidR="00D27F3C" w:rsidRDefault="00D27F3C" w:rsidP="00D27F3C">
      <w:r>
        <w:t>People fall into four main groups here: leadership, mediation professionals, operational support, and admin staff. Reporting lines are clear, so everyone knows who to go to and what’s expected. The company weaves ethics, confidentiality, and professionalism into everyday work through policies, training, and regular reviews.</w:t>
      </w:r>
    </w:p>
    <w:p w14:paraId="524DCC89" w14:textId="77777777" w:rsidR="00D27F3C" w:rsidRDefault="00D27F3C" w:rsidP="00D27F3C">
      <w:r>
        <w:t>All of this gives Diligence a structure that’s both solid and flexible. They can keep their quality steady now, and it sets them up to grow later.</w:t>
      </w:r>
    </w:p>
    <w:p w14:paraId="523A9983" w14:textId="77777777" w:rsidR="00D27F3C" w:rsidRDefault="00D27F3C" w:rsidP="00D27F3C"/>
    <w:p w14:paraId="42E694D7" w14:textId="77777777" w:rsidR="00D27F3C" w:rsidRDefault="00D27F3C" w:rsidP="00D27F3C"/>
    <w:p w14:paraId="5792CB89" w14:textId="77777777" w:rsidR="00D27F3C" w:rsidRDefault="00D27F3C" w:rsidP="00D27F3C"/>
    <w:p w14:paraId="0DAC9849" w14:textId="77777777" w:rsidR="00D27F3C" w:rsidRDefault="00D27F3C" w:rsidP="00D27F3C"/>
    <w:p w14:paraId="315AED4E" w14:textId="77777777" w:rsidR="00D27F3C" w:rsidRDefault="00D27F3C" w:rsidP="00D27F3C">
      <w:pPr>
        <w:pStyle w:val="Heading2"/>
      </w:pPr>
      <w:bookmarkStart w:id="37" w:name="_Toc220883300"/>
      <w:r>
        <w:t>6.2 Role Allocation and Responsibilities</w:t>
      </w:r>
      <w:bookmarkEnd w:id="37"/>
    </w:p>
    <w:p w14:paraId="084E9970" w14:textId="77777777" w:rsidR="00D27F3C" w:rsidRDefault="00D27F3C" w:rsidP="00D27F3C"/>
    <w:p w14:paraId="4A6117D5" w14:textId="77777777" w:rsidR="00D27F3C" w:rsidRDefault="00D27F3C" w:rsidP="00D27F3C">
      <w:r>
        <w:t>With mediation, you can’t have blurry lines about who does what — you need clear roles to avoid conflicts and keep things neutral and professional. At Diligence, every role has well-defined responsibilities that match up with both daily operations and ethical standards.</w:t>
      </w:r>
    </w:p>
    <w:p w14:paraId="5C87D91E" w14:textId="77777777" w:rsidR="00D27F3C" w:rsidRDefault="00D27F3C" w:rsidP="00D27F3C">
      <w:r>
        <w:t xml:space="preserve">The Founder and Managing Director </w:t>
      </w:r>
      <w:proofErr w:type="gramStart"/>
      <w:r>
        <w:t>leads</w:t>
      </w:r>
      <w:proofErr w:type="gramEnd"/>
      <w:r>
        <w:t xml:space="preserve"> the big-picture stuff: strategy, compliance, finance, and company culture. They make sure legal obligations, ethical values, and business goals all line up. They also handle partnerships, new service ideas, and keep an eye on quality.</w:t>
      </w:r>
    </w:p>
    <w:p w14:paraId="5FA617D3" w14:textId="77777777" w:rsidR="00D27F3C" w:rsidRDefault="00D27F3C" w:rsidP="00D27F3C">
      <w:r>
        <w:lastRenderedPageBreak/>
        <w:t>Accredited Civil Mediators are the backbone of the operation. They run the mediation sessions, keep things fair and private, and help people find common ground — but never force decisions. Mediators need to stick to high professional standards and keep up with their training.</w:t>
      </w:r>
    </w:p>
    <w:p w14:paraId="7A48A317" w14:textId="77777777" w:rsidR="00D27F3C" w:rsidRDefault="00D27F3C" w:rsidP="00D27F3C">
      <w:r>
        <w:t>Legal Support Officers handle all the paperwork — case files, consent forms, confidentiality agreements, and compliance steps. They don’t give legal advice, but their work keeps everything accurate, legally tight, and running smoothly, which helps mediators and lowers risk.</w:t>
      </w:r>
    </w:p>
    <w:p w14:paraId="2177FADA" w14:textId="77777777" w:rsidR="00D27F3C" w:rsidRDefault="00D27F3C" w:rsidP="00D27F3C">
      <w:r>
        <w:t xml:space="preserve">The Case Coordinator keeps the wheels turning. They handle schedules, track cases, and act as a go-between for clients, mediators, and everyone else involved. By keeping communication clear and </w:t>
      </w:r>
      <w:proofErr w:type="gramStart"/>
      <w:r>
        <w:t>workloads balanced</w:t>
      </w:r>
      <w:proofErr w:type="gramEnd"/>
      <w:r>
        <w:t>, they stop bottlenecks before they start.</w:t>
      </w:r>
    </w:p>
    <w:p w14:paraId="17F9210C" w14:textId="77777777" w:rsidR="00D27F3C" w:rsidRDefault="00D27F3C" w:rsidP="00D27F3C">
      <w:r>
        <w:t>Then there’s the Admin and Client Support team. They answer phones, manage records, handle billing, and keep the office humming. Because they deal with sensitive information, they get special training in data protection, ethics, and client care.</w:t>
      </w:r>
    </w:p>
    <w:p w14:paraId="4B757FE8" w14:textId="77777777" w:rsidR="00D27F3C" w:rsidRDefault="00D27F3C" w:rsidP="00D27F3C"/>
    <w:p w14:paraId="75B8CA1C" w14:textId="77777777" w:rsidR="00D27F3C" w:rsidRDefault="00D27F3C" w:rsidP="00D27F3C">
      <w:pPr>
        <w:pStyle w:val="Heading2"/>
      </w:pPr>
      <w:bookmarkStart w:id="38" w:name="_Toc220883301"/>
      <w:r>
        <w:t>6.3 Year 1 vs Year 2 Human Capital Forecast</w:t>
      </w:r>
      <w:bookmarkEnd w:id="38"/>
    </w:p>
    <w:p w14:paraId="68FCD7B4" w14:textId="59FC8625" w:rsidR="00D27F3C" w:rsidRPr="00D27F3C" w:rsidRDefault="00D27F3C" w:rsidP="00D27F3C">
      <w:pPr>
        <w:jc w:val="center"/>
      </w:pPr>
      <w:r w:rsidRPr="00D27F3C">
        <w:rPr>
          <w:noProof/>
        </w:rPr>
        <w:drawing>
          <wp:inline distT="0" distB="0" distL="0" distR="0" wp14:anchorId="47B32869" wp14:editId="1DD800CA">
            <wp:extent cx="4885666" cy="3136013"/>
            <wp:effectExtent l="0" t="0" r="0" b="7620"/>
            <wp:docPr id="546030547" name="Picture 1" descr="A collage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030547" name="Picture 1" descr="A collage of a group of people&#10;&#10;AI-generated content may be incorrect."/>
                    <pic:cNvPicPr/>
                  </pic:nvPicPr>
                  <pic:blipFill>
                    <a:blip r:embed="rId33"/>
                    <a:stretch>
                      <a:fillRect/>
                    </a:stretch>
                  </pic:blipFill>
                  <pic:spPr>
                    <a:xfrm>
                      <a:off x="0" y="0"/>
                      <a:ext cx="4911856" cy="3152824"/>
                    </a:xfrm>
                    <a:prstGeom prst="rect">
                      <a:avLst/>
                    </a:prstGeom>
                  </pic:spPr>
                </pic:pic>
              </a:graphicData>
            </a:graphic>
          </wp:inline>
        </w:drawing>
      </w:r>
    </w:p>
    <w:p w14:paraId="0C9AB43F" w14:textId="77777777" w:rsidR="00D27F3C" w:rsidRDefault="00D27F3C" w:rsidP="00D27F3C">
      <w:proofErr w:type="gramStart"/>
      <w:r>
        <w:t>Planning ahead</w:t>
      </w:r>
      <w:proofErr w:type="gramEnd"/>
      <w:r>
        <w:t xml:space="preserve"> for staffing helps Diligence match its team to what the business </w:t>
      </w:r>
      <w:proofErr w:type="gramStart"/>
      <w:r>
        <w:t>actually needs</w:t>
      </w:r>
      <w:proofErr w:type="gramEnd"/>
      <w:r>
        <w:t xml:space="preserve"> — without blowing the budget.</w:t>
      </w:r>
    </w:p>
    <w:p w14:paraId="252F3A12" w14:textId="77777777" w:rsidR="00D27F3C" w:rsidRDefault="00D27F3C" w:rsidP="00D27F3C">
      <w:r>
        <w:lastRenderedPageBreak/>
        <w:t>In the first year, the team is tight: the Founder and Managing Director, one or two mediators, a Legal Support Officer, and some part-time admin help. That’s enough to get things moving, handle early cases, and build the brand.</w:t>
      </w:r>
    </w:p>
    <w:p w14:paraId="0FDDD58D" w14:textId="77777777" w:rsidR="00D27F3C" w:rsidRDefault="00D27F3C" w:rsidP="00D27F3C">
      <w:r>
        <w:t>By year two, as more people hear about Diligence and cases pick up, the plan is to grow the team — but carefully. More mediators will come on board, mostly as contractors or part-timers, to handle the extra work. Legal and admin support will grow too, so the company can keep up its service and compliance standards.</w:t>
      </w:r>
    </w:p>
    <w:p w14:paraId="2A356161" w14:textId="20AA98F9" w:rsidR="00D27F3C" w:rsidRDefault="00D27F3C" w:rsidP="00D27F3C">
      <w:r>
        <w:t>This kind of step-by-step hiring keeps financial risk in check. It also means Diligence can scale up smoothly and keep its quality high as it grows.</w:t>
      </w:r>
    </w:p>
    <w:p w14:paraId="68EE71E2" w14:textId="77777777" w:rsidR="00D27F3C" w:rsidRDefault="00D27F3C" w:rsidP="00D27F3C"/>
    <w:p w14:paraId="5CE59FC7" w14:textId="77777777" w:rsidR="00D27F3C" w:rsidRDefault="00D27F3C" w:rsidP="00D27F3C">
      <w:pPr>
        <w:pStyle w:val="Heading2"/>
      </w:pPr>
      <w:bookmarkStart w:id="39" w:name="_Toc220883302"/>
      <w:r w:rsidRPr="00D27F3C">
        <w:t>6.4 Part-Time Internship Model</w:t>
      </w:r>
      <w:bookmarkEnd w:id="39"/>
    </w:p>
    <w:p w14:paraId="448A7B0E" w14:textId="77777777" w:rsidR="00D27F3C" w:rsidRDefault="00D27F3C" w:rsidP="00D27F3C"/>
    <w:p w14:paraId="79F16B52" w14:textId="4EFDE459" w:rsidR="00D27F3C" w:rsidRDefault="00D27F3C" w:rsidP="00D27F3C">
      <w:r>
        <w:rPr>
          <w:noProof/>
        </w:rPr>
        <mc:AlternateContent>
          <mc:Choice Requires="wps">
            <w:drawing>
              <wp:anchor distT="0" distB="0" distL="114300" distR="114300" simplePos="0" relativeHeight="251679744" behindDoc="0" locked="0" layoutInCell="1" allowOverlap="1" wp14:anchorId="5EA51E18" wp14:editId="47C2D206">
                <wp:simplePos x="0" y="0"/>
                <wp:positionH relativeFrom="column">
                  <wp:posOffset>3905250</wp:posOffset>
                </wp:positionH>
                <wp:positionV relativeFrom="paragraph">
                  <wp:posOffset>172085</wp:posOffset>
                </wp:positionV>
                <wp:extent cx="2000250" cy="781050"/>
                <wp:effectExtent l="0" t="0" r="19050" b="19050"/>
                <wp:wrapNone/>
                <wp:docPr id="129466699" name="Rectangle 10"/>
                <wp:cNvGraphicFramePr/>
                <a:graphic xmlns:a="http://schemas.openxmlformats.org/drawingml/2006/main">
                  <a:graphicData uri="http://schemas.microsoft.com/office/word/2010/wordprocessingShape">
                    <wps:wsp>
                      <wps:cNvSpPr/>
                      <wps:spPr>
                        <a:xfrm>
                          <a:off x="0" y="0"/>
                          <a:ext cx="2000250" cy="7810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4E96B0" w14:textId="7ADF07FE" w:rsidR="00D27F3C" w:rsidRPr="00D27F3C" w:rsidRDefault="00D27F3C" w:rsidP="00D27F3C">
                            <w:pPr>
                              <w:jc w:val="center"/>
                              <w:rPr>
                                <w:b/>
                                <w:bCs/>
                              </w:rPr>
                            </w:pPr>
                            <w:r w:rsidRPr="00D27F3C">
                              <w:rPr>
                                <w:b/>
                                <w:bCs/>
                              </w:rPr>
                              <w:t>Operational Support</w:t>
                            </w:r>
                            <w:r>
                              <w:rPr>
                                <w:b/>
                                <w:bCs/>
                              </w:rPr>
                              <w:t xml:space="preserve">            </w:t>
                            </w:r>
                            <w:r w:rsidRPr="00D27F3C">
                              <w:t>Case coordination              legal Support Officers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1E18" id="Rectangle 10" o:spid="_x0000_s1034" style="position:absolute;margin-left:307.5pt;margin-top:13.55pt;width:157.5pt;height:6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" fillcolor="#156082 [3204]" strokecolor="#030e13 [484]" strokeweight="1.5pt">
                <v:textbox>
                  <w:txbxContent>
                    <w:p w14:paraId="174E96B0" w14:textId="7ADF07FE" w:rsidR="00D27F3C" w:rsidRPr="00D27F3C" w:rsidRDefault="00D27F3C" w:rsidP="00D27F3C">
                      <w:pPr>
                        <w:jc w:val="center"/>
                        <w:rPr>
                          <w:b/>
                          <w:bCs/>
                        </w:rPr>
                      </w:pPr>
                      <w:r w:rsidRPr="00D27F3C">
                        <w:rPr>
                          <w:b/>
                          <w:bCs/>
                        </w:rPr>
                        <w:t>Operational Support</w:t>
                      </w:r>
                      <w:r>
                        <w:rPr>
                          <w:b/>
                          <w:bCs/>
                        </w:rPr>
                        <w:t xml:space="preserve">            </w:t>
                      </w:r>
                      <w:r w:rsidRPr="00D27F3C">
                        <w:t>Case coordination              legal Support Officers</w:t>
                      </w:r>
                    </w:p>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17C15226" wp14:editId="4748FAF1">
                <wp:simplePos x="0" y="0"/>
                <wp:positionH relativeFrom="column">
                  <wp:posOffset>66675</wp:posOffset>
                </wp:positionH>
                <wp:positionV relativeFrom="paragraph">
                  <wp:posOffset>162559</wp:posOffset>
                </wp:positionV>
                <wp:extent cx="1828800" cy="714375"/>
                <wp:effectExtent l="0" t="0" r="19050" b="28575"/>
                <wp:wrapNone/>
                <wp:docPr id="2026834537" name="Rectangle 10"/>
                <wp:cNvGraphicFramePr/>
                <a:graphic xmlns:a="http://schemas.openxmlformats.org/drawingml/2006/main">
                  <a:graphicData uri="http://schemas.microsoft.com/office/word/2010/wordprocessingShape">
                    <wps:wsp>
                      <wps:cNvSpPr/>
                      <wps:spPr>
                        <a:xfrm>
                          <a:off x="0" y="0"/>
                          <a:ext cx="1828800" cy="7143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6132B6" w14:textId="5A04F053" w:rsidR="00D27F3C" w:rsidRDefault="00D27F3C" w:rsidP="00D27F3C">
                            <w:pPr>
                              <w:jc w:val="center"/>
                            </w:pPr>
                            <w:r w:rsidRPr="00D27F3C">
                              <w:rPr>
                                <w:b/>
                                <w:bCs/>
                              </w:rPr>
                              <w:t>Mediator Professional</w:t>
                            </w:r>
                            <w:r>
                              <w:t xml:space="preserve">           Accredited Mediators          contract mediators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15226" id="_x0000_s1035" style="position:absolute;margin-left:5.25pt;margin-top:12.8pt;width:2in;height:5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" fillcolor="#156082 [3204]" strokecolor="#030e13 [484]" strokeweight="1.5pt">
                <v:textbox>
                  <w:txbxContent>
                    <w:p w14:paraId="7C6132B6" w14:textId="5A04F053" w:rsidR="00D27F3C" w:rsidRDefault="00D27F3C" w:rsidP="00D27F3C">
                      <w:pPr>
                        <w:jc w:val="center"/>
                      </w:pPr>
                      <w:r w:rsidRPr="00D27F3C">
                        <w:rPr>
                          <w:b/>
                          <w:bCs/>
                        </w:rPr>
                        <w:t>Mediator Professional</w:t>
                      </w:r>
                      <w:r>
                        <w:t xml:space="preserve">           Accredited Mediators          contract mediators</w:t>
                      </w:r>
                    </w:p>
                  </w:txbxContent>
                </v:textbox>
              </v:rect>
            </w:pict>
          </mc:Fallback>
        </mc:AlternateContent>
      </w:r>
    </w:p>
    <w:p w14:paraId="0400C73C" w14:textId="4FFD3FC2" w:rsidR="00D27F3C" w:rsidRDefault="00D27F3C" w:rsidP="00D27F3C">
      <w:r>
        <w:t xml:space="preserve">                                                                                                                              </w:t>
      </w:r>
    </w:p>
    <w:p w14:paraId="593C0CD1" w14:textId="31DB506F" w:rsidR="00D27F3C" w:rsidRDefault="00D27F3C" w:rsidP="00D27F3C">
      <w:r>
        <w:rPr>
          <w:noProof/>
        </w:rPr>
        <mc:AlternateContent>
          <mc:Choice Requires="wps">
            <w:drawing>
              <wp:anchor distT="0" distB="0" distL="114300" distR="114300" simplePos="0" relativeHeight="251684864" behindDoc="0" locked="0" layoutInCell="1" allowOverlap="1" wp14:anchorId="16E669BA" wp14:editId="60B9F781">
                <wp:simplePos x="0" y="0"/>
                <wp:positionH relativeFrom="column">
                  <wp:posOffset>1887902</wp:posOffset>
                </wp:positionH>
                <wp:positionV relativeFrom="paragraph">
                  <wp:posOffset>282383</wp:posOffset>
                </wp:positionV>
                <wp:extent cx="277327" cy="289704"/>
                <wp:effectExtent l="38100" t="38100" r="66040" b="53340"/>
                <wp:wrapNone/>
                <wp:docPr id="202149824" name="Straight Arrow Connector 11"/>
                <wp:cNvGraphicFramePr/>
                <a:graphic xmlns:a="http://schemas.openxmlformats.org/drawingml/2006/main">
                  <a:graphicData uri="http://schemas.microsoft.com/office/word/2010/wordprocessingShape">
                    <wps:wsp>
                      <wps:cNvCnPr/>
                      <wps:spPr>
                        <a:xfrm>
                          <a:off x="0" y="0"/>
                          <a:ext cx="277327" cy="289704"/>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784278" id="_x0000_t32" coordsize="21600,21600" o:spt="32" o:oned="t" path="m,l21600,21600e" filled="f">
                <v:path arrowok="t" fillok="f" o:connecttype="none"/>
                <o:lock v:ext="edit" shapetype="t"/>
              </v:shapetype>
              <v:shape id="Straight Arrow Connector 11" o:spid="_x0000_s1026" type="#_x0000_t32" style="position:absolute;margin-left:148.65pt;margin-top:22.25pt;width:21.85pt;height:22.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" strokecolor="#156082 [3204]" strokeweight="1.5pt">
                <v:stroke startarrow="block" endarrow="block" joinstyle="miter"/>
              </v:shape>
            </w:pict>
          </mc:Fallback>
        </mc:AlternateContent>
      </w:r>
      <w:r>
        <w:t xml:space="preserve"> </w:t>
      </w:r>
    </w:p>
    <w:p w14:paraId="65A6ED30" w14:textId="04043E6B" w:rsidR="00D27F3C" w:rsidRDefault="00D27F3C" w:rsidP="00D27F3C">
      <w:r>
        <w:rPr>
          <w:noProof/>
        </w:rPr>
        <mc:AlternateContent>
          <mc:Choice Requires="wps">
            <w:drawing>
              <wp:anchor distT="0" distB="0" distL="114300" distR="114300" simplePos="0" relativeHeight="251682816" behindDoc="0" locked="0" layoutInCell="1" allowOverlap="1" wp14:anchorId="5A0360B0" wp14:editId="70FA1CC5">
                <wp:simplePos x="0" y="0"/>
                <wp:positionH relativeFrom="column">
                  <wp:posOffset>3597215</wp:posOffset>
                </wp:positionH>
                <wp:positionV relativeFrom="paragraph">
                  <wp:posOffset>25268</wp:posOffset>
                </wp:positionV>
                <wp:extent cx="296893" cy="168934"/>
                <wp:effectExtent l="38100" t="38100" r="46355" b="59690"/>
                <wp:wrapNone/>
                <wp:docPr id="951836388" name="Straight Arrow Connector 11"/>
                <wp:cNvGraphicFramePr/>
                <a:graphic xmlns:a="http://schemas.openxmlformats.org/drawingml/2006/main">
                  <a:graphicData uri="http://schemas.microsoft.com/office/word/2010/wordprocessingShape">
                    <wps:wsp>
                      <wps:cNvCnPr/>
                      <wps:spPr>
                        <a:xfrm flipH="1">
                          <a:off x="0" y="0"/>
                          <a:ext cx="296893" cy="168934"/>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18255B" id="Straight Arrow Connector 11" o:spid="_x0000_s1026" type="#_x0000_t32" style="position:absolute;margin-left:283.25pt;margin-top:2pt;width:23.4pt;height:13.3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" strokecolor="#156082 [3204]" strokeweight="1.5pt">
                <v:stroke startarrow="block"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0C05952C" wp14:editId="7263369E">
                <wp:simplePos x="0" y="0"/>
                <wp:positionH relativeFrom="column">
                  <wp:posOffset>2000250</wp:posOffset>
                </wp:positionH>
                <wp:positionV relativeFrom="paragraph">
                  <wp:posOffset>11429</wp:posOffset>
                </wp:positionV>
                <wp:extent cx="1847850" cy="1152525"/>
                <wp:effectExtent l="0" t="0" r="19050" b="28575"/>
                <wp:wrapNone/>
                <wp:docPr id="1752341530" name="Oval 9"/>
                <wp:cNvGraphicFramePr/>
                <a:graphic xmlns:a="http://schemas.openxmlformats.org/drawingml/2006/main">
                  <a:graphicData uri="http://schemas.microsoft.com/office/word/2010/wordprocessingShape">
                    <wps:wsp>
                      <wps:cNvSpPr/>
                      <wps:spPr>
                        <a:xfrm>
                          <a:off x="0" y="0"/>
                          <a:ext cx="1847850" cy="11525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E663745" w14:textId="3FC64DF5" w:rsidR="00D27F3C" w:rsidRDefault="00D27F3C" w:rsidP="00D27F3C">
                            <w:pPr>
                              <w:jc w:val="center"/>
                            </w:pPr>
                            <w:r>
                              <w:t>Managing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05952C" id="Oval 9" o:spid="_x0000_s1036" style="position:absolute;margin-left:157.5pt;margin-top:.9pt;width:145.5pt;height:9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" fillcolor="#156082 [3204]" strokecolor="#030e13 [484]" strokeweight="1.5pt">
                <v:stroke joinstyle="miter"/>
                <v:textbox>
                  <w:txbxContent>
                    <w:p w14:paraId="3E663745" w14:textId="3FC64DF5" w:rsidR="00D27F3C" w:rsidRDefault="00D27F3C" w:rsidP="00D27F3C">
                      <w:pPr>
                        <w:jc w:val="center"/>
                      </w:pPr>
                      <w:r>
                        <w:t>Managing Director</w:t>
                      </w:r>
                    </w:p>
                  </w:txbxContent>
                </v:textbox>
              </v:oval>
            </w:pict>
          </mc:Fallback>
        </mc:AlternateContent>
      </w:r>
    </w:p>
    <w:p w14:paraId="4C40FB7F" w14:textId="5EDC5CF2" w:rsidR="00D27F3C" w:rsidRDefault="00D27F3C" w:rsidP="00D27F3C"/>
    <w:p w14:paraId="50BA3EE3" w14:textId="0AB58D75" w:rsidR="00D27F3C" w:rsidRDefault="00D27F3C" w:rsidP="00D27F3C">
      <w:r>
        <w:rPr>
          <w:noProof/>
        </w:rPr>
        <mc:AlternateContent>
          <mc:Choice Requires="wps">
            <w:drawing>
              <wp:anchor distT="0" distB="0" distL="114300" distR="114300" simplePos="0" relativeHeight="251688960" behindDoc="0" locked="0" layoutInCell="1" allowOverlap="1" wp14:anchorId="76F5DE54" wp14:editId="5DC6ED41">
                <wp:simplePos x="0" y="0"/>
                <wp:positionH relativeFrom="column">
                  <wp:posOffset>1853781</wp:posOffset>
                </wp:positionH>
                <wp:positionV relativeFrom="paragraph">
                  <wp:posOffset>296893</wp:posOffset>
                </wp:positionV>
                <wp:extent cx="296893" cy="168934"/>
                <wp:effectExtent l="38100" t="38100" r="46355" b="59690"/>
                <wp:wrapNone/>
                <wp:docPr id="2044315649" name="Straight Arrow Connector 11"/>
                <wp:cNvGraphicFramePr/>
                <a:graphic xmlns:a="http://schemas.openxmlformats.org/drawingml/2006/main">
                  <a:graphicData uri="http://schemas.microsoft.com/office/word/2010/wordprocessingShape">
                    <wps:wsp>
                      <wps:cNvCnPr/>
                      <wps:spPr>
                        <a:xfrm flipH="1">
                          <a:off x="0" y="0"/>
                          <a:ext cx="296893" cy="168934"/>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B3486B" id="Straight Arrow Connector 11" o:spid="_x0000_s1026" type="#_x0000_t32" style="position:absolute;margin-left:145.95pt;margin-top:23.4pt;width:23.4pt;height:13.3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" strokecolor="#156082 [3204]" strokeweight="1.5pt">
                <v:stroke startarrow="block" endarrow="block" joinstyle="miter"/>
              </v:shape>
            </w:pict>
          </mc:Fallback>
        </mc:AlternateContent>
      </w:r>
    </w:p>
    <w:p w14:paraId="1275E8A2" w14:textId="5CD74002" w:rsidR="00D27F3C" w:rsidRDefault="00D27F3C" w:rsidP="00D27F3C">
      <w:r>
        <w:rPr>
          <w:noProof/>
        </w:rPr>
        <mc:AlternateContent>
          <mc:Choice Requires="wps">
            <w:drawing>
              <wp:anchor distT="0" distB="0" distL="114300" distR="114300" simplePos="0" relativeHeight="251691008" behindDoc="0" locked="0" layoutInCell="1" allowOverlap="1" wp14:anchorId="21015841" wp14:editId="5AA0EB8F">
                <wp:simplePos x="0" y="0"/>
                <wp:positionH relativeFrom="column">
                  <wp:posOffset>3661194</wp:posOffset>
                </wp:positionH>
                <wp:positionV relativeFrom="paragraph">
                  <wp:posOffset>19350</wp:posOffset>
                </wp:positionV>
                <wp:extent cx="235585" cy="178698"/>
                <wp:effectExtent l="38100" t="38100" r="69215" b="50165"/>
                <wp:wrapNone/>
                <wp:docPr id="1119881516" name="Straight Arrow Connector 11"/>
                <wp:cNvGraphicFramePr/>
                <a:graphic xmlns:a="http://schemas.openxmlformats.org/drawingml/2006/main">
                  <a:graphicData uri="http://schemas.microsoft.com/office/word/2010/wordprocessingShape">
                    <wps:wsp>
                      <wps:cNvCnPr/>
                      <wps:spPr>
                        <a:xfrm flipH="1" flipV="1">
                          <a:off x="0" y="0"/>
                          <a:ext cx="235585" cy="178698"/>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F24549" id="Straight Arrow Connector 11" o:spid="_x0000_s1026" type="#_x0000_t32" style="position:absolute;margin-left:288.3pt;margin-top:1.5pt;width:18.55pt;height:14.0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" strokecolor="#156082 [3204]" strokeweight="1.5pt">
                <v:stroke startarrow="block" endarrow="block" joinstyle="miter"/>
              </v:shape>
            </w:pict>
          </mc:Fallback>
        </mc:AlternateContent>
      </w:r>
      <w:r>
        <w:rPr>
          <w:noProof/>
        </w:rPr>
        <mc:AlternateContent>
          <mc:Choice Requires="wps">
            <w:drawing>
              <wp:anchor distT="0" distB="0" distL="114300" distR="114300" simplePos="0" relativeHeight="251681792" behindDoc="0" locked="0" layoutInCell="1" allowOverlap="1" wp14:anchorId="158B4579" wp14:editId="75760D64">
                <wp:simplePos x="0" y="0"/>
                <wp:positionH relativeFrom="margin">
                  <wp:align>right</wp:align>
                </wp:positionH>
                <wp:positionV relativeFrom="paragraph">
                  <wp:posOffset>191878</wp:posOffset>
                </wp:positionV>
                <wp:extent cx="2061713" cy="541128"/>
                <wp:effectExtent l="0" t="0" r="15240" b="11430"/>
                <wp:wrapNone/>
                <wp:docPr id="2012563511" name="Rectangle 10"/>
                <wp:cNvGraphicFramePr/>
                <a:graphic xmlns:a="http://schemas.openxmlformats.org/drawingml/2006/main">
                  <a:graphicData uri="http://schemas.microsoft.com/office/word/2010/wordprocessingShape">
                    <wps:wsp>
                      <wps:cNvSpPr/>
                      <wps:spPr>
                        <a:xfrm>
                          <a:off x="0" y="0"/>
                          <a:ext cx="2061713" cy="54112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BF4750" w14:textId="061D43C3" w:rsidR="00D27F3C" w:rsidRPr="00D27F3C" w:rsidRDefault="00D27F3C" w:rsidP="00D27F3C">
                            <w:pPr>
                              <w:jc w:val="center"/>
                              <w:rPr>
                                <w:b/>
                                <w:bCs/>
                              </w:rPr>
                            </w:pPr>
                            <w:r w:rsidRPr="00D27F3C">
                              <w:rPr>
                                <w:b/>
                                <w:bCs/>
                              </w:rPr>
                              <w:t>Ethical Governance</w:t>
                            </w:r>
                            <w:r>
                              <w:rPr>
                                <w:b/>
                                <w:bCs/>
                              </w:rPr>
                              <w:t xml:space="preserve">        training &amp; Compliance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B4579" id="_x0000_s1037" style="position:absolute;margin-left:111.15pt;margin-top:15.1pt;width:162.35pt;height:42.6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" fillcolor="#156082 [3204]" strokecolor="#030e13 [484]" strokeweight="1.5pt">
                <v:textbox>
                  <w:txbxContent>
                    <w:p w14:paraId="62BF4750" w14:textId="061D43C3" w:rsidR="00D27F3C" w:rsidRPr="00D27F3C" w:rsidRDefault="00D27F3C" w:rsidP="00D27F3C">
                      <w:pPr>
                        <w:jc w:val="center"/>
                        <w:rPr>
                          <w:b/>
                          <w:bCs/>
                        </w:rPr>
                      </w:pPr>
                      <w:r w:rsidRPr="00D27F3C">
                        <w:rPr>
                          <w:b/>
                          <w:bCs/>
                        </w:rPr>
                        <w:t>Ethical Governance</w:t>
                      </w:r>
                      <w:r>
                        <w:rPr>
                          <w:b/>
                          <w:bCs/>
                        </w:rPr>
                        <w:t xml:space="preserve">        training &amp; Compliance</w:t>
                      </w:r>
                    </w:p>
                  </w:txbxContent>
                </v:textbox>
                <w10:wrap anchorx="margin"/>
              </v:rect>
            </w:pict>
          </mc:Fallback>
        </mc:AlternateContent>
      </w:r>
      <w:r>
        <w:rPr>
          <w:noProof/>
        </w:rPr>
        <mc:AlternateContent>
          <mc:Choice Requires="wps">
            <w:drawing>
              <wp:anchor distT="0" distB="0" distL="114300" distR="114300" simplePos="0" relativeHeight="251677696" behindDoc="0" locked="0" layoutInCell="1" allowOverlap="1" wp14:anchorId="0E585500" wp14:editId="29652701">
                <wp:simplePos x="0" y="0"/>
                <wp:positionH relativeFrom="margin">
                  <wp:align>left</wp:align>
                </wp:positionH>
                <wp:positionV relativeFrom="paragraph">
                  <wp:posOffset>212090</wp:posOffset>
                </wp:positionV>
                <wp:extent cx="1857375" cy="523875"/>
                <wp:effectExtent l="0" t="0" r="28575" b="28575"/>
                <wp:wrapNone/>
                <wp:docPr id="255506950" name="Rectangle 10"/>
                <wp:cNvGraphicFramePr/>
                <a:graphic xmlns:a="http://schemas.openxmlformats.org/drawingml/2006/main">
                  <a:graphicData uri="http://schemas.microsoft.com/office/word/2010/wordprocessingShape">
                    <wps:wsp>
                      <wps:cNvSpPr/>
                      <wps:spPr>
                        <a:xfrm>
                          <a:off x="0" y="0"/>
                          <a:ext cx="1857375" cy="5238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116D8A" w14:textId="212EC8C0" w:rsidR="00D27F3C" w:rsidRPr="00D27F3C" w:rsidRDefault="00D27F3C" w:rsidP="00D27F3C">
                            <w:pPr>
                              <w:jc w:val="center"/>
                            </w:pPr>
                            <w:r w:rsidRPr="00D27F3C">
                              <w:rPr>
                                <w:b/>
                                <w:bCs/>
                              </w:rPr>
                              <w:t>Administrative Staff</w:t>
                            </w:r>
                            <w:r>
                              <w:rPr>
                                <w:b/>
                                <w:bCs/>
                              </w:rPr>
                              <w:t xml:space="preserve">        </w:t>
                            </w:r>
                            <w:r w:rsidRPr="00D27F3C">
                              <w:t>Client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85500" id="_x0000_s1038" style="position:absolute;margin-left:0;margin-top:16.7pt;width:146.25pt;height:41.2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" fillcolor="#156082 [3204]" strokecolor="#030e13 [484]" strokeweight="1.5pt">
                <v:textbox>
                  <w:txbxContent>
                    <w:p w14:paraId="55116D8A" w14:textId="212EC8C0" w:rsidR="00D27F3C" w:rsidRPr="00D27F3C" w:rsidRDefault="00D27F3C" w:rsidP="00D27F3C">
                      <w:pPr>
                        <w:jc w:val="center"/>
                      </w:pPr>
                      <w:r w:rsidRPr="00D27F3C">
                        <w:rPr>
                          <w:b/>
                          <w:bCs/>
                        </w:rPr>
                        <w:t>Administrative Staff</w:t>
                      </w:r>
                      <w:r>
                        <w:rPr>
                          <w:b/>
                          <w:bCs/>
                        </w:rPr>
                        <w:t xml:space="preserve">        </w:t>
                      </w:r>
                      <w:r w:rsidRPr="00D27F3C">
                        <w:t>Client Services</w:t>
                      </w:r>
                    </w:p>
                  </w:txbxContent>
                </v:textbox>
                <w10:wrap anchorx="margin"/>
              </v:rect>
            </w:pict>
          </mc:Fallback>
        </mc:AlternateContent>
      </w:r>
    </w:p>
    <w:p w14:paraId="1A2003EE" w14:textId="5CA3E128" w:rsidR="00D27F3C" w:rsidRDefault="00D27F3C" w:rsidP="00D27F3C">
      <w:r>
        <w:rPr>
          <w:noProof/>
        </w:rPr>
        <mc:AlternateContent>
          <mc:Choice Requires="wps">
            <w:drawing>
              <wp:anchor distT="0" distB="0" distL="114300" distR="114300" simplePos="0" relativeHeight="251686912" behindDoc="0" locked="0" layoutInCell="1" allowOverlap="1" wp14:anchorId="16019DFD" wp14:editId="5716C04F">
                <wp:simplePos x="0" y="0"/>
                <wp:positionH relativeFrom="column">
                  <wp:posOffset>0</wp:posOffset>
                </wp:positionH>
                <wp:positionV relativeFrom="paragraph">
                  <wp:posOffset>38100</wp:posOffset>
                </wp:positionV>
                <wp:extent cx="296893" cy="168934"/>
                <wp:effectExtent l="38100" t="38100" r="46355" b="59690"/>
                <wp:wrapNone/>
                <wp:docPr id="805820704" name="Straight Arrow Connector 11"/>
                <wp:cNvGraphicFramePr/>
                <a:graphic xmlns:a="http://schemas.openxmlformats.org/drawingml/2006/main">
                  <a:graphicData uri="http://schemas.microsoft.com/office/word/2010/wordprocessingShape">
                    <wps:wsp>
                      <wps:cNvCnPr/>
                      <wps:spPr>
                        <a:xfrm flipH="1">
                          <a:off x="0" y="0"/>
                          <a:ext cx="296893" cy="168934"/>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38B949" id="Straight Arrow Connector 11" o:spid="_x0000_s1026" type="#_x0000_t32" style="position:absolute;margin-left:0;margin-top:3pt;width:23.4pt;height:13.3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" strokecolor="#156082 [3204]" strokeweight="1.5pt">
                <v:stroke startarrow="block" endarrow="block" joinstyle="miter"/>
              </v:shape>
            </w:pict>
          </mc:Fallback>
        </mc:AlternateContent>
      </w:r>
    </w:p>
    <w:p w14:paraId="0B0F76B1" w14:textId="77777777" w:rsidR="00D27F3C" w:rsidRPr="00D27F3C" w:rsidRDefault="00D27F3C" w:rsidP="00D27F3C"/>
    <w:p w14:paraId="73984CB7" w14:textId="491F15FB" w:rsidR="00D27F3C" w:rsidRDefault="00D27F3C" w:rsidP="00D27F3C">
      <w:r>
        <w:t>Diligence uses a part-time internship setup to keep things running smoothly and help new talent grow. Interns jump in on all sorts of tasks—admin work, prepping cases, research, managing digital content, and working with clients. They do all this under close supervision.</w:t>
      </w:r>
    </w:p>
    <w:p w14:paraId="5E8B3EF5" w14:textId="77777777" w:rsidR="00D27F3C" w:rsidRDefault="00D27F3C" w:rsidP="00D27F3C">
      <w:r>
        <w:t xml:space="preserve">Every intern </w:t>
      </w:r>
      <w:proofErr w:type="gramStart"/>
      <w:r>
        <w:t>signs</w:t>
      </w:r>
      <w:proofErr w:type="gramEnd"/>
      <w:r>
        <w:t xml:space="preserve"> confidentiality agreements and follows strict ethical rules to keep client info safe. They get hands-on training in mediation basics, data protection laws, and how to act professionally.</w:t>
      </w:r>
    </w:p>
    <w:p w14:paraId="267956A9" w14:textId="77777777" w:rsidR="00D27F3C" w:rsidRDefault="00D27F3C" w:rsidP="00D27F3C">
      <w:r>
        <w:t xml:space="preserve">This approach works for everyone. The organization gets affordable support, and interns walk away with real-world experience in legal support and mediation work. If an intern </w:t>
      </w:r>
      <w:r>
        <w:lastRenderedPageBreak/>
        <w:t>stands out, Diligence might offer them a job down the line, building a steady talent pipeline from within.</w:t>
      </w:r>
    </w:p>
    <w:p w14:paraId="17FE6791" w14:textId="77777777" w:rsidR="00D27F3C" w:rsidRDefault="00D27F3C" w:rsidP="00D27F3C"/>
    <w:p w14:paraId="15D7D4CF" w14:textId="77777777" w:rsidR="00D27F3C" w:rsidRDefault="00D27F3C" w:rsidP="00D27F3C">
      <w:pPr>
        <w:pStyle w:val="Heading2"/>
      </w:pPr>
      <w:bookmarkStart w:id="40" w:name="_Toc220883303"/>
      <w:r w:rsidRPr="00D27F3C">
        <w:t>6.5 Compensation and Incentives</w:t>
      </w:r>
      <w:bookmarkEnd w:id="40"/>
    </w:p>
    <w:p w14:paraId="40E9AA9B" w14:textId="167FF6BC" w:rsidR="00D27F3C" w:rsidRPr="00D27F3C" w:rsidRDefault="00D27F3C" w:rsidP="00D27F3C">
      <w:r w:rsidRPr="00D27F3C">
        <w:rPr>
          <w:noProof/>
        </w:rPr>
        <w:drawing>
          <wp:inline distT="0" distB="0" distL="0" distR="0" wp14:anchorId="46293FF2" wp14:editId="5942B522">
            <wp:extent cx="5943600" cy="3973830"/>
            <wp:effectExtent l="0" t="0" r="0" b="7620"/>
            <wp:docPr id="515258222" name="Picture 1" descr="A table with a few people shak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258222" name="Picture 1" descr="A table with a few people shaking hands&#10;&#10;AI-generated content may be incorrect."/>
                    <pic:cNvPicPr/>
                  </pic:nvPicPr>
                  <pic:blipFill>
                    <a:blip r:embed="rId34"/>
                    <a:stretch>
                      <a:fillRect/>
                    </a:stretch>
                  </pic:blipFill>
                  <pic:spPr>
                    <a:xfrm>
                      <a:off x="0" y="0"/>
                      <a:ext cx="5943600" cy="3973830"/>
                    </a:xfrm>
                    <a:prstGeom prst="rect">
                      <a:avLst/>
                    </a:prstGeom>
                  </pic:spPr>
                </pic:pic>
              </a:graphicData>
            </a:graphic>
          </wp:inline>
        </w:drawing>
      </w:r>
    </w:p>
    <w:p w14:paraId="140BC658" w14:textId="77777777" w:rsidR="00D27F3C" w:rsidRDefault="00D27F3C" w:rsidP="00D27F3C"/>
    <w:p w14:paraId="22C4D9D7" w14:textId="77777777" w:rsidR="00D27F3C" w:rsidRDefault="00D27F3C" w:rsidP="00D27F3C">
      <w:r>
        <w:t>Diligence keeps its pay system straightforward and fair. Permanent staff get set salaries based on how complex their roles are, their qualifications, and what’s standard in the market.</w:t>
      </w:r>
    </w:p>
    <w:p w14:paraId="2DDA7D23" w14:textId="77777777" w:rsidR="00D27F3C" w:rsidRDefault="00D27F3C" w:rsidP="00D27F3C">
      <w:r>
        <w:t>Contract mediators get paid per case or session. It’s flexible and keeps costs in check, so pay matches the actual work being done.</w:t>
      </w:r>
    </w:p>
    <w:p w14:paraId="30E943F8" w14:textId="77777777" w:rsidR="00D27F3C" w:rsidRDefault="00D27F3C" w:rsidP="00D27F3C">
      <w:r>
        <w:t>Money isn’t the only motivator here. Diligence also offers flexible hours, chances to learn and grow, support for getting accredited, and recognition for ethical work. These perks help people stay motivated, stick around, and keep developing their skills, all while backing up the organization’s ethical standards.</w:t>
      </w:r>
    </w:p>
    <w:p w14:paraId="7FE142F4" w14:textId="77777777" w:rsidR="00D27F3C" w:rsidRDefault="00D27F3C" w:rsidP="00D27F3C"/>
    <w:p w14:paraId="7FD27DE0" w14:textId="77777777" w:rsidR="00D27F3C" w:rsidRPr="00D27F3C" w:rsidRDefault="00D27F3C" w:rsidP="00D27F3C">
      <w:pPr>
        <w:pStyle w:val="Heading2"/>
      </w:pPr>
      <w:bookmarkStart w:id="41" w:name="_Toc220883304"/>
      <w:r w:rsidRPr="00D27F3C">
        <w:lastRenderedPageBreak/>
        <w:t>6.6 Diversity, Inclusion, and Work Culture</w:t>
      </w:r>
      <w:bookmarkEnd w:id="41"/>
    </w:p>
    <w:p w14:paraId="493408AA" w14:textId="77777777" w:rsidR="00D27F3C" w:rsidRDefault="00D27F3C" w:rsidP="00D27F3C"/>
    <w:p w14:paraId="6C3D3932" w14:textId="049B59F5" w:rsidR="00D27F3C" w:rsidRDefault="00D27F3C" w:rsidP="00D27F3C">
      <w:r>
        <w:t>Diversity, inclusion, and ethics aren’t just buzzwords at Diligence, they guide everything the organization does. The team follows the Equality Act 2010 and works hard to make sure hiring, training, and services treat everyone fairly.</w:t>
      </w:r>
    </w:p>
    <w:p w14:paraId="324210A7" w14:textId="77777777" w:rsidR="00D27F3C" w:rsidRDefault="00D27F3C" w:rsidP="00D27F3C">
      <w:r>
        <w:t>A team with different backgrounds brings a better understanding of clients’ needs, especially in mediation where cultural sensitivity matters. Training covers things like unconscious bias, inclusive communication, and making ethical choices on the job.</w:t>
      </w:r>
    </w:p>
    <w:p w14:paraId="415E6D95" w14:textId="77777777" w:rsidR="00D27F3C" w:rsidRDefault="00D27F3C" w:rsidP="00D27F3C">
      <w:r>
        <w:t xml:space="preserve">The culture </w:t>
      </w:r>
      <w:proofErr w:type="gramStart"/>
      <w:r>
        <w:t>at</w:t>
      </w:r>
      <w:proofErr w:type="gramEnd"/>
      <w:r>
        <w:t xml:space="preserve"> Diligence focuses on respect, staying neutral, keeping things confidential, and working together. This kind of environment helps people feel supported, boosts the quality of the work, and builds trust with clients.</w:t>
      </w:r>
    </w:p>
    <w:p w14:paraId="5E9EC10C" w14:textId="77777777" w:rsidR="00D27F3C" w:rsidRDefault="00D27F3C" w:rsidP="00D27F3C"/>
    <w:p w14:paraId="0B60D3FC" w14:textId="77777777" w:rsidR="00D27F3C" w:rsidRDefault="00D27F3C" w:rsidP="00D27F3C">
      <w:pPr>
        <w:pStyle w:val="Heading2"/>
      </w:pPr>
      <w:bookmarkStart w:id="42" w:name="_Toc220883305"/>
      <w:r>
        <w:t>6.7 Future Talent Development Plan</w:t>
      </w:r>
      <w:bookmarkEnd w:id="42"/>
    </w:p>
    <w:p w14:paraId="60501490" w14:textId="72D4BB4B" w:rsidR="00D27F3C" w:rsidRDefault="00D27F3C" w:rsidP="00D27F3C">
      <w:r>
        <w:t xml:space="preserve"> </w:t>
      </w:r>
    </w:p>
    <w:p w14:paraId="3FFECC23" w14:textId="5B0E96DA" w:rsidR="00D27F3C" w:rsidRDefault="00D27F3C" w:rsidP="00D27F3C">
      <w:r>
        <w:rPr>
          <w:noProof/>
        </w:rPr>
        <w:drawing>
          <wp:anchor distT="0" distB="0" distL="114300" distR="114300" simplePos="0" relativeHeight="251692032" behindDoc="0" locked="0" layoutInCell="1" allowOverlap="1" wp14:anchorId="53390484" wp14:editId="55211FFB">
            <wp:simplePos x="0" y="0"/>
            <wp:positionH relativeFrom="column">
              <wp:posOffset>0</wp:posOffset>
            </wp:positionH>
            <wp:positionV relativeFrom="paragraph">
              <wp:posOffset>4003</wp:posOffset>
            </wp:positionV>
            <wp:extent cx="5486400" cy="3200400"/>
            <wp:effectExtent l="0" t="0" r="0" b="0"/>
            <wp:wrapSquare wrapText="bothSides"/>
            <wp:docPr id="2019923837"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p w14:paraId="30003C7C" w14:textId="77777777" w:rsidR="00D27F3C" w:rsidRDefault="00D27F3C" w:rsidP="00D27F3C"/>
    <w:p w14:paraId="3CA31397" w14:textId="77777777" w:rsidR="00D27F3C" w:rsidRDefault="00D27F3C" w:rsidP="00D27F3C"/>
    <w:p w14:paraId="69B075E7" w14:textId="77777777" w:rsidR="00D27F3C" w:rsidRPr="00D27F3C" w:rsidRDefault="00D27F3C" w:rsidP="00D27F3C"/>
    <w:p w14:paraId="1CB1303C" w14:textId="77777777" w:rsidR="00D27F3C" w:rsidRPr="00D27F3C" w:rsidRDefault="00D27F3C" w:rsidP="00D27F3C">
      <w:pPr>
        <w:rPr>
          <w:color w:val="000000" w:themeColor="text1"/>
        </w:rPr>
      </w:pPr>
    </w:p>
    <w:p w14:paraId="26D0E8BF" w14:textId="77777777" w:rsidR="00D27F3C" w:rsidRDefault="00D27F3C" w:rsidP="00D27F3C"/>
    <w:p w14:paraId="69ECD378" w14:textId="77777777" w:rsidR="00D27F3C" w:rsidRDefault="00D27F3C" w:rsidP="00D27F3C"/>
    <w:p w14:paraId="7E28009F" w14:textId="77777777" w:rsidR="00D27F3C" w:rsidRDefault="00D27F3C" w:rsidP="00D27F3C"/>
    <w:p w14:paraId="0651E534" w14:textId="77777777" w:rsidR="00D27F3C" w:rsidRDefault="00D27F3C" w:rsidP="00D27F3C"/>
    <w:p w14:paraId="42AA25D0" w14:textId="77777777" w:rsidR="00D27F3C" w:rsidRDefault="00D27F3C" w:rsidP="00D27F3C"/>
    <w:p w14:paraId="136F7734" w14:textId="77777777" w:rsidR="00D27F3C" w:rsidRDefault="00D27F3C" w:rsidP="00D27F3C"/>
    <w:p w14:paraId="54941E6D" w14:textId="475811CD" w:rsidR="00D27F3C" w:rsidRDefault="00D27F3C" w:rsidP="00D27F3C">
      <w:r>
        <w:t>Diligence knows that staying successful means always developing talent and holding onto knowledge. Mediators are encouraged to keep learning, get advanced accreditation, and stay up to date with UK mediation standards.</w:t>
      </w:r>
    </w:p>
    <w:p w14:paraId="6D79A2FD" w14:textId="77777777" w:rsidR="00D27F3C" w:rsidRDefault="00D27F3C" w:rsidP="00D27F3C">
      <w:r>
        <w:lastRenderedPageBreak/>
        <w:t>Training is ongoing—covering legal updates, emotional intelligence, negotiation skills, ethical dilemmas, and digital mediation tools. Regular performance reviews help spot where people can grow and how they can move forward in their careers.</w:t>
      </w:r>
    </w:p>
    <w:p w14:paraId="220DAD3F" w14:textId="7102AD90" w:rsidR="00D27F3C" w:rsidRDefault="00D27F3C" w:rsidP="00D27F3C">
      <w:r>
        <w:t xml:space="preserve">Looking ahead, Diligence wants to promote from within, turning skilled interns and contract staff into permanent team members. This keeps the organization steady, preserves what people have learned, and makes sure clients always get reliable </w:t>
      </w:r>
      <w:proofErr w:type="spellStart"/>
      <w:proofErr w:type="gramStart"/>
      <w:r>
        <w:t>service.s</w:t>
      </w:r>
      <w:proofErr w:type="spellEnd"/>
      <w:proofErr w:type="gramEnd"/>
      <w:r>
        <w:t xml:space="preserve"> </w:t>
      </w:r>
      <w:proofErr w:type="gramStart"/>
      <w:r>
        <w:t>consistent service</w:t>
      </w:r>
      <w:proofErr w:type="gramEnd"/>
      <w:r>
        <w:t xml:space="preserve"> quality.                                                                       </w:t>
      </w:r>
    </w:p>
    <w:p w14:paraId="09F7787A" w14:textId="77777777" w:rsidR="00945724" w:rsidRDefault="00945724" w:rsidP="00D27F3C"/>
    <w:p w14:paraId="01BDF10F" w14:textId="7D2BE214" w:rsidR="00945724" w:rsidRDefault="00945724" w:rsidP="00945724">
      <w:pPr>
        <w:pStyle w:val="Heading1"/>
      </w:pPr>
      <w:bookmarkStart w:id="43" w:name="_Toc220883306"/>
      <w:r>
        <w:t xml:space="preserve">Chapter </w:t>
      </w:r>
      <w:r w:rsidR="00CD6EE2">
        <w:t>7 Financial Plan (Overview)</w:t>
      </w:r>
      <w:bookmarkEnd w:id="43"/>
    </w:p>
    <w:p w14:paraId="4353AFB8" w14:textId="752329F6" w:rsidR="00CD6EE2" w:rsidRPr="00CD6EE2" w:rsidRDefault="00CD6EE2" w:rsidP="00CD6EE2">
      <w:r>
        <w:t>This chapter outlines the financial structure of Diligence Ltd and explains how the business intends to generate revenues, control costs, and sustain itself financially in the long term. It is a bridge between the strategic plan and the operational plan because it outlines the revenue model, cost structure, and profitability projections based on the strategic pillars of trust, professionalism, and excellence. This chapter shows that not only is Diligence a business with a strong ethical and operational base, but it is also a viable business financially and is well positioned to compete in the London mediation services industry.</w:t>
      </w:r>
    </w:p>
    <w:p w14:paraId="2FDB5D17" w14:textId="77777777" w:rsidR="001459D6" w:rsidRDefault="001459D6" w:rsidP="001459D6">
      <w:pPr>
        <w:pStyle w:val="Heading2"/>
      </w:pPr>
      <w:bookmarkStart w:id="44" w:name="_Toc220883307"/>
      <w:r>
        <w:t>7.1 Revenue Model and Pricing Logic – Diligence Ltd</w:t>
      </w:r>
      <w:bookmarkEnd w:id="44"/>
    </w:p>
    <w:p w14:paraId="40BD83EB" w14:textId="77777777" w:rsidR="001459D6" w:rsidRDefault="001459D6" w:rsidP="001459D6">
      <w:r>
        <w:t>Introduction</w:t>
      </w:r>
    </w:p>
    <w:p w14:paraId="1BFDF57D" w14:textId="77777777" w:rsidR="001459D6" w:rsidRDefault="001459D6" w:rsidP="001459D6">
      <w:r>
        <w:t>The revenue model of Diligence is designed around a service-oriented, case-fee business model that is underpinned by predictable corporate income streams. The firm derives revenue from the provision of structured, professional, and confidential mediation services to individuals, SMEs, landlords/tenants, and corporate clients (including financial institutions).</w:t>
      </w:r>
    </w:p>
    <w:p w14:paraId="6296103F" w14:textId="77777777" w:rsidR="001459D6" w:rsidRDefault="001459D6" w:rsidP="001459D6">
      <w:r>
        <w:t>The revenue model is designed to strike a balance between accessibility, fairness, and profitability through the provision of tiered pricing structures that are dependent on client type, dispute complexity, and time investment. Unlike litigation-based billing structures, Diligence steers clear of hourly legal billing pitfalls in favor of transparent, outcome-based billing structures that are easily comprehensible to clients from the outset.</w:t>
      </w:r>
    </w:p>
    <w:p w14:paraId="615F2E81" w14:textId="18DADC01" w:rsidR="001459D6" w:rsidRPr="007B0A0A" w:rsidRDefault="001459D6" w:rsidP="001459D6">
      <w:pPr>
        <w:rPr>
          <w:b/>
          <w:bCs/>
        </w:rPr>
      </w:pPr>
      <w:r w:rsidRPr="007B0A0A">
        <w:rPr>
          <w:b/>
          <w:bCs/>
        </w:rPr>
        <w:t>Revenue Streams</w:t>
      </w:r>
    </w:p>
    <w:p w14:paraId="49B3842A" w14:textId="77777777" w:rsidR="001459D6" w:rsidRDefault="001459D6" w:rsidP="001459D6">
      <w:r>
        <w:t>Diligence derives revenue from five distinct revenue streams:</w:t>
      </w:r>
    </w:p>
    <w:p w14:paraId="28DE7D4B" w14:textId="77777777" w:rsidR="001459D6" w:rsidRDefault="001459D6" w:rsidP="001459D6">
      <w:r>
        <w:t>1. Individual &amp; Family Mediation Fees</w:t>
      </w:r>
    </w:p>
    <w:p w14:paraId="7A796E66" w14:textId="77777777" w:rsidR="001459D6" w:rsidRDefault="001459D6" w:rsidP="001459D6">
      <w:r>
        <w:lastRenderedPageBreak/>
        <w:t>These are cases involving personal, neighbor, inheritance, or family communication disputes.</w:t>
      </w:r>
    </w:p>
    <w:p w14:paraId="084ABE1B" w14:textId="72B71343" w:rsidR="001459D6" w:rsidRDefault="001459D6" w:rsidP="001459D6">
      <w:r>
        <w:t>Fixed session price: £250 per mediation session</w:t>
      </w:r>
    </w:p>
    <w:p w14:paraId="366BBBEB" w14:textId="431DB18F" w:rsidR="001459D6" w:rsidRDefault="001459D6" w:rsidP="001459D6">
      <w:r>
        <w:t xml:space="preserve"> Typical case length: 1-2 sessions</w:t>
      </w:r>
    </w:p>
    <w:p w14:paraId="0A53245C" w14:textId="77777777" w:rsidR="005E1EF1" w:rsidRDefault="001459D6" w:rsidP="001459D6">
      <w:r>
        <w:t xml:space="preserve"> Average revenue per case: £350-£450</w:t>
      </w:r>
    </w:p>
    <w:p w14:paraId="0350F4AF" w14:textId="3B7ECB89" w:rsidR="001459D6" w:rsidRDefault="001459D6" w:rsidP="001459D6">
      <w:r>
        <w:t xml:space="preserve">The pricing structure is designed to be below the cost of legal action, making mediation a cost-effective alternative while still </w:t>
      </w:r>
      <w:proofErr w:type="gramStart"/>
      <w:r>
        <w:t>taking into account</w:t>
      </w:r>
      <w:proofErr w:type="gramEnd"/>
      <w:r>
        <w:t xml:space="preserve"> the professional skill and preparation that goes into the process.</w:t>
      </w:r>
    </w:p>
    <w:p w14:paraId="28DFE910" w14:textId="53C7952C" w:rsidR="001459D6" w:rsidRPr="001459D6" w:rsidRDefault="001459D6" w:rsidP="001459D6">
      <w:r>
        <w:t>2. SME &amp; Commercial Dispute Mediation</w:t>
      </w:r>
    </w:p>
    <w:p w14:paraId="3E0E09AB" w14:textId="77777777" w:rsidR="005E1EF1" w:rsidRDefault="005E1EF1" w:rsidP="005E1EF1">
      <w:r>
        <w:t>This includes contract issues, partnership disagreements, supplier disputes, and work environment issues.</w:t>
      </w:r>
    </w:p>
    <w:p w14:paraId="1BF0C41B" w14:textId="6D87A9E9" w:rsidR="005E1EF1" w:rsidRDefault="005E1EF1" w:rsidP="005E1EF1">
      <w:r>
        <w:t>Fee per case: £600 to £900</w:t>
      </w:r>
    </w:p>
    <w:p w14:paraId="7E9FFF32" w14:textId="088E4A4E" w:rsidR="005E1EF1" w:rsidRDefault="005E1EF1" w:rsidP="005E1EF1">
      <w:r>
        <w:t xml:space="preserve"> What is included: case intake, document review, preparation, and mediation session</w:t>
      </w:r>
    </w:p>
    <w:p w14:paraId="5B0E14A1" w14:textId="0E13B738" w:rsidR="005E1EF1" w:rsidRDefault="005E1EF1" w:rsidP="005E1EF1">
      <w:r>
        <w:t>Time commitment per case: 5 to 8 hours</w:t>
      </w:r>
    </w:p>
    <w:p w14:paraId="4FF6CB21" w14:textId="42F1B423" w:rsidR="001459D6" w:rsidRDefault="005E1EF1" w:rsidP="005E1EF1">
      <w:r>
        <w:t xml:space="preserve">SMEs value speed and confidentiality, and Diligence charges these services as premium, unlike individual cases, which are </w:t>
      </w:r>
      <w:proofErr w:type="gramStart"/>
      <w:r>
        <w:t>more complex and risky</w:t>
      </w:r>
      <w:proofErr w:type="gramEnd"/>
      <w:r>
        <w:t>.</w:t>
      </w:r>
    </w:p>
    <w:p w14:paraId="5AB1B045" w14:textId="77777777" w:rsidR="005E1EF1" w:rsidRDefault="005E1EF1" w:rsidP="005E1EF1">
      <w:r>
        <w:t xml:space="preserve">3. Landlord–Tenant Mediation  </w:t>
      </w:r>
    </w:p>
    <w:p w14:paraId="6DC423AD" w14:textId="77777777" w:rsidR="005E1EF1" w:rsidRDefault="005E1EF1" w:rsidP="005E1EF1">
      <w:r>
        <w:t>This is a busy, high-demand area in London’s rental world. Agencies and property managers keep coming back, which means steady work.</w:t>
      </w:r>
    </w:p>
    <w:p w14:paraId="5662F90F" w14:textId="77777777" w:rsidR="005E1EF1" w:rsidRDefault="005E1EF1" w:rsidP="005E1EF1">
      <w:r>
        <w:t xml:space="preserve">Each case brings in £300 to £500. Because these clients use the service </w:t>
      </w:r>
      <w:proofErr w:type="gramStart"/>
      <w:r>
        <w:t>again and again</w:t>
      </w:r>
      <w:proofErr w:type="gramEnd"/>
      <w:r>
        <w:t>, this stream delivers reliable volume and consistent revenue month after month.</w:t>
      </w:r>
    </w:p>
    <w:p w14:paraId="5B360EA5" w14:textId="77777777" w:rsidR="005E1EF1" w:rsidRDefault="005E1EF1" w:rsidP="005E1EF1">
      <w:r>
        <w:t xml:space="preserve">4. Corporate &amp; Financial Institution Retainers  </w:t>
      </w:r>
    </w:p>
    <w:p w14:paraId="43DCC787" w14:textId="77777777" w:rsidR="005E1EF1" w:rsidRDefault="005E1EF1" w:rsidP="005E1EF1">
      <w:r>
        <w:t xml:space="preserve">Starting in month six, Diligence goes after banks, HR departments, and legal teams. Each client pays a monthly </w:t>
      </w:r>
      <w:proofErr w:type="gramStart"/>
      <w:r>
        <w:t>retainer</w:t>
      </w:r>
      <w:proofErr w:type="gramEnd"/>
      <w:r>
        <w:t>, usually between £1,500 and £3,000.</w:t>
      </w:r>
    </w:p>
    <w:p w14:paraId="1ED8B980" w14:textId="77777777" w:rsidR="005E1EF1" w:rsidRDefault="005E1EF1" w:rsidP="005E1EF1">
      <w:r>
        <w:t>The package covers priority handling, direct access to a dedicated mediator, and regular reporting with compliance docs. It’s all about building predictable income and financial stability you can count on.</w:t>
      </w:r>
    </w:p>
    <w:p w14:paraId="74386078" w14:textId="77777777" w:rsidR="005E1EF1" w:rsidRDefault="005E1EF1" w:rsidP="005E1EF1">
      <w:r>
        <w:t xml:space="preserve">5. Consultation &amp; Intake Fees  </w:t>
      </w:r>
    </w:p>
    <w:p w14:paraId="31D9C505" w14:textId="77777777" w:rsidR="005E1EF1" w:rsidRDefault="005E1EF1" w:rsidP="005E1EF1">
      <w:r>
        <w:lastRenderedPageBreak/>
        <w:t xml:space="preserve">Every new client pays a £50 consultation fee. This screens out </w:t>
      </w:r>
      <w:proofErr w:type="gramStart"/>
      <w:r>
        <w:t>time-wasters</w:t>
      </w:r>
      <w:proofErr w:type="gramEnd"/>
      <w:r>
        <w:t xml:space="preserve"> and covers admin costs.</w:t>
      </w:r>
    </w:p>
    <w:p w14:paraId="56C0DD27" w14:textId="77777777" w:rsidR="005E1EF1" w:rsidRDefault="005E1EF1" w:rsidP="005E1EF1">
      <w:r>
        <w:t>Pricing Logic</w:t>
      </w:r>
    </w:p>
    <w:p w14:paraId="1E6C6446" w14:textId="77777777" w:rsidR="005E1EF1" w:rsidRDefault="005E1EF1" w:rsidP="005E1EF1">
      <w:r>
        <w:t>Diligence sets prices based on five core ideas:</w:t>
      </w:r>
    </w:p>
    <w:p w14:paraId="6D6D531E" w14:textId="77777777" w:rsidR="005E1EF1" w:rsidRDefault="005E1EF1" w:rsidP="005E1EF1">
      <w:r>
        <w:t xml:space="preserve">1. Value-Based Pricing  </w:t>
      </w:r>
    </w:p>
    <w:p w14:paraId="161A90AD" w14:textId="77777777" w:rsidR="005E1EF1" w:rsidRDefault="005E1EF1" w:rsidP="005E1EF1">
      <w:r>
        <w:t>Clients aren’t just paying for hours—they’re paying for results, the complexity of the issue, the emotional load, the risks involved, and how carefully their private info is handled.</w:t>
      </w:r>
    </w:p>
    <w:p w14:paraId="1A20BC6E" w14:textId="77777777" w:rsidR="005E1EF1" w:rsidRDefault="005E1EF1" w:rsidP="005E1EF1">
      <w:r>
        <w:t xml:space="preserve">2. Market-Competitive Positioning  </w:t>
      </w:r>
    </w:p>
    <w:p w14:paraId="74E99A01" w14:textId="77777777" w:rsidR="005E1EF1" w:rsidRDefault="005E1EF1" w:rsidP="005E1EF1">
      <w:r>
        <w:t>Diligence charges more than informal mediators, but less than full-on legal solutions. It’s the “smart middle”: professional, yet affordable.</w:t>
      </w:r>
    </w:p>
    <w:p w14:paraId="0A10EB5B" w14:textId="77777777" w:rsidR="005E1EF1" w:rsidRDefault="005E1EF1" w:rsidP="005E1EF1">
      <w:r>
        <w:t xml:space="preserve">3. Tiered &amp; Transparent Structure  </w:t>
      </w:r>
    </w:p>
    <w:p w14:paraId="4621B742" w14:textId="77777777" w:rsidR="005E1EF1" w:rsidRDefault="005E1EF1" w:rsidP="005E1EF1">
      <w:r>
        <w:t>Clients always know exactly what they’re paying, what they’re getting, and where the boundaries are. That kind of clarity builds trust and keeps arguments over fees to a minimum.</w:t>
      </w:r>
    </w:p>
    <w:p w14:paraId="4FDCBDED" w14:textId="77777777" w:rsidR="005E1EF1" w:rsidRDefault="005E1EF1" w:rsidP="005E1EF1">
      <w:r>
        <w:t xml:space="preserve">4. Volume &amp; Retention Leverage  </w:t>
      </w:r>
    </w:p>
    <w:p w14:paraId="626F03F0" w14:textId="77777777" w:rsidR="005E1EF1" w:rsidRDefault="005E1EF1" w:rsidP="005E1EF1">
      <w:r>
        <w:t>Repeat customers—like small businesses, landlords, and corporates—get perks: bundle discounts, retainer deals, and longer-term relationships. This keeps client acquisition costs down and boosts lifetime value.</w:t>
      </w:r>
    </w:p>
    <w:p w14:paraId="392FA3AF" w14:textId="77777777" w:rsidR="005E1EF1" w:rsidRDefault="005E1EF1" w:rsidP="005E1EF1">
      <w:r>
        <w:t xml:space="preserve">5. Risk-Control Logic  </w:t>
      </w:r>
    </w:p>
    <w:p w14:paraId="73A7562D" w14:textId="77777777" w:rsidR="005E1EF1" w:rsidRDefault="005E1EF1" w:rsidP="005E1EF1">
      <w:r>
        <w:t>Prices factor in the time spent prepping, compliance work, insurance, and data protection.</w:t>
      </w:r>
    </w:p>
    <w:p w14:paraId="5E632D02" w14:textId="77777777" w:rsidR="005E1EF1" w:rsidRDefault="005E1EF1" w:rsidP="005E1EF1">
      <w:r>
        <w:t>Revenue Mechanics (How Money Comes In)</w:t>
      </w:r>
    </w:p>
    <w:p w14:paraId="4C0613EE" w14:textId="68944DD4" w:rsidR="005E1EF1" w:rsidRDefault="005E1EF1" w:rsidP="005E1EF1">
      <w:r>
        <w:t>Here’s how it breaks down:</w:t>
      </w:r>
    </w:p>
    <w:p w14:paraId="0A586C6C" w14:textId="77777777" w:rsidR="005E1EF1" w:rsidRDefault="005E1EF1" w:rsidP="005E1EF1">
      <w:r>
        <w:t>If Diligence handles 30 cases a month at an average of £350 per case, that’s £10,500 in monthly revenue.</w:t>
      </w:r>
    </w:p>
    <w:p w14:paraId="3A57F269" w14:textId="77777777" w:rsidR="005E1EF1" w:rsidRDefault="005E1EF1" w:rsidP="005E1EF1">
      <w:proofErr w:type="gramStart"/>
      <w:r>
        <w:t>Add on</w:t>
      </w:r>
      <w:proofErr w:type="gramEnd"/>
      <w:r>
        <w:t xml:space="preserve"> two corporate retainers at £1,500 each—that’s another £3,000.</w:t>
      </w:r>
    </w:p>
    <w:p w14:paraId="7AC356BD" w14:textId="77777777" w:rsidR="005E1EF1" w:rsidRDefault="005E1EF1" w:rsidP="005E1EF1">
      <w:proofErr w:type="spellStart"/>
      <w:r>
        <w:t>All together</w:t>
      </w:r>
      <w:proofErr w:type="spellEnd"/>
      <w:r>
        <w:t>, total monthly revenue hits £13,500.</w:t>
      </w:r>
    </w:p>
    <w:p w14:paraId="5B6DABBE" w14:textId="77777777" w:rsidR="005E1EF1" w:rsidRDefault="005E1EF1" w:rsidP="005E1EF1">
      <w:r>
        <w:t>Subtract monthly costs of about £6,100, and you’re looking at a gross profit of around £7,400 each month.</w:t>
      </w:r>
    </w:p>
    <w:p w14:paraId="73773D45" w14:textId="77777777" w:rsidR="005E1EF1" w:rsidRDefault="005E1EF1" w:rsidP="005E1EF1">
      <w:r>
        <w:t>Scalability of the Revenue Model</w:t>
      </w:r>
    </w:p>
    <w:p w14:paraId="1B3DDEBF" w14:textId="77777777" w:rsidR="005E1EF1" w:rsidRDefault="005E1EF1" w:rsidP="005E1EF1">
      <w:r>
        <w:lastRenderedPageBreak/>
        <w:t>Diligence can grow by hiring more mediators, taking on more cases, signing up extra corporate clients, or stepping into bilingual mediation.</w:t>
      </w:r>
    </w:p>
    <w:p w14:paraId="50BE8676" w14:textId="77777777" w:rsidR="005E1EF1" w:rsidRDefault="005E1EF1" w:rsidP="005E1EF1">
      <w:r>
        <w:t>Each new mediator brings in around 25 to 30 cases a month, adding roughly £9,000 to £11,000 in revenue.</w:t>
      </w:r>
    </w:p>
    <w:p w14:paraId="3711DCC2" w14:textId="06E8E470" w:rsidR="005E1EF1" w:rsidRDefault="005E1EF1" w:rsidP="005E1EF1">
      <w:r>
        <w:t>Risk &amp; Mitigation in Revenue Model</w:t>
      </w:r>
    </w:p>
    <w:p w14:paraId="5E086FC6" w14:textId="77777777" w:rsidR="007B0A0A" w:rsidRDefault="007B0A0A" w:rsidP="005E1EF1"/>
    <w:p w14:paraId="582D4FEF" w14:textId="77777777" w:rsidR="007B0A0A" w:rsidRDefault="007B0A0A" w:rsidP="005E1EF1"/>
    <w:p w14:paraId="53A72585" w14:textId="77777777" w:rsidR="007B0A0A" w:rsidRDefault="007B0A0A" w:rsidP="007B0A0A">
      <w:pPr>
        <w:pStyle w:val="Heading2"/>
      </w:pPr>
      <w:bookmarkStart w:id="45" w:name="_Toc220883308"/>
      <w:r>
        <w:t>7.2 Forecasting Assumptions, Demand, and Capacity</w:t>
      </w:r>
      <w:bookmarkEnd w:id="45"/>
    </w:p>
    <w:p w14:paraId="03C27F00" w14:textId="2DBE875D" w:rsidR="007B0A0A" w:rsidRDefault="007B0A0A" w:rsidP="007B0A0A">
      <w:r>
        <w:t xml:space="preserve">Diligence’s financial forecasts start at the ground level, counting each mediation case one by one, then building up to monthly and yearly numbers. In the beginning, they’re looking at about 20 cases in the first month. That number comes from early outreach, pilot sessions, and referrals. As word gets out, they expect to add two or three more cases each month. They’ve set the average fee at £350 per case for </w:t>
      </w:r>
      <w:proofErr w:type="gramStart"/>
      <w:r>
        <w:t xml:space="preserve">Year </w:t>
      </w:r>
      <w:r w:rsidR="007402A1">
        <w:t xml:space="preserve"> 1</w:t>
      </w:r>
      <w:proofErr w:type="gramEnd"/>
      <w:r w:rsidR="007402A1">
        <w:t xml:space="preserve"> keep</w:t>
      </w:r>
      <w:r>
        <w:t xml:space="preserve"> things simple and </w:t>
      </w:r>
      <w:proofErr w:type="gramStart"/>
      <w:r>
        <w:t>realistic, and</w:t>
      </w:r>
      <w:proofErr w:type="gramEnd"/>
      <w:r>
        <w:t xml:space="preserve"> </w:t>
      </w:r>
      <w:proofErr w:type="gramStart"/>
      <w:r>
        <w:t>avoids</w:t>
      </w:r>
      <w:proofErr w:type="gramEnd"/>
      <w:r>
        <w:t xml:space="preserve"> getting carried away with early optimism.</w:t>
      </w:r>
    </w:p>
    <w:p w14:paraId="1CCFA31E" w14:textId="39AE3EAC" w:rsidR="007B0A0A" w:rsidRDefault="007B0A0A" w:rsidP="007B0A0A">
      <w:r>
        <w:t xml:space="preserve">To figure out demand, they mix market data from Chapter 3 with feedback from interviews, website enquiries, and chats with legal and property pros. London has no shortage of disputes—families, small businesses, landlords and tenants—so the </w:t>
      </w:r>
      <w:r w:rsidR="007402A1">
        <w:t>markets</w:t>
      </w:r>
      <w:r>
        <w:t xml:space="preserve"> big. Still, Diligence aims low, targeting just a manageable slice. They expect to convert about half their enquiries into paying clients. So, out of every 40 people who get in touch, 20 </w:t>
      </w:r>
      <w:proofErr w:type="gramStart"/>
      <w:r>
        <w:t>sign</w:t>
      </w:r>
      <w:proofErr w:type="gramEnd"/>
      <w:r>
        <w:t xml:space="preserve"> up. If people come back for more, or if they land corporate retainers halfway through the year, that brings even more stability and helps even out their revenue.</w:t>
      </w:r>
    </w:p>
    <w:p w14:paraId="5FAD66DF" w14:textId="6DC8698D" w:rsidR="007402A1" w:rsidRDefault="007B0A0A" w:rsidP="007B0A0A">
      <w:r>
        <w:t xml:space="preserve">On the capacity side, they’re careful not to stretch themselves too thin. One lead mediator, plus an admin coordinator, can handle 30 to 35 cases a month without dropping their standards or losing that personal touch. If the admin side gets slicker, they can push that up to 45 or even 50 cases. They only let demand rise if the team and systems can </w:t>
      </w:r>
      <w:proofErr w:type="gramStart"/>
      <w:r>
        <w:t>actually handle</w:t>
      </w:r>
      <w:proofErr w:type="gramEnd"/>
      <w:r>
        <w:t xml:space="preserve"> it. That way, Diligence keeps things sustainable—both financially and in terms of service.</w:t>
      </w:r>
    </w:p>
    <w:p w14:paraId="19738579" w14:textId="77777777" w:rsidR="007402A1" w:rsidRDefault="007402A1" w:rsidP="007402A1">
      <w:pPr>
        <w:pStyle w:val="Heading2"/>
      </w:pPr>
      <w:bookmarkStart w:id="46" w:name="_Toc220883309"/>
      <w:r>
        <w:t>7.3 Profit and Loss (P&amp;L) Forecast – 12 Months</w:t>
      </w:r>
      <w:bookmarkEnd w:id="46"/>
    </w:p>
    <w:p w14:paraId="187966CE" w14:textId="77777777" w:rsidR="00A11A18" w:rsidRPr="00A11A18" w:rsidRDefault="00A11A18" w:rsidP="00A11A18"/>
    <w:p w14:paraId="6B925D23" w14:textId="77777777" w:rsidR="006E5363" w:rsidRDefault="006E5363" w:rsidP="006E5363"/>
    <w:tbl>
      <w:tblPr>
        <w:tblW w:w="9692" w:type="dxa"/>
        <w:tblLook w:val="04A0" w:firstRow="1" w:lastRow="0" w:firstColumn="1" w:lastColumn="0" w:noHBand="0" w:noVBand="1"/>
      </w:tblPr>
      <w:tblGrid>
        <w:gridCol w:w="1325"/>
        <w:gridCol w:w="773"/>
        <w:gridCol w:w="2157"/>
        <w:gridCol w:w="2038"/>
        <w:gridCol w:w="1381"/>
        <w:gridCol w:w="2018"/>
      </w:tblGrid>
      <w:tr w:rsidR="006E5363" w:rsidRPr="006E5363" w14:paraId="04C0946B" w14:textId="77777777" w:rsidTr="006E5363">
        <w:trPr>
          <w:trHeight w:val="377"/>
        </w:trPr>
        <w:tc>
          <w:tcPr>
            <w:tcW w:w="9692" w:type="dxa"/>
            <w:gridSpan w:val="6"/>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19F91C54" w14:textId="221D58FE" w:rsidR="006E5363" w:rsidRPr="006E5363" w:rsidRDefault="006E5363" w:rsidP="006E5363">
            <w:pPr>
              <w:spacing w:after="0" w:line="240" w:lineRule="auto"/>
              <w:jc w:val="center"/>
              <w:rPr>
                <w:rFonts w:ascii="Aptos Narrow" w:eastAsia="Times New Roman" w:hAnsi="Aptos Narrow" w:cs="Times New Roman"/>
                <w:color w:val="000000"/>
                <w:kern w:val="0"/>
                <w:sz w:val="36"/>
                <w:szCs w:val="36"/>
                <w14:ligatures w14:val="none"/>
              </w:rPr>
            </w:pPr>
            <w:r w:rsidRPr="006E5363">
              <w:rPr>
                <w:rFonts w:ascii="Aptos Narrow" w:eastAsia="Times New Roman" w:hAnsi="Aptos Narrow" w:cs="Times New Roman"/>
                <w:color w:val="000000"/>
                <w:kern w:val="0"/>
                <w:sz w:val="36"/>
                <w:szCs w:val="36"/>
                <w14:ligatures w14:val="none"/>
              </w:rPr>
              <w:t xml:space="preserve">Revenue Forecast </w:t>
            </w:r>
          </w:p>
        </w:tc>
      </w:tr>
      <w:tr w:rsidR="006E5363" w:rsidRPr="006E5363" w14:paraId="60A06A62" w14:textId="77777777" w:rsidTr="006E5363">
        <w:trPr>
          <w:trHeight w:val="294"/>
        </w:trPr>
        <w:tc>
          <w:tcPr>
            <w:tcW w:w="1325" w:type="dxa"/>
            <w:tcBorders>
              <w:top w:val="nil"/>
              <w:left w:val="single" w:sz="4" w:space="0" w:color="auto"/>
              <w:bottom w:val="single" w:sz="4" w:space="0" w:color="auto"/>
              <w:right w:val="single" w:sz="4" w:space="0" w:color="auto"/>
            </w:tcBorders>
            <w:shd w:val="clear" w:color="000000" w:fill="B5E6A2"/>
            <w:noWrap/>
            <w:vAlign w:val="bottom"/>
            <w:hideMark/>
          </w:tcPr>
          <w:p w14:paraId="6B0A6E70"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8"/>
                <w:szCs w:val="28"/>
                <w14:ligatures w14:val="none"/>
              </w:rPr>
            </w:pPr>
            <w:r w:rsidRPr="006E5363">
              <w:rPr>
                <w:rFonts w:ascii="Aptos Narrow" w:eastAsia="Times New Roman" w:hAnsi="Aptos Narrow" w:cs="Times New Roman"/>
                <w:color w:val="000000"/>
                <w:kern w:val="0"/>
                <w:sz w:val="28"/>
                <w:szCs w:val="28"/>
                <w14:ligatures w14:val="none"/>
              </w:rPr>
              <w:lastRenderedPageBreak/>
              <w:t xml:space="preserve">Month </w:t>
            </w:r>
          </w:p>
        </w:tc>
        <w:tc>
          <w:tcPr>
            <w:tcW w:w="773" w:type="dxa"/>
            <w:tcBorders>
              <w:top w:val="nil"/>
              <w:left w:val="nil"/>
              <w:bottom w:val="single" w:sz="4" w:space="0" w:color="auto"/>
              <w:right w:val="single" w:sz="4" w:space="0" w:color="auto"/>
            </w:tcBorders>
            <w:shd w:val="clear" w:color="000000" w:fill="B5E6A2"/>
            <w:noWrap/>
            <w:vAlign w:val="bottom"/>
            <w:hideMark/>
          </w:tcPr>
          <w:p w14:paraId="0A3BA6EB" w14:textId="77777777" w:rsidR="006E5363" w:rsidRPr="006E5363" w:rsidRDefault="006E5363" w:rsidP="006E5363">
            <w:pPr>
              <w:spacing w:after="0" w:line="240" w:lineRule="auto"/>
              <w:rPr>
                <w:rFonts w:ascii="Aptos Narrow" w:eastAsia="Times New Roman" w:hAnsi="Aptos Narrow" w:cs="Times New Roman"/>
                <w:color w:val="000000"/>
                <w:kern w:val="0"/>
                <w:sz w:val="28"/>
                <w:szCs w:val="28"/>
                <w14:ligatures w14:val="none"/>
              </w:rPr>
            </w:pPr>
            <w:r w:rsidRPr="006E5363">
              <w:rPr>
                <w:rFonts w:ascii="Aptos Narrow" w:eastAsia="Times New Roman" w:hAnsi="Aptos Narrow" w:cs="Times New Roman"/>
                <w:color w:val="000000"/>
                <w:kern w:val="0"/>
                <w:sz w:val="28"/>
                <w:szCs w:val="28"/>
                <w14:ligatures w14:val="none"/>
              </w:rPr>
              <w:t xml:space="preserve">case </w:t>
            </w:r>
          </w:p>
        </w:tc>
        <w:tc>
          <w:tcPr>
            <w:tcW w:w="2157" w:type="dxa"/>
            <w:tcBorders>
              <w:top w:val="nil"/>
              <w:left w:val="nil"/>
              <w:bottom w:val="single" w:sz="4" w:space="0" w:color="auto"/>
              <w:right w:val="single" w:sz="4" w:space="0" w:color="auto"/>
            </w:tcBorders>
            <w:shd w:val="clear" w:color="000000" w:fill="B5E6A2"/>
            <w:noWrap/>
            <w:vAlign w:val="bottom"/>
            <w:hideMark/>
          </w:tcPr>
          <w:p w14:paraId="2D7F2BF6" w14:textId="77777777" w:rsidR="006E5363" w:rsidRPr="006E5363" w:rsidRDefault="006E5363" w:rsidP="006E5363">
            <w:pPr>
              <w:spacing w:after="0" w:line="240" w:lineRule="auto"/>
              <w:rPr>
                <w:rFonts w:ascii="Aptos Narrow" w:eastAsia="Times New Roman" w:hAnsi="Aptos Narrow" w:cs="Times New Roman"/>
                <w:color w:val="000000"/>
                <w:kern w:val="0"/>
                <w:sz w:val="28"/>
                <w:szCs w:val="28"/>
                <w14:ligatures w14:val="none"/>
              </w:rPr>
            </w:pPr>
            <w:r w:rsidRPr="006E5363">
              <w:rPr>
                <w:rFonts w:ascii="Aptos Narrow" w:eastAsia="Times New Roman" w:hAnsi="Aptos Narrow" w:cs="Times New Roman"/>
                <w:color w:val="000000"/>
                <w:kern w:val="0"/>
                <w:sz w:val="28"/>
                <w:szCs w:val="28"/>
                <w14:ligatures w14:val="none"/>
              </w:rPr>
              <w:t xml:space="preserve">price per case </w:t>
            </w:r>
          </w:p>
        </w:tc>
        <w:tc>
          <w:tcPr>
            <w:tcW w:w="2038" w:type="dxa"/>
            <w:tcBorders>
              <w:top w:val="nil"/>
              <w:left w:val="nil"/>
              <w:bottom w:val="single" w:sz="4" w:space="0" w:color="auto"/>
              <w:right w:val="single" w:sz="4" w:space="0" w:color="auto"/>
            </w:tcBorders>
            <w:shd w:val="clear" w:color="000000" w:fill="B5E6A2"/>
            <w:noWrap/>
            <w:vAlign w:val="bottom"/>
            <w:hideMark/>
          </w:tcPr>
          <w:p w14:paraId="02C644C1" w14:textId="394E0C65" w:rsidR="006E5363" w:rsidRPr="006E5363" w:rsidRDefault="006E5363" w:rsidP="006E5363">
            <w:pPr>
              <w:spacing w:after="0" w:line="240" w:lineRule="auto"/>
              <w:rPr>
                <w:rFonts w:ascii="Aptos Narrow" w:eastAsia="Times New Roman" w:hAnsi="Aptos Narrow" w:cs="Times New Roman"/>
                <w:color w:val="000000"/>
                <w:kern w:val="0"/>
                <w:sz w:val="28"/>
                <w:szCs w:val="28"/>
                <w14:ligatures w14:val="none"/>
              </w:rPr>
            </w:pPr>
            <w:r w:rsidRPr="006E5363">
              <w:rPr>
                <w:rFonts w:ascii="Aptos Narrow" w:eastAsia="Times New Roman" w:hAnsi="Aptos Narrow" w:cs="Times New Roman"/>
                <w:color w:val="000000"/>
                <w:kern w:val="0"/>
                <w:sz w:val="28"/>
                <w:szCs w:val="28"/>
                <w14:ligatures w14:val="none"/>
              </w:rPr>
              <w:t xml:space="preserve">case revenue </w:t>
            </w:r>
          </w:p>
        </w:tc>
        <w:tc>
          <w:tcPr>
            <w:tcW w:w="1381" w:type="dxa"/>
            <w:tcBorders>
              <w:top w:val="nil"/>
              <w:left w:val="nil"/>
              <w:bottom w:val="single" w:sz="4" w:space="0" w:color="auto"/>
              <w:right w:val="single" w:sz="4" w:space="0" w:color="auto"/>
            </w:tcBorders>
            <w:shd w:val="clear" w:color="000000" w:fill="B5E6A2"/>
            <w:noWrap/>
            <w:vAlign w:val="bottom"/>
            <w:hideMark/>
          </w:tcPr>
          <w:p w14:paraId="0B483F10" w14:textId="77777777" w:rsidR="006E5363" w:rsidRPr="006E5363" w:rsidRDefault="006E5363" w:rsidP="006E5363">
            <w:pPr>
              <w:spacing w:after="0" w:line="240" w:lineRule="auto"/>
              <w:rPr>
                <w:rFonts w:ascii="Aptos Narrow" w:eastAsia="Times New Roman" w:hAnsi="Aptos Narrow" w:cs="Times New Roman"/>
                <w:color w:val="000000"/>
                <w:kern w:val="0"/>
                <w:sz w:val="28"/>
                <w:szCs w:val="28"/>
                <w14:ligatures w14:val="none"/>
              </w:rPr>
            </w:pPr>
            <w:r w:rsidRPr="006E5363">
              <w:rPr>
                <w:rFonts w:ascii="Aptos Narrow" w:eastAsia="Times New Roman" w:hAnsi="Aptos Narrow" w:cs="Times New Roman"/>
                <w:color w:val="000000"/>
                <w:kern w:val="0"/>
                <w:sz w:val="28"/>
                <w:szCs w:val="28"/>
                <w14:ligatures w14:val="none"/>
              </w:rPr>
              <w:t xml:space="preserve">retainers </w:t>
            </w:r>
          </w:p>
        </w:tc>
        <w:tc>
          <w:tcPr>
            <w:tcW w:w="2017" w:type="dxa"/>
            <w:tcBorders>
              <w:top w:val="nil"/>
              <w:left w:val="nil"/>
              <w:bottom w:val="single" w:sz="4" w:space="0" w:color="auto"/>
              <w:right w:val="single" w:sz="4" w:space="0" w:color="auto"/>
            </w:tcBorders>
            <w:shd w:val="clear" w:color="000000" w:fill="B5E6A2"/>
            <w:noWrap/>
            <w:vAlign w:val="bottom"/>
            <w:hideMark/>
          </w:tcPr>
          <w:p w14:paraId="6DA7FCF6" w14:textId="77777777" w:rsidR="006E5363" w:rsidRPr="006E5363" w:rsidRDefault="006E5363" w:rsidP="006E5363">
            <w:pPr>
              <w:spacing w:after="0" w:line="240" w:lineRule="auto"/>
              <w:rPr>
                <w:rFonts w:ascii="Aptos Narrow" w:eastAsia="Times New Roman" w:hAnsi="Aptos Narrow" w:cs="Times New Roman"/>
                <w:color w:val="000000"/>
                <w:kern w:val="0"/>
                <w:sz w:val="28"/>
                <w:szCs w:val="28"/>
                <w14:ligatures w14:val="none"/>
              </w:rPr>
            </w:pPr>
            <w:r w:rsidRPr="006E5363">
              <w:rPr>
                <w:rFonts w:ascii="Aptos Narrow" w:eastAsia="Times New Roman" w:hAnsi="Aptos Narrow" w:cs="Times New Roman"/>
                <w:color w:val="000000"/>
                <w:kern w:val="0"/>
                <w:sz w:val="28"/>
                <w:szCs w:val="28"/>
                <w14:ligatures w14:val="none"/>
              </w:rPr>
              <w:t xml:space="preserve">total </w:t>
            </w:r>
            <w:proofErr w:type="spellStart"/>
            <w:r w:rsidRPr="006E5363">
              <w:rPr>
                <w:rFonts w:ascii="Aptos Narrow" w:eastAsia="Times New Roman" w:hAnsi="Aptos Narrow" w:cs="Times New Roman"/>
                <w:color w:val="000000"/>
                <w:kern w:val="0"/>
                <w:sz w:val="28"/>
                <w:szCs w:val="28"/>
                <w14:ligatures w14:val="none"/>
              </w:rPr>
              <w:t>revanue</w:t>
            </w:r>
            <w:proofErr w:type="spellEnd"/>
            <w:r w:rsidRPr="006E5363">
              <w:rPr>
                <w:rFonts w:ascii="Aptos Narrow" w:eastAsia="Times New Roman" w:hAnsi="Aptos Narrow" w:cs="Times New Roman"/>
                <w:color w:val="000000"/>
                <w:kern w:val="0"/>
                <w:sz w:val="28"/>
                <w:szCs w:val="28"/>
                <w14:ligatures w14:val="none"/>
              </w:rPr>
              <w:t xml:space="preserve"> </w:t>
            </w:r>
          </w:p>
        </w:tc>
      </w:tr>
      <w:tr w:rsidR="006E5363" w:rsidRPr="006E5363" w14:paraId="2C8BCF44"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051E1A6E" w14:textId="05E3F9CD"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 xml:space="preserve">January </w:t>
            </w:r>
          </w:p>
        </w:tc>
        <w:tc>
          <w:tcPr>
            <w:tcW w:w="773" w:type="dxa"/>
            <w:tcBorders>
              <w:top w:val="nil"/>
              <w:left w:val="nil"/>
              <w:bottom w:val="single" w:sz="4" w:space="0" w:color="auto"/>
              <w:right w:val="single" w:sz="4" w:space="0" w:color="auto"/>
            </w:tcBorders>
            <w:noWrap/>
            <w:vAlign w:val="bottom"/>
            <w:hideMark/>
          </w:tcPr>
          <w:p w14:paraId="6EE8A5DB"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20</w:t>
            </w:r>
          </w:p>
        </w:tc>
        <w:tc>
          <w:tcPr>
            <w:tcW w:w="2157" w:type="dxa"/>
            <w:tcBorders>
              <w:top w:val="nil"/>
              <w:left w:val="nil"/>
              <w:bottom w:val="single" w:sz="4" w:space="0" w:color="auto"/>
              <w:right w:val="single" w:sz="4" w:space="0" w:color="auto"/>
            </w:tcBorders>
            <w:noWrap/>
            <w:vAlign w:val="bottom"/>
            <w:hideMark/>
          </w:tcPr>
          <w:p w14:paraId="6E2FAFBA"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36756570"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£7000</w:t>
            </w:r>
          </w:p>
        </w:tc>
        <w:tc>
          <w:tcPr>
            <w:tcW w:w="1381" w:type="dxa"/>
            <w:tcBorders>
              <w:top w:val="nil"/>
              <w:left w:val="nil"/>
              <w:bottom w:val="single" w:sz="4" w:space="0" w:color="auto"/>
              <w:right w:val="single" w:sz="4" w:space="0" w:color="auto"/>
            </w:tcBorders>
            <w:noWrap/>
            <w:vAlign w:val="bottom"/>
            <w:hideMark/>
          </w:tcPr>
          <w:p w14:paraId="50C13EB2"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0</w:t>
            </w:r>
          </w:p>
        </w:tc>
        <w:tc>
          <w:tcPr>
            <w:tcW w:w="2017" w:type="dxa"/>
            <w:tcBorders>
              <w:top w:val="nil"/>
              <w:left w:val="nil"/>
              <w:bottom w:val="single" w:sz="4" w:space="0" w:color="auto"/>
              <w:right w:val="single" w:sz="4" w:space="0" w:color="auto"/>
            </w:tcBorders>
            <w:noWrap/>
            <w:vAlign w:val="bottom"/>
            <w:hideMark/>
          </w:tcPr>
          <w:p w14:paraId="208F17AB"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£7000</w:t>
            </w:r>
          </w:p>
        </w:tc>
      </w:tr>
      <w:tr w:rsidR="006E5363" w:rsidRPr="006E5363" w14:paraId="5FB32795"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0A9B3CDF" w14:textId="2039CCA2"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February</w:t>
            </w:r>
          </w:p>
        </w:tc>
        <w:tc>
          <w:tcPr>
            <w:tcW w:w="773" w:type="dxa"/>
            <w:tcBorders>
              <w:top w:val="nil"/>
              <w:left w:val="nil"/>
              <w:bottom w:val="single" w:sz="4" w:space="0" w:color="auto"/>
              <w:right w:val="single" w:sz="4" w:space="0" w:color="auto"/>
            </w:tcBorders>
            <w:noWrap/>
            <w:vAlign w:val="bottom"/>
            <w:hideMark/>
          </w:tcPr>
          <w:p w14:paraId="007AF056"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22</w:t>
            </w:r>
          </w:p>
        </w:tc>
        <w:tc>
          <w:tcPr>
            <w:tcW w:w="2157" w:type="dxa"/>
            <w:tcBorders>
              <w:top w:val="nil"/>
              <w:left w:val="nil"/>
              <w:bottom w:val="single" w:sz="4" w:space="0" w:color="auto"/>
              <w:right w:val="single" w:sz="4" w:space="0" w:color="auto"/>
            </w:tcBorders>
            <w:noWrap/>
            <w:vAlign w:val="bottom"/>
            <w:hideMark/>
          </w:tcPr>
          <w:p w14:paraId="0762C500"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732C357D"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£7,700</w:t>
            </w:r>
          </w:p>
        </w:tc>
        <w:tc>
          <w:tcPr>
            <w:tcW w:w="1381" w:type="dxa"/>
            <w:tcBorders>
              <w:top w:val="nil"/>
              <w:left w:val="nil"/>
              <w:bottom w:val="single" w:sz="4" w:space="0" w:color="auto"/>
              <w:right w:val="single" w:sz="4" w:space="0" w:color="auto"/>
            </w:tcBorders>
            <w:noWrap/>
            <w:vAlign w:val="bottom"/>
            <w:hideMark/>
          </w:tcPr>
          <w:p w14:paraId="020CF35D"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0</w:t>
            </w:r>
          </w:p>
        </w:tc>
        <w:tc>
          <w:tcPr>
            <w:tcW w:w="2017" w:type="dxa"/>
            <w:tcBorders>
              <w:top w:val="nil"/>
              <w:left w:val="nil"/>
              <w:bottom w:val="single" w:sz="4" w:space="0" w:color="auto"/>
              <w:right w:val="single" w:sz="4" w:space="0" w:color="auto"/>
            </w:tcBorders>
            <w:noWrap/>
            <w:vAlign w:val="bottom"/>
            <w:hideMark/>
          </w:tcPr>
          <w:p w14:paraId="45E0E4B7"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£7,700</w:t>
            </w:r>
          </w:p>
        </w:tc>
      </w:tr>
      <w:tr w:rsidR="006E5363" w:rsidRPr="006E5363" w14:paraId="4A1D5A2E"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77026D92" w14:textId="54DFD990" w:rsidR="006E5363" w:rsidRPr="006E5363" w:rsidRDefault="006632CC"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M</w:t>
            </w:r>
            <w:r w:rsidR="006E5363" w:rsidRPr="006E5363">
              <w:rPr>
                <w:rFonts w:ascii="Aptos Narrow" w:eastAsia="Times New Roman" w:hAnsi="Aptos Narrow" w:cs="Times New Roman"/>
                <w:color w:val="000000"/>
                <w:kern w:val="0"/>
                <w:sz w:val="22"/>
                <w:szCs w:val="22"/>
                <w14:ligatures w14:val="none"/>
              </w:rPr>
              <w:t>arch</w:t>
            </w:r>
          </w:p>
        </w:tc>
        <w:tc>
          <w:tcPr>
            <w:tcW w:w="773" w:type="dxa"/>
            <w:tcBorders>
              <w:top w:val="nil"/>
              <w:left w:val="nil"/>
              <w:bottom w:val="single" w:sz="4" w:space="0" w:color="auto"/>
              <w:right w:val="single" w:sz="4" w:space="0" w:color="auto"/>
            </w:tcBorders>
            <w:noWrap/>
            <w:vAlign w:val="bottom"/>
            <w:hideMark/>
          </w:tcPr>
          <w:p w14:paraId="33327034"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25</w:t>
            </w:r>
          </w:p>
        </w:tc>
        <w:tc>
          <w:tcPr>
            <w:tcW w:w="2157" w:type="dxa"/>
            <w:tcBorders>
              <w:top w:val="nil"/>
              <w:left w:val="nil"/>
              <w:bottom w:val="single" w:sz="4" w:space="0" w:color="auto"/>
              <w:right w:val="single" w:sz="4" w:space="0" w:color="auto"/>
            </w:tcBorders>
            <w:noWrap/>
            <w:vAlign w:val="bottom"/>
            <w:hideMark/>
          </w:tcPr>
          <w:p w14:paraId="31073F9A"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7E1FC012"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£8,750</w:t>
            </w:r>
          </w:p>
        </w:tc>
        <w:tc>
          <w:tcPr>
            <w:tcW w:w="1381" w:type="dxa"/>
            <w:tcBorders>
              <w:top w:val="nil"/>
              <w:left w:val="nil"/>
              <w:bottom w:val="single" w:sz="4" w:space="0" w:color="auto"/>
              <w:right w:val="single" w:sz="4" w:space="0" w:color="auto"/>
            </w:tcBorders>
            <w:noWrap/>
            <w:vAlign w:val="bottom"/>
            <w:hideMark/>
          </w:tcPr>
          <w:p w14:paraId="23187D88"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0</w:t>
            </w:r>
          </w:p>
        </w:tc>
        <w:tc>
          <w:tcPr>
            <w:tcW w:w="2017" w:type="dxa"/>
            <w:tcBorders>
              <w:top w:val="nil"/>
              <w:left w:val="nil"/>
              <w:bottom w:val="single" w:sz="4" w:space="0" w:color="auto"/>
              <w:right w:val="single" w:sz="4" w:space="0" w:color="auto"/>
            </w:tcBorders>
            <w:noWrap/>
            <w:vAlign w:val="bottom"/>
            <w:hideMark/>
          </w:tcPr>
          <w:p w14:paraId="7D94A225"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£8,750</w:t>
            </w:r>
          </w:p>
        </w:tc>
      </w:tr>
      <w:tr w:rsidR="006E5363" w:rsidRPr="006E5363" w14:paraId="5A029604"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6319708C" w14:textId="267E0E31"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April</w:t>
            </w:r>
          </w:p>
        </w:tc>
        <w:tc>
          <w:tcPr>
            <w:tcW w:w="773" w:type="dxa"/>
            <w:tcBorders>
              <w:top w:val="nil"/>
              <w:left w:val="nil"/>
              <w:bottom w:val="single" w:sz="4" w:space="0" w:color="auto"/>
              <w:right w:val="single" w:sz="4" w:space="0" w:color="auto"/>
            </w:tcBorders>
            <w:noWrap/>
            <w:vAlign w:val="bottom"/>
            <w:hideMark/>
          </w:tcPr>
          <w:p w14:paraId="61FFA2E5"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28</w:t>
            </w:r>
          </w:p>
        </w:tc>
        <w:tc>
          <w:tcPr>
            <w:tcW w:w="2157" w:type="dxa"/>
            <w:tcBorders>
              <w:top w:val="nil"/>
              <w:left w:val="nil"/>
              <w:bottom w:val="single" w:sz="4" w:space="0" w:color="auto"/>
              <w:right w:val="single" w:sz="4" w:space="0" w:color="auto"/>
            </w:tcBorders>
            <w:noWrap/>
            <w:vAlign w:val="bottom"/>
            <w:hideMark/>
          </w:tcPr>
          <w:p w14:paraId="27190495"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05D1965C"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£9800</w:t>
            </w:r>
          </w:p>
        </w:tc>
        <w:tc>
          <w:tcPr>
            <w:tcW w:w="1381" w:type="dxa"/>
            <w:tcBorders>
              <w:top w:val="nil"/>
              <w:left w:val="nil"/>
              <w:bottom w:val="single" w:sz="4" w:space="0" w:color="auto"/>
              <w:right w:val="single" w:sz="4" w:space="0" w:color="auto"/>
            </w:tcBorders>
            <w:noWrap/>
            <w:vAlign w:val="bottom"/>
            <w:hideMark/>
          </w:tcPr>
          <w:p w14:paraId="5481ECCF"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0</w:t>
            </w:r>
          </w:p>
        </w:tc>
        <w:tc>
          <w:tcPr>
            <w:tcW w:w="2017" w:type="dxa"/>
            <w:tcBorders>
              <w:top w:val="nil"/>
              <w:left w:val="nil"/>
              <w:bottom w:val="single" w:sz="4" w:space="0" w:color="auto"/>
              <w:right w:val="single" w:sz="4" w:space="0" w:color="auto"/>
            </w:tcBorders>
            <w:noWrap/>
            <w:vAlign w:val="bottom"/>
            <w:hideMark/>
          </w:tcPr>
          <w:p w14:paraId="1766B38B"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£9800</w:t>
            </w:r>
          </w:p>
        </w:tc>
      </w:tr>
      <w:tr w:rsidR="006E5363" w:rsidRPr="006E5363" w14:paraId="7A1EDE01"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3041EBF9" w14:textId="23E93AC2" w:rsidR="006E5363" w:rsidRPr="006E5363" w:rsidRDefault="006632CC"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M</w:t>
            </w:r>
            <w:r w:rsidR="006E5363" w:rsidRPr="006E5363">
              <w:rPr>
                <w:rFonts w:ascii="Aptos Narrow" w:eastAsia="Times New Roman" w:hAnsi="Aptos Narrow" w:cs="Times New Roman"/>
                <w:color w:val="000000"/>
                <w:kern w:val="0"/>
                <w:sz w:val="22"/>
                <w:szCs w:val="22"/>
                <w14:ligatures w14:val="none"/>
              </w:rPr>
              <w:t>ay</w:t>
            </w:r>
          </w:p>
        </w:tc>
        <w:tc>
          <w:tcPr>
            <w:tcW w:w="773" w:type="dxa"/>
            <w:tcBorders>
              <w:top w:val="nil"/>
              <w:left w:val="nil"/>
              <w:bottom w:val="single" w:sz="4" w:space="0" w:color="auto"/>
              <w:right w:val="single" w:sz="4" w:space="0" w:color="auto"/>
            </w:tcBorders>
            <w:noWrap/>
            <w:vAlign w:val="bottom"/>
            <w:hideMark/>
          </w:tcPr>
          <w:p w14:paraId="6C068519"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30</w:t>
            </w:r>
          </w:p>
        </w:tc>
        <w:tc>
          <w:tcPr>
            <w:tcW w:w="2157" w:type="dxa"/>
            <w:tcBorders>
              <w:top w:val="nil"/>
              <w:left w:val="nil"/>
              <w:bottom w:val="single" w:sz="4" w:space="0" w:color="auto"/>
              <w:right w:val="single" w:sz="4" w:space="0" w:color="auto"/>
            </w:tcBorders>
            <w:noWrap/>
            <w:vAlign w:val="bottom"/>
            <w:hideMark/>
          </w:tcPr>
          <w:p w14:paraId="512D0186"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46A04BD1"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£10,500</w:t>
            </w:r>
          </w:p>
        </w:tc>
        <w:tc>
          <w:tcPr>
            <w:tcW w:w="1381" w:type="dxa"/>
            <w:tcBorders>
              <w:top w:val="nil"/>
              <w:left w:val="nil"/>
              <w:bottom w:val="single" w:sz="4" w:space="0" w:color="auto"/>
              <w:right w:val="single" w:sz="4" w:space="0" w:color="auto"/>
            </w:tcBorders>
            <w:noWrap/>
            <w:vAlign w:val="bottom"/>
            <w:hideMark/>
          </w:tcPr>
          <w:p w14:paraId="0E897E79"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0</w:t>
            </w:r>
          </w:p>
        </w:tc>
        <w:tc>
          <w:tcPr>
            <w:tcW w:w="2017" w:type="dxa"/>
            <w:tcBorders>
              <w:top w:val="nil"/>
              <w:left w:val="nil"/>
              <w:bottom w:val="single" w:sz="4" w:space="0" w:color="auto"/>
              <w:right w:val="single" w:sz="4" w:space="0" w:color="auto"/>
            </w:tcBorders>
            <w:noWrap/>
            <w:vAlign w:val="bottom"/>
            <w:hideMark/>
          </w:tcPr>
          <w:p w14:paraId="4BC5B0DD"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£10,500</w:t>
            </w:r>
          </w:p>
        </w:tc>
      </w:tr>
      <w:tr w:rsidR="006E5363" w:rsidRPr="006E5363" w14:paraId="39839436"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0D37D6C2" w14:textId="290AF30A"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June</w:t>
            </w:r>
          </w:p>
        </w:tc>
        <w:tc>
          <w:tcPr>
            <w:tcW w:w="773" w:type="dxa"/>
            <w:tcBorders>
              <w:top w:val="nil"/>
              <w:left w:val="nil"/>
              <w:bottom w:val="single" w:sz="4" w:space="0" w:color="auto"/>
              <w:right w:val="single" w:sz="4" w:space="0" w:color="auto"/>
            </w:tcBorders>
            <w:noWrap/>
            <w:vAlign w:val="bottom"/>
            <w:hideMark/>
          </w:tcPr>
          <w:p w14:paraId="323696D6"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32</w:t>
            </w:r>
          </w:p>
        </w:tc>
        <w:tc>
          <w:tcPr>
            <w:tcW w:w="2157" w:type="dxa"/>
            <w:tcBorders>
              <w:top w:val="nil"/>
              <w:left w:val="nil"/>
              <w:bottom w:val="single" w:sz="4" w:space="0" w:color="auto"/>
              <w:right w:val="single" w:sz="4" w:space="0" w:color="auto"/>
            </w:tcBorders>
            <w:noWrap/>
            <w:vAlign w:val="bottom"/>
            <w:hideMark/>
          </w:tcPr>
          <w:p w14:paraId="734558B8"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466987E6"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£11,200</w:t>
            </w:r>
          </w:p>
        </w:tc>
        <w:tc>
          <w:tcPr>
            <w:tcW w:w="1381" w:type="dxa"/>
            <w:tcBorders>
              <w:top w:val="nil"/>
              <w:left w:val="nil"/>
              <w:bottom w:val="single" w:sz="4" w:space="0" w:color="auto"/>
              <w:right w:val="single" w:sz="4" w:space="0" w:color="auto"/>
            </w:tcBorders>
            <w:noWrap/>
            <w:vAlign w:val="bottom"/>
            <w:hideMark/>
          </w:tcPr>
          <w:p w14:paraId="598F6289"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£15,00</w:t>
            </w:r>
          </w:p>
        </w:tc>
        <w:tc>
          <w:tcPr>
            <w:tcW w:w="2017" w:type="dxa"/>
            <w:tcBorders>
              <w:top w:val="nil"/>
              <w:left w:val="nil"/>
              <w:bottom w:val="single" w:sz="4" w:space="0" w:color="auto"/>
              <w:right w:val="single" w:sz="4" w:space="0" w:color="auto"/>
            </w:tcBorders>
            <w:noWrap/>
            <w:vAlign w:val="bottom"/>
            <w:hideMark/>
          </w:tcPr>
          <w:p w14:paraId="6CC415C2"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£12700</w:t>
            </w:r>
          </w:p>
        </w:tc>
      </w:tr>
      <w:tr w:rsidR="006E5363" w:rsidRPr="006E5363" w14:paraId="408DA921"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07D9A247" w14:textId="2BE17B43"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July</w:t>
            </w:r>
          </w:p>
        </w:tc>
        <w:tc>
          <w:tcPr>
            <w:tcW w:w="773" w:type="dxa"/>
            <w:tcBorders>
              <w:top w:val="nil"/>
              <w:left w:val="nil"/>
              <w:bottom w:val="single" w:sz="4" w:space="0" w:color="auto"/>
              <w:right w:val="single" w:sz="4" w:space="0" w:color="auto"/>
            </w:tcBorders>
            <w:noWrap/>
            <w:vAlign w:val="bottom"/>
            <w:hideMark/>
          </w:tcPr>
          <w:p w14:paraId="43333C49"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w:t>
            </w:r>
          </w:p>
        </w:tc>
        <w:tc>
          <w:tcPr>
            <w:tcW w:w="2157" w:type="dxa"/>
            <w:tcBorders>
              <w:top w:val="nil"/>
              <w:left w:val="nil"/>
              <w:bottom w:val="single" w:sz="4" w:space="0" w:color="auto"/>
              <w:right w:val="single" w:sz="4" w:space="0" w:color="auto"/>
            </w:tcBorders>
            <w:noWrap/>
            <w:vAlign w:val="bottom"/>
            <w:hideMark/>
          </w:tcPr>
          <w:p w14:paraId="1F9C82BB"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524FFAFA"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£12,250</w:t>
            </w:r>
          </w:p>
        </w:tc>
        <w:tc>
          <w:tcPr>
            <w:tcW w:w="1381" w:type="dxa"/>
            <w:tcBorders>
              <w:top w:val="nil"/>
              <w:left w:val="nil"/>
              <w:bottom w:val="single" w:sz="4" w:space="0" w:color="auto"/>
              <w:right w:val="single" w:sz="4" w:space="0" w:color="auto"/>
            </w:tcBorders>
            <w:noWrap/>
            <w:vAlign w:val="bottom"/>
            <w:hideMark/>
          </w:tcPr>
          <w:p w14:paraId="615C27C1"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£15,00</w:t>
            </w:r>
          </w:p>
        </w:tc>
        <w:tc>
          <w:tcPr>
            <w:tcW w:w="2017" w:type="dxa"/>
            <w:tcBorders>
              <w:top w:val="nil"/>
              <w:left w:val="nil"/>
              <w:bottom w:val="single" w:sz="4" w:space="0" w:color="auto"/>
              <w:right w:val="single" w:sz="4" w:space="0" w:color="auto"/>
            </w:tcBorders>
            <w:noWrap/>
            <w:vAlign w:val="bottom"/>
            <w:hideMark/>
          </w:tcPr>
          <w:p w14:paraId="276DF646"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£13,750</w:t>
            </w:r>
          </w:p>
        </w:tc>
      </w:tr>
      <w:tr w:rsidR="006E5363" w:rsidRPr="006E5363" w14:paraId="16AD89EE"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159E3EB1" w14:textId="0F794855" w:rsidR="006E5363" w:rsidRPr="006E5363" w:rsidRDefault="006632CC"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A</w:t>
            </w:r>
            <w:r w:rsidR="006E5363" w:rsidRPr="006E5363">
              <w:rPr>
                <w:rFonts w:ascii="Aptos Narrow" w:eastAsia="Times New Roman" w:hAnsi="Aptos Narrow" w:cs="Times New Roman"/>
                <w:color w:val="000000"/>
                <w:kern w:val="0"/>
                <w:sz w:val="22"/>
                <w:szCs w:val="22"/>
                <w14:ligatures w14:val="none"/>
              </w:rPr>
              <w:t>ugust</w:t>
            </w:r>
          </w:p>
        </w:tc>
        <w:tc>
          <w:tcPr>
            <w:tcW w:w="773" w:type="dxa"/>
            <w:tcBorders>
              <w:top w:val="nil"/>
              <w:left w:val="nil"/>
              <w:bottom w:val="single" w:sz="4" w:space="0" w:color="auto"/>
              <w:right w:val="single" w:sz="4" w:space="0" w:color="auto"/>
            </w:tcBorders>
            <w:noWrap/>
            <w:vAlign w:val="bottom"/>
            <w:hideMark/>
          </w:tcPr>
          <w:p w14:paraId="72D7CEC2"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37</w:t>
            </w:r>
          </w:p>
        </w:tc>
        <w:tc>
          <w:tcPr>
            <w:tcW w:w="2157" w:type="dxa"/>
            <w:tcBorders>
              <w:top w:val="nil"/>
              <w:left w:val="nil"/>
              <w:bottom w:val="single" w:sz="4" w:space="0" w:color="auto"/>
              <w:right w:val="single" w:sz="4" w:space="0" w:color="auto"/>
            </w:tcBorders>
            <w:noWrap/>
            <w:vAlign w:val="bottom"/>
            <w:hideMark/>
          </w:tcPr>
          <w:p w14:paraId="5C23ED19"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694BC566"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£12,950</w:t>
            </w:r>
          </w:p>
        </w:tc>
        <w:tc>
          <w:tcPr>
            <w:tcW w:w="1381" w:type="dxa"/>
            <w:tcBorders>
              <w:top w:val="nil"/>
              <w:left w:val="nil"/>
              <w:bottom w:val="single" w:sz="4" w:space="0" w:color="auto"/>
              <w:right w:val="single" w:sz="4" w:space="0" w:color="auto"/>
            </w:tcBorders>
            <w:noWrap/>
            <w:vAlign w:val="bottom"/>
            <w:hideMark/>
          </w:tcPr>
          <w:p w14:paraId="1AE0DAC9"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£15,00</w:t>
            </w:r>
          </w:p>
        </w:tc>
        <w:tc>
          <w:tcPr>
            <w:tcW w:w="2017" w:type="dxa"/>
            <w:tcBorders>
              <w:top w:val="nil"/>
              <w:left w:val="nil"/>
              <w:bottom w:val="single" w:sz="4" w:space="0" w:color="auto"/>
              <w:right w:val="single" w:sz="4" w:space="0" w:color="auto"/>
            </w:tcBorders>
            <w:noWrap/>
            <w:vAlign w:val="bottom"/>
            <w:hideMark/>
          </w:tcPr>
          <w:p w14:paraId="3F3606BE"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£14,450</w:t>
            </w:r>
          </w:p>
        </w:tc>
      </w:tr>
      <w:tr w:rsidR="006E5363" w:rsidRPr="006E5363" w14:paraId="0ED8AE3C"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1A914050" w14:textId="05356A01"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September</w:t>
            </w:r>
          </w:p>
        </w:tc>
        <w:tc>
          <w:tcPr>
            <w:tcW w:w="773" w:type="dxa"/>
            <w:tcBorders>
              <w:top w:val="nil"/>
              <w:left w:val="nil"/>
              <w:bottom w:val="single" w:sz="4" w:space="0" w:color="auto"/>
              <w:right w:val="single" w:sz="4" w:space="0" w:color="auto"/>
            </w:tcBorders>
            <w:noWrap/>
            <w:vAlign w:val="bottom"/>
            <w:hideMark/>
          </w:tcPr>
          <w:p w14:paraId="515CF02A"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40</w:t>
            </w:r>
          </w:p>
        </w:tc>
        <w:tc>
          <w:tcPr>
            <w:tcW w:w="2157" w:type="dxa"/>
            <w:tcBorders>
              <w:top w:val="nil"/>
              <w:left w:val="nil"/>
              <w:bottom w:val="single" w:sz="4" w:space="0" w:color="auto"/>
              <w:right w:val="single" w:sz="4" w:space="0" w:color="auto"/>
            </w:tcBorders>
            <w:noWrap/>
            <w:vAlign w:val="bottom"/>
            <w:hideMark/>
          </w:tcPr>
          <w:p w14:paraId="75765073"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56F939C5"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£14,000</w:t>
            </w:r>
          </w:p>
        </w:tc>
        <w:tc>
          <w:tcPr>
            <w:tcW w:w="1381" w:type="dxa"/>
            <w:tcBorders>
              <w:top w:val="nil"/>
              <w:left w:val="nil"/>
              <w:bottom w:val="single" w:sz="4" w:space="0" w:color="auto"/>
              <w:right w:val="single" w:sz="4" w:space="0" w:color="auto"/>
            </w:tcBorders>
            <w:noWrap/>
            <w:vAlign w:val="bottom"/>
            <w:hideMark/>
          </w:tcPr>
          <w:p w14:paraId="322A2D48"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£15,00</w:t>
            </w:r>
          </w:p>
        </w:tc>
        <w:tc>
          <w:tcPr>
            <w:tcW w:w="2017" w:type="dxa"/>
            <w:tcBorders>
              <w:top w:val="nil"/>
              <w:left w:val="nil"/>
              <w:bottom w:val="single" w:sz="4" w:space="0" w:color="auto"/>
              <w:right w:val="single" w:sz="4" w:space="0" w:color="auto"/>
            </w:tcBorders>
            <w:noWrap/>
            <w:vAlign w:val="bottom"/>
            <w:hideMark/>
          </w:tcPr>
          <w:p w14:paraId="17180085"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£15,500</w:t>
            </w:r>
          </w:p>
        </w:tc>
      </w:tr>
      <w:tr w:rsidR="006E5363" w:rsidRPr="006E5363" w14:paraId="004D394C"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29A0E4F4" w14:textId="7387F58B"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October</w:t>
            </w:r>
          </w:p>
        </w:tc>
        <w:tc>
          <w:tcPr>
            <w:tcW w:w="773" w:type="dxa"/>
            <w:tcBorders>
              <w:top w:val="nil"/>
              <w:left w:val="nil"/>
              <w:bottom w:val="single" w:sz="4" w:space="0" w:color="auto"/>
              <w:right w:val="single" w:sz="4" w:space="0" w:color="auto"/>
            </w:tcBorders>
            <w:noWrap/>
            <w:vAlign w:val="bottom"/>
            <w:hideMark/>
          </w:tcPr>
          <w:p w14:paraId="1C7C1E1D"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42</w:t>
            </w:r>
          </w:p>
        </w:tc>
        <w:tc>
          <w:tcPr>
            <w:tcW w:w="2157" w:type="dxa"/>
            <w:tcBorders>
              <w:top w:val="nil"/>
              <w:left w:val="nil"/>
              <w:bottom w:val="single" w:sz="4" w:space="0" w:color="auto"/>
              <w:right w:val="single" w:sz="4" w:space="0" w:color="auto"/>
            </w:tcBorders>
            <w:noWrap/>
            <w:vAlign w:val="bottom"/>
            <w:hideMark/>
          </w:tcPr>
          <w:p w14:paraId="609BFE39"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5B74B9AE"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£14,700</w:t>
            </w:r>
          </w:p>
        </w:tc>
        <w:tc>
          <w:tcPr>
            <w:tcW w:w="1381" w:type="dxa"/>
            <w:tcBorders>
              <w:top w:val="nil"/>
              <w:left w:val="nil"/>
              <w:bottom w:val="single" w:sz="4" w:space="0" w:color="auto"/>
              <w:right w:val="single" w:sz="4" w:space="0" w:color="auto"/>
            </w:tcBorders>
            <w:noWrap/>
            <w:vAlign w:val="bottom"/>
            <w:hideMark/>
          </w:tcPr>
          <w:p w14:paraId="28043469"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£15,00</w:t>
            </w:r>
          </w:p>
        </w:tc>
        <w:tc>
          <w:tcPr>
            <w:tcW w:w="2017" w:type="dxa"/>
            <w:tcBorders>
              <w:top w:val="nil"/>
              <w:left w:val="nil"/>
              <w:bottom w:val="single" w:sz="4" w:space="0" w:color="auto"/>
              <w:right w:val="single" w:sz="4" w:space="0" w:color="auto"/>
            </w:tcBorders>
            <w:noWrap/>
            <w:vAlign w:val="bottom"/>
            <w:hideMark/>
          </w:tcPr>
          <w:p w14:paraId="445B5EB6"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£16,200</w:t>
            </w:r>
          </w:p>
        </w:tc>
      </w:tr>
      <w:tr w:rsidR="006E5363" w:rsidRPr="006E5363" w14:paraId="5BA5E458"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2D9BCF89" w14:textId="588AB3D0"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November</w:t>
            </w:r>
          </w:p>
        </w:tc>
        <w:tc>
          <w:tcPr>
            <w:tcW w:w="773" w:type="dxa"/>
            <w:tcBorders>
              <w:top w:val="nil"/>
              <w:left w:val="nil"/>
              <w:bottom w:val="single" w:sz="4" w:space="0" w:color="auto"/>
              <w:right w:val="single" w:sz="4" w:space="0" w:color="auto"/>
            </w:tcBorders>
            <w:noWrap/>
            <w:vAlign w:val="bottom"/>
            <w:hideMark/>
          </w:tcPr>
          <w:p w14:paraId="4D7573B7" w14:textId="77777777" w:rsidR="006E5363" w:rsidRPr="006E5363" w:rsidRDefault="006E5363" w:rsidP="006E5363">
            <w:pPr>
              <w:spacing w:after="0" w:line="240" w:lineRule="auto"/>
              <w:jc w:val="right"/>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44</w:t>
            </w:r>
          </w:p>
        </w:tc>
        <w:tc>
          <w:tcPr>
            <w:tcW w:w="2157" w:type="dxa"/>
            <w:tcBorders>
              <w:top w:val="nil"/>
              <w:left w:val="nil"/>
              <w:bottom w:val="single" w:sz="4" w:space="0" w:color="auto"/>
              <w:right w:val="single" w:sz="4" w:space="0" w:color="auto"/>
            </w:tcBorders>
            <w:noWrap/>
            <w:vAlign w:val="bottom"/>
            <w:hideMark/>
          </w:tcPr>
          <w:p w14:paraId="2DE51D81"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49A9B887"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£15,400</w:t>
            </w:r>
          </w:p>
        </w:tc>
        <w:tc>
          <w:tcPr>
            <w:tcW w:w="1381" w:type="dxa"/>
            <w:tcBorders>
              <w:top w:val="nil"/>
              <w:left w:val="nil"/>
              <w:bottom w:val="single" w:sz="4" w:space="0" w:color="auto"/>
              <w:right w:val="single" w:sz="4" w:space="0" w:color="auto"/>
            </w:tcBorders>
            <w:noWrap/>
            <w:vAlign w:val="bottom"/>
            <w:hideMark/>
          </w:tcPr>
          <w:p w14:paraId="0F18E4A5"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£15,00</w:t>
            </w:r>
          </w:p>
        </w:tc>
        <w:tc>
          <w:tcPr>
            <w:tcW w:w="2017" w:type="dxa"/>
            <w:tcBorders>
              <w:top w:val="nil"/>
              <w:left w:val="nil"/>
              <w:bottom w:val="single" w:sz="4" w:space="0" w:color="auto"/>
              <w:right w:val="single" w:sz="4" w:space="0" w:color="auto"/>
            </w:tcBorders>
            <w:noWrap/>
            <w:vAlign w:val="bottom"/>
            <w:hideMark/>
          </w:tcPr>
          <w:p w14:paraId="49083A00" w14:textId="77777777"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£16,900</w:t>
            </w:r>
          </w:p>
        </w:tc>
      </w:tr>
      <w:tr w:rsidR="006E5363" w:rsidRPr="006E5363" w14:paraId="08FABCA0" w14:textId="77777777" w:rsidTr="006E5363">
        <w:trPr>
          <w:trHeight w:val="234"/>
        </w:trPr>
        <w:tc>
          <w:tcPr>
            <w:tcW w:w="1325" w:type="dxa"/>
            <w:tcBorders>
              <w:top w:val="nil"/>
              <w:left w:val="single" w:sz="4" w:space="0" w:color="auto"/>
              <w:bottom w:val="single" w:sz="4" w:space="0" w:color="auto"/>
              <w:right w:val="single" w:sz="4" w:space="0" w:color="auto"/>
            </w:tcBorders>
            <w:noWrap/>
            <w:vAlign w:val="bottom"/>
            <w:hideMark/>
          </w:tcPr>
          <w:p w14:paraId="0635F5B7" w14:textId="7D4421CC" w:rsidR="006E5363" w:rsidRPr="006E5363" w:rsidRDefault="006E5363" w:rsidP="006E5363">
            <w:pPr>
              <w:spacing w:after="0" w:line="240" w:lineRule="auto"/>
              <w:jc w:val="center"/>
              <w:rPr>
                <w:rFonts w:ascii="Aptos Narrow" w:eastAsia="Times New Roman" w:hAnsi="Aptos Narrow" w:cs="Times New Roman"/>
                <w:color w:val="000000"/>
                <w:kern w:val="0"/>
                <w:sz w:val="22"/>
                <w:szCs w:val="22"/>
                <w14:ligatures w14:val="none"/>
              </w:rPr>
            </w:pPr>
            <w:r w:rsidRPr="006E5363">
              <w:rPr>
                <w:rFonts w:ascii="Aptos Narrow" w:eastAsia="Times New Roman" w:hAnsi="Aptos Narrow" w:cs="Times New Roman"/>
                <w:color w:val="000000"/>
                <w:kern w:val="0"/>
                <w:sz w:val="22"/>
                <w:szCs w:val="22"/>
                <w14:ligatures w14:val="none"/>
              </w:rPr>
              <w:t>December</w:t>
            </w:r>
          </w:p>
        </w:tc>
        <w:tc>
          <w:tcPr>
            <w:tcW w:w="773" w:type="dxa"/>
            <w:tcBorders>
              <w:top w:val="nil"/>
              <w:left w:val="nil"/>
              <w:bottom w:val="single" w:sz="4" w:space="0" w:color="auto"/>
              <w:right w:val="single" w:sz="4" w:space="0" w:color="auto"/>
            </w:tcBorders>
            <w:noWrap/>
            <w:vAlign w:val="bottom"/>
            <w:hideMark/>
          </w:tcPr>
          <w:p w14:paraId="5F20169D" w14:textId="77777777" w:rsidR="006E5363" w:rsidRPr="006E5363" w:rsidRDefault="006E5363" w:rsidP="006E5363">
            <w:pPr>
              <w:spacing w:after="0" w:line="240" w:lineRule="auto"/>
              <w:jc w:val="right"/>
              <w:rPr>
                <w:rFonts w:ascii="Aptos Narrow" w:eastAsia="Times New Roman" w:hAnsi="Aptos Narrow" w:cs="Times New Roman"/>
                <w:b/>
                <w:bCs/>
                <w:color w:val="000000"/>
                <w:kern w:val="0"/>
                <w:sz w:val="22"/>
                <w:szCs w:val="22"/>
                <w14:ligatures w14:val="none"/>
              </w:rPr>
            </w:pPr>
            <w:r w:rsidRPr="006E5363">
              <w:rPr>
                <w:rFonts w:ascii="Aptos Narrow" w:eastAsia="Times New Roman" w:hAnsi="Aptos Narrow" w:cs="Times New Roman"/>
                <w:b/>
                <w:bCs/>
                <w:color w:val="000000"/>
                <w:kern w:val="0"/>
                <w:sz w:val="22"/>
                <w:szCs w:val="22"/>
                <w14:ligatures w14:val="none"/>
              </w:rPr>
              <w:t>45</w:t>
            </w:r>
          </w:p>
        </w:tc>
        <w:tc>
          <w:tcPr>
            <w:tcW w:w="2157" w:type="dxa"/>
            <w:tcBorders>
              <w:top w:val="nil"/>
              <w:left w:val="nil"/>
              <w:bottom w:val="single" w:sz="4" w:space="0" w:color="auto"/>
              <w:right w:val="single" w:sz="4" w:space="0" w:color="auto"/>
            </w:tcBorders>
            <w:noWrap/>
            <w:vAlign w:val="bottom"/>
            <w:hideMark/>
          </w:tcPr>
          <w:p w14:paraId="6D107A85" w14:textId="77777777" w:rsidR="006E5363" w:rsidRPr="006E5363" w:rsidRDefault="006E5363" w:rsidP="006E5363">
            <w:pPr>
              <w:spacing w:after="0" w:line="240" w:lineRule="auto"/>
              <w:jc w:val="center"/>
              <w:rPr>
                <w:rFonts w:ascii="Aptos Narrow" w:eastAsia="Times New Roman" w:hAnsi="Aptos Narrow" w:cs="Times New Roman"/>
                <w:b/>
                <w:bCs/>
                <w:color w:val="000000"/>
                <w:kern w:val="0"/>
                <w:sz w:val="22"/>
                <w:szCs w:val="22"/>
                <w14:ligatures w14:val="none"/>
              </w:rPr>
            </w:pPr>
            <w:r w:rsidRPr="006E5363">
              <w:rPr>
                <w:rFonts w:ascii="Aptos Narrow" w:eastAsia="Times New Roman" w:hAnsi="Aptos Narrow" w:cs="Times New Roman"/>
                <w:b/>
                <w:bCs/>
                <w:color w:val="000000"/>
                <w:kern w:val="0"/>
                <w:sz w:val="22"/>
                <w:szCs w:val="22"/>
                <w14:ligatures w14:val="none"/>
              </w:rPr>
              <w:t>£350</w:t>
            </w:r>
          </w:p>
        </w:tc>
        <w:tc>
          <w:tcPr>
            <w:tcW w:w="2038" w:type="dxa"/>
            <w:tcBorders>
              <w:top w:val="nil"/>
              <w:left w:val="nil"/>
              <w:bottom w:val="single" w:sz="4" w:space="0" w:color="auto"/>
              <w:right w:val="single" w:sz="4" w:space="0" w:color="auto"/>
            </w:tcBorders>
            <w:noWrap/>
            <w:vAlign w:val="bottom"/>
            <w:hideMark/>
          </w:tcPr>
          <w:p w14:paraId="2C393954" w14:textId="77777777" w:rsidR="006E5363" w:rsidRPr="006E5363" w:rsidRDefault="006E5363" w:rsidP="006E5363">
            <w:pPr>
              <w:spacing w:after="0" w:line="240" w:lineRule="auto"/>
              <w:jc w:val="center"/>
              <w:rPr>
                <w:rFonts w:ascii="Aptos Narrow" w:eastAsia="Times New Roman" w:hAnsi="Aptos Narrow" w:cs="Times New Roman"/>
                <w:b/>
                <w:bCs/>
                <w:color w:val="000000"/>
                <w:kern w:val="0"/>
                <w:sz w:val="22"/>
                <w:szCs w:val="22"/>
                <w14:ligatures w14:val="none"/>
              </w:rPr>
            </w:pPr>
            <w:r w:rsidRPr="006E5363">
              <w:rPr>
                <w:rFonts w:ascii="Aptos Narrow" w:eastAsia="Times New Roman" w:hAnsi="Aptos Narrow" w:cs="Times New Roman"/>
                <w:b/>
                <w:bCs/>
                <w:color w:val="000000"/>
                <w:kern w:val="0"/>
                <w:sz w:val="22"/>
                <w:szCs w:val="22"/>
                <w14:ligatures w14:val="none"/>
              </w:rPr>
              <w:t>£15,750</w:t>
            </w:r>
          </w:p>
        </w:tc>
        <w:tc>
          <w:tcPr>
            <w:tcW w:w="1381" w:type="dxa"/>
            <w:tcBorders>
              <w:top w:val="nil"/>
              <w:left w:val="nil"/>
              <w:bottom w:val="single" w:sz="4" w:space="0" w:color="auto"/>
              <w:right w:val="single" w:sz="4" w:space="0" w:color="auto"/>
            </w:tcBorders>
            <w:noWrap/>
            <w:vAlign w:val="bottom"/>
            <w:hideMark/>
          </w:tcPr>
          <w:p w14:paraId="2A590C7B" w14:textId="77777777" w:rsidR="006E5363" w:rsidRPr="006E5363" w:rsidRDefault="006E5363" w:rsidP="006E5363">
            <w:pPr>
              <w:spacing w:after="0" w:line="240" w:lineRule="auto"/>
              <w:jc w:val="center"/>
              <w:rPr>
                <w:rFonts w:ascii="Aptos Narrow" w:eastAsia="Times New Roman" w:hAnsi="Aptos Narrow" w:cs="Times New Roman"/>
                <w:b/>
                <w:bCs/>
                <w:color w:val="000000"/>
                <w:kern w:val="0"/>
                <w:sz w:val="22"/>
                <w:szCs w:val="22"/>
                <w14:ligatures w14:val="none"/>
              </w:rPr>
            </w:pPr>
            <w:r w:rsidRPr="006E5363">
              <w:rPr>
                <w:rFonts w:ascii="Aptos Narrow" w:eastAsia="Times New Roman" w:hAnsi="Aptos Narrow" w:cs="Times New Roman"/>
                <w:b/>
                <w:bCs/>
                <w:color w:val="000000"/>
                <w:kern w:val="0"/>
                <w:sz w:val="22"/>
                <w:szCs w:val="22"/>
                <w14:ligatures w14:val="none"/>
              </w:rPr>
              <w:t>£15,00</w:t>
            </w:r>
          </w:p>
        </w:tc>
        <w:tc>
          <w:tcPr>
            <w:tcW w:w="2017" w:type="dxa"/>
            <w:tcBorders>
              <w:top w:val="nil"/>
              <w:left w:val="nil"/>
              <w:bottom w:val="single" w:sz="4" w:space="0" w:color="auto"/>
              <w:right w:val="single" w:sz="4" w:space="0" w:color="auto"/>
            </w:tcBorders>
            <w:noWrap/>
            <w:vAlign w:val="bottom"/>
            <w:hideMark/>
          </w:tcPr>
          <w:p w14:paraId="354090AB" w14:textId="77777777" w:rsidR="006E5363" w:rsidRPr="006E5363" w:rsidRDefault="006E5363" w:rsidP="006E5363">
            <w:pPr>
              <w:spacing w:after="0" w:line="240" w:lineRule="auto"/>
              <w:jc w:val="center"/>
              <w:rPr>
                <w:rFonts w:ascii="Aptos Narrow" w:eastAsia="Times New Roman" w:hAnsi="Aptos Narrow" w:cs="Times New Roman"/>
                <w:b/>
                <w:bCs/>
                <w:color w:val="000000"/>
                <w:kern w:val="0"/>
                <w:sz w:val="22"/>
                <w:szCs w:val="22"/>
                <w14:ligatures w14:val="none"/>
              </w:rPr>
            </w:pPr>
            <w:r w:rsidRPr="006E5363">
              <w:rPr>
                <w:rFonts w:ascii="Aptos Narrow" w:eastAsia="Times New Roman" w:hAnsi="Aptos Narrow" w:cs="Times New Roman"/>
                <w:b/>
                <w:bCs/>
                <w:color w:val="000000"/>
                <w:kern w:val="0"/>
                <w:sz w:val="22"/>
                <w:szCs w:val="22"/>
                <w14:ligatures w14:val="none"/>
              </w:rPr>
              <w:t>£17,250</w:t>
            </w:r>
          </w:p>
        </w:tc>
      </w:tr>
    </w:tbl>
    <w:p w14:paraId="0E19EE3A" w14:textId="77777777" w:rsidR="006E5363" w:rsidRPr="006E5363" w:rsidRDefault="006E5363" w:rsidP="006E5363"/>
    <w:p w14:paraId="7CF31C5B" w14:textId="77777777" w:rsidR="001405B2" w:rsidRDefault="001405B2" w:rsidP="001405B2">
      <w:r>
        <w:t xml:space="preserve">Here’s a look at Diligence </w:t>
      </w:r>
      <w:proofErr w:type="spellStart"/>
      <w:r>
        <w:t>Ltd’s</w:t>
      </w:r>
      <w:proofErr w:type="spellEnd"/>
      <w:r>
        <w:t xml:space="preserve"> first-year P&amp;L forecast. It shows how revenue picks up as the company goes from its launch to running at full speed. The numbers are based on handling more mediation cases each month, charging £350 per case, and adding corporate retainer income starting in June—proof that clients are starting to trust the brand.</w:t>
      </w:r>
    </w:p>
    <w:p w14:paraId="64071DB3" w14:textId="77777777" w:rsidR="001405B2" w:rsidRDefault="001405B2" w:rsidP="001405B2">
      <w:r>
        <w:t>In the first quarter, January through March, the focus is all about breaking into the market and building the brand. January kicks off with 20 cases, bringing in £7,000. February bumps up to 22 cases (£7,700), and March sees 25 cases (£8,750). Month by month, more clients come through the door, mostly thanks to word-of-mouth and early marketing efforts. It’s a slow but steady climb that sets up the business for what’s next.</w:t>
      </w:r>
    </w:p>
    <w:p w14:paraId="5ABCBEB2" w14:textId="0DAEAC9F" w:rsidR="006632CC" w:rsidRDefault="001405B2" w:rsidP="001405B2">
      <w:proofErr w:type="gramStart"/>
      <w:r>
        <w:t>By</w:t>
      </w:r>
      <w:proofErr w:type="gramEnd"/>
      <w:r>
        <w:t xml:space="preserve"> the second quarter—April to June—things start to pick up speed. April closes with 28 cases (£9,800), and May hits 30 cases (£10,500). June stands out: 32 cases </w:t>
      </w:r>
      <w:proofErr w:type="gramStart"/>
      <w:r>
        <w:t>bring</w:t>
      </w:r>
      <w:proofErr w:type="gramEnd"/>
      <w:r>
        <w:t xml:space="preserve"> in £11,200, and on top of that, the company </w:t>
      </w:r>
      <w:proofErr w:type="gramStart"/>
      <w:r>
        <w:t>signs</w:t>
      </w:r>
      <w:proofErr w:type="gramEnd"/>
      <w:r>
        <w:t xml:space="preserve"> its first corporate retainer for £1,500. That pushes total revenue for June to £12,700. It’s a big moment, marking the start of steady, recurring income alongside the usual case fees</w:t>
      </w:r>
      <w:r w:rsidR="006632CC">
        <w:t>.</w:t>
      </w:r>
    </w:p>
    <w:p w14:paraId="63400F10" w14:textId="77777777" w:rsidR="001405B2" w:rsidRDefault="001405B2" w:rsidP="001405B2">
      <w:r>
        <w:t>The third quarter, which includes July, August, and September, shows an increasing growth pattern and maturity in business operations. In July, the company handles 35 cases, generating a total revenue of £12,250. With the retainer still in place, the company’s revenue increases to £13,750. In August, the company handles 37 cases, generating a total revenue of £14,450, while in September, the company handles 40 cases, generating a total revenue of £15,500.</w:t>
      </w:r>
    </w:p>
    <w:p w14:paraId="1FC6DB8B" w14:textId="77777777" w:rsidR="001405B2" w:rsidRDefault="001405B2" w:rsidP="001405B2">
      <w:r>
        <w:t xml:space="preserve">As the company enters the final quarter, which includes October, November, and December, the business operations show maturity and stability. In October, the company handles 42 cases, generating a total revenue of £16,200. In November, the company’s </w:t>
      </w:r>
      <w:r>
        <w:lastRenderedPageBreak/>
        <w:t>revenue increases to £16,900, generated by handling 44 cases, while in December the company handles 45 cases, generating a total revenue of £17,250.</w:t>
      </w:r>
    </w:p>
    <w:p w14:paraId="1C9C2DB2" w14:textId="77777777" w:rsidR="001405B2" w:rsidRDefault="001405B2" w:rsidP="001405B2">
      <w:r>
        <w:t>Throughout the year, the company maintains a consistent price strategy, which is £350 per case. The steady increase in the number of cases handled by the company indicates a volume growth strategy, which is the most appropriate strategy for a company offering professional services, where the company seeks to establish long-term client relations.</w:t>
      </w:r>
    </w:p>
    <w:p w14:paraId="0612F5FA" w14:textId="5248F7E7" w:rsidR="006632CC" w:rsidRDefault="001405B2" w:rsidP="006632CC">
      <w:r w:rsidRPr="001405B2">
        <w:t>The addition of corporate retainers from June onwards provides a significant boost to the business's financial stability. This regular revenue stream minimizes the business's dependence on individual case volumes and provides more predictable cash flow, which is beneficial in planning future growth, including more retainers and/or diversification of services.</w:t>
      </w:r>
    </w:p>
    <w:p w14:paraId="696DF868" w14:textId="7AA56853" w:rsidR="007402A1" w:rsidRDefault="001405B2" w:rsidP="001405B2">
      <w:r w:rsidRPr="001405B2">
        <w:t>Overall, the 12-month P&amp;L forecast indicates that Diligence Ltd maintains a steady and scalable growth trajectory, from launch to a sound operational footing by the end of the year. The factors of growing case volumes, stable pricing, and retainer fees indicate a sound and financially viable business model.</w:t>
      </w:r>
    </w:p>
    <w:p w14:paraId="3B0673BC" w14:textId="77777777" w:rsidR="00BF798F" w:rsidRDefault="00BF798F" w:rsidP="001405B2"/>
    <w:p w14:paraId="52E03296" w14:textId="69846491" w:rsidR="00C55223" w:rsidRDefault="00C55223" w:rsidP="003F53AC">
      <w:pPr>
        <w:pStyle w:val="Heading2"/>
      </w:pPr>
      <w:bookmarkStart w:id="47" w:name="_Toc220883310"/>
      <w:r>
        <w:t>7.4 Cash Flow and Runway</w:t>
      </w:r>
      <w:bookmarkEnd w:id="47"/>
    </w:p>
    <w:p w14:paraId="687CF8E7" w14:textId="77777777" w:rsidR="003F53AC" w:rsidRDefault="003F53AC" w:rsidP="003F53AC"/>
    <w:p w14:paraId="5D206D73" w14:textId="77777777" w:rsidR="003F53AC" w:rsidRDefault="003F53AC" w:rsidP="003F53AC"/>
    <w:p w14:paraId="4DBA1999" w14:textId="703D6FF4" w:rsidR="003F53AC" w:rsidRDefault="003F53AC" w:rsidP="003F53AC">
      <w:pPr>
        <w:jc w:val="center"/>
        <w:rPr>
          <w:sz w:val="44"/>
          <w:szCs w:val="44"/>
          <w:u w:val="single"/>
        </w:rPr>
      </w:pPr>
      <w:r w:rsidRPr="003F53AC">
        <w:rPr>
          <w:sz w:val="44"/>
          <w:szCs w:val="44"/>
          <w:u w:val="single"/>
        </w:rPr>
        <w:t>Cash flow</w:t>
      </w:r>
    </w:p>
    <w:p w14:paraId="7FEF5A41" w14:textId="77777777" w:rsidR="003F53AC" w:rsidRPr="003F53AC" w:rsidRDefault="003F53AC" w:rsidP="003F53AC">
      <w:pPr>
        <w:spacing w:after="0" w:line="240" w:lineRule="auto"/>
        <w:jc w:val="center"/>
        <w:rPr>
          <w:rFonts w:ascii="Times New Roman" w:eastAsia="Times New Roman" w:hAnsi="Times New Roman" w:cs="Times New Roman"/>
          <w:kern w:val="0"/>
          <w14:ligatures w14:val="none"/>
        </w:rPr>
      </w:pPr>
    </w:p>
    <w:tbl>
      <w:tblPr>
        <w:tblW w:w="8463" w:type="dxa"/>
        <w:tblLook w:val="04A0" w:firstRow="1" w:lastRow="0" w:firstColumn="1" w:lastColumn="0" w:noHBand="0" w:noVBand="1"/>
      </w:tblPr>
      <w:tblGrid>
        <w:gridCol w:w="1752"/>
        <w:gridCol w:w="2241"/>
        <w:gridCol w:w="1534"/>
        <w:gridCol w:w="2936"/>
      </w:tblGrid>
      <w:tr w:rsidR="00BF798F" w:rsidRPr="003F53AC" w14:paraId="5F3A3289" w14:textId="77777777" w:rsidTr="00A11A18">
        <w:trPr>
          <w:trHeight w:val="345"/>
        </w:trPr>
        <w:tc>
          <w:tcPr>
            <w:tcW w:w="1752"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5DD14FA4" w14:textId="77777777" w:rsidR="003F53AC" w:rsidRPr="003F53AC" w:rsidRDefault="003F53AC" w:rsidP="003F53AC">
            <w:pPr>
              <w:spacing w:after="0" w:line="240" w:lineRule="auto"/>
              <w:rPr>
                <w:rFonts w:ascii="Aptos Narrow" w:eastAsia="Times New Roman" w:hAnsi="Aptos Narrow" w:cs="Times New Roman"/>
                <w:color w:val="000000"/>
                <w:kern w:val="0"/>
                <w:sz w:val="28"/>
                <w:szCs w:val="28"/>
                <w14:ligatures w14:val="none"/>
              </w:rPr>
            </w:pPr>
            <w:r w:rsidRPr="003F53AC">
              <w:rPr>
                <w:rFonts w:ascii="Aptos Narrow" w:eastAsia="Times New Roman" w:hAnsi="Aptos Narrow" w:cs="Times New Roman"/>
                <w:color w:val="000000"/>
                <w:kern w:val="0"/>
                <w:sz w:val="28"/>
                <w:szCs w:val="28"/>
                <w14:ligatures w14:val="none"/>
              </w:rPr>
              <w:t>Month</w:t>
            </w:r>
          </w:p>
        </w:tc>
        <w:tc>
          <w:tcPr>
            <w:tcW w:w="2241" w:type="dxa"/>
            <w:tcBorders>
              <w:top w:val="single" w:sz="4" w:space="0" w:color="auto"/>
              <w:left w:val="nil"/>
              <w:bottom w:val="single" w:sz="4" w:space="0" w:color="auto"/>
              <w:right w:val="single" w:sz="4" w:space="0" w:color="auto"/>
            </w:tcBorders>
            <w:shd w:val="clear" w:color="000000" w:fill="DAE9F8"/>
            <w:noWrap/>
            <w:vAlign w:val="bottom"/>
            <w:hideMark/>
          </w:tcPr>
          <w:p w14:paraId="41E93CD1" w14:textId="77777777" w:rsidR="003F53AC" w:rsidRPr="003F53AC" w:rsidRDefault="003F53AC" w:rsidP="003F53AC">
            <w:pPr>
              <w:spacing w:after="0" w:line="240" w:lineRule="auto"/>
              <w:rPr>
                <w:rFonts w:ascii="Aptos Narrow" w:eastAsia="Times New Roman" w:hAnsi="Aptos Narrow" w:cs="Times New Roman"/>
                <w:color w:val="000000"/>
                <w:kern w:val="0"/>
                <w:sz w:val="28"/>
                <w:szCs w:val="28"/>
                <w14:ligatures w14:val="none"/>
              </w:rPr>
            </w:pPr>
            <w:r w:rsidRPr="003F53AC">
              <w:rPr>
                <w:rFonts w:ascii="Aptos Narrow" w:eastAsia="Times New Roman" w:hAnsi="Aptos Narrow" w:cs="Times New Roman"/>
                <w:color w:val="000000"/>
                <w:kern w:val="0"/>
                <w:sz w:val="28"/>
                <w:szCs w:val="28"/>
                <w14:ligatures w14:val="none"/>
              </w:rPr>
              <w:t>Opening Cash</w:t>
            </w:r>
          </w:p>
        </w:tc>
        <w:tc>
          <w:tcPr>
            <w:tcW w:w="1534" w:type="dxa"/>
            <w:tcBorders>
              <w:top w:val="single" w:sz="4" w:space="0" w:color="auto"/>
              <w:left w:val="nil"/>
              <w:bottom w:val="single" w:sz="4" w:space="0" w:color="auto"/>
              <w:right w:val="single" w:sz="4" w:space="0" w:color="auto"/>
            </w:tcBorders>
            <w:shd w:val="clear" w:color="000000" w:fill="DAE9F8"/>
            <w:noWrap/>
            <w:vAlign w:val="bottom"/>
            <w:hideMark/>
          </w:tcPr>
          <w:p w14:paraId="2BCEE988" w14:textId="77777777" w:rsidR="003F53AC" w:rsidRPr="003F53AC" w:rsidRDefault="003F53AC" w:rsidP="003F53AC">
            <w:pPr>
              <w:spacing w:after="0" w:line="240" w:lineRule="auto"/>
              <w:rPr>
                <w:rFonts w:ascii="Aptos Narrow" w:eastAsia="Times New Roman" w:hAnsi="Aptos Narrow" w:cs="Times New Roman"/>
                <w:color w:val="000000"/>
                <w:kern w:val="0"/>
                <w:sz w:val="28"/>
                <w:szCs w:val="28"/>
                <w14:ligatures w14:val="none"/>
              </w:rPr>
            </w:pPr>
            <w:r w:rsidRPr="003F53AC">
              <w:rPr>
                <w:rFonts w:ascii="Aptos Narrow" w:eastAsia="Times New Roman" w:hAnsi="Aptos Narrow" w:cs="Times New Roman"/>
                <w:color w:val="000000"/>
                <w:kern w:val="0"/>
                <w:sz w:val="28"/>
                <w:szCs w:val="28"/>
                <w14:ligatures w14:val="none"/>
              </w:rPr>
              <w:t>Profit</w:t>
            </w:r>
          </w:p>
        </w:tc>
        <w:tc>
          <w:tcPr>
            <w:tcW w:w="2936" w:type="dxa"/>
            <w:tcBorders>
              <w:top w:val="single" w:sz="4" w:space="0" w:color="auto"/>
              <w:left w:val="nil"/>
              <w:bottom w:val="single" w:sz="4" w:space="0" w:color="auto"/>
              <w:right w:val="single" w:sz="4" w:space="0" w:color="auto"/>
            </w:tcBorders>
            <w:shd w:val="clear" w:color="000000" w:fill="DAE9F8"/>
            <w:noWrap/>
            <w:vAlign w:val="bottom"/>
            <w:hideMark/>
          </w:tcPr>
          <w:p w14:paraId="3BE1C473" w14:textId="4C5C503C" w:rsidR="003F53AC" w:rsidRPr="003F53AC" w:rsidRDefault="003F53AC" w:rsidP="003F53AC">
            <w:pPr>
              <w:spacing w:after="0" w:line="240" w:lineRule="auto"/>
              <w:rPr>
                <w:rFonts w:ascii="Aptos Narrow" w:eastAsia="Times New Roman" w:hAnsi="Aptos Narrow" w:cs="Times New Roman"/>
                <w:color w:val="000000"/>
                <w:kern w:val="0"/>
                <w:sz w:val="28"/>
                <w:szCs w:val="28"/>
                <w14:ligatures w14:val="none"/>
              </w:rPr>
            </w:pPr>
            <w:r>
              <w:rPr>
                <w:rFonts w:ascii="Aptos Narrow" w:eastAsia="Times New Roman" w:hAnsi="Aptos Narrow" w:cs="Times New Roman"/>
                <w:color w:val="000000"/>
                <w:kern w:val="0"/>
                <w:sz w:val="28"/>
                <w:szCs w:val="28"/>
                <w14:ligatures w14:val="none"/>
              </w:rPr>
              <w:t xml:space="preserve">   </w:t>
            </w:r>
            <w:r w:rsidRPr="003F53AC">
              <w:rPr>
                <w:rFonts w:ascii="Aptos Narrow" w:eastAsia="Times New Roman" w:hAnsi="Aptos Narrow" w:cs="Times New Roman"/>
                <w:color w:val="000000"/>
                <w:kern w:val="0"/>
                <w:sz w:val="28"/>
                <w:szCs w:val="28"/>
                <w14:ligatures w14:val="none"/>
              </w:rPr>
              <w:t>Closing Cash</w:t>
            </w:r>
          </w:p>
        </w:tc>
      </w:tr>
      <w:tr w:rsidR="00A11A18" w:rsidRPr="003F53AC" w14:paraId="60BDA518"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56B1ABE7"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Jan</w:t>
            </w:r>
          </w:p>
        </w:tc>
        <w:tc>
          <w:tcPr>
            <w:tcW w:w="2241" w:type="dxa"/>
            <w:tcBorders>
              <w:top w:val="nil"/>
              <w:left w:val="nil"/>
              <w:bottom w:val="single" w:sz="4" w:space="0" w:color="auto"/>
              <w:right w:val="single" w:sz="4" w:space="0" w:color="auto"/>
            </w:tcBorders>
            <w:noWrap/>
            <w:vAlign w:val="bottom"/>
            <w:hideMark/>
          </w:tcPr>
          <w:p w14:paraId="791C999A"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15000</w:t>
            </w:r>
          </w:p>
        </w:tc>
        <w:tc>
          <w:tcPr>
            <w:tcW w:w="1534" w:type="dxa"/>
            <w:tcBorders>
              <w:top w:val="nil"/>
              <w:left w:val="nil"/>
              <w:bottom w:val="single" w:sz="4" w:space="0" w:color="auto"/>
              <w:right w:val="single" w:sz="4" w:space="0" w:color="auto"/>
            </w:tcBorders>
            <w:noWrap/>
            <w:vAlign w:val="bottom"/>
            <w:hideMark/>
          </w:tcPr>
          <w:p w14:paraId="593D9D3C"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900</w:t>
            </w:r>
          </w:p>
        </w:tc>
        <w:tc>
          <w:tcPr>
            <w:tcW w:w="2936" w:type="dxa"/>
            <w:tcBorders>
              <w:top w:val="nil"/>
              <w:left w:val="nil"/>
              <w:bottom w:val="single" w:sz="4" w:space="0" w:color="auto"/>
              <w:right w:val="single" w:sz="4" w:space="0" w:color="auto"/>
            </w:tcBorders>
            <w:noWrap/>
            <w:vAlign w:val="bottom"/>
            <w:hideMark/>
          </w:tcPr>
          <w:p w14:paraId="2BC5DD0A"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15,900</w:t>
            </w:r>
          </w:p>
        </w:tc>
      </w:tr>
      <w:tr w:rsidR="00A11A18" w:rsidRPr="003F53AC" w14:paraId="3D78409F"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6673691A"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Feb</w:t>
            </w:r>
          </w:p>
        </w:tc>
        <w:tc>
          <w:tcPr>
            <w:tcW w:w="2241" w:type="dxa"/>
            <w:tcBorders>
              <w:top w:val="nil"/>
              <w:left w:val="nil"/>
              <w:bottom w:val="single" w:sz="4" w:space="0" w:color="auto"/>
              <w:right w:val="single" w:sz="4" w:space="0" w:color="auto"/>
            </w:tcBorders>
            <w:noWrap/>
            <w:vAlign w:val="bottom"/>
            <w:hideMark/>
          </w:tcPr>
          <w:p w14:paraId="7493ED0C"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15900</w:t>
            </w:r>
          </w:p>
        </w:tc>
        <w:tc>
          <w:tcPr>
            <w:tcW w:w="1534" w:type="dxa"/>
            <w:tcBorders>
              <w:top w:val="nil"/>
              <w:left w:val="nil"/>
              <w:bottom w:val="single" w:sz="4" w:space="0" w:color="auto"/>
              <w:right w:val="single" w:sz="4" w:space="0" w:color="auto"/>
            </w:tcBorders>
            <w:noWrap/>
            <w:vAlign w:val="bottom"/>
            <w:hideMark/>
          </w:tcPr>
          <w:p w14:paraId="69F9E70F"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1,600</w:t>
            </w:r>
          </w:p>
        </w:tc>
        <w:tc>
          <w:tcPr>
            <w:tcW w:w="2936" w:type="dxa"/>
            <w:tcBorders>
              <w:top w:val="nil"/>
              <w:left w:val="nil"/>
              <w:bottom w:val="single" w:sz="4" w:space="0" w:color="auto"/>
              <w:right w:val="single" w:sz="4" w:space="0" w:color="auto"/>
            </w:tcBorders>
            <w:noWrap/>
            <w:vAlign w:val="bottom"/>
            <w:hideMark/>
          </w:tcPr>
          <w:p w14:paraId="33221479"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17,500</w:t>
            </w:r>
          </w:p>
        </w:tc>
      </w:tr>
      <w:tr w:rsidR="00A11A18" w:rsidRPr="003F53AC" w14:paraId="5995B4D5"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4953E55C"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Mar</w:t>
            </w:r>
          </w:p>
        </w:tc>
        <w:tc>
          <w:tcPr>
            <w:tcW w:w="2241" w:type="dxa"/>
            <w:tcBorders>
              <w:top w:val="nil"/>
              <w:left w:val="nil"/>
              <w:bottom w:val="single" w:sz="4" w:space="0" w:color="auto"/>
              <w:right w:val="single" w:sz="4" w:space="0" w:color="auto"/>
            </w:tcBorders>
            <w:noWrap/>
            <w:vAlign w:val="bottom"/>
            <w:hideMark/>
          </w:tcPr>
          <w:p w14:paraId="3292CCD8"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17500</w:t>
            </w:r>
          </w:p>
        </w:tc>
        <w:tc>
          <w:tcPr>
            <w:tcW w:w="1534" w:type="dxa"/>
            <w:tcBorders>
              <w:top w:val="nil"/>
              <w:left w:val="nil"/>
              <w:bottom w:val="single" w:sz="4" w:space="0" w:color="auto"/>
              <w:right w:val="single" w:sz="4" w:space="0" w:color="auto"/>
            </w:tcBorders>
            <w:noWrap/>
            <w:vAlign w:val="bottom"/>
            <w:hideMark/>
          </w:tcPr>
          <w:p w14:paraId="44C94CD1"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2,650</w:t>
            </w:r>
          </w:p>
        </w:tc>
        <w:tc>
          <w:tcPr>
            <w:tcW w:w="2936" w:type="dxa"/>
            <w:tcBorders>
              <w:top w:val="nil"/>
              <w:left w:val="nil"/>
              <w:bottom w:val="single" w:sz="4" w:space="0" w:color="auto"/>
              <w:right w:val="single" w:sz="4" w:space="0" w:color="auto"/>
            </w:tcBorders>
            <w:noWrap/>
            <w:vAlign w:val="bottom"/>
            <w:hideMark/>
          </w:tcPr>
          <w:p w14:paraId="7994B94D"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20,150</w:t>
            </w:r>
          </w:p>
        </w:tc>
      </w:tr>
      <w:tr w:rsidR="00A11A18" w:rsidRPr="003F53AC" w14:paraId="2279C3F2"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5F4744F1"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Apr</w:t>
            </w:r>
          </w:p>
        </w:tc>
        <w:tc>
          <w:tcPr>
            <w:tcW w:w="2241" w:type="dxa"/>
            <w:tcBorders>
              <w:top w:val="nil"/>
              <w:left w:val="nil"/>
              <w:bottom w:val="single" w:sz="4" w:space="0" w:color="auto"/>
              <w:right w:val="single" w:sz="4" w:space="0" w:color="auto"/>
            </w:tcBorders>
            <w:noWrap/>
            <w:vAlign w:val="bottom"/>
            <w:hideMark/>
          </w:tcPr>
          <w:p w14:paraId="4C2CAB2A"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20,150</w:t>
            </w:r>
          </w:p>
        </w:tc>
        <w:tc>
          <w:tcPr>
            <w:tcW w:w="1534" w:type="dxa"/>
            <w:tcBorders>
              <w:top w:val="nil"/>
              <w:left w:val="nil"/>
              <w:bottom w:val="single" w:sz="4" w:space="0" w:color="auto"/>
              <w:right w:val="single" w:sz="4" w:space="0" w:color="auto"/>
            </w:tcBorders>
            <w:noWrap/>
            <w:vAlign w:val="bottom"/>
            <w:hideMark/>
          </w:tcPr>
          <w:p w14:paraId="68AF4D63"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3,700</w:t>
            </w:r>
          </w:p>
        </w:tc>
        <w:tc>
          <w:tcPr>
            <w:tcW w:w="2936" w:type="dxa"/>
            <w:tcBorders>
              <w:top w:val="nil"/>
              <w:left w:val="nil"/>
              <w:bottom w:val="single" w:sz="4" w:space="0" w:color="auto"/>
              <w:right w:val="single" w:sz="4" w:space="0" w:color="auto"/>
            </w:tcBorders>
            <w:noWrap/>
            <w:vAlign w:val="bottom"/>
            <w:hideMark/>
          </w:tcPr>
          <w:p w14:paraId="2838B4B8"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23,250</w:t>
            </w:r>
          </w:p>
        </w:tc>
      </w:tr>
      <w:tr w:rsidR="00A11A18" w:rsidRPr="003F53AC" w14:paraId="6F6C3CEB"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345EF13C"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May</w:t>
            </w:r>
          </w:p>
        </w:tc>
        <w:tc>
          <w:tcPr>
            <w:tcW w:w="2241" w:type="dxa"/>
            <w:tcBorders>
              <w:top w:val="nil"/>
              <w:left w:val="nil"/>
              <w:bottom w:val="single" w:sz="4" w:space="0" w:color="auto"/>
              <w:right w:val="single" w:sz="4" w:space="0" w:color="auto"/>
            </w:tcBorders>
            <w:noWrap/>
            <w:vAlign w:val="bottom"/>
            <w:hideMark/>
          </w:tcPr>
          <w:p w14:paraId="395947DD"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23,850</w:t>
            </w:r>
          </w:p>
        </w:tc>
        <w:tc>
          <w:tcPr>
            <w:tcW w:w="1534" w:type="dxa"/>
            <w:tcBorders>
              <w:top w:val="nil"/>
              <w:left w:val="nil"/>
              <w:bottom w:val="single" w:sz="4" w:space="0" w:color="auto"/>
              <w:right w:val="single" w:sz="4" w:space="0" w:color="auto"/>
            </w:tcBorders>
            <w:noWrap/>
            <w:vAlign w:val="bottom"/>
            <w:hideMark/>
          </w:tcPr>
          <w:p w14:paraId="3126C48D"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4,400</w:t>
            </w:r>
          </w:p>
        </w:tc>
        <w:tc>
          <w:tcPr>
            <w:tcW w:w="2936" w:type="dxa"/>
            <w:tcBorders>
              <w:top w:val="nil"/>
              <w:left w:val="nil"/>
              <w:bottom w:val="single" w:sz="4" w:space="0" w:color="auto"/>
              <w:right w:val="single" w:sz="4" w:space="0" w:color="auto"/>
            </w:tcBorders>
            <w:noWrap/>
            <w:vAlign w:val="bottom"/>
            <w:hideMark/>
          </w:tcPr>
          <w:p w14:paraId="374F11D7"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28,250</w:t>
            </w:r>
          </w:p>
        </w:tc>
      </w:tr>
      <w:tr w:rsidR="00A11A18" w:rsidRPr="003F53AC" w14:paraId="1DCB34DA"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2669FF14"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Jun</w:t>
            </w:r>
          </w:p>
        </w:tc>
        <w:tc>
          <w:tcPr>
            <w:tcW w:w="2241" w:type="dxa"/>
            <w:tcBorders>
              <w:top w:val="nil"/>
              <w:left w:val="nil"/>
              <w:bottom w:val="single" w:sz="4" w:space="0" w:color="auto"/>
              <w:right w:val="single" w:sz="4" w:space="0" w:color="auto"/>
            </w:tcBorders>
            <w:noWrap/>
            <w:vAlign w:val="bottom"/>
            <w:hideMark/>
          </w:tcPr>
          <w:p w14:paraId="4B6B77E9"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28,250</w:t>
            </w:r>
          </w:p>
        </w:tc>
        <w:tc>
          <w:tcPr>
            <w:tcW w:w="1534" w:type="dxa"/>
            <w:tcBorders>
              <w:top w:val="nil"/>
              <w:left w:val="nil"/>
              <w:bottom w:val="single" w:sz="4" w:space="0" w:color="auto"/>
              <w:right w:val="single" w:sz="4" w:space="0" w:color="auto"/>
            </w:tcBorders>
            <w:noWrap/>
            <w:vAlign w:val="bottom"/>
            <w:hideMark/>
          </w:tcPr>
          <w:p w14:paraId="74E3F0B8"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6,600</w:t>
            </w:r>
          </w:p>
        </w:tc>
        <w:tc>
          <w:tcPr>
            <w:tcW w:w="2936" w:type="dxa"/>
            <w:tcBorders>
              <w:top w:val="nil"/>
              <w:left w:val="nil"/>
              <w:bottom w:val="single" w:sz="4" w:space="0" w:color="auto"/>
              <w:right w:val="single" w:sz="4" w:space="0" w:color="auto"/>
            </w:tcBorders>
            <w:noWrap/>
            <w:vAlign w:val="bottom"/>
            <w:hideMark/>
          </w:tcPr>
          <w:p w14:paraId="6796C332"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34,850</w:t>
            </w:r>
          </w:p>
        </w:tc>
      </w:tr>
      <w:tr w:rsidR="00A11A18" w:rsidRPr="003F53AC" w14:paraId="6BD75772"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17B740F3"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Jul</w:t>
            </w:r>
          </w:p>
        </w:tc>
        <w:tc>
          <w:tcPr>
            <w:tcW w:w="2241" w:type="dxa"/>
            <w:tcBorders>
              <w:top w:val="nil"/>
              <w:left w:val="nil"/>
              <w:bottom w:val="single" w:sz="4" w:space="0" w:color="auto"/>
              <w:right w:val="single" w:sz="4" w:space="0" w:color="auto"/>
            </w:tcBorders>
            <w:noWrap/>
            <w:vAlign w:val="bottom"/>
            <w:hideMark/>
          </w:tcPr>
          <w:p w14:paraId="6C437521"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34,850</w:t>
            </w:r>
          </w:p>
        </w:tc>
        <w:tc>
          <w:tcPr>
            <w:tcW w:w="1534" w:type="dxa"/>
            <w:tcBorders>
              <w:top w:val="nil"/>
              <w:left w:val="nil"/>
              <w:bottom w:val="single" w:sz="4" w:space="0" w:color="auto"/>
              <w:right w:val="single" w:sz="4" w:space="0" w:color="auto"/>
            </w:tcBorders>
            <w:noWrap/>
            <w:vAlign w:val="bottom"/>
            <w:hideMark/>
          </w:tcPr>
          <w:p w14:paraId="72F15E6F"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7,650</w:t>
            </w:r>
          </w:p>
        </w:tc>
        <w:tc>
          <w:tcPr>
            <w:tcW w:w="2936" w:type="dxa"/>
            <w:tcBorders>
              <w:top w:val="nil"/>
              <w:left w:val="nil"/>
              <w:bottom w:val="single" w:sz="4" w:space="0" w:color="auto"/>
              <w:right w:val="single" w:sz="4" w:space="0" w:color="auto"/>
            </w:tcBorders>
            <w:noWrap/>
            <w:vAlign w:val="bottom"/>
            <w:hideMark/>
          </w:tcPr>
          <w:p w14:paraId="30C0B472"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42,500</w:t>
            </w:r>
          </w:p>
        </w:tc>
      </w:tr>
      <w:tr w:rsidR="00A11A18" w:rsidRPr="003F53AC" w14:paraId="4902C716"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3F42AF0B"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Aug</w:t>
            </w:r>
          </w:p>
        </w:tc>
        <w:tc>
          <w:tcPr>
            <w:tcW w:w="2241" w:type="dxa"/>
            <w:tcBorders>
              <w:top w:val="nil"/>
              <w:left w:val="nil"/>
              <w:bottom w:val="single" w:sz="4" w:space="0" w:color="auto"/>
              <w:right w:val="single" w:sz="4" w:space="0" w:color="auto"/>
            </w:tcBorders>
            <w:noWrap/>
            <w:vAlign w:val="bottom"/>
            <w:hideMark/>
          </w:tcPr>
          <w:p w14:paraId="7C4211EF"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42,500</w:t>
            </w:r>
          </w:p>
        </w:tc>
        <w:tc>
          <w:tcPr>
            <w:tcW w:w="1534" w:type="dxa"/>
            <w:tcBorders>
              <w:top w:val="nil"/>
              <w:left w:val="nil"/>
              <w:bottom w:val="single" w:sz="4" w:space="0" w:color="auto"/>
              <w:right w:val="single" w:sz="4" w:space="0" w:color="auto"/>
            </w:tcBorders>
            <w:noWrap/>
            <w:vAlign w:val="bottom"/>
            <w:hideMark/>
          </w:tcPr>
          <w:p w14:paraId="0DB6EEF8"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8,350</w:t>
            </w:r>
          </w:p>
        </w:tc>
        <w:tc>
          <w:tcPr>
            <w:tcW w:w="2936" w:type="dxa"/>
            <w:tcBorders>
              <w:top w:val="nil"/>
              <w:left w:val="nil"/>
              <w:bottom w:val="single" w:sz="4" w:space="0" w:color="auto"/>
              <w:right w:val="single" w:sz="4" w:space="0" w:color="auto"/>
            </w:tcBorders>
            <w:noWrap/>
            <w:vAlign w:val="bottom"/>
            <w:hideMark/>
          </w:tcPr>
          <w:p w14:paraId="3DFA5E5C"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50,850</w:t>
            </w:r>
          </w:p>
        </w:tc>
      </w:tr>
      <w:tr w:rsidR="00A11A18" w:rsidRPr="003F53AC" w14:paraId="1BB1E7BF"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0A9C84C4"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Sep</w:t>
            </w:r>
          </w:p>
        </w:tc>
        <w:tc>
          <w:tcPr>
            <w:tcW w:w="2241" w:type="dxa"/>
            <w:tcBorders>
              <w:top w:val="nil"/>
              <w:left w:val="nil"/>
              <w:bottom w:val="single" w:sz="4" w:space="0" w:color="auto"/>
              <w:right w:val="single" w:sz="4" w:space="0" w:color="auto"/>
            </w:tcBorders>
            <w:noWrap/>
            <w:vAlign w:val="bottom"/>
            <w:hideMark/>
          </w:tcPr>
          <w:p w14:paraId="319E0AA7"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50,850</w:t>
            </w:r>
          </w:p>
        </w:tc>
        <w:tc>
          <w:tcPr>
            <w:tcW w:w="1534" w:type="dxa"/>
            <w:tcBorders>
              <w:top w:val="nil"/>
              <w:left w:val="nil"/>
              <w:bottom w:val="single" w:sz="4" w:space="0" w:color="auto"/>
              <w:right w:val="single" w:sz="4" w:space="0" w:color="auto"/>
            </w:tcBorders>
            <w:noWrap/>
            <w:vAlign w:val="bottom"/>
            <w:hideMark/>
          </w:tcPr>
          <w:p w14:paraId="170B6C08"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9,400</w:t>
            </w:r>
          </w:p>
        </w:tc>
        <w:tc>
          <w:tcPr>
            <w:tcW w:w="2936" w:type="dxa"/>
            <w:tcBorders>
              <w:top w:val="nil"/>
              <w:left w:val="nil"/>
              <w:bottom w:val="single" w:sz="4" w:space="0" w:color="auto"/>
              <w:right w:val="single" w:sz="4" w:space="0" w:color="auto"/>
            </w:tcBorders>
            <w:noWrap/>
            <w:vAlign w:val="bottom"/>
            <w:hideMark/>
          </w:tcPr>
          <w:p w14:paraId="2C3C2DB3"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60,250</w:t>
            </w:r>
          </w:p>
        </w:tc>
      </w:tr>
      <w:tr w:rsidR="00A11A18" w:rsidRPr="003F53AC" w14:paraId="67C95B23"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13145B50"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Oct</w:t>
            </w:r>
          </w:p>
        </w:tc>
        <w:tc>
          <w:tcPr>
            <w:tcW w:w="2241" w:type="dxa"/>
            <w:tcBorders>
              <w:top w:val="nil"/>
              <w:left w:val="nil"/>
              <w:bottom w:val="single" w:sz="4" w:space="0" w:color="auto"/>
              <w:right w:val="single" w:sz="4" w:space="0" w:color="auto"/>
            </w:tcBorders>
            <w:noWrap/>
            <w:vAlign w:val="bottom"/>
            <w:hideMark/>
          </w:tcPr>
          <w:p w14:paraId="0EFFC623"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60,250</w:t>
            </w:r>
          </w:p>
        </w:tc>
        <w:tc>
          <w:tcPr>
            <w:tcW w:w="1534" w:type="dxa"/>
            <w:tcBorders>
              <w:top w:val="nil"/>
              <w:left w:val="nil"/>
              <w:bottom w:val="single" w:sz="4" w:space="0" w:color="auto"/>
              <w:right w:val="single" w:sz="4" w:space="0" w:color="auto"/>
            </w:tcBorders>
            <w:noWrap/>
            <w:vAlign w:val="bottom"/>
            <w:hideMark/>
          </w:tcPr>
          <w:p w14:paraId="0560D76E"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10,100</w:t>
            </w:r>
          </w:p>
        </w:tc>
        <w:tc>
          <w:tcPr>
            <w:tcW w:w="2936" w:type="dxa"/>
            <w:tcBorders>
              <w:top w:val="nil"/>
              <w:left w:val="nil"/>
              <w:bottom w:val="single" w:sz="4" w:space="0" w:color="auto"/>
              <w:right w:val="single" w:sz="4" w:space="0" w:color="auto"/>
            </w:tcBorders>
            <w:noWrap/>
            <w:vAlign w:val="bottom"/>
            <w:hideMark/>
          </w:tcPr>
          <w:p w14:paraId="6F35389A"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70,350</w:t>
            </w:r>
          </w:p>
        </w:tc>
      </w:tr>
      <w:tr w:rsidR="00A11A18" w:rsidRPr="003F53AC" w14:paraId="5367A86C"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32BA3CD6"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Nov</w:t>
            </w:r>
          </w:p>
        </w:tc>
        <w:tc>
          <w:tcPr>
            <w:tcW w:w="2241" w:type="dxa"/>
            <w:tcBorders>
              <w:top w:val="nil"/>
              <w:left w:val="nil"/>
              <w:bottom w:val="single" w:sz="4" w:space="0" w:color="auto"/>
              <w:right w:val="single" w:sz="4" w:space="0" w:color="auto"/>
            </w:tcBorders>
            <w:noWrap/>
            <w:vAlign w:val="bottom"/>
            <w:hideMark/>
          </w:tcPr>
          <w:p w14:paraId="2DBC9F88"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70,350</w:t>
            </w:r>
          </w:p>
        </w:tc>
        <w:tc>
          <w:tcPr>
            <w:tcW w:w="1534" w:type="dxa"/>
            <w:tcBorders>
              <w:top w:val="nil"/>
              <w:left w:val="nil"/>
              <w:bottom w:val="single" w:sz="4" w:space="0" w:color="auto"/>
              <w:right w:val="single" w:sz="4" w:space="0" w:color="auto"/>
            </w:tcBorders>
            <w:noWrap/>
            <w:vAlign w:val="bottom"/>
            <w:hideMark/>
          </w:tcPr>
          <w:p w14:paraId="3840EA51"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10,800</w:t>
            </w:r>
          </w:p>
        </w:tc>
        <w:tc>
          <w:tcPr>
            <w:tcW w:w="2936" w:type="dxa"/>
            <w:tcBorders>
              <w:top w:val="nil"/>
              <w:left w:val="nil"/>
              <w:bottom w:val="single" w:sz="4" w:space="0" w:color="auto"/>
              <w:right w:val="single" w:sz="4" w:space="0" w:color="auto"/>
            </w:tcBorders>
            <w:noWrap/>
            <w:vAlign w:val="bottom"/>
            <w:hideMark/>
          </w:tcPr>
          <w:p w14:paraId="2D69EAF6"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81,150</w:t>
            </w:r>
          </w:p>
        </w:tc>
      </w:tr>
      <w:tr w:rsidR="00A11A18" w:rsidRPr="003F53AC" w14:paraId="3DF0CC07" w14:textId="77777777" w:rsidTr="00A11A18">
        <w:trPr>
          <w:trHeight w:val="276"/>
        </w:trPr>
        <w:tc>
          <w:tcPr>
            <w:tcW w:w="1752" w:type="dxa"/>
            <w:tcBorders>
              <w:top w:val="nil"/>
              <w:left w:val="single" w:sz="4" w:space="0" w:color="auto"/>
              <w:bottom w:val="single" w:sz="4" w:space="0" w:color="auto"/>
              <w:right w:val="single" w:sz="4" w:space="0" w:color="auto"/>
            </w:tcBorders>
            <w:noWrap/>
            <w:vAlign w:val="bottom"/>
            <w:hideMark/>
          </w:tcPr>
          <w:p w14:paraId="4AB514E5"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Dec</w:t>
            </w:r>
          </w:p>
        </w:tc>
        <w:tc>
          <w:tcPr>
            <w:tcW w:w="2241" w:type="dxa"/>
            <w:tcBorders>
              <w:top w:val="nil"/>
              <w:left w:val="nil"/>
              <w:bottom w:val="single" w:sz="4" w:space="0" w:color="auto"/>
              <w:right w:val="single" w:sz="4" w:space="0" w:color="auto"/>
            </w:tcBorders>
            <w:noWrap/>
            <w:vAlign w:val="bottom"/>
            <w:hideMark/>
          </w:tcPr>
          <w:p w14:paraId="1FEF70FB"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81,150</w:t>
            </w:r>
          </w:p>
        </w:tc>
        <w:tc>
          <w:tcPr>
            <w:tcW w:w="1534" w:type="dxa"/>
            <w:tcBorders>
              <w:top w:val="nil"/>
              <w:left w:val="nil"/>
              <w:bottom w:val="single" w:sz="4" w:space="0" w:color="auto"/>
              <w:right w:val="single" w:sz="4" w:space="0" w:color="auto"/>
            </w:tcBorders>
            <w:noWrap/>
            <w:vAlign w:val="bottom"/>
            <w:hideMark/>
          </w:tcPr>
          <w:p w14:paraId="3FCE1437"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11,150</w:t>
            </w:r>
          </w:p>
        </w:tc>
        <w:tc>
          <w:tcPr>
            <w:tcW w:w="2936" w:type="dxa"/>
            <w:tcBorders>
              <w:top w:val="nil"/>
              <w:left w:val="nil"/>
              <w:bottom w:val="single" w:sz="4" w:space="0" w:color="auto"/>
              <w:right w:val="single" w:sz="4" w:space="0" w:color="auto"/>
            </w:tcBorders>
            <w:noWrap/>
            <w:vAlign w:val="bottom"/>
            <w:hideMark/>
          </w:tcPr>
          <w:p w14:paraId="5FEA6350" w14:textId="77777777" w:rsidR="003F53AC" w:rsidRPr="003F53AC" w:rsidRDefault="003F53AC" w:rsidP="003F53AC">
            <w:pPr>
              <w:spacing w:after="0" w:line="240" w:lineRule="auto"/>
              <w:jc w:val="center"/>
              <w:rPr>
                <w:rFonts w:ascii="Aptos Narrow" w:eastAsia="Times New Roman" w:hAnsi="Aptos Narrow" w:cs="Times New Roman"/>
                <w:color w:val="000000"/>
                <w:kern w:val="0"/>
                <w:sz w:val="22"/>
                <w:szCs w:val="22"/>
                <w14:ligatures w14:val="none"/>
              </w:rPr>
            </w:pPr>
            <w:r w:rsidRPr="003F53AC">
              <w:rPr>
                <w:rFonts w:ascii="Aptos Narrow" w:eastAsia="Times New Roman" w:hAnsi="Aptos Narrow" w:cs="Times New Roman"/>
                <w:color w:val="000000"/>
                <w:kern w:val="0"/>
                <w:sz w:val="22"/>
                <w:szCs w:val="22"/>
                <w14:ligatures w14:val="none"/>
              </w:rPr>
              <w:t>92,300</w:t>
            </w:r>
          </w:p>
        </w:tc>
      </w:tr>
    </w:tbl>
    <w:p w14:paraId="1847EE36" w14:textId="77777777" w:rsidR="00795028" w:rsidRDefault="00795028" w:rsidP="00795028">
      <w:r>
        <w:lastRenderedPageBreak/>
        <w:t>This cash flow forecast tracks the business from January to December, showing exactly how money comes in and builds up over the year. The company kicks off January with 15,000 in the bank—basically, that’s the starting pot. Each month, it’s the same drill: take last month’s closing balance, add in this month’s profit, and that’s your new total.</w:t>
      </w:r>
    </w:p>
    <w:p w14:paraId="43D65411" w14:textId="77777777" w:rsidR="00795028" w:rsidRDefault="00795028" w:rsidP="00795028">
      <w:r>
        <w:t xml:space="preserve">Every single month, the business turns a profit. Cash inflows beat outflows, no exceptions. Profits start at 900 in January and climb steadily, hitting 11,150 by December. That kind of growth points to rising revenues and expenses kept in check. There’s never a month </w:t>
      </w:r>
      <w:proofErr w:type="gramStart"/>
      <w:r>
        <w:t>where</w:t>
      </w:r>
      <w:proofErr w:type="gramEnd"/>
      <w:r>
        <w:t xml:space="preserve"> cash slips into the red.</w:t>
      </w:r>
    </w:p>
    <w:p w14:paraId="06A6FFA4" w14:textId="14212A7A" w:rsidR="001405B2" w:rsidRDefault="00795028" w:rsidP="00795028">
      <w:r>
        <w:t xml:space="preserve"> This steady profit, the cash balance keeps climbing. By June, halfway through the year, the business sits at 34,850—</w:t>
      </w:r>
      <w:proofErr w:type="gramStart"/>
      <w:r>
        <w:t>pretty solid</w:t>
      </w:r>
      <w:proofErr w:type="gramEnd"/>
      <w:r>
        <w:t xml:space="preserve"> for liquidity. Things pick up even more in the second half, and by December, the closing balance stands at 92,300. It’s clear: the business not only stays profitable but ends the year in a much stronger cash position than where it started.</w:t>
      </w:r>
    </w:p>
    <w:p w14:paraId="30A8F68A" w14:textId="2CAA030F" w:rsidR="00795028" w:rsidRDefault="00795028" w:rsidP="00795028">
      <w:r w:rsidRPr="00795028">
        <w:t>Each closing cash balance for a given month becomes the opening cash balance for the subsequent month. This ensures the accuracy and consistency of the cash balance for the entire twelve months. Overall, the twelve-month cash flow projection indicates that the business will remain cash-positive throughout the given period.</w:t>
      </w:r>
    </w:p>
    <w:p w14:paraId="5727D65D" w14:textId="77777777" w:rsidR="00795028" w:rsidRDefault="00795028" w:rsidP="00795028"/>
    <w:p w14:paraId="2C46A4A4" w14:textId="77777777" w:rsidR="00A11A18" w:rsidRDefault="00A11A18" w:rsidP="00795028"/>
    <w:p w14:paraId="4A716E6F" w14:textId="77777777" w:rsidR="00A11A18" w:rsidRDefault="00A11A18" w:rsidP="00795028"/>
    <w:p w14:paraId="7BD5C867" w14:textId="67279496" w:rsidR="00795028" w:rsidRPr="00795028" w:rsidRDefault="00795028" w:rsidP="00795028">
      <w:pPr>
        <w:jc w:val="center"/>
        <w:rPr>
          <w:b/>
          <w:bCs/>
          <w:sz w:val="52"/>
          <w:szCs w:val="52"/>
          <w:u w:val="single"/>
        </w:rPr>
      </w:pPr>
      <w:r w:rsidRPr="00795028">
        <w:rPr>
          <w:b/>
          <w:bCs/>
          <w:sz w:val="52"/>
          <w:szCs w:val="52"/>
          <w:highlight w:val="cyan"/>
          <w:u w:val="single"/>
        </w:rPr>
        <w:t>Runway</w:t>
      </w:r>
    </w:p>
    <w:tbl>
      <w:tblPr>
        <w:tblW w:w="9052" w:type="dxa"/>
        <w:tblLook w:val="04A0" w:firstRow="1" w:lastRow="0" w:firstColumn="1" w:lastColumn="0" w:noHBand="0" w:noVBand="1"/>
      </w:tblPr>
      <w:tblGrid>
        <w:gridCol w:w="2386"/>
        <w:gridCol w:w="1147"/>
        <w:gridCol w:w="2295"/>
        <w:gridCol w:w="1712"/>
        <w:gridCol w:w="1512"/>
      </w:tblGrid>
      <w:tr w:rsidR="00795028" w:rsidRPr="00795028" w14:paraId="6B834BBE" w14:textId="77777777" w:rsidTr="00A11A18">
        <w:trPr>
          <w:trHeight w:val="171"/>
        </w:trPr>
        <w:tc>
          <w:tcPr>
            <w:tcW w:w="2386"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336540D6" w14:textId="77777777" w:rsidR="00795028" w:rsidRPr="00795028" w:rsidRDefault="00795028" w:rsidP="00795028">
            <w:pPr>
              <w:spacing w:after="0" w:line="240" w:lineRule="auto"/>
              <w:rPr>
                <w:rFonts w:ascii="Aptos Narrow" w:eastAsia="Times New Roman" w:hAnsi="Aptos Narrow" w:cs="Times New Roman"/>
                <w:b/>
                <w:bCs/>
                <w:color w:val="000000"/>
                <w:kern w:val="0"/>
                <w:sz w:val="22"/>
                <w:szCs w:val="22"/>
                <w14:ligatures w14:val="none"/>
              </w:rPr>
            </w:pPr>
            <w:r w:rsidRPr="00795028">
              <w:rPr>
                <w:rFonts w:ascii="Aptos Narrow" w:eastAsia="Times New Roman" w:hAnsi="Aptos Narrow" w:cs="Times New Roman"/>
                <w:b/>
                <w:bCs/>
                <w:color w:val="000000"/>
                <w:kern w:val="0"/>
                <w:sz w:val="22"/>
                <w:szCs w:val="22"/>
                <w14:ligatures w14:val="none"/>
              </w:rPr>
              <w:t xml:space="preserve">Runway (Months) </w:t>
            </w:r>
          </w:p>
        </w:tc>
        <w:tc>
          <w:tcPr>
            <w:tcW w:w="1147" w:type="dxa"/>
            <w:tcBorders>
              <w:top w:val="single" w:sz="4" w:space="0" w:color="auto"/>
              <w:left w:val="nil"/>
              <w:bottom w:val="single" w:sz="4" w:space="0" w:color="auto"/>
              <w:right w:val="single" w:sz="4" w:space="0" w:color="auto"/>
            </w:tcBorders>
            <w:shd w:val="clear" w:color="000000" w:fill="DAE9F8"/>
            <w:noWrap/>
            <w:vAlign w:val="bottom"/>
            <w:hideMark/>
          </w:tcPr>
          <w:p w14:paraId="4E75310D" w14:textId="77777777" w:rsidR="00795028" w:rsidRPr="00795028" w:rsidRDefault="00795028" w:rsidP="00795028">
            <w:pPr>
              <w:spacing w:after="0" w:line="240" w:lineRule="auto"/>
              <w:rPr>
                <w:rFonts w:ascii="Aptos Narrow" w:eastAsia="Times New Roman" w:hAnsi="Aptos Narrow" w:cs="Times New Roman"/>
                <w:b/>
                <w:bCs/>
                <w:color w:val="000000"/>
                <w:kern w:val="0"/>
                <w:sz w:val="22"/>
                <w:szCs w:val="22"/>
                <w14:ligatures w14:val="none"/>
              </w:rPr>
            </w:pPr>
            <w:r w:rsidRPr="00795028">
              <w:rPr>
                <w:rFonts w:ascii="Aptos Narrow" w:eastAsia="Times New Roman" w:hAnsi="Aptos Narrow" w:cs="Times New Roman"/>
                <w:b/>
                <w:bCs/>
                <w:color w:val="000000"/>
                <w:kern w:val="0"/>
                <w:sz w:val="22"/>
                <w:szCs w:val="22"/>
                <w14:ligatures w14:val="none"/>
              </w:rPr>
              <w:t xml:space="preserve">opening cash </w:t>
            </w:r>
          </w:p>
        </w:tc>
        <w:tc>
          <w:tcPr>
            <w:tcW w:w="2295" w:type="dxa"/>
            <w:tcBorders>
              <w:top w:val="single" w:sz="4" w:space="0" w:color="auto"/>
              <w:left w:val="nil"/>
              <w:bottom w:val="single" w:sz="4" w:space="0" w:color="auto"/>
              <w:right w:val="single" w:sz="4" w:space="0" w:color="auto"/>
            </w:tcBorders>
            <w:shd w:val="clear" w:color="000000" w:fill="DAE9F8"/>
            <w:noWrap/>
            <w:vAlign w:val="bottom"/>
            <w:hideMark/>
          </w:tcPr>
          <w:p w14:paraId="00E79B5D" w14:textId="593F7538" w:rsidR="00795028" w:rsidRPr="00795028" w:rsidRDefault="00795028" w:rsidP="00795028">
            <w:pPr>
              <w:spacing w:after="0" w:line="240" w:lineRule="auto"/>
              <w:jc w:val="center"/>
              <w:rPr>
                <w:rFonts w:ascii="Aptos Narrow" w:eastAsia="Times New Roman" w:hAnsi="Aptos Narrow" w:cs="Times New Roman"/>
                <w:b/>
                <w:bCs/>
                <w:color w:val="000000"/>
                <w:kern w:val="0"/>
                <w:sz w:val="22"/>
                <w:szCs w:val="22"/>
                <w14:ligatures w14:val="none"/>
              </w:rPr>
            </w:pPr>
            <w:r w:rsidRPr="00795028">
              <w:rPr>
                <w:rFonts w:ascii="Aptos Narrow" w:eastAsia="Times New Roman" w:hAnsi="Aptos Narrow" w:cs="Times New Roman"/>
                <w:b/>
                <w:bCs/>
                <w:color w:val="000000"/>
                <w:kern w:val="0"/>
                <w:sz w:val="22"/>
                <w:szCs w:val="22"/>
                <w14:ligatures w14:val="none"/>
              </w:rPr>
              <w:t>Costs</w:t>
            </w:r>
          </w:p>
        </w:tc>
        <w:tc>
          <w:tcPr>
            <w:tcW w:w="1712" w:type="dxa"/>
            <w:tcBorders>
              <w:top w:val="single" w:sz="4" w:space="0" w:color="auto"/>
              <w:left w:val="nil"/>
              <w:bottom w:val="single" w:sz="4" w:space="0" w:color="auto"/>
              <w:right w:val="single" w:sz="4" w:space="0" w:color="auto"/>
            </w:tcBorders>
            <w:shd w:val="clear" w:color="000000" w:fill="DAE9F8"/>
            <w:noWrap/>
            <w:vAlign w:val="bottom"/>
            <w:hideMark/>
          </w:tcPr>
          <w:p w14:paraId="503FF7E1" w14:textId="77777777" w:rsidR="00795028" w:rsidRPr="00795028" w:rsidRDefault="00795028" w:rsidP="00795028">
            <w:pPr>
              <w:spacing w:after="0" w:line="240" w:lineRule="auto"/>
              <w:rPr>
                <w:rFonts w:ascii="Aptos Narrow" w:eastAsia="Times New Roman" w:hAnsi="Aptos Narrow" w:cs="Times New Roman"/>
                <w:b/>
                <w:bCs/>
                <w:color w:val="000000"/>
                <w:kern w:val="0"/>
                <w:sz w:val="22"/>
                <w:szCs w:val="22"/>
                <w14:ligatures w14:val="none"/>
              </w:rPr>
            </w:pPr>
            <w:r w:rsidRPr="00795028">
              <w:rPr>
                <w:rFonts w:ascii="Aptos Narrow" w:eastAsia="Times New Roman" w:hAnsi="Aptos Narrow" w:cs="Times New Roman"/>
                <w:b/>
                <w:bCs/>
                <w:color w:val="000000"/>
                <w:kern w:val="0"/>
                <w:sz w:val="22"/>
                <w:szCs w:val="22"/>
                <w14:ligatures w14:val="none"/>
              </w:rPr>
              <w:t xml:space="preserve">Runway calculation </w:t>
            </w:r>
          </w:p>
        </w:tc>
        <w:tc>
          <w:tcPr>
            <w:tcW w:w="1512" w:type="dxa"/>
            <w:tcBorders>
              <w:top w:val="single" w:sz="4" w:space="0" w:color="auto"/>
              <w:left w:val="nil"/>
              <w:bottom w:val="single" w:sz="4" w:space="0" w:color="auto"/>
              <w:right w:val="single" w:sz="4" w:space="0" w:color="auto"/>
            </w:tcBorders>
            <w:shd w:val="clear" w:color="000000" w:fill="DAE9F8"/>
            <w:noWrap/>
            <w:vAlign w:val="bottom"/>
            <w:hideMark/>
          </w:tcPr>
          <w:p w14:paraId="41155C50" w14:textId="77777777" w:rsidR="00795028" w:rsidRPr="00795028" w:rsidRDefault="00795028" w:rsidP="00795028">
            <w:pPr>
              <w:spacing w:after="0" w:line="240" w:lineRule="auto"/>
              <w:rPr>
                <w:rFonts w:ascii="Aptos Narrow" w:eastAsia="Times New Roman" w:hAnsi="Aptos Narrow" w:cs="Times New Roman"/>
                <w:b/>
                <w:bCs/>
                <w:color w:val="000000"/>
                <w:kern w:val="0"/>
                <w:sz w:val="22"/>
                <w:szCs w:val="22"/>
                <w14:ligatures w14:val="none"/>
              </w:rPr>
            </w:pPr>
            <w:r w:rsidRPr="00795028">
              <w:rPr>
                <w:rFonts w:ascii="Aptos Narrow" w:eastAsia="Times New Roman" w:hAnsi="Aptos Narrow" w:cs="Times New Roman"/>
                <w:b/>
                <w:bCs/>
                <w:color w:val="000000"/>
                <w:kern w:val="0"/>
                <w:sz w:val="22"/>
                <w:szCs w:val="22"/>
                <w14:ligatures w14:val="none"/>
              </w:rPr>
              <w:t xml:space="preserve">Runway position </w:t>
            </w:r>
          </w:p>
        </w:tc>
      </w:tr>
      <w:tr w:rsidR="00795028" w:rsidRPr="00795028" w14:paraId="6396B2E6"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26FD9A55"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January</w:t>
            </w:r>
          </w:p>
        </w:tc>
        <w:tc>
          <w:tcPr>
            <w:tcW w:w="1147" w:type="dxa"/>
            <w:tcBorders>
              <w:top w:val="nil"/>
              <w:left w:val="nil"/>
              <w:bottom w:val="single" w:sz="4" w:space="0" w:color="auto"/>
              <w:right w:val="single" w:sz="4" w:space="0" w:color="auto"/>
            </w:tcBorders>
            <w:noWrap/>
            <w:vAlign w:val="bottom"/>
            <w:hideMark/>
          </w:tcPr>
          <w:p w14:paraId="6A166E57"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15000</w:t>
            </w:r>
          </w:p>
        </w:tc>
        <w:tc>
          <w:tcPr>
            <w:tcW w:w="2295" w:type="dxa"/>
            <w:tcBorders>
              <w:top w:val="nil"/>
              <w:left w:val="nil"/>
              <w:bottom w:val="single" w:sz="4" w:space="0" w:color="auto"/>
              <w:right w:val="single" w:sz="4" w:space="0" w:color="auto"/>
            </w:tcBorders>
            <w:noWrap/>
            <w:vAlign w:val="bottom"/>
            <w:hideMark/>
          </w:tcPr>
          <w:p w14:paraId="7993FA09"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3CEC23D4"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2.46</w:t>
            </w:r>
          </w:p>
        </w:tc>
        <w:tc>
          <w:tcPr>
            <w:tcW w:w="1512" w:type="dxa"/>
            <w:tcBorders>
              <w:top w:val="nil"/>
              <w:left w:val="nil"/>
              <w:bottom w:val="single" w:sz="4" w:space="0" w:color="auto"/>
              <w:right w:val="single" w:sz="4" w:space="0" w:color="auto"/>
            </w:tcBorders>
            <w:noWrap/>
            <w:vAlign w:val="bottom"/>
            <w:hideMark/>
          </w:tcPr>
          <w:p w14:paraId="4A275FE5"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Extended</w:t>
            </w:r>
          </w:p>
        </w:tc>
      </w:tr>
      <w:tr w:rsidR="00795028" w:rsidRPr="00795028" w14:paraId="5D5D5111"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275A122C"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February</w:t>
            </w:r>
          </w:p>
        </w:tc>
        <w:tc>
          <w:tcPr>
            <w:tcW w:w="1147" w:type="dxa"/>
            <w:tcBorders>
              <w:top w:val="nil"/>
              <w:left w:val="nil"/>
              <w:bottom w:val="single" w:sz="4" w:space="0" w:color="auto"/>
              <w:right w:val="single" w:sz="4" w:space="0" w:color="auto"/>
            </w:tcBorders>
            <w:noWrap/>
            <w:vAlign w:val="bottom"/>
            <w:hideMark/>
          </w:tcPr>
          <w:p w14:paraId="4577FC0C"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15900</w:t>
            </w:r>
          </w:p>
        </w:tc>
        <w:tc>
          <w:tcPr>
            <w:tcW w:w="2295" w:type="dxa"/>
            <w:tcBorders>
              <w:top w:val="nil"/>
              <w:left w:val="nil"/>
              <w:bottom w:val="single" w:sz="4" w:space="0" w:color="auto"/>
              <w:right w:val="single" w:sz="4" w:space="0" w:color="auto"/>
            </w:tcBorders>
            <w:noWrap/>
            <w:vAlign w:val="bottom"/>
            <w:hideMark/>
          </w:tcPr>
          <w:p w14:paraId="270D3EF0"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42344A37"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2.606557377</w:t>
            </w:r>
          </w:p>
        </w:tc>
        <w:tc>
          <w:tcPr>
            <w:tcW w:w="1512" w:type="dxa"/>
            <w:tcBorders>
              <w:top w:val="nil"/>
              <w:left w:val="nil"/>
              <w:bottom w:val="single" w:sz="4" w:space="0" w:color="auto"/>
              <w:right w:val="single" w:sz="4" w:space="0" w:color="auto"/>
            </w:tcBorders>
            <w:noWrap/>
            <w:vAlign w:val="bottom"/>
            <w:hideMark/>
          </w:tcPr>
          <w:p w14:paraId="6B0FEF54"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Extended</w:t>
            </w:r>
          </w:p>
        </w:tc>
      </w:tr>
      <w:tr w:rsidR="00795028" w:rsidRPr="00795028" w14:paraId="1F916E37"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5FFBD436"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March</w:t>
            </w:r>
          </w:p>
        </w:tc>
        <w:tc>
          <w:tcPr>
            <w:tcW w:w="1147" w:type="dxa"/>
            <w:tcBorders>
              <w:top w:val="nil"/>
              <w:left w:val="nil"/>
              <w:bottom w:val="single" w:sz="4" w:space="0" w:color="auto"/>
              <w:right w:val="single" w:sz="4" w:space="0" w:color="auto"/>
            </w:tcBorders>
            <w:noWrap/>
            <w:vAlign w:val="bottom"/>
            <w:hideMark/>
          </w:tcPr>
          <w:p w14:paraId="5B09100E"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17500</w:t>
            </w:r>
          </w:p>
        </w:tc>
        <w:tc>
          <w:tcPr>
            <w:tcW w:w="2295" w:type="dxa"/>
            <w:tcBorders>
              <w:top w:val="nil"/>
              <w:left w:val="nil"/>
              <w:bottom w:val="single" w:sz="4" w:space="0" w:color="auto"/>
              <w:right w:val="single" w:sz="4" w:space="0" w:color="auto"/>
            </w:tcBorders>
            <w:noWrap/>
            <w:vAlign w:val="bottom"/>
            <w:hideMark/>
          </w:tcPr>
          <w:p w14:paraId="05B9CD45"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44047DEC"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2.868852459</w:t>
            </w:r>
          </w:p>
        </w:tc>
        <w:tc>
          <w:tcPr>
            <w:tcW w:w="1512" w:type="dxa"/>
            <w:tcBorders>
              <w:top w:val="nil"/>
              <w:left w:val="nil"/>
              <w:bottom w:val="single" w:sz="4" w:space="0" w:color="auto"/>
              <w:right w:val="single" w:sz="4" w:space="0" w:color="auto"/>
            </w:tcBorders>
            <w:noWrap/>
            <w:vAlign w:val="bottom"/>
            <w:hideMark/>
          </w:tcPr>
          <w:p w14:paraId="7B5FA6DD"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Extended</w:t>
            </w:r>
          </w:p>
        </w:tc>
      </w:tr>
      <w:tr w:rsidR="00795028" w:rsidRPr="00795028" w14:paraId="01C70831"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293DE642"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April</w:t>
            </w:r>
          </w:p>
        </w:tc>
        <w:tc>
          <w:tcPr>
            <w:tcW w:w="1147" w:type="dxa"/>
            <w:tcBorders>
              <w:top w:val="nil"/>
              <w:left w:val="nil"/>
              <w:bottom w:val="single" w:sz="4" w:space="0" w:color="auto"/>
              <w:right w:val="single" w:sz="4" w:space="0" w:color="auto"/>
            </w:tcBorders>
            <w:noWrap/>
            <w:vAlign w:val="bottom"/>
            <w:hideMark/>
          </w:tcPr>
          <w:p w14:paraId="46B7473F"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20150</w:t>
            </w:r>
          </w:p>
        </w:tc>
        <w:tc>
          <w:tcPr>
            <w:tcW w:w="2295" w:type="dxa"/>
            <w:tcBorders>
              <w:top w:val="nil"/>
              <w:left w:val="nil"/>
              <w:bottom w:val="single" w:sz="4" w:space="0" w:color="auto"/>
              <w:right w:val="single" w:sz="4" w:space="0" w:color="auto"/>
            </w:tcBorders>
            <w:noWrap/>
            <w:vAlign w:val="bottom"/>
            <w:hideMark/>
          </w:tcPr>
          <w:p w14:paraId="00350A7E"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0DE025A5"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3.303278689</w:t>
            </w:r>
          </w:p>
        </w:tc>
        <w:tc>
          <w:tcPr>
            <w:tcW w:w="1512" w:type="dxa"/>
            <w:tcBorders>
              <w:top w:val="nil"/>
              <w:left w:val="nil"/>
              <w:bottom w:val="single" w:sz="4" w:space="0" w:color="auto"/>
              <w:right w:val="single" w:sz="4" w:space="0" w:color="auto"/>
            </w:tcBorders>
            <w:noWrap/>
            <w:vAlign w:val="bottom"/>
            <w:hideMark/>
          </w:tcPr>
          <w:p w14:paraId="6B10E250"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Extended</w:t>
            </w:r>
          </w:p>
        </w:tc>
      </w:tr>
      <w:tr w:rsidR="00795028" w:rsidRPr="00795028" w14:paraId="2E7380AF"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4B91DF7F"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May</w:t>
            </w:r>
          </w:p>
        </w:tc>
        <w:tc>
          <w:tcPr>
            <w:tcW w:w="1147" w:type="dxa"/>
            <w:tcBorders>
              <w:top w:val="nil"/>
              <w:left w:val="nil"/>
              <w:bottom w:val="single" w:sz="4" w:space="0" w:color="auto"/>
              <w:right w:val="single" w:sz="4" w:space="0" w:color="auto"/>
            </w:tcBorders>
            <w:noWrap/>
            <w:vAlign w:val="bottom"/>
            <w:hideMark/>
          </w:tcPr>
          <w:p w14:paraId="3637DE9C"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23850</w:t>
            </w:r>
          </w:p>
        </w:tc>
        <w:tc>
          <w:tcPr>
            <w:tcW w:w="2295" w:type="dxa"/>
            <w:tcBorders>
              <w:top w:val="nil"/>
              <w:left w:val="nil"/>
              <w:bottom w:val="single" w:sz="4" w:space="0" w:color="auto"/>
              <w:right w:val="single" w:sz="4" w:space="0" w:color="auto"/>
            </w:tcBorders>
            <w:noWrap/>
            <w:vAlign w:val="bottom"/>
            <w:hideMark/>
          </w:tcPr>
          <w:p w14:paraId="1863DE7E"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4A5B36C1"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3.909836066</w:t>
            </w:r>
          </w:p>
        </w:tc>
        <w:tc>
          <w:tcPr>
            <w:tcW w:w="1512" w:type="dxa"/>
            <w:tcBorders>
              <w:top w:val="nil"/>
              <w:left w:val="nil"/>
              <w:bottom w:val="single" w:sz="4" w:space="0" w:color="auto"/>
              <w:right w:val="single" w:sz="4" w:space="0" w:color="auto"/>
            </w:tcBorders>
            <w:noWrap/>
            <w:vAlign w:val="bottom"/>
            <w:hideMark/>
          </w:tcPr>
          <w:p w14:paraId="28505FAF"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Extended</w:t>
            </w:r>
          </w:p>
        </w:tc>
      </w:tr>
      <w:tr w:rsidR="00795028" w:rsidRPr="00795028" w14:paraId="4EE32BCE"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201C97B0"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June</w:t>
            </w:r>
          </w:p>
        </w:tc>
        <w:tc>
          <w:tcPr>
            <w:tcW w:w="1147" w:type="dxa"/>
            <w:tcBorders>
              <w:top w:val="nil"/>
              <w:left w:val="nil"/>
              <w:bottom w:val="single" w:sz="4" w:space="0" w:color="auto"/>
              <w:right w:val="single" w:sz="4" w:space="0" w:color="auto"/>
            </w:tcBorders>
            <w:noWrap/>
            <w:vAlign w:val="bottom"/>
            <w:hideMark/>
          </w:tcPr>
          <w:p w14:paraId="03F3F3D0"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28250</w:t>
            </w:r>
          </w:p>
        </w:tc>
        <w:tc>
          <w:tcPr>
            <w:tcW w:w="2295" w:type="dxa"/>
            <w:tcBorders>
              <w:top w:val="nil"/>
              <w:left w:val="nil"/>
              <w:bottom w:val="single" w:sz="4" w:space="0" w:color="auto"/>
              <w:right w:val="single" w:sz="4" w:space="0" w:color="auto"/>
            </w:tcBorders>
            <w:noWrap/>
            <w:vAlign w:val="bottom"/>
            <w:hideMark/>
          </w:tcPr>
          <w:p w14:paraId="40DD20DE"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7E42C83A"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4.631147541</w:t>
            </w:r>
          </w:p>
        </w:tc>
        <w:tc>
          <w:tcPr>
            <w:tcW w:w="1512" w:type="dxa"/>
            <w:tcBorders>
              <w:top w:val="nil"/>
              <w:left w:val="nil"/>
              <w:bottom w:val="single" w:sz="4" w:space="0" w:color="auto"/>
              <w:right w:val="single" w:sz="4" w:space="0" w:color="auto"/>
            </w:tcBorders>
            <w:noWrap/>
            <w:vAlign w:val="bottom"/>
            <w:hideMark/>
          </w:tcPr>
          <w:p w14:paraId="63084245"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cash positive</w:t>
            </w:r>
          </w:p>
        </w:tc>
      </w:tr>
      <w:tr w:rsidR="00795028" w:rsidRPr="00795028" w14:paraId="65AC0AF5"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7C145666"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July</w:t>
            </w:r>
          </w:p>
        </w:tc>
        <w:tc>
          <w:tcPr>
            <w:tcW w:w="1147" w:type="dxa"/>
            <w:tcBorders>
              <w:top w:val="nil"/>
              <w:left w:val="nil"/>
              <w:bottom w:val="single" w:sz="4" w:space="0" w:color="auto"/>
              <w:right w:val="single" w:sz="4" w:space="0" w:color="auto"/>
            </w:tcBorders>
            <w:noWrap/>
            <w:vAlign w:val="bottom"/>
            <w:hideMark/>
          </w:tcPr>
          <w:p w14:paraId="33437BB8"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34850</w:t>
            </w:r>
          </w:p>
        </w:tc>
        <w:tc>
          <w:tcPr>
            <w:tcW w:w="2295" w:type="dxa"/>
            <w:tcBorders>
              <w:top w:val="nil"/>
              <w:left w:val="nil"/>
              <w:bottom w:val="single" w:sz="4" w:space="0" w:color="auto"/>
              <w:right w:val="single" w:sz="4" w:space="0" w:color="auto"/>
            </w:tcBorders>
            <w:noWrap/>
            <w:vAlign w:val="bottom"/>
            <w:hideMark/>
          </w:tcPr>
          <w:p w14:paraId="3EEE14A4"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4E9AA667"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5.713114754</w:t>
            </w:r>
          </w:p>
        </w:tc>
        <w:tc>
          <w:tcPr>
            <w:tcW w:w="1512" w:type="dxa"/>
            <w:tcBorders>
              <w:top w:val="nil"/>
              <w:left w:val="nil"/>
              <w:bottom w:val="single" w:sz="4" w:space="0" w:color="auto"/>
              <w:right w:val="single" w:sz="4" w:space="0" w:color="auto"/>
            </w:tcBorders>
            <w:noWrap/>
            <w:vAlign w:val="bottom"/>
            <w:hideMark/>
          </w:tcPr>
          <w:p w14:paraId="1DEE9A8E"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cash positive</w:t>
            </w:r>
          </w:p>
        </w:tc>
      </w:tr>
      <w:tr w:rsidR="00795028" w:rsidRPr="00795028" w14:paraId="08E76C2E"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142D3CE3"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August</w:t>
            </w:r>
          </w:p>
        </w:tc>
        <w:tc>
          <w:tcPr>
            <w:tcW w:w="1147" w:type="dxa"/>
            <w:tcBorders>
              <w:top w:val="nil"/>
              <w:left w:val="nil"/>
              <w:bottom w:val="single" w:sz="4" w:space="0" w:color="auto"/>
              <w:right w:val="single" w:sz="4" w:space="0" w:color="auto"/>
            </w:tcBorders>
            <w:noWrap/>
            <w:vAlign w:val="bottom"/>
            <w:hideMark/>
          </w:tcPr>
          <w:p w14:paraId="268588D0"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42500</w:t>
            </w:r>
          </w:p>
        </w:tc>
        <w:tc>
          <w:tcPr>
            <w:tcW w:w="2295" w:type="dxa"/>
            <w:tcBorders>
              <w:top w:val="nil"/>
              <w:left w:val="nil"/>
              <w:bottom w:val="single" w:sz="4" w:space="0" w:color="auto"/>
              <w:right w:val="single" w:sz="4" w:space="0" w:color="auto"/>
            </w:tcBorders>
            <w:noWrap/>
            <w:vAlign w:val="bottom"/>
            <w:hideMark/>
          </w:tcPr>
          <w:p w14:paraId="6BDE5DD0"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4CC1F4FD"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6.967213115</w:t>
            </w:r>
          </w:p>
        </w:tc>
        <w:tc>
          <w:tcPr>
            <w:tcW w:w="1512" w:type="dxa"/>
            <w:tcBorders>
              <w:top w:val="nil"/>
              <w:left w:val="nil"/>
              <w:bottom w:val="single" w:sz="4" w:space="0" w:color="auto"/>
              <w:right w:val="single" w:sz="4" w:space="0" w:color="auto"/>
            </w:tcBorders>
            <w:noWrap/>
            <w:vAlign w:val="bottom"/>
            <w:hideMark/>
          </w:tcPr>
          <w:p w14:paraId="47E074A3"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cash positive</w:t>
            </w:r>
          </w:p>
        </w:tc>
      </w:tr>
      <w:tr w:rsidR="00795028" w:rsidRPr="00795028" w14:paraId="0DE51EEF"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312DE7D2"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September</w:t>
            </w:r>
          </w:p>
        </w:tc>
        <w:tc>
          <w:tcPr>
            <w:tcW w:w="1147" w:type="dxa"/>
            <w:tcBorders>
              <w:top w:val="nil"/>
              <w:left w:val="nil"/>
              <w:bottom w:val="single" w:sz="4" w:space="0" w:color="auto"/>
              <w:right w:val="single" w:sz="4" w:space="0" w:color="auto"/>
            </w:tcBorders>
            <w:noWrap/>
            <w:vAlign w:val="bottom"/>
            <w:hideMark/>
          </w:tcPr>
          <w:p w14:paraId="4923253A"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50850</w:t>
            </w:r>
          </w:p>
        </w:tc>
        <w:tc>
          <w:tcPr>
            <w:tcW w:w="2295" w:type="dxa"/>
            <w:tcBorders>
              <w:top w:val="nil"/>
              <w:left w:val="nil"/>
              <w:bottom w:val="single" w:sz="4" w:space="0" w:color="auto"/>
              <w:right w:val="single" w:sz="4" w:space="0" w:color="auto"/>
            </w:tcBorders>
            <w:noWrap/>
            <w:vAlign w:val="bottom"/>
            <w:hideMark/>
          </w:tcPr>
          <w:p w14:paraId="6457F5EA"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1D81F5AA"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8.336065574</w:t>
            </w:r>
          </w:p>
        </w:tc>
        <w:tc>
          <w:tcPr>
            <w:tcW w:w="1512" w:type="dxa"/>
            <w:tcBorders>
              <w:top w:val="nil"/>
              <w:left w:val="nil"/>
              <w:bottom w:val="single" w:sz="4" w:space="0" w:color="auto"/>
              <w:right w:val="single" w:sz="4" w:space="0" w:color="auto"/>
            </w:tcBorders>
            <w:noWrap/>
            <w:vAlign w:val="bottom"/>
            <w:hideMark/>
          </w:tcPr>
          <w:p w14:paraId="1DBA4491"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cash positive</w:t>
            </w:r>
          </w:p>
        </w:tc>
      </w:tr>
      <w:tr w:rsidR="00795028" w:rsidRPr="00795028" w14:paraId="58B9C769"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29E06967"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October</w:t>
            </w:r>
          </w:p>
        </w:tc>
        <w:tc>
          <w:tcPr>
            <w:tcW w:w="1147" w:type="dxa"/>
            <w:tcBorders>
              <w:top w:val="nil"/>
              <w:left w:val="nil"/>
              <w:bottom w:val="single" w:sz="4" w:space="0" w:color="auto"/>
              <w:right w:val="single" w:sz="4" w:space="0" w:color="auto"/>
            </w:tcBorders>
            <w:noWrap/>
            <w:vAlign w:val="bottom"/>
            <w:hideMark/>
          </w:tcPr>
          <w:p w14:paraId="21385F33"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60250</w:t>
            </w:r>
          </w:p>
        </w:tc>
        <w:tc>
          <w:tcPr>
            <w:tcW w:w="2295" w:type="dxa"/>
            <w:tcBorders>
              <w:top w:val="nil"/>
              <w:left w:val="nil"/>
              <w:bottom w:val="single" w:sz="4" w:space="0" w:color="auto"/>
              <w:right w:val="single" w:sz="4" w:space="0" w:color="auto"/>
            </w:tcBorders>
            <w:noWrap/>
            <w:vAlign w:val="bottom"/>
            <w:hideMark/>
          </w:tcPr>
          <w:p w14:paraId="0AA8E5A5"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0C7EB4AD"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9.87704918</w:t>
            </w:r>
          </w:p>
        </w:tc>
        <w:tc>
          <w:tcPr>
            <w:tcW w:w="1512" w:type="dxa"/>
            <w:tcBorders>
              <w:top w:val="nil"/>
              <w:left w:val="nil"/>
              <w:bottom w:val="single" w:sz="4" w:space="0" w:color="auto"/>
              <w:right w:val="single" w:sz="4" w:space="0" w:color="auto"/>
            </w:tcBorders>
            <w:noWrap/>
            <w:vAlign w:val="bottom"/>
            <w:hideMark/>
          </w:tcPr>
          <w:p w14:paraId="73E5FA21"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cash positive</w:t>
            </w:r>
          </w:p>
        </w:tc>
      </w:tr>
      <w:tr w:rsidR="00795028" w:rsidRPr="00795028" w14:paraId="7DD609A1"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6A23F80F"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November</w:t>
            </w:r>
          </w:p>
        </w:tc>
        <w:tc>
          <w:tcPr>
            <w:tcW w:w="1147" w:type="dxa"/>
            <w:tcBorders>
              <w:top w:val="nil"/>
              <w:left w:val="nil"/>
              <w:bottom w:val="single" w:sz="4" w:space="0" w:color="auto"/>
              <w:right w:val="single" w:sz="4" w:space="0" w:color="auto"/>
            </w:tcBorders>
            <w:noWrap/>
            <w:vAlign w:val="bottom"/>
            <w:hideMark/>
          </w:tcPr>
          <w:p w14:paraId="00F04D64"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70350</w:t>
            </w:r>
          </w:p>
        </w:tc>
        <w:tc>
          <w:tcPr>
            <w:tcW w:w="2295" w:type="dxa"/>
            <w:tcBorders>
              <w:top w:val="nil"/>
              <w:left w:val="nil"/>
              <w:bottom w:val="single" w:sz="4" w:space="0" w:color="auto"/>
              <w:right w:val="single" w:sz="4" w:space="0" w:color="auto"/>
            </w:tcBorders>
            <w:noWrap/>
            <w:vAlign w:val="bottom"/>
            <w:hideMark/>
          </w:tcPr>
          <w:p w14:paraId="1DD5A50F"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2829FEFA"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11.53278689</w:t>
            </w:r>
          </w:p>
        </w:tc>
        <w:tc>
          <w:tcPr>
            <w:tcW w:w="1512" w:type="dxa"/>
            <w:tcBorders>
              <w:top w:val="nil"/>
              <w:left w:val="nil"/>
              <w:bottom w:val="single" w:sz="4" w:space="0" w:color="auto"/>
              <w:right w:val="single" w:sz="4" w:space="0" w:color="auto"/>
            </w:tcBorders>
            <w:noWrap/>
            <w:vAlign w:val="bottom"/>
            <w:hideMark/>
          </w:tcPr>
          <w:p w14:paraId="6E278995"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cash positive</w:t>
            </w:r>
          </w:p>
        </w:tc>
      </w:tr>
      <w:tr w:rsidR="00795028" w:rsidRPr="00795028" w14:paraId="40D24A03" w14:textId="77777777" w:rsidTr="00A11A18">
        <w:trPr>
          <w:trHeight w:val="171"/>
        </w:trPr>
        <w:tc>
          <w:tcPr>
            <w:tcW w:w="2386" w:type="dxa"/>
            <w:tcBorders>
              <w:top w:val="nil"/>
              <w:left w:val="single" w:sz="4" w:space="0" w:color="auto"/>
              <w:bottom w:val="single" w:sz="4" w:space="0" w:color="auto"/>
              <w:right w:val="single" w:sz="4" w:space="0" w:color="auto"/>
            </w:tcBorders>
            <w:noWrap/>
            <w:vAlign w:val="bottom"/>
            <w:hideMark/>
          </w:tcPr>
          <w:p w14:paraId="173C6EAF" w14:textId="77777777" w:rsidR="00795028" w:rsidRPr="00795028" w:rsidRDefault="00795028" w:rsidP="00795028">
            <w:pPr>
              <w:spacing w:after="0" w:line="240" w:lineRule="auto"/>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December</w:t>
            </w:r>
          </w:p>
        </w:tc>
        <w:tc>
          <w:tcPr>
            <w:tcW w:w="1147" w:type="dxa"/>
            <w:tcBorders>
              <w:top w:val="nil"/>
              <w:left w:val="nil"/>
              <w:bottom w:val="single" w:sz="4" w:space="0" w:color="auto"/>
              <w:right w:val="single" w:sz="4" w:space="0" w:color="auto"/>
            </w:tcBorders>
            <w:noWrap/>
            <w:vAlign w:val="bottom"/>
            <w:hideMark/>
          </w:tcPr>
          <w:p w14:paraId="046EF988" w14:textId="77777777" w:rsidR="00795028" w:rsidRPr="00795028" w:rsidRDefault="00795028" w:rsidP="00795028">
            <w:pPr>
              <w:spacing w:after="0" w:line="240" w:lineRule="auto"/>
              <w:jc w:val="right"/>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81150</w:t>
            </w:r>
          </w:p>
        </w:tc>
        <w:tc>
          <w:tcPr>
            <w:tcW w:w="2295" w:type="dxa"/>
            <w:tcBorders>
              <w:top w:val="nil"/>
              <w:left w:val="nil"/>
              <w:bottom w:val="single" w:sz="4" w:space="0" w:color="auto"/>
              <w:right w:val="single" w:sz="4" w:space="0" w:color="auto"/>
            </w:tcBorders>
            <w:noWrap/>
            <w:vAlign w:val="bottom"/>
            <w:hideMark/>
          </w:tcPr>
          <w:p w14:paraId="30679499"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6100</w:t>
            </w:r>
          </w:p>
        </w:tc>
        <w:tc>
          <w:tcPr>
            <w:tcW w:w="1712" w:type="dxa"/>
            <w:tcBorders>
              <w:top w:val="nil"/>
              <w:left w:val="nil"/>
              <w:bottom w:val="single" w:sz="4" w:space="0" w:color="auto"/>
              <w:right w:val="single" w:sz="4" w:space="0" w:color="auto"/>
            </w:tcBorders>
            <w:noWrap/>
            <w:vAlign w:val="bottom"/>
            <w:hideMark/>
          </w:tcPr>
          <w:p w14:paraId="10BC8248"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13.30327869</w:t>
            </w:r>
          </w:p>
        </w:tc>
        <w:tc>
          <w:tcPr>
            <w:tcW w:w="1512" w:type="dxa"/>
            <w:tcBorders>
              <w:top w:val="nil"/>
              <w:left w:val="nil"/>
              <w:bottom w:val="single" w:sz="4" w:space="0" w:color="auto"/>
              <w:right w:val="single" w:sz="4" w:space="0" w:color="auto"/>
            </w:tcBorders>
            <w:noWrap/>
            <w:vAlign w:val="bottom"/>
            <w:hideMark/>
          </w:tcPr>
          <w:p w14:paraId="2ADECFB0" w14:textId="77777777" w:rsidR="00795028" w:rsidRPr="00795028" w:rsidRDefault="00795028" w:rsidP="00795028">
            <w:pPr>
              <w:spacing w:after="0" w:line="240" w:lineRule="auto"/>
              <w:jc w:val="center"/>
              <w:rPr>
                <w:rFonts w:ascii="Aptos Narrow" w:eastAsia="Times New Roman" w:hAnsi="Aptos Narrow" w:cs="Times New Roman"/>
                <w:color w:val="000000"/>
                <w:kern w:val="0"/>
                <w:sz w:val="22"/>
                <w:szCs w:val="22"/>
                <w14:ligatures w14:val="none"/>
              </w:rPr>
            </w:pPr>
            <w:r w:rsidRPr="00795028">
              <w:rPr>
                <w:rFonts w:ascii="Aptos Narrow" w:eastAsia="Times New Roman" w:hAnsi="Aptos Narrow" w:cs="Times New Roman"/>
                <w:color w:val="000000"/>
                <w:kern w:val="0"/>
                <w:sz w:val="22"/>
                <w:szCs w:val="22"/>
                <w14:ligatures w14:val="none"/>
              </w:rPr>
              <w:t>self-sustaining</w:t>
            </w:r>
          </w:p>
        </w:tc>
      </w:tr>
    </w:tbl>
    <w:p w14:paraId="72EE1218" w14:textId="77777777" w:rsidR="00795028" w:rsidRDefault="00795028" w:rsidP="00795028"/>
    <w:p w14:paraId="0225002F" w14:textId="77777777" w:rsidR="00795028" w:rsidRDefault="00795028" w:rsidP="00795028">
      <w:r>
        <w:t xml:space="preserve">The revenue forecast is shown to operate over a period of twelve months, ranging from January to December. As can be seen from the information shown in the Excel sheet, the revenue generated by the business </w:t>
      </w:r>
      <w:proofErr w:type="gramStart"/>
      <w:r>
        <w:t>on a monthly basis</w:t>
      </w:r>
      <w:proofErr w:type="gramEnd"/>
      <w:r>
        <w:t xml:space="preserve"> remains the same over the entire period. This indicates that the business is operating at a consistent income level throughout the year.</w:t>
      </w:r>
    </w:p>
    <w:p w14:paraId="60834DE7" w14:textId="77777777" w:rsidR="00795028" w:rsidRDefault="00795028" w:rsidP="00795028">
      <w:r>
        <w:t xml:space="preserve">The lack of variation in the revenue generated by the business </w:t>
      </w:r>
      <w:proofErr w:type="gramStart"/>
      <w:r>
        <w:t>on a monthly basis</w:t>
      </w:r>
      <w:proofErr w:type="gramEnd"/>
      <w:r>
        <w:t xml:space="preserve"> indicates that the business </w:t>
      </w:r>
      <w:proofErr w:type="gramStart"/>
      <w:r>
        <w:t>is not depending</w:t>
      </w:r>
      <w:proofErr w:type="gramEnd"/>
      <w:r>
        <w:t xml:space="preserve"> on the seasonality of the product it </w:t>
      </w:r>
      <w:proofErr w:type="gramStart"/>
      <w:r>
        <w:t>is selling</w:t>
      </w:r>
      <w:proofErr w:type="gramEnd"/>
      <w:r>
        <w:t xml:space="preserve"> to the customers. Instead, the business is generating revenue on a consistent basis, which is a positive indicator from the perspective of the business.</w:t>
      </w:r>
    </w:p>
    <w:p w14:paraId="539D186E" w14:textId="33A335E3" w:rsidR="00795028" w:rsidRDefault="00795028" w:rsidP="00795028">
      <w:r>
        <w:t xml:space="preserve">As the revenue generated by the business </w:t>
      </w:r>
      <w:proofErr w:type="gramStart"/>
      <w:r>
        <w:t>on a monthly basis</w:t>
      </w:r>
      <w:proofErr w:type="gramEnd"/>
      <w:r>
        <w:t xml:space="preserve"> remains the same over the entire period, the factors that affect the profitability and cash flow of the business are related to the cost side rather than the revenue side. This indicates that the business needs to improve its cost management to increase its profits, which is evident from the later part of the cash flow and runway analysis.</w:t>
      </w:r>
    </w:p>
    <w:p w14:paraId="037E4ED7" w14:textId="36C90BD8" w:rsidR="00795028" w:rsidRDefault="00795028" w:rsidP="00795028">
      <w:r w:rsidRPr="00795028">
        <w:t>The twelve-month revenue proves predictability in the company's financial situation, indicating stability in the financial situation of the company over the period from January to December.</w:t>
      </w:r>
    </w:p>
    <w:p w14:paraId="3BAB3791" w14:textId="77777777" w:rsidR="00643466" w:rsidRDefault="00643466" w:rsidP="00643466">
      <w:r>
        <w:t>Based on the twelve-month financial information ranging from January to December, the business shows a financially stable and well-controlled financial position. The revenue is constant over all twelve months, showing a reliable and predictable revenue stream for the business. This is a clear indicator that the business is financially stable and that there is little financial uncertainty over the business’s operation. The constant revenue trend is a clear indicator that the business is reliable and that there is no effect from seasonality.</w:t>
      </w:r>
    </w:p>
    <w:p w14:paraId="5F2177C0" w14:textId="3D829C75" w:rsidR="00643466" w:rsidRDefault="00643466" w:rsidP="00643466">
      <w:r>
        <w:t>Moreover, based on the cash flow forecast, the business is showing a high level of financial performance over a twelve-month period. The business is showing a cash-positive position over all twelve months. There is a constant increase in profit and cash over all twelve months. The closing cash position increases over all twelve months, ranging from 15,900 as of January to 92,300 as of December.</w:t>
      </w:r>
    </w:p>
    <w:p w14:paraId="658C59D4" w14:textId="77777777" w:rsidR="00643466" w:rsidRDefault="00643466" w:rsidP="00643466"/>
    <w:p w14:paraId="1BE20867" w14:textId="25205C94" w:rsidR="00643466" w:rsidRDefault="00643466" w:rsidP="00643466">
      <w:pPr>
        <w:pStyle w:val="Heading2"/>
      </w:pPr>
      <w:bookmarkStart w:id="48" w:name="_Toc220883311"/>
      <w:r>
        <w:t>7.5 Cost Architecture: United Kingdom</w:t>
      </w:r>
      <w:bookmarkEnd w:id="48"/>
    </w:p>
    <w:p w14:paraId="5E71DDC0" w14:textId="77777777" w:rsidR="00643466" w:rsidRDefault="00643466" w:rsidP="00643466">
      <w:r>
        <w:t xml:space="preserve">Diligence keeps its entire cost structure rooted in the UK, staying close to its main market in London. The big expenses? Mediator fees, salaries for admin staff, office space, </w:t>
      </w:r>
      <w:r>
        <w:lastRenderedPageBreak/>
        <w:t>professional services, and compliance costs. These aren’t just numbers on a balance sheet—they make sure the company delivers mediation at a professional level, keeps things confidential, and lives up to quality standards.</w:t>
      </w:r>
    </w:p>
    <w:p w14:paraId="41E1953A" w14:textId="77777777" w:rsidR="00643466" w:rsidRDefault="00643466" w:rsidP="00643466">
      <w:r>
        <w:t xml:space="preserve">Most of the costs don’t really change month to month. Salaries, subscriptions for their platform, and compliance bills all stay </w:t>
      </w:r>
      <w:proofErr w:type="gramStart"/>
      <w:r>
        <w:t>pretty steady</w:t>
      </w:r>
      <w:proofErr w:type="gramEnd"/>
      <w:r>
        <w:t xml:space="preserve">. But some expenses move up and down depending on how many cases come in, especially the fees paid out per session to mediators. Diligence manages this UK-based setup </w:t>
      </w:r>
      <w:proofErr w:type="gramStart"/>
      <w:r>
        <w:t>carefully</w:t>
      </w:r>
      <w:proofErr w:type="gramEnd"/>
      <w:r>
        <w:t xml:space="preserve"> so it runs efficiently, keeps quality high, and still leaves room to grow.</w:t>
      </w:r>
    </w:p>
    <w:p w14:paraId="123996DE" w14:textId="77777777" w:rsidR="00643466" w:rsidRDefault="00643466" w:rsidP="00643466">
      <w:pPr>
        <w:pStyle w:val="Heading2"/>
      </w:pPr>
      <w:bookmarkStart w:id="49" w:name="_Toc220883312"/>
      <w:r>
        <w:t>7.6 Tooling and Platform Budget</w:t>
      </w:r>
      <w:bookmarkEnd w:id="49"/>
    </w:p>
    <w:p w14:paraId="09C8E3F7" w14:textId="77777777" w:rsidR="00643466" w:rsidRDefault="00643466" w:rsidP="00643466">
      <w:r>
        <w:t>The team at Diligence leans on a stack of digital tools to run things smoothly and keep cases secure. Think case management software, secure messaging, scheduling apps, and systems to store documents. Everything lines up with UK data protection laws and strict confidentiality rules.</w:t>
      </w:r>
    </w:p>
    <w:p w14:paraId="39B08CA4" w14:textId="77777777" w:rsidR="00643466" w:rsidRDefault="00643466" w:rsidP="00643466">
      <w:r>
        <w:t xml:space="preserve">The budget for these tools doesn’t really swing much over the </w:t>
      </w:r>
      <w:proofErr w:type="gramStart"/>
      <w:r>
        <w:t>year—</w:t>
      </w:r>
      <w:proofErr w:type="gramEnd"/>
      <w:r>
        <w:t>they count it as a fixed cost. By picking reliable, scalable software, Diligence keeps mediation running smoothly for both remote and in-person sessions without blowing cash on extra tech or infrastructure.</w:t>
      </w:r>
    </w:p>
    <w:p w14:paraId="4510412D" w14:textId="77777777" w:rsidR="00643466" w:rsidRDefault="00643466" w:rsidP="00643466"/>
    <w:p w14:paraId="1BA12DC5" w14:textId="77777777" w:rsidR="00643466" w:rsidRDefault="00643466" w:rsidP="00643466">
      <w:pPr>
        <w:pStyle w:val="Heading2"/>
      </w:pPr>
      <w:bookmarkStart w:id="50" w:name="_Toc220883313"/>
      <w:r>
        <w:t>7.7 Unit Economics, CAC, LTV, and Payback</w:t>
      </w:r>
      <w:bookmarkEnd w:id="50"/>
    </w:p>
    <w:p w14:paraId="0540CC64" w14:textId="77777777" w:rsidR="00643466" w:rsidRDefault="00643466" w:rsidP="00643466">
      <w:r>
        <w:t xml:space="preserve">Diligence watches its numbers closely, making sure every mediation case stays profitable and that it keeps a lid on how much it spends to win new clients. Customer Acquisition Cost (CAC) covers marketing, building an online presence, referrals, and </w:t>
      </w:r>
      <w:proofErr w:type="gramStart"/>
      <w:r>
        <w:t>networking—</w:t>
      </w:r>
      <w:proofErr w:type="gramEnd"/>
      <w:r>
        <w:t>especially with lawyers. Thanks to word-of-mouth and repeat clients, CAC stays in check.</w:t>
      </w:r>
    </w:p>
    <w:p w14:paraId="3923C15B" w14:textId="77777777" w:rsidR="00643466" w:rsidRDefault="00643466" w:rsidP="00643466">
      <w:r>
        <w:t>Customer Lifetime Value (LTV) gets a boost from clients coming back for more mediation, plus ongoing partnerships with SMEs, landlords, and companies. Referrals help too. Because of this, Diligence doesn’t wait long to get its money back after bringing in a new customer—usually, it covers the acquisition cost and starts turning a profit within a year.</w:t>
      </w:r>
    </w:p>
    <w:p w14:paraId="22B1EAA5" w14:textId="77777777" w:rsidR="00643466" w:rsidRDefault="00643466" w:rsidP="00643466">
      <w:pPr>
        <w:pStyle w:val="Heading2"/>
      </w:pPr>
      <w:bookmarkStart w:id="51" w:name="_Toc220883314"/>
      <w:r>
        <w:t>7.8 Break-Even and Sensitivity Analysis</w:t>
      </w:r>
      <w:bookmarkEnd w:id="51"/>
    </w:p>
    <w:p w14:paraId="3510D9A1" w14:textId="77777777" w:rsidR="00643466" w:rsidRDefault="00643466" w:rsidP="00643466">
      <w:r>
        <w:t xml:space="preserve">Break-even analysis is all about figuring out how much business Diligence needs to cover all its costs. Looking at their forecasts, they hit break-even within the expected period. Steady revenue and tight control over expenses mean the business finds </w:t>
      </w:r>
      <w:proofErr w:type="gramStart"/>
      <w:r>
        <w:t>its footing</w:t>
      </w:r>
      <w:proofErr w:type="gramEnd"/>
      <w:r>
        <w:t xml:space="preserve"> early.</w:t>
      </w:r>
    </w:p>
    <w:p w14:paraId="72E33FEA" w14:textId="77777777" w:rsidR="00643466" w:rsidRDefault="00643466" w:rsidP="00643466">
      <w:r>
        <w:lastRenderedPageBreak/>
        <w:t>Sensitivity analysis shows Diligence can handle a bit of turbulence. If client numbers drop or costs bump up a little, their lean setup and predictable income keep cash flow positive. There’s enough cushion to weather moderate ups and downs.</w:t>
      </w:r>
    </w:p>
    <w:p w14:paraId="1317E0E2" w14:textId="77777777" w:rsidR="00643466" w:rsidRDefault="00643466" w:rsidP="00643466"/>
    <w:p w14:paraId="161AEEBC" w14:textId="77777777" w:rsidR="00643466" w:rsidRDefault="00643466" w:rsidP="00643466">
      <w:pPr>
        <w:pStyle w:val="Heading2"/>
      </w:pPr>
      <w:bookmarkStart w:id="52" w:name="_Toc220883315"/>
      <w:r>
        <w:t>7.9 Tax and Compliance Considerations</w:t>
      </w:r>
      <w:bookmarkEnd w:id="52"/>
    </w:p>
    <w:p w14:paraId="584EC63B" w14:textId="77777777" w:rsidR="00643466" w:rsidRDefault="00643466" w:rsidP="00643466">
      <w:r>
        <w:t>Diligence runs as a UK Private Limited Company and sticks to all the usual tax and regulatory rules: corporation tax, payroll, proper financial reporting—the lot. They keep clean records and work with pros to make sure everything’s above board.</w:t>
      </w:r>
    </w:p>
    <w:p w14:paraId="19031513" w14:textId="64261C81" w:rsidR="00643466" w:rsidRDefault="00643466" w:rsidP="00643466">
      <w:r>
        <w:t>On top of that, Diligence follows UK mediation standards and data protection laws to the letter, including strict confidentiality and ethics. All these compliance steps help cut legal risks and build trust with individual clients, SMEs, and bigger companies too. It’s how they keep the business sustainable for the long haul.</w:t>
      </w:r>
    </w:p>
    <w:p w14:paraId="4CB0B12D" w14:textId="77777777" w:rsidR="000F02B1" w:rsidRDefault="000F02B1" w:rsidP="000F02B1">
      <w:pPr>
        <w:pStyle w:val="Heading2"/>
      </w:pPr>
      <w:bookmarkStart w:id="53" w:name="_Toc220883316"/>
      <w:r>
        <w:t>7.10 Financial Controls and Reporting</w:t>
      </w:r>
      <w:bookmarkEnd w:id="53"/>
    </w:p>
    <w:p w14:paraId="12EDAB51" w14:textId="77777777" w:rsidR="000F02B1" w:rsidRDefault="000F02B1" w:rsidP="000F02B1">
      <w:r>
        <w:t xml:space="preserve">Diligence keeps a close eye on its finances. Every bit of income and every expense </w:t>
      </w:r>
      <w:proofErr w:type="gramStart"/>
      <w:r>
        <w:t>goes</w:t>
      </w:r>
      <w:proofErr w:type="gramEnd"/>
      <w:r>
        <w:t xml:space="preserve"> straight into the accounting software, so the team always knows where the money’s going. This isn’t just about bookkeeping—tracking cash flow, profits, and costs </w:t>
      </w:r>
      <w:proofErr w:type="gramStart"/>
      <w:r>
        <w:t>happens</w:t>
      </w:r>
      <w:proofErr w:type="gramEnd"/>
      <w:r>
        <w:t xml:space="preserve"> all the time, not just </w:t>
      </w:r>
      <w:proofErr w:type="gramStart"/>
      <w:r>
        <w:t>at</w:t>
      </w:r>
      <w:proofErr w:type="gramEnd"/>
      <w:r>
        <w:t xml:space="preserve"> tax season. Each month, they sit down and </w:t>
      </w:r>
      <w:proofErr w:type="gramStart"/>
      <w:r>
        <w:t>actually review</w:t>
      </w:r>
      <w:proofErr w:type="gramEnd"/>
      <w:r>
        <w:t xml:space="preserve"> the numbers, lining them up against forecasts to spot any surprises early.</w:t>
      </w:r>
    </w:p>
    <w:p w14:paraId="0FC18354" w14:textId="77777777" w:rsidR="000F02B1" w:rsidRDefault="000F02B1" w:rsidP="000F02B1">
      <w:r>
        <w:t>There’s a clear line between the people running day-to-day operations and those watching over the finances. Payments, invoices, and expense approvals don’t just happen—they follow set steps to catch mistakes and keep things tight. Regular reports land on management’s desk, from monthly cash flow statements to profit and loss reviews. That way, nobody’s flying blind, and the company stays in control of its financial health all year long.</w:t>
      </w:r>
    </w:p>
    <w:p w14:paraId="0DD7EFFB" w14:textId="77777777" w:rsidR="000F02B1" w:rsidRDefault="000F02B1" w:rsidP="000F02B1"/>
    <w:p w14:paraId="301E2815" w14:textId="77777777" w:rsidR="000F02B1" w:rsidRDefault="000F02B1" w:rsidP="000F02B1">
      <w:pPr>
        <w:pStyle w:val="Heading2"/>
      </w:pPr>
      <w:bookmarkStart w:id="54" w:name="_Toc220883317"/>
      <w:r>
        <w:t>7.11 Evidence and Benchmarks, Success, and Failure Parallels</w:t>
      </w:r>
      <w:bookmarkEnd w:id="54"/>
    </w:p>
    <w:p w14:paraId="44E39165" w14:textId="77777777" w:rsidR="000F02B1" w:rsidRDefault="000F02B1" w:rsidP="000F02B1">
      <w:r>
        <w:t xml:space="preserve">Diligence doesn’t just guess at its financial targets—it lines them up against what’s normal in the UK mediation and professional services world. Market research backs this up: more people want alternative dispute resolution, prices stay steady, and the costs to run these services are </w:t>
      </w:r>
      <w:proofErr w:type="gramStart"/>
      <w:r>
        <w:t>pretty low</w:t>
      </w:r>
      <w:proofErr w:type="gramEnd"/>
      <w:r>
        <w:t xml:space="preserve"> compared to traditional law firms. All this adds up to revenue and cost projections that </w:t>
      </w:r>
      <w:proofErr w:type="gramStart"/>
      <w:r>
        <w:t>actually make</w:t>
      </w:r>
      <w:proofErr w:type="gramEnd"/>
      <w:r>
        <w:t xml:space="preserve"> sense.</w:t>
      </w:r>
    </w:p>
    <w:p w14:paraId="65BF6BEB" w14:textId="44C140E6" w:rsidR="000F02B1" w:rsidRDefault="000F02B1" w:rsidP="000F02B1">
      <w:r>
        <w:lastRenderedPageBreak/>
        <w:t xml:space="preserve">The mediation businesses that really work have a few things in common. They manage cash well, keep clients coming back, and build trust over time. Diligence aims for the same—confidential service, a professional touch, and streamlined operations. On the other hand, when mediation firms fail, it often comes down to sloppy financial oversight, big overheads, or a fuzzy idea of what they </w:t>
      </w:r>
      <w:proofErr w:type="gramStart"/>
      <w:r>
        <w:t>actually offer</w:t>
      </w:r>
      <w:proofErr w:type="gramEnd"/>
      <w:r>
        <w:t>. By sticking to strong financial controls, making realistic forecasts, and keeping in step with the best in the business, Diligence sets itself up to avoid those pitfalls and build something that lasts.</w:t>
      </w:r>
    </w:p>
    <w:p w14:paraId="10F59F59" w14:textId="77777777" w:rsidR="00643466" w:rsidRDefault="00643466" w:rsidP="00643466"/>
    <w:p w14:paraId="178B1AD9" w14:textId="77777777" w:rsidR="0065321F" w:rsidRDefault="0065321F" w:rsidP="0065321F">
      <w:pPr>
        <w:pStyle w:val="Heading1"/>
      </w:pPr>
      <w:bookmarkStart w:id="55" w:name="_Toc220883318"/>
      <w:r w:rsidRPr="00187267">
        <w:t>Chapter 8: Risk Analysis and Management</w:t>
      </w:r>
      <w:bookmarkEnd w:id="55"/>
    </w:p>
    <w:p w14:paraId="4E91BDB7" w14:textId="77777777" w:rsidR="0065321F" w:rsidRDefault="0065321F" w:rsidP="0065321F">
      <w:r>
        <w:t xml:space="preserve">Every business </w:t>
      </w:r>
      <w:proofErr w:type="gramStart"/>
      <w:r>
        <w:t>faces</w:t>
      </w:r>
      <w:proofErr w:type="gramEnd"/>
      <w:r>
        <w:t xml:space="preserve"> uncertainty, but how you handle it can make or break your future. That’s where risk analysis and management step in. Hopkin (2018) puts it simply—risk is the chance that something happens and throws off your plans. In finance, this usually means your cash flow, profits, or long-term stability are at stake. Brealey, Myers, and Allen (2020) point out that since you can’t predict the future, you </w:t>
      </w:r>
      <w:proofErr w:type="gramStart"/>
      <w:r>
        <w:t>have to</w:t>
      </w:r>
      <w:proofErr w:type="gramEnd"/>
      <w:r>
        <w:t xml:space="preserve"> figure out what might go wrong and decide what to do about it. Risk analysis means spotting possible problems and sizing up how likely and how serious they are. Risk management is all about acting on that knowledge—finding ways to cut down those risks, control them, or just deal with them if they pop up. Put together, these steps help businesses make smarter decisions, avoid big losses, and stick around for the long haul.</w:t>
      </w:r>
    </w:p>
    <w:p w14:paraId="4827E8E0" w14:textId="77777777" w:rsidR="0065321F" w:rsidRDefault="0065321F" w:rsidP="0065321F"/>
    <w:p w14:paraId="3E1DB995" w14:textId="77777777" w:rsidR="0065321F" w:rsidRDefault="0065321F" w:rsidP="0065321F">
      <w:pPr>
        <w:pStyle w:val="Heading2"/>
      </w:pPr>
      <w:bookmarkStart w:id="56" w:name="_Toc220883319"/>
      <w:r>
        <w:t>8.1 Risk Policy and Governance</w:t>
      </w:r>
      <w:bookmarkEnd w:id="56"/>
    </w:p>
    <w:p w14:paraId="15656BAA" w14:textId="77777777" w:rsidR="0065321F" w:rsidRPr="00DC4EEC" w:rsidRDefault="0065321F" w:rsidP="0065321F">
      <w:r>
        <w:t xml:space="preserve">  </w:t>
      </w:r>
      <w:r>
        <w:rPr>
          <w:noProof/>
        </w:rPr>
        <w:drawing>
          <wp:inline distT="0" distB="0" distL="0" distR="0" wp14:anchorId="3C4DD619" wp14:editId="111B483D">
            <wp:extent cx="2895932" cy="2261483"/>
            <wp:effectExtent l="38100" t="38100" r="57150" b="24765"/>
            <wp:docPr id="147036963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r>
        <w:t xml:space="preserve">           </w:t>
      </w:r>
      <w:r>
        <w:rPr>
          <w:noProof/>
        </w:rPr>
        <w:drawing>
          <wp:inline distT="0" distB="0" distL="0" distR="0" wp14:anchorId="5EAF06C1" wp14:editId="7BA2F599">
            <wp:extent cx="2156460" cy="2570480"/>
            <wp:effectExtent l="95250" t="0" r="91440" b="0"/>
            <wp:docPr id="99305842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6EE006C3" w14:textId="77777777" w:rsidR="0065321F" w:rsidRDefault="0065321F" w:rsidP="0065321F"/>
    <w:p w14:paraId="237054E9" w14:textId="77777777" w:rsidR="0065321F" w:rsidRDefault="0065321F" w:rsidP="0065321F"/>
    <w:p w14:paraId="2776420B" w14:textId="77777777" w:rsidR="0065321F" w:rsidRDefault="0065321F" w:rsidP="0065321F"/>
    <w:p w14:paraId="7ED059D6" w14:textId="77777777" w:rsidR="0065321F" w:rsidRDefault="0065321F" w:rsidP="0065321F">
      <w:r>
        <w:t xml:space="preserve">Risk policy is the business’s understanding and management of its risks in a well-structured and systematic manner. For this business, the management of risks is important because the business is in the mediation service industry, where confidentiality, legal responsibility, and trust are key factors. The main goal of the business’s risk policy is to identify the risks, minimize the impact, and ensure that the business can function even when there are problems. The management of the </w:t>
      </w:r>
      <w:proofErr w:type="gramStart"/>
      <w:r>
        <w:t>business’s</w:t>
      </w:r>
      <w:proofErr w:type="gramEnd"/>
      <w:r>
        <w:t xml:space="preserve"> risks is seen as a continuous process, not as a one-off activity.</w:t>
      </w:r>
    </w:p>
    <w:p w14:paraId="1A136FA4" w14:textId="77777777" w:rsidR="0065321F" w:rsidRDefault="0065321F" w:rsidP="0065321F">
      <w:r>
        <w:t xml:space="preserve">The management of the </w:t>
      </w:r>
      <w:proofErr w:type="gramStart"/>
      <w:r>
        <w:t>business’s</w:t>
      </w:r>
      <w:proofErr w:type="gramEnd"/>
      <w:r>
        <w:t xml:space="preserve"> risks is the responsibility of the Founder and Managing Director, who is responsible for all the major risks and ensures that appropriate measures are put in place to manage the risks. This ensures that the business’s risks are managed at the most senior level, with appropriate accountability. The Case Coordinator is responsible for the day-to-day risks, including the </w:t>
      </w:r>
      <w:proofErr w:type="gramStart"/>
      <w:r>
        <w:t>business’s</w:t>
      </w:r>
      <w:proofErr w:type="gramEnd"/>
      <w:r>
        <w:t xml:space="preserve"> operational and administrative risks, while the legal support staff are responsible for the legal risks.</w:t>
      </w:r>
    </w:p>
    <w:p w14:paraId="76AE94A8" w14:textId="77777777" w:rsidR="0065321F" w:rsidRDefault="0065321F" w:rsidP="0065321F">
      <w:r w:rsidRPr="00696F76">
        <w:t>Risk governance means staying on top of things. There’s a regular schedule for checking risks, but when something urgent pops up, people deal with it right away. If a big risk comes up, the team talks it through and decides what to do to keep the damage down. With a clear policy and structure, everyone knows how to handle risks, so the business handles them responsibly every time.</w:t>
      </w:r>
    </w:p>
    <w:p w14:paraId="2289E612" w14:textId="77777777" w:rsidR="0065321F" w:rsidRDefault="0065321F" w:rsidP="0065321F"/>
    <w:p w14:paraId="1F4C0FE4" w14:textId="77777777" w:rsidR="0065321F" w:rsidRDefault="0065321F" w:rsidP="0065321F">
      <w:r>
        <w:t>.</w:t>
      </w:r>
    </w:p>
    <w:p w14:paraId="440A5F04" w14:textId="77777777" w:rsidR="0065321F" w:rsidRPr="00696F76" w:rsidRDefault="0065321F" w:rsidP="0065321F">
      <w:pPr>
        <w:pStyle w:val="Heading2"/>
      </w:pPr>
      <w:bookmarkStart w:id="57" w:name="_Toc220883320"/>
      <w:r>
        <w:t>8.2 Risk Heat Map</w:t>
      </w:r>
      <w:bookmarkEnd w:id="57"/>
    </w:p>
    <w:p w14:paraId="5CEBF757" w14:textId="77777777" w:rsidR="0065321F" w:rsidRPr="00696F76" w:rsidRDefault="0065321F" w:rsidP="0065321F">
      <w:r w:rsidRPr="00696F76">
        <w:t xml:space="preserve">A risk heat map is used to visually show which risks are most important and which need the most attention. It helps the business compare risks based on how likely they are to happen and how serious their impact would be. This makes it easier for management to focus on the most critical risks instead of treating all risks the same. The heat map supports better decision-making and </w:t>
      </w:r>
      <w:proofErr w:type="spellStart"/>
      <w:r w:rsidRPr="00696F76">
        <w:t>prioritisation</w:t>
      </w:r>
      <w:proofErr w:type="spellEnd"/>
      <w:r w:rsidRPr="00696F76">
        <w:t>.</w:t>
      </w:r>
    </w:p>
    <w:p w14:paraId="637CAB1B" w14:textId="77777777" w:rsidR="0065321F" w:rsidRPr="00696F76" w:rsidRDefault="0065321F" w:rsidP="0065321F">
      <w:r w:rsidRPr="00696F76">
        <w:t xml:space="preserve">Risks that are high in both likelihood and impact are considered the most serious. These include data protection breaches and regulatory non-compliance, which could lead to legal penalties and loss of client trust. These risks require strong controls and regular monitoring. Risks that have a high impact but are less likely, such as major legal claims or </w:t>
      </w:r>
      <w:r w:rsidRPr="00696F76">
        <w:lastRenderedPageBreak/>
        <w:t>long-term system failures, are also closely monitored because of their potential consequences.</w:t>
      </w:r>
    </w:p>
    <w:p w14:paraId="40BD173B" w14:textId="77777777" w:rsidR="0065321F" w:rsidRPr="00696F76" w:rsidRDefault="0065321F" w:rsidP="0065321F">
      <w:r w:rsidRPr="00696F76">
        <w:t>Lower-risk areas include issues such as short-term staff absence or minor technical problems. While these risks occur more often, their impact is usually limited and manageable. By using a risk heat map, the business can clearly see where to focus resources and ensure that high-risk areas are controlled while lower-risk issues are managed efficiently.</w:t>
      </w:r>
    </w:p>
    <w:p w14:paraId="313105E8" w14:textId="77777777" w:rsidR="0065321F" w:rsidRPr="00696F76" w:rsidRDefault="0065321F" w:rsidP="0065321F"/>
    <w:p w14:paraId="40BC5618" w14:textId="77777777" w:rsidR="0065321F" w:rsidRDefault="0065321F" w:rsidP="0065321F"/>
    <w:p w14:paraId="143FB522" w14:textId="77777777" w:rsidR="0065321F" w:rsidRDefault="0065321F" w:rsidP="0065321F"/>
    <w:p w14:paraId="6B1487BB" w14:textId="77777777" w:rsidR="0065321F" w:rsidRDefault="0065321F" w:rsidP="0065321F">
      <w:pPr>
        <w:pStyle w:val="Heading2"/>
      </w:pPr>
      <w:bookmarkStart w:id="58" w:name="_Toc220883321"/>
      <w:r>
        <w:t>8.3 Risk Register</w:t>
      </w:r>
      <w:bookmarkEnd w:id="58"/>
      <w:r>
        <w:t xml:space="preserve"> </w:t>
      </w:r>
    </w:p>
    <w:p w14:paraId="0DA7FB7C" w14:textId="77777777" w:rsidR="0065321F" w:rsidRDefault="0065321F" w:rsidP="0065321F">
      <w:r>
        <w:t>The risk register isn’t just another spreadsheet—it’s the business’s way of keeping tabs on what could go wrong. It’s how the team lists out the real risks that might mess with operations, finances, legal compliance, or even the company’s reputation. By tracking risks in one place, nothing slips through the cracks. Everyone knows what’s at stake, how bad things could get, and who’s supposed to keep an eye on each risk.</w:t>
      </w:r>
    </w:p>
    <w:p w14:paraId="006782EA" w14:textId="77777777" w:rsidR="0065321F" w:rsidRDefault="0065321F" w:rsidP="0065321F">
      <w:r>
        <w:t xml:space="preserve">Data protection and confidentiality always stand out on the list. Mediation deals with people’s private details, money matters, and personal disputes—stuff no one wants </w:t>
      </w:r>
      <w:proofErr w:type="gramStart"/>
      <w:r>
        <w:t>leaked</w:t>
      </w:r>
      <w:proofErr w:type="gramEnd"/>
      <w:r>
        <w:t>. If this information gets out or ends up in the wrong hands, the fallout is serious: legal trouble, fines, and clients losing trust. To keep things tight, the business relies on secure digital systems, limits who can see sensitive information, and keeps the team up to speed with regular training. If something does go wrong, there’s a clear plan: lock down the affected systems, find out what happened, and fix the problem fast.</w:t>
      </w:r>
    </w:p>
    <w:p w14:paraId="1E160DB2" w14:textId="77777777" w:rsidR="0065321F" w:rsidRDefault="0065321F" w:rsidP="0065321F">
      <w:r>
        <w:t xml:space="preserve">Legal and regulatory risks can’t be ignored either. The business </w:t>
      </w:r>
      <w:proofErr w:type="gramStart"/>
      <w:r>
        <w:t>has to</w:t>
      </w:r>
      <w:proofErr w:type="gramEnd"/>
      <w:r>
        <w:t xml:space="preserve"> stick to UK laws and follow strict mediation standards. Breaking the rules could bring fines, lawsuits, or even shut down operations. To stay on track, the company sets out clear policies, makes sure everyone knows the rules, and carries the right insurance. When legal trouble pops up, the team gets expert advice, reviews what went wrong, and ramps up training to stop it from happening again.</w:t>
      </w:r>
    </w:p>
    <w:p w14:paraId="4F183277" w14:textId="77777777" w:rsidR="0065321F" w:rsidRDefault="0065321F" w:rsidP="0065321F">
      <w:r>
        <w:t xml:space="preserve">Then there are the day-to-day </w:t>
      </w:r>
      <w:proofErr w:type="gramStart"/>
      <w:r>
        <w:t>risks—</w:t>
      </w:r>
      <w:proofErr w:type="gramEnd"/>
      <w:r>
        <w:t xml:space="preserve">operational and financial. Staff can get sick, schedules can fall apart, or tech can fail, any of which throws a wrench in service delivery. The business handles </w:t>
      </w:r>
      <w:proofErr w:type="gramStart"/>
      <w:r>
        <w:t>these</w:t>
      </w:r>
      <w:proofErr w:type="gramEnd"/>
      <w:r>
        <w:t xml:space="preserve"> by keeping staffing flexible, using backup systems, and communicating clearly. Money issues, like cash flow crunches or surprise expenses, get </w:t>
      </w:r>
      <w:r>
        <w:lastRenderedPageBreak/>
        <w:t xml:space="preserve">managed with regular check-ins and tight budgeting. If money gets tight, the company cuts back on non-essentials or puts big plans on hold to keep things stable. By checking the risk register regularly, the business stays </w:t>
      </w:r>
      <w:proofErr w:type="gramStart"/>
      <w:r>
        <w:t>ready—controls</w:t>
      </w:r>
      <w:proofErr w:type="gramEnd"/>
      <w:r>
        <w:t xml:space="preserve"> stay sharp, and backup plans are always in place.</w:t>
      </w:r>
    </w:p>
    <w:p w14:paraId="6E54EE6C" w14:textId="77777777" w:rsidR="0065321F" w:rsidRDefault="0065321F" w:rsidP="0065321F">
      <w:pPr>
        <w:pStyle w:val="Heading2"/>
      </w:pPr>
      <w:bookmarkStart w:id="59" w:name="_Toc220883322"/>
      <w:r>
        <w:t>8.4 Scenario Testing</w:t>
      </w:r>
      <w:bookmarkEnd w:id="59"/>
    </w:p>
    <w:p w14:paraId="4B4B945A" w14:textId="77777777" w:rsidR="0065321F" w:rsidRDefault="0065321F" w:rsidP="0065321F">
      <w:r>
        <w:t>Scenario testing helps a business figure out how it would handle things if something unexpected goes wrong. Instead of just hoping everything runs smoothly, the business looks at different situations that might mess with its operations or finances. Doing this takes some of the guesswork out of the future and gives the team a chance to plan smart, instead of scrambling when trouble hits.</w:t>
      </w:r>
    </w:p>
    <w:p w14:paraId="2D8728EC" w14:textId="77777777" w:rsidR="0065321F" w:rsidRDefault="0065321F" w:rsidP="0065321F">
      <w:r>
        <w:t xml:space="preserve">Take a sudden drop in client demand. Maybe the economy takes a dive, the market shifts, or new competitors pop up. Fewer clients </w:t>
      </w:r>
      <w:proofErr w:type="gramStart"/>
      <w:r>
        <w:t>means</w:t>
      </w:r>
      <w:proofErr w:type="gramEnd"/>
      <w:r>
        <w:t xml:space="preserve"> less money coming in and tighter cash flow. When that happens, the business can cut back on variable </w:t>
      </w:r>
      <w:proofErr w:type="gramStart"/>
      <w:r>
        <w:t>costs—</w:t>
      </w:r>
      <w:proofErr w:type="gramEnd"/>
      <w:r>
        <w:t>maybe spend less on marketing or bring in fewer freelance mediators. At the same time, it makes sense to lean on loyal clients and long-term relationships to keep money coming in, even when things slow down.</w:t>
      </w:r>
    </w:p>
    <w:p w14:paraId="3539B29D" w14:textId="77777777" w:rsidR="0065321F" w:rsidRDefault="0065321F" w:rsidP="0065321F">
      <w:r>
        <w:t>Tech failures are another headache. What if the online mediation platform crashes or people can’t access digital case files? In those moments, the business can roll out backup systems, switch to other secure platforms, and let clients know what’s going on until things are back to normal. Legal changes are on the radar, too. New laws or regulations might mean updating company policies or giving staff extra training. By thinking through all these scenarios ahead of time, the business puts itself in a much better spot to keep running, even when things get tough.</w:t>
      </w:r>
    </w:p>
    <w:p w14:paraId="0185F274" w14:textId="77777777" w:rsidR="0065321F" w:rsidRDefault="0065321F" w:rsidP="0065321F"/>
    <w:p w14:paraId="0AB2EF36" w14:textId="77777777" w:rsidR="0065321F" w:rsidRDefault="0065321F" w:rsidP="0065321F">
      <w:pPr>
        <w:pStyle w:val="Heading2"/>
      </w:pPr>
      <w:bookmarkStart w:id="60" w:name="_Toc220883323"/>
      <w:r>
        <w:t>8.5 Business Continuity and Incident Response</w:t>
      </w:r>
      <w:bookmarkEnd w:id="60"/>
    </w:p>
    <w:p w14:paraId="0D8F9E66" w14:textId="77777777" w:rsidR="0065321F" w:rsidRDefault="0065321F" w:rsidP="0065321F">
      <w:r>
        <w:t xml:space="preserve">Business continuity planning keeps things running—even when life throws a curveball. In mediation, any hiccup can rattle client trust or mess with service quality, so having a solid plan isn’t just smart, it’s necessary. The whole setup runs remotely, so even if you can’t get into the office, staff and mediators just keep going. All the important info sits in secure cloud systems, so people can </w:t>
      </w:r>
      <w:proofErr w:type="gramStart"/>
      <w:r>
        <w:t>get to</w:t>
      </w:r>
      <w:proofErr w:type="gramEnd"/>
      <w:r>
        <w:t xml:space="preserve"> case files whenever they need them.</w:t>
      </w:r>
    </w:p>
    <w:p w14:paraId="59BC5B60" w14:textId="77777777" w:rsidR="0065321F" w:rsidRDefault="0065321F" w:rsidP="0065321F">
      <w:r>
        <w:t xml:space="preserve">When something goes wrong, like a cyberattack or a sudden disruption, there’s a clear playbook. First, spot the problem and lock it down fast, so it doesn’t get worse. Next, figure out exactly how clients and day-to-day work are affected, then jump on getting things back </w:t>
      </w:r>
      <w:r>
        <w:lastRenderedPageBreak/>
        <w:t>up and running. The team keeps everyone—staff and clients—in the loop, aiming to keep stress low and information clear.</w:t>
      </w:r>
    </w:p>
    <w:p w14:paraId="2A0A496E" w14:textId="77777777" w:rsidR="0065321F" w:rsidRDefault="0065321F" w:rsidP="0065321F">
      <w:r>
        <w:t xml:space="preserve">Once things are back to normal, the business takes a good, honest look at what happened. What went right? What needs fixing? That review isn’t just a box to check—it </w:t>
      </w:r>
      <w:proofErr w:type="gramStart"/>
      <w:r>
        <w:t>actually shapes</w:t>
      </w:r>
      <w:proofErr w:type="gramEnd"/>
      <w:r>
        <w:t xml:space="preserve"> better systems and helps prevent the same mess from happening twice. With these plans in place, the business limits downtime, keeps disruptions small, and protects its reputation.</w:t>
      </w:r>
    </w:p>
    <w:p w14:paraId="67AFD122" w14:textId="77777777" w:rsidR="0065321F" w:rsidRDefault="0065321F" w:rsidP="0065321F">
      <w:pPr>
        <w:pStyle w:val="Heading2"/>
      </w:pPr>
      <w:bookmarkStart w:id="61" w:name="_Toc220883324"/>
      <w:r>
        <w:t>8.6 Compliance Monitoring</w:t>
      </w:r>
      <w:bookmarkEnd w:id="61"/>
    </w:p>
    <w:p w14:paraId="5EF6ECD3" w14:textId="77777777" w:rsidR="0065321F" w:rsidRDefault="0065321F" w:rsidP="0065321F">
      <w:r>
        <w:t xml:space="preserve">Compliance monitoring is an ongoing activity that ensures the business remains compliant with the law, regulations, and professional standards. In the mediation business, compliance is critical as it is directly linked to confidentiality, fairness, and ethics. The business undertakes regular checks to ensure that data protection legislation is complied with and that client data is </w:t>
      </w:r>
      <w:proofErr w:type="gramStart"/>
      <w:r>
        <w:t>handled securely at all times</w:t>
      </w:r>
      <w:proofErr w:type="gramEnd"/>
      <w:r>
        <w:t>.</w:t>
      </w:r>
    </w:p>
    <w:p w14:paraId="41E854EF" w14:textId="77777777" w:rsidR="0065321F" w:rsidRDefault="0065321F" w:rsidP="0065321F">
      <w:r>
        <w:t>The business also undertakes regular checks to ensure that documentation and case files are accurate and stored correctly. Staff members are also provided with continuous training to help them understand their obligations and stay updated on changes to the law or professional standards. The business also monitors professional accreditation and insurance to ensure that it is compliant and covered.</w:t>
      </w:r>
    </w:p>
    <w:p w14:paraId="090F3F73" w14:textId="77777777" w:rsidR="0065321F" w:rsidRDefault="0065321F" w:rsidP="0065321F">
      <w:r>
        <w:t>If any compliance problems are detected, corrective measures are taken immediately. This may involve updating procedures, additional training, or improving internal controls. Through continuous compliance monitoring, the business minimizes legal risks, safeguards clients, and shows a high level of commitment to ethical practice.</w:t>
      </w:r>
    </w:p>
    <w:p w14:paraId="2901E476" w14:textId="77777777" w:rsidR="0065321F" w:rsidRDefault="0065321F" w:rsidP="0065321F"/>
    <w:p w14:paraId="34D662F5" w14:textId="77777777" w:rsidR="0065321F" w:rsidRDefault="0065321F" w:rsidP="0065321F"/>
    <w:p w14:paraId="7202B6DC" w14:textId="77777777" w:rsidR="009D72BD" w:rsidRDefault="009D72BD" w:rsidP="009D72BD">
      <w:pPr>
        <w:pStyle w:val="Heading1"/>
      </w:pPr>
      <w:bookmarkStart w:id="62" w:name="_Toc220883325"/>
      <w:r>
        <w:t>Chapter 9: Implementation Plan (12-Month Horizon)</w:t>
      </w:r>
      <w:bookmarkEnd w:id="62"/>
    </w:p>
    <w:p w14:paraId="71372A23" w14:textId="77777777" w:rsidR="009D72BD" w:rsidRPr="009D72BD" w:rsidRDefault="009D72BD" w:rsidP="009D72BD"/>
    <w:p w14:paraId="1B644357" w14:textId="77777777" w:rsidR="009D72BD" w:rsidRDefault="009D72BD" w:rsidP="009D72BD">
      <w:r>
        <w:t xml:space="preserve">This chapter will describe how the company’s strategic and operational plans will be implemented by the Diligence Legal Support and Civil Mediation Services company within a 12-month period. An implementation plan will include the process of structured development, the allocation of tasks, the use of resources, the monitoring of performance, and change management. A phased implementation will be used to ensure that the business is growing in a controlled manner and that the risk is minimal. This chapter will </w:t>
      </w:r>
      <w:r>
        <w:lastRenderedPageBreak/>
        <w:t>show how the company will transition from a planning phase to an operational phase within a 12-month period.</w:t>
      </w:r>
    </w:p>
    <w:p w14:paraId="491D4182" w14:textId="5F972DEA" w:rsidR="009D72BD" w:rsidRDefault="009D72BD" w:rsidP="009D72BD"/>
    <w:p w14:paraId="0266F7C4" w14:textId="77777777" w:rsidR="009D72BD" w:rsidRDefault="009D72BD" w:rsidP="009D72BD"/>
    <w:p w14:paraId="433BBE05" w14:textId="52706A3E" w:rsidR="009D72BD" w:rsidRDefault="00177AC1" w:rsidP="009D72BD">
      <w:pPr>
        <w:pStyle w:val="Heading2"/>
      </w:pPr>
      <w:bookmarkStart w:id="63" w:name="_Toc220883326"/>
      <w:r>
        <w:t>9.1 (</w:t>
      </w:r>
      <w:r w:rsidR="009D72BD">
        <w:t>12-Month Roadmap)</w:t>
      </w:r>
      <w:bookmarkEnd w:id="63"/>
    </w:p>
    <w:p w14:paraId="6234462C" w14:textId="19F82459" w:rsidR="000F02B1" w:rsidRDefault="009D72BD" w:rsidP="009D72BD">
      <w:r>
        <w:t>The implementation of the Diligence Legal Support and Civil Mediation Services company will be carried out within a 12-month period, which will include a series of well-structured phases. This will ensure that the company is able to establish strong operational foundations within a realistic and manageable period.</w:t>
      </w:r>
    </w:p>
    <w:p w14:paraId="47E21A11" w14:textId="53AED07F" w:rsidR="000311D7" w:rsidRDefault="000311D7" w:rsidP="009D72BD">
      <w:r w:rsidRPr="000311D7">
        <w:rPr>
          <w:noProof/>
        </w:rPr>
        <w:drawing>
          <wp:inline distT="0" distB="0" distL="0" distR="0" wp14:anchorId="74818A2D" wp14:editId="79C392EA">
            <wp:extent cx="5943600" cy="1940560"/>
            <wp:effectExtent l="0" t="0" r="0" b="2540"/>
            <wp:docPr id="287633548" name="Picture 1" descr="A timeline diagram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33548" name="Picture 1" descr="A timeline diagram with colorful circles&#10;&#10;AI-generated content may be incorrect."/>
                    <pic:cNvPicPr/>
                  </pic:nvPicPr>
                  <pic:blipFill>
                    <a:blip r:embed="rId46"/>
                    <a:stretch>
                      <a:fillRect/>
                    </a:stretch>
                  </pic:blipFill>
                  <pic:spPr>
                    <a:xfrm>
                      <a:off x="0" y="0"/>
                      <a:ext cx="5943600" cy="1940560"/>
                    </a:xfrm>
                    <a:prstGeom prst="rect">
                      <a:avLst/>
                    </a:prstGeom>
                  </pic:spPr>
                </pic:pic>
              </a:graphicData>
            </a:graphic>
          </wp:inline>
        </w:drawing>
      </w:r>
    </w:p>
    <w:p w14:paraId="68888AD3" w14:textId="77777777" w:rsidR="009D72BD" w:rsidRDefault="009D72BD" w:rsidP="009D72BD">
      <w:r>
        <w:t xml:space="preserve">During the first four months, the emphasis is on setting up and preparing the </w:t>
      </w:r>
      <w:proofErr w:type="spellStart"/>
      <w:r>
        <w:t>organisation</w:t>
      </w:r>
      <w:proofErr w:type="spellEnd"/>
      <w:r>
        <w:t xml:space="preserve"> for its operations. Major steps include legal incorporation, recruitment of key personnel, establishment of policies, and installation of secure technology infrastructure. Branding, website design, and technology platforms are also undertaken during this period to ensure the </w:t>
      </w:r>
      <w:proofErr w:type="spellStart"/>
      <w:r>
        <w:t>organisation</w:t>
      </w:r>
      <w:proofErr w:type="spellEnd"/>
      <w:r>
        <w:t xml:space="preserve"> is fully prepared to deliver services to clients professionally and ethically.</w:t>
      </w:r>
    </w:p>
    <w:p w14:paraId="6D3BADC7" w14:textId="77777777" w:rsidR="009D72BD" w:rsidRDefault="009D72BD" w:rsidP="009D72BD">
      <w:r>
        <w:t xml:space="preserve">The second phase, spanning months 5 to 8, is dedicated to the launch and initiation of operations for the </w:t>
      </w:r>
      <w:proofErr w:type="spellStart"/>
      <w:r>
        <w:t>organisation</w:t>
      </w:r>
      <w:proofErr w:type="spellEnd"/>
      <w:r>
        <w:t xml:space="preserve">. During this period, mediation services are introduced at a controlled rate to enable the </w:t>
      </w:r>
      <w:proofErr w:type="spellStart"/>
      <w:r>
        <w:t>organisation</w:t>
      </w:r>
      <w:proofErr w:type="spellEnd"/>
      <w:r>
        <w:t xml:space="preserve"> to test its operations, technology, and client engagement mechanisms. This period is also used to improve the quality of services, operations, and staff performance based on feedback from the initial cases handled.</w:t>
      </w:r>
    </w:p>
    <w:p w14:paraId="10F1DA08" w14:textId="3694052B" w:rsidR="009D72BD" w:rsidRDefault="009D72BD" w:rsidP="009D72BD">
      <w:r>
        <w:t xml:space="preserve">The third and final phase, spanning months 9 to 12, is focused on the </w:t>
      </w:r>
      <w:proofErr w:type="spellStart"/>
      <w:r>
        <w:t>stabilisation</w:t>
      </w:r>
      <w:proofErr w:type="spellEnd"/>
      <w:r>
        <w:t xml:space="preserve"> and enhancement of operations for the </w:t>
      </w:r>
      <w:proofErr w:type="spellStart"/>
      <w:r>
        <w:t>organisation</w:t>
      </w:r>
      <w:proofErr w:type="spellEnd"/>
      <w:r>
        <w:t xml:space="preserve">. More clients are handled, and partnerships are also strengthened during this period. At the end of the twelve months, Diligence is expected to have become a stable, legal, and reputable mediation service </w:t>
      </w:r>
      <w:proofErr w:type="spellStart"/>
      <w:r>
        <w:t>organisation</w:t>
      </w:r>
      <w:proofErr w:type="spellEnd"/>
      <w:r>
        <w:t>.</w:t>
      </w:r>
    </w:p>
    <w:p w14:paraId="2AF2D346" w14:textId="77777777" w:rsidR="009D72BD" w:rsidRDefault="009D72BD" w:rsidP="00A11A18">
      <w:pPr>
        <w:pStyle w:val="Heading2"/>
      </w:pPr>
      <w:r>
        <w:lastRenderedPageBreak/>
        <w:t>9.2 Workstreams and Milestones</w:t>
      </w:r>
    </w:p>
    <w:p w14:paraId="409FE05F" w14:textId="77777777" w:rsidR="009D72BD" w:rsidRDefault="009D72BD" w:rsidP="009D72BD">
      <w:r>
        <w:t xml:space="preserve">For the implementation process, there are various workstreams involved, and these are the main areas of implementation to ensure the organization’s development process is well coordinated. These include </w:t>
      </w:r>
      <w:proofErr w:type="gramStart"/>
      <w:r>
        <w:t>the operations</w:t>
      </w:r>
      <w:proofErr w:type="gramEnd"/>
      <w:r>
        <w:t>, human resources, technology, marketing, and compliance workstreams, among others. This ensures the organization’s management process is well understood within the set one-year period.</w:t>
      </w:r>
    </w:p>
    <w:p w14:paraId="60E817AC" w14:textId="77777777" w:rsidR="009D72BD" w:rsidRDefault="009D72BD" w:rsidP="009D72BD">
      <w:r>
        <w:t>Each of these workstreams has various milestones to be met within the set period. The operations workstream, for example, has the implementation of the case management system and the initial mediation cases to be met within the set period. On the other hand, the human resources workstream focuses on the recruitment process, training, and initial performance reviews, among others. Similarly, the technology workstream ensures the security of the communication platforms and the mediation system are well established within the set period.</w:t>
      </w:r>
    </w:p>
    <w:p w14:paraId="257E82AC" w14:textId="42E11A0B" w:rsidR="009D72BD" w:rsidRDefault="009D72BD" w:rsidP="009D72BD">
      <w:r>
        <w:t>The marketing and partnerships workstream, on the other hand, focuses on the establishment of trust through the website, referral relationships, and community engagement, among others. This ensures the organization’s implementation process is well controlled within the set period.</w:t>
      </w:r>
    </w:p>
    <w:p w14:paraId="76404643" w14:textId="77777777" w:rsidR="009D72BD" w:rsidRDefault="009D72BD" w:rsidP="00A11A18">
      <w:pPr>
        <w:pStyle w:val="Heading2"/>
      </w:pPr>
      <w:r>
        <w:t>9.3 RACI (Roles and Responsibilities)</w:t>
      </w:r>
    </w:p>
    <w:p w14:paraId="607268A9" w14:textId="77777777" w:rsidR="009D72BD" w:rsidRDefault="009D72BD" w:rsidP="009D72BD">
      <w:r>
        <w:t>Roles and responsibilities play a crucial role in the successful implementation of the plan within a twelve-month timeframe. Diligence adopts a RACI model to identify the Responsible, Accountable, Consulted, and Informed parties for critical activities. The model promotes accountability and prevents delays in decision-making.</w:t>
      </w:r>
    </w:p>
    <w:p w14:paraId="6D90D5B2" w14:textId="77777777" w:rsidR="009D72BD" w:rsidRDefault="009D72BD" w:rsidP="009D72BD">
      <w:r>
        <w:t xml:space="preserve">The Founder and Managing Director </w:t>
      </w:r>
      <w:proofErr w:type="gramStart"/>
      <w:r>
        <w:t>is</w:t>
      </w:r>
      <w:proofErr w:type="gramEnd"/>
      <w:r>
        <w:t xml:space="preserve"> accountable for the overall strategy, finance, and regulatory matters. This position ensures that implementation is consistent with the </w:t>
      </w:r>
      <w:proofErr w:type="spellStart"/>
      <w:r>
        <w:t>organisation’s</w:t>
      </w:r>
      <w:proofErr w:type="spellEnd"/>
      <w:r>
        <w:t xml:space="preserve"> mission, values, and regulatory requirements. Strong leadership at this level promotes transparency and good governance.</w:t>
      </w:r>
    </w:p>
    <w:p w14:paraId="6A09ED62" w14:textId="19E4AC2F" w:rsidR="00177AC1" w:rsidRDefault="009D72BD" w:rsidP="009D72BD">
      <w:r>
        <w:t>The Lead Civil Mediator is responsible for service delivery, ethics, and quality assurance. Legal Support Officers and the Case Coordinator handle paperwork, scheduling, and client communication. Administrative and client service personnel are consulted and informed about changes in operations to ensure seamless daily operations.</w:t>
      </w:r>
    </w:p>
    <w:p w14:paraId="7610272F" w14:textId="77777777" w:rsidR="009D72BD" w:rsidRDefault="009D72BD" w:rsidP="00177AC1">
      <w:pPr>
        <w:pStyle w:val="Heading2"/>
      </w:pPr>
      <w:bookmarkStart w:id="64" w:name="_Toc220883327"/>
      <w:r>
        <w:lastRenderedPageBreak/>
        <w:t>9.4 Resource and Budget Notes</w:t>
      </w:r>
      <w:bookmarkEnd w:id="64"/>
    </w:p>
    <w:p w14:paraId="30B8BF37" w14:textId="1F67A26A" w:rsidR="009D72BD" w:rsidRDefault="009D72BD" w:rsidP="009D72BD">
      <w:r>
        <w:t>Successful implementation of the plan within a twelve-month period requires careful budgeting and resource allocation. Diligence focuses its spending on people, technology, compliance, and marketing to enhance service delivery and operational sustainability.</w:t>
      </w:r>
    </w:p>
    <w:p w14:paraId="12E7A400" w14:textId="77777777" w:rsidR="00177AC1" w:rsidRDefault="00177AC1" w:rsidP="00177AC1">
      <w:r>
        <w:t>Human resource investment includes salaries, training, and development. Trained mediators and support staff are required for ethical and effective mediation. Staff training ensures that they are up to date in terms of professional and legal requirements.</w:t>
      </w:r>
    </w:p>
    <w:p w14:paraId="0BEB2658" w14:textId="77777777" w:rsidR="00177AC1" w:rsidRDefault="00177AC1" w:rsidP="00177AC1">
      <w:r>
        <w:t>Technology investment includes secure case management systems, encrypted communication tools, and online mediation platforms. These enhance efficiency, confidentiality, and scalability without increasing fixed costs. Budget management is ensured by continuous financial monitoring and staged spending according to demand.</w:t>
      </w:r>
    </w:p>
    <w:p w14:paraId="54BBBC3A" w14:textId="77777777" w:rsidR="00A11A18" w:rsidRDefault="00A11A18" w:rsidP="00177AC1"/>
    <w:p w14:paraId="0869C910" w14:textId="77777777" w:rsidR="00A11A18" w:rsidRDefault="00A11A18" w:rsidP="00177AC1"/>
    <w:p w14:paraId="56738E3F" w14:textId="77777777" w:rsidR="00A11A18" w:rsidRDefault="00A11A18" w:rsidP="00177AC1"/>
    <w:p w14:paraId="2AE82A22" w14:textId="77777777" w:rsidR="00A11A18" w:rsidRDefault="00A11A18" w:rsidP="00177AC1"/>
    <w:p w14:paraId="149AE17F" w14:textId="77777777" w:rsidR="00A11A18" w:rsidRDefault="00A11A18" w:rsidP="00177AC1"/>
    <w:p w14:paraId="4B4A2C10" w14:textId="77777777" w:rsidR="00A11A18" w:rsidRDefault="00A11A18" w:rsidP="00177AC1"/>
    <w:p w14:paraId="14B4B116" w14:textId="77777777" w:rsidR="00A11A18" w:rsidRDefault="00A11A18" w:rsidP="00177AC1"/>
    <w:p w14:paraId="7B62A9C6" w14:textId="5BE11C53" w:rsidR="00177AC1" w:rsidRDefault="00177AC1" w:rsidP="00177AC1">
      <w:pPr>
        <w:pStyle w:val="Heading2"/>
      </w:pPr>
      <w:bookmarkStart w:id="65" w:name="_Toc220883328"/>
      <w:r>
        <w:t>9.5 KPIs and Stage Gates</w:t>
      </w:r>
      <w:r w:rsidR="009C2C7C">
        <w:rPr>
          <w:rFonts w:ascii="Arial" w:hAnsi="Arial" w:cs="Arial"/>
        </w:rPr>
        <w:t>↓</w:t>
      </w:r>
      <w:bookmarkEnd w:id="65"/>
    </w:p>
    <w:p w14:paraId="0237FBE9" w14:textId="39AC63BC" w:rsidR="00D831C6" w:rsidRDefault="00783A17" w:rsidP="00D831C6">
      <w:r>
        <w:rPr>
          <w:noProof/>
        </w:rPr>
        <mc:AlternateContent>
          <mc:Choice Requires="wps">
            <w:drawing>
              <wp:anchor distT="0" distB="0" distL="114300" distR="114300" simplePos="0" relativeHeight="251693056" behindDoc="0" locked="0" layoutInCell="1" allowOverlap="1" wp14:anchorId="4E6B8EBF" wp14:editId="62AD3B0A">
                <wp:simplePos x="0" y="0"/>
                <wp:positionH relativeFrom="column">
                  <wp:posOffset>1924050</wp:posOffset>
                </wp:positionH>
                <wp:positionV relativeFrom="paragraph">
                  <wp:posOffset>207010</wp:posOffset>
                </wp:positionV>
                <wp:extent cx="1952625" cy="371475"/>
                <wp:effectExtent l="0" t="0" r="28575" b="28575"/>
                <wp:wrapNone/>
                <wp:docPr id="817162740" name="Rectangle 19"/>
                <wp:cNvGraphicFramePr/>
                <a:graphic xmlns:a="http://schemas.openxmlformats.org/drawingml/2006/main">
                  <a:graphicData uri="http://schemas.microsoft.com/office/word/2010/wordprocessingShape">
                    <wps:wsp>
                      <wps:cNvSpPr/>
                      <wps:spPr>
                        <a:xfrm>
                          <a:off x="0" y="0"/>
                          <a:ext cx="1952625" cy="371475"/>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C3BA577" w14:textId="4668C7FE" w:rsidR="00783A17" w:rsidRDefault="00783A17" w:rsidP="00783A17">
                            <w:pPr>
                              <w:jc w:val="center"/>
                            </w:pPr>
                            <w:r>
                              <w:t>KPI Dashboard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B8EBF" id="Rectangle 19" o:spid="_x0000_s1039" style="position:absolute;margin-left:151.5pt;margin-top:16.3pt;width:153.75pt;height:29.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" fillcolor="#4ea72e [3209]" strokecolor="#0b1807 [489]" strokeweight="1.5pt">
                <v:textbox>
                  <w:txbxContent>
                    <w:p w14:paraId="4C3BA577" w14:textId="4668C7FE" w:rsidR="00783A17" w:rsidRDefault="00783A17" w:rsidP="00783A17">
                      <w:pPr>
                        <w:jc w:val="center"/>
                      </w:pPr>
                      <w:r>
                        <w:t>KPI Dashboard</w:t>
                      </w:r>
                    </w:p>
                  </w:txbxContent>
                </v:textbox>
              </v:rect>
            </w:pict>
          </mc:Fallback>
        </mc:AlternateContent>
      </w:r>
    </w:p>
    <w:p w14:paraId="73CD87F2" w14:textId="0E7FE782" w:rsidR="00783A17" w:rsidRDefault="00783A17" w:rsidP="00D831C6"/>
    <w:p w14:paraId="2EB15CB8" w14:textId="17BD38CC" w:rsidR="00783A17" w:rsidRDefault="00783A17" w:rsidP="00D831C6">
      <w:r w:rsidRPr="00783A17">
        <w:rPr>
          <w:noProof/>
        </w:rPr>
        <w:drawing>
          <wp:inline distT="0" distB="0" distL="0" distR="0" wp14:anchorId="6323D416" wp14:editId="1698774C">
            <wp:extent cx="701110" cy="441422"/>
            <wp:effectExtent l="19050" t="19050" r="22860" b="34925"/>
            <wp:docPr id="2122154812" name="Picture 1" descr="Close-up of hands sha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54812" name="Picture 1" descr="Close-up of hands shaking&#10;&#10;AI-generated content may be incorrect."/>
                    <pic:cNvPicPr/>
                  </pic:nvPicPr>
                  <pic:blipFill>
                    <a:blip r:embed="rId47"/>
                    <a:stretch>
                      <a:fillRect/>
                    </a:stretch>
                  </pic:blipFill>
                  <pic:spPr>
                    <a:xfrm rot="169369" flipH="1">
                      <a:off x="0" y="0"/>
                      <a:ext cx="878322" cy="552996"/>
                    </a:xfrm>
                    <a:prstGeom prst="rect">
                      <a:avLst/>
                    </a:prstGeom>
                  </pic:spPr>
                </pic:pic>
              </a:graphicData>
            </a:graphic>
          </wp:inline>
        </w:drawing>
      </w:r>
      <w:r>
        <w:t xml:space="preserve">  </w:t>
      </w:r>
      <w:r w:rsidR="009C2C7C">
        <w:t xml:space="preserve">               </w:t>
      </w:r>
      <w:r>
        <w:t xml:space="preserve"> </w:t>
      </w:r>
      <w:r w:rsidR="009C2C7C" w:rsidRPr="009C2C7C">
        <w:rPr>
          <w:noProof/>
        </w:rPr>
        <w:drawing>
          <wp:inline distT="0" distB="0" distL="0" distR="0" wp14:anchorId="656673A4" wp14:editId="0537B078">
            <wp:extent cx="636134" cy="628650"/>
            <wp:effectExtent l="0" t="0" r="0" b="0"/>
            <wp:docPr id="563405830" name="Picture 1" descr="A clock with a thin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05830" name="Picture 1" descr="A clock with a thin line&#10;&#10;AI-generated content may be incorrect."/>
                    <pic:cNvPicPr/>
                  </pic:nvPicPr>
                  <pic:blipFill>
                    <a:blip r:embed="rId48"/>
                    <a:stretch>
                      <a:fillRect/>
                    </a:stretch>
                  </pic:blipFill>
                  <pic:spPr>
                    <a:xfrm flipV="1">
                      <a:off x="0" y="0"/>
                      <a:ext cx="675996" cy="668043"/>
                    </a:xfrm>
                    <a:prstGeom prst="rect">
                      <a:avLst/>
                    </a:prstGeom>
                  </pic:spPr>
                </pic:pic>
              </a:graphicData>
            </a:graphic>
          </wp:inline>
        </w:drawing>
      </w:r>
      <w:r w:rsidR="000115E5">
        <w:t xml:space="preserve">                      </w:t>
      </w:r>
      <w:r w:rsidR="000115E5" w:rsidRPr="000115E5">
        <w:rPr>
          <w:noProof/>
        </w:rPr>
        <w:drawing>
          <wp:inline distT="0" distB="0" distL="0" distR="0" wp14:anchorId="2FE8D3EA" wp14:editId="5D3CCA95">
            <wp:extent cx="619125" cy="531513"/>
            <wp:effectExtent l="0" t="0" r="0" b="1905"/>
            <wp:docPr id="604844324" name="Picture 1" descr="A green smiley face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844324" name="Picture 1" descr="A green smiley face with white dots&#10;&#10;AI-generated content may be incorrect."/>
                    <pic:cNvPicPr/>
                  </pic:nvPicPr>
                  <pic:blipFill>
                    <a:blip r:embed="rId49"/>
                    <a:stretch>
                      <a:fillRect/>
                    </a:stretch>
                  </pic:blipFill>
                  <pic:spPr>
                    <a:xfrm>
                      <a:off x="0" y="0"/>
                      <a:ext cx="625216" cy="536742"/>
                    </a:xfrm>
                    <a:prstGeom prst="rect">
                      <a:avLst/>
                    </a:prstGeom>
                  </pic:spPr>
                </pic:pic>
              </a:graphicData>
            </a:graphic>
          </wp:inline>
        </w:drawing>
      </w:r>
      <w:r w:rsidR="000115E5">
        <w:t xml:space="preserve">                     </w:t>
      </w:r>
      <w:r w:rsidR="000115E5" w:rsidRPr="000115E5">
        <w:rPr>
          <w:noProof/>
        </w:rPr>
        <w:drawing>
          <wp:inline distT="0" distB="0" distL="0" distR="0" wp14:anchorId="4327742A" wp14:editId="3A82EBBA">
            <wp:extent cx="799465" cy="777997"/>
            <wp:effectExtent l="0" t="0" r="635" b="3175"/>
            <wp:docPr id="637951021" name="Picture 1" descr="A red and black graph with arrow point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51021" name="Picture 1" descr="A red and black graph with arrow pointing up&#10;&#10;AI-generated content may be incorrect."/>
                    <pic:cNvPicPr/>
                  </pic:nvPicPr>
                  <pic:blipFill>
                    <a:blip r:embed="rId50"/>
                    <a:stretch>
                      <a:fillRect/>
                    </a:stretch>
                  </pic:blipFill>
                  <pic:spPr>
                    <a:xfrm>
                      <a:off x="0" y="0"/>
                      <a:ext cx="852713" cy="829815"/>
                    </a:xfrm>
                    <a:prstGeom prst="rect">
                      <a:avLst/>
                    </a:prstGeom>
                  </pic:spPr>
                </pic:pic>
              </a:graphicData>
            </a:graphic>
          </wp:inline>
        </w:drawing>
      </w:r>
      <w:r w:rsidR="000115E5">
        <w:t xml:space="preserve">                          </w:t>
      </w:r>
      <w:r w:rsidR="000115E5" w:rsidRPr="000115E5">
        <w:rPr>
          <w:noProof/>
        </w:rPr>
        <w:drawing>
          <wp:inline distT="0" distB="0" distL="0" distR="0" wp14:anchorId="2282BEE6" wp14:editId="5B540AB2">
            <wp:extent cx="447675" cy="609663"/>
            <wp:effectExtent l="0" t="0" r="0" b="0"/>
            <wp:docPr id="1077116142" name="Picture 1" descr="A dart hitting a targ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16142" name="Picture 1" descr="A dart hitting a target&#10;&#10;AI-generated content may be incorrect."/>
                    <pic:cNvPicPr/>
                  </pic:nvPicPr>
                  <pic:blipFill>
                    <a:blip r:embed="rId51"/>
                    <a:stretch>
                      <a:fillRect/>
                    </a:stretch>
                  </pic:blipFill>
                  <pic:spPr>
                    <a:xfrm>
                      <a:off x="0" y="0"/>
                      <a:ext cx="470560" cy="640829"/>
                    </a:xfrm>
                    <a:prstGeom prst="rect">
                      <a:avLst/>
                    </a:prstGeom>
                  </pic:spPr>
                </pic:pic>
              </a:graphicData>
            </a:graphic>
          </wp:inline>
        </w:drawing>
      </w:r>
    </w:p>
    <w:p w14:paraId="27DA46F1" w14:textId="77777777" w:rsidR="00783A17" w:rsidRDefault="00783A17" w:rsidP="00D831C6"/>
    <w:tbl>
      <w:tblPr>
        <w:tblStyle w:val="TableGrid"/>
        <w:tblW w:w="11610" w:type="dxa"/>
        <w:tblInd w:w="-995" w:type="dxa"/>
        <w:tblLook w:val="04A0" w:firstRow="1" w:lastRow="0" w:firstColumn="1" w:lastColumn="0" w:noHBand="0" w:noVBand="1"/>
      </w:tblPr>
      <w:tblGrid>
        <w:gridCol w:w="2520"/>
        <w:gridCol w:w="2160"/>
        <w:gridCol w:w="2070"/>
        <w:gridCol w:w="2070"/>
        <w:gridCol w:w="2790"/>
      </w:tblGrid>
      <w:tr w:rsidR="00D831C6" w14:paraId="7C3957EB" w14:textId="77777777" w:rsidTr="00783A17">
        <w:trPr>
          <w:trHeight w:val="485"/>
        </w:trPr>
        <w:tc>
          <w:tcPr>
            <w:tcW w:w="2520" w:type="dxa"/>
          </w:tcPr>
          <w:p w14:paraId="56916A73" w14:textId="0B988EBC" w:rsidR="00D831C6" w:rsidRDefault="00D831C6" w:rsidP="00D831C6">
            <w:pPr>
              <w:jc w:val="center"/>
            </w:pPr>
            <w:r>
              <w:t>Case Resolution Rate</w:t>
            </w:r>
          </w:p>
        </w:tc>
        <w:tc>
          <w:tcPr>
            <w:tcW w:w="2160" w:type="dxa"/>
          </w:tcPr>
          <w:p w14:paraId="23ADA136" w14:textId="6B17008E" w:rsidR="00D831C6" w:rsidRDefault="00D831C6" w:rsidP="00D831C6">
            <w:r>
              <w:t xml:space="preserve">Avg Time Resolve </w:t>
            </w:r>
          </w:p>
        </w:tc>
        <w:tc>
          <w:tcPr>
            <w:tcW w:w="2070" w:type="dxa"/>
          </w:tcPr>
          <w:p w14:paraId="570E4984" w14:textId="34D7BDCA" w:rsidR="00D831C6" w:rsidRDefault="00D831C6" w:rsidP="00D831C6">
            <w:pPr>
              <w:jc w:val="center"/>
            </w:pPr>
            <w:r>
              <w:t>Client Satisfaction</w:t>
            </w:r>
          </w:p>
        </w:tc>
        <w:tc>
          <w:tcPr>
            <w:tcW w:w="2070" w:type="dxa"/>
          </w:tcPr>
          <w:p w14:paraId="5A272FEF" w14:textId="357840AC" w:rsidR="00D831C6" w:rsidRDefault="00D831C6" w:rsidP="00D831C6">
            <w:pPr>
              <w:jc w:val="center"/>
            </w:pPr>
            <w:r>
              <w:t>Revenue Growth</w:t>
            </w:r>
          </w:p>
        </w:tc>
        <w:tc>
          <w:tcPr>
            <w:tcW w:w="2790" w:type="dxa"/>
          </w:tcPr>
          <w:p w14:paraId="2C66BBA4" w14:textId="0365A9BC" w:rsidR="00D831C6" w:rsidRDefault="00D831C6" w:rsidP="00D831C6">
            <w:pPr>
              <w:jc w:val="center"/>
            </w:pPr>
            <w:r>
              <w:t>Compliance Accuracy</w:t>
            </w:r>
          </w:p>
        </w:tc>
      </w:tr>
    </w:tbl>
    <w:tbl>
      <w:tblPr>
        <w:tblStyle w:val="TableGrid"/>
        <w:tblpPr w:leftFromText="180" w:rightFromText="180" w:vertAnchor="text" w:horzAnchor="page" w:tblpX="421" w:tblpY="168"/>
        <w:tblW w:w="11695" w:type="dxa"/>
        <w:tblLook w:val="04A0" w:firstRow="1" w:lastRow="0" w:firstColumn="1" w:lastColumn="0" w:noHBand="0" w:noVBand="1"/>
      </w:tblPr>
      <w:tblGrid>
        <w:gridCol w:w="2605"/>
        <w:gridCol w:w="2160"/>
        <w:gridCol w:w="2070"/>
        <w:gridCol w:w="2070"/>
        <w:gridCol w:w="2790"/>
      </w:tblGrid>
      <w:tr w:rsidR="00783A17" w14:paraId="44E45DEB" w14:textId="77777777" w:rsidTr="00783A17">
        <w:trPr>
          <w:trHeight w:val="170"/>
        </w:trPr>
        <w:tc>
          <w:tcPr>
            <w:tcW w:w="2605" w:type="dxa"/>
          </w:tcPr>
          <w:p w14:paraId="28AE9D0E" w14:textId="46511511" w:rsidR="00783A17" w:rsidRPr="00783A17" w:rsidRDefault="00783A17" w:rsidP="00783A17">
            <w:pPr>
              <w:jc w:val="center"/>
              <w:rPr>
                <w:color w:val="0C1B07"/>
              </w:rPr>
            </w:pPr>
            <w:r w:rsidRPr="00783A17">
              <w:rPr>
                <w:color w:val="0C1B07"/>
              </w:rPr>
              <w:t>85%</w:t>
            </w:r>
          </w:p>
        </w:tc>
        <w:tc>
          <w:tcPr>
            <w:tcW w:w="2160" w:type="dxa"/>
          </w:tcPr>
          <w:p w14:paraId="4DCBF45B" w14:textId="0A93D040" w:rsidR="00783A17" w:rsidRDefault="00783A17" w:rsidP="00783A17">
            <w:r w:rsidRPr="00783A17">
              <w:rPr>
                <w:color w:val="002060"/>
              </w:rPr>
              <w:t>12 Days</w:t>
            </w:r>
          </w:p>
        </w:tc>
        <w:tc>
          <w:tcPr>
            <w:tcW w:w="2070" w:type="dxa"/>
          </w:tcPr>
          <w:p w14:paraId="246A31D5" w14:textId="62C81173" w:rsidR="00783A17" w:rsidRDefault="00783A17" w:rsidP="00783A17">
            <w:r w:rsidRPr="00783A17">
              <w:rPr>
                <w:color w:val="EE0000"/>
              </w:rPr>
              <w:t>95%</w:t>
            </w:r>
          </w:p>
        </w:tc>
        <w:tc>
          <w:tcPr>
            <w:tcW w:w="2070" w:type="dxa"/>
          </w:tcPr>
          <w:p w14:paraId="19068C00" w14:textId="57D1A3E7" w:rsidR="00783A17" w:rsidRDefault="00783A17" w:rsidP="00783A17">
            <w:r>
              <w:t>15% Increase</w:t>
            </w:r>
          </w:p>
        </w:tc>
        <w:tc>
          <w:tcPr>
            <w:tcW w:w="2790" w:type="dxa"/>
          </w:tcPr>
          <w:p w14:paraId="2B35AAC0" w14:textId="47F5200C" w:rsidR="00783A17" w:rsidRDefault="00783A17" w:rsidP="00783A17">
            <w:pPr>
              <w:jc w:val="center"/>
            </w:pPr>
            <w:r>
              <w:t>98%</w:t>
            </w:r>
          </w:p>
        </w:tc>
      </w:tr>
    </w:tbl>
    <w:p w14:paraId="51CF03EF" w14:textId="77777777" w:rsidR="000115E5" w:rsidRPr="000115E5" w:rsidRDefault="000115E5" w:rsidP="00D831C6">
      <w:pPr>
        <w:rPr>
          <w:color w:val="0A2F41" w:themeColor="accent1" w:themeShade="80"/>
          <w:u w:val="single"/>
        </w:rPr>
      </w:pPr>
    </w:p>
    <w:p w14:paraId="0D3B0462" w14:textId="75BA231F" w:rsidR="00D831C6" w:rsidRPr="000115E5" w:rsidRDefault="000115E5" w:rsidP="00D831C6">
      <w:pPr>
        <w:rPr>
          <w:u w:val="single"/>
        </w:rPr>
      </w:pPr>
      <w:r w:rsidRPr="000115E5">
        <w:rPr>
          <w:color w:val="0A2F41" w:themeColor="accent1" w:themeShade="80"/>
          <w:u w:val="single"/>
        </w:rPr>
        <w:lastRenderedPageBreak/>
        <w:t xml:space="preserve">                                               Stage Gate Review Process                                                                   </w:t>
      </w:r>
      <w:proofErr w:type="gramStart"/>
      <w:r w:rsidRPr="000115E5">
        <w:rPr>
          <w:color w:val="0A2F41" w:themeColor="accent1" w:themeShade="80"/>
          <w:u w:val="single"/>
        </w:rPr>
        <w:t xml:space="preserve">  </w:t>
      </w:r>
      <w:r>
        <w:rPr>
          <w:u w:val="single"/>
        </w:rPr>
        <w:t>.</w:t>
      </w:r>
      <w:proofErr w:type="gramEnd"/>
      <w:r>
        <w:t xml:space="preserve">          </w:t>
      </w:r>
      <w:r w:rsidRPr="000115E5">
        <w:rPr>
          <w:u w:val="single"/>
        </w:rPr>
        <w:t xml:space="preserve">      </w:t>
      </w:r>
    </w:p>
    <w:p w14:paraId="78746F9D" w14:textId="6586A6EF" w:rsidR="00D831C6" w:rsidRDefault="00A0039C" w:rsidP="00D831C6">
      <w:r>
        <w:t xml:space="preserve">                        </w:t>
      </w:r>
      <w:r>
        <w:rPr>
          <w:noProof/>
        </w:rPr>
        <w:drawing>
          <wp:inline distT="0" distB="0" distL="0" distR="0" wp14:anchorId="5F70A901" wp14:editId="793E98CC">
            <wp:extent cx="1581150" cy="533400"/>
            <wp:effectExtent l="19050" t="0" r="19050" b="0"/>
            <wp:docPr id="1769557624"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r>
        <w:rPr>
          <w:noProof/>
        </w:rPr>
        <w:drawing>
          <wp:inline distT="0" distB="0" distL="0" distR="0" wp14:anchorId="3E10E504" wp14:editId="450D0C12">
            <wp:extent cx="2514600" cy="390525"/>
            <wp:effectExtent l="19050" t="0" r="19050" b="9525"/>
            <wp:docPr id="18641716"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r>
        <w:t xml:space="preserve">     </w:t>
      </w:r>
    </w:p>
    <w:p w14:paraId="3AACAB66" w14:textId="77777777" w:rsidR="00D831C6" w:rsidRDefault="00D831C6" w:rsidP="00D831C6"/>
    <w:p w14:paraId="675CA4B1" w14:textId="77777777" w:rsidR="00104AE2" w:rsidRDefault="00177AC1" w:rsidP="00177AC1">
      <w:r>
        <w:t>Key Performance Indicators (KPIs) are employed to track progress and performance during the twelve-month implementation phase. KPIs offer quantifiable proof of success and identify areas for improvement.</w:t>
      </w:r>
    </w:p>
    <w:p w14:paraId="326225FB" w14:textId="57F4DA04" w:rsidR="00177AC1" w:rsidRDefault="00177AC1" w:rsidP="00177AC1">
      <w:r>
        <w:t>The essential KPIs are case resolution rates, average case handling time, client satisfaction, accuracy of compliance, and revenue. These indicators evaluate service quality and business viability. Continuous tracking enables corrective action when necessary.</w:t>
      </w:r>
    </w:p>
    <w:p w14:paraId="58DF78B4" w14:textId="7A57CBB2" w:rsidR="00177AC1" w:rsidRDefault="00177AC1" w:rsidP="00177AC1">
      <w:r>
        <w:t>Stage gates are critical points of review at the end of each implementation phase. Performance information is evaluated to ensure readiness to move to the next phase. This strategy minimizes risk and ensures that deficiencies are remedied before further growth.</w:t>
      </w:r>
    </w:p>
    <w:p w14:paraId="6F557759" w14:textId="77777777" w:rsidR="00177AC1" w:rsidRDefault="00177AC1" w:rsidP="00177AC1">
      <w:r>
        <w:t>Stage gates are formal review stages at the conclusion of each implementation phase. Performance data is reviewed to validate readiness to move forward to the next stage. This model minimizes risk and ensures issues are addressed before proceeding with further growth.</w:t>
      </w:r>
    </w:p>
    <w:p w14:paraId="26C57974" w14:textId="7FD4CC99" w:rsidR="00177AC1" w:rsidRDefault="00177AC1" w:rsidP="00177AC1"/>
    <w:p w14:paraId="00D12884" w14:textId="77777777" w:rsidR="00177AC1" w:rsidRDefault="00177AC1" w:rsidP="00177AC1"/>
    <w:p w14:paraId="730C0D77" w14:textId="77777777" w:rsidR="00177AC1" w:rsidRDefault="00177AC1" w:rsidP="00177AC1">
      <w:pPr>
        <w:pStyle w:val="Heading2"/>
      </w:pPr>
      <w:bookmarkStart w:id="66" w:name="_Toc220883329"/>
      <w:r>
        <w:t>9.6 Change Management</w:t>
      </w:r>
      <w:bookmarkEnd w:id="66"/>
    </w:p>
    <w:p w14:paraId="76B8ED20" w14:textId="77777777" w:rsidR="00177AC1" w:rsidRDefault="00177AC1" w:rsidP="00177AC1">
      <w:r>
        <w:t xml:space="preserve">Change management is an important factor in the twelve-month implementation period. As the </w:t>
      </w:r>
      <w:proofErr w:type="spellStart"/>
      <w:r>
        <w:t>organisation</w:t>
      </w:r>
      <w:proofErr w:type="spellEnd"/>
      <w:r>
        <w:t xml:space="preserve"> moves from the planning stage to full operation, change management is critical.</w:t>
      </w:r>
    </w:p>
    <w:p w14:paraId="25D0CC1D" w14:textId="77777777" w:rsidR="00177AC1" w:rsidRDefault="00177AC1" w:rsidP="00177AC1">
      <w:r>
        <w:t xml:space="preserve">Communication is emphasized in implementing changes. Communication is provided to staff regarding what is changing, why it is necessary, and how it will benefit the </w:t>
      </w:r>
      <w:proofErr w:type="spellStart"/>
      <w:r>
        <w:t>organisation</w:t>
      </w:r>
      <w:proofErr w:type="spellEnd"/>
      <w:r>
        <w:t>.</w:t>
      </w:r>
    </w:p>
    <w:p w14:paraId="2AB5241E" w14:textId="048CE184" w:rsidR="00177AC1" w:rsidRDefault="00177AC1" w:rsidP="00177AC1">
      <w:r>
        <w:t xml:space="preserve">Training is provided to assist staff in adapting to </w:t>
      </w:r>
      <w:proofErr w:type="gramStart"/>
      <w:r>
        <w:t>change</w:t>
      </w:r>
      <w:proofErr w:type="gramEnd"/>
      <w:r>
        <w:t xml:space="preserve"> in systems and responsibilities. Change management in a structured and supportive manner helps Diligence deliver quality services throughout the first year of operation.</w:t>
      </w:r>
    </w:p>
    <w:p w14:paraId="4416863B" w14:textId="77777777" w:rsidR="00437541" w:rsidRDefault="00437541" w:rsidP="00437541">
      <w:bookmarkStart w:id="67" w:name="_Toc220883330"/>
      <w:r w:rsidRPr="00104AE2">
        <w:rPr>
          <w:rStyle w:val="Heading1Char"/>
        </w:rPr>
        <w:lastRenderedPageBreak/>
        <w:t>Chapter 10: Business Model Canvas</w:t>
      </w:r>
      <w:bookmarkEnd w:id="67"/>
      <w:r>
        <w:t xml:space="preserve"> (Diligence Legal Support and Civil Mediation Services)</w:t>
      </w:r>
    </w:p>
    <w:p w14:paraId="3C06C4A7" w14:textId="77777777" w:rsidR="00437541" w:rsidRDefault="00437541" w:rsidP="00437541">
      <w:r>
        <w:t>This chapter introduces the Business Model Canvas (BMC) for Diligence Legal Support and Civil Mediation Services. The Business Model Canvas is a visual representation of how Diligence adds value to its customers, delivers its services, and makes money. The canvas gives a comprehensive insight into customers, value propositions, operations, resources, partnerships, and financials, thus ensuring a holistic business model.</w:t>
      </w:r>
    </w:p>
    <w:p w14:paraId="1CD2BF28" w14:textId="77777777" w:rsidR="00437541" w:rsidRDefault="00437541" w:rsidP="00104AE2">
      <w:pPr>
        <w:pStyle w:val="Heading2"/>
      </w:pPr>
      <w:bookmarkStart w:id="68" w:name="_Toc220883331"/>
      <w:r>
        <w:t>10.1 Customer Segments</w:t>
      </w:r>
      <w:bookmarkEnd w:id="68"/>
    </w:p>
    <w:p w14:paraId="734B420A" w14:textId="77777777" w:rsidR="00437541" w:rsidRDefault="00437541" w:rsidP="00437541">
      <w:r>
        <w:t>Diligence operates with multiple customer segments in the UK mediation and legal support industry. The first customer segment is comprised of individual customers who require confidential and professional mediation for family, property, workplace, or personal disputes. These customers require discretion, impartiality, and swift dispute resolution.</w:t>
      </w:r>
    </w:p>
    <w:p w14:paraId="67D452AA" w14:textId="77777777" w:rsidR="00437541" w:rsidRDefault="00437541" w:rsidP="00437541">
      <w:r>
        <w:t xml:space="preserve">The second customer segment is comprised of small and medium-sized enterprises (SMEs), landlords, tenants, and corporate or institutional customers who require organized mediation services for efficient dispute resolution. Diligence also caters to customers belonging to multicultural society groups who require a peaceful and friendly approach to dispute </w:t>
      </w:r>
      <w:proofErr w:type="gramStart"/>
      <w:r>
        <w:t>resolution</w:t>
      </w:r>
      <w:proofErr w:type="gramEnd"/>
      <w:r>
        <w:t xml:space="preserve"> outside the courts.</w:t>
      </w:r>
    </w:p>
    <w:p w14:paraId="57743C17" w14:textId="77777777" w:rsidR="00437541" w:rsidRDefault="00437541" w:rsidP="00437541"/>
    <w:p w14:paraId="3B0FBA02" w14:textId="1DF31881" w:rsidR="00A95A91" w:rsidRDefault="00A95A91" w:rsidP="00437541"/>
    <w:p w14:paraId="79EA14A8" w14:textId="77777777" w:rsidR="00437541" w:rsidRDefault="00437541" w:rsidP="00104AE2">
      <w:pPr>
        <w:pStyle w:val="Heading2"/>
      </w:pPr>
      <w:bookmarkStart w:id="69" w:name="_Toc220883332"/>
      <w:r>
        <w:t>10.2 Value Propositions</w:t>
      </w:r>
      <w:bookmarkEnd w:id="69"/>
    </w:p>
    <w:p w14:paraId="17D3E0AF" w14:textId="77777777" w:rsidR="00437541" w:rsidRDefault="00437541" w:rsidP="00437541">
      <w:r>
        <w:t>The value proposition of Diligence is the delivery of confidential, neutral, and professional mediation services that provide a faster and more cost-effective alternative to litigation. Diligence assists clients in resolving disputes in a manner that preserves relationships and alleviates emotional and financial distress.</w:t>
      </w:r>
    </w:p>
    <w:p w14:paraId="49A81512" w14:textId="2F9E7404" w:rsidR="00437541" w:rsidRDefault="00437541" w:rsidP="00437541">
      <w:r>
        <w:t>The company distinguishes itself through ethical conduct, empathy, adherence to UK mediation standards, and a client-centered approach. By providing effective communication, organized processes, and professional neutrality, Diligence achieves fair, efficient, and sound legal results.</w:t>
      </w:r>
    </w:p>
    <w:p w14:paraId="503D1E18" w14:textId="39F7BBC5" w:rsidR="00437541" w:rsidRDefault="00437541" w:rsidP="00104AE2">
      <w:pPr>
        <w:pStyle w:val="Heading2"/>
      </w:pPr>
      <w:bookmarkStart w:id="70" w:name="_Toc220883333"/>
      <w:r>
        <w:t>10.3 Channels</w:t>
      </w:r>
      <w:bookmarkEnd w:id="70"/>
    </w:p>
    <w:p w14:paraId="60A06956" w14:textId="77777777" w:rsidR="00437541" w:rsidRDefault="00437541" w:rsidP="00437541">
      <w:r>
        <w:t xml:space="preserve">Diligence delivers its value to customers through a combination of digital and direct marketing channels. The main marketing channel is the company website, which provides </w:t>
      </w:r>
      <w:r>
        <w:lastRenderedPageBreak/>
        <w:t>clients with access to information, consultation requests, and mediation services. Email and phone communication are utilized for client engagement and case management.</w:t>
      </w:r>
    </w:p>
    <w:p w14:paraId="282BD6C6" w14:textId="6BFCC29D" w:rsidR="00A95A91" w:rsidRDefault="00437541" w:rsidP="00437541">
      <w:r>
        <w:t>Other marketing channels include professional referrals from solicitors, legal practitioners, community groups, and corporate partners.</w:t>
      </w:r>
    </w:p>
    <w:p w14:paraId="34DB3EE6" w14:textId="29B6EC82" w:rsidR="00A95A91" w:rsidRDefault="00A95A91" w:rsidP="00A95A91"/>
    <w:p w14:paraId="5A08D6A5" w14:textId="77777777" w:rsidR="00A95A91" w:rsidRDefault="00A95A91" w:rsidP="00A95A91"/>
    <w:p w14:paraId="078F54EA" w14:textId="061333CD" w:rsidR="004E52CD" w:rsidRDefault="004E52CD" w:rsidP="00104AE2">
      <w:pPr>
        <w:pStyle w:val="Heading2"/>
      </w:pPr>
      <w:bookmarkStart w:id="71" w:name="_Toc220883334"/>
      <w:r>
        <w:t>10.4 Customer Relationships</w:t>
      </w:r>
      <w:bookmarkEnd w:id="71"/>
    </w:p>
    <w:p w14:paraId="20B94A49" w14:textId="77777777" w:rsidR="004E52CD" w:rsidRDefault="004E52CD" w:rsidP="004E52CD"/>
    <w:p w14:paraId="7F638B9D" w14:textId="77777777" w:rsidR="004E52CD" w:rsidRDefault="004E52CD" w:rsidP="004E52CD">
      <w:r>
        <w:t xml:space="preserve">Customer relationships at Diligence are founded on trust, confidentiality, and professionalism. The company establishes direct and </w:t>
      </w:r>
      <w:proofErr w:type="gramStart"/>
      <w:r>
        <w:t>personalized</w:t>
      </w:r>
      <w:proofErr w:type="gramEnd"/>
      <w:r>
        <w:t xml:space="preserve"> relationships with clients throughout the mediation process, ensuring they are assisted and informed.</w:t>
      </w:r>
    </w:p>
    <w:p w14:paraId="17C80AF7" w14:textId="77777777" w:rsidR="004E52CD" w:rsidRDefault="004E52CD" w:rsidP="004E52CD">
      <w:r>
        <w:t>Continuous communication, follow-up meetings, and proper case management help establish long-term trust. Satisfied clients promote repeat business and referrals, which improves the organization’s reputation.</w:t>
      </w:r>
    </w:p>
    <w:p w14:paraId="609D50F8" w14:textId="77777777" w:rsidR="004E52CD" w:rsidRDefault="004E52CD" w:rsidP="00104AE2">
      <w:pPr>
        <w:pStyle w:val="Heading2"/>
      </w:pPr>
      <w:bookmarkStart w:id="72" w:name="_Toc220883335"/>
      <w:r>
        <w:t>10.6 Key Resources</w:t>
      </w:r>
      <w:bookmarkEnd w:id="72"/>
    </w:p>
    <w:p w14:paraId="1CF654BC" w14:textId="77777777" w:rsidR="004E52CD" w:rsidRDefault="004E52CD" w:rsidP="004E52CD">
      <w:r>
        <w:t>Key resources at Diligence include trained mediators, legal support staff, and administrative staff. Professionalism, recognition, and integrity are essential for providing high-quality mediation services.</w:t>
      </w:r>
    </w:p>
    <w:p w14:paraId="507529FF" w14:textId="77777777" w:rsidR="004E52CD" w:rsidRDefault="004E52CD" w:rsidP="004E52CD">
      <w:r>
        <w:t>Other resources include secure case management software, confidential communication tools, and compliance structures that conform to UK law. The Diligence brand and reputation for trust and impartiality are also key intangible resources.</w:t>
      </w:r>
    </w:p>
    <w:p w14:paraId="17BC699B" w14:textId="77777777" w:rsidR="004E52CD" w:rsidRDefault="004E52CD" w:rsidP="004E52CD"/>
    <w:p w14:paraId="322C29A3" w14:textId="77777777" w:rsidR="004E52CD" w:rsidRDefault="004E52CD" w:rsidP="00104AE2">
      <w:pPr>
        <w:pStyle w:val="Heading2"/>
      </w:pPr>
      <w:bookmarkStart w:id="73" w:name="_Toc220883336"/>
      <w:r>
        <w:t>10.7 Key Partners</w:t>
      </w:r>
      <w:bookmarkEnd w:id="73"/>
    </w:p>
    <w:p w14:paraId="1728DA58" w14:textId="77777777" w:rsidR="004E52CD" w:rsidRDefault="004E52CD" w:rsidP="004E52CD">
      <w:r>
        <w:t>Diligence partners with key partners to improve service delivery and reputation. The key partners include solicitors, law firms, community groups, housing associations, and professional mediation organizations.</w:t>
      </w:r>
    </w:p>
    <w:p w14:paraId="154D2F5F" w14:textId="77777777" w:rsidR="004E52CD" w:rsidRDefault="004E52CD" w:rsidP="004E52CD"/>
    <w:p w14:paraId="201F50A9" w14:textId="4D1F1B57" w:rsidR="00A95A91" w:rsidRDefault="004E52CD" w:rsidP="004E52CD">
      <w:r>
        <w:t xml:space="preserve">Partnerships with key partners improve referrals, compliance, and service delivery. Partnerships with professional and regulatory bodies ensure that the organization adheres to best practices in the UK mediation </w:t>
      </w:r>
      <w:proofErr w:type="spellStart"/>
      <w:proofErr w:type="gramStart"/>
      <w:r>
        <w:t>industry.</w:t>
      </w:r>
      <w:r w:rsidR="00A95A91">
        <w:t>ustomer</w:t>
      </w:r>
      <w:proofErr w:type="spellEnd"/>
      <w:proofErr w:type="gramEnd"/>
      <w:r w:rsidR="00A95A91">
        <w:t xml:space="preserve"> Relationships</w:t>
      </w:r>
    </w:p>
    <w:p w14:paraId="23E4368C" w14:textId="77777777" w:rsidR="00A95A91" w:rsidRDefault="00A95A91" w:rsidP="00A95A91">
      <w:r>
        <w:lastRenderedPageBreak/>
        <w:t xml:space="preserve">Customer relationships at Diligence are based on trust, confidentiality, and professionalism. The company maintains direct and </w:t>
      </w:r>
      <w:proofErr w:type="spellStart"/>
      <w:r>
        <w:t>personalised</w:t>
      </w:r>
      <w:proofErr w:type="spellEnd"/>
      <w:r>
        <w:t xml:space="preserve"> relationships with clients throughout the mediation process, ensuring they feel supported and informed.</w:t>
      </w:r>
    </w:p>
    <w:p w14:paraId="6D66AC2F" w14:textId="77777777" w:rsidR="00A95A91" w:rsidRDefault="00A95A91" w:rsidP="00A95A91">
      <w:r>
        <w:t xml:space="preserve">Ongoing communication, follow-up sessions, and ethical handling of cases help build long-term trust. Positive client experiences encourage repeat use and referrals, strengthening the </w:t>
      </w:r>
      <w:proofErr w:type="spellStart"/>
      <w:r>
        <w:t>organisation’s</w:t>
      </w:r>
      <w:proofErr w:type="spellEnd"/>
      <w:r>
        <w:t xml:space="preserve"> reputation.</w:t>
      </w:r>
    </w:p>
    <w:p w14:paraId="16E87359" w14:textId="77777777" w:rsidR="00A95A91" w:rsidRDefault="00A95A91" w:rsidP="00104AE2">
      <w:pPr>
        <w:pStyle w:val="Heading2"/>
      </w:pPr>
    </w:p>
    <w:p w14:paraId="46E76BF1" w14:textId="0CC0E4FE" w:rsidR="00A95A91" w:rsidRDefault="00A95A91" w:rsidP="00104AE2">
      <w:pPr>
        <w:pStyle w:val="Heading2"/>
      </w:pPr>
      <w:bookmarkStart w:id="74" w:name="_Toc220883337"/>
      <w:r>
        <w:t>10.6 Key Resources</w:t>
      </w:r>
      <w:bookmarkEnd w:id="74"/>
    </w:p>
    <w:p w14:paraId="1B9AA7FE" w14:textId="77777777" w:rsidR="00A95A91" w:rsidRDefault="00A95A91" w:rsidP="00A95A91">
      <w:r>
        <w:t>Key resources at Diligence include qualified mediators, legal support staff, and administrative personnel. Professional expertise, accreditation, and ethical standards are critical to delivering high-quality mediation services.</w:t>
      </w:r>
    </w:p>
    <w:p w14:paraId="7C0D41D6" w14:textId="77777777" w:rsidR="00A95A91" w:rsidRDefault="00A95A91" w:rsidP="00A95A91">
      <w:r>
        <w:t>Additional resources include secure case management systems, confidential communication platforms, and compliance frameworks aligned with UK regulations. The Diligence brand and its reputation for trust and neutrality are also valuable intangible resources.</w:t>
      </w:r>
    </w:p>
    <w:p w14:paraId="761A3C8A" w14:textId="77777777" w:rsidR="00A95A91" w:rsidRDefault="00A95A91" w:rsidP="00A95A91"/>
    <w:p w14:paraId="67916401" w14:textId="77777777" w:rsidR="00A95A91" w:rsidRDefault="00A95A91" w:rsidP="009F416F">
      <w:pPr>
        <w:pStyle w:val="Heading2"/>
      </w:pPr>
      <w:bookmarkStart w:id="75" w:name="_Toc220883338"/>
      <w:r>
        <w:t>10.7 Key Partners</w:t>
      </w:r>
      <w:bookmarkEnd w:id="75"/>
    </w:p>
    <w:p w14:paraId="2494B4DA" w14:textId="77777777" w:rsidR="00A95A91" w:rsidRDefault="00A95A91" w:rsidP="00A95A91">
      <w:r>
        <w:t xml:space="preserve">Diligence works with key partners to enhance service delivery and credibility. These partners include solicitors, legal firms, community </w:t>
      </w:r>
      <w:proofErr w:type="spellStart"/>
      <w:r>
        <w:t>organisations</w:t>
      </w:r>
      <w:proofErr w:type="spellEnd"/>
      <w:r>
        <w:t>, housing associations, and professional mediation bodies.</w:t>
      </w:r>
    </w:p>
    <w:p w14:paraId="08236528" w14:textId="77777777" w:rsidR="00A95A91" w:rsidRDefault="00A95A91" w:rsidP="00A95A91">
      <w:r>
        <w:t>Strategic partnerships support referrals, compliance, and service quality. Collaboration with professional and regulatory bodies ensures alignment with best practices in the UK mediation sector.</w:t>
      </w:r>
    </w:p>
    <w:p w14:paraId="50EC5405" w14:textId="77777777" w:rsidR="00A95A91" w:rsidRDefault="00A95A91" w:rsidP="00A95A91"/>
    <w:p w14:paraId="76C3D619" w14:textId="5828B058" w:rsidR="00E40B83" w:rsidRDefault="00E40B83" w:rsidP="009F416F">
      <w:pPr>
        <w:pStyle w:val="Heading2"/>
      </w:pPr>
      <w:bookmarkStart w:id="76" w:name="_Toc220883339"/>
      <w:r>
        <w:t>10.8 Cost Structure</w:t>
      </w:r>
      <w:bookmarkEnd w:id="76"/>
    </w:p>
    <w:p w14:paraId="51F9721F" w14:textId="77777777" w:rsidR="00E40B83" w:rsidRDefault="00E40B83" w:rsidP="00E40B83">
      <w:r>
        <w:t xml:space="preserve">The cost structure of Diligence includes both fixed and variable costs. Fixed costs include salaries, insurance, technology, and administrative costs. Variable costs include mediation sessions, specialist costs, and case-specific costs. The cost structure of Diligence is lean and controlled, which enables the business to be affordable and sustainable. </w:t>
      </w:r>
    </w:p>
    <w:p w14:paraId="1BB7EE3A" w14:textId="3934E7A4" w:rsidR="00E40B83" w:rsidRDefault="00E40B83" w:rsidP="009F416F">
      <w:pPr>
        <w:pStyle w:val="Heading2"/>
      </w:pPr>
    </w:p>
    <w:p w14:paraId="7A3ADB98" w14:textId="77777777" w:rsidR="00E40B83" w:rsidRDefault="00E40B83" w:rsidP="009F416F">
      <w:pPr>
        <w:pStyle w:val="Heading2"/>
      </w:pPr>
      <w:bookmarkStart w:id="77" w:name="_Toc220883340"/>
      <w:r>
        <w:t>10.9 Revenue Streams</w:t>
      </w:r>
      <w:bookmarkEnd w:id="77"/>
    </w:p>
    <w:p w14:paraId="13A1432D" w14:textId="5710C3D0" w:rsidR="00E40B83" w:rsidRDefault="00E40B83" w:rsidP="00E40B83">
      <w:r>
        <w:t xml:space="preserve">Revenue streams are generated through mediation fee charges. Revenue streams include session charges, fixed fee mediation, and contracted SME and </w:t>
      </w:r>
      <w:proofErr w:type="spellStart"/>
      <w:r>
        <w:t>organisational</w:t>
      </w:r>
      <w:proofErr w:type="spellEnd"/>
      <w:r>
        <w:t xml:space="preserve"> work. The business generates recurring revenue through repeat business and ongoing professional relationships. Revenue is also generated through one-off mediation sessions. </w:t>
      </w:r>
    </w:p>
    <w:p w14:paraId="2C9AD62A" w14:textId="77777777" w:rsidR="00E40B83" w:rsidRDefault="00E40B83" w:rsidP="009F416F">
      <w:pPr>
        <w:pStyle w:val="Heading2"/>
      </w:pPr>
      <w:bookmarkStart w:id="78" w:name="_Toc220883341"/>
      <w:r>
        <w:t>10.10 Integration of the Canvas</w:t>
      </w:r>
      <w:bookmarkEnd w:id="78"/>
    </w:p>
    <w:p w14:paraId="2B3F0E61" w14:textId="4B16C14E" w:rsidR="00A95A91" w:rsidRDefault="00E40B83" w:rsidP="00E40B83">
      <w:r>
        <w:t xml:space="preserve">From the canvas, we can clearly see that all aspects of the business model are interconnected. The needs of the clients are met through the value proposition, which is accessed through trusted channels and supported through client relationships. The key resources and key partnerships are essential in providing </w:t>
      </w:r>
      <w:proofErr w:type="gramStart"/>
      <w:r>
        <w:t>the professional</w:t>
      </w:r>
      <w:proofErr w:type="gramEnd"/>
      <w:r>
        <w:t xml:space="preserve"> services, while the cost structure and revenue streams ensure the business is sustainable. From the canvas, we can clearly see that the business operates with an honest and sustainable business model, which aligns with </w:t>
      </w:r>
      <w:proofErr w:type="gramStart"/>
      <w:r>
        <w:t>the mission</w:t>
      </w:r>
      <w:proofErr w:type="gramEnd"/>
      <w:r>
        <w:t xml:space="preserve"> and vision statements.</w:t>
      </w:r>
    </w:p>
    <w:p w14:paraId="3B5C64A3" w14:textId="77777777" w:rsidR="00104AE2" w:rsidRDefault="00104AE2" w:rsidP="00E40B83"/>
    <w:p w14:paraId="6B51B2F9" w14:textId="5E730ECA" w:rsidR="00104AE2" w:rsidRDefault="00104AE2" w:rsidP="00104AE2">
      <w:pPr>
        <w:pStyle w:val="Heading1"/>
      </w:pPr>
      <w:bookmarkStart w:id="79" w:name="_Toc220883342"/>
      <w:r>
        <w:t>Conclusion</w:t>
      </w:r>
      <w:bookmarkEnd w:id="79"/>
      <w:r>
        <w:t xml:space="preserve"> </w:t>
      </w:r>
    </w:p>
    <w:p w14:paraId="6807E27A" w14:textId="77777777" w:rsidR="00104AE2" w:rsidRDefault="00104AE2" w:rsidP="00104AE2">
      <w:r>
        <w:t xml:space="preserve">This business plan has provided </w:t>
      </w:r>
      <w:proofErr w:type="gramStart"/>
      <w:r>
        <w:t>the</w:t>
      </w:r>
      <w:proofErr w:type="gramEnd"/>
      <w:r>
        <w:t xml:space="preserve"> strategic, operational, and financial basis for Diligence Legal Support and Civil Mediation Services, proving its viability in the UK market. The increasing need for Alternative Dispute Resolution (ADR), facilitated by UK policy and judicial system pressures, provides a sound opportunity for professional mediation services.</w:t>
      </w:r>
    </w:p>
    <w:p w14:paraId="11884CCC" w14:textId="77777777" w:rsidR="00104AE2" w:rsidRDefault="00104AE2" w:rsidP="00104AE2"/>
    <w:p w14:paraId="34F6E5DB" w14:textId="77777777" w:rsidR="00104AE2" w:rsidRDefault="00104AE2" w:rsidP="00104AE2">
      <w:r>
        <w:t>Diligence’s commitment to impartiality, confidentiality, and ethics makes it a sound alternative to litigation. Market research, marketing, and business operations indicate that the business is properly organized to efficiently serve clients. Human resource management, risk management, and compliance policies further ensure sound business operations.</w:t>
      </w:r>
    </w:p>
    <w:p w14:paraId="7EDCE1CA" w14:textId="77777777" w:rsidR="00104AE2" w:rsidRDefault="00104AE2" w:rsidP="00104AE2"/>
    <w:p w14:paraId="6FF68FFC" w14:textId="18DD8E45" w:rsidR="00104AE2" w:rsidRDefault="00104AE2" w:rsidP="00104AE2">
      <w:r>
        <w:t xml:space="preserve">The financial plan for the 12-month period indicates sound cost management, practical revenue projections, and sound cash flow management. With the support of a staged </w:t>
      </w:r>
      <w:r>
        <w:lastRenderedPageBreak/>
        <w:t>implementation plan and performance tracking, Diligence is poised to provide long-term value while making a sound contribution to the UK judicial system.</w:t>
      </w:r>
    </w:p>
    <w:p w14:paraId="681FE228" w14:textId="77777777" w:rsidR="00104AE2" w:rsidRDefault="00104AE2" w:rsidP="00104AE2"/>
    <w:p w14:paraId="29AEAC9A" w14:textId="4B4AF85C" w:rsidR="00104AE2" w:rsidRDefault="00104AE2" w:rsidP="00104AE2">
      <w:bookmarkStart w:id="80" w:name="_Toc220883343"/>
      <w:r w:rsidRPr="00104AE2">
        <w:rPr>
          <w:rStyle w:val="Heading1Char"/>
        </w:rPr>
        <w:t>References</w:t>
      </w:r>
      <w:bookmarkEnd w:id="80"/>
      <w:r>
        <w:t xml:space="preserve">: </w:t>
      </w:r>
    </w:p>
    <w:p w14:paraId="17650EA5" w14:textId="782115C0" w:rsidR="00B151E9" w:rsidRDefault="00B151E9" w:rsidP="00B151E9">
      <w:r>
        <w:t>UK Government – Alternative Dispute Resolution (ADR) Guidance</w:t>
      </w:r>
    </w:p>
    <w:p w14:paraId="530D0BBB" w14:textId="2F88C398" w:rsidR="00B151E9" w:rsidRDefault="00346517" w:rsidP="00B151E9">
      <w:hyperlink r:id="rId62" w:history="1">
        <w:r w:rsidRPr="00BF638C">
          <w:rPr>
            <w:rStyle w:val="Hyperlink"/>
          </w:rPr>
          <w:t>https://www.gov.uk/guidance/alternative-dispute-resolution-for-consumers</w:t>
        </w:r>
      </w:hyperlink>
    </w:p>
    <w:p w14:paraId="0AB72E4B" w14:textId="51D17EB2" w:rsidR="00346517" w:rsidRDefault="00B151E9" w:rsidP="00B151E9">
      <w:r>
        <w:t xml:space="preserve">UK Government (2024) Alternative Dispute Resolution for Consumers. Available at: </w:t>
      </w:r>
      <w:hyperlink r:id="rId63" w:history="1">
        <w:r w:rsidR="00346517" w:rsidRPr="00BF638C">
          <w:rPr>
            <w:rStyle w:val="Hyperlink"/>
          </w:rPr>
          <w:t>https://www.gov.uk/guidance/alternative-dispute-resolution-for-consumers</w:t>
        </w:r>
      </w:hyperlink>
    </w:p>
    <w:p w14:paraId="3C3FD3F5" w14:textId="2A43EBBB" w:rsidR="00B151E9" w:rsidRDefault="00B151E9" w:rsidP="00B151E9">
      <w:r>
        <w:t xml:space="preserve"> (Accessed: date).</w:t>
      </w:r>
    </w:p>
    <w:p w14:paraId="2A6FDF8A" w14:textId="4729E4EB" w:rsidR="00B151E9" w:rsidRDefault="00B151E9" w:rsidP="00B151E9">
      <w:r>
        <w:t xml:space="preserve"> Civil Mediation Council (CMC) – Standards and Practice</w:t>
      </w:r>
    </w:p>
    <w:p w14:paraId="52972B04" w14:textId="17ADF939" w:rsidR="00B151E9" w:rsidRDefault="00346517" w:rsidP="00B151E9">
      <w:hyperlink r:id="rId64" w:history="1">
        <w:r w:rsidRPr="00BF638C">
          <w:rPr>
            <w:rStyle w:val="Hyperlink"/>
          </w:rPr>
          <w:t>https://civilmediation.org</w:t>
        </w:r>
      </w:hyperlink>
    </w:p>
    <w:p w14:paraId="7A801294" w14:textId="754DBCED" w:rsidR="00346517" w:rsidRDefault="00B151E9" w:rsidP="00B151E9">
      <w:r>
        <w:t xml:space="preserve">Civil Mediation Council (CMC) (2024) Professional Standards for Mediation in the UK. Available at: </w:t>
      </w:r>
      <w:hyperlink r:id="rId65" w:history="1">
        <w:r w:rsidR="00346517" w:rsidRPr="00BF638C">
          <w:rPr>
            <w:rStyle w:val="Hyperlink"/>
          </w:rPr>
          <w:t>https://civilmediation.org</w:t>
        </w:r>
      </w:hyperlink>
    </w:p>
    <w:p w14:paraId="7D841A32" w14:textId="0F66EC33" w:rsidR="00B151E9" w:rsidRDefault="00B151E9" w:rsidP="00B151E9">
      <w:r>
        <w:t xml:space="preserve"> (Accessed: date).</w:t>
      </w:r>
    </w:p>
    <w:p w14:paraId="1EE284EF" w14:textId="6021FD32" w:rsidR="00B151E9" w:rsidRDefault="00B151E9" w:rsidP="00B151E9">
      <w:r>
        <w:t xml:space="preserve"> Citizens Advice – What Is Mediation?</w:t>
      </w:r>
    </w:p>
    <w:p w14:paraId="5CAA25EA" w14:textId="5AFFC754" w:rsidR="00B151E9" w:rsidRDefault="00346517" w:rsidP="00B151E9">
      <w:hyperlink r:id="rId66" w:history="1">
        <w:r w:rsidRPr="00BF638C">
          <w:rPr>
            <w:rStyle w:val="Hyperlink"/>
          </w:rPr>
          <w:t>https://www.citizensadvice.org.uk/law-and-courts/disputes/mediation/how-mediation-works/</w:t>
        </w:r>
      </w:hyperlink>
    </w:p>
    <w:p w14:paraId="6FF98221" w14:textId="4B9611DD" w:rsidR="00B151E9" w:rsidRDefault="00B151E9" w:rsidP="00B151E9">
      <w:r>
        <w:t xml:space="preserve">Citizens Advice (2024) How Mediation Works. Available at: </w:t>
      </w:r>
      <w:hyperlink r:id="rId67" w:history="1">
        <w:r w:rsidR="00346517" w:rsidRPr="00BF638C">
          <w:rPr>
            <w:rStyle w:val="Hyperlink"/>
          </w:rPr>
          <w:t>https://www.citizensadvice.org.uk/law-and-courts/disputes/mediation/how-mediation-works/</w:t>
        </w:r>
      </w:hyperlink>
      <w:r>
        <w:t>(Accessed: date).</w:t>
      </w:r>
    </w:p>
    <w:p w14:paraId="7E2862F8" w14:textId="10780C8B" w:rsidR="00B151E9" w:rsidRDefault="00B151E9" w:rsidP="00B151E9">
      <w:r>
        <w:t xml:space="preserve"> GOV.UK – Court Backlogs and ADR Promotion</w:t>
      </w:r>
    </w:p>
    <w:p w14:paraId="0C298A74" w14:textId="1EB836A0" w:rsidR="00B151E9" w:rsidRDefault="00346517" w:rsidP="00B151E9">
      <w:hyperlink r:id="rId68" w:history="1">
        <w:r w:rsidRPr="00BF638C">
          <w:rPr>
            <w:rStyle w:val="Hyperlink"/>
          </w:rPr>
          <w:t>https://www.gov.uk/government/publications/alternative-dispute-resolution</w:t>
        </w:r>
      </w:hyperlink>
    </w:p>
    <w:p w14:paraId="299C0AD0" w14:textId="76EEF126" w:rsidR="00346517" w:rsidRDefault="00B151E9" w:rsidP="00B151E9">
      <w:r>
        <w:t xml:space="preserve">UK Government (2024) Alternative Dispute Resolution (ADR) Information. Available at: </w:t>
      </w:r>
      <w:hyperlink r:id="rId69" w:history="1">
        <w:r w:rsidR="00346517" w:rsidRPr="00BF638C">
          <w:rPr>
            <w:rStyle w:val="Hyperlink"/>
          </w:rPr>
          <w:t>https://www.gov.uk/government/publications/alternative-dispute-resolution</w:t>
        </w:r>
      </w:hyperlink>
    </w:p>
    <w:p w14:paraId="17C279E5" w14:textId="59BA10E1" w:rsidR="00B151E9" w:rsidRDefault="00B151E9" w:rsidP="00B151E9">
      <w:r>
        <w:t xml:space="preserve"> (Accessed: date).</w:t>
      </w:r>
    </w:p>
    <w:p w14:paraId="05924021" w14:textId="469D1E32" w:rsidR="00B151E9" w:rsidRDefault="00B151E9" w:rsidP="00B151E9">
      <w:r>
        <w:t xml:space="preserve"> Chartered Institute of Personnel and Development (CIPD) – Ethical Practice</w:t>
      </w:r>
    </w:p>
    <w:p w14:paraId="275F004F" w14:textId="35C3008E" w:rsidR="00B151E9" w:rsidRDefault="00B151E9" w:rsidP="00B151E9">
      <w:r>
        <w:t xml:space="preserve">Useful for Mission, Vision, Core Values, and ethical practice context (especially Section </w:t>
      </w:r>
    </w:p>
    <w:p w14:paraId="29A551BF" w14:textId="71016EA2" w:rsidR="00B151E9" w:rsidRDefault="00B151E9" w:rsidP="00B151E9">
      <w:r>
        <w:t xml:space="preserve"> </w:t>
      </w:r>
      <w:hyperlink r:id="rId70" w:history="1">
        <w:r w:rsidR="00346517" w:rsidRPr="00BF638C">
          <w:rPr>
            <w:rStyle w:val="Hyperlink"/>
          </w:rPr>
          <w:t>https://www.cipd.org/uk/knowledge/fundamentals/emp-law/ethics-factsheet</w:t>
        </w:r>
      </w:hyperlink>
    </w:p>
    <w:p w14:paraId="4D68E242" w14:textId="77777777" w:rsidR="00B151E9" w:rsidRDefault="00B151E9" w:rsidP="00B151E9">
      <w:r>
        <w:lastRenderedPageBreak/>
        <w:t>How to cite in your report:</w:t>
      </w:r>
    </w:p>
    <w:p w14:paraId="40B2BCFE" w14:textId="2F5CD927" w:rsidR="00346517" w:rsidRDefault="00B151E9" w:rsidP="00B151E9">
      <w:r>
        <w:t xml:space="preserve">Chartered Institute of Personnel and Development (CIPD) (2024) Ethics Factsheet. Available at: </w:t>
      </w:r>
      <w:hyperlink r:id="rId71" w:history="1">
        <w:r w:rsidR="00346517" w:rsidRPr="00BF638C">
          <w:rPr>
            <w:rStyle w:val="Hyperlink"/>
          </w:rPr>
          <w:t>https://www.cipd.org/uk/knowledge/fundamentals/emp-law/ethics-factsheet</w:t>
        </w:r>
      </w:hyperlink>
    </w:p>
    <w:p w14:paraId="4BBCCF20" w14:textId="4DA4A74B" w:rsidR="00B151E9" w:rsidRDefault="00B151E9" w:rsidP="00B151E9">
      <w:r>
        <w:t>(Accessed: date).</w:t>
      </w:r>
    </w:p>
    <w:p w14:paraId="75C6DDD8" w14:textId="02B1BAFE" w:rsidR="00B151E9" w:rsidRDefault="00B151E9" w:rsidP="00B151E9">
      <w:r>
        <w:t>At the end of your chapters, add a References / Bibliography section like:</w:t>
      </w:r>
    </w:p>
    <w:p w14:paraId="628C328B" w14:textId="4BFDC3B6" w:rsidR="00B151E9" w:rsidRDefault="00B151E9" w:rsidP="00B151E9">
      <w:r>
        <w:t xml:space="preserve">Civil Mediation Council (CMC) (2024) Professional Standards for Mediation in the UK. Available at: </w:t>
      </w:r>
      <w:hyperlink r:id="rId72" w:history="1">
        <w:r w:rsidR="00346517" w:rsidRPr="00BF638C">
          <w:rPr>
            <w:rStyle w:val="Hyperlink"/>
          </w:rPr>
          <w:t>https://civilmediation.org</w:t>
        </w:r>
      </w:hyperlink>
      <w:r>
        <w:t xml:space="preserve"> (Accessed: 12 January 2026).</w:t>
      </w:r>
    </w:p>
    <w:p w14:paraId="03D284C7" w14:textId="59FB5729" w:rsidR="00346517" w:rsidRDefault="00B151E9" w:rsidP="00B151E9">
      <w:r>
        <w:t xml:space="preserve">UK Government (2024) Alternative Dispute Resolution for Consumers. Available at: </w:t>
      </w:r>
      <w:hyperlink r:id="rId73" w:history="1">
        <w:r w:rsidR="00346517" w:rsidRPr="00BF638C">
          <w:rPr>
            <w:rStyle w:val="Hyperlink"/>
          </w:rPr>
          <w:t>https://www.gov.uk/guidance/alternative-dispute-resolution-for-consumers</w:t>
        </w:r>
      </w:hyperlink>
    </w:p>
    <w:p w14:paraId="299699D5" w14:textId="18AB6F1E" w:rsidR="00B151E9" w:rsidRDefault="00B151E9" w:rsidP="00B151E9">
      <w:r>
        <w:t xml:space="preserve"> (Accessed: 12 January 2026).</w:t>
      </w:r>
    </w:p>
    <w:p w14:paraId="1A3D6560" w14:textId="63B45846" w:rsidR="00B151E9" w:rsidRDefault="00B151E9" w:rsidP="00B151E9">
      <w:r>
        <w:t xml:space="preserve">Citizens Advice (2024) How Mediation Works. Available at: </w:t>
      </w:r>
      <w:hyperlink r:id="rId74" w:history="1">
        <w:r w:rsidR="00346517" w:rsidRPr="00BF638C">
          <w:rPr>
            <w:rStyle w:val="Hyperlink"/>
          </w:rPr>
          <w:t>https://www.citizensadvice.org.uk/law-and-courts/disputes/mediation/how-mediation-works/</w:t>
        </w:r>
      </w:hyperlink>
      <w:r w:rsidR="00346517">
        <w:t xml:space="preserve"> </w:t>
      </w:r>
      <w:r>
        <w:t>(Accessed: 12 January 2026).</w:t>
      </w:r>
    </w:p>
    <w:p w14:paraId="441FA0AA" w14:textId="50B69245" w:rsidR="00B151E9" w:rsidRDefault="00B151E9" w:rsidP="00B151E9">
      <w:r>
        <w:t xml:space="preserve">UK Government (2024) Alternative Dispute Resolution (ADR) Information. Available at: </w:t>
      </w:r>
      <w:hyperlink r:id="rId75" w:history="1">
        <w:r w:rsidR="00346517" w:rsidRPr="00BF638C">
          <w:rPr>
            <w:rStyle w:val="Hyperlink"/>
          </w:rPr>
          <w:t>https://www.gov.uk/government/publications/alternative-dispute-resolution</w:t>
        </w:r>
      </w:hyperlink>
      <w:r>
        <w:t>(Accessed: 12 January 2026).</w:t>
      </w:r>
    </w:p>
    <w:p w14:paraId="2A5C05C3" w14:textId="1DA75B88" w:rsidR="00346517" w:rsidRDefault="00B151E9" w:rsidP="00B151E9">
      <w:r>
        <w:t xml:space="preserve">Chartered Institute of Personnel and Development (CIPD) (2024) Ethics Factsheet. Available at: </w:t>
      </w:r>
      <w:hyperlink r:id="rId76" w:history="1">
        <w:r w:rsidR="00346517" w:rsidRPr="00BF638C">
          <w:rPr>
            <w:rStyle w:val="Hyperlink"/>
          </w:rPr>
          <w:t>https://www.cipd.org/uk/knowledge/fundamentals/emp-law/ethics-factsheet</w:t>
        </w:r>
      </w:hyperlink>
    </w:p>
    <w:p w14:paraId="0B1DE447" w14:textId="0FC46849" w:rsidR="00B151E9" w:rsidRDefault="00B151E9" w:rsidP="00B151E9">
      <w:r>
        <w:t>Content marketing builds trust and visibility for legal services — explains how content helps attract and educate potential clients, improving credibility.</w:t>
      </w:r>
    </w:p>
    <w:p w14:paraId="14CB2248" w14:textId="77777777" w:rsidR="00B151E9" w:rsidRDefault="00B151E9" w:rsidP="00B151E9">
      <w:r>
        <w:t xml:space="preserve"> Content Marketing for Law Firms — JDR Group (UK)  </w:t>
      </w:r>
    </w:p>
    <w:p w14:paraId="4FEED742" w14:textId="3170916C" w:rsidR="00B151E9" w:rsidRDefault="00B151E9" w:rsidP="00B151E9">
      <w:r>
        <w:t>Client acquisition strategies including referrals and networking — shows referrals, professional networking, directories and CRM are important for legal firms.</w:t>
      </w:r>
    </w:p>
    <w:p w14:paraId="18C4D42C" w14:textId="77777777" w:rsidR="00B151E9" w:rsidRDefault="00B151E9" w:rsidP="00B151E9">
      <w:r>
        <w:t xml:space="preserve"> Client Acquisition Tips for Law Firms Guide — Betterment Agency  </w:t>
      </w:r>
    </w:p>
    <w:p w14:paraId="520C639D" w14:textId="10FC2394" w:rsidR="00B151E9" w:rsidRDefault="00B151E9" w:rsidP="00B151E9">
      <w:r>
        <w:t>Client retention importance and cost</w:t>
      </w:r>
      <w:r>
        <w:rPr>
          <w:rFonts w:ascii="Cambria Math" w:hAnsi="Cambria Math" w:cs="Cambria Math"/>
        </w:rPr>
        <w:t>‑</w:t>
      </w:r>
      <w:r>
        <w:t xml:space="preserve">effectiveness </w:t>
      </w:r>
      <w:r>
        <w:rPr>
          <w:rFonts w:ascii="Aptos" w:hAnsi="Aptos" w:cs="Aptos"/>
        </w:rPr>
        <w:t>—</w:t>
      </w:r>
      <w:r>
        <w:t xml:space="preserve"> explains why retaining legal clients is more cost</w:t>
      </w:r>
      <w:r>
        <w:rPr>
          <w:rFonts w:ascii="Cambria Math" w:hAnsi="Cambria Math" w:cs="Cambria Math"/>
        </w:rPr>
        <w:t>‑</w:t>
      </w:r>
      <w:r>
        <w:t>effective than acquiring new ones.</w:t>
      </w:r>
    </w:p>
    <w:p w14:paraId="405670C0" w14:textId="77777777" w:rsidR="00B151E9" w:rsidRDefault="00B151E9" w:rsidP="00B151E9">
      <w:r>
        <w:t xml:space="preserve"> Why Client retention Beats Chasing New Ones — </w:t>
      </w:r>
      <w:proofErr w:type="spellStart"/>
      <w:r>
        <w:t>GrowwithQS</w:t>
      </w:r>
      <w:proofErr w:type="spellEnd"/>
      <w:r>
        <w:t xml:space="preserve"> (UK)  </w:t>
      </w:r>
    </w:p>
    <w:p w14:paraId="4F30531C" w14:textId="3067BE99" w:rsidR="00B151E9" w:rsidRDefault="00B151E9" w:rsidP="00B151E9">
      <w:r>
        <w:t>Referral network and legal directories — highlights the role of specialist directories and referrals in attracting legal enquiries.</w:t>
      </w:r>
    </w:p>
    <w:p w14:paraId="0BF13F74" w14:textId="77777777" w:rsidR="00B151E9" w:rsidRDefault="00B151E9" w:rsidP="00B151E9">
      <w:r>
        <w:t xml:space="preserve"> 1to1Legal.co.uk — UK Legal Referral Services  </w:t>
      </w:r>
    </w:p>
    <w:p w14:paraId="411BF64B" w14:textId="75119912" w:rsidR="00B151E9" w:rsidRDefault="00B151E9" w:rsidP="00B151E9">
      <w:r>
        <w:lastRenderedPageBreak/>
        <w:t>Marketing strategies for law firms including SEO, content, CRM and email — covers outreach, SEO and email marketing for professional services.</w:t>
      </w:r>
    </w:p>
    <w:p w14:paraId="68C47B14" w14:textId="77777777" w:rsidR="00B151E9" w:rsidRDefault="00B151E9" w:rsidP="00B151E9">
      <w:r>
        <w:t xml:space="preserve"> Law Firm Marketing: How to Attract &amp; Retain Clients — </w:t>
      </w:r>
      <w:proofErr w:type="spellStart"/>
      <w:r>
        <w:t>Rezaid</w:t>
      </w:r>
      <w:proofErr w:type="spellEnd"/>
      <w:r>
        <w:t xml:space="preserve"> UK  </w:t>
      </w:r>
    </w:p>
    <w:p w14:paraId="54B29451" w14:textId="63775D0F" w:rsidR="00B151E9" w:rsidRDefault="00B151E9" w:rsidP="00B151E9">
      <w:r>
        <w:t>Referral marketing overview — general definition and value of referral marketing as a growth channel.</w:t>
      </w:r>
    </w:p>
    <w:p w14:paraId="61F0D066" w14:textId="77777777" w:rsidR="00B151E9" w:rsidRDefault="00B151E9" w:rsidP="00B151E9">
      <w:r>
        <w:t xml:space="preserve">Referral marketing — Wikipedia  </w:t>
      </w:r>
    </w:p>
    <w:p w14:paraId="6E77C540" w14:textId="6B633B81" w:rsidR="00B151E9" w:rsidRDefault="00B151E9" w:rsidP="00B151E9">
      <w:r>
        <w:t>Relationship marketing and retention focus — academic overview of relationship marketing focused on long</w:t>
      </w:r>
      <w:r>
        <w:rPr>
          <w:rFonts w:ascii="Cambria Math" w:hAnsi="Cambria Math" w:cs="Cambria Math"/>
        </w:rPr>
        <w:t>‑</w:t>
      </w:r>
      <w:r>
        <w:t>term client satisfaction.</w:t>
      </w:r>
    </w:p>
    <w:p w14:paraId="03D70D2F" w14:textId="77777777" w:rsidR="00B151E9" w:rsidRDefault="00B151E9" w:rsidP="00B151E9">
      <w:r>
        <w:t xml:space="preserve"> Relationship marketing — Wikipedia  </w:t>
      </w:r>
    </w:p>
    <w:p w14:paraId="6C216AF6" w14:textId="7ACD1405" w:rsidR="00B151E9" w:rsidRDefault="00B151E9" w:rsidP="00B151E9">
      <w:r>
        <w:t>SEO strategy for mediators/legal professionals — lists search keywords and importance of SEO for visibility (useful for digital strategy).</w:t>
      </w:r>
    </w:p>
    <w:p w14:paraId="5911439F" w14:textId="77777777" w:rsidR="00B151E9" w:rsidRDefault="00B151E9" w:rsidP="00B151E9">
      <w:r>
        <w:t xml:space="preserve"> Top SEO Keywords for Mediators — Rank Locally UK  </w:t>
      </w:r>
    </w:p>
    <w:p w14:paraId="065C061A" w14:textId="5C5488F7" w:rsidR="00B151E9" w:rsidRDefault="00B151E9" w:rsidP="00B151E9">
      <w:r>
        <w:t>Professional mediation marketing support services — shows how mediation professionals use branding, SEO, and digital marketing to grow reach.</w:t>
      </w:r>
    </w:p>
    <w:p w14:paraId="1362D709" w14:textId="77777777" w:rsidR="00B151E9" w:rsidRDefault="00B151E9" w:rsidP="00B151E9">
      <w:r>
        <w:t xml:space="preserve"> </w:t>
      </w:r>
      <w:proofErr w:type="spellStart"/>
      <w:r>
        <w:t>MediationConsultancy</w:t>
      </w:r>
      <w:proofErr w:type="spellEnd"/>
      <w:r>
        <w:t xml:space="preserve"> — Services &amp; Marketing  </w:t>
      </w:r>
    </w:p>
    <w:p w14:paraId="62FA6226" w14:textId="3A9439BA" w:rsidR="00346517" w:rsidRDefault="00324C61" w:rsidP="00324C61">
      <w:r>
        <w:t>This explains ADR use, why it matters, and broad UK policy supporting mediation — useful for your industry overviewhttps://www.gov.uk/guidance/alternative</w:t>
      </w:r>
    </w:p>
    <w:p w14:paraId="11895AC3" w14:textId="5BA52C3A" w:rsidR="00324C61" w:rsidRDefault="00324C61" w:rsidP="00324C61">
      <w:r>
        <w:t xml:space="preserve">UK Government (2024) Alternative Dispute Resolution for Consumers. Available at: </w:t>
      </w:r>
      <w:hyperlink r:id="rId77" w:history="1">
        <w:r w:rsidRPr="00BF638C">
          <w:rPr>
            <w:rStyle w:val="Hyperlink"/>
          </w:rPr>
          <w:t>https://www.gov.uk/guidance/alternative-dispute-resolution-for-consumers</w:t>
        </w:r>
      </w:hyperlink>
    </w:p>
    <w:p w14:paraId="3D315AB9" w14:textId="23483180" w:rsidR="00324C61" w:rsidRDefault="00324C61" w:rsidP="00324C61">
      <w:r>
        <w:t xml:space="preserve"> Industry Size, Trends, and Demand for Mediation</w:t>
      </w:r>
    </w:p>
    <w:p w14:paraId="21455E39" w14:textId="77777777" w:rsidR="00324C61" w:rsidRDefault="00324C61" w:rsidP="00324C61">
      <w:r>
        <w:t>Civil Mediation Council (CMC) – UK Professional Mediation Standards and Insights</w:t>
      </w:r>
    </w:p>
    <w:p w14:paraId="7D3C6514" w14:textId="77777777" w:rsidR="00324C61" w:rsidRDefault="00324C61" w:rsidP="00324C61">
      <w:r>
        <w:t>This outlines context about mediation practice in the UK and demand trends — great for industry overview and customer needs.</w:t>
      </w:r>
    </w:p>
    <w:p w14:paraId="1593DF9E" w14:textId="0B237BF3" w:rsidR="00324C61" w:rsidRDefault="00324C61" w:rsidP="00324C61">
      <w:r>
        <w:t xml:space="preserve"> </w:t>
      </w:r>
      <w:hyperlink r:id="rId78" w:history="1">
        <w:r w:rsidRPr="00BF638C">
          <w:rPr>
            <w:rStyle w:val="Hyperlink"/>
          </w:rPr>
          <w:t>https://civilmediation.org</w:t>
        </w:r>
      </w:hyperlink>
    </w:p>
    <w:p w14:paraId="1A2CFBCD" w14:textId="77777777" w:rsidR="00324C61" w:rsidRDefault="00324C61" w:rsidP="00324C61">
      <w:r>
        <w:t>Civil Mediation Council (CMC) (2024) Professional Standards and Market Insights. Available at: https://civilmediation.org (Accessed: date).</w:t>
      </w:r>
    </w:p>
    <w:p w14:paraId="5CC91740" w14:textId="34C8C9C4" w:rsidR="00324C61" w:rsidRDefault="00324C61" w:rsidP="00324C61">
      <w:r>
        <w:t xml:space="preserve">Customer Needs and </w:t>
      </w:r>
      <w:proofErr w:type="spellStart"/>
      <w:r>
        <w:t>Behaviour</w:t>
      </w:r>
      <w:proofErr w:type="spellEnd"/>
      <w:r>
        <w:t xml:space="preserve"> in ADR / Dispute Resolution</w:t>
      </w:r>
    </w:p>
    <w:p w14:paraId="47FC5B48" w14:textId="24CBABE7" w:rsidR="00346517" w:rsidRDefault="00324C61" w:rsidP="00346517">
      <w:hyperlink r:id="rId79" w:history="1">
        <w:r w:rsidRPr="00BF638C">
          <w:rPr>
            <w:rStyle w:val="Hyperlink"/>
          </w:rPr>
          <w:t>https://www.citizensadvice.org.uk/law-and-courts/disputes/mediation/how-mediation-works/</w:t>
        </w:r>
      </w:hyperlink>
    </w:p>
    <w:p w14:paraId="3746B9F7" w14:textId="6D141362" w:rsidR="00346517" w:rsidRPr="00374B35" w:rsidRDefault="00346517" w:rsidP="00346517">
      <w:pPr>
        <w:rPr>
          <w:rFonts w:ascii="Aptos" w:hAnsi="Aptos" w:cs="Aptos"/>
        </w:rPr>
      </w:pPr>
      <w:r w:rsidRPr="005D0F4C">
        <w:rPr>
          <w:b/>
          <w:bCs/>
        </w:rPr>
        <w:lastRenderedPageBreak/>
        <w:t>UK Government.</w:t>
      </w:r>
      <w:r>
        <w:t xml:space="preserve"> (2021) A guide to civil mediation. GOV.UK. Available at: </w:t>
      </w:r>
      <w:hyperlink r:id="rId80" w:history="1">
        <w:r w:rsidR="00374B35" w:rsidRPr="00BF638C">
          <w:rPr>
            <w:rStyle w:val="Hyperlink"/>
          </w:rPr>
          <w:t>https://www.gov.uk/guidance/a-guide-to-civil-mediation</w:t>
        </w:r>
      </w:hyperlink>
      <w:r>
        <w:t xml:space="preserve"> (Accessed: 7 January 2026).Supports: workflow, mediator roles, confidentiality, and ethical service delivery (5.1, 5.3).</w:t>
      </w:r>
    </w:p>
    <w:p w14:paraId="2F590648" w14:textId="37AC8038" w:rsidR="00346517" w:rsidRDefault="00346517" w:rsidP="00346517">
      <w:r w:rsidRPr="005D0F4C">
        <w:rPr>
          <w:b/>
          <w:bCs/>
        </w:rPr>
        <w:t>Ministry</w:t>
      </w:r>
      <w:r>
        <w:t xml:space="preserve"> of Justice. (2023) Increasing the use of mediation in the civil justice system: Government response. GOV.UK. Available at: </w:t>
      </w:r>
      <w:hyperlink r:id="rId81" w:history="1">
        <w:r w:rsidR="00374B35" w:rsidRPr="00BF638C">
          <w:rPr>
            <w:rStyle w:val="Hyperlink"/>
          </w:rPr>
          <w:t>https://www.gov.uk/government/consultations/increasing</w:t>
        </w:r>
      </w:hyperlink>
      <w:r>
        <w:t>the-use-of-mediation-in-the-civil-justice-system/outcome/increasing-the-use-of-mediation-in-the-civil-justice-system-government-response-to-consultation</w:t>
      </w:r>
      <w:r>
        <w:rPr>
          <w:rFonts w:ascii="Aptos" w:hAnsi="Aptos" w:cs="Aptos"/>
        </w:rPr>
        <w:t>￼</w:t>
      </w:r>
      <w:r>
        <w:t xml:space="preserve"> (Accessed: 7 January 2026).Supports: mediator accreditation, professional standards, regulatory compliance (5.3, 5.5).</w:t>
      </w:r>
    </w:p>
    <w:p w14:paraId="0552D1ED" w14:textId="68BD33E5" w:rsidR="00346517" w:rsidRDefault="00346517" w:rsidP="00346517">
      <w:r w:rsidRPr="005D0F4C">
        <w:rPr>
          <w:b/>
          <w:bCs/>
        </w:rPr>
        <w:t>Resolution</w:t>
      </w:r>
      <w:r>
        <w:t xml:space="preserve">. (2020) Mediation Handbook: Data protection and GDPR compliance for mediators. Available at: </w:t>
      </w:r>
      <w:hyperlink r:id="rId82" w:history="1">
        <w:r w:rsidR="00374B35" w:rsidRPr="00BF638C">
          <w:rPr>
            <w:rStyle w:val="Hyperlink"/>
          </w:rPr>
          <w:t>https://resolution.org.uk/wp</w:t>
        </w:r>
      </w:hyperlink>
      <w:r>
        <w:t>content/uploads/2020/04/Resolution-Mediation-Handbook-April-2020.pdf</w:t>
      </w:r>
      <w:r>
        <w:rPr>
          <w:rFonts w:ascii="Aptos" w:hAnsi="Aptos" w:cs="Aptos"/>
        </w:rPr>
        <w:t>￼</w:t>
      </w:r>
      <w:r>
        <w:t xml:space="preserve"> (Accessed: 7 January 2026</w:t>
      </w:r>
      <w:proofErr w:type="gramStart"/>
      <w:r>
        <w:t>).Supports</w:t>
      </w:r>
      <w:proofErr w:type="gramEnd"/>
      <w:r>
        <w:t>: GDPR compliance, secure documentation, client confidentiality (5.3, 5.4, 5.5).</w:t>
      </w:r>
    </w:p>
    <w:p w14:paraId="554C1570" w14:textId="77777777" w:rsidR="00346517" w:rsidRDefault="00346517" w:rsidP="00346517">
      <w:r w:rsidRPr="005D0F4C">
        <w:rPr>
          <w:b/>
          <w:bCs/>
        </w:rPr>
        <w:t>UK</w:t>
      </w:r>
      <w:r>
        <w:t xml:space="preserve"> Government. (2018) Data Protection Act 2018. Available at: https://www.legislation.gov.uk/</w:t>
      </w:r>
      <w:proofErr w:type="spellStart"/>
      <w:r>
        <w:t>ukpga</w:t>
      </w:r>
      <w:proofErr w:type="spellEnd"/>
      <w:r>
        <w:t>/2018/12/contents/enacted</w:t>
      </w:r>
      <w:r>
        <w:rPr>
          <w:rFonts w:ascii="Aptos" w:hAnsi="Aptos" w:cs="Aptos"/>
        </w:rPr>
        <w:t>￼</w:t>
      </w:r>
      <w:r>
        <w:t xml:space="preserve"> (Accessed: 7 January 2026</w:t>
      </w:r>
      <w:proofErr w:type="gramStart"/>
      <w:r>
        <w:t>).Supports</w:t>
      </w:r>
      <w:proofErr w:type="gramEnd"/>
      <w:r>
        <w:t>: legal compliance, data protection, client information management (5.3, 5.4, 5.5).</w:t>
      </w:r>
    </w:p>
    <w:p w14:paraId="62DF4732" w14:textId="77777777" w:rsidR="00346517" w:rsidRDefault="00346517" w:rsidP="00346517">
      <w:r w:rsidRPr="005D0F4C">
        <w:rPr>
          <w:b/>
          <w:bCs/>
        </w:rPr>
        <w:t>UK Government.</w:t>
      </w:r>
      <w:r>
        <w:t xml:space="preserve"> (2010) Equality Act 2010. Available at: https://www.legislation.gov.uk/</w:t>
      </w:r>
      <w:proofErr w:type="spellStart"/>
      <w:r>
        <w:t>ukpga</w:t>
      </w:r>
      <w:proofErr w:type="spellEnd"/>
      <w:r>
        <w:t>/2010/15/contents</w:t>
      </w:r>
      <w:r>
        <w:rPr>
          <w:rFonts w:ascii="Aptos" w:hAnsi="Aptos" w:cs="Aptos"/>
        </w:rPr>
        <w:t>￼</w:t>
      </w:r>
      <w:r>
        <w:t xml:space="preserve"> (Accessed: 7 January 2026</w:t>
      </w:r>
      <w:proofErr w:type="gramStart"/>
      <w:r>
        <w:t>).Supports</w:t>
      </w:r>
      <w:proofErr w:type="gramEnd"/>
      <w:r>
        <w:t>: inclusivity, non-discrimination, ESG/social responsibility (5.3, 5.8).</w:t>
      </w:r>
    </w:p>
    <w:p w14:paraId="2ABB3D61" w14:textId="41DF11EC" w:rsidR="00346517" w:rsidRPr="00346517" w:rsidRDefault="00346517" w:rsidP="00346517">
      <w:pPr>
        <w:rPr>
          <w:rFonts w:ascii="Aptos" w:hAnsi="Aptos" w:cs="Aptos"/>
        </w:rPr>
      </w:pPr>
      <w:r w:rsidRPr="005D0F4C">
        <w:rPr>
          <w:b/>
          <w:bCs/>
        </w:rPr>
        <w:t>Civil</w:t>
      </w:r>
      <w:r>
        <w:t xml:space="preserve"> Mediation Council. (2024) Code of Conduct and Accreditation Standards for Mediators. Available at: </w:t>
      </w:r>
      <w:hyperlink r:id="rId83" w:history="1">
        <w:r w:rsidRPr="00BF638C">
          <w:rPr>
            <w:rStyle w:val="Hyperlink"/>
          </w:rPr>
          <w:t>https://www.civilmediation.org/accreditation/</w:t>
        </w:r>
      </w:hyperlink>
      <w:r>
        <w:t>Accessed: 7 January 2026</w:t>
      </w:r>
      <w:proofErr w:type="gramStart"/>
      <w:r>
        <w:t>).Supports</w:t>
      </w:r>
      <w:proofErr w:type="gramEnd"/>
      <w:r>
        <w:t>: mediator professionalism, ethical standards, accreditation (5.2, 5.3, 5.5).</w:t>
      </w:r>
    </w:p>
    <w:p w14:paraId="6C2E8183" w14:textId="77777777" w:rsidR="00346517" w:rsidRDefault="00346517" w:rsidP="00346517">
      <w:r w:rsidRPr="005D0F4C">
        <w:rPr>
          <w:b/>
          <w:bCs/>
        </w:rPr>
        <w:t>Chartered</w:t>
      </w:r>
      <w:r>
        <w:t xml:space="preserve"> Institute of Arbitrators. (2023) Mediation Standards and Best Practice Guidelines. Available at: https://www.ciarb.org/mediation/</w:t>
      </w:r>
      <w:r>
        <w:rPr>
          <w:rFonts w:ascii="Aptos" w:hAnsi="Aptos" w:cs="Aptos"/>
        </w:rPr>
        <w:t>￼</w:t>
      </w:r>
      <w:r>
        <w:t xml:space="preserve"> (Accessed: 7 January 2026</w:t>
      </w:r>
      <w:proofErr w:type="gramStart"/>
      <w:r>
        <w:t>).Supports</w:t>
      </w:r>
      <w:proofErr w:type="gramEnd"/>
      <w:r>
        <w:t>: workflow, technology, training, quality assurance (5.1, 5.4, 5.7).</w:t>
      </w:r>
    </w:p>
    <w:p w14:paraId="28E82409" w14:textId="7A311EDA" w:rsidR="00374B35" w:rsidRPr="00A11A18" w:rsidRDefault="00346517" w:rsidP="00374B35">
      <w:r w:rsidRPr="005D0F4C">
        <w:rPr>
          <w:b/>
          <w:bCs/>
        </w:rPr>
        <w:t>Harvard</w:t>
      </w:r>
      <w:r>
        <w:t xml:space="preserve"> Business Review. (2020) KPIs and Performance Metrics in Service </w:t>
      </w:r>
      <w:proofErr w:type="spellStart"/>
      <w:r>
        <w:t>Organisations</w:t>
      </w:r>
      <w:proofErr w:type="spellEnd"/>
      <w:r>
        <w:t xml:space="preserve">. Available at: </w:t>
      </w:r>
      <w:hyperlink r:id="rId84" w:history="1">
        <w:r w:rsidRPr="00BF638C">
          <w:rPr>
            <w:rStyle w:val="Hyperlink"/>
          </w:rPr>
          <w:t>https://hbr.org/2020/02/</w:t>
        </w:r>
        <w:proofErr w:type="spellStart"/>
        <w:r w:rsidRPr="00BF638C">
          <w:rPr>
            <w:rStyle w:val="Hyperlink"/>
          </w:rPr>
          <w:t>kpis</w:t>
        </w:r>
        <w:proofErr w:type="spellEnd"/>
      </w:hyperlink>
      <w:r>
        <w:t>-for-service-businesses</w:t>
      </w:r>
      <w:r>
        <w:rPr>
          <w:rFonts w:ascii="Aptos" w:hAnsi="Aptos" w:cs="Aptos"/>
        </w:rPr>
        <w:t>￼</w:t>
      </w:r>
      <w:r>
        <w:t xml:space="preserve"> (Accessed: 7 January 2026)</w:t>
      </w:r>
    </w:p>
    <w:p w14:paraId="6CBB2A55" w14:textId="77777777" w:rsidR="00374B35" w:rsidRDefault="00374B35" w:rsidP="00374B35">
      <w:r>
        <w:t>Strategic Human Resource Management (SAGE)</w:t>
      </w:r>
    </w:p>
    <w:p w14:paraId="63540081" w14:textId="77777777" w:rsidR="00374B35" w:rsidRDefault="00374B35" w:rsidP="00374B35">
      <w:r>
        <w:t xml:space="preserve"> </w:t>
      </w:r>
      <w:hyperlink r:id="rId85" w:history="1">
        <w:r w:rsidRPr="00E06920">
          <w:rPr>
            <w:rStyle w:val="Hyperlink"/>
          </w:rPr>
          <w:t>https://uk.sagepub.com/en-gb/eur/strategic-human-resource-management/book242146</w:t>
        </w:r>
      </w:hyperlink>
    </w:p>
    <w:p w14:paraId="28A437FF" w14:textId="77777777" w:rsidR="00374B35" w:rsidRDefault="00374B35" w:rsidP="00374B35">
      <w:r>
        <w:t>Human Resource Management: Functions, Applications, and Skill Development</w:t>
      </w:r>
    </w:p>
    <w:p w14:paraId="3F04F107" w14:textId="3727FB4F" w:rsidR="00374B35" w:rsidRDefault="00374B35" w:rsidP="00374B35">
      <w:hyperlink r:id="rId86" w:history="1">
        <w:r w:rsidRPr="00BF638C">
          <w:rPr>
            <w:rStyle w:val="Hyperlink"/>
          </w:rPr>
          <w:t>https://uk.sagepub.com/en-gb/eur/human-resource-management/book284790</w:t>
        </w:r>
      </w:hyperlink>
    </w:p>
    <w:p w14:paraId="3B9F66A5" w14:textId="52914CA5" w:rsidR="00374B35" w:rsidRDefault="00374B35" w:rsidP="00374B35">
      <w:r>
        <w:t xml:space="preserve">Recruitment and Selection: Strategies for Workforce Planning &amp; Assessment </w:t>
      </w:r>
      <w:hyperlink r:id="rId87" w:history="1">
        <w:r w:rsidRPr="00BF638C">
          <w:rPr>
            <w:rStyle w:val="Hyperlink"/>
          </w:rPr>
          <w:t>https://uk.sagepub.com/en-gb/afr/recruitment-and-selection/book245193</w:t>
        </w:r>
      </w:hyperlink>
    </w:p>
    <w:p w14:paraId="6D319E42" w14:textId="77777777" w:rsidR="00374B35" w:rsidRDefault="00374B35" w:rsidP="00374B35">
      <w:r>
        <w:t xml:space="preserve">SHRM – Strategic Workforce Planning </w:t>
      </w:r>
      <w:hyperlink r:id="rId88" w:history="1">
        <w:r w:rsidRPr="00E06920">
          <w:rPr>
            <w:rStyle w:val="Hyperlink"/>
          </w:rPr>
          <w:t>https://www.shrm.org/mena/labs/resources/strategic-workforce-planning-navigating-the-future-of-hr</w:t>
        </w:r>
      </w:hyperlink>
    </w:p>
    <w:p w14:paraId="23912D69" w14:textId="77777777" w:rsidR="00374B35" w:rsidRDefault="00374B35" w:rsidP="00374B35">
      <w:r>
        <w:t xml:space="preserve">Becker &amp; </w:t>
      </w:r>
      <w:proofErr w:type="spellStart"/>
      <w:r>
        <w:t>Huselid</w:t>
      </w:r>
      <w:proofErr w:type="spellEnd"/>
      <w:r>
        <w:t xml:space="preserve"> on Human Resources and Performance </w:t>
      </w:r>
      <w:hyperlink r:id="rId89" w:history="1">
        <w:r w:rsidRPr="00E55CB7">
          <w:rPr>
            <w:rStyle w:val="Hyperlink"/>
          </w:rPr>
          <w:t>https://en.wikipedia.org/wiki/Mark_A._Huselid</w:t>
        </w:r>
      </w:hyperlink>
    </w:p>
    <w:p w14:paraId="69422AA0" w14:textId="77777777" w:rsidR="00A11A18" w:rsidRDefault="00A11A18" w:rsidP="00A11A18">
      <w:r>
        <w:t>References Risk Management and Governance</w:t>
      </w:r>
    </w:p>
    <w:p w14:paraId="2A6A38F5" w14:textId="11CE92FD" w:rsidR="00A11A18" w:rsidRDefault="00A11A18" w:rsidP="00A11A18">
      <w:hyperlink r:id="rId90" w:history="1">
        <w:r w:rsidRPr="00BF638C">
          <w:rPr>
            <w:rStyle w:val="Hyperlink"/>
          </w:rPr>
          <w:t>https://www.theirm.org/what-we-say/thought-leadership/risk-culture/</w:t>
        </w:r>
      </w:hyperlink>
    </w:p>
    <w:p w14:paraId="4817DA02" w14:textId="77777777" w:rsidR="00A11A18" w:rsidRDefault="00A11A18" w:rsidP="00A11A18">
      <w:r>
        <w:t>International Organization for Standardization (ISO) (2018).</w:t>
      </w:r>
    </w:p>
    <w:p w14:paraId="561351BF" w14:textId="3C891680" w:rsidR="00A11A18" w:rsidRDefault="00A11A18" w:rsidP="00A11A18">
      <w:hyperlink r:id="rId91" w:history="1">
        <w:r w:rsidRPr="00BF638C">
          <w:rPr>
            <w:rStyle w:val="Hyperlink"/>
          </w:rPr>
          <w:t>https://www.iso.org/iso-31000-risk-management.html</w:t>
        </w:r>
      </w:hyperlink>
    </w:p>
    <w:p w14:paraId="3E33F01E" w14:textId="77777777" w:rsidR="00A11A18" w:rsidRDefault="00A11A18" w:rsidP="00A11A18">
      <w:r>
        <w:t>Hopkin, P. (2018).</w:t>
      </w:r>
    </w:p>
    <w:p w14:paraId="698F7FAB" w14:textId="77777777" w:rsidR="00A11A18" w:rsidRDefault="00A11A18" w:rsidP="00A11A18">
      <w:r>
        <w:t>Fundamentals of Risk Management: Understanding, Evaluating and Implementing Effective Risk Management. London: Kogan Page.</w:t>
      </w:r>
    </w:p>
    <w:p w14:paraId="4121BBFB" w14:textId="77777777" w:rsidR="00A11A18" w:rsidRDefault="00A11A18" w:rsidP="00A11A18">
      <w:r>
        <w:t>Available at:</w:t>
      </w:r>
    </w:p>
    <w:p w14:paraId="46356580" w14:textId="55E8C9FB" w:rsidR="00A11A18" w:rsidRDefault="00A11A18" w:rsidP="00A11A18">
      <w:hyperlink r:id="rId92" w:history="1">
        <w:r w:rsidRPr="00BF638C">
          <w:rPr>
            <w:rStyle w:val="Hyperlink"/>
          </w:rPr>
          <w:t>https://www.koganpage.com/product/fundamentals-of-risk-management-9780749485549</w:t>
        </w:r>
      </w:hyperlink>
    </w:p>
    <w:p w14:paraId="0983A6C3" w14:textId="77777777" w:rsidR="00A11A18" w:rsidRDefault="00A11A18" w:rsidP="00A11A18">
      <w:r>
        <w:t>Risk Heat Maps and Risk Registers</w:t>
      </w:r>
    </w:p>
    <w:p w14:paraId="1AA1305A" w14:textId="77777777" w:rsidR="00A11A18" w:rsidRDefault="00A11A18" w:rsidP="00A11A18">
      <w:r>
        <w:t>HM Treasury (2020).</w:t>
      </w:r>
    </w:p>
    <w:p w14:paraId="34C8B84D" w14:textId="77777777" w:rsidR="00A11A18" w:rsidRDefault="00A11A18" w:rsidP="00A11A18">
      <w:r>
        <w:t>Orange Book: Management of Risk – Principles and Concepts.</w:t>
      </w:r>
    </w:p>
    <w:p w14:paraId="13532004" w14:textId="77777777" w:rsidR="00A11A18" w:rsidRDefault="00A11A18" w:rsidP="00A11A18">
      <w:r>
        <w:t>Available at:</w:t>
      </w:r>
    </w:p>
    <w:p w14:paraId="76FFFC36" w14:textId="0E68F0F0" w:rsidR="00A11A18" w:rsidRDefault="00A11A18" w:rsidP="00A11A18">
      <w:hyperlink r:id="rId93" w:history="1">
        <w:r w:rsidRPr="00BF638C">
          <w:rPr>
            <w:rStyle w:val="Hyperlink"/>
          </w:rPr>
          <w:t>https://www.gov.uk/government/publications/orange-book</w:t>
        </w:r>
      </w:hyperlink>
    </w:p>
    <w:p w14:paraId="557B9DC0" w14:textId="77777777" w:rsidR="00A11A18" w:rsidRDefault="00A11A18" w:rsidP="00A11A18">
      <w:r>
        <w:t>Aven, T. (2016).</w:t>
      </w:r>
    </w:p>
    <w:p w14:paraId="025FAB97" w14:textId="61533599" w:rsidR="00A11A18" w:rsidRDefault="00A11A18" w:rsidP="00A11A18">
      <w:hyperlink r:id="rId94" w:history="1">
        <w:r w:rsidRPr="00BF638C">
          <w:rPr>
            <w:rStyle w:val="Hyperlink"/>
          </w:rPr>
          <w:t>https://www.sciencedirect.com/science/article/pii/S0377221715007583</w:t>
        </w:r>
      </w:hyperlink>
    </w:p>
    <w:p w14:paraId="2B46755B" w14:textId="77777777" w:rsidR="00A11A18" w:rsidRDefault="00A11A18" w:rsidP="00A11A18">
      <w:proofErr w:type="spellStart"/>
      <w:r>
        <w:t>Herbane</w:t>
      </w:r>
      <w:proofErr w:type="spellEnd"/>
      <w:r>
        <w:t>, B. (2013).</w:t>
      </w:r>
    </w:p>
    <w:p w14:paraId="4910F210" w14:textId="52C75C2C" w:rsidR="00A11A18" w:rsidRDefault="00A11A18" w:rsidP="00A11A18">
      <w:hyperlink r:id="rId95" w:history="1">
        <w:r w:rsidRPr="00BF638C">
          <w:rPr>
            <w:rStyle w:val="Hyperlink"/>
          </w:rPr>
          <w:t>https://onlinelibrary.wiley.com/doi/10.1111/1468-5973.12006</w:t>
        </w:r>
      </w:hyperlink>
    </w:p>
    <w:p w14:paraId="2A231DAA" w14:textId="77777777" w:rsidR="00A11A18" w:rsidRDefault="00A11A18" w:rsidP="00A11A18">
      <w:r>
        <w:t>McKinsey &amp; Company (2020).</w:t>
      </w:r>
    </w:p>
    <w:p w14:paraId="2035D209" w14:textId="3736B6C4" w:rsidR="00A11A18" w:rsidRDefault="00A11A18" w:rsidP="00A11A18">
      <w:hyperlink r:id="rId96" w:history="1">
        <w:r w:rsidRPr="00BF638C">
          <w:rPr>
            <w:rStyle w:val="Hyperlink"/>
          </w:rPr>
          <w:t>https://www.mckinsey.com/capabilities/risk-and-resilience/our-insights</w:t>
        </w:r>
      </w:hyperlink>
    </w:p>
    <w:p w14:paraId="4BC75D7D" w14:textId="77777777" w:rsidR="00A11A18" w:rsidRDefault="00A11A18" w:rsidP="00A11A18">
      <w:r>
        <w:t>OECD (2019).</w:t>
      </w:r>
    </w:p>
    <w:p w14:paraId="3A5A636B" w14:textId="4A082AD6" w:rsidR="00A11A18" w:rsidRDefault="00A11A18" w:rsidP="00A11A18">
      <w:hyperlink r:id="rId97" w:history="1">
        <w:r w:rsidRPr="00BF638C">
          <w:rPr>
            <w:rStyle w:val="Hyperlink"/>
          </w:rPr>
          <w:t>https://www.oecd.org/gov/risk/good-governance-for-critical-risks.htm</w:t>
        </w:r>
      </w:hyperlink>
    </w:p>
    <w:p w14:paraId="38A4E600" w14:textId="77777777" w:rsidR="00A11A18" w:rsidRDefault="00A11A18" w:rsidP="00A11A18">
      <w:r>
        <w:t>Civil Mediation Council (CMC) (2023).</w:t>
      </w:r>
    </w:p>
    <w:p w14:paraId="29185795" w14:textId="456DDCC0" w:rsidR="00A11A18" w:rsidRDefault="00A11A18" w:rsidP="00A11A18">
      <w:hyperlink r:id="rId98" w:history="1">
        <w:r w:rsidRPr="00BF638C">
          <w:rPr>
            <w:rStyle w:val="Hyperlink"/>
          </w:rPr>
          <w:t>https://civilmediation.org/mediators/code-of-conduct/</w:t>
        </w:r>
      </w:hyperlink>
    </w:p>
    <w:p w14:paraId="25E4B0D8" w14:textId="77777777" w:rsidR="00A11A18" w:rsidRDefault="00A11A18" w:rsidP="00A11A18">
      <w:r>
        <w:t>UK Ministry of Justice (2018).</w:t>
      </w:r>
    </w:p>
    <w:p w14:paraId="51610D68" w14:textId="77777777" w:rsidR="00A11A18" w:rsidRDefault="00A11A18" w:rsidP="00A11A18">
      <w:hyperlink r:id="rId99" w:history="1">
        <w:r w:rsidRPr="00BF638C">
          <w:rPr>
            <w:rStyle w:val="Hyperlink"/>
          </w:rPr>
          <w:t>https://www.gov.uk/government/publications/alternative-dispute-resolution-for-consumers</w:t>
        </w:r>
      </w:hyperlink>
    </w:p>
    <w:p w14:paraId="27F6904A" w14:textId="73AC7454" w:rsidR="00A11A18" w:rsidRDefault="00A11A18" w:rsidP="00A11A18">
      <w:r>
        <w:t>Project Management Institute (PMI) – Stage-Gate Process &amp; Implementation</w:t>
      </w:r>
    </w:p>
    <w:p w14:paraId="390A346F" w14:textId="011904AB" w:rsidR="00A11A18" w:rsidRDefault="00A11A18" w:rsidP="00A11A18">
      <w:hyperlink r:id="rId100" w:history="1">
        <w:r w:rsidRPr="00BF638C">
          <w:rPr>
            <w:rStyle w:val="Hyperlink"/>
          </w:rPr>
          <w:t>https://www.pmi.org/learning/library/stage-gate-process-implementation-8456</w:t>
        </w:r>
      </w:hyperlink>
    </w:p>
    <w:p w14:paraId="578A6016" w14:textId="6657581F" w:rsidR="00A11A18" w:rsidRDefault="00A11A18" w:rsidP="00A11A18">
      <w:r>
        <w:t>Chartered Institute of Personnel and Development (CIPD) – Change Management</w:t>
      </w:r>
    </w:p>
    <w:p w14:paraId="72951D0E" w14:textId="2506FDA4" w:rsidR="00A11A18" w:rsidRDefault="00A11A18" w:rsidP="00A11A18">
      <w:hyperlink r:id="rId101" w:history="1">
        <w:r w:rsidRPr="00BF638C">
          <w:rPr>
            <w:rStyle w:val="Hyperlink"/>
          </w:rPr>
          <w:t>https://www.cipd.org/uk/knowledge/fundamentals/emp-law/change-management-factsheet</w:t>
        </w:r>
      </w:hyperlink>
    </w:p>
    <w:p w14:paraId="5D88A5F5" w14:textId="7A1DC7C7" w:rsidR="00A11A18" w:rsidRDefault="00A11A18" w:rsidP="00A11A18">
      <w:r>
        <w:t>Smartsheet – Work Breakdown &amp; Milestones Templates</w:t>
      </w:r>
    </w:p>
    <w:p w14:paraId="5E539C37" w14:textId="761B43F2" w:rsidR="00A11A18" w:rsidRDefault="00A11A18" w:rsidP="00A11A18">
      <w:hyperlink r:id="rId102" w:history="1">
        <w:r w:rsidRPr="00BF638C">
          <w:rPr>
            <w:rStyle w:val="Hyperlink"/>
          </w:rPr>
          <w:t>https://www.smartsheet.com/content/work-breakdown-structure-templates</w:t>
        </w:r>
      </w:hyperlink>
    </w:p>
    <w:p w14:paraId="7164D521" w14:textId="77777777" w:rsidR="00A11A18" w:rsidRDefault="00A11A18" w:rsidP="00A11A18">
      <w:r>
        <w:t>Harvard Business Review – Using KPIs to Drive Performance</w:t>
      </w:r>
    </w:p>
    <w:p w14:paraId="453B90FB" w14:textId="73A468F5" w:rsidR="00A11A18" w:rsidRDefault="00A11A18" w:rsidP="00A11A18">
      <w:hyperlink r:id="rId103" w:history="1">
        <w:r w:rsidRPr="00BF638C">
          <w:rPr>
            <w:rStyle w:val="Hyperlink"/>
          </w:rPr>
          <w:t>https://hbr.org/2016/07/you-cant-manage-what-you-cant-measure</w:t>
        </w:r>
      </w:hyperlink>
    </w:p>
    <w:p w14:paraId="1935CC32" w14:textId="0F246656" w:rsidR="00A11A18" w:rsidRDefault="00A11A18" w:rsidP="00A11A18">
      <w:r>
        <w:t>UK Government – Alternative Dispute Resolution (ADR) Guidance</w:t>
      </w:r>
    </w:p>
    <w:p w14:paraId="3FE759EE" w14:textId="77777777" w:rsidR="00A11A18" w:rsidRDefault="00A11A18" w:rsidP="00A11A18">
      <w:hyperlink r:id="rId104" w:history="1">
        <w:r w:rsidRPr="00BF638C">
          <w:rPr>
            <w:rStyle w:val="Hyperlink"/>
          </w:rPr>
          <w:t>Https://www.gov.uk/guidance/alternative-dispute-resolution-for-consumers</w:t>
        </w:r>
      </w:hyperlink>
    </w:p>
    <w:p w14:paraId="2819FF94" w14:textId="77777777" w:rsidR="00A11A18" w:rsidRDefault="00A11A18" w:rsidP="00A11A18"/>
    <w:p w14:paraId="29CAEF11" w14:textId="77777777" w:rsidR="00A11A18" w:rsidRDefault="00A11A18" w:rsidP="00374B35"/>
    <w:p w14:paraId="1387CA1F" w14:textId="77777777" w:rsidR="00374B35" w:rsidRDefault="00374B35" w:rsidP="00374B35"/>
    <w:p w14:paraId="717B7944" w14:textId="77777777" w:rsidR="00374B35" w:rsidRPr="00AE36A8" w:rsidRDefault="00374B35" w:rsidP="00346517"/>
    <w:p w14:paraId="6A5E8AB6" w14:textId="77777777" w:rsidR="00346517" w:rsidRDefault="00346517" w:rsidP="00324C61"/>
    <w:p w14:paraId="5E070758" w14:textId="77777777" w:rsidR="00324C61" w:rsidRDefault="00324C61" w:rsidP="00324C61"/>
    <w:p w14:paraId="78E88406" w14:textId="77777777" w:rsidR="00B151E9" w:rsidRDefault="00B151E9" w:rsidP="00104AE2"/>
    <w:p w14:paraId="64D702EF" w14:textId="77777777" w:rsidR="00104AE2" w:rsidRDefault="00104AE2" w:rsidP="00104AE2"/>
    <w:p w14:paraId="214E4666" w14:textId="77777777" w:rsidR="00104AE2" w:rsidRPr="00104AE2" w:rsidRDefault="00104AE2" w:rsidP="00104AE2"/>
    <w:sectPr w:rsidR="00104AE2" w:rsidRPr="00104AE2">
      <w:footerReference w:type="default" r:id="rId1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92FAF" w14:textId="77777777" w:rsidR="006C3B5F" w:rsidRDefault="006C3B5F" w:rsidP="00D27F3C">
      <w:pPr>
        <w:spacing w:after="0" w:line="240" w:lineRule="auto"/>
      </w:pPr>
      <w:r>
        <w:separator/>
      </w:r>
    </w:p>
  </w:endnote>
  <w:endnote w:type="continuationSeparator" w:id="0">
    <w:p w14:paraId="5464FB83" w14:textId="77777777" w:rsidR="006C3B5F" w:rsidRDefault="006C3B5F" w:rsidP="00D27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E453A" w14:textId="3FA37437" w:rsidR="00D27F3C" w:rsidRDefault="00D27F3C" w:rsidP="00D27F3C">
    <w:pPr>
      <w:pStyle w:val="Footer"/>
      <w:tabs>
        <w:tab w:val="clear" w:pos="4680"/>
        <w:tab w:val="clear" w:pos="9360"/>
        <w:tab w:val="left" w:pos="6303"/>
      </w:tabs>
    </w:pP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7EEFC" w14:textId="77777777" w:rsidR="006C3B5F" w:rsidRDefault="006C3B5F" w:rsidP="00D27F3C">
      <w:pPr>
        <w:spacing w:after="0" w:line="240" w:lineRule="auto"/>
      </w:pPr>
      <w:r>
        <w:separator/>
      </w:r>
    </w:p>
  </w:footnote>
  <w:footnote w:type="continuationSeparator" w:id="0">
    <w:p w14:paraId="178AA787" w14:textId="77777777" w:rsidR="006C3B5F" w:rsidRDefault="006C3B5F" w:rsidP="00D27F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394D4F"/>
    <w:multiLevelType w:val="hybridMultilevel"/>
    <w:tmpl w:val="2C6C9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2147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3C"/>
    <w:rsid w:val="000115E5"/>
    <w:rsid w:val="000311D7"/>
    <w:rsid w:val="000F02B1"/>
    <w:rsid w:val="000F48F6"/>
    <w:rsid w:val="00104AE2"/>
    <w:rsid w:val="001405B2"/>
    <w:rsid w:val="001459D6"/>
    <w:rsid w:val="00177AC1"/>
    <w:rsid w:val="00241482"/>
    <w:rsid w:val="002737DB"/>
    <w:rsid w:val="00324C61"/>
    <w:rsid w:val="00346517"/>
    <w:rsid w:val="00364AEC"/>
    <w:rsid w:val="00374B35"/>
    <w:rsid w:val="003E1E63"/>
    <w:rsid w:val="003F53AC"/>
    <w:rsid w:val="00437541"/>
    <w:rsid w:val="004730E9"/>
    <w:rsid w:val="00476775"/>
    <w:rsid w:val="004E52CD"/>
    <w:rsid w:val="0050181A"/>
    <w:rsid w:val="005A1A9C"/>
    <w:rsid w:val="005A6ECF"/>
    <w:rsid w:val="005E1EF1"/>
    <w:rsid w:val="00614F46"/>
    <w:rsid w:val="00643466"/>
    <w:rsid w:val="0065321F"/>
    <w:rsid w:val="00655B10"/>
    <w:rsid w:val="00656C1B"/>
    <w:rsid w:val="006632CC"/>
    <w:rsid w:val="006C3B5F"/>
    <w:rsid w:val="006E5363"/>
    <w:rsid w:val="00724FCD"/>
    <w:rsid w:val="007402A1"/>
    <w:rsid w:val="00783930"/>
    <w:rsid w:val="00783A17"/>
    <w:rsid w:val="00795028"/>
    <w:rsid w:val="007B0A0A"/>
    <w:rsid w:val="007E53D9"/>
    <w:rsid w:val="00845B34"/>
    <w:rsid w:val="00945724"/>
    <w:rsid w:val="009C2C7C"/>
    <w:rsid w:val="009D72BD"/>
    <w:rsid w:val="009F416F"/>
    <w:rsid w:val="00A0039C"/>
    <w:rsid w:val="00A11A18"/>
    <w:rsid w:val="00A95A91"/>
    <w:rsid w:val="00B02042"/>
    <w:rsid w:val="00B151E9"/>
    <w:rsid w:val="00BF798F"/>
    <w:rsid w:val="00C5269B"/>
    <w:rsid w:val="00C55223"/>
    <w:rsid w:val="00C60726"/>
    <w:rsid w:val="00C74D88"/>
    <w:rsid w:val="00CD6EE2"/>
    <w:rsid w:val="00D27F3C"/>
    <w:rsid w:val="00D831C6"/>
    <w:rsid w:val="00E40B83"/>
    <w:rsid w:val="00EB2950"/>
    <w:rsid w:val="00F24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A8FD8"/>
  <w15:chartTrackingRefBased/>
  <w15:docId w15:val="{49C5F69D-347D-4DE6-86B5-81096D691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517"/>
  </w:style>
  <w:style w:type="paragraph" w:styleId="Heading1">
    <w:name w:val="heading 1"/>
    <w:basedOn w:val="Normal"/>
    <w:next w:val="Normal"/>
    <w:link w:val="Heading1Char"/>
    <w:uiPriority w:val="9"/>
    <w:qFormat/>
    <w:rsid w:val="00D27F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7F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F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F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F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F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F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F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F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F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7F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F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F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F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F3C"/>
    <w:rPr>
      <w:rFonts w:eastAsiaTheme="majorEastAsia" w:cstheme="majorBidi"/>
      <w:color w:val="272727" w:themeColor="text1" w:themeTint="D8"/>
    </w:rPr>
  </w:style>
  <w:style w:type="paragraph" w:styleId="Title">
    <w:name w:val="Title"/>
    <w:basedOn w:val="Normal"/>
    <w:next w:val="Normal"/>
    <w:link w:val="TitleChar"/>
    <w:uiPriority w:val="10"/>
    <w:qFormat/>
    <w:rsid w:val="00D27F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F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F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F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F3C"/>
    <w:pPr>
      <w:spacing w:before="160"/>
      <w:jc w:val="center"/>
    </w:pPr>
    <w:rPr>
      <w:i/>
      <w:iCs/>
      <w:color w:val="404040" w:themeColor="text1" w:themeTint="BF"/>
    </w:rPr>
  </w:style>
  <w:style w:type="character" w:customStyle="1" w:styleId="QuoteChar">
    <w:name w:val="Quote Char"/>
    <w:basedOn w:val="DefaultParagraphFont"/>
    <w:link w:val="Quote"/>
    <w:uiPriority w:val="29"/>
    <w:rsid w:val="00D27F3C"/>
    <w:rPr>
      <w:i/>
      <w:iCs/>
      <w:color w:val="404040" w:themeColor="text1" w:themeTint="BF"/>
    </w:rPr>
  </w:style>
  <w:style w:type="paragraph" w:styleId="ListParagraph">
    <w:name w:val="List Paragraph"/>
    <w:basedOn w:val="Normal"/>
    <w:uiPriority w:val="34"/>
    <w:qFormat/>
    <w:rsid w:val="00D27F3C"/>
    <w:pPr>
      <w:ind w:left="720"/>
      <w:contextualSpacing/>
    </w:pPr>
  </w:style>
  <w:style w:type="character" w:styleId="IntenseEmphasis">
    <w:name w:val="Intense Emphasis"/>
    <w:basedOn w:val="DefaultParagraphFont"/>
    <w:uiPriority w:val="21"/>
    <w:qFormat/>
    <w:rsid w:val="00D27F3C"/>
    <w:rPr>
      <w:i/>
      <w:iCs/>
      <w:color w:val="0F4761" w:themeColor="accent1" w:themeShade="BF"/>
    </w:rPr>
  </w:style>
  <w:style w:type="paragraph" w:styleId="IntenseQuote">
    <w:name w:val="Intense Quote"/>
    <w:basedOn w:val="Normal"/>
    <w:next w:val="Normal"/>
    <w:link w:val="IntenseQuoteChar"/>
    <w:uiPriority w:val="30"/>
    <w:qFormat/>
    <w:rsid w:val="00D27F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F3C"/>
    <w:rPr>
      <w:i/>
      <w:iCs/>
      <w:color w:val="0F4761" w:themeColor="accent1" w:themeShade="BF"/>
    </w:rPr>
  </w:style>
  <w:style w:type="character" w:styleId="IntenseReference">
    <w:name w:val="Intense Reference"/>
    <w:basedOn w:val="DefaultParagraphFont"/>
    <w:uiPriority w:val="32"/>
    <w:qFormat/>
    <w:rsid w:val="00D27F3C"/>
    <w:rPr>
      <w:b/>
      <w:bCs/>
      <w:smallCaps/>
      <w:color w:val="0F4761" w:themeColor="accent1" w:themeShade="BF"/>
      <w:spacing w:val="5"/>
    </w:rPr>
  </w:style>
  <w:style w:type="paragraph" w:styleId="Header">
    <w:name w:val="header"/>
    <w:basedOn w:val="Normal"/>
    <w:link w:val="HeaderChar"/>
    <w:uiPriority w:val="99"/>
    <w:unhideWhenUsed/>
    <w:rsid w:val="00D27F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F3C"/>
  </w:style>
  <w:style w:type="paragraph" w:styleId="Footer">
    <w:name w:val="footer"/>
    <w:basedOn w:val="Normal"/>
    <w:link w:val="FooterChar"/>
    <w:uiPriority w:val="99"/>
    <w:unhideWhenUsed/>
    <w:rsid w:val="00D27F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F3C"/>
  </w:style>
  <w:style w:type="paragraph" w:styleId="Caption">
    <w:name w:val="caption"/>
    <w:basedOn w:val="Normal"/>
    <w:next w:val="Normal"/>
    <w:uiPriority w:val="35"/>
    <w:unhideWhenUsed/>
    <w:qFormat/>
    <w:rsid w:val="00D27F3C"/>
    <w:pPr>
      <w:spacing w:after="200" w:line="240" w:lineRule="auto"/>
    </w:pPr>
    <w:rPr>
      <w:i/>
      <w:iCs/>
      <w:color w:val="0E2841" w:themeColor="text2"/>
      <w:sz w:val="18"/>
      <w:szCs w:val="18"/>
    </w:rPr>
  </w:style>
  <w:style w:type="character" w:styleId="Hyperlink">
    <w:name w:val="Hyperlink"/>
    <w:basedOn w:val="DefaultParagraphFont"/>
    <w:uiPriority w:val="99"/>
    <w:unhideWhenUsed/>
    <w:rsid w:val="00D27F3C"/>
    <w:rPr>
      <w:color w:val="467886" w:themeColor="hyperlink"/>
      <w:u w:val="single"/>
    </w:rPr>
  </w:style>
  <w:style w:type="character" w:styleId="UnresolvedMention">
    <w:name w:val="Unresolved Mention"/>
    <w:basedOn w:val="DefaultParagraphFont"/>
    <w:uiPriority w:val="99"/>
    <w:semiHidden/>
    <w:unhideWhenUsed/>
    <w:rsid w:val="00D27F3C"/>
    <w:rPr>
      <w:color w:val="605E5C"/>
      <w:shd w:val="clear" w:color="auto" w:fill="E1DFDD"/>
    </w:rPr>
  </w:style>
  <w:style w:type="table" w:styleId="TableGrid">
    <w:name w:val="Table Grid"/>
    <w:basedOn w:val="TableNormal"/>
    <w:uiPriority w:val="39"/>
    <w:rsid w:val="00D83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F416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F416F"/>
    <w:pPr>
      <w:spacing w:after="100"/>
    </w:pPr>
  </w:style>
  <w:style w:type="paragraph" w:styleId="TOC2">
    <w:name w:val="toc 2"/>
    <w:basedOn w:val="Normal"/>
    <w:next w:val="Normal"/>
    <w:autoRedefine/>
    <w:uiPriority w:val="39"/>
    <w:unhideWhenUsed/>
    <w:rsid w:val="009F416F"/>
    <w:pPr>
      <w:spacing w:after="100"/>
      <w:ind w:left="240"/>
    </w:pPr>
  </w:style>
  <w:style w:type="paragraph" w:styleId="TOC3">
    <w:name w:val="toc 3"/>
    <w:basedOn w:val="Normal"/>
    <w:next w:val="Normal"/>
    <w:autoRedefine/>
    <w:uiPriority w:val="39"/>
    <w:unhideWhenUsed/>
    <w:rsid w:val="009F416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2.xml"/><Relationship Id="rId21" Type="http://schemas.openxmlformats.org/officeDocument/2006/relationships/diagramColors" Target="diagrams/colors1.xml"/><Relationship Id="rId42" Type="http://schemas.openxmlformats.org/officeDocument/2006/relationships/diagramLayout" Target="diagrams/layout4.xml"/><Relationship Id="rId47" Type="http://schemas.openxmlformats.org/officeDocument/2006/relationships/image" Target="media/image18.png"/><Relationship Id="rId63" Type="http://schemas.openxmlformats.org/officeDocument/2006/relationships/hyperlink" Target="https://www.gov.uk/guidance/alternative-dispute-resolution-for-consumers" TargetMode="External"/><Relationship Id="rId68" Type="http://schemas.openxmlformats.org/officeDocument/2006/relationships/hyperlink" Target="https://www.gov.uk/government/publications/alternative-dispute-resolution" TargetMode="External"/><Relationship Id="rId84" Type="http://schemas.openxmlformats.org/officeDocument/2006/relationships/hyperlink" Target="https://hbr.org/2020/02/kpis" TargetMode="External"/><Relationship Id="rId89" Type="http://schemas.openxmlformats.org/officeDocument/2006/relationships/hyperlink" Target="https://en.wikipedia.org/wiki/Mark_A._Huselid" TargetMode="External"/><Relationship Id="rId7" Type="http://schemas.openxmlformats.org/officeDocument/2006/relationships/endnotes" Target="endnotes.xml"/><Relationship Id="rId71" Type="http://schemas.openxmlformats.org/officeDocument/2006/relationships/hyperlink" Target="https://www.cipd.org/uk/knowledge/fundamentals/emp-law/ethics-factsheet" TargetMode="External"/><Relationship Id="rId92" Type="http://schemas.openxmlformats.org/officeDocument/2006/relationships/hyperlink" Target="https://www.koganpage.com/product/fundamentals-of-risk-management-9780749485549"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1.png"/><Relationship Id="rId107" Type="http://schemas.openxmlformats.org/officeDocument/2006/relationships/theme" Target="theme/theme1.xml"/><Relationship Id="rId11" Type="http://schemas.openxmlformats.org/officeDocument/2006/relationships/image" Target="media/image4.png"/><Relationship Id="rId24" Type="http://schemas.openxmlformats.org/officeDocument/2006/relationships/diagramLayout" Target="diagrams/layout2.xml"/><Relationship Id="rId32" Type="http://schemas.openxmlformats.org/officeDocument/2006/relationships/image" Target="media/image14.png"/><Relationship Id="rId37" Type="http://schemas.openxmlformats.org/officeDocument/2006/relationships/diagramLayout" Target="diagrams/layout3.xml"/><Relationship Id="rId40" Type="http://schemas.microsoft.com/office/2007/relationships/diagramDrawing" Target="diagrams/drawing3.xml"/><Relationship Id="rId45" Type="http://schemas.microsoft.com/office/2007/relationships/diagramDrawing" Target="diagrams/drawing4.xml"/><Relationship Id="rId53" Type="http://schemas.openxmlformats.org/officeDocument/2006/relationships/diagramLayout" Target="diagrams/layout5.xml"/><Relationship Id="rId58" Type="http://schemas.openxmlformats.org/officeDocument/2006/relationships/diagramLayout" Target="diagrams/layout6.xml"/><Relationship Id="rId66" Type="http://schemas.openxmlformats.org/officeDocument/2006/relationships/hyperlink" Target="https://www.citizensadvice.org.uk/law-and-courts/disputes/mediation/how-mediation-works/" TargetMode="External"/><Relationship Id="rId74" Type="http://schemas.openxmlformats.org/officeDocument/2006/relationships/hyperlink" Target="https://www.citizensadvice.org.uk/law-and-courts/disputes/mediation/how-mediation-works/" TargetMode="External"/><Relationship Id="rId79" Type="http://schemas.openxmlformats.org/officeDocument/2006/relationships/hyperlink" Target="https://www.citizensadvice.org.uk/law-and-courts/disputes/mediation/how-mediation-works/" TargetMode="External"/><Relationship Id="rId87" Type="http://schemas.openxmlformats.org/officeDocument/2006/relationships/hyperlink" Target="https://uk.sagepub.com/en-gb/afr/recruitment-and-selection/book245193" TargetMode="External"/><Relationship Id="rId102" Type="http://schemas.openxmlformats.org/officeDocument/2006/relationships/hyperlink" Target="https://www.smartsheet.com/content/work-breakdown-structure-templates" TargetMode="External"/><Relationship Id="rId5" Type="http://schemas.openxmlformats.org/officeDocument/2006/relationships/webSettings" Target="webSettings.xml"/><Relationship Id="rId61" Type="http://schemas.microsoft.com/office/2007/relationships/diagramDrawing" Target="diagrams/drawing6.xml"/><Relationship Id="rId82" Type="http://schemas.openxmlformats.org/officeDocument/2006/relationships/hyperlink" Target="https://resolution.org.uk/wp" TargetMode="External"/><Relationship Id="rId90" Type="http://schemas.openxmlformats.org/officeDocument/2006/relationships/hyperlink" Target="https://www.theirm.org/what-we-say/thought-leadership/risk-culture/" TargetMode="External"/><Relationship Id="rId95" Type="http://schemas.openxmlformats.org/officeDocument/2006/relationships/hyperlink" Target="https://onlinelibrary.wiley.com/doi/10.1111/1468-5973.12006" TargetMode="External"/><Relationship Id="rId19" Type="http://schemas.openxmlformats.org/officeDocument/2006/relationships/diagramLayout" Target="diagrams/layout1.xml"/><Relationship Id="rId14" Type="http://schemas.openxmlformats.org/officeDocument/2006/relationships/image" Target="media/image7.png"/><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image" Target="media/image12.png"/><Relationship Id="rId35" Type="http://schemas.openxmlformats.org/officeDocument/2006/relationships/chart" Target="charts/chart2.xml"/><Relationship Id="rId43" Type="http://schemas.openxmlformats.org/officeDocument/2006/relationships/diagramQuickStyle" Target="diagrams/quickStyle4.xml"/><Relationship Id="rId48" Type="http://schemas.openxmlformats.org/officeDocument/2006/relationships/image" Target="media/image19.png"/><Relationship Id="rId56" Type="http://schemas.microsoft.com/office/2007/relationships/diagramDrawing" Target="diagrams/drawing5.xml"/><Relationship Id="rId64" Type="http://schemas.openxmlformats.org/officeDocument/2006/relationships/hyperlink" Target="https://civilmediation.org" TargetMode="External"/><Relationship Id="rId69" Type="http://schemas.openxmlformats.org/officeDocument/2006/relationships/hyperlink" Target="https://www.gov.uk/government/publications/alternative-dispute-resolution" TargetMode="External"/><Relationship Id="rId77" Type="http://schemas.openxmlformats.org/officeDocument/2006/relationships/hyperlink" Target="https://www.gov.uk/guidance/alternative-dispute-resolution-for-consumers" TargetMode="External"/><Relationship Id="rId100" Type="http://schemas.openxmlformats.org/officeDocument/2006/relationships/hyperlink" Target="https://www.pmi.org/learning/library/stage-gate-process-implementation-8456" TargetMode="External"/><Relationship Id="rId105" Type="http://schemas.openxmlformats.org/officeDocument/2006/relationships/footer" Target="footer1.xml"/><Relationship Id="rId8" Type="http://schemas.openxmlformats.org/officeDocument/2006/relationships/image" Target="media/image1.jpg"/><Relationship Id="rId51" Type="http://schemas.openxmlformats.org/officeDocument/2006/relationships/image" Target="media/image22.png"/><Relationship Id="rId72" Type="http://schemas.openxmlformats.org/officeDocument/2006/relationships/hyperlink" Target="https://civilmediation.org" TargetMode="External"/><Relationship Id="rId80" Type="http://schemas.openxmlformats.org/officeDocument/2006/relationships/hyperlink" Target="https://www.gov.uk/guidance/a-guide-to-civil-mediation" TargetMode="External"/><Relationship Id="rId85" Type="http://schemas.openxmlformats.org/officeDocument/2006/relationships/hyperlink" Target="https://uk.sagepub.com/en-gb/eur/strategic-human-resource-management/book242146" TargetMode="External"/><Relationship Id="rId93" Type="http://schemas.openxmlformats.org/officeDocument/2006/relationships/hyperlink" Target="https://www.gov.uk/government/publications/orange-book" TargetMode="External"/><Relationship Id="rId98" Type="http://schemas.openxmlformats.org/officeDocument/2006/relationships/hyperlink" Target="https://civilmediation.org/mediators/code-of-conduc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diagramQuickStyle" Target="diagrams/quickStyle2.xml"/><Relationship Id="rId33" Type="http://schemas.openxmlformats.org/officeDocument/2006/relationships/image" Target="media/image15.png"/><Relationship Id="rId38" Type="http://schemas.openxmlformats.org/officeDocument/2006/relationships/diagramQuickStyle" Target="diagrams/quickStyle3.xml"/><Relationship Id="rId46" Type="http://schemas.openxmlformats.org/officeDocument/2006/relationships/image" Target="media/image17.png"/><Relationship Id="rId59" Type="http://schemas.openxmlformats.org/officeDocument/2006/relationships/diagramQuickStyle" Target="diagrams/quickStyle6.xml"/><Relationship Id="rId67" Type="http://schemas.openxmlformats.org/officeDocument/2006/relationships/hyperlink" Target="https://www.citizensadvice.org.uk/law-and-courts/disputes/mediation/how-mediation-works/" TargetMode="External"/><Relationship Id="rId103" Type="http://schemas.openxmlformats.org/officeDocument/2006/relationships/hyperlink" Target="https://hbr.org/2016/07/you-cant-manage-what-you-cant-measure" TargetMode="External"/><Relationship Id="rId20" Type="http://schemas.openxmlformats.org/officeDocument/2006/relationships/diagramQuickStyle" Target="diagrams/quickStyle1.xml"/><Relationship Id="rId41" Type="http://schemas.openxmlformats.org/officeDocument/2006/relationships/diagramData" Target="diagrams/data4.xml"/><Relationship Id="rId54" Type="http://schemas.openxmlformats.org/officeDocument/2006/relationships/diagramQuickStyle" Target="diagrams/quickStyle5.xml"/><Relationship Id="rId62" Type="http://schemas.openxmlformats.org/officeDocument/2006/relationships/hyperlink" Target="https://www.gov.uk/guidance/alternative-dispute-resolution-for-consumers" TargetMode="External"/><Relationship Id="rId70" Type="http://schemas.openxmlformats.org/officeDocument/2006/relationships/hyperlink" Target="https://www.cipd.org/uk/knowledge/fundamentals/emp-law/ethics-factsheet" TargetMode="External"/><Relationship Id="rId75" Type="http://schemas.openxmlformats.org/officeDocument/2006/relationships/hyperlink" Target="https://www.gov.uk/government/publications/alternative-dispute-resolution" TargetMode="External"/><Relationship Id="rId83" Type="http://schemas.openxmlformats.org/officeDocument/2006/relationships/hyperlink" Target="https://www.civilmediation.org/accreditation/" TargetMode="External"/><Relationship Id="rId88" Type="http://schemas.openxmlformats.org/officeDocument/2006/relationships/hyperlink" Target="https://www.shrm.org/mena/labs/resources/strategic-workforce-planning-navigating-the-future-of-hr" TargetMode="External"/><Relationship Id="rId91" Type="http://schemas.openxmlformats.org/officeDocument/2006/relationships/hyperlink" Target="https://www.iso.org/iso-31000-risk-management.html" TargetMode="External"/><Relationship Id="rId96" Type="http://schemas.openxmlformats.org/officeDocument/2006/relationships/hyperlink" Target="https://www.mckinsey.com/capabilities/risk-and-resilience/our-insigh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diagramData" Target="diagrams/data2.xml"/><Relationship Id="rId28" Type="http://schemas.openxmlformats.org/officeDocument/2006/relationships/image" Target="media/image10.png"/><Relationship Id="rId36" Type="http://schemas.openxmlformats.org/officeDocument/2006/relationships/diagramData" Target="diagrams/data3.xml"/><Relationship Id="rId49" Type="http://schemas.openxmlformats.org/officeDocument/2006/relationships/image" Target="media/image20.png"/><Relationship Id="rId57" Type="http://schemas.openxmlformats.org/officeDocument/2006/relationships/diagramData" Target="diagrams/data6.xml"/><Relationship Id="rId106"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13.png"/><Relationship Id="rId44" Type="http://schemas.openxmlformats.org/officeDocument/2006/relationships/diagramColors" Target="diagrams/colors4.xml"/><Relationship Id="rId52" Type="http://schemas.openxmlformats.org/officeDocument/2006/relationships/diagramData" Target="diagrams/data5.xml"/><Relationship Id="rId60" Type="http://schemas.openxmlformats.org/officeDocument/2006/relationships/diagramColors" Target="diagrams/colors6.xml"/><Relationship Id="rId65" Type="http://schemas.openxmlformats.org/officeDocument/2006/relationships/hyperlink" Target="https://civilmediation.org" TargetMode="External"/><Relationship Id="rId73" Type="http://schemas.openxmlformats.org/officeDocument/2006/relationships/hyperlink" Target="https://www.gov.uk/guidance/alternative-dispute-resolution-for-consumers" TargetMode="External"/><Relationship Id="rId78" Type="http://schemas.openxmlformats.org/officeDocument/2006/relationships/hyperlink" Target="https://civilmediation.org" TargetMode="External"/><Relationship Id="rId81" Type="http://schemas.openxmlformats.org/officeDocument/2006/relationships/hyperlink" Target="https://www.gov.uk/government/consultations/increasing" TargetMode="External"/><Relationship Id="rId86" Type="http://schemas.openxmlformats.org/officeDocument/2006/relationships/hyperlink" Target="https://uk.sagepub.com/en-gb/eur/human-resource-management/book284790" TargetMode="External"/><Relationship Id="rId94" Type="http://schemas.openxmlformats.org/officeDocument/2006/relationships/hyperlink" Target="https://www.sciencedirect.com/science/article/pii/S0377221715007583" TargetMode="External"/><Relationship Id="rId99" Type="http://schemas.openxmlformats.org/officeDocument/2006/relationships/hyperlink" Target="https://www.gov.uk/government/publications/alternative-dispute-resolution-for-consumers" TargetMode="External"/><Relationship Id="rId101" Type="http://schemas.openxmlformats.org/officeDocument/2006/relationships/hyperlink" Target="https://www.cipd.org/uk/knowledge/fundamentals/emp-law/change-management-factsheet"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diagramData" Target="diagrams/data1.xml"/><Relationship Id="rId39" Type="http://schemas.openxmlformats.org/officeDocument/2006/relationships/diagramColors" Target="diagrams/colors3.xml"/><Relationship Id="rId34" Type="http://schemas.openxmlformats.org/officeDocument/2006/relationships/image" Target="media/image16.png"/><Relationship Id="rId50" Type="http://schemas.openxmlformats.org/officeDocument/2006/relationships/image" Target="media/image21.png"/><Relationship Id="rId55" Type="http://schemas.openxmlformats.org/officeDocument/2006/relationships/diagramColors" Target="diagrams/colors5.xml"/><Relationship Id="rId76" Type="http://schemas.openxmlformats.org/officeDocument/2006/relationships/hyperlink" Target="https://www.cipd.org/uk/knowledge/fundamentals/emp-law/ethics-factsheet" TargetMode="External"/><Relationship Id="rId97" Type="http://schemas.openxmlformats.org/officeDocument/2006/relationships/hyperlink" Target="https://www.oecd.org/gov/risk/good-governance-for-critical-risks.htm" TargetMode="External"/><Relationship Id="rId104" Type="http://schemas.openxmlformats.org/officeDocument/2006/relationships/hyperlink" Target="Https://www.gov.uk/guidance/alternative-dispute-resolution-for-consumer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Technology and Tools Usage </c:v>
                </c:pt>
              </c:strCache>
            </c:strRef>
          </c:tx>
          <c:dPt>
            <c:idx val="0"/>
            <c:bubble3D val="0"/>
            <c:spPr>
              <a:solidFill>
                <a:schemeClr val="accent1"/>
              </a:solidFill>
              <a:ln w="19050">
                <a:solidFill>
                  <a:schemeClr val="lt1"/>
                </a:solidFill>
              </a:ln>
              <a:effectLst>
                <a:glow rad="127000">
                  <a:schemeClr val="bg1"/>
                </a:glow>
                <a:softEdge rad="0"/>
              </a:effectLst>
            </c:spPr>
            <c:extLst>
              <c:ext xmlns:c16="http://schemas.microsoft.com/office/drawing/2014/chart" uri="{C3380CC4-5D6E-409C-BE32-E72D297353CC}">
                <c16:uniqueId val="{00000001-0476-4392-8860-F11441D8FE2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76-4392-8860-F11441D8FE2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476-4392-8860-F11441D8FE2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476-4392-8860-F11441D8FE2C}"/>
              </c:ext>
            </c:extLst>
          </c:dPt>
          <c:cat>
            <c:strRef>
              <c:f>Sheet1!$A$2:$A$5</c:f>
              <c:strCache>
                <c:ptCount val="4"/>
                <c:pt idx="0">
                  <c:v>Online Meditiation </c:v>
                </c:pt>
                <c:pt idx="1">
                  <c:v>Document management </c:v>
                </c:pt>
                <c:pt idx="2">
                  <c:v>Schedulling</c:v>
                </c:pt>
                <c:pt idx="3">
                  <c:v>Communication Tools</c:v>
                </c:pt>
              </c:strCache>
            </c:strRef>
          </c:cat>
          <c:val>
            <c:numRef>
              <c:f>Sheet1!$B$2:$B$5</c:f>
              <c:numCache>
                <c:formatCode>0%</c:formatCode>
                <c:ptCount val="4"/>
                <c:pt idx="0">
                  <c:v>0.4</c:v>
                </c:pt>
                <c:pt idx="1">
                  <c:v>0.25</c:v>
                </c:pt>
                <c:pt idx="2">
                  <c:v>0.2</c:v>
                </c:pt>
                <c:pt idx="3">
                  <c:v>0.15</c:v>
                </c:pt>
              </c:numCache>
            </c:numRef>
          </c:val>
          <c:extLst>
            <c:ext xmlns:c16="http://schemas.microsoft.com/office/drawing/2014/chart" uri="{C3380CC4-5D6E-409C-BE32-E72D297353CC}">
              <c16:uniqueId val="{00000008-0476-4392-8860-F11441D8FE2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t>Focus</a:t>
            </a:r>
            <a:r>
              <a:rPr lang="en-US" baseline="0"/>
              <a:t> Areas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0.26630449839603376"/>
          <c:y val="0.10797369078865142"/>
          <c:w val="0.40433162000583261"/>
          <c:h val="0.6931399200099988"/>
        </c:manualLayout>
      </c:layout>
      <c:pieChart>
        <c:varyColors val="1"/>
        <c:ser>
          <c:idx val="0"/>
          <c:order val="0"/>
          <c:tx>
            <c:strRef>
              <c:f>Sheet1!$B$1</c:f>
              <c:strCache>
                <c:ptCount val="1"/>
                <c:pt idx="0">
                  <c:v>Sales</c:v>
                </c:pt>
              </c:strCache>
            </c:strRef>
          </c:tx>
          <c:dPt>
            <c:idx val="0"/>
            <c:bubble3D val="0"/>
            <c:spPr>
              <a:solidFill>
                <a:schemeClr val="accent4">
                  <a:shade val="53000"/>
                </a:schemeClr>
              </a:solidFill>
              <a:ln w="19050">
                <a:solidFill>
                  <a:schemeClr val="lt1"/>
                </a:solidFill>
              </a:ln>
              <a:effectLst/>
            </c:spPr>
            <c:extLst>
              <c:ext xmlns:c16="http://schemas.microsoft.com/office/drawing/2014/chart" uri="{C3380CC4-5D6E-409C-BE32-E72D297353CC}">
                <c16:uniqueId val="{00000001-865D-425A-A5C9-BA7A15EB8329}"/>
              </c:ext>
            </c:extLst>
          </c:dPt>
          <c:dPt>
            <c:idx val="1"/>
            <c:bubble3D val="0"/>
            <c:spPr>
              <a:solidFill>
                <a:schemeClr val="accent4">
                  <a:shade val="76000"/>
                </a:schemeClr>
              </a:solidFill>
              <a:ln w="19050">
                <a:solidFill>
                  <a:schemeClr val="lt1"/>
                </a:solidFill>
              </a:ln>
              <a:effectLst/>
            </c:spPr>
            <c:extLst>
              <c:ext xmlns:c16="http://schemas.microsoft.com/office/drawing/2014/chart" uri="{C3380CC4-5D6E-409C-BE32-E72D297353CC}">
                <c16:uniqueId val="{00000006-865D-425A-A5C9-BA7A15EB8329}"/>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865D-425A-A5C9-BA7A15EB8329}"/>
              </c:ext>
            </c:extLst>
          </c:dPt>
          <c:dPt>
            <c:idx val="3"/>
            <c:bubble3D val="0"/>
            <c:spPr>
              <a:solidFill>
                <a:schemeClr val="accent4">
                  <a:tint val="77000"/>
                </a:schemeClr>
              </a:solidFill>
              <a:ln w="19050">
                <a:solidFill>
                  <a:schemeClr val="lt1"/>
                </a:solidFill>
              </a:ln>
              <a:effectLst/>
            </c:spPr>
            <c:extLst>
              <c:ext xmlns:c16="http://schemas.microsoft.com/office/drawing/2014/chart" uri="{C3380CC4-5D6E-409C-BE32-E72D297353CC}">
                <c16:uniqueId val="{00000004-865D-425A-A5C9-BA7A15EB8329}"/>
              </c:ext>
            </c:extLst>
          </c:dPt>
          <c:dPt>
            <c:idx val="4"/>
            <c:bubble3D val="0"/>
            <c:spPr>
              <a:solidFill>
                <a:schemeClr val="accent4">
                  <a:tint val="54000"/>
                </a:schemeClr>
              </a:solidFill>
              <a:ln w="19050">
                <a:solidFill>
                  <a:schemeClr val="lt1"/>
                </a:solidFill>
              </a:ln>
              <a:effectLst/>
            </c:spPr>
            <c:extLst>
              <c:ext xmlns:c16="http://schemas.microsoft.com/office/drawing/2014/chart" uri="{C3380CC4-5D6E-409C-BE32-E72D297353CC}">
                <c16:uniqueId val="{00000003-865D-425A-A5C9-BA7A15EB8329}"/>
              </c:ext>
            </c:extLst>
          </c:dPt>
          <c:dLbls>
            <c:dLbl>
              <c:idx val="0"/>
              <c:layout>
                <c:manualLayout>
                  <c:x val="-0.14963017643627877"/>
                  <c:y val="0.154564741907261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65D-425A-A5C9-BA7A15EB8329}"/>
                </c:ext>
              </c:extLst>
            </c:dLbl>
            <c:dLbl>
              <c:idx val="1"/>
              <c:layout>
                <c:manualLayout>
                  <c:x val="-0.12339129483814527"/>
                  <c:y val="-0.21170697412823405"/>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865D-425A-A5C9-BA7A15EB8329}"/>
                </c:ext>
              </c:extLst>
            </c:dLbl>
            <c:dLbl>
              <c:idx val="2"/>
              <c:layout>
                <c:manualLayout>
                  <c:x val="0.11791703120443274"/>
                  <c:y val="-0.1998022122234721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65D-425A-A5C9-BA7A15EB8329}"/>
                </c:ext>
              </c:extLst>
            </c:dLbl>
            <c:dLbl>
              <c:idx val="3"/>
              <c:layout>
                <c:manualLayout>
                  <c:x val="0.15581492417614465"/>
                  <c:y val="6.05843019622547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865D-425A-A5C9-BA7A15EB8329}"/>
                </c:ext>
              </c:extLst>
            </c:dLbl>
            <c:dLbl>
              <c:idx val="4"/>
              <c:layout>
                <c:manualLayout>
                  <c:x val="0.1013511592300962"/>
                  <c:y val="0.1993613298337707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65D-425A-A5C9-BA7A15EB8329}"/>
                </c:ext>
              </c:extLst>
            </c:dLbl>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dLblPos val="ct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Training &amp; CPD</c:v>
                </c:pt>
                <c:pt idx="1">
                  <c:v>Advanced Accreditiation</c:v>
                </c:pt>
                <c:pt idx="2">
                  <c:v>Mentorship &amp; coaching </c:v>
                </c:pt>
                <c:pt idx="3">
                  <c:v>Internal Career Prograssion</c:v>
                </c:pt>
                <c:pt idx="4">
                  <c:v>Performance Appraisals</c:v>
                </c:pt>
              </c:strCache>
            </c:strRef>
          </c:cat>
          <c:val>
            <c:numRef>
              <c:f>Sheet1!$B$2:$B$6</c:f>
              <c:numCache>
                <c:formatCode>0%</c:formatCode>
                <c:ptCount val="5"/>
                <c:pt idx="0">
                  <c:v>0.3</c:v>
                </c:pt>
                <c:pt idx="1">
                  <c:v>0.2</c:v>
                </c:pt>
                <c:pt idx="2">
                  <c:v>0.2</c:v>
                </c:pt>
                <c:pt idx="3">
                  <c:v>0.15</c:v>
                </c:pt>
                <c:pt idx="4">
                  <c:v>0.15</c:v>
                </c:pt>
              </c:numCache>
            </c:numRef>
          </c:val>
          <c:extLst>
            <c:ext xmlns:c16="http://schemas.microsoft.com/office/drawing/2014/chart" uri="{C3380CC4-5D6E-409C-BE32-E72D297353CC}">
              <c16:uniqueId val="{00000000-865D-425A-A5C9-BA7A15EB8329}"/>
            </c:ext>
          </c:extLst>
        </c:ser>
        <c:ser>
          <c:idx val="1"/>
          <c:order val="1"/>
          <c:tx>
            <c:strRef>
              <c:f>Sheet1!#REF!</c:f>
              <c:strCache>
                <c:ptCount val="1"/>
                <c:pt idx="0">
                  <c:v>#REF!</c:v>
                </c:pt>
              </c:strCache>
            </c:strRef>
          </c:tx>
          <c:dPt>
            <c:idx val="0"/>
            <c:bubble3D val="0"/>
            <c:spPr>
              <a:solidFill>
                <a:schemeClr val="accent4">
                  <a:shade val="53000"/>
                </a:schemeClr>
              </a:solidFill>
              <a:ln w="19050">
                <a:solidFill>
                  <a:schemeClr val="lt1"/>
                </a:solidFill>
              </a:ln>
              <a:effectLst/>
            </c:spPr>
            <c:extLst>
              <c:ext xmlns:c16="http://schemas.microsoft.com/office/drawing/2014/chart" uri="{C3380CC4-5D6E-409C-BE32-E72D297353CC}">
                <c16:uniqueId val="{0000000B-EC06-40E9-AF71-6923312099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Training &amp; CPD</c:v>
                </c:pt>
                <c:pt idx="1">
                  <c:v>Advanced Accreditiation</c:v>
                </c:pt>
                <c:pt idx="2">
                  <c:v>Mentorship &amp; coaching </c:v>
                </c:pt>
                <c:pt idx="3">
                  <c:v>Internal Career Prograssion</c:v>
                </c:pt>
                <c:pt idx="4">
                  <c:v>Performance Appraisals</c:v>
                </c:pt>
              </c:strCache>
            </c:strRef>
          </c:cat>
          <c:val>
            <c:numRef>
              <c:f>Sheet1!#REF!</c:f>
              <c:numCache>
                <c:formatCode>General</c:formatCode>
                <c:ptCount val="1"/>
                <c:pt idx="0">
                  <c:v>1</c:v>
                </c:pt>
              </c:numCache>
            </c:numRef>
          </c:val>
          <c:extLst>
            <c:ext xmlns:c16="http://schemas.microsoft.com/office/drawing/2014/chart" uri="{C3380CC4-5D6E-409C-BE32-E72D297353CC}">
              <c16:uniqueId val="{00000002-865D-425A-A5C9-BA7A15EB8329}"/>
            </c:ext>
          </c:extLst>
        </c:ser>
        <c:dLbls>
          <c:dLblPos val="bestFit"/>
          <c:showLegendKey val="0"/>
          <c:showVal val="1"/>
          <c:showCatName val="0"/>
          <c:showSerName val="0"/>
          <c:showPercent val="0"/>
          <c:showBubbleSize val="0"/>
          <c:showLeaderLines val="0"/>
        </c:dLbls>
        <c:firstSliceAng val="0"/>
      </c:pieChart>
      <c:spPr>
        <a:noFill/>
        <a:ln>
          <a:noFill/>
        </a:ln>
        <a:effectLst/>
      </c:spPr>
    </c:plotArea>
    <c:legend>
      <c:legendPos val="r"/>
      <c:layout>
        <c:manualLayout>
          <c:xMode val="edge"/>
          <c:yMode val="edge"/>
          <c:x val="0"/>
          <c:y val="0.8208617672790901"/>
          <c:w val="0.99592993584135314"/>
          <c:h val="0.1791382327209098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3917D5-053B-469D-B2AA-493CB1BDA99B}"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0F89E2CF-FF85-4DFD-AFCF-98E500A6885E}">
      <dgm:prSet phldrT="[Text]"/>
      <dgm:spPr/>
      <dgm:t>
        <a:bodyPr/>
        <a:lstStyle/>
        <a:p>
          <a:pPr algn="ctr"/>
          <a:r>
            <a:rPr lang="en-US"/>
            <a:t>1.Choose a company </a:t>
          </a:r>
        </a:p>
      </dgm:t>
    </dgm:pt>
    <dgm:pt modelId="{C1D410FE-948F-48FB-9A64-9E6FC9DEDFC0}" type="parTrans" cxnId="{27944BE2-9A3C-4CE3-A6DF-82504C503264}">
      <dgm:prSet/>
      <dgm:spPr/>
      <dgm:t>
        <a:bodyPr/>
        <a:lstStyle/>
        <a:p>
          <a:pPr algn="ctr"/>
          <a:endParaRPr lang="en-US"/>
        </a:p>
      </dgm:t>
    </dgm:pt>
    <dgm:pt modelId="{618995F3-4DF1-426B-AE41-3659B8C38010}" type="sibTrans" cxnId="{27944BE2-9A3C-4CE3-A6DF-82504C503264}">
      <dgm:prSet/>
      <dgm:spPr/>
      <dgm:t>
        <a:bodyPr/>
        <a:lstStyle/>
        <a:p>
          <a:pPr algn="ctr"/>
          <a:endParaRPr lang="en-US"/>
        </a:p>
      </dgm:t>
    </dgm:pt>
    <dgm:pt modelId="{F4978042-A926-41BE-9D46-278EE9C5A2EA}">
      <dgm:prSet phldrT="[Text]"/>
      <dgm:spPr/>
      <dgm:t>
        <a:bodyPr/>
        <a:lstStyle/>
        <a:p>
          <a:pPr algn="ctr"/>
          <a:r>
            <a:rPr lang="en-US"/>
            <a:t>2.choose a company name </a:t>
          </a:r>
        </a:p>
      </dgm:t>
    </dgm:pt>
    <dgm:pt modelId="{FB4B095B-31AE-48E3-9533-BBB2CFBF6004}" type="parTrans" cxnId="{A52D3874-44FD-4A88-BB6C-C9652373EFBB}">
      <dgm:prSet/>
      <dgm:spPr/>
      <dgm:t>
        <a:bodyPr/>
        <a:lstStyle/>
        <a:p>
          <a:pPr algn="ctr"/>
          <a:endParaRPr lang="en-US"/>
        </a:p>
      </dgm:t>
    </dgm:pt>
    <dgm:pt modelId="{011A571A-A101-4822-9A06-284E9998E7CB}" type="sibTrans" cxnId="{A52D3874-44FD-4A88-BB6C-C9652373EFBB}">
      <dgm:prSet/>
      <dgm:spPr/>
      <dgm:t>
        <a:bodyPr/>
        <a:lstStyle/>
        <a:p>
          <a:pPr algn="ctr"/>
          <a:endParaRPr lang="en-US"/>
        </a:p>
      </dgm:t>
    </dgm:pt>
    <dgm:pt modelId="{FA991DC1-0CA4-41A1-870F-3225CFB1C6CA}">
      <dgm:prSet phldrT="[Text]"/>
      <dgm:spPr/>
      <dgm:t>
        <a:bodyPr/>
        <a:lstStyle/>
        <a:p>
          <a:pPr algn="ctr"/>
          <a:r>
            <a:rPr lang="en-US"/>
            <a:t>3.Company name Avaiblity check uk</a:t>
          </a:r>
        </a:p>
      </dgm:t>
    </dgm:pt>
    <dgm:pt modelId="{0509590C-1905-40F5-A3CE-47C0F9735E0E}" type="parTrans" cxnId="{50A7DFE1-15F0-4ABA-A378-EA9D61C3DB3E}">
      <dgm:prSet/>
      <dgm:spPr/>
      <dgm:t>
        <a:bodyPr/>
        <a:lstStyle/>
        <a:p>
          <a:pPr algn="ctr"/>
          <a:endParaRPr lang="en-US"/>
        </a:p>
      </dgm:t>
    </dgm:pt>
    <dgm:pt modelId="{D9E82B3F-E514-4C6A-ADF1-F722860AB0A5}" type="sibTrans" cxnId="{50A7DFE1-15F0-4ABA-A378-EA9D61C3DB3E}">
      <dgm:prSet/>
      <dgm:spPr/>
      <dgm:t>
        <a:bodyPr/>
        <a:lstStyle/>
        <a:p>
          <a:pPr algn="ctr"/>
          <a:endParaRPr lang="en-US"/>
        </a:p>
      </dgm:t>
    </dgm:pt>
    <dgm:pt modelId="{40C9402B-0103-4663-9791-584352A36A2E}">
      <dgm:prSet phldrT="[Text]"/>
      <dgm:spPr/>
      <dgm:t>
        <a:bodyPr/>
        <a:lstStyle/>
        <a:p>
          <a:pPr algn="ctr"/>
          <a:r>
            <a:rPr lang="en-US"/>
            <a:t>4.Choose a Registrerd Address for my  company</a:t>
          </a:r>
        </a:p>
      </dgm:t>
    </dgm:pt>
    <dgm:pt modelId="{4856B343-C3E3-4D14-B4E1-6B1172C97CCB}" type="parTrans" cxnId="{6002F4A6-0172-4BCA-869D-C27CDFA75EAD}">
      <dgm:prSet/>
      <dgm:spPr/>
      <dgm:t>
        <a:bodyPr/>
        <a:lstStyle/>
        <a:p>
          <a:pPr algn="ctr"/>
          <a:endParaRPr lang="en-US"/>
        </a:p>
      </dgm:t>
    </dgm:pt>
    <dgm:pt modelId="{38816C21-23C1-4C27-8A07-D4F8757FC0CA}" type="sibTrans" cxnId="{6002F4A6-0172-4BCA-869D-C27CDFA75EAD}">
      <dgm:prSet/>
      <dgm:spPr/>
      <dgm:t>
        <a:bodyPr/>
        <a:lstStyle/>
        <a:p>
          <a:pPr algn="ctr"/>
          <a:endParaRPr lang="en-US"/>
        </a:p>
      </dgm:t>
    </dgm:pt>
    <dgm:pt modelId="{E9476CE7-E9F8-49DA-AD08-87587FC866FF}" type="pres">
      <dgm:prSet presAssocID="{923917D5-053B-469D-B2AA-493CB1BDA99B}" presName="diagram" presStyleCnt="0">
        <dgm:presLayoutVars>
          <dgm:dir/>
          <dgm:resizeHandles val="exact"/>
        </dgm:presLayoutVars>
      </dgm:prSet>
      <dgm:spPr/>
    </dgm:pt>
    <dgm:pt modelId="{7F7BC4AF-0F73-4AC6-BFFA-397AE86AD241}" type="pres">
      <dgm:prSet presAssocID="{0F89E2CF-FF85-4DFD-AFCF-98E500A6885E}" presName="node" presStyleLbl="node1" presStyleIdx="0" presStyleCnt="4" custScaleX="73490" custScaleY="67309" custLinFactNeighborX="-1549" custLinFactNeighborY="-115">
        <dgm:presLayoutVars>
          <dgm:bulletEnabled val="1"/>
        </dgm:presLayoutVars>
      </dgm:prSet>
      <dgm:spPr/>
    </dgm:pt>
    <dgm:pt modelId="{D61ECEDF-7A27-4B5B-908E-8B649C7E5FCA}" type="pres">
      <dgm:prSet presAssocID="{618995F3-4DF1-426B-AE41-3659B8C38010}" presName="sibTrans" presStyleCnt="0"/>
      <dgm:spPr/>
    </dgm:pt>
    <dgm:pt modelId="{31A09393-BF54-425A-8B1F-3C8DFA8C59A6}" type="pres">
      <dgm:prSet presAssocID="{F4978042-A926-41BE-9D46-278EE9C5A2EA}" presName="node" presStyleLbl="node1" presStyleIdx="1" presStyleCnt="4" custScaleX="73349" custScaleY="68127" custLinFactNeighborX="229" custLinFactNeighborY="1252">
        <dgm:presLayoutVars>
          <dgm:bulletEnabled val="1"/>
        </dgm:presLayoutVars>
      </dgm:prSet>
      <dgm:spPr/>
    </dgm:pt>
    <dgm:pt modelId="{474A3B82-1A90-4C10-BC17-1433ADDE629C}" type="pres">
      <dgm:prSet presAssocID="{011A571A-A101-4822-9A06-284E9998E7CB}" presName="sibTrans" presStyleCnt="0"/>
      <dgm:spPr/>
    </dgm:pt>
    <dgm:pt modelId="{CF5206E2-48A7-4404-8DF2-6220F617D2C5}" type="pres">
      <dgm:prSet presAssocID="{FA991DC1-0CA4-41A1-870F-3225CFB1C6CA}" presName="node" presStyleLbl="node1" presStyleIdx="2" presStyleCnt="4" custScaleX="71990" custScaleY="69081">
        <dgm:presLayoutVars>
          <dgm:bulletEnabled val="1"/>
        </dgm:presLayoutVars>
      </dgm:prSet>
      <dgm:spPr/>
    </dgm:pt>
    <dgm:pt modelId="{3B337238-0CA1-4254-8484-6F216C162470}" type="pres">
      <dgm:prSet presAssocID="{D9E82B3F-E514-4C6A-ADF1-F722860AB0A5}" presName="sibTrans" presStyleCnt="0"/>
      <dgm:spPr/>
    </dgm:pt>
    <dgm:pt modelId="{01A48E7B-355A-4B92-A6B8-A4757D89CF2D}" type="pres">
      <dgm:prSet presAssocID="{40C9402B-0103-4663-9791-584352A36A2E}" presName="node" presStyleLbl="node1" presStyleIdx="3" presStyleCnt="4" custScaleX="75203" custScaleY="67152">
        <dgm:presLayoutVars>
          <dgm:bulletEnabled val="1"/>
        </dgm:presLayoutVars>
      </dgm:prSet>
      <dgm:spPr/>
    </dgm:pt>
  </dgm:ptLst>
  <dgm:cxnLst>
    <dgm:cxn modelId="{14F9DE07-657D-4D96-B176-207C74D5C305}" type="presOf" srcId="{923917D5-053B-469D-B2AA-493CB1BDA99B}" destId="{E9476CE7-E9F8-49DA-AD08-87587FC866FF}" srcOrd="0" destOrd="0" presId="urn:microsoft.com/office/officeart/2005/8/layout/default"/>
    <dgm:cxn modelId="{0AF4EF52-A3B7-475A-B719-ED7101E822BE}" type="presOf" srcId="{F4978042-A926-41BE-9D46-278EE9C5A2EA}" destId="{31A09393-BF54-425A-8B1F-3C8DFA8C59A6}" srcOrd="0" destOrd="0" presId="urn:microsoft.com/office/officeart/2005/8/layout/default"/>
    <dgm:cxn modelId="{A52D3874-44FD-4A88-BB6C-C9652373EFBB}" srcId="{923917D5-053B-469D-B2AA-493CB1BDA99B}" destId="{F4978042-A926-41BE-9D46-278EE9C5A2EA}" srcOrd="1" destOrd="0" parTransId="{FB4B095B-31AE-48E3-9533-BBB2CFBF6004}" sibTransId="{011A571A-A101-4822-9A06-284E9998E7CB}"/>
    <dgm:cxn modelId="{8EA7657D-BB19-49E4-9C0C-EC47D4910D8B}" type="presOf" srcId="{FA991DC1-0CA4-41A1-870F-3225CFB1C6CA}" destId="{CF5206E2-48A7-4404-8DF2-6220F617D2C5}" srcOrd="0" destOrd="0" presId="urn:microsoft.com/office/officeart/2005/8/layout/default"/>
    <dgm:cxn modelId="{BE3C197F-E74D-4D14-8BCD-EDBDADEDB1A7}" type="presOf" srcId="{0F89E2CF-FF85-4DFD-AFCF-98E500A6885E}" destId="{7F7BC4AF-0F73-4AC6-BFFA-397AE86AD241}" srcOrd="0" destOrd="0" presId="urn:microsoft.com/office/officeart/2005/8/layout/default"/>
    <dgm:cxn modelId="{6002F4A6-0172-4BCA-869D-C27CDFA75EAD}" srcId="{923917D5-053B-469D-B2AA-493CB1BDA99B}" destId="{40C9402B-0103-4663-9791-584352A36A2E}" srcOrd="3" destOrd="0" parTransId="{4856B343-C3E3-4D14-B4E1-6B1172C97CCB}" sibTransId="{38816C21-23C1-4C27-8A07-D4F8757FC0CA}"/>
    <dgm:cxn modelId="{DD13E9CF-0BF8-44FD-BCD8-59FACD113932}" type="presOf" srcId="{40C9402B-0103-4663-9791-584352A36A2E}" destId="{01A48E7B-355A-4B92-A6B8-A4757D89CF2D}" srcOrd="0" destOrd="0" presId="urn:microsoft.com/office/officeart/2005/8/layout/default"/>
    <dgm:cxn modelId="{50A7DFE1-15F0-4ABA-A378-EA9D61C3DB3E}" srcId="{923917D5-053B-469D-B2AA-493CB1BDA99B}" destId="{FA991DC1-0CA4-41A1-870F-3225CFB1C6CA}" srcOrd="2" destOrd="0" parTransId="{0509590C-1905-40F5-A3CE-47C0F9735E0E}" sibTransId="{D9E82B3F-E514-4C6A-ADF1-F722860AB0A5}"/>
    <dgm:cxn modelId="{27944BE2-9A3C-4CE3-A6DF-82504C503264}" srcId="{923917D5-053B-469D-B2AA-493CB1BDA99B}" destId="{0F89E2CF-FF85-4DFD-AFCF-98E500A6885E}" srcOrd="0" destOrd="0" parTransId="{C1D410FE-948F-48FB-9A64-9E6FC9DEDFC0}" sibTransId="{618995F3-4DF1-426B-AE41-3659B8C38010}"/>
    <dgm:cxn modelId="{9F7DC8FE-67AA-45F2-B547-35FFA68689E2}" type="presParOf" srcId="{E9476CE7-E9F8-49DA-AD08-87587FC866FF}" destId="{7F7BC4AF-0F73-4AC6-BFFA-397AE86AD241}" srcOrd="0" destOrd="0" presId="urn:microsoft.com/office/officeart/2005/8/layout/default"/>
    <dgm:cxn modelId="{83D4104F-12CF-47DF-8E75-928C9ECDCBDE}" type="presParOf" srcId="{E9476CE7-E9F8-49DA-AD08-87587FC866FF}" destId="{D61ECEDF-7A27-4B5B-908E-8B649C7E5FCA}" srcOrd="1" destOrd="0" presId="urn:microsoft.com/office/officeart/2005/8/layout/default"/>
    <dgm:cxn modelId="{71D5FF0F-5165-49EA-B67C-4710C96739D0}" type="presParOf" srcId="{E9476CE7-E9F8-49DA-AD08-87587FC866FF}" destId="{31A09393-BF54-425A-8B1F-3C8DFA8C59A6}" srcOrd="2" destOrd="0" presId="urn:microsoft.com/office/officeart/2005/8/layout/default"/>
    <dgm:cxn modelId="{A67EC6F4-469D-4764-9F6E-B6E0435B673F}" type="presParOf" srcId="{E9476CE7-E9F8-49DA-AD08-87587FC866FF}" destId="{474A3B82-1A90-4C10-BC17-1433ADDE629C}" srcOrd="3" destOrd="0" presId="urn:microsoft.com/office/officeart/2005/8/layout/default"/>
    <dgm:cxn modelId="{43874004-64DC-4D6C-BE12-62955B005AE5}" type="presParOf" srcId="{E9476CE7-E9F8-49DA-AD08-87587FC866FF}" destId="{CF5206E2-48A7-4404-8DF2-6220F617D2C5}" srcOrd="4" destOrd="0" presId="urn:microsoft.com/office/officeart/2005/8/layout/default"/>
    <dgm:cxn modelId="{22D4A079-EA07-4F8F-B241-365C5AA6DFE8}" type="presParOf" srcId="{E9476CE7-E9F8-49DA-AD08-87587FC866FF}" destId="{3B337238-0CA1-4254-8484-6F216C162470}" srcOrd="5" destOrd="0" presId="urn:microsoft.com/office/officeart/2005/8/layout/default"/>
    <dgm:cxn modelId="{E50A0992-01E4-49B7-BE78-C51A76BECD66}" type="presParOf" srcId="{E9476CE7-E9F8-49DA-AD08-87587FC866FF}" destId="{01A48E7B-355A-4B92-A6B8-A4757D89CF2D}" srcOrd="6"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E6677D-C687-4656-B1D2-AC34F3A397DD}"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0E6E73DA-9CCF-429B-9818-6E4A0287AC69}">
      <dgm:prSet phldrT="[Text]"/>
      <dgm:spPr/>
      <dgm:t>
        <a:bodyPr/>
        <a:lstStyle/>
        <a:p>
          <a:r>
            <a:rPr lang="en-US"/>
            <a:t>5.Deside on Direhareholders </a:t>
          </a:r>
        </a:p>
      </dgm:t>
    </dgm:pt>
    <dgm:pt modelId="{E68C90BF-5A90-477A-89B5-864218156509}" type="parTrans" cxnId="{F1EFEB2F-ECB9-4856-BC91-4FD9A1BA1C93}">
      <dgm:prSet/>
      <dgm:spPr/>
      <dgm:t>
        <a:bodyPr/>
        <a:lstStyle/>
        <a:p>
          <a:endParaRPr lang="en-US"/>
        </a:p>
      </dgm:t>
    </dgm:pt>
    <dgm:pt modelId="{516BCB2F-E761-4A4A-ABEB-F55084A9D32B}" type="sibTrans" cxnId="{F1EFEB2F-ECB9-4856-BC91-4FD9A1BA1C93}">
      <dgm:prSet/>
      <dgm:spPr/>
      <dgm:t>
        <a:bodyPr/>
        <a:lstStyle/>
        <a:p>
          <a:endParaRPr lang="en-US"/>
        </a:p>
      </dgm:t>
    </dgm:pt>
    <dgm:pt modelId="{C8720820-02B2-429A-B578-C405A5025D4C}">
      <dgm:prSet phldrT="[Text]"/>
      <dgm:spPr/>
      <dgm:t>
        <a:bodyPr/>
        <a:lstStyle/>
        <a:p>
          <a:r>
            <a:rPr lang="en-US"/>
            <a:t>6.Fill out the Company Registration from Online or by mail</a:t>
          </a:r>
        </a:p>
      </dgm:t>
    </dgm:pt>
    <dgm:pt modelId="{AFDE32D6-3387-45BD-88F3-D00903AA8E08}" type="parTrans" cxnId="{FEF642E6-387E-468A-B7CD-602A5C1AC4DB}">
      <dgm:prSet/>
      <dgm:spPr/>
      <dgm:t>
        <a:bodyPr/>
        <a:lstStyle/>
        <a:p>
          <a:endParaRPr lang="en-US"/>
        </a:p>
      </dgm:t>
    </dgm:pt>
    <dgm:pt modelId="{9C70C371-C4AF-4B17-B0CA-E0F0160579D8}" type="sibTrans" cxnId="{FEF642E6-387E-468A-B7CD-602A5C1AC4DB}">
      <dgm:prSet/>
      <dgm:spPr/>
      <dgm:t>
        <a:bodyPr/>
        <a:lstStyle/>
        <a:p>
          <a:endParaRPr lang="en-US"/>
        </a:p>
      </dgm:t>
    </dgm:pt>
    <dgm:pt modelId="{E1FF46F7-7B3E-4A88-BC5E-76662313FB0B}">
      <dgm:prSet phldrT="[Text]"/>
      <dgm:spPr/>
      <dgm:t>
        <a:bodyPr/>
        <a:lstStyle/>
        <a:p>
          <a:r>
            <a:rPr lang="en-US"/>
            <a:t>7.Provide Necessary Information &amp; Required Documents</a:t>
          </a:r>
        </a:p>
      </dgm:t>
    </dgm:pt>
    <dgm:pt modelId="{34DCE91B-8936-413E-989D-BE9ACAE36E2C}" type="parTrans" cxnId="{8B1BF4E7-4C4A-4F70-B1EA-47A209870298}">
      <dgm:prSet/>
      <dgm:spPr/>
      <dgm:t>
        <a:bodyPr/>
        <a:lstStyle/>
        <a:p>
          <a:endParaRPr lang="en-US"/>
        </a:p>
      </dgm:t>
    </dgm:pt>
    <dgm:pt modelId="{12D1BB23-64FC-48AB-936D-7711738F633A}" type="sibTrans" cxnId="{8B1BF4E7-4C4A-4F70-B1EA-47A209870298}">
      <dgm:prSet/>
      <dgm:spPr/>
      <dgm:t>
        <a:bodyPr/>
        <a:lstStyle/>
        <a:p>
          <a:endParaRPr lang="en-US"/>
        </a:p>
      </dgm:t>
    </dgm:pt>
    <dgm:pt modelId="{9B31EEBE-26F3-4282-8071-332983EE3EF2}">
      <dgm:prSet phldrT="[Text]"/>
      <dgm:spPr/>
      <dgm:t>
        <a:bodyPr/>
        <a:lstStyle/>
        <a:p>
          <a:r>
            <a:rPr lang="en-US"/>
            <a:t>8.Submit the registration form</a:t>
          </a:r>
        </a:p>
      </dgm:t>
    </dgm:pt>
    <dgm:pt modelId="{1B66E3DB-50EA-410C-98E9-A291B57FD464}" type="parTrans" cxnId="{67FC243E-E249-47E9-914A-8D868DEFDD50}">
      <dgm:prSet/>
      <dgm:spPr/>
      <dgm:t>
        <a:bodyPr/>
        <a:lstStyle/>
        <a:p>
          <a:endParaRPr lang="en-US"/>
        </a:p>
      </dgm:t>
    </dgm:pt>
    <dgm:pt modelId="{F34F1925-5534-4AEF-8952-D5BFBC6E88C9}" type="sibTrans" cxnId="{67FC243E-E249-47E9-914A-8D868DEFDD50}">
      <dgm:prSet/>
      <dgm:spPr/>
      <dgm:t>
        <a:bodyPr/>
        <a:lstStyle/>
        <a:p>
          <a:endParaRPr lang="en-US"/>
        </a:p>
      </dgm:t>
    </dgm:pt>
    <dgm:pt modelId="{69B47D2C-9E54-4EDE-8AF5-062F509152D0}" type="pres">
      <dgm:prSet presAssocID="{79E6677D-C687-4656-B1D2-AC34F3A397DD}" presName="diagram" presStyleCnt="0">
        <dgm:presLayoutVars>
          <dgm:dir/>
          <dgm:resizeHandles val="exact"/>
        </dgm:presLayoutVars>
      </dgm:prSet>
      <dgm:spPr/>
    </dgm:pt>
    <dgm:pt modelId="{DE3E9D1D-C75E-4CAD-BC1B-9C8999468AAE}" type="pres">
      <dgm:prSet presAssocID="{0E6E73DA-9CCF-429B-9818-6E4A0287AC69}" presName="node" presStyleLbl="node1" presStyleIdx="0" presStyleCnt="4" custScaleX="76865" custScaleY="66360">
        <dgm:presLayoutVars>
          <dgm:bulletEnabled val="1"/>
        </dgm:presLayoutVars>
      </dgm:prSet>
      <dgm:spPr/>
    </dgm:pt>
    <dgm:pt modelId="{22C1C0BA-6712-4CB8-AFBC-4F751C7FF80E}" type="pres">
      <dgm:prSet presAssocID="{516BCB2F-E761-4A4A-ABEB-F55084A9D32B}" presName="sibTrans" presStyleCnt="0"/>
      <dgm:spPr/>
    </dgm:pt>
    <dgm:pt modelId="{5235B83E-ED5B-46E4-AD26-DFD6C1DE80DF}" type="pres">
      <dgm:prSet presAssocID="{C8720820-02B2-429A-B578-C405A5025D4C}" presName="node" presStyleLbl="node1" presStyleIdx="1" presStyleCnt="4" custScaleX="82180" custScaleY="67646" custLinFactNeighborY="608">
        <dgm:presLayoutVars>
          <dgm:bulletEnabled val="1"/>
        </dgm:presLayoutVars>
      </dgm:prSet>
      <dgm:spPr/>
    </dgm:pt>
    <dgm:pt modelId="{E080D66A-C7A2-413E-B9CE-1C9641467EA5}" type="pres">
      <dgm:prSet presAssocID="{9C70C371-C4AF-4B17-B0CA-E0F0160579D8}" presName="sibTrans" presStyleCnt="0"/>
      <dgm:spPr/>
    </dgm:pt>
    <dgm:pt modelId="{286D14E8-35E0-4246-82D8-F860FD18A810}" type="pres">
      <dgm:prSet presAssocID="{E1FF46F7-7B3E-4A88-BC5E-76662313FB0B}" presName="node" presStyleLbl="node1" presStyleIdx="2" presStyleCnt="4" custScaleX="77862" custScaleY="62823">
        <dgm:presLayoutVars>
          <dgm:bulletEnabled val="1"/>
        </dgm:presLayoutVars>
      </dgm:prSet>
      <dgm:spPr/>
    </dgm:pt>
    <dgm:pt modelId="{1A9A2240-7AD1-458A-BA56-7A8AD0A64C31}" type="pres">
      <dgm:prSet presAssocID="{12D1BB23-64FC-48AB-936D-7711738F633A}" presName="sibTrans" presStyleCnt="0"/>
      <dgm:spPr/>
    </dgm:pt>
    <dgm:pt modelId="{91C398BB-EA9F-43FB-9236-A96D7D5550DF}" type="pres">
      <dgm:prSet presAssocID="{9B31EEBE-26F3-4282-8071-332983EE3EF2}" presName="node" presStyleLbl="node1" presStyleIdx="3" presStyleCnt="4" custScaleX="81153" custScaleY="64193" custLinFactNeighborX="1459" custLinFactNeighborY="2431">
        <dgm:presLayoutVars>
          <dgm:bulletEnabled val="1"/>
        </dgm:presLayoutVars>
      </dgm:prSet>
      <dgm:spPr/>
    </dgm:pt>
  </dgm:ptLst>
  <dgm:cxnLst>
    <dgm:cxn modelId="{F1EFEB2F-ECB9-4856-BC91-4FD9A1BA1C93}" srcId="{79E6677D-C687-4656-B1D2-AC34F3A397DD}" destId="{0E6E73DA-9CCF-429B-9818-6E4A0287AC69}" srcOrd="0" destOrd="0" parTransId="{E68C90BF-5A90-477A-89B5-864218156509}" sibTransId="{516BCB2F-E761-4A4A-ABEB-F55084A9D32B}"/>
    <dgm:cxn modelId="{67FC243E-E249-47E9-914A-8D868DEFDD50}" srcId="{79E6677D-C687-4656-B1D2-AC34F3A397DD}" destId="{9B31EEBE-26F3-4282-8071-332983EE3EF2}" srcOrd="3" destOrd="0" parTransId="{1B66E3DB-50EA-410C-98E9-A291B57FD464}" sibTransId="{F34F1925-5534-4AEF-8952-D5BFBC6E88C9}"/>
    <dgm:cxn modelId="{EF1DE380-4B21-4E48-A32D-ABB9BCACC6BA}" type="presOf" srcId="{C8720820-02B2-429A-B578-C405A5025D4C}" destId="{5235B83E-ED5B-46E4-AD26-DFD6C1DE80DF}" srcOrd="0" destOrd="0" presId="urn:microsoft.com/office/officeart/2005/8/layout/default"/>
    <dgm:cxn modelId="{39F88DA2-36C8-4DB0-8701-89BDF5170B27}" type="presOf" srcId="{E1FF46F7-7B3E-4A88-BC5E-76662313FB0B}" destId="{286D14E8-35E0-4246-82D8-F860FD18A810}" srcOrd="0" destOrd="0" presId="urn:microsoft.com/office/officeart/2005/8/layout/default"/>
    <dgm:cxn modelId="{876B0ADC-6E04-4EAD-8FAF-F50CE99A81DE}" type="presOf" srcId="{9B31EEBE-26F3-4282-8071-332983EE3EF2}" destId="{91C398BB-EA9F-43FB-9236-A96D7D5550DF}" srcOrd="0" destOrd="0" presId="urn:microsoft.com/office/officeart/2005/8/layout/default"/>
    <dgm:cxn modelId="{FEF642E6-387E-468A-B7CD-602A5C1AC4DB}" srcId="{79E6677D-C687-4656-B1D2-AC34F3A397DD}" destId="{C8720820-02B2-429A-B578-C405A5025D4C}" srcOrd="1" destOrd="0" parTransId="{AFDE32D6-3387-45BD-88F3-D00903AA8E08}" sibTransId="{9C70C371-C4AF-4B17-B0CA-E0F0160579D8}"/>
    <dgm:cxn modelId="{8B1BF4E7-4C4A-4F70-B1EA-47A209870298}" srcId="{79E6677D-C687-4656-B1D2-AC34F3A397DD}" destId="{E1FF46F7-7B3E-4A88-BC5E-76662313FB0B}" srcOrd="2" destOrd="0" parTransId="{34DCE91B-8936-413E-989D-BE9ACAE36E2C}" sibTransId="{12D1BB23-64FC-48AB-936D-7711738F633A}"/>
    <dgm:cxn modelId="{FD67F7EE-89AD-4E97-9AB7-80B9C616B950}" type="presOf" srcId="{0E6E73DA-9CCF-429B-9818-6E4A0287AC69}" destId="{DE3E9D1D-C75E-4CAD-BC1B-9C8999468AAE}" srcOrd="0" destOrd="0" presId="urn:microsoft.com/office/officeart/2005/8/layout/default"/>
    <dgm:cxn modelId="{B741B0F9-C395-4B69-B261-16D1483A601F}" type="presOf" srcId="{79E6677D-C687-4656-B1D2-AC34F3A397DD}" destId="{69B47D2C-9E54-4EDE-8AF5-062F509152D0}" srcOrd="0" destOrd="0" presId="urn:microsoft.com/office/officeart/2005/8/layout/default"/>
    <dgm:cxn modelId="{92C380E4-C1D0-4A91-90B6-DE9CBB8D3B9E}" type="presParOf" srcId="{69B47D2C-9E54-4EDE-8AF5-062F509152D0}" destId="{DE3E9D1D-C75E-4CAD-BC1B-9C8999468AAE}" srcOrd="0" destOrd="0" presId="urn:microsoft.com/office/officeart/2005/8/layout/default"/>
    <dgm:cxn modelId="{4C3BCA41-D55B-4EC3-8CA0-9F7B3F322BB0}" type="presParOf" srcId="{69B47D2C-9E54-4EDE-8AF5-062F509152D0}" destId="{22C1C0BA-6712-4CB8-AFBC-4F751C7FF80E}" srcOrd="1" destOrd="0" presId="urn:microsoft.com/office/officeart/2005/8/layout/default"/>
    <dgm:cxn modelId="{8491D2A3-7859-4FF7-A73C-02824109C193}" type="presParOf" srcId="{69B47D2C-9E54-4EDE-8AF5-062F509152D0}" destId="{5235B83E-ED5B-46E4-AD26-DFD6C1DE80DF}" srcOrd="2" destOrd="0" presId="urn:microsoft.com/office/officeart/2005/8/layout/default"/>
    <dgm:cxn modelId="{BBB96606-2B42-4A9D-8349-8EF610768F1C}" type="presParOf" srcId="{69B47D2C-9E54-4EDE-8AF5-062F509152D0}" destId="{E080D66A-C7A2-413E-B9CE-1C9641467EA5}" srcOrd="3" destOrd="0" presId="urn:microsoft.com/office/officeart/2005/8/layout/default"/>
    <dgm:cxn modelId="{FC8C18F5-60C3-4E7E-93F0-76C6F2619691}" type="presParOf" srcId="{69B47D2C-9E54-4EDE-8AF5-062F509152D0}" destId="{286D14E8-35E0-4246-82D8-F860FD18A810}" srcOrd="4" destOrd="0" presId="urn:microsoft.com/office/officeart/2005/8/layout/default"/>
    <dgm:cxn modelId="{2708F7ED-C5DC-42A7-A547-3AE96EC79263}" type="presParOf" srcId="{69B47D2C-9E54-4EDE-8AF5-062F509152D0}" destId="{1A9A2240-7AD1-458A-BA56-7A8AD0A64C31}" srcOrd="5" destOrd="0" presId="urn:microsoft.com/office/officeart/2005/8/layout/default"/>
    <dgm:cxn modelId="{0449FD37-5F99-4836-91E7-36041AB14656}" type="presParOf" srcId="{69B47D2C-9E54-4EDE-8AF5-062F509152D0}" destId="{91C398BB-EA9F-43FB-9236-A96D7D5550DF}" srcOrd="6"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F3A6E6C-709B-428B-A8E5-B9ED3B2939C8}" type="doc">
      <dgm:prSet loTypeId="urn:microsoft.com/office/officeart/2005/8/layout/hierarchy4" loCatId="hierarchy" qsTypeId="urn:microsoft.com/office/officeart/2005/8/quickstyle/simple2" qsCatId="simple" csTypeId="urn:microsoft.com/office/officeart/2005/8/colors/colorful2" csCatId="colorful" phldr="1"/>
      <dgm:spPr/>
      <dgm:t>
        <a:bodyPr/>
        <a:lstStyle/>
        <a:p>
          <a:endParaRPr lang="en-US"/>
        </a:p>
      </dgm:t>
    </dgm:pt>
    <dgm:pt modelId="{FDC18DA6-713D-40A4-A637-8624579A5133}">
      <dgm:prSet phldrT="[Text]"/>
      <dgm:spPr/>
      <dgm:t>
        <a:bodyPr/>
        <a:lstStyle/>
        <a:p>
          <a:r>
            <a:rPr lang="en-US"/>
            <a:t>Risk policy</a:t>
          </a:r>
        </a:p>
      </dgm:t>
    </dgm:pt>
    <dgm:pt modelId="{C914252E-2A2D-4FB4-A8B5-08FD9E93F589}" type="parTrans" cxnId="{1D13A0F0-671F-4F5B-ABBA-0520F68F0479}">
      <dgm:prSet/>
      <dgm:spPr/>
      <dgm:t>
        <a:bodyPr/>
        <a:lstStyle/>
        <a:p>
          <a:endParaRPr lang="en-US"/>
        </a:p>
      </dgm:t>
    </dgm:pt>
    <dgm:pt modelId="{15059AAF-20F9-405A-9762-9A9C9CB6A80B}" type="sibTrans" cxnId="{1D13A0F0-671F-4F5B-ABBA-0520F68F0479}">
      <dgm:prSet/>
      <dgm:spPr/>
      <dgm:t>
        <a:bodyPr/>
        <a:lstStyle/>
        <a:p>
          <a:endParaRPr lang="en-US"/>
        </a:p>
      </dgm:t>
    </dgm:pt>
    <dgm:pt modelId="{A0183A76-A455-4380-8D8A-39707D881145}">
      <dgm:prSet phldrT="[Text]"/>
      <dgm:spPr/>
      <dgm:t>
        <a:bodyPr/>
        <a:lstStyle/>
        <a:p>
          <a:r>
            <a:rPr lang="en-US"/>
            <a:t>Control risk</a:t>
          </a:r>
        </a:p>
      </dgm:t>
    </dgm:pt>
    <dgm:pt modelId="{0913A3B3-656A-41B0-85A4-F5FBD80103BF}" type="parTrans" cxnId="{6DFFCE42-C0A7-4AB5-9554-89B854155C4B}">
      <dgm:prSet/>
      <dgm:spPr/>
      <dgm:t>
        <a:bodyPr/>
        <a:lstStyle/>
        <a:p>
          <a:endParaRPr lang="en-US"/>
        </a:p>
      </dgm:t>
    </dgm:pt>
    <dgm:pt modelId="{4D21B461-CCB9-430C-A67E-7A7201FCF28F}" type="sibTrans" cxnId="{6DFFCE42-C0A7-4AB5-9554-89B854155C4B}">
      <dgm:prSet/>
      <dgm:spPr/>
      <dgm:t>
        <a:bodyPr/>
        <a:lstStyle/>
        <a:p>
          <a:endParaRPr lang="en-US"/>
        </a:p>
      </dgm:t>
    </dgm:pt>
    <dgm:pt modelId="{77F5F20A-D3C4-4A06-B6F6-D48B5329B108}">
      <dgm:prSet phldrT="[Text]"/>
      <dgm:spPr/>
      <dgm:t>
        <a:bodyPr/>
        <a:lstStyle/>
        <a:p>
          <a:r>
            <a:rPr lang="en-US"/>
            <a:t>Review risk</a:t>
          </a:r>
        </a:p>
      </dgm:t>
    </dgm:pt>
    <dgm:pt modelId="{B5A1E32D-0ECD-4A85-80C7-3BB310001A81}" type="parTrans" cxnId="{6F036985-3A99-4C30-B1CC-4A663AB89E3E}">
      <dgm:prSet/>
      <dgm:spPr/>
      <dgm:t>
        <a:bodyPr/>
        <a:lstStyle/>
        <a:p>
          <a:endParaRPr lang="en-US"/>
        </a:p>
      </dgm:t>
    </dgm:pt>
    <dgm:pt modelId="{6B6F4E7E-5755-4CB1-B3E9-BECB370C91AE}" type="sibTrans" cxnId="{6F036985-3A99-4C30-B1CC-4A663AB89E3E}">
      <dgm:prSet/>
      <dgm:spPr/>
      <dgm:t>
        <a:bodyPr/>
        <a:lstStyle/>
        <a:p>
          <a:endParaRPr lang="en-US"/>
        </a:p>
      </dgm:t>
    </dgm:pt>
    <dgm:pt modelId="{7A3CCE48-26FA-4744-AF7F-7C71ACE96DA8}">
      <dgm:prSet phldrT="[Text]"/>
      <dgm:spPr/>
      <dgm:t>
        <a:bodyPr/>
        <a:lstStyle/>
        <a:p>
          <a:r>
            <a:rPr lang="en-US"/>
            <a:t>Assess risk</a:t>
          </a:r>
        </a:p>
      </dgm:t>
    </dgm:pt>
    <dgm:pt modelId="{7C68486C-35C9-4861-B3A0-BAD96A87BD78}" type="parTrans" cxnId="{1B488A31-9454-4562-80D1-4C9C5C3BF93C}">
      <dgm:prSet/>
      <dgm:spPr/>
      <dgm:t>
        <a:bodyPr/>
        <a:lstStyle/>
        <a:p>
          <a:endParaRPr lang="en-US"/>
        </a:p>
      </dgm:t>
    </dgm:pt>
    <dgm:pt modelId="{F62CA584-6901-4226-8D93-A53A83C47605}" type="sibTrans" cxnId="{1B488A31-9454-4562-80D1-4C9C5C3BF93C}">
      <dgm:prSet/>
      <dgm:spPr/>
      <dgm:t>
        <a:bodyPr/>
        <a:lstStyle/>
        <a:p>
          <a:endParaRPr lang="en-US"/>
        </a:p>
      </dgm:t>
    </dgm:pt>
    <dgm:pt modelId="{62EF1FCF-9D78-4C5B-ADDC-1EA6F1A4FD1F}">
      <dgm:prSet phldrT="[Text]"/>
      <dgm:spPr/>
      <dgm:t>
        <a:bodyPr/>
        <a:lstStyle/>
        <a:p>
          <a:r>
            <a:rPr lang="en-US"/>
            <a:t>Identify risks</a:t>
          </a:r>
        </a:p>
      </dgm:t>
    </dgm:pt>
    <dgm:pt modelId="{2F79F78D-74C4-4596-96A9-0670671AEEA5}" type="sibTrans" cxnId="{E8395F4A-7E25-4B3C-BD3C-DEEBB05E8930}">
      <dgm:prSet/>
      <dgm:spPr/>
      <dgm:t>
        <a:bodyPr/>
        <a:lstStyle/>
        <a:p>
          <a:endParaRPr lang="en-US"/>
        </a:p>
      </dgm:t>
    </dgm:pt>
    <dgm:pt modelId="{76BC5659-A44F-4C6C-A75B-7B34A633090F}" type="parTrans" cxnId="{E8395F4A-7E25-4B3C-BD3C-DEEBB05E8930}">
      <dgm:prSet/>
      <dgm:spPr/>
      <dgm:t>
        <a:bodyPr/>
        <a:lstStyle/>
        <a:p>
          <a:endParaRPr lang="en-US"/>
        </a:p>
      </dgm:t>
    </dgm:pt>
    <dgm:pt modelId="{4BA7576C-557E-466C-9E6B-7D035BF71C2A}" type="pres">
      <dgm:prSet presAssocID="{EF3A6E6C-709B-428B-A8E5-B9ED3B2939C8}" presName="Name0" presStyleCnt="0">
        <dgm:presLayoutVars>
          <dgm:chPref val="1"/>
          <dgm:dir/>
          <dgm:animOne val="branch"/>
          <dgm:animLvl val="lvl"/>
          <dgm:resizeHandles/>
        </dgm:presLayoutVars>
      </dgm:prSet>
      <dgm:spPr/>
    </dgm:pt>
    <dgm:pt modelId="{139F6171-9677-44F0-89D3-65BAA5369D3D}" type="pres">
      <dgm:prSet presAssocID="{FDC18DA6-713D-40A4-A637-8624579A5133}" presName="vertOne" presStyleCnt="0"/>
      <dgm:spPr/>
    </dgm:pt>
    <dgm:pt modelId="{56FA651A-2C82-44F7-B6E4-782C253D0E27}" type="pres">
      <dgm:prSet presAssocID="{FDC18DA6-713D-40A4-A637-8624579A5133}" presName="txOne" presStyleLbl="node0" presStyleIdx="0" presStyleCnt="1" custLinFactNeighborX="12" custLinFactNeighborY="-28902">
        <dgm:presLayoutVars>
          <dgm:chPref val="3"/>
        </dgm:presLayoutVars>
      </dgm:prSet>
      <dgm:spPr/>
    </dgm:pt>
    <dgm:pt modelId="{D3FEB477-BDFD-4245-B0FD-6B9BA06A8E7C}" type="pres">
      <dgm:prSet presAssocID="{FDC18DA6-713D-40A4-A637-8624579A5133}" presName="parTransOne" presStyleCnt="0"/>
      <dgm:spPr/>
    </dgm:pt>
    <dgm:pt modelId="{98C93B5A-BABB-484D-AB7D-C98CCB1AE025}" type="pres">
      <dgm:prSet presAssocID="{FDC18DA6-713D-40A4-A637-8624579A5133}" presName="horzOne" presStyleCnt="0"/>
      <dgm:spPr/>
    </dgm:pt>
    <dgm:pt modelId="{A511BCAD-9E23-4E5B-A8AD-8CF0424999F7}" type="pres">
      <dgm:prSet presAssocID="{62EF1FCF-9D78-4C5B-ADDC-1EA6F1A4FD1F}" presName="vertTwo" presStyleCnt="0"/>
      <dgm:spPr/>
    </dgm:pt>
    <dgm:pt modelId="{039C8B0B-0E74-4945-9D62-5AC22B276AF2}" type="pres">
      <dgm:prSet presAssocID="{62EF1FCF-9D78-4C5B-ADDC-1EA6F1A4FD1F}" presName="txTwo" presStyleLbl="node2" presStyleIdx="0" presStyleCnt="2" custScaleX="69390" custScaleY="58763">
        <dgm:presLayoutVars>
          <dgm:chPref val="3"/>
        </dgm:presLayoutVars>
      </dgm:prSet>
      <dgm:spPr/>
    </dgm:pt>
    <dgm:pt modelId="{9D292C65-C8F5-431F-99E9-3E575BF1C250}" type="pres">
      <dgm:prSet presAssocID="{62EF1FCF-9D78-4C5B-ADDC-1EA6F1A4FD1F}" presName="parTransTwo" presStyleCnt="0"/>
      <dgm:spPr/>
    </dgm:pt>
    <dgm:pt modelId="{6F324C27-CA70-4D8A-A905-DB60F61FCFF1}" type="pres">
      <dgm:prSet presAssocID="{62EF1FCF-9D78-4C5B-ADDC-1EA6F1A4FD1F}" presName="horzTwo" presStyleCnt="0"/>
      <dgm:spPr/>
    </dgm:pt>
    <dgm:pt modelId="{BC911C41-E553-40AC-9A37-616E4BDC38E9}" type="pres">
      <dgm:prSet presAssocID="{A0183A76-A455-4380-8D8A-39707D881145}" presName="vertThree" presStyleCnt="0"/>
      <dgm:spPr/>
    </dgm:pt>
    <dgm:pt modelId="{3A11CD19-8E7E-49DA-A393-678D6F60E1E3}" type="pres">
      <dgm:prSet presAssocID="{A0183A76-A455-4380-8D8A-39707D881145}" presName="txThree" presStyleLbl="node3" presStyleIdx="0" presStyleCnt="2" custScaleX="1395474" custScaleY="48261" custLinFactX="78103" custLinFactNeighborX="100000" custLinFactNeighborY="28">
        <dgm:presLayoutVars>
          <dgm:chPref val="3"/>
        </dgm:presLayoutVars>
      </dgm:prSet>
      <dgm:spPr/>
    </dgm:pt>
    <dgm:pt modelId="{6B5C2AEF-4B8B-4037-A2BC-70087DB688A8}" type="pres">
      <dgm:prSet presAssocID="{A0183A76-A455-4380-8D8A-39707D881145}" presName="horzThree" presStyleCnt="0"/>
      <dgm:spPr/>
    </dgm:pt>
    <dgm:pt modelId="{16776DE9-C354-4109-ABCD-961A3D697E29}" type="pres">
      <dgm:prSet presAssocID="{4D21B461-CCB9-430C-A67E-7A7201FCF28F}" presName="sibSpaceThree" presStyleCnt="0"/>
      <dgm:spPr/>
    </dgm:pt>
    <dgm:pt modelId="{BD06C125-9EC3-463C-A0E1-F169BCC93125}" type="pres">
      <dgm:prSet presAssocID="{77F5F20A-D3C4-4A06-B6F6-D48B5329B108}" presName="vertThree" presStyleCnt="0"/>
      <dgm:spPr/>
    </dgm:pt>
    <dgm:pt modelId="{20C45520-3700-466F-89AE-CEED935718C7}" type="pres">
      <dgm:prSet presAssocID="{77F5F20A-D3C4-4A06-B6F6-D48B5329B108}" presName="txThree" presStyleLbl="node3" presStyleIdx="1" presStyleCnt="2" custScaleX="1305183" custScaleY="58628" custLinFactX="476962" custLinFactNeighborX="500000" custLinFactNeighborY="20678">
        <dgm:presLayoutVars>
          <dgm:chPref val="3"/>
        </dgm:presLayoutVars>
      </dgm:prSet>
      <dgm:spPr/>
    </dgm:pt>
    <dgm:pt modelId="{D7D2A013-04D5-454E-B1DA-B21F03E9ACC9}" type="pres">
      <dgm:prSet presAssocID="{77F5F20A-D3C4-4A06-B6F6-D48B5329B108}" presName="horzThree" presStyleCnt="0"/>
      <dgm:spPr/>
    </dgm:pt>
    <dgm:pt modelId="{4E01AA88-0E86-4350-A0AE-9C6951CEA437}" type="pres">
      <dgm:prSet presAssocID="{2F79F78D-74C4-4596-96A9-0670671AEEA5}" presName="sibSpaceTwo" presStyleCnt="0"/>
      <dgm:spPr/>
    </dgm:pt>
    <dgm:pt modelId="{A65E4BC4-21A5-497C-9A28-34C4CA2580E4}" type="pres">
      <dgm:prSet presAssocID="{7A3CCE48-26FA-4744-AF7F-7C71ACE96DA8}" presName="vertTwo" presStyleCnt="0"/>
      <dgm:spPr/>
    </dgm:pt>
    <dgm:pt modelId="{6930DAE1-3BC4-4DA5-A4AB-16B4FD8140FD}" type="pres">
      <dgm:prSet presAssocID="{7A3CCE48-26FA-4744-AF7F-7C71ACE96DA8}" presName="txTwo" presStyleLbl="node2" presStyleIdx="1" presStyleCnt="2" custScaleX="964683" custScaleY="54832" custLinFactNeighborX="-13979" custLinFactNeighborY="1692">
        <dgm:presLayoutVars>
          <dgm:chPref val="3"/>
        </dgm:presLayoutVars>
      </dgm:prSet>
      <dgm:spPr/>
    </dgm:pt>
    <dgm:pt modelId="{CFC73882-D0FF-423C-B8DC-FEEDD025C37C}" type="pres">
      <dgm:prSet presAssocID="{7A3CCE48-26FA-4744-AF7F-7C71ACE96DA8}" presName="horzTwo" presStyleCnt="0"/>
      <dgm:spPr/>
    </dgm:pt>
  </dgm:ptLst>
  <dgm:cxnLst>
    <dgm:cxn modelId="{5596A715-D21D-4422-9E88-C0D6AB36A2FC}" type="presOf" srcId="{EF3A6E6C-709B-428B-A8E5-B9ED3B2939C8}" destId="{4BA7576C-557E-466C-9E6B-7D035BF71C2A}" srcOrd="0" destOrd="0" presId="urn:microsoft.com/office/officeart/2005/8/layout/hierarchy4"/>
    <dgm:cxn modelId="{1B488A31-9454-4562-80D1-4C9C5C3BF93C}" srcId="{FDC18DA6-713D-40A4-A637-8624579A5133}" destId="{7A3CCE48-26FA-4744-AF7F-7C71ACE96DA8}" srcOrd="1" destOrd="0" parTransId="{7C68486C-35C9-4861-B3A0-BAD96A87BD78}" sibTransId="{F62CA584-6901-4226-8D93-A53A83C47605}"/>
    <dgm:cxn modelId="{6DFFCE42-C0A7-4AB5-9554-89B854155C4B}" srcId="{62EF1FCF-9D78-4C5B-ADDC-1EA6F1A4FD1F}" destId="{A0183A76-A455-4380-8D8A-39707D881145}" srcOrd="0" destOrd="0" parTransId="{0913A3B3-656A-41B0-85A4-F5FBD80103BF}" sibTransId="{4D21B461-CCB9-430C-A67E-7A7201FCF28F}"/>
    <dgm:cxn modelId="{78887366-FDCB-41F0-B535-2E9C7B8E8476}" type="presOf" srcId="{77F5F20A-D3C4-4A06-B6F6-D48B5329B108}" destId="{20C45520-3700-466F-89AE-CEED935718C7}" srcOrd="0" destOrd="0" presId="urn:microsoft.com/office/officeart/2005/8/layout/hierarchy4"/>
    <dgm:cxn modelId="{E8395F4A-7E25-4B3C-BD3C-DEEBB05E8930}" srcId="{FDC18DA6-713D-40A4-A637-8624579A5133}" destId="{62EF1FCF-9D78-4C5B-ADDC-1EA6F1A4FD1F}" srcOrd="0" destOrd="0" parTransId="{76BC5659-A44F-4C6C-A75B-7B34A633090F}" sibTransId="{2F79F78D-74C4-4596-96A9-0670671AEEA5}"/>
    <dgm:cxn modelId="{3892F84A-5F76-463A-8275-5EA7A61B6373}" type="presOf" srcId="{7A3CCE48-26FA-4744-AF7F-7C71ACE96DA8}" destId="{6930DAE1-3BC4-4DA5-A4AB-16B4FD8140FD}" srcOrd="0" destOrd="0" presId="urn:microsoft.com/office/officeart/2005/8/layout/hierarchy4"/>
    <dgm:cxn modelId="{A0DCC181-7AF5-4312-B0DD-E8309FBE0BD4}" type="presOf" srcId="{A0183A76-A455-4380-8D8A-39707D881145}" destId="{3A11CD19-8E7E-49DA-A393-678D6F60E1E3}" srcOrd="0" destOrd="0" presId="urn:microsoft.com/office/officeart/2005/8/layout/hierarchy4"/>
    <dgm:cxn modelId="{6F036985-3A99-4C30-B1CC-4A663AB89E3E}" srcId="{62EF1FCF-9D78-4C5B-ADDC-1EA6F1A4FD1F}" destId="{77F5F20A-D3C4-4A06-B6F6-D48B5329B108}" srcOrd="1" destOrd="0" parTransId="{B5A1E32D-0ECD-4A85-80C7-3BB310001A81}" sibTransId="{6B6F4E7E-5755-4CB1-B3E9-BECB370C91AE}"/>
    <dgm:cxn modelId="{951D44C3-912E-48BE-B046-9FE8D97569F0}" type="presOf" srcId="{62EF1FCF-9D78-4C5B-ADDC-1EA6F1A4FD1F}" destId="{039C8B0B-0E74-4945-9D62-5AC22B276AF2}" srcOrd="0" destOrd="0" presId="urn:microsoft.com/office/officeart/2005/8/layout/hierarchy4"/>
    <dgm:cxn modelId="{27DED2E2-4AF9-48E9-95E2-8546BBD9279D}" type="presOf" srcId="{FDC18DA6-713D-40A4-A637-8624579A5133}" destId="{56FA651A-2C82-44F7-B6E4-782C253D0E27}" srcOrd="0" destOrd="0" presId="urn:microsoft.com/office/officeart/2005/8/layout/hierarchy4"/>
    <dgm:cxn modelId="{1D13A0F0-671F-4F5B-ABBA-0520F68F0479}" srcId="{EF3A6E6C-709B-428B-A8E5-B9ED3B2939C8}" destId="{FDC18DA6-713D-40A4-A637-8624579A5133}" srcOrd="0" destOrd="0" parTransId="{C914252E-2A2D-4FB4-A8B5-08FD9E93F589}" sibTransId="{15059AAF-20F9-405A-9762-9A9C9CB6A80B}"/>
    <dgm:cxn modelId="{2B50F643-59D0-44E6-98CD-2B295CF19BF4}" type="presParOf" srcId="{4BA7576C-557E-466C-9E6B-7D035BF71C2A}" destId="{139F6171-9677-44F0-89D3-65BAA5369D3D}" srcOrd="0" destOrd="0" presId="urn:microsoft.com/office/officeart/2005/8/layout/hierarchy4"/>
    <dgm:cxn modelId="{57267D8B-6E2C-4A38-91F9-00CEEFAF40D5}" type="presParOf" srcId="{139F6171-9677-44F0-89D3-65BAA5369D3D}" destId="{56FA651A-2C82-44F7-B6E4-782C253D0E27}" srcOrd="0" destOrd="0" presId="urn:microsoft.com/office/officeart/2005/8/layout/hierarchy4"/>
    <dgm:cxn modelId="{F594FAA2-9716-4567-BE4B-ACBC8C86FF31}" type="presParOf" srcId="{139F6171-9677-44F0-89D3-65BAA5369D3D}" destId="{D3FEB477-BDFD-4245-B0FD-6B9BA06A8E7C}" srcOrd="1" destOrd="0" presId="urn:microsoft.com/office/officeart/2005/8/layout/hierarchy4"/>
    <dgm:cxn modelId="{0DD00CAE-7B8B-4F66-8441-F97863750EC2}" type="presParOf" srcId="{139F6171-9677-44F0-89D3-65BAA5369D3D}" destId="{98C93B5A-BABB-484D-AB7D-C98CCB1AE025}" srcOrd="2" destOrd="0" presId="urn:microsoft.com/office/officeart/2005/8/layout/hierarchy4"/>
    <dgm:cxn modelId="{8BB789F4-7AE6-4495-A98D-DC8EC9A203BF}" type="presParOf" srcId="{98C93B5A-BABB-484D-AB7D-C98CCB1AE025}" destId="{A511BCAD-9E23-4E5B-A8AD-8CF0424999F7}" srcOrd="0" destOrd="0" presId="urn:microsoft.com/office/officeart/2005/8/layout/hierarchy4"/>
    <dgm:cxn modelId="{D0E3456C-C6DE-4567-AD5D-24E5F75AC86A}" type="presParOf" srcId="{A511BCAD-9E23-4E5B-A8AD-8CF0424999F7}" destId="{039C8B0B-0E74-4945-9D62-5AC22B276AF2}" srcOrd="0" destOrd="0" presId="urn:microsoft.com/office/officeart/2005/8/layout/hierarchy4"/>
    <dgm:cxn modelId="{BED1FEEF-73AD-456F-BF1B-3F17F2332380}" type="presParOf" srcId="{A511BCAD-9E23-4E5B-A8AD-8CF0424999F7}" destId="{9D292C65-C8F5-431F-99E9-3E575BF1C250}" srcOrd="1" destOrd="0" presId="urn:microsoft.com/office/officeart/2005/8/layout/hierarchy4"/>
    <dgm:cxn modelId="{1248D1F3-1CC7-461D-9993-4E03FC4C7D79}" type="presParOf" srcId="{A511BCAD-9E23-4E5B-A8AD-8CF0424999F7}" destId="{6F324C27-CA70-4D8A-A905-DB60F61FCFF1}" srcOrd="2" destOrd="0" presId="urn:microsoft.com/office/officeart/2005/8/layout/hierarchy4"/>
    <dgm:cxn modelId="{F9619B44-B29C-4A3F-952A-293F082A6EB9}" type="presParOf" srcId="{6F324C27-CA70-4D8A-A905-DB60F61FCFF1}" destId="{BC911C41-E553-40AC-9A37-616E4BDC38E9}" srcOrd="0" destOrd="0" presId="urn:microsoft.com/office/officeart/2005/8/layout/hierarchy4"/>
    <dgm:cxn modelId="{BE969706-7F6D-43C5-8781-5C616B473460}" type="presParOf" srcId="{BC911C41-E553-40AC-9A37-616E4BDC38E9}" destId="{3A11CD19-8E7E-49DA-A393-678D6F60E1E3}" srcOrd="0" destOrd="0" presId="urn:microsoft.com/office/officeart/2005/8/layout/hierarchy4"/>
    <dgm:cxn modelId="{0CDC2D40-4F98-49BE-BC33-2BD50F683559}" type="presParOf" srcId="{BC911C41-E553-40AC-9A37-616E4BDC38E9}" destId="{6B5C2AEF-4B8B-4037-A2BC-70087DB688A8}" srcOrd="1" destOrd="0" presId="urn:microsoft.com/office/officeart/2005/8/layout/hierarchy4"/>
    <dgm:cxn modelId="{4DE2852E-2B79-493E-A703-05265E2413AD}" type="presParOf" srcId="{6F324C27-CA70-4D8A-A905-DB60F61FCFF1}" destId="{16776DE9-C354-4109-ABCD-961A3D697E29}" srcOrd="1" destOrd="0" presId="urn:microsoft.com/office/officeart/2005/8/layout/hierarchy4"/>
    <dgm:cxn modelId="{4E2FFFA3-2277-46AC-8B8E-FFC68A0D2809}" type="presParOf" srcId="{6F324C27-CA70-4D8A-A905-DB60F61FCFF1}" destId="{BD06C125-9EC3-463C-A0E1-F169BCC93125}" srcOrd="2" destOrd="0" presId="urn:microsoft.com/office/officeart/2005/8/layout/hierarchy4"/>
    <dgm:cxn modelId="{E6D3A5D0-8717-4102-A7DD-9E6447333E12}" type="presParOf" srcId="{BD06C125-9EC3-463C-A0E1-F169BCC93125}" destId="{20C45520-3700-466F-89AE-CEED935718C7}" srcOrd="0" destOrd="0" presId="urn:microsoft.com/office/officeart/2005/8/layout/hierarchy4"/>
    <dgm:cxn modelId="{E1FCBE96-5321-4DB6-A71D-7D796CF97866}" type="presParOf" srcId="{BD06C125-9EC3-463C-A0E1-F169BCC93125}" destId="{D7D2A013-04D5-454E-B1DA-B21F03E9ACC9}" srcOrd="1" destOrd="0" presId="urn:microsoft.com/office/officeart/2005/8/layout/hierarchy4"/>
    <dgm:cxn modelId="{3696D6FD-5045-41F6-A479-50316B9E4012}" type="presParOf" srcId="{98C93B5A-BABB-484D-AB7D-C98CCB1AE025}" destId="{4E01AA88-0E86-4350-A0AE-9C6951CEA437}" srcOrd="1" destOrd="0" presId="urn:microsoft.com/office/officeart/2005/8/layout/hierarchy4"/>
    <dgm:cxn modelId="{374D6C6A-7CB7-4464-B7E7-400F4E704348}" type="presParOf" srcId="{98C93B5A-BABB-484D-AB7D-C98CCB1AE025}" destId="{A65E4BC4-21A5-497C-9A28-34C4CA2580E4}" srcOrd="2" destOrd="0" presId="urn:microsoft.com/office/officeart/2005/8/layout/hierarchy4"/>
    <dgm:cxn modelId="{0E7CD863-887B-402C-BF7A-BD5C555F32B0}" type="presParOf" srcId="{A65E4BC4-21A5-497C-9A28-34C4CA2580E4}" destId="{6930DAE1-3BC4-4DA5-A4AB-16B4FD8140FD}" srcOrd="0" destOrd="0" presId="urn:microsoft.com/office/officeart/2005/8/layout/hierarchy4"/>
    <dgm:cxn modelId="{F7AC56B3-E26E-4776-98DF-920AA93D88BE}" type="presParOf" srcId="{A65E4BC4-21A5-497C-9A28-34C4CA2580E4}" destId="{CFC73882-D0FF-423C-B8DC-FEEDD025C37C}" srcOrd="1" destOrd="0" presId="urn:microsoft.com/office/officeart/2005/8/layout/hierarchy4"/>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6AF8301-2BCF-4752-9C56-BF561DB4C8B6}"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US"/>
        </a:p>
      </dgm:t>
    </dgm:pt>
    <dgm:pt modelId="{1545DBA6-C18C-4DF2-93B4-B5ACB704DB72}">
      <dgm:prSet phldrT="[Text]"/>
      <dgm:spPr/>
      <dgm:t>
        <a:bodyPr/>
        <a:lstStyle/>
        <a:p>
          <a:r>
            <a:rPr lang="en-US"/>
            <a:t>Governance</a:t>
          </a:r>
        </a:p>
      </dgm:t>
    </dgm:pt>
    <dgm:pt modelId="{E5A00318-206B-41AB-9193-CEE8E4754A6F}" type="parTrans" cxnId="{AE65E19B-261D-4F4A-AA55-152634F9BB02}">
      <dgm:prSet/>
      <dgm:spPr/>
      <dgm:t>
        <a:bodyPr/>
        <a:lstStyle/>
        <a:p>
          <a:endParaRPr lang="en-US"/>
        </a:p>
      </dgm:t>
    </dgm:pt>
    <dgm:pt modelId="{9E0477FB-3835-4AD4-9B7A-AAD34356766A}" type="sibTrans" cxnId="{AE65E19B-261D-4F4A-AA55-152634F9BB02}">
      <dgm:prSet/>
      <dgm:spPr/>
      <dgm:t>
        <a:bodyPr/>
        <a:lstStyle/>
        <a:p>
          <a:endParaRPr lang="en-US"/>
        </a:p>
      </dgm:t>
    </dgm:pt>
    <dgm:pt modelId="{1D804A26-98BC-4454-942B-8FC3245EEEFA}">
      <dgm:prSet phldrT="[Text]"/>
      <dgm:spPr/>
      <dgm:t>
        <a:bodyPr/>
        <a:lstStyle/>
        <a:p>
          <a:r>
            <a:rPr lang="en-US"/>
            <a:t>Managing Director</a:t>
          </a:r>
        </a:p>
      </dgm:t>
    </dgm:pt>
    <dgm:pt modelId="{B7FD182E-339F-40D3-9185-279ED8BDE205}" type="parTrans" cxnId="{E579D239-D8FD-4A23-AC6B-5F8E970774DB}">
      <dgm:prSet/>
      <dgm:spPr/>
      <dgm:t>
        <a:bodyPr/>
        <a:lstStyle/>
        <a:p>
          <a:endParaRPr lang="en-US"/>
        </a:p>
      </dgm:t>
    </dgm:pt>
    <dgm:pt modelId="{D553CEBE-79D4-45B4-8142-E4F64F4E3FB5}" type="sibTrans" cxnId="{E579D239-D8FD-4A23-AC6B-5F8E970774DB}">
      <dgm:prSet/>
      <dgm:spPr/>
      <dgm:t>
        <a:bodyPr/>
        <a:lstStyle/>
        <a:p>
          <a:endParaRPr lang="en-US"/>
        </a:p>
      </dgm:t>
    </dgm:pt>
    <dgm:pt modelId="{592E5A87-BE6E-4051-B538-D52ADF39C46A}">
      <dgm:prSet phldrT="[Text]"/>
      <dgm:spPr/>
      <dgm:t>
        <a:bodyPr/>
        <a:lstStyle/>
        <a:p>
          <a:r>
            <a:rPr lang="en-US"/>
            <a:t>Legal Support</a:t>
          </a:r>
        </a:p>
      </dgm:t>
    </dgm:pt>
    <dgm:pt modelId="{B62359A5-9100-41FC-A6F3-95E2F7F3548D}" type="parTrans" cxnId="{A2ACF896-00D6-4269-854C-13D82F72773D}">
      <dgm:prSet/>
      <dgm:spPr/>
      <dgm:t>
        <a:bodyPr/>
        <a:lstStyle/>
        <a:p>
          <a:endParaRPr lang="en-US"/>
        </a:p>
      </dgm:t>
    </dgm:pt>
    <dgm:pt modelId="{81634239-66FE-4AF6-9DC0-D3E7CB3CD603}" type="sibTrans" cxnId="{A2ACF896-00D6-4269-854C-13D82F72773D}">
      <dgm:prSet/>
      <dgm:spPr/>
      <dgm:t>
        <a:bodyPr/>
        <a:lstStyle/>
        <a:p>
          <a:endParaRPr lang="en-US"/>
        </a:p>
      </dgm:t>
    </dgm:pt>
    <dgm:pt modelId="{19E2D2A7-97A7-4E5A-BAFC-087CB962BA31}">
      <dgm:prSet phldrT="[Text]"/>
      <dgm:spPr/>
      <dgm:t>
        <a:bodyPr/>
        <a:lstStyle/>
        <a:p>
          <a:r>
            <a:rPr lang="en-US"/>
            <a:t>Case Coordinator</a:t>
          </a:r>
        </a:p>
      </dgm:t>
    </dgm:pt>
    <dgm:pt modelId="{C957FBC1-968F-465A-8AA1-C8B672DD6EA2}" type="parTrans" cxnId="{0FAA254B-CCD5-4DA8-8844-3D5E30A9AB69}">
      <dgm:prSet/>
      <dgm:spPr/>
      <dgm:t>
        <a:bodyPr/>
        <a:lstStyle/>
        <a:p>
          <a:endParaRPr lang="en-US"/>
        </a:p>
      </dgm:t>
    </dgm:pt>
    <dgm:pt modelId="{56F54BC2-12D7-4FE0-94A2-43505D4E2DF3}" type="sibTrans" cxnId="{0FAA254B-CCD5-4DA8-8844-3D5E30A9AB69}">
      <dgm:prSet/>
      <dgm:spPr/>
      <dgm:t>
        <a:bodyPr/>
        <a:lstStyle/>
        <a:p>
          <a:endParaRPr lang="en-US"/>
        </a:p>
      </dgm:t>
    </dgm:pt>
    <dgm:pt modelId="{E38374D0-5B87-4808-BE16-96375CEABCD7}" type="pres">
      <dgm:prSet presAssocID="{26AF8301-2BCF-4752-9C56-BF561DB4C8B6}" presName="Name0" presStyleCnt="0">
        <dgm:presLayoutVars>
          <dgm:chMax val="1"/>
          <dgm:chPref val="1"/>
          <dgm:dir/>
          <dgm:animOne val="branch"/>
          <dgm:animLvl val="lvl"/>
        </dgm:presLayoutVars>
      </dgm:prSet>
      <dgm:spPr/>
    </dgm:pt>
    <dgm:pt modelId="{AD33824A-58E2-4D1B-965C-05CE6851D454}" type="pres">
      <dgm:prSet presAssocID="{1545DBA6-C18C-4DF2-93B4-B5ACB704DB72}" presName="singleCycle" presStyleCnt="0"/>
      <dgm:spPr/>
    </dgm:pt>
    <dgm:pt modelId="{41D858D5-78A6-44F7-BEF7-C9D1DF1FDF0B}" type="pres">
      <dgm:prSet presAssocID="{1545DBA6-C18C-4DF2-93B4-B5ACB704DB72}" presName="singleCenter" presStyleLbl="node1" presStyleIdx="0" presStyleCnt="4" custScaleX="152404">
        <dgm:presLayoutVars>
          <dgm:chMax val="7"/>
          <dgm:chPref val="7"/>
        </dgm:presLayoutVars>
      </dgm:prSet>
      <dgm:spPr/>
    </dgm:pt>
    <dgm:pt modelId="{A9B7E1BF-45BD-4682-BC8B-F42C8AED5D06}" type="pres">
      <dgm:prSet presAssocID="{B7FD182E-339F-40D3-9185-279ED8BDE205}" presName="Name56" presStyleLbl="parChTrans1D2" presStyleIdx="0" presStyleCnt="3"/>
      <dgm:spPr/>
    </dgm:pt>
    <dgm:pt modelId="{DF8F74EA-AF68-48D1-AFC5-964BCB4A5335}" type="pres">
      <dgm:prSet presAssocID="{1D804A26-98BC-4454-942B-8FC3245EEEFA}" presName="text0" presStyleLbl="node1" presStyleIdx="1" presStyleCnt="4" custScaleX="149749" custScaleY="150775" custRadScaleRad="89129" custRadScaleInc="-8424">
        <dgm:presLayoutVars>
          <dgm:bulletEnabled val="1"/>
        </dgm:presLayoutVars>
      </dgm:prSet>
      <dgm:spPr/>
    </dgm:pt>
    <dgm:pt modelId="{00D69CDB-150F-4FB2-9657-ECA50E5D9109}" type="pres">
      <dgm:prSet presAssocID="{B62359A5-9100-41FC-A6F3-95E2F7F3548D}" presName="Name56" presStyleLbl="parChTrans1D2" presStyleIdx="1" presStyleCnt="3"/>
      <dgm:spPr/>
    </dgm:pt>
    <dgm:pt modelId="{219215D9-8BFA-4652-BD3B-EC21BB1DF427}" type="pres">
      <dgm:prSet presAssocID="{592E5A87-BE6E-4051-B538-D52ADF39C46A}" presName="text0" presStyleLbl="node1" presStyleIdx="2" presStyleCnt="4" custScaleX="136650" custScaleY="186177">
        <dgm:presLayoutVars>
          <dgm:bulletEnabled val="1"/>
        </dgm:presLayoutVars>
      </dgm:prSet>
      <dgm:spPr/>
    </dgm:pt>
    <dgm:pt modelId="{7034C1C5-9234-48F5-9975-3C0CAFA3FCE7}" type="pres">
      <dgm:prSet presAssocID="{C957FBC1-968F-465A-8AA1-C8B672DD6EA2}" presName="Name56" presStyleLbl="parChTrans1D2" presStyleIdx="2" presStyleCnt="3"/>
      <dgm:spPr/>
    </dgm:pt>
    <dgm:pt modelId="{AB940A30-0005-48C9-93F2-3BACB62868B0}" type="pres">
      <dgm:prSet presAssocID="{19E2D2A7-97A7-4E5A-BAFC-087CB962BA31}" presName="text0" presStyleLbl="node1" presStyleIdx="3" presStyleCnt="4" custScaleX="134492" custScaleY="171277">
        <dgm:presLayoutVars>
          <dgm:bulletEnabled val="1"/>
        </dgm:presLayoutVars>
      </dgm:prSet>
      <dgm:spPr/>
    </dgm:pt>
  </dgm:ptLst>
  <dgm:cxnLst>
    <dgm:cxn modelId="{2CBC8506-3428-4864-9060-4A21DE3145F3}" type="presOf" srcId="{1545DBA6-C18C-4DF2-93B4-B5ACB704DB72}" destId="{41D858D5-78A6-44F7-BEF7-C9D1DF1FDF0B}" srcOrd="0" destOrd="0" presId="urn:microsoft.com/office/officeart/2008/layout/RadialCluster"/>
    <dgm:cxn modelId="{E579D239-D8FD-4A23-AC6B-5F8E970774DB}" srcId="{1545DBA6-C18C-4DF2-93B4-B5ACB704DB72}" destId="{1D804A26-98BC-4454-942B-8FC3245EEEFA}" srcOrd="0" destOrd="0" parTransId="{B7FD182E-339F-40D3-9185-279ED8BDE205}" sibTransId="{D553CEBE-79D4-45B4-8142-E4F64F4E3FB5}"/>
    <dgm:cxn modelId="{E059FD5E-2CD6-4058-8A00-BE1D73867B55}" type="presOf" srcId="{26AF8301-2BCF-4752-9C56-BF561DB4C8B6}" destId="{E38374D0-5B87-4808-BE16-96375CEABCD7}" srcOrd="0" destOrd="0" presId="urn:microsoft.com/office/officeart/2008/layout/RadialCluster"/>
    <dgm:cxn modelId="{0FAA254B-CCD5-4DA8-8844-3D5E30A9AB69}" srcId="{1545DBA6-C18C-4DF2-93B4-B5ACB704DB72}" destId="{19E2D2A7-97A7-4E5A-BAFC-087CB962BA31}" srcOrd="2" destOrd="0" parTransId="{C957FBC1-968F-465A-8AA1-C8B672DD6EA2}" sibTransId="{56F54BC2-12D7-4FE0-94A2-43505D4E2DF3}"/>
    <dgm:cxn modelId="{7AC37070-4BC3-4011-A408-BDDF362F57FC}" type="presOf" srcId="{19E2D2A7-97A7-4E5A-BAFC-087CB962BA31}" destId="{AB940A30-0005-48C9-93F2-3BACB62868B0}" srcOrd="0" destOrd="0" presId="urn:microsoft.com/office/officeart/2008/layout/RadialCluster"/>
    <dgm:cxn modelId="{B1FFE87D-34FC-4843-BCDC-7D7866DBA5F5}" type="presOf" srcId="{592E5A87-BE6E-4051-B538-D52ADF39C46A}" destId="{219215D9-8BFA-4652-BD3B-EC21BB1DF427}" srcOrd="0" destOrd="0" presId="urn:microsoft.com/office/officeart/2008/layout/RadialCluster"/>
    <dgm:cxn modelId="{A2ACF896-00D6-4269-854C-13D82F72773D}" srcId="{1545DBA6-C18C-4DF2-93B4-B5ACB704DB72}" destId="{592E5A87-BE6E-4051-B538-D52ADF39C46A}" srcOrd="1" destOrd="0" parTransId="{B62359A5-9100-41FC-A6F3-95E2F7F3548D}" sibTransId="{81634239-66FE-4AF6-9DC0-D3E7CB3CD603}"/>
    <dgm:cxn modelId="{AE65E19B-261D-4F4A-AA55-152634F9BB02}" srcId="{26AF8301-2BCF-4752-9C56-BF561DB4C8B6}" destId="{1545DBA6-C18C-4DF2-93B4-B5ACB704DB72}" srcOrd="0" destOrd="0" parTransId="{E5A00318-206B-41AB-9193-CEE8E4754A6F}" sibTransId="{9E0477FB-3835-4AD4-9B7A-AAD34356766A}"/>
    <dgm:cxn modelId="{BF77689C-555E-4BC4-9B95-F42AD3D4D2BC}" type="presOf" srcId="{C957FBC1-968F-465A-8AA1-C8B672DD6EA2}" destId="{7034C1C5-9234-48F5-9975-3C0CAFA3FCE7}" srcOrd="0" destOrd="0" presId="urn:microsoft.com/office/officeart/2008/layout/RadialCluster"/>
    <dgm:cxn modelId="{B75346AD-52AB-44DA-920A-4B1197536CE8}" type="presOf" srcId="{1D804A26-98BC-4454-942B-8FC3245EEEFA}" destId="{DF8F74EA-AF68-48D1-AFC5-964BCB4A5335}" srcOrd="0" destOrd="0" presId="urn:microsoft.com/office/officeart/2008/layout/RadialCluster"/>
    <dgm:cxn modelId="{CB3835D0-221D-49B4-925B-DF4C3344E5C6}" type="presOf" srcId="{B7FD182E-339F-40D3-9185-279ED8BDE205}" destId="{A9B7E1BF-45BD-4682-BC8B-F42C8AED5D06}" srcOrd="0" destOrd="0" presId="urn:microsoft.com/office/officeart/2008/layout/RadialCluster"/>
    <dgm:cxn modelId="{6DD4FEEF-C08A-49B8-9CA6-D2068125E27E}" type="presOf" srcId="{B62359A5-9100-41FC-A6F3-95E2F7F3548D}" destId="{00D69CDB-150F-4FB2-9657-ECA50E5D9109}" srcOrd="0" destOrd="0" presId="urn:microsoft.com/office/officeart/2008/layout/RadialCluster"/>
    <dgm:cxn modelId="{051950CE-43C5-4FE1-B79A-EB6A4DAF9432}" type="presParOf" srcId="{E38374D0-5B87-4808-BE16-96375CEABCD7}" destId="{AD33824A-58E2-4D1B-965C-05CE6851D454}" srcOrd="0" destOrd="0" presId="urn:microsoft.com/office/officeart/2008/layout/RadialCluster"/>
    <dgm:cxn modelId="{7EA8B9FB-32DA-4021-AD70-75CA8C36CB40}" type="presParOf" srcId="{AD33824A-58E2-4D1B-965C-05CE6851D454}" destId="{41D858D5-78A6-44F7-BEF7-C9D1DF1FDF0B}" srcOrd="0" destOrd="0" presId="urn:microsoft.com/office/officeart/2008/layout/RadialCluster"/>
    <dgm:cxn modelId="{9CCCEF35-542E-423C-B9E8-C7B4B99058DA}" type="presParOf" srcId="{AD33824A-58E2-4D1B-965C-05CE6851D454}" destId="{A9B7E1BF-45BD-4682-BC8B-F42C8AED5D06}" srcOrd="1" destOrd="0" presId="urn:microsoft.com/office/officeart/2008/layout/RadialCluster"/>
    <dgm:cxn modelId="{F55B76E5-36DA-46E3-9B72-79B1DC07F858}" type="presParOf" srcId="{AD33824A-58E2-4D1B-965C-05CE6851D454}" destId="{DF8F74EA-AF68-48D1-AFC5-964BCB4A5335}" srcOrd="2" destOrd="0" presId="urn:microsoft.com/office/officeart/2008/layout/RadialCluster"/>
    <dgm:cxn modelId="{895DBD06-4E54-4EEF-8CAA-2FACA5A4D74C}" type="presParOf" srcId="{AD33824A-58E2-4D1B-965C-05CE6851D454}" destId="{00D69CDB-150F-4FB2-9657-ECA50E5D9109}" srcOrd="3" destOrd="0" presId="urn:microsoft.com/office/officeart/2008/layout/RadialCluster"/>
    <dgm:cxn modelId="{BE3AE338-9BED-4E66-B83A-2C3E13311272}" type="presParOf" srcId="{AD33824A-58E2-4D1B-965C-05CE6851D454}" destId="{219215D9-8BFA-4652-BD3B-EC21BB1DF427}" srcOrd="4" destOrd="0" presId="urn:microsoft.com/office/officeart/2008/layout/RadialCluster"/>
    <dgm:cxn modelId="{F4F4DA29-2C16-481C-A82F-976D4B8D8931}" type="presParOf" srcId="{AD33824A-58E2-4D1B-965C-05CE6851D454}" destId="{7034C1C5-9234-48F5-9975-3C0CAFA3FCE7}" srcOrd="5" destOrd="0" presId="urn:microsoft.com/office/officeart/2008/layout/RadialCluster"/>
    <dgm:cxn modelId="{05E39EB4-A0AF-47D5-A685-7F0578ECB45E}" type="presParOf" srcId="{AD33824A-58E2-4D1B-965C-05CE6851D454}" destId="{AB940A30-0005-48C9-93F2-3BACB62868B0}" srcOrd="6" destOrd="0" presId="urn:microsoft.com/office/officeart/2008/layout/RadialCluster"/>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C437997-F244-4552-86CC-E1318111EE9A}" type="doc">
      <dgm:prSet loTypeId="urn:microsoft.com/office/officeart/2005/8/layout/chevronAccent+Icon" loCatId="officeonline" qsTypeId="urn:microsoft.com/office/officeart/2005/8/quickstyle/simple1" qsCatId="simple" csTypeId="urn:microsoft.com/office/officeart/2005/8/colors/accent1_2" csCatId="accent1" phldr="1"/>
      <dgm:spPr/>
    </dgm:pt>
    <dgm:pt modelId="{BF63E0D7-7258-415C-9632-C42FE5F908C0}">
      <dgm:prSet phldrT="[Text]"/>
      <dgm:spPr/>
      <dgm:t>
        <a:bodyPr/>
        <a:lstStyle/>
        <a:p>
          <a:r>
            <a:rPr lang="en-US"/>
            <a:t>Setup</a:t>
          </a:r>
        </a:p>
      </dgm:t>
    </dgm:pt>
    <dgm:pt modelId="{DC24FA8D-A164-4DF2-AE97-53DB7DE6BC73}" type="parTrans" cxnId="{31D520BB-90C6-4ABB-A5C3-8EB7C8879EC0}">
      <dgm:prSet/>
      <dgm:spPr/>
      <dgm:t>
        <a:bodyPr/>
        <a:lstStyle/>
        <a:p>
          <a:endParaRPr lang="en-US"/>
        </a:p>
      </dgm:t>
    </dgm:pt>
    <dgm:pt modelId="{027ECE24-59DA-42C0-94E5-399BE0FF495F}" type="sibTrans" cxnId="{31D520BB-90C6-4ABB-A5C3-8EB7C8879EC0}">
      <dgm:prSet/>
      <dgm:spPr/>
      <dgm:t>
        <a:bodyPr/>
        <a:lstStyle/>
        <a:p>
          <a:endParaRPr lang="en-US"/>
        </a:p>
      </dgm:t>
    </dgm:pt>
    <dgm:pt modelId="{33FA93CD-0E4D-4723-AF89-A9B9D5CF5328}">
      <dgm:prSet phldrT="[Text]"/>
      <dgm:spPr/>
      <dgm:t>
        <a:bodyPr/>
        <a:lstStyle/>
        <a:p>
          <a:r>
            <a:rPr lang="en-US"/>
            <a:t>Review</a:t>
          </a:r>
        </a:p>
      </dgm:t>
    </dgm:pt>
    <dgm:pt modelId="{3768DE37-F817-47C6-9750-9F201D9FA5E2}" type="parTrans" cxnId="{296B9B89-713E-41DC-84C5-21125028FE5E}">
      <dgm:prSet/>
      <dgm:spPr/>
      <dgm:t>
        <a:bodyPr/>
        <a:lstStyle/>
        <a:p>
          <a:endParaRPr lang="en-US"/>
        </a:p>
      </dgm:t>
    </dgm:pt>
    <dgm:pt modelId="{05F19AF0-074F-4AD4-A79A-1F0A0AFBF695}" type="sibTrans" cxnId="{296B9B89-713E-41DC-84C5-21125028FE5E}">
      <dgm:prSet/>
      <dgm:spPr/>
      <dgm:t>
        <a:bodyPr/>
        <a:lstStyle/>
        <a:p>
          <a:endParaRPr lang="en-US"/>
        </a:p>
      </dgm:t>
    </dgm:pt>
    <dgm:pt modelId="{8ACF8C15-078E-4271-864B-FDE55539F313}" type="pres">
      <dgm:prSet presAssocID="{7C437997-F244-4552-86CC-E1318111EE9A}" presName="Name0" presStyleCnt="0">
        <dgm:presLayoutVars>
          <dgm:dir/>
          <dgm:resizeHandles val="exact"/>
        </dgm:presLayoutVars>
      </dgm:prSet>
      <dgm:spPr/>
    </dgm:pt>
    <dgm:pt modelId="{ECEDBF85-5903-4BDB-9EED-4F5E199DACA3}" type="pres">
      <dgm:prSet presAssocID="{BF63E0D7-7258-415C-9632-C42FE5F908C0}" presName="composite" presStyleCnt="0"/>
      <dgm:spPr/>
    </dgm:pt>
    <dgm:pt modelId="{E8DC9BA3-715A-4402-90E6-E9548A88B341}" type="pres">
      <dgm:prSet presAssocID="{BF63E0D7-7258-415C-9632-C42FE5F908C0}" presName="bgChev" presStyleLbl="node1" presStyleIdx="0" presStyleCnt="2"/>
      <dgm:spPr/>
    </dgm:pt>
    <dgm:pt modelId="{53E090E1-0BCE-4097-B8F6-BA0A757515DB}" type="pres">
      <dgm:prSet presAssocID="{BF63E0D7-7258-415C-9632-C42FE5F908C0}" presName="txNode" presStyleLbl="fgAcc1" presStyleIdx="0" presStyleCnt="2">
        <dgm:presLayoutVars>
          <dgm:bulletEnabled val="1"/>
        </dgm:presLayoutVars>
      </dgm:prSet>
      <dgm:spPr/>
    </dgm:pt>
    <dgm:pt modelId="{15184899-D094-496A-8A94-41B57423AEE5}" type="pres">
      <dgm:prSet presAssocID="{027ECE24-59DA-42C0-94E5-399BE0FF495F}" presName="compositeSpace" presStyleCnt="0"/>
      <dgm:spPr/>
    </dgm:pt>
    <dgm:pt modelId="{2FD6495D-3A30-4F02-AB45-E1C1D83A2179}" type="pres">
      <dgm:prSet presAssocID="{33FA93CD-0E4D-4723-AF89-A9B9D5CF5328}" presName="composite" presStyleCnt="0"/>
      <dgm:spPr/>
    </dgm:pt>
    <dgm:pt modelId="{909D3665-A691-451E-9F2B-F5B9658DB728}" type="pres">
      <dgm:prSet presAssocID="{33FA93CD-0E4D-4723-AF89-A9B9D5CF5328}" presName="bgChev" presStyleLbl="node1" presStyleIdx="1" presStyleCnt="2"/>
      <dgm:spPr/>
    </dgm:pt>
    <dgm:pt modelId="{01F90892-A9E9-4FA2-B8B6-DB32E51DF349}" type="pres">
      <dgm:prSet presAssocID="{33FA93CD-0E4D-4723-AF89-A9B9D5CF5328}" presName="txNode" presStyleLbl="fgAcc1" presStyleIdx="1" presStyleCnt="2">
        <dgm:presLayoutVars>
          <dgm:bulletEnabled val="1"/>
        </dgm:presLayoutVars>
      </dgm:prSet>
      <dgm:spPr/>
    </dgm:pt>
  </dgm:ptLst>
  <dgm:cxnLst>
    <dgm:cxn modelId="{C16CAA19-A0F9-44F4-B430-A3200EB02844}" type="presOf" srcId="{7C437997-F244-4552-86CC-E1318111EE9A}" destId="{8ACF8C15-078E-4271-864B-FDE55539F313}" srcOrd="0" destOrd="0" presId="urn:microsoft.com/office/officeart/2005/8/layout/chevronAccent+Icon"/>
    <dgm:cxn modelId="{9050AA37-ED18-48F5-9821-2DC3777C67E1}" type="presOf" srcId="{33FA93CD-0E4D-4723-AF89-A9B9D5CF5328}" destId="{01F90892-A9E9-4FA2-B8B6-DB32E51DF349}" srcOrd="0" destOrd="0" presId="urn:microsoft.com/office/officeart/2005/8/layout/chevronAccent+Icon"/>
    <dgm:cxn modelId="{296B9B89-713E-41DC-84C5-21125028FE5E}" srcId="{7C437997-F244-4552-86CC-E1318111EE9A}" destId="{33FA93CD-0E4D-4723-AF89-A9B9D5CF5328}" srcOrd="1" destOrd="0" parTransId="{3768DE37-F817-47C6-9750-9F201D9FA5E2}" sibTransId="{05F19AF0-074F-4AD4-A79A-1F0A0AFBF695}"/>
    <dgm:cxn modelId="{31D520BB-90C6-4ABB-A5C3-8EB7C8879EC0}" srcId="{7C437997-F244-4552-86CC-E1318111EE9A}" destId="{BF63E0D7-7258-415C-9632-C42FE5F908C0}" srcOrd="0" destOrd="0" parTransId="{DC24FA8D-A164-4DF2-AE97-53DB7DE6BC73}" sibTransId="{027ECE24-59DA-42C0-94E5-399BE0FF495F}"/>
    <dgm:cxn modelId="{4D4887FC-2C89-4F64-BD1A-A594EFA3D47C}" type="presOf" srcId="{BF63E0D7-7258-415C-9632-C42FE5F908C0}" destId="{53E090E1-0BCE-4097-B8F6-BA0A757515DB}" srcOrd="0" destOrd="0" presId="urn:microsoft.com/office/officeart/2005/8/layout/chevronAccent+Icon"/>
    <dgm:cxn modelId="{F33188F7-58F3-4B97-AAA9-552B49A54F00}" type="presParOf" srcId="{8ACF8C15-078E-4271-864B-FDE55539F313}" destId="{ECEDBF85-5903-4BDB-9EED-4F5E199DACA3}" srcOrd="0" destOrd="0" presId="urn:microsoft.com/office/officeart/2005/8/layout/chevronAccent+Icon"/>
    <dgm:cxn modelId="{AEF0898B-13B9-496F-B850-E77D3C2363D2}" type="presParOf" srcId="{ECEDBF85-5903-4BDB-9EED-4F5E199DACA3}" destId="{E8DC9BA3-715A-4402-90E6-E9548A88B341}" srcOrd="0" destOrd="0" presId="urn:microsoft.com/office/officeart/2005/8/layout/chevronAccent+Icon"/>
    <dgm:cxn modelId="{00074E92-79FC-4918-AC42-463F119F1212}" type="presParOf" srcId="{ECEDBF85-5903-4BDB-9EED-4F5E199DACA3}" destId="{53E090E1-0BCE-4097-B8F6-BA0A757515DB}" srcOrd="1" destOrd="0" presId="urn:microsoft.com/office/officeart/2005/8/layout/chevronAccent+Icon"/>
    <dgm:cxn modelId="{4667D7D8-19C0-4947-9E7B-1D900169D89E}" type="presParOf" srcId="{8ACF8C15-078E-4271-864B-FDE55539F313}" destId="{15184899-D094-496A-8A94-41B57423AEE5}" srcOrd="1" destOrd="0" presId="urn:microsoft.com/office/officeart/2005/8/layout/chevronAccent+Icon"/>
    <dgm:cxn modelId="{DA25D295-1AF2-4455-95E1-5CE54BF90D6E}" type="presParOf" srcId="{8ACF8C15-078E-4271-864B-FDE55539F313}" destId="{2FD6495D-3A30-4F02-AB45-E1C1D83A2179}" srcOrd="2" destOrd="0" presId="urn:microsoft.com/office/officeart/2005/8/layout/chevronAccent+Icon"/>
    <dgm:cxn modelId="{224BA3E6-0ABE-4DBA-A5F6-E76889B88421}" type="presParOf" srcId="{2FD6495D-3A30-4F02-AB45-E1C1D83A2179}" destId="{909D3665-A691-451E-9F2B-F5B9658DB728}" srcOrd="0" destOrd="0" presId="urn:microsoft.com/office/officeart/2005/8/layout/chevronAccent+Icon"/>
    <dgm:cxn modelId="{CE82D4D9-5FCD-4815-BF43-AE3B0FCE3588}" type="presParOf" srcId="{2FD6495D-3A30-4F02-AB45-E1C1D83A2179}" destId="{01F90892-A9E9-4FA2-B8B6-DB32E51DF349}" srcOrd="1" destOrd="0" presId="urn:microsoft.com/office/officeart/2005/8/layout/chevronAccent+Icon"/>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582EE7B-A0BA-46B2-8BE6-F6CAB7005BE9}" type="doc">
      <dgm:prSet loTypeId="urn:microsoft.com/office/officeart/2005/8/layout/chevronAccent+Icon" loCatId="officeonline" qsTypeId="urn:microsoft.com/office/officeart/2005/8/quickstyle/simple1" qsCatId="simple" csTypeId="urn:microsoft.com/office/officeart/2005/8/colors/accent1_2" csCatId="accent1" phldr="1"/>
      <dgm:spPr/>
    </dgm:pt>
    <dgm:pt modelId="{B7B6B426-B1E3-4E3C-B34A-F4E47D58E2BF}">
      <dgm:prSet phldrT="[Text]"/>
      <dgm:spPr/>
      <dgm:t>
        <a:bodyPr/>
        <a:lstStyle/>
        <a:p>
          <a:r>
            <a:rPr lang="en-US"/>
            <a:t>Review</a:t>
          </a:r>
        </a:p>
      </dgm:t>
    </dgm:pt>
    <dgm:pt modelId="{934CC425-2FB9-4647-9490-28CF327A443E}" type="parTrans" cxnId="{C1BA40FB-C7D2-425C-B54E-6788E49860D6}">
      <dgm:prSet/>
      <dgm:spPr/>
      <dgm:t>
        <a:bodyPr/>
        <a:lstStyle/>
        <a:p>
          <a:endParaRPr lang="en-US"/>
        </a:p>
      </dgm:t>
    </dgm:pt>
    <dgm:pt modelId="{72D3D3E1-71D8-434D-AAC4-B66B85010D59}" type="sibTrans" cxnId="{C1BA40FB-C7D2-425C-B54E-6788E49860D6}">
      <dgm:prSet/>
      <dgm:spPr/>
      <dgm:t>
        <a:bodyPr/>
        <a:lstStyle/>
        <a:p>
          <a:endParaRPr lang="en-US"/>
        </a:p>
      </dgm:t>
    </dgm:pt>
    <dgm:pt modelId="{46F43995-6C18-48D5-8F05-46F1E0B12C4A}">
      <dgm:prSet phldrT="[Text]"/>
      <dgm:spPr/>
      <dgm:t>
        <a:bodyPr/>
        <a:lstStyle/>
        <a:p>
          <a:r>
            <a:rPr lang="en-US"/>
            <a:t>Optimisation</a:t>
          </a:r>
        </a:p>
      </dgm:t>
    </dgm:pt>
    <dgm:pt modelId="{C56B786B-8F5D-4686-8AD0-9AAECEEBD4F3}" type="parTrans" cxnId="{AB16B486-60A3-4916-9B30-16C39F42417C}">
      <dgm:prSet/>
      <dgm:spPr/>
      <dgm:t>
        <a:bodyPr/>
        <a:lstStyle/>
        <a:p>
          <a:endParaRPr lang="en-US"/>
        </a:p>
      </dgm:t>
    </dgm:pt>
    <dgm:pt modelId="{8B41A8BA-1538-4608-8B8D-209D81832C5F}" type="sibTrans" cxnId="{AB16B486-60A3-4916-9B30-16C39F42417C}">
      <dgm:prSet/>
      <dgm:spPr/>
      <dgm:t>
        <a:bodyPr/>
        <a:lstStyle/>
        <a:p>
          <a:endParaRPr lang="en-US"/>
        </a:p>
      </dgm:t>
    </dgm:pt>
    <dgm:pt modelId="{6F7933A9-D919-4AD7-9CE7-EC32E7368744}">
      <dgm:prSet phldrT="[Text]"/>
      <dgm:spPr/>
      <dgm:t>
        <a:bodyPr/>
        <a:lstStyle/>
        <a:p>
          <a:r>
            <a:rPr lang="en-US"/>
            <a:t>Final Review</a:t>
          </a:r>
        </a:p>
      </dgm:t>
    </dgm:pt>
    <dgm:pt modelId="{99BFAF43-32FD-4119-B543-4CBD9BC21471}" type="parTrans" cxnId="{A64F2B64-FA00-41FB-AD13-FC99FD215599}">
      <dgm:prSet/>
      <dgm:spPr/>
      <dgm:t>
        <a:bodyPr/>
        <a:lstStyle/>
        <a:p>
          <a:endParaRPr lang="en-US"/>
        </a:p>
      </dgm:t>
    </dgm:pt>
    <dgm:pt modelId="{FF6C2E9E-8EE6-473D-B89F-F118C2CDF7BD}" type="sibTrans" cxnId="{A64F2B64-FA00-41FB-AD13-FC99FD215599}">
      <dgm:prSet/>
      <dgm:spPr/>
      <dgm:t>
        <a:bodyPr/>
        <a:lstStyle/>
        <a:p>
          <a:endParaRPr lang="en-US"/>
        </a:p>
      </dgm:t>
    </dgm:pt>
    <dgm:pt modelId="{5E9561F4-8B38-4B8B-A0F5-C59E432CC268}" type="pres">
      <dgm:prSet presAssocID="{4582EE7B-A0BA-46B2-8BE6-F6CAB7005BE9}" presName="Name0" presStyleCnt="0">
        <dgm:presLayoutVars>
          <dgm:dir/>
          <dgm:resizeHandles val="exact"/>
        </dgm:presLayoutVars>
      </dgm:prSet>
      <dgm:spPr/>
    </dgm:pt>
    <dgm:pt modelId="{F4C3BD57-2802-472D-93D1-B963DA03D75C}" type="pres">
      <dgm:prSet presAssocID="{B7B6B426-B1E3-4E3C-B34A-F4E47D58E2BF}" presName="composite" presStyleCnt="0"/>
      <dgm:spPr/>
    </dgm:pt>
    <dgm:pt modelId="{83746D8A-E109-4234-BBDF-2FED254E6C67}" type="pres">
      <dgm:prSet presAssocID="{B7B6B426-B1E3-4E3C-B34A-F4E47D58E2BF}" presName="bgChev" presStyleLbl="node1" presStyleIdx="0" presStyleCnt="3"/>
      <dgm:spPr/>
    </dgm:pt>
    <dgm:pt modelId="{2F690911-1794-4E69-BF48-67EC9E7FDE49}" type="pres">
      <dgm:prSet presAssocID="{B7B6B426-B1E3-4E3C-B34A-F4E47D58E2BF}" presName="txNode" presStyleLbl="fgAcc1" presStyleIdx="0" presStyleCnt="3">
        <dgm:presLayoutVars>
          <dgm:bulletEnabled val="1"/>
        </dgm:presLayoutVars>
      </dgm:prSet>
      <dgm:spPr/>
    </dgm:pt>
    <dgm:pt modelId="{127FC10F-8DEB-4258-96EB-B8C3736C74C6}" type="pres">
      <dgm:prSet presAssocID="{72D3D3E1-71D8-434D-AAC4-B66B85010D59}" presName="compositeSpace" presStyleCnt="0"/>
      <dgm:spPr/>
    </dgm:pt>
    <dgm:pt modelId="{0AE7CA60-9E7B-45AB-A6D8-A9EEC3EF4897}" type="pres">
      <dgm:prSet presAssocID="{46F43995-6C18-48D5-8F05-46F1E0B12C4A}" presName="composite" presStyleCnt="0"/>
      <dgm:spPr/>
    </dgm:pt>
    <dgm:pt modelId="{7F2FCCC0-40BC-4335-A79E-E6661532423F}" type="pres">
      <dgm:prSet presAssocID="{46F43995-6C18-48D5-8F05-46F1E0B12C4A}" presName="bgChev" presStyleLbl="node1" presStyleIdx="1" presStyleCnt="3"/>
      <dgm:spPr/>
    </dgm:pt>
    <dgm:pt modelId="{EBFF93D2-9147-4326-8C18-FE4B6D7CE8CD}" type="pres">
      <dgm:prSet presAssocID="{46F43995-6C18-48D5-8F05-46F1E0B12C4A}" presName="txNode" presStyleLbl="fgAcc1" presStyleIdx="1" presStyleCnt="3">
        <dgm:presLayoutVars>
          <dgm:bulletEnabled val="1"/>
        </dgm:presLayoutVars>
      </dgm:prSet>
      <dgm:spPr/>
    </dgm:pt>
    <dgm:pt modelId="{2B0EC931-A9F6-4516-945C-1051E7FD170A}" type="pres">
      <dgm:prSet presAssocID="{8B41A8BA-1538-4608-8B8D-209D81832C5F}" presName="compositeSpace" presStyleCnt="0"/>
      <dgm:spPr/>
    </dgm:pt>
    <dgm:pt modelId="{BC649A2D-BB62-48FC-A73C-61657141A7C1}" type="pres">
      <dgm:prSet presAssocID="{6F7933A9-D919-4AD7-9CE7-EC32E7368744}" presName="composite" presStyleCnt="0"/>
      <dgm:spPr/>
    </dgm:pt>
    <dgm:pt modelId="{D1E1F323-EE7A-4DB7-83C5-6023DA99D4AA}" type="pres">
      <dgm:prSet presAssocID="{6F7933A9-D919-4AD7-9CE7-EC32E7368744}" presName="bgChev" presStyleLbl="node1" presStyleIdx="2" presStyleCnt="3"/>
      <dgm:spPr/>
    </dgm:pt>
    <dgm:pt modelId="{48037389-912B-44C9-B3D4-9F9705EC6101}" type="pres">
      <dgm:prSet presAssocID="{6F7933A9-D919-4AD7-9CE7-EC32E7368744}" presName="txNode" presStyleLbl="fgAcc1" presStyleIdx="2" presStyleCnt="3">
        <dgm:presLayoutVars>
          <dgm:bulletEnabled val="1"/>
        </dgm:presLayoutVars>
      </dgm:prSet>
      <dgm:spPr/>
    </dgm:pt>
  </dgm:ptLst>
  <dgm:cxnLst>
    <dgm:cxn modelId="{A64F2B64-FA00-41FB-AD13-FC99FD215599}" srcId="{4582EE7B-A0BA-46B2-8BE6-F6CAB7005BE9}" destId="{6F7933A9-D919-4AD7-9CE7-EC32E7368744}" srcOrd="2" destOrd="0" parTransId="{99BFAF43-32FD-4119-B543-4CBD9BC21471}" sibTransId="{FF6C2E9E-8EE6-473D-B89F-F118C2CDF7BD}"/>
    <dgm:cxn modelId="{3CE58151-2FBE-4826-87EB-77D95C74650D}" type="presOf" srcId="{B7B6B426-B1E3-4E3C-B34A-F4E47D58E2BF}" destId="{2F690911-1794-4E69-BF48-67EC9E7FDE49}" srcOrd="0" destOrd="0" presId="urn:microsoft.com/office/officeart/2005/8/layout/chevronAccent+Icon"/>
    <dgm:cxn modelId="{AB16B486-60A3-4916-9B30-16C39F42417C}" srcId="{4582EE7B-A0BA-46B2-8BE6-F6CAB7005BE9}" destId="{46F43995-6C18-48D5-8F05-46F1E0B12C4A}" srcOrd="1" destOrd="0" parTransId="{C56B786B-8F5D-4686-8AD0-9AAECEEBD4F3}" sibTransId="{8B41A8BA-1538-4608-8B8D-209D81832C5F}"/>
    <dgm:cxn modelId="{A9783DA3-2B02-4C2C-A98B-DFE5F22F559E}" type="presOf" srcId="{4582EE7B-A0BA-46B2-8BE6-F6CAB7005BE9}" destId="{5E9561F4-8B38-4B8B-A0F5-C59E432CC268}" srcOrd="0" destOrd="0" presId="urn:microsoft.com/office/officeart/2005/8/layout/chevronAccent+Icon"/>
    <dgm:cxn modelId="{C9451EBE-E2B9-4677-88C6-6FD975F674BE}" type="presOf" srcId="{46F43995-6C18-48D5-8F05-46F1E0B12C4A}" destId="{EBFF93D2-9147-4326-8C18-FE4B6D7CE8CD}" srcOrd="0" destOrd="0" presId="urn:microsoft.com/office/officeart/2005/8/layout/chevronAccent+Icon"/>
    <dgm:cxn modelId="{C1BA40FB-C7D2-425C-B54E-6788E49860D6}" srcId="{4582EE7B-A0BA-46B2-8BE6-F6CAB7005BE9}" destId="{B7B6B426-B1E3-4E3C-B34A-F4E47D58E2BF}" srcOrd="0" destOrd="0" parTransId="{934CC425-2FB9-4647-9490-28CF327A443E}" sibTransId="{72D3D3E1-71D8-434D-AAC4-B66B85010D59}"/>
    <dgm:cxn modelId="{ED5624FE-258B-4605-BDA4-7F2A89116F97}" type="presOf" srcId="{6F7933A9-D919-4AD7-9CE7-EC32E7368744}" destId="{48037389-912B-44C9-B3D4-9F9705EC6101}" srcOrd="0" destOrd="0" presId="urn:microsoft.com/office/officeart/2005/8/layout/chevronAccent+Icon"/>
    <dgm:cxn modelId="{357C8385-C9CB-4DB7-955D-A86CE9D0F30F}" type="presParOf" srcId="{5E9561F4-8B38-4B8B-A0F5-C59E432CC268}" destId="{F4C3BD57-2802-472D-93D1-B963DA03D75C}" srcOrd="0" destOrd="0" presId="urn:microsoft.com/office/officeart/2005/8/layout/chevronAccent+Icon"/>
    <dgm:cxn modelId="{85AE5EC7-5959-4B0D-BA4E-8D27715C9F54}" type="presParOf" srcId="{F4C3BD57-2802-472D-93D1-B963DA03D75C}" destId="{83746D8A-E109-4234-BBDF-2FED254E6C67}" srcOrd="0" destOrd="0" presId="urn:microsoft.com/office/officeart/2005/8/layout/chevronAccent+Icon"/>
    <dgm:cxn modelId="{0A2F3128-9C7C-419B-A5A6-14F77F83E91C}" type="presParOf" srcId="{F4C3BD57-2802-472D-93D1-B963DA03D75C}" destId="{2F690911-1794-4E69-BF48-67EC9E7FDE49}" srcOrd="1" destOrd="0" presId="urn:microsoft.com/office/officeart/2005/8/layout/chevronAccent+Icon"/>
    <dgm:cxn modelId="{9A8BA498-4320-4C50-9273-8BCF0771EAC4}" type="presParOf" srcId="{5E9561F4-8B38-4B8B-A0F5-C59E432CC268}" destId="{127FC10F-8DEB-4258-96EB-B8C3736C74C6}" srcOrd="1" destOrd="0" presId="urn:microsoft.com/office/officeart/2005/8/layout/chevronAccent+Icon"/>
    <dgm:cxn modelId="{AF927F70-60B2-4CA7-A1B9-2DF4F5DF096E}" type="presParOf" srcId="{5E9561F4-8B38-4B8B-A0F5-C59E432CC268}" destId="{0AE7CA60-9E7B-45AB-A6D8-A9EEC3EF4897}" srcOrd="2" destOrd="0" presId="urn:microsoft.com/office/officeart/2005/8/layout/chevronAccent+Icon"/>
    <dgm:cxn modelId="{80999E19-68B9-4980-B572-2DFDCFDA470E}" type="presParOf" srcId="{0AE7CA60-9E7B-45AB-A6D8-A9EEC3EF4897}" destId="{7F2FCCC0-40BC-4335-A79E-E6661532423F}" srcOrd="0" destOrd="0" presId="urn:microsoft.com/office/officeart/2005/8/layout/chevronAccent+Icon"/>
    <dgm:cxn modelId="{D3AF4276-9A48-4B1C-9196-9D923DA51979}" type="presParOf" srcId="{0AE7CA60-9E7B-45AB-A6D8-A9EEC3EF4897}" destId="{EBFF93D2-9147-4326-8C18-FE4B6D7CE8CD}" srcOrd="1" destOrd="0" presId="urn:microsoft.com/office/officeart/2005/8/layout/chevronAccent+Icon"/>
    <dgm:cxn modelId="{0EA42E7A-5ADB-4166-9CDE-8B5C95354A49}" type="presParOf" srcId="{5E9561F4-8B38-4B8B-A0F5-C59E432CC268}" destId="{2B0EC931-A9F6-4516-945C-1051E7FD170A}" srcOrd="3" destOrd="0" presId="urn:microsoft.com/office/officeart/2005/8/layout/chevronAccent+Icon"/>
    <dgm:cxn modelId="{816F0383-5514-4D33-8947-BCB309118D81}" type="presParOf" srcId="{5E9561F4-8B38-4B8B-A0F5-C59E432CC268}" destId="{BC649A2D-BB62-48FC-A73C-61657141A7C1}" srcOrd="4" destOrd="0" presId="urn:microsoft.com/office/officeart/2005/8/layout/chevronAccent+Icon"/>
    <dgm:cxn modelId="{0E401487-6C86-4D89-979F-C2C79992B848}" type="presParOf" srcId="{BC649A2D-BB62-48FC-A73C-61657141A7C1}" destId="{D1E1F323-EE7A-4DB7-83C5-6023DA99D4AA}" srcOrd="0" destOrd="0" presId="urn:microsoft.com/office/officeart/2005/8/layout/chevronAccent+Icon"/>
    <dgm:cxn modelId="{8010B965-B73D-4AC1-A973-1CF6DB7833BD}" type="presParOf" srcId="{BC649A2D-BB62-48FC-A73C-61657141A7C1}" destId="{48037389-912B-44C9-B3D4-9F9705EC6101}" srcOrd="1" destOrd="0" presId="urn:microsoft.com/office/officeart/2005/8/layout/chevronAccent+Icon"/>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7BC4AF-0F73-4AC6-BFFA-397AE86AD241}">
      <dsp:nvSpPr>
        <dsp:cNvPr id="0" name=""/>
        <dsp:cNvSpPr/>
      </dsp:nvSpPr>
      <dsp:spPr>
        <a:xfrm>
          <a:off x="0" y="161030"/>
          <a:ext cx="1691055" cy="929295"/>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1.Choose a company </a:t>
          </a:r>
        </a:p>
      </dsp:txBody>
      <dsp:txXfrm>
        <a:off x="0" y="161030"/>
        <a:ext cx="1691055" cy="929295"/>
      </dsp:txXfrm>
    </dsp:sp>
    <dsp:sp modelId="{31A09393-BF54-425A-8B1F-3C8DFA8C59A6}">
      <dsp:nvSpPr>
        <dsp:cNvPr id="0" name=""/>
        <dsp:cNvSpPr/>
      </dsp:nvSpPr>
      <dsp:spPr>
        <a:xfrm>
          <a:off x="1931689" y="174257"/>
          <a:ext cx="1687810" cy="940589"/>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2.choose a company name </a:t>
          </a:r>
        </a:p>
      </dsp:txBody>
      <dsp:txXfrm>
        <a:off x="1931689" y="174257"/>
        <a:ext cx="1687810" cy="940589"/>
      </dsp:txXfrm>
    </dsp:sp>
    <dsp:sp modelId="{CF5206E2-48A7-4404-8DF2-6220F617D2C5}">
      <dsp:nvSpPr>
        <dsp:cNvPr id="0" name=""/>
        <dsp:cNvSpPr/>
      </dsp:nvSpPr>
      <dsp:spPr>
        <a:xfrm>
          <a:off x="1190" y="1327667"/>
          <a:ext cx="1656539" cy="95376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3.Company name Avaiblity check uk</a:t>
          </a:r>
        </a:p>
      </dsp:txBody>
      <dsp:txXfrm>
        <a:off x="1190" y="1327667"/>
        <a:ext cx="1656539" cy="953760"/>
      </dsp:txXfrm>
    </dsp:sp>
    <dsp:sp modelId="{01A48E7B-355A-4B92-A6B8-A4757D89CF2D}">
      <dsp:nvSpPr>
        <dsp:cNvPr id="0" name=""/>
        <dsp:cNvSpPr/>
      </dsp:nvSpPr>
      <dsp:spPr>
        <a:xfrm>
          <a:off x="1887836" y="1340984"/>
          <a:ext cx="1730472" cy="927128"/>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4.Choose a Registrerd Address for my  company</a:t>
          </a:r>
        </a:p>
      </dsp:txBody>
      <dsp:txXfrm>
        <a:off x="1887836" y="1340984"/>
        <a:ext cx="1730472" cy="9271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3E9D1D-C75E-4CAD-BC1B-9C8999468AAE}">
      <dsp:nvSpPr>
        <dsp:cNvPr id="0" name=""/>
        <dsp:cNvSpPr/>
      </dsp:nvSpPr>
      <dsp:spPr>
        <a:xfrm>
          <a:off x="67563" y="9581"/>
          <a:ext cx="1649314" cy="854343"/>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5.Deside on Direhareholders </a:t>
          </a:r>
        </a:p>
      </dsp:txBody>
      <dsp:txXfrm>
        <a:off x="67563" y="9581"/>
        <a:ext cx="1649314" cy="854343"/>
      </dsp:txXfrm>
    </dsp:sp>
    <dsp:sp modelId="{5235B83E-ED5B-46E4-AD26-DFD6C1DE80DF}">
      <dsp:nvSpPr>
        <dsp:cNvPr id="0" name=""/>
        <dsp:cNvSpPr/>
      </dsp:nvSpPr>
      <dsp:spPr>
        <a:xfrm>
          <a:off x="1931451" y="9131"/>
          <a:ext cx="1763360" cy="87090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6.Fill out the Company Registration from Online or by mail</a:t>
          </a:r>
        </a:p>
      </dsp:txBody>
      <dsp:txXfrm>
        <a:off x="1931451" y="9131"/>
        <a:ext cx="1763360" cy="870900"/>
      </dsp:txXfrm>
    </dsp:sp>
    <dsp:sp modelId="{286D14E8-35E0-4246-82D8-F860FD18A810}">
      <dsp:nvSpPr>
        <dsp:cNvPr id="0" name=""/>
        <dsp:cNvSpPr/>
      </dsp:nvSpPr>
      <dsp:spPr>
        <a:xfrm>
          <a:off x="67885" y="1095595"/>
          <a:ext cx="1670707" cy="808806"/>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7.Provide Necessary Information &amp; Required Documents</a:t>
          </a:r>
        </a:p>
      </dsp:txBody>
      <dsp:txXfrm>
        <a:off x="67885" y="1095595"/>
        <a:ext cx="1670707" cy="808806"/>
      </dsp:txXfrm>
    </dsp:sp>
    <dsp:sp modelId="{91C398BB-EA9F-43FB-9236-A96D7D5550DF}">
      <dsp:nvSpPr>
        <dsp:cNvPr id="0" name=""/>
        <dsp:cNvSpPr/>
      </dsp:nvSpPr>
      <dsp:spPr>
        <a:xfrm>
          <a:off x="1984472" y="1088080"/>
          <a:ext cx="1741323" cy="826444"/>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8.Submit the registration form</a:t>
          </a:r>
        </a:p>
      </dsp:txBody>
      <dsp:txXfrm>
        <a:off x="1984472" y="1088080"/>
        <a:ext cx="1741323" cy="82644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FA651A-2C82-44F7-B6E4-782C253D0E27}">
      <dsp:nvSpPr>
        <dsp:cNvPr id="0" name=""/>
        <dsp:cNvSpPr/>
      </dsp:nvSpPr>
      <dsp:spPr>
        <a:xfrm>
          <a:off x="1864" y="0"/>
          <a:ext cx="2892897" cy="97504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60020" tIns="160020" rIns="160020" bIns="160020" numCol="1" spcCol="1270" anchor="ctr" anchorCtr="0">
          <a:noAutofit/>
        </a:bodyPr>
        <a:lstStyle/>
        <a:p>
          <a:pPr marL="0" lvl="0" indent="0" algn="ctr" defTabSz="1866900">
            <a:lnSpc>
              <a:spcPct val="90000"/>
            </a:lnSpc>
            <a:spcBef>
              <a:spcPct val="0"/>
            </a:spcBef>
            <a:spcAft>
              <a:spcPct val="35000"/>
            </a:spcAft>
            <a:buNone/>
          </a:pPr>
          <a:r>
            <a:rPr lang="en-US" sz="4200" kern="1200"/>
            <a:t>Risk policy</a:t>
          </a:r>
        </a:p>
      </dsp:txBody>
      <dsp:txXfrm>
        <a:off x="30422" y="28558"/>
        <a:ext cx="2835781" cy="917927"/>
      </dsp:txXfrm>
    </dsp:sp>
    <dsp:sp modelId="{039C8B0B-0E74-4945-9D62-5AC22B276AF2}">
      <dsp:nvSpPr>
        <dsp:cNvPr id="0" name=""/>
        <dsp:cNvSpPr/>
      </dsp:nvSpPr>
      <dsp:spPr>
        <a:xfrm>
          <a:off x="329321" y="1045956"/>
          <a:ext cx="1473401" cy="57296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Identify risks</a:t>
          </a:r>
        </a:p>
      </dsp:txBody>
      <dsp:txXfrm>
        <a:off x="346103" y="1062738"/>
        <a:ext cx="1439837" cy="539400"/>
      </dsp:txXfrm>
    </dsp:sp>
    <dsp:sp modelId="{3A11CD19-8E7E-49DA-A393-678D6F60E1E3}">
      <dsp:nvSpPr>
        <dsp:cNvPr id="0" name=""/>
        <dsp:cNvSpPr/>
      </dsp:nvSpPr>
      <dsp:spPr>
        <a:xfrm>
          <a:off x="144154" y="1689115"/>
          <a:ext cx="1095472" cy="47056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Control risk</a:t>
          </a:r>
        </a:p>
      </dsp:txBody>
      <dsp:txXfrm>
        <a:off x="157936" y="1702897"/>
        <a:ext cx="1067908" cy="443001"/>
      </dsp:txXfrm>
    </dsp:sp>
    <dsp:sp modelId="{20C45520-3700-466F-89AE-CEED935718C7}">
      <dsp:nvSpPr>
        <dsp:cNvPr id="0" name=""/>
        <dsp:cNvSpPr/>
      </dsp:nvSpPr>
      <dsp:spPr>
        <a:xfrm>
          <a:off x="1870043" y="1689834"/>
          <a:ext cx="1024592" cy="57164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Review risk</a:t>
          </a:r>
        </a:p>
      </dsp:txBody>
      <dsp:txXfrm>
        <a:off x="1886786" y="1706577"/>
        <a:ext cx="991106" cy="538162"/>
      </dsp:txXfrm>
    </dsp:sp>
    <dsp:sp modelId="{6930DAE1-3BC4-4DA5-A4AB-16B4FD8140FD}">
      <dsp:nvSpPr>
        <dsp:cNvPr id="0" name=""/>
        <dsp:cNvSpPr/>
      </dsp:nvSpPr>
      <dsp:spPr>
        <a:xfrm>
          <a:off x="2123323" y="1062454"/>
          <a:ext cx="757293" cy="53463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Assess risk</a:t>
          </a:r>
        </a:p>
      </dsp:txBody>
      <dsp:txXfrm>
        <a:off x="2138982" y="1078113"/>
        <a:ext cx="725975" cy="50331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D858D5-78A6-44F7-BEF7-C9D1DF1FDF0B}">
      <dsp:nvSpPr>
        <dsp:cNvPr id="0" name=""/>
        <dsp:cNvSpPr/>
      </dsp:nvSpPr>
      <dsp:spPr>
        <a:xfrm>
          <a:off x="582911" y="1171906"/>
          <a:ext cx="985959" cy="64693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US" sz="1200" kern="1200"/>
            <a:t>Governance</a:t>
          </a:r>
        </a:p>
      </dsp:txBody>
      <dsp:txXfrm>
        <a:off x="614492" y="1203487"/>
        <a:ext cx="922797" cy="583776"/>
      </dsp:txXfrm>
    </dsp:sp>
    <dsp:sp modelId="{A9B7E1BF-45BD-4682-BC8B-F42C8AED5D06}">
      <dsp:nvSpPr>
        <dsp:cNvPr id="0" name=""/>
        <dsp:cNvSpPr/>
      </dsp:nvSpPr>
      <dsp:spPr>
        <a:xfrm rot="15896736">
          <a:off x="920429" y="1055778"/>
          <a:ext cx="233163" cy="0"/>
        </a:xfrm>
        <a:custGeom>
          <a:avLst/>
          <a:gdLst/>
          <a:ahLst/>
          <a:cxnLst/>
          <a:rect l="0" t="0" r="0" b="0"/>
          <a:pathLst>
            <a:path>
              <a:moveTo>
                <a:pt x="0" y="0"/>
              </a:moveTo>
              <a:lnTo>
                <a:pt x="233163"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8F74EA-AF68-48D1-AFC5-964BCB4A5335}">
      <dsp:nvSpPr>
        <dsp:cNvPr id="0" name=""/>
        <dsp:cNvSpPr/>
      </dsp:nvSpPr>
      <dsp:spPr>
        <a:xfrm>
          <a:off x="673296" y="286118"/>
          <a:ext cx="649084" cy="653531"/>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kern="1200"/>
            <a:t>Managing Director</a:t>
          </a:r>
        </a:p>
      </dsp:txBody>
      <dsp:txXfrm>
        <a:off x="704982" y="317804"/>
        <a:ext cx="585712" cy="590159"/>
      </dsp:txXfrm>
    </dsp:sp>
    <dsp:sp modelId="{00D69CDB-150F-4FB2-9657-ECA50E5D9109}">
      <dsp:nvSpPr>
        <dsp:cNvPr id="0" name=""/>
        <dsp:cNvSpPr/>
      </dsp:nvSpPr>
      <dsp:spPr>
        <a:xfrm rot="1800000">
          <a:off x="1563325" y="1800693"/>
          <a:ext cx="82780" cy="0"/>
        </a:xfrm>
        <a:custGeom>
          <a:avLst/>
          <a:gdLst/>
          <a:ahLst/>
          <a:cxnLst/>
          <a:rect l="0" t="0" r="0" b="0"/>
          <a:pathLst>
            <a:path>
              <a:moveTo>
                <a:pt x="0" y="0"/>
              </a:moveTo>
              <a:lnTo>
                <a:pt x="82780"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9215D9-8BFA-4652-BD3B-EC21BB1DF427}">
      <dsp:nvSpPr>
        <dsp:cNvPr id="0" name=""/>
        <dsp:cNvSpPr/>
      </dsp:nvSpPr>
      <dsp:spPr>
        <a:xfrm>
          <a:off x="1640561" y="1588881"/>
          <a:ext cx="592307" cy="806981"/>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kern="1200"/>
            <a:t>Legal Support</a:t>
          </a:r>
        </a:p>
      </dsp:txBody>
      <dsp:txXfrm>
        <a:off x="1669475" y="1617795"/>
        <a:ext cx="534479" cy="749153"/>
      </dsp:txXfrm>
    </dsp:sp>
    <dsp:sp modelId="{7034C1C5-9234-48F5-9975-3C0CAFA3FCE7}">
      <dsp:nvSpPr>
        <dsp:cNvPr id="0" name=""/>
        <dsp:cNvSpPr/>
      </dsp:nvSpPr>
      <dsp:spPr>
        <a:xfrm rot="9000000">
          <a:off x="500637" y="1802043"/>
          <a:ext cx="88181" cy="0"/>
        </a:xfrm>
        <a:custGeom>
          <a:avLst/>
          <a:gdLst/>
          <a:ahLst/>
          <a:cxnLst/>
          <a:rect l="0" t="0" r="0" b="0"/>
          <a:pathLst>
            <a:path>
              <a:moveTo>
                <a:pt x="0" y="0"/>
              </a:moveTo>
              <a:lnTo>
                <a:pt x="88181"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940A30-0005-48C9-93F2-3BACB62868B0}">
      <dsp:nvSpPr>
        <dsp:cNvPr id="0" name=""/>
        <dsp:cNvSpPr/>
      </dsp:nvSpPr>
      <dsp:spPr>
        <a:xfrm>
          <a:off x="-76408" y="1621173"/>
          <a:ext cx="582953" cy="742397"/>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US" sz="700" kern="1200"/>
            <a:t>Case Coordinator</a:t>
          </a:r>
        </a:p>
      </dsp:txBody>
      <dsp:txXfrm>
        <a:off x="-47951" y="1649630"/>
        <a:ext cx="526039" cy="68548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DC9BA3-715A-4402-90E6-E9548A88B341}">
      <dsp:nvSpPr>
        <dsp:cNvPr id="0" name=""/>
        <dsp:cNvSpPr/>
      </dsp:nvSpPr>
      <dsp:spPr>
        <a:xfrm>
          <a:off x="674" y="97560"/>
          <a:ext cx="701094" cy="270622"/>
        </a:xfrm>
        <a:prstGeom prst="chevron">
          <a:avLst>
            <a:gd name="adj" fmla="val 4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E090E1-0BCE-4097-B8F6-BA0A757515DB}">
      <dsp:nvSpPr>
        <dsp:cNvPr id="0" name=""/>
        <dsp:cNvSpPr/>
      </dsp:nvSpPr>
      <dsp:spPr>
        <a:xfrm>
          <a:off x="187633" y="165216"/>
          <a:ext cx="592035" cy="270622"/>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t>Setup</a:t>
          </a:r>
        </a:p>
      </dsp:txBody>
      <dsp:txXfrm>
        <a:off x="195559" y="173142"/>
        <a:ext cx="576183" cy="254770"/>
      </dsp:txXfrm>
    </dsp:sp>
    <dsp:sp modelId="{909D3665-A691-451E-9F2B-F5B9658DB728}">
      <dsp:nvSpPr>
        <dsp:cNvPr id="0" name=""/>
        <dsp:cNvSpPr/>
      </dsp:nvSpPr>
      <dsp:spPr>
        <a:xfrm>
          <a:off x="801480" y="97560"/>
          <a:ext cx="701094" cy="270622"/>
        </a:xfrm>
        <a:prstGeom prst="chevron">
          <a:avLst>
            <a:gd name="adj" fmla="val 4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1F90892-A9E9-4FA2-B8B6-DB32E51DF349}">
      <dsp:nvSpPr>
        <dsp:cNvPr id="0" name=""/>
        <dsp:cNvSpPr/>
      </dsp:nvSpPr>
      <dsp:spPr>
        <a:xfrm>
          <a:off x="988439" y="165216"/>
          <a:ext cx="592035" cy="270622"/>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t>Review</a:t>
          </a:r>
        </a:p>
      </dsp:txBody>
      <dsp:txXfrm>
        <a:off x="996365" y="173142"/>
        <a:ext cx="576183" cy="25477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746D8A-E109-4234-BBDF-2FED254E6C67}">
      <dsp:nvSpPr>
        <dsp:cNvPr id="0" name=""/>
        <dsp:cNvSpPr/>
      </dsp:nvSpPr>
      <dsp:spPr>
        <a:xfrm>
          <a:off x="294" y="16645"/>
          <a:ext cx="740382" cy="285787"/>
        </a:xfrm>
        <a:prstGeom prst="chevron">
          <a:avLst>
            <a:gd name="adj" fmla="val 4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F690911-1794-4E69-BF48-67EC9E7FDE49}">
      <dsp:nvSpPr>
        <dsp:cNvPr id="0" name=""/>
        <dsp:cNvSpPr/>
      </dsp:nvSpPr>
      <dsp:spPr>
        <a:xfrm>
          <a:off x="197730" y="88092"/>
          <a:ext cx="625212" cy="285787"/>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kern="1200"/>
            <a:t>Review</a:t>
          </a:r>
        </a:p>
      </dsp:txBody>
      <dsp:txXfrm>
        <a:off x="206100" y="96462"/>
        <a:ext cx="608472" cy="269047"/>
      </dsp:txXfrm>
    </dsp:sp>
    <dsp:sp modelId="{7F2FCCC0-40BC-4335-A79E-E6661532423F}">
      <dsp:nvSpPr>
        <dsp:cNvPr id="0" name=""/>
        <dsp:cNvSpPr/>
      </dsp:nvSpPr>
      <dsp:spPr>
        <a:xfrm>
          <a:off x="845976" y="16645"/>
          <a:ext cx="740382" cy="285787"/>
        </a:xfrm>
        <a:prstGeom prst="chevron">
          <a:avLst>
            <a:gd name="adj" fmla="val 4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FF93D2-9147-4326-8C18-FE4B6D7CE8CD}">
      <dsp:nvSpPr>
        <dsp:cNvPr id="0" name=""/>
        <dsp:cNvSpPr/>
      </dsp:nvSpPr>
      <dsp:spPr>
        <a:xfrm>
          <a:off x="1043411" y="88092"/>
          <a:ext cx="625212" cy="285787"/>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kern="1200"/>
            <a:t>Optimisation</a:t>
          </a:r>
        </a:p>
      </dsp:txBody>
      <dsp:txXfrm>
        <a:off x="1051781" y="96462"/>
        <a:ext cx="608472" cy="269047"/>
      </dsp:txXfrm>
    </dsp:sp>
    <dsp:sp modelId="{D1E1F323-EE7A-4DB7-83C5-6023DA99D4AA}">
      <dsp:nvSpPr>
        <dsp:cNvPr id="0" name=""/>
        <dsp:cNvSpPr/>
      </dsp:nvSpPr>
      <dsp:spPr>
        <a:xfrm>
          <a:off x="1691657" y="16645"/>
          <a:ext cx="740382" cy="285787"/>
        </a:xfrm>
        <a:prstGeom prst="chevron">
          <a:avLst>
            <a:gd name="adj" fmla="val 4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037389-912B-44C9-B3D4-9F9705EC6101}">
      <dsp:nvSpPr>
        <dsp:cNvPr id="0" name=""/>
        <dsp:cNvSpPr/>
      </dsp:nvSpPr>
      <dsp:spPr>
        <a:xfrm>
          <a:off x="1889093" y="88092"/>
          <a:ext cx="625212" cy="285787"/>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kern="1200"/>
            <a:t>Final Review</a:t>
          </a:r>
        </a:p>
      </dsp:txBody>
      <dsp:txXfrm>
        <a:off x="1897463" y="96462"/>
        <a:ext cx="608472" cy="26904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666E8-0A5B-4B46-8546-4C6B129CA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74</Pages>
  <Words>19828</Words>
  <Characters>113023</Characters>
  <Application>Microsoft Office Word</Application>
  <DocSecurity>0</DocSecurity>
  <Lines>941</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Mustakim Gulamnabi Kazi (2427257)</dc:creator>
  <cp:keywords/>
  <dc:description/>
  <cp:lastModifiedBy>Mustakim Gulamnabi Kazi (2427257)</cp:lastModifiedBy>
  <cp:revision>2</cp:revision>
  <dcterms:created xsi:type="dcterms:W3CDTF">2026-02-03T00:09:00Z</dcterms:created>
  <dcterms:modified xsi:type="dcterms:W3CDTF">2026-02-03T00:09:00Z</dcterms:modified>
</cp:coreProperties>
</file>