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8367F" w:rsidRPr="00CC0AE8" w:rsidRDefault="00CC0AE8" w:rsidP="00CC0AE8">
      <w:pPr>
        <w:spacing w:line="360" w:lineRule="auto"/>
        <w:rPr>
          <w:rFonts w:ascii="Arial" w:hAnsi="Arial" w:cs="Arial"/>
          <w:sz w:val="24"/>
          <w:szCs w:val="24"/>
        </w:rPr>
      </w:pPr>
      <w:r w:rsidRPr="00CC0AE8">
        <w:rPr>
          <w:rFonts w:ascii="Arial" w:hAnsi="Arial" w:cs="Arial"/>
          <w:sz w:val="24"/>
          <w:szCs w:val="24"/>
        </w:rPr>
        <w:t>Ceri Thomas – 2205819</w:t>
      </w:r>
    </w:p>
    <w:p w:rsidR="00CC0AE8" w:rsidRPr="00CC0AE8" w:rsidRDefault="00CC0AE8" w:rsidP="00CC0AE8">
      <w:pPr>
        <w:spacing w:line="360" w:lineRule="auto"/>
        <w:rPr>
          <w:rFonts w:ascii="Arial" w:hAnsi="Arial" w:cs="Arial"/>
          <w:sz w:val="24"/>
          <w:szCs w:val="24"/>
        </w:rPr>
      </w:pPr>
      <w:r w:rsidRPr="00CC0AE8">
        <w:rPr>
          <w:rFonts w:ascii="Arial" w:hAnsi="Arial" w:cs="Arial"/>
          <w:sz w:val="24"/>
          <w:szCs w:val="24"/>
        </w:rPr>
        <w:t xml:space="preserve">BMTP6015 - Independent Project Part 3 </w:t>
      </w:r>
    </w:p>
    <w:p w:rsidR="00CC0AE8" w:rsidRPr="00CC0AE8" w:rsidRDefault="00CC0AE8" w:rsidP="00CC0AE8">
      <w:pPr>
        <w:spacing w:line="360" w:lineRule="auto"/>
        <w:rPr>
          <w:rFonts w:ascii="Arial" w:hAnsi="Arial" w:cs="Arial"/>
          <w:sz w:val="24"/>
          <w:szCs w:val="24"/>
        </w:rPr>
      </w:pPr>
      <w:r w:rsidRPr="00CC0AE8">
        <w:rPr>
          <w:rFonts w:ascii="Arial" w:hAnsi="Arial" w:cs="Arial"/>
          <w:sz w:val="24"/>
          <w:szCs w:val="24"/>
        </w:rPr>
        <w:t>Tutor – Scott James</w:t>
      </w:r>
    </w:p>
    <w:p w:rsidR="00CC0AE8" w:rsidRDefault="00CC0AE8" w:rsidP="00CC0AE8">
      <w:pPr>
        <w:spacing w:line="360" w:lineRule="auto"/>
        <w:rPr>
          <w:rFonts w:ascii="Arial" w:hAnsi="Arial" w:cs="Arial"/>
          <w:sz w:val="24"/>
          <w:szCs w:val="24"/>
        </w:rPr>
      </w:pPr>
      <w:r w:rsidRPr="00CC0AE8">
        <w:rPr>
          <w:rFonts w:ascii="Arial" w:hAnsi="Arial" w:cs="Arial"/>
          <w:sz w:val="24"/>
          <w:szCs w:val="24"/>
        </w:rPr>
        <w:t>Due – 5</w:t>
      </w:r>
      <w:r w:rsidRPr="00CC0AE8">
        <w:rPr>
          <w:rFonts w:ascii="Arial" w:hAnsi="Arial" w:cs="Arial"/>
          <w:sz w:val="24"/>
          <w:szCs w:val="24"/>
          <w:vertAlign w:val="superscript"/>
        </w:rPr>
        <w:t>th</w:t>
      </w:r>
      <w:r w:rsidRPr="00CC0AE8">
        <w:rPr>
          <w:rFonts w:ascii="Arial" w:hAnsi="Arial" w:cs="Arial"/>
          <w:sz w:val="24"/>
          <w:szCs w:val="24"/>
        </w:rPr>
        <w:t xml:space="preserve"> March 2025</w:t>
      </w:r>
    </w:p>
    <w:p w:rsidR="00CC0AE8" w:rsidRDefault="00CC0AE8" w:rsidP="00CC0AE8">
      <w:pPr>
        <w:spacing w:line="360" w:lineRule="auto"/>
        <w:rPr>
          <w:rFonts w:ascii="Arial" w:hAnsi="Arial" w:cs="Arial"/>
          <w:sz w:val="24"/>
          <w:szCs w:val="24"/>
        </w:rPr>
      </w:pPr>
    </w:p>
    <w:p w:rsidR="00CC0AE8" w:rsidRDefault="00CC0AE8" w:rsidP="00CC0AE8">
      <w:pPr>
        <w:spacing w:line="360" w:lineRule="auto"/>
        <w:rPr>
          <w:rFonts w:ascii="Arial" w:hAnsi="Arial" w:cs="Arial"/>
          <w:sz w:val="24"/>
          <w:szCs w:val="24"/>
        </w:rPr>
      </w:pPr>
    </w:p>
    <w:p w:rsidR="00CC0AE8" w:rsidRDefault="00CC0AE8" w:rsidP="00CC0AE8">
      <w:pPr>
        <w:spacing w:line="360" w:lineRule="auto"/>
        <w:rPr>
          <w:rFonts w:ascii="Arial" w:hAnsi="Arial" w:cs="Arial"/>
          <w:sz w:val="24"/>
          <w:szCs w:val="24"/>
        </w:rPr>
      </w:pPr>
    </w:p>
    <w:p w:rsidR="00CC0AE8" w:rsidRDefault="00CC0AE8" w:rsidP="00CC0AE8">
      <w:pPr>
        <w:spacing w:line="360" w:lineRule="auto"/>
        <w:rPr>
          <w:rFonts w:ascii="Arial" w:hAnsi="Arial" w:cs="Arial"/>
          <w:sz w:val="24"/>
          <w:szCs w:val="24"/>
        </w:rPr>
      </w:pPr>
    </w:p>
    <w:p w:rsidR="00CC0AE8" w:rsidRDefault="00CC0AE8" w:rsidP="00CC0AE8">
      <w:pPr>
        <w:spacing w:line="360" w:lineRule="auto"/>
        <w:rPr>
          <w:rFonts w:ascii="Arial" w:hAnsi="Arial" w:cs="Arial"/>
          <w:sz w:val="24"/>
          <w:szCs w:val="24"/>
        </w:rPr>
      </w:pPr>
    </w:p>
    <w:p w:rsidR="00CC0AE8" w:rsidRDefault="00CC0AE8" w:rsidP="00CC0AE8">
      <w:pPr>
        <w:spacing w:line="360" w:lineRule="auto"/>
        <w:rPr>
          <w:rFonts w:ascii="Arial" w:hAnsi="Arial" w:cs="Arial"/>
          <w:sz w:val="24"/>
          <w:szCs w:val="24"/>
        </w:rPr>
      </w:pPr>
    </w:p>
    <w:p w:rsidR="00CC0AE8" w:rsidRDefault="00CC0AE8" w:rsidP="00CC0AE8">
      <w:pPr>
        <w:spacing w:line="360" w:lineRule="auto"/>
        <w:rPr>
          <w:rFonts w:ascii="Arial" w:hAnsi="Arial" w:cs="Arial"/>
          <w:sz w:val="24"/>
          <w:szCs w:val="24"/>
        </w:rPr>
      </w:pPr>
    </w:p>
    <w:p w:rsidR="00CC0AE8" w:rsidRDefault="00CC0AE8" w:rsidP="00CC0AE8">
      <w:pPr>
        <w:spacing w:line="360" w:lineRule="auto"/>
        <w:rPr>
          <w:rFonts w:ascii="Arial" w:hAnsi="Arial" w:cs="Arial"/>
          <w:sz w:val="24"/>
          <w:szCs w:val="24"/>
        </w:rPr>
      </w:pPr>
    </w:p>
    <w:p w:rsidR="00CC0AE8" w:rsidRDefault="00CC0AE8" w:rsidP="00CC0AE8">
      <w:pPr>
        <w:spacing w:line="360" w:lineRule="auto"/>
        <w:rPr>
          <w:rFonts w:ascii="Arial" w:hAnsi="Arial" w:cs="Arial"/>
          <w:sz w:val="24"/>
          <w:szCs w:val="24"/>
        </w:rPr>
      </w:pPr>
    </w:p>
    <w:p w:rsidR="00CC0AE8" w:rsidRDefault="00CC0AE8" w:rsidP="00CC0AE8">
      <w:pPr>
        <w:spacing w:line="360" w:lineRule="auto"/>
        <w:rPr>
          <w:rFonts w:ascii="Arial" w:hAnsi="Arial" w:cs="Arial"/>
          <w:sz w:val="24"/>
          <w:szCs w:val="24"/>
        </w:rPr>
      </w:pPr>
    </w:p>
    <w:p w:rsidR="00CC0AE8" w:rsidRDefault="00CC0AE8" w:rsidP="00CC0AE8">
      <w:pPr>
        <w:spacing w:line="360" w:lineRule="auto"/>
        <w:rPr>
          <w:rFonts w:ascii="Arial" w:hAnsi="Arial" w:cs="Arial"/>
          <w:sz w:val="24"/>
          <w:szCs w:val="24"/>
        </w:rPr>
      </w:pPr>
    </w:p>
    <w:p w:rsidR="00CC0AE8" w:rsidRDefault="00CC0AE8" w:rsidP="00CC0AE8">
      <w:pPr>
        <w:spacing w:line="360" w:lineRule="auto"/>
        <w:rPr>
          <w:rFonts w:ascii="Arial" w:hAnsi="Arial" w:cs="Arial"/>
          <w:sz w:val="24"/>
          <w:szCs w:val="24"/>
        </w:rPr>
      </w:pPr>
    </w:p>
    <w:p w:rsidR="00CC0AE8" w:rsidRDefault="00CC0AE8" w:rsidP="00CC0AE8">
      <w:pPr>
        <w:spacing w:line="360" w:lineRule="auto"/>
        <w:rPr>
          <w:rFonts w:ascii="Arial" w:hAnsi="Arial" w:cs="Arial"/>
          <w:sz w:val="24"/>
          <w:szCs w:val="24"/>
        </w:rPr>
      </w:pPr>
    </w:p>
    <w:p w:rsidR="00CC0AE8" w:rsidRDefault="00CC0AE8" w:rsidP="00CC0AE8">
      <w:pPr>
        <w:spacing w:line="360" w:lineRule="auto"/>
        <w:rPr>
          <w:rFonts w:ascii="Arial" w:hAnsi="Arial" w:cs="Arial"/>
          <w:sz w:val="24"/>
          <w:szCs w:val="24"/>
        </w:rPr>
      </w:pPr>
    </w:p>
    <w:p w:rsidR="00CC0AE8" w:rsidRDefault="00CC0AE8" w:rsidP="00CC0AE8">
      <w:pPr>
        <w:spacing w:line="360" w:lineRule="auto"/>
        <w:rPr>
          <w:rFonts w:ascii="Arial" w:hAnsi="Arial" w:cs="Arial"/>
          <w:sz w:val="24"/>
          <w:szCs w:val="24"/>
        </w:rPr>
      </w:pPr>
    </w:p>
    <w:p w:rsidR="00CC0AE8" w:rsidRDefault="00CC0AE8" w:rsidP="00CC0AE8">
      <w:pPr>
        <w:spacing w:line="360" w:lineRule="auto"/>
        <w:rPr>
          <w:rFonts w:ascii="Arial" w:hAnsi="Arial" w:cs="Arial"/>
          <w:sz w:val="24"/>
          <w:szCs w:val="24"/>
        </w:rPr>
      </w:pPr>
    </w:p>
    <w:p w:rsidR="00CC0AE8" w:rsidRDefault="00CC0AE8" w:rsidP="00CC0AE8">
      <w:pPr>
        <w:spacing w:line="360" w:lineRule="auto"/>
        <w:rPr>
          <w:rFonts w:ascii="Arial" w:hAnsi="Arial" w:cs="Arial"/>
          <w:sz w:val="24"/>
          <w:szCs w:val="24"/>
        </w:rPr>
      </w:pPr>
    </w:p>
    <w:p w:rsidR="00CC0AE8" w:rsidRDefault="00CC0AE8" w:rsidP="00CC0AE8">
      <w:pPr>
        <w:spacing w:line="360" w:lineRule="auto"/>
        <w:rPr>
          <w:rFonts w:ascii="Arial" w:hAnsi="Arial" w:cs="Arial"/>
          <w:sz w:val="24"/>
          <w:szCs w:val="24"/>
        </w:rPr>
      </w:pPr>
    </w:p>
    <w:p w:rsidR="00CC0AE8" w:rsidRDefault="00CC0AE8" w:rsidP="00CC0AE8">
      <w:pPr>
        <w:spacing w:line="360" w:lineRule="auto"/>
        <w:rPr>
          <w:rFonts w:ascii="Arial" w:hAnsi="Arial" w:cs="Arial"/>
          <w:sz w:val="24"/>
          <w:szCs w:val="24"/>
        </w:rPr>
      </w:pPr>
    </w:p>
    <w:p w:rsidR="00CC0AE8" w:rsidRDefault="00CC0AE8" w:rsidP="00CC0AE8">
      <w:pPr>
        <w:spacing w:line="360" w:lineRule="auto"/>
        <w:rPr>
          <w:rFonts w:ascii="Arial" w:hAnsi="Arial" w:cs="Arial"/>
          <w:sz w:val="24"/>
          <w:szCs w:val="24"/>
        </w:rPr>
      </w:pPr>
    </w:p>
    <w:p w:rsidR="00CC0AE8" w:rsidRDefault="00CC0AE8" w:rsidP="00CC0AE8">
      <w:pPr>
        <w:spacing w:line="360" w:lineRule="auto"/>
        <w:jc w:val="both"/>
        <w:rPr>
          <w:rFonts w:ascii="Arial" w:hAnsi="Arial" w:cs="Arial"/>
          <w:sz w:val="24"/>
          <w:szCs w:val="24"/>
        </w:rPr>
      </w:pPr>
      <w:r w:rsidRPr="00CC0AE8">
        <w:rPr>
          <w:rFonts w:ascii="Arial" w:hAnsi="Arial" w:cs="Arial"/>
          <w:sz w:val="24"/>
          <w:szCs w:val="24"/>
          <w:u w:val="single"/>
        </w:rPr>
        <w:lastRenderedPageBreak/>
        <w:t>Results of Research</w:t>
      </w:r>
    </w:p>
    <w:p w:rsidR="00D4315E" w:rsidRDefault="00CE32BA" w:rsidP="00CC0AE8">
      <w:pPr>
        <w:spacing w:line="360" w:lineRule="auto"/>
        <w:jc w:val="both"/>
        <w:rPr>
          <w:rFonts w:ascii="Arial" w:hAnsi="Arial" w:cs="Arial"/>
          <w:sz w:val="24"/>
          <w:szCs w:val="24"/>
        </w:rPr>
      </w:pPr>
      <w:r>
        <w:rPr>
          <w:rFonts w:ascii="Arial" w:hAnsi="Arial" w:cs="Arial"/>
          <w:sz w:val="24"/>
          <w:szCs w:val="24"/>
        </w:rPr>
        <w:t>The analysis of secondary data confirms a strong correlation between accessible hospitality and improved satisfaction, engagement and loyalty among disabled event attendees.  Research consistently highlights the significance of customer service, empathetic staff, accessible environments, and adaptive technology in shaping positive event experiences.</w:t>
      </w:r>
    </w:p>
    <w:p w:rsidR="00CE32BA" w:rsidRDefault="00CE32BA" w:rsidP="00CC0AE8">
      <w:pPr>
        <w:spacing w:line="360" w:lineRule="auto"/>
        <w:jc w:val="both"/>
        <w:rPr>
          <w:rFonts w:ascii="Arial" w:hAnsi="Arial" w:cs="Arial"/>
          <w:sz w:val="24"/>
          <w:szCs w:val="24"/>
        </w:rPr>
      </w:pPr>
      <w:r>
        <w:rPr>
          <w:rFonts w:ascii="Arial" w:hAnsi="Arial" w:cs="Arial"/>
          <w:sz w:val="24"/>
          <w:szCs w:val="24"/>
        </w:rPr>
        <w:t>The Research Institute for Disabled Consumers (2024) found that 48% of disabled people continue to face barriers when attending live events.  Common issues included, poor communicati</w:t>
      </w:r>
      <w:r w:rsidR="00B24A6D">
        <w:rPr>
          <w:rFonts w:ascii="Arial" w:hAnsi="Arial" w:cs="Arial"/>
          <w:sz w:val="24"/>
          <w:szCs w:val="24"/>
        </w:rPr>
        <w:t xml:space="preserve">on, staff not understanding </w:t>
      </w:r>
      <w:r>
        <w:rPr>
          <w:rFonts w:ascii="Arial" w:hAnsi="Arial" w:cs="Arial"/>
          <w:sz w:val="24"/>
          <w:szCs w:val="24"/>
        </w:rPr>
        <w:t xml:space="preserve">disability needs, </w:t>
      </w:r>
      <w:r w:rsidR="00B24A6D">
        <w:rPr>
          <w:rFonts w:ascii="Arial" w:hAnsi="Arial" w:cs="Arial"/>
          <w:sz w:val="24"/>
          <w:szCs w:val="24"/>
        </w:rPr>
        <w:t>and inaccessible</w:t>
      </w:r>
      <w:r>
        <w:rPr>
          <w:rFonts w:ascii="Arial" w:hAnsi="Arial" w:cs="Arial"/>
          <w:sz w:val="24"/>
          <w:szCs w:val="24"/>
        </w:rPr>
        <w:t xml:space="preserve"> facilities</w:t>
      </w:r>
      <w:r w:rsidR="00B24A6D">
        <w:rPr>
          <w:rFonts w:ascii="Arial" w:hAnsi="Arial" w:cs="Arial"/>
          <w:sz w:val="24"/>
          <w:szCs w:val="24"/>
        </w:rPr>
        <w:t>.  Attendees with sensory or cognitive impairments particularly reported high levels of anxiety and frustration due to inconsistent support (Moon, H., 2024).</w:t>
      </w:r>
    </w:p>
    <w:p w:rsidR="003632F4" w:rsidRPr="003632F4" w:rsidRDefault="003632F4" w:rsidP="003632F4">
      <w:pPr>
        <w:spacing w:before="100" w:beforeAutospacing="1" w:after="100" w:afterAutospacing="1" w:line="360" w:lineRule="auto"/>
        <w:rPr>
          <w:rFonts w:ascii="Arial" w:eastAsia="Times New Roman" w:hAnsi="Arial" w:cs="Arial"/>
          <w:sz w:val="24"/>
          <w:szCs w:val="24"/>
          <w:lang w:eastAsia="en-GB"/>
        </w:rPr>
      </w:pPr>
      <w:r w:rsidRPr="003632F4">
        <w:rPr>
          <w:rFonts w:ascii="Arial" w:eastAsia="Times New Roman" w:hAnsi="Arial" w:cs="Arial"/>
          <w:sz w:val="24"/>
          <w:szCs w:val="24"/>
          <w:lang w:eastAsia="en-GB"/>
        </w:rPr>
        <w:t>To illustrate these findings clearly, Table 1 summarises the most commonly reported barriers: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304"/>
        <w:gridCol w:w="3996"/>
        <w:gridCol w:w="1329"/>
      </w:tblGrid>
      <w:tr w:rsidR="003632F4" w:rsidRPr="003632F4" w:rsidTr="003632F4">
        <w:trPr>
          <w:tblHeader/>
          <w:tblCellSpacing w:w="15" w:type="dxa"/>
        </w:trPr>
        <w:tc>
          <w:tcPr>
            <w:tcW w:w="0" w:type="auto"/>
            <w:vAlign w:val="center"/>
            <w:hideMark/>
          </w:tcPr>
          <w:p w:rsidR="003632F4" w:rsidRPr="003632F4" w:rsidRDefault="003632F4" w:rsidP="003632F4">
            <w:pPr>
              <w:spacing w:after="0" w:line="360" w:lineRule="auto"/>
              <w:jc w:val="center"/>
              <w:rPr>
                <w:rFonts w:ascii="Arial" w:eastAsia="Times New Roman" w:hAnsi="Arial" w:cs="Arial"/>
                <w:bCs/>
                <w:sz w:val="24"/>
                <w:szCs w:val="24"/>
                <w:lang w:eastAsia="en-GB"/>
              </w:rPr>
            </w:pPr>
            <w:r w:rsidRPr="003632F4">
              <w:rPr>
                <w:rFonts w:ascii="Arial" w:eastAsia="Times New Roman" w:hAnsi="Arial" w:cs="Arial"/>
                <w:bCs/>
                <w:sz w:val="24"/>
                <w:szCs w:val="24"/>
                <w:lang w:eastAsia="en-GB"/>
              </w:rPr>
              <w:t>Barrier</w:t>
            </w:r>
          </w:p>
        </w:tc>
        <w:tc>
          <w:tcPr>
            <w:tcW w:w="0" w:type="auto"/>
            <w:vAlign w:val="center"/>
            <w:hideMark/>
          </w:tcPr>
          <w:p w:rsidR="003632F4" w:rsidRPr="003632F4" w:rsidRDefault="003632F4" w:rsidP="003632F4">
            <w:pPr>
              <w:spacing w:after="0" w:line="360" w:lineRule="auto"/>
              <w:jc w:val="center"/>
              <w:rPr>
                <w:rFonts w:ascii="Arial" w:eastAsia="Times New Roman" w:hAnsi="Arial" w:cs="Arial"/>
                <w:bCs/>
                <w:sz w:val="24"/>
                <w:szCs w:val="24"/>
                <w:lang w:eastAsia="en-GB"/>
              </w:rPr>
            </w:pPr>
            <w:r w:rsidRPr="003632F4">
              <w:rPr>
                <w:rFonts w:ascii="Arial" w:eastAsia="Times New Roman" w:hAnsi="Arial" w:cs="Arial"/>
                <w:bCs/>
                <w:sz w:val="24"/>
                <w:szCs w:val="24"/>
                <w:lang w:eastAsia="en-GB"/>
              </w:rPr>
              <w:t>% of Disabled Attendees Reporting It</w:t>
            </w:r>
          </w:p>
        </w:tc>
        <w:tc>
          <w:tcPr>
            <w:tcW w:w="0" w:type="auto"/>
            <w:vAlign w:val="center"/>
            <w:hideMark/>
          </w:tcPr>
          <w:p w:rsidR="003632F4" w:rsidRPr="003632F4" w:rsidRDefault="003632F4" w:rsidP="003632F4">
            <w:pPr>
              <w:spacing w:after="0" w:line="360" w:lineRule="auto"/>
              <w:jc w:val="center"/>
              <w:rPr>
                <w:rFonts w:ascii="Arial" w:eastAsia="Times New Roman" w:hAnsi="Arial" w:cs="Arial"/>
                <w:bCs/>
                <w:sz w:val="24"/>
                <w:szCs w:val="24"/>
                <w:lang w:eastAsia="en-GB"/>
              </w:rPr>
            </w:pPr>
            <w:r w:rsidRPr="003632F4">
              <w:rPr>
                <w:rFonts w:ascii="Arial" w:eastAsia="Times New Roman" w:hAnsi="Arial" w:cs="Arial"/>
                <w:bCs/>
                <w:sz w:val="24"/>
                <w:szCs w:val="24"/>
                <w:lang w:eastAsia="en-GB"/>
              </w:rPr>
              <w:t>Source</w:t>
            </w:r>
          </w:p>
        </w:tc>
      </w:tr>
      <w:tr w:rsidR="003632F4" w:rsidRPr="003632F4" w:rsidTr="003632F4">
        <w:trPr>
          <w:tblCellSpacing w:w="15" w:type="dxa"/>
        </w:trPr>
        <w:tc>
          <w:tcPr>
            <w:tcW w:w="0" w:type="auto"/>
            <w:vAlign w:val="center"/>
            <w:hideMark/>
          </w:tcPr>
          <w:p w:rsidR="003632F4" w:rsidRPr="003632F4" w:rsidRDefault="003632F4" w:rsidP="003632F4">
            <w:pPr>
              <w:spacing w:after="0" w:line="360" w:lineRule="auto"/>
              <w:rPr>
                <w:rFonts w:ascii="Arial" w:eastAsia="Times New Roman" w:hAnsi="Arial" w:cs="Arial"/>
                <w:sz w:val="24"/>
                <w:szCs w:val="24"/>
                <w:lang w:eastAsia="en-GB"/>
              </w:rPr>
            </w:pPr>
            <w:r w:rsidRPr="003632F4">
              <w:rPr>
                <w:rFonts w:ascii="Arial" w:eastAsia="Times New Roman" w:hAnsi="Arial" w:cs="Arial"/>
                <w:sz w:val="24"/>
                <w:szCs w:val="24"/>
                <w:lang w:eastAsia="en-GB"/>
              </w:rPr>
              <w:t>Inaccessible Venues</w:t>
            </w:r>
          </w:p>
        </w:tc>
        <w:tc>
          <w:tcPr>
            <w:tcW w:w="0" w:type="auto"/>
            <w:vAlign w:val="center"/>
            <w:hideMark/>
          </w:tcPr>
          <w:p w:rsidR="003632F4" w:rsidRPr="003632F4" w:rsidRDefault="003632F4" w:rsidP="003632F4">
            <w:pPr>
              <w:spacing w:after="0" w:line="360" w:lineRule="auto"/>
              <w:rPr>
                <w:rFonts w:ascii="Arial" w:eastAsia="Times New Roman" w:hAnsi="Arial" w:cs="Arial"/>
                <w:sz w:val="24"/>
                <w:szCs w:val="24"/>
                <w:lang w:eastAsia="en-GB"/>
              </w:rPr>
            </w:pPr>
            <w:r w:rsidRPr="003632F4">
              <w:rPr>
                <w:rFonts w:ascii="Arial" w:eastAsia="Times New Roman" w:hAnsi="Arial" w:cs="Arial"/>
                <w:sz w:val="24"/>
                <w:szCs w:val="24"/>
                <w:lang w:eastAsia="en-GB"/>
              </w:rPr>
              <w:t>48%</w:t>
            </w:r>
          </w:p>
        </w:tc>
        <w:tc>
          <w:tcPr>
            <w:tcW w:w="0" w:type="auto"/>
            <w:vAlign w:val="center"/>
            <w:hideMark/>
          </w:tcPr>
          <w:p w:rsidR="003632F4" w:rsidRPr="003632F4" w:rsidRDefault="003632F4" w:rsidP="003632F4">
            <w:pPr>
              <w:spacing w:after="0" w:line="360" w:lineRule="auto"/>
              <w:rPr>
                <w:rFonts w:ascii="Arial" w:eastAsia="Times New Roman" w:hAnsi="Arial" w:cs="Arial"/>
                <w:sz w:val="24"/>
                <w:szCs w:val="24"/>
                <w:lang w:eastAsia="en-GB"/>
              </w:rPr>
            </w:pPr>
            <w:r w:rsidRPr="003632F4">
              <w:rPr>
                <w:rFonts w:ascii="Arial" w:eastAsia="Times New Roman" w:hAnsi="Arial" w:cs="Arial"/>
                <w:sz w:val="24"/>
                <w:szCs w:val="24"/>
                <w:lang w:eastAsia="en-GB"/>
              </w:rPr>
              <w:t>RIDC, 2024</w:t>
            </w:r>
          </w:p>
        </w:tc>
      </w:tr>
      <w:tr w:rsidR="003632F4" w:rsidRPr="003632F4" w:rsidTr="003632F4">
        <w:trPr>
          <w:tblCellSpacing w:w="15" w:type="dxa"/>
        </w:trPr>
        <w:tc>
          <w:tcPr>
            <w:tcW w:w="0" w:type="auto"/>
            <w:vAlign w:val="center"/>
            <w:hideMark/>
          </w:tcPr>
          <w:p w:rsidR="003632F4" w:rsidRPr="003632F4" w:rsidRDefault="003632F4" w:rsidP="003632F4">
            <w:pPr>
              <w:spacing w:after="0" w:line="360" w:lineRule="auto"/>
              <w:rPr>
                <w:rFonts w:ascii="Arial" w:eastAsia="Times New Roman" w:hAnsi="Arial" w:cs="Arial"/>
                <w:sz w:val="24"/>
                <w:szCs w:val="24"/>
                <w:lang w:eastAsia="en-GB"/>
              </w:rPr>
            </w:pPr>
            <w:r w:rsidRPr="003632F4">
              <w:rPr>
                <w:rFonts w:ascii="Arial" w:eastAsia="Times New Roman" w:hAnsi="Arial" w:cs="Arial"/>
                <w:sz w:val="24"/>
                <w:szCs w:val="24"/>
                <w:lang w:eastAsia="en-GB"/>
              </w:rPr>
              <w:t>Inadequate Staff Training</w:t>
            </w:r>
          </w:p>
        </w:tc>
        <w:tc>
          <w:tcPr>
            <w:tcW w:w="0" w:type="auto"/>
            <w:vAlign w:val="center"/>
            <w:hideMark/>
          </w:tcPr>
          <w:p w:rsidR="003632F4" w:rsidRPr="003632F4" w:rsidRDefault="003632F4" w:rsidP="003632F4">
            <w:pPr>
              <w:spacing w:after="0" w:line="360" w:lineRule="auto"/>
              <w:rPr>
                <w:rFonts w:ascii="Arial" w:eastAsia="Times New Roman" w:hAnsi="Arial" w:cs="Arial"/>
                <w:sz w:val="24"/>
                <w:szCs w:val="24"/>
                <w:lang w:eastAsia="en-GB"/>
              </w:rPr>
            </w:pPr>
            <w:r w:rsidRPr="003632F4">
              <w:rPr>
                <w:rFonts w:ascii="Arial" w:eastAsia="Times New Roman" w:hAnsi="Arial" w:cs="Arial"/>
                <w:sz w:val="24"/>
                <w:szCs w:val="24"/>
                <w:lang w:eastAsia="en-GB"/>
              </w:rPr>
              <w:t>42%</w:t>
            </w:r>
          </w:p>
        </w:tc>
        <w:tc>
          <w:tcPr>
            <w:tcW w:w="0" w:type="auto"/>
            <w:vAlign w:val="center"/>
            <w:hideMark/>
          </w:tcPr>
          <w:p w:rsidR="003632F4" w:rsidRPr="003632F4" w:rsidRDefault="003632F4" w:rsidP="003632F4">
            <w:pPr>
              <w:spacing w:after="0" w:line="360" w:lineRule="auto"/>
              <w:rPr>
                <w:rFonts w:ascii="Arial" w:eastAsia="Times New Roman" w:hAnsi="Arial" w:cs="Arial"/>
                <w:sz w:val="24"/>
                <w:szCs w:val="24"/>
                <w:lang w:eastAsia="en-GB"/>
              </w:rPr>
            </w:pPr>
            <w:r w:rsidRPr="003632F4">
              <w:rPr>
                <w:rFonts w:ascii="Arial" w:eastAsia="Times New Roman" w:hAnsi="Arial" w:cs="Arial"/>
                <w:sz w:val="24"/>
                <w:szCs w:val="24"/>
                <w:lang w:eastAsia="en-GB"/>
              </w:rPr>
              <w:t>RIDC, 2024</w:t>
            </w:r>
          </w:p>
        </w:tc>
      </w:tr>
      <w:tr w:rsidR="003632F4" w:rsidRPr="003632F4" w:rsidTr="003632F4">
        <w:trPr>
          <w:tblCellSpacing w:w="15" w:type="dxa"/>
        </w:trPr>
        <w:tc>
          <w:tcPr>
            <w:tcW w:w="0" w:type="auto"/>
            <w:vAlign w:val="center"/>
            <w:hideMark/>
          </w:tcPr>
          <w:p w:rsidR="003632F4" w:rsidRPr="003632F4" w:rsidRDefault="003632F4" w:rsidP="003632F4">
            <w:pPr>
              <w:spacing w:after="0" w:line="360" w:lineRule="auto"/>
              <w:rPr>
                <w:rFonts w:ascii="Arial" w:eastAsia="Times New Roman" w:hAnsi="Arial" w:cs="Arial"/>
                <w:sz w:val="24"/>
                <w:szCs w:val="24"/>
                <w:lang w:eastAsia="en-GB"/>
              </w:rPr>
            </w:pPr>
            <w:r w:rsidRPr="003632F4">
              <w:rPr>
                <w:rFonts w:ascii="Arial" w:eastAsia="Times New Roman" w:hAnsi="Arial" w:cs="Arial"/>
                <w:sz w:val="24"/>
                <w:szCs w:val="24"/>
                <w:lang w:eastAsia="en-GB"/>
              </w:rPr>
              <w:t>Poor Communication Methods</w:t>
            </w:r>
          </w:p>
        </w:tc>
        <w:tc>
          <w:tcPr>
            <w:tcW w:w="0" w:type="auto"/>
            <w:vAlign w:val="center"/>
            <w:hideMark/>
          </w:tcPr>
          <w:p w:rsidR="003632F4" w:rsidRPr="003632F4" w:rsidRDefault="003632F4" w:rsidP="003632F4">
            <w:pPr>
              <w:spacing w:after="0" w:line="360" w:lineRule="auto"/>
              <w:rPr>
                <w:rFonts w:ascii="Arial" w:eastAsia="Times New Roman" w:hAnsi="Arial" w:cs="Arial"/>
                <w:sz w:val="24"/>
                <w:szCs w:val="24"/>
                <w:lang w:eastAsia="en-GB"/>
              </w:rPr>
            </w:pPr>
            <w:r w:rsidRPr="003632F4">
              <w:rPr>
                <w:rFonts w:ascii="Arial" w:eastAsia="Times New Roman" w:hAnsi="Arial" w:cs="Arial"/>
                <w:sz w:val="24"/>
                <w:szCs w:val="24"/>
                <w:lang w:eastAsia="en-GB"/>
              </w:rPr>
              <w:t>35%</w:t>
            </w:r>
          </w:p>
        </w:tc>
        <w:tc>
          <w:tcPr>
            <w:tcW w:w="0" w:type="auto"/>
            <w:vAlign w:val="center"/>
            <w:hideMark/>
          </w:tcPr>
          <w:p w:rsidR="003632F4" w:rsidRPr="003632F4" w:rsidRDefault="003632F4" w:rsidP="003632F4">
            <w:pPr>
              <w:spacing w:after="0" w:line="360" w:lineRule="auto"/>
              <w:rPr>
                <w:rFonts w:ascii="Arial" w:eastAsia="Times New Roman" w:hAnsi="Arial" w:cs="Arial"/>
                <w:sz w:val="24"/>
                <w:szCs w:val="24"/>
                <w:lang w:eastAsia="en-GB"/>
              </w:rPr>
            </w:pPr>
            <w:r w:rsidRPr="003632F4">
              <w:rPr>
                <w:rFonts w:ascii="Arial" w:eastAsia="Times New Roman" w:hAnsi="Arial" w:cs="Arial"/>
                <w:sz w:val="24"/>
                <w:szCs w:val="24"/>
                <w:lang w:eastAsia="en-GB"/>
              </w:rPr>
              <w:t>RIDC, 2024</w:t>
            </w:r>
          </w:p>
        </w:tc>
      </w:tr>
      <w:tr w:rsidR="003632F4" w:rsidRPr="003632F4" w:rsidTr="003632F4">
        <w:trPr>
          <w:tblCellSpacing w:w="15" w:type="dxa"/>
        </w:trPr>
        <w:tc>
          <w:tcPr>
            <w:tcW w:w="0" w:type="auto"/>
            <w:vAlign w:val="center"/>
            <w:hideMark/>
          </w:tcPr>
          <w:p w:rsidR="003632F4" w:rsidRPr="003632F4" w:rsidRDefault="003632F4" w:rsidP="003632F4">
            <w:pPr>
              <w:spacing w:after="0" w:line="360" w:lineRule="auto"/>
              <w:rPr>
                <w:rFonts w:ascii="Arial" w:eastAsia="Times New Roman" w:hAnsi="Arial" w:cs="Arial"/>
                <w:sz w:val="24"/>
                <w:szCs w:val="24"/>
                <w:lang w:eastAsia="en-GB"/>
              </w:rPr>
            </w:pPr>
            <w:r w:rsidRPr="003632F4">
              <w:rPr>
                <w:rFonts w:ascii="Arial" w:eastAsia="Times New Roman" w:hAnsi="Arial" w:cs="Arial"/>
                <w:sz w:val="24"/>
                <w:szCs w:val="24"/>
                <w:lang w:eastAsia="en-GB"/>
              </w:rPr>
              <w:t>Lack of Assistive Technology</w:t>
            </w:r>
          </w:p>
        </w:tc>
        <w:tc>
          <w:tcPr>
            <w:tcW w:w="0" w:type="auto"/>
            <w:vAlign w:val="center"/>
            <w:hideMark/>
          </w:tcPr>
          <w:p w:rsidR="003632F4" w:rsidRPr="003632F4" w:rsidRDefault="003632F4" w:rsidP="003632F4">
            <w:pPr>
              <w:spacing w:after="0" w:line="360" w:lineRule="auto"/>
              <w:rPr>
                <w:rFonts w:ascii="Arial" w:eastAsia="Times New Roman" w:hAnsi="Arial" w:cs="Arial"/>
                <w:sz w:val="24"/>
                <w:szCs w:val="24"/>
                <w:lang w:eastAsia="en-GB"/>
              </w:rPr>
            </w:pPr>
            <w:r w:rsidRPr="003632F4">
              <w:rPr>
                <w:rFonts w:ascii="Arial" w:eastAsia="Times New Roman" w:hAnsi="Arial" w:cs="Arial"/>
                <w:sz w:val="24"/>
                <w:szCs w:val="24"/>
                <w:lang w:eastAsia="en-GB"/>
              </w:rPr>
              <w:t>29%</w:t>
            </w:r>
          </w:p>
        </w:tc>
        <w:tc>
          <w:tcPr>
            <w:tcW w:w="0" w:type="auto"/>
            <w:vAlign w:val="center"/>
            <w:hideMark/>
          </w:tcPr>
          <w:p w:rsidR="003632F4" w:rsidRPr="003632F4" w:rsidRDefault="003632F4" w:rsidP="003632F4">
            <w:pPr>
              <w:spacing w:after="0" w:line="360" w:lineRule="auto"/>
              <w:rPr>
                <w:rFonts w:ascii="Arial" w:eastAsia="Times New Roman" w:hAnsi="Arial" w:cs="Arial"/>
                <w:sz w:val="24"/>
                <w:szCs w:val="24"/>
                <w:lang w:eastAsia="en-GB"/>
              </w:rPr>
            </w:pPr>
            <w:r w:rsidRPr="003632F4">
              <w:rPr>
                <w:rFonts w:ascii="Arial" w:eastAsia="Times New Roman" w:hAnsi="Arial" w:cs="Arial"/>
                <w:sz w:val="24"/>
                <w:szCs w:val="24"/>
                <w:lang w:eastAsia="en-GB"/>
              </w:rPr>
              <w:t>RIDC, 2024</w:t>
            </w:r>
          </w:p>
        </w:tc>
      </w:tr>
    </w:tbl>
    <w:p w:rsidR="003632F4" w:rsidRPr="003632F4" w:rsidRDefault="003632F4" w:rsidP="003632F4">
      <w:pPr>
        <w:spacing w:before="100" w:beforeAutospacing="1" w:after="100" w:afterAutospacing="1" w:line="360" w:lineRule="auto"/>
        <w:rPr>
          <w:rFonts w:ascii="Arial" w:eastAsia="Times New Roman" w:hAnsi="Arial" w:cs="Arial"/>
          <w:sz w:val="24"/>
          <w:szCs w:val="24"/>
          <w:lang w:eastAsia="en-GB"/>
        </w:rPr>
      </w:pPr>
      <w:r w:rsidRPr="003632F4">
        <w:rPr>
          <w:rFonts w:ascii="Arial" w:eastAsia="Times New Roman" w:hAnsi="Arial" w:cs="Arial"/>
          <w:bCs/>
          <w:sz w:val="24"/>
          <w:szCs w:val="24"/>
          <w:lang w:eastAsia="en-GB"/>
        </w:rPr>
        <w:t>Table 1: Common Barriers Experienced by Disabled Attendees at Live Events (RIDC, 2024)</w:t>
      </w:r>
    </w:p>
    <w:p w:rsidR="00B24A6D" w:rsidRDefault="00B24A6D" w:rsidP="00CC0AE8">
      <w:pPr>
        <w:spacing w:line="360" w:lineRule="auto"/>
        <w:jc w:val="both"/>
        <w:rPr>
          <w:rFonts w:ascii="Arial" w:hAnsi="Arial" w:cs="Arial"/>
          <w:sz w:val="24"/>
          <w:szCs w:val="24"/>
        </w:rPr>
      </w:pPr>
      <w:r>
        <w:rPr>
          <w:rFonts w:ascii="Arial" w:hAnsi="Arial" w:cs="Arial"/>
          <w:sz w:val="24"/>
          <w:szCs w:val="24"/>
        </w:rPr>
        <w:t>Despite these challenges, venues that prioritise inclusive hospitality and train staff appropriately, see marked improvements in attendee satisfaction.  For instance, in a review of UK cultural venues, the Barbican Centre was named London’s most accessible venue by Euan’s Guide users in 2020.  This distinction was based on positive feedback from disabled reviewers (Euan’s Guide, 2020).  One reviewer noted “Staff were helpful, friendly, and knew how to offer support without being condescending…which makes a huge difference</w:t>
      </w:r>
      <w:r w:rsidR="00BC7F12">
        <w:rPr>
          <w:rFonts w:ascii="Arial" w:hAnsi="Arial" w:cs="Arial"/>
          <w:sz w:val="24"/>
          <w:szCs w:val="24"/>
        </w:rPr>
        <w:t xml:space="preserve"> when planning a trip out”.</w:t>
      </w:r>
    </w:p>
    <w:p w:rsidR="003632F4" w:rsidRPr="003632F4" w:rsidRDefault="003632F4" w:rsidP="003632F4">
      <w:pPr>
        <w:spacing w:before="100" w:beforeAutospacing="1" w:after="100" w:afterAutospacing="1" w:line="360" w:lineRule="auto"/>
        <w:rPr>
          <w:rFonts w:ascii="Arial" w:hAnsi="Arial" w:cs="Arial"/>
          <w:sz w:val="24"/>
          <w:szCs w:val="24"/>
        </w:rPr>
      </w:pPr>
      <w:r w:rsidRPr="003632F4">
        <w:rPr>
          <w:rFonts w:ascii="Arial" w:hAnsi="Arial" w:cs="Arial"/>
          <w:sz w:val="24"/>
          <w:szCs w:val="24"/>
        </w:rPr>
        <w:t xml:space="preserve">The Barbican’s Access Guide (2022) outlines detailed initiatives undertaken to support disabled attendees, such as sensory-friendly signage, accessible ticketing </w:t>
      </w:r>
      <w:r w:rsidRPr="003632F4">
        <w:rPr>
          <w:rFonts w:ascii="Arial" w:hAnsi="Arial" w:cs="Arial"/>
          <w:sz w:val="24"/>
          <w:szCs w:val="24"/>
        </w:rPr>
        <w:lastRenderedPageBreak/>
        <w:t>platforms, and disability awareness training for all front-facing staff. Although no quantitative satisfaction metrics are publicly stated, the consistent positive feedback and external recognition suggest a significant improvement in visitor experience.</w:t>
      </w:r>
    </w:p>
    <w:p w:rsidR="003632F4" w:rsidRPr="003632F4" w:rsidRDefault="003632F4" w:rsidP="003632F4">
      <w:pPr>
        <w:spacing w:before="100" w:beforeAutospacing="1" w:after="100" w:afterAutospacing="1" w:line="360" w:lineRule="auto"/>
        <w:rPr>
          <w:rFonts w:ascii="Arial" w:hAnsi="Arial" w:cs="Arial"/>
          <w:sz w:val="24"/>
          <w:szCs w:val="24"/>
        </w:rPr>
      </w:pPr>
      <w:r w:rsidRPr="003632F4">
        <w:rPr>
          <w:rFonts w:ascii="Arial" w:hAnsi="Arial" w:cs="Arial"/>
          <w:sz w:val="24"/>
          <w:szCs w:val="24"/>
        </w:rPr>
        <w:t>Technology also plays a critical role. Studies by Rubio-Escuderos et al. (2021) and Theocharis et al. (2017) show that tools such as hearing loops, real-time navigation apps, and virtual assistance services contribute to reduced stress levels and improved autonomy for disabled event attendees. H</w:t>
      </w:r>
      <w:r>
        <w:rPr>
          <w:rFonts w:ascii="Arial" w:hAnsi="Arial" w:cs="Arial"/>
          <w:sz w:val="24"/>
          <w:szCs w:val="24"/>
        </w:rPr>
        <w:t>owever, the World Health Organis</w:t>
      </w:r>
      <w:r w:rsidRPr="003632F4">
        <w:rPr>
          <w:rFonts w:ascii="Arial" w:hAnsi="Arial" w:cs="Arial"/>
          <w:sz w:val="24"/>
          <w:szCs w:val="24"/>
        </w:rPr>
        <w:t>ation (2022) highlights persistent inequalities, noting that technological solutions are often inconsistently deployed across venues, exacerbating disparities in accessibility.</w:t>
      </w:r>
    </w:p>
    <w:p w:rsidR="008777F9" w:rsidRDefault="003632F4" w:rsidP="008777F9">
      <w:pPr>
        <w:spacing w:before="100" w:beforeAutospacing="1" w:after="100" w:afterAutospacing="1" w:line="360" w:lineRule="auto"/>
      </w:pPr>
      <w:r w:rsidRPr="003632F4">
        <w:rPr>
          <w:rFonts w:ascii="Arial" w:hAnsi="Arial" w:cs="Arial"/>
          <w:sz w:val="24"/>
          <w:szCs w:val="24"/>
        </w:rPr>
        <w:t>These findings reinforce the research hypothesis that accessibility barriers are multifaceted, encompassing both environmental and interpersonal challenges. The high prevalence of inadequate staff training and communication difficulties suggests that hospitality practices significantly influence disabled attendees’ experiences beyond physical infr</w:t>
      </w:r>
      <w:r>
        <w:rPr>
          <w:rFonts w:ascii="Arial" w:hAnsi="Arial" w:cs="Arial"/>
          <w:sz w:val="24"/>
          <w:szCs w:val="24"/>
        </w:rPr>
        <w:t>astructure</w:t>
      </w:r>
      <w:r w:rsidR="008777F9">
        <w:rPr>
          <w:rFonts w:ascii="Arial" w:hAnsi="Arial" w:cs="Arial"/>
          <w:sz w:val="24"/>
          <w:szCs w:val="24"/>
        </w:rPr>
        <w:t xml:space="preserve"> </w:t>
      </w:r>
      <w:r w:rsidR="008777F9" w:rsidRPr="008777F9">
        <w:rPr>
          <w:rFonts w:ascii="Arial" w:hAnsi="Arial" w:cs="Arial"/>
          <w:sz w:val="24"/>
          <w:szCs w:val="24"/>
        </w:rPr>
        <w:t>suggests that a holistic approach, combining environmental access and relational service quality, is essential for engagement at events</w:t>
      </w:r>
      <w:r w:rsidR="008777F9">
        <w:rPr>
          <w:rFonts w:ascii="Arial" w:hAnsi="Arial" w:cs="Arial"/>
          <w:sz w:val="24"/>
          <w:szCs w:val="24"/>
        </w:rPr>
        <w:t>.</w:t>
      </w:r>
    </w:p>
    <w:p w:rsidR="00591DB8" w:rsidRPr="00992621" w:rsidRDefault="00591DB8" w:rsidP="008777F9">
      <w:pPr>
        <w:spacing w:before="100" w:beforeAutospacing="1" w:after="100" w:afterAutospacing="1" w:line="360" w:lineRule="auto"/>
        <w:rPr>
          <w:rFonts w:ascii="Arial" w:hAnsi="Arial" w:cs="Arial"/>
          <w:sz w:val="24"/>
          <w:szCs w:val="24"/>
          <w:u w:val="single"/>
        </w:rPr>
      </w:pPr>
      <w:r w:rsidRPr="00992621">
        <w:rPr>
          <w:rFonts w:ascii="Arial" w:hAnsi="Arial" w:cs="Arial"/>
          <w:sz w:val="24"/>
          <w:szCs w:val="24"/>
          <w:u w:val="single"/>
        </w:rPr>
        <w:t>Discussion of Results</w:t>
      </w:r>
    </w:p>
    <w:p w:rsidR="003632F4" w:rsidRDefault="00C67B5C" w:rsidP="00CC0AE8">
      <w:pPr>
        <w:spacing w:line="360" w:lineRule="auto"/>
        <w:jc w:val="both"/>
        <w:rPr>
          <w:rFonts w:ascii="Arial" w:hAnsi="Arial" w:cs="Arial"/>
          <w:sz w:val="24"/>
          <w:szCs w:val="24"/>
        </w:rPr>
      </w:pPr>
      <w:r w:rsidRPr="00C67B5C">
        <w:rPr>
          <w:rFonts w:ascii="Arial" w:hAnsi="Arial" w:cs="Arial"/>
          <w:sz w:val="24"/>
          <w:szCs w:val="24"/>
        </w:rPr>
        <w:t>T</w:t>
      </w:r>
      <w:r>
        <w:rPr>
          <w:rFonts w:ascii="Arial" w:hAnsi="Arial" w:cs="Arial"/>
          <w:sz w:val="24"/>
          <w:szCs w:val="24"/>
        </w:rPr>
        <w:t>his discussion critically examines how accessible hospitality practices impact the satisfaction, engagement, and loyalty of disabled event attendees.  Synthesising findings from empirical studies, disabled consumer feedback, service quality theory, and real world case studies, it evaluates both achievements and shortcomings in current event practices.</w:t>
      </w:r>
    </w:p>
    <w:p w:rsidR="00C67B5C" w:rsidRDefault="00C67B5C" w:rsidP="00CC0AE8">
      <w:pPr>
        <w:spacing w:line="360" w:lineRule="auto"/>
        <w:jc w:val="both"/>
        <w:rPr>
          <w:rFonts w:ascii="Arial" w:hAnsi="Arial" w:cs="Arial"/>
          <w:sz w:val="24"/>
          <w:szCs w:val="24"/>
        </w:rPr>
      </w:pPr>
      <w:r>
        <w:rPr>
          <w:rFonts w:ascii="Arial" w:hAnsi="Arial" w:cs="Arial"/>
          <w:sz w:val="24"/>
          <w:szCs w:val="24"/>
        </w:rPr>
        <w:t>Central to this analysis are two key frameworks.  Gronroos (2007) service quality model distinguishes between technical quality (what is delivered), positioning service interaction as pivotal in shaping customer satisfaction.  In addition, Zeithaml et al.’s (1990) SERVQUAL framework identifies empathy, responsiveness, and assurance as critical dimensions, especially for vulnerable audiences such as disabled attendees.</w:t>
      </w:r>
    </w:p>
    <w:p w:rsidR="00C67B5C" w:rsidRDefault="00C67B5C" w:rsidP="00CC0AE8">
      <w:pPr>
        <w:spacing w:line="360" w:lineRule="auto"/>
        <w:jc w:val="both"/>
        <w:rPr>
          <w:rFonts w:ascii="Arial" w:hAnsi="Arial" w:cs="Arial"/>
          <w:sz w:val="24"/>
          <w:szCs w:val="24"/>
        </w:rPr>
      </w:pPr>
      <w:r>
        <w:rPr>
          <w:rFonts w:ascii="Arial" w:hAnsi="Arial" w:cs="Arial"/>
          <w:sz w:val="24"/>
          <w:szCs w:val="24"/>
        </w:rPr>
        <w:t>Real world data supports the relevance of these models.  The Research Institute for D</w:t>
      </w:r>
      <w:r w:rsidR="00ED47DA">
        <w:rPr>
          <w:rFonts w:ascii="Arial" w:hAnsi="Arial" w:cs="Arial"/>
          <w:sz w:val="24"/>
          <w:szCs w:val="24"/>
        </w:rPr>
        <w:t xml:space="preserve">isabled Consumers (2024) reported that “staff knowledge and attitude often made </w:t>
      </w:r>
      <w:r w:rsidR="00ED47DA">
        <w:rPr>
          <w:rFonts w:ascii="Arial" w:hAnsi="Arial" w:cs="Arial"/>
          <w:sz w:val="24"/>
          <w:szCs w:val="24"/>
        </w:rPr>
        <w:lastRenderedPageBreak/>
        <w:t>the difference between an accessible event being empowering or alienating”.  This underscores how emotional elements of service delivery weigh heavily on disabled attendees’ experiences, often more so than physical accessibility alone.</w:t>
      </w:r>
    </w:p>
    <w:p w:rsidR="00ED47DA" w:rsidRDefault="00ED47DA" w:rsidP="00CC0AE8">
      <w:pPr>
        <w:spacing w:line="360" w:lineRule="auto"/>
        <w:jc w:val="both"/>
        <w:rPr>
          <w:rFonts w:ascii="Arial" w:hAnsi="Arial" w:cs="Arial"/>
          <w:sz w:val="24"/>
          <w:szCs w:val="24"/>
        </w:rPr>
      </w:pPr>
      <w:r>
        <w:rPr>
          <w:rFonts w:ascii="Arial" w:hAnsi="Arial" w:cs="Arial"/>
          <w:sz w:val="24"/>
          <w:szCs w:val="24"/>
        </w:rPr>
        <w:t>However, some scholars critique the sufficiency of existing service models when applied to disability contexts.  Darcy and Pegg (2011) argue that traditional customer service theories underplay the complexity of needs among disabled individuals, who may require a broader mix of emotional, logistical, and technological support.  Moreover, while SERVQUAL captures service dimensions well, it has been criticised for making assumptions that customers are a homogenous group with similar expectations (Ladhari, 2009).</w:t>
      </w:r>
    </w:p>
    <w:p w:rsidR="00A81D64" w:rsidRDefault="00A81D64" w:rsidP="00CC0AE8">
      <w:pPr>
        <w:spacing w:line="360" w:lineRule="auto"/>
        <w:jc w:val="both"/>
        <w:rPr>
          <w:rFonts w:ascii="Arial" w:hAnsi="Arial" w:cs="Arial"/>
          <w:sz w:val="24"/>
          <w:szCs w:val="24"/>
        </w:rPr>
      </w:pPr>
      <w:r>
        <w:rPr>
          <w:rFonts w:ascii="Arial" w:hAnsi="Arial" w:cs="Arial"/>
          <w:sz w:val="24"/>
          <w:szCs w:val="24"/>
        </w:rPr>
        <w:t>This discussion will examine four major thematic areas: the importance of emotional service quality</w:t>
      </w:r>
      <w:r w:rsidR="00731FC6">
        <w:rPr>
          <w:rFonts w:ascii="Arial" w:hAnsi="Arial" w:cs="Arial"/>
          <w:sz w:val="24"/>
          <w:szCs w:val="24"/>
        </w:rPr>
        <w:t>; the impact of staff training on accessibility outcomes; the role of adaptive technology; and persistent organisational barriers.  Throughout, it will critically assess best practices, highlight tensions between inclusion goals and operational challenges,</w:t>
      </w:r>
      <w:r w:rsidR="00992621">
        <w:rPr>
          <w:rFonts w:ascii="Arial" w:hAnsi="Arial" w:cs="Arial"/>
          <w:sz w:val="24"/>
          <w:szCs w:val="24"/>
        </w:rPr>
        <w:t xml:space="preserve"> and propose evidence based rec</w:t>
      </w:r>
      <w:r w:rsidR="00731FC6">
        <w:rPr>
          <w:rFonts w:ascii="Arial" w:hAnsi="Arial" w:cs="Arial"/>
          <w:sz w:val="24"/>
          <w:szCs w:val="24"/>
        </w:rPr>
        <w:t>ommendations for creating more inclusive event environments.</w:t>
      </w:r>
    </w:p>
    <w:p w:rsidR="00992621" w:rsidRDefault="00992621" w:rsidP="00992621">
      <w:pPr>
        <w:pStyle w:val="ListParagraph"/>
        <w:numPr>
          <w:ilvl w:val="0"/>
          <w:numId w:val="1"/>
        </w:numPr>
        <w:spacing w:line="360" w:lineRule="auto"/>
        <w:jc w:val="both"/>
        <w:rPr>
          <w:rFonts w:ascii="Arial" w:hAnsi="Arial" w:cs="Arial"/>
          <w:sz w:val="24"/>
          <w:szCs w:val="24"/>
          <w:u w:val="single"/>
        </w:rPr>
      </w:pPr>
      <w:r w:rsidRPr="00992621">
        <w:rPr>
          <w:rFonts w:ascii="Arial" w:hAnsi="Arial" w:cs="Arial"/>
          <w:sz w:val="24"/>
          <w:szCs w:val="24"/>
          <w:u w:val="single"/>
        </w:rPr>
        <w:t>Accessible Hosp</w:t>
      </w:r>
      <w:r w:rsidR="002A427B">
        <w:rPr>
          <w:rFonts w:ascii="Arial" w:hAnsi="Arial" w:cs="Arial"/>
          <w:sz w:val="24"/>
          <w:szCs w:val="24"/>
          <w:u w:val="single"/>
        </w:rPr>
        <w:t>itality and its Impact</w:t>
      </w:r>
    </w:p>
    <w:p w:rsidR="006D0A48" w:rsidRDefault="00E03AFC" w:rsidP="00E03AFC">
      <w:pPr>
        <w:spacing w:line="360" w:lineRule="auto"/>
        <w:jc w:val="both"/>
        <w:rPr>
          <w:rFonts w:ascii="Arial" w:hAnsi="Arial" w:cs="Arial"/>
          <w:sz w:val="24"/>
          <w:szCs w:val="24"/>
        </w:rPr>
      </w:pPr>
      <w:r>
        <w:rPr>
          <w:rFonts w:ascii="Arial" w:hAnsi="Arial" w:cs="Arial"/>
          <w:sz w:val="24"/>
          <w:szCs w:val="24"/>
        </w:rPr>
        <w:t xml:space="preserve">Accessible hospitality is increasingly recognised not just as a legal </w:t>
      </w:r>
      <w:r w:rsidR="00D41CC7">
        <w:rPr>
          <w:rFonts w:ascii="Arial" w:hAnsi="Arial" w:cs="Arial"/>
          <w:sz w:val="24"/>
          <w:szCs w:val="24"/>
        </w:rPr>
        <w:t>responsibility (</w:t>
      </w:r>
      <w:r w:rsidR="006D0A48">
        <w:rPr>
          <w:rFonts w:ascii="Arial" w:hAnsi="Arial" w:cs="Arial"/>
          <w:sz w:val="24"/>
          <w:szCs w:val="24"/>
        </w:rPr>
        <w:t xml:space="preserve">Dickinson, L., 2023), but as a driver of emotional safety, dignity and participation for disabled attendees.  Whilst physical adaptions remain essential, research suggests that emotional inclusion, the feeling of being welcome, respected and comfortable is equally important.  As one reviewer on Euan’s guide reflected: </w:t>
      </w:r>
    </w:p>
    <w:p w:rsidR="006D0A48" w:rsidRDefault="006D0A48" w:rsidP="00E03AFC">
      <w:pPr>
        <w:spacing w:line="360" w:lineRule="auto"/>
        <w:jc w:val="both"/>
        <w:rPr>
          <w:rFonts w:ascii="Arial" w:hAnsi="Arial" w:cs="Arial"/>
          <w:sz w:val="24"/>
          <w:szCs w:val="24"/>
        </w:rPr>
      </w:pPr>
      <w:r>
        <w:rPr>
          <w:rFonts w:ascii="Arial" w:hAnsi="Arial" w:cs="Arial"/>
          <w:sz w:val="24"/>
          <w:szCs w:val="24"/>
        </w:rPr>
        <w:t xml:space="preserve"> “Being treated like a person, not a problem, changes everything.  It makes the           whole experience less stressful and more enjoyable”</w:t>
      </w:r>
      <w:r w:rsidR="0045390D">
        <w:rPr>
          <w:rFonts w:ascii="Arial" w:hAnsi="Arial" w:cs="Arial"/>
          <w:sz w:val="24"/>
          <w:szCs w:val="24"/>
        </w:rPr>
        <w:t xml:space="preserve"> (Euan’s Guide, 2024b).</w:t>
      </w:r>
    </w:p>
    <w:p w:rsidR="0045390D" w:rsidRDefault="0045390D" w:rsidP="00E03AFC">
      <w:pPr>
        <w:spacing w:line="360" w:lineRule="auto"/>
        <w:jc w:val="both"/>
        <w:rPr>
          <w:rFonts w:ascii="Arial" w:hAnsi="Arial" w:cs="Arial"/>
          <w:sz w:val="24"/>
          <w:szCs w:val="24"/>
        </w:rPr>
      </w:pPr>
      <w:r>
        <w:rPr>
          <w:rFonts w:ascii="Arial" w:hAnsi="Arial" w:cs="Arial"/>
          <w:sz w:val="24"/>
          <w:szCs w:val="24"/>
        </w:rPr>
        <w:t xml:space="preserve">This echoes findings from Berners and Martin (2022), who argue that inclusive hospitality “depends not only on infrastructure but on staff mind-set, language and emotional tone set by the service encounter”.  </w:t>
      </w:r>
      <w:r w:rsidR="00545FE2">
        <w:rPr>
          <w:rFonts w:ascii="Arial" w:hAnsi="Arial" w:cs="Arial"/>
          <w:sz w:val="24"/>
          <w:szCs w:val="24"/>
        </w:rPr>
        <w:t xml:space="preserve">Further, in the Barbican Centre’s Access Guide (2022), disability inclusive training is credited with enabling staff to offer “reassuring, responsive service that reduces anxiety and builds confidence”.  These emotional factors are embedded in the functional quality of service, as described by </w:t>
      </w:r>
      <w:r w:rsidR="00545FE2">
        <w:rPr>
          <w:rFonts w:ascii="Arial" w:hAnsi="Arial" w:cs="Arial"/>
          <w:sz w:val="24"/>
          <w:szCs w:val="24"/>
        </w:rPr>
        <w:lastRenderedPageBreak/>
        <w:t>Gronroos (2007), and closely mirror the SERVQUAL dimensions of empathy and assurance (Zeithaml et al, 1990).</w:t>
      </w:r>
    </w:p>
    <w:p w:rsidR="00545FE2" w:rsidRDefault="00545FE2" w:rsidP="00E03AFC">
      <w:pPr>
        <w:spacing w:line="360" w:lineRule="auto"/>
        <w:jc w:val="both"/>
        <w:rPr>
          <w:rFonts w:ascii="Arial" w:hAnsi="Arial" w:cs="Arial"/>
          <w:sz w:val="24"/>
          <w:szCs w:val="24"/>
        </w:rPr>
      </w:pPr>
      <w:r>
        <w:rPr>
          <w:rFonts w:ascii="Arial" w:hAnsi="Arial" w:cs="Arial"/>
          <w:sz w:val="24"/>
          <w:szCs w:val="24"/>
        </w:rPr>
        <w:t>One of the clearest illustrations of accessible hospitality in action comes from the Barbican Centre, which has adopted a person centred approach through disability awareness training</w:t>
      </w:r>
      <w:r w:rsidR="000B6377">
        <w:rPr>
          <w:rFonts w:ascii="Arial" w:hAnsi="Arial" w:cs="Arial"/>
          <w:sz w:val="24"/>
          <w:szCs w:val="24"/>
        </w:rPr>
        <w:t>, dedicated support services, and inclusive design strategies (Barbican, 2022).  Another Euan’s Guide reviewer noted:</w:t>
      </w:r>
    </w:p>
    <w:p w:rsidR="000B6377" w:rsidRDefault="000B6377" w:rsidP="00E03AFC">
      <w:pPr>
        <w:spacing w:line="360" w:lineRule="auto"/>
        <w:jc w:val="both"/>
        <w:rPr>
          <w:rFonts w:ascii="Arial" w:hAnsi="Arial" w:cs="Arial"/>
          <w:sz w:val="24"/>
          <w:szCs w:val="24"/>
        </w:rPr>
      </w:pPr>
      <w:r>
        <w:rPr>
          <w:rFonts w:ascii="Arial" w:hAnsi="Arial" w:cs="Arial"/>
          <w:sz w:val="24"/>
          <w:szCs w:val="24"/>
        </w:rPr>
        <w:t>“One of the rare times I didn’t have to explain my needs, staff just got it, and that made the whole experience more relaxing” (Euan’s Guide, 2021).</w:t>
      </w:r>
    </w:p>
    <w:p w:rsidR="000B6377" w:rsidRDefault="000B6377" w:rsidP="00E03AFC">
      <w:pPr>
        <w:spacing w:line="360" w:lineRule="auto"/>
        <w:jc w:val="both"/>
        <w:rPr>
          <w:rFonts w:ascii="Arial" w:hAnsi="Arial" w:cs="Arial"/>
          <w:sz w:val="24"/>
          <w:szCs w:val="24"/>
        </w:rPr>
      </w:pPr>
      <w:r>
        <w:rPr>
          <w:rFonts w:ascii="Arial" w:hAnsi="Arial" w:cs="Arial"/>
          <w:sz w:val="24"/>
          <w:szCs w:val="24"/>
        </w:rPr>
        <w:t>The research Institute for Disabled Consumers (RIDC, 2024) further supports this, stating that many disabled attendees reported staff behaviour as a decisive factor in shaping event outcomes.  Specifically, it affected whether they felt confident, anxious, or excluded during live events, highlighting the emotional weight of frontline service delivery.</w:t>
      </w:r>
    </w:p>
    <w:p w:rsidR="000B6377" w:rsidRDefault="000B6377" w:rsidP="00E03AFC">
      <w:pPr>
        <w:spacing w:line="360" w:lineRule="auto"/>
        <w:jc w:val="both"/>
        <w:rPr>
          <w:rFonts w:ascii="Arial" w:hAnsi="Arial" w:cs="Arial"/>
          <w:sz w:val="24"/>
          <w:szCs w:val="24"/>
        </w:rPr>
      </w:pPr>
      <w:r>
        <w:rPr>
          <w:rFonts w:ascii="Arial" w:hAnsi="Arial" w:cs="Arial"/>
          <w:sz w:val="24"/>
          <w:szCs w:val="24"/>
        </w:rPr>
        <w:t>Yet, there are valid criticisms of applying traditional service quality models to disabled audiences.  Ladhari (2009), in a review of 20 years of SERVQUAL research, argues that the models assumes a uniform customer experience and fails to account for customer diversity.  This li</w:t>
      </w:r>
      <w:r w:rsidR="00B62DA6">
        <w:rPr>
          <w:rFonts w:ascii="Arial" w:hAnsi="Arial" w:cs="Arial"/>
          <w:sz w:val="24"/>
          <w:szCs w:val="24"/>
        </w:rPr>
        <w:t>mitation resonates with Darcy and Pegg (2011), who contend that disabled consumers require not only empathetic service but structural support that often exceeds mainstream customer expectations. In this sense, accessible hospitality must go beyond reactive adjustments and embrace proactive service design.</w:t>
      </w:r>
    </w:p>
    <w:p w:rsidR="00DC639D" w:rsidRDefault="00B62DA6" w:rsidP="00E03AFC">
      <w:pPr>
        <w:spacing w:line="360" w:lineRule="auto"/>
        <w:jc w:val="both"/>
        <w:rPr>
          <w:rFonts w:ascii="Arial" w:hAnsi="Arial" w:cs="Arial"/>
          <w:sz w:val="24"/>
          <w:szCs w:val="24"/>
        </w:rPr>
      </w:pPr>
      <w:r>
        <w:rPr>
          <w:rFonts w:ascii="Arial" w:hAnsi="Arial" w:cs="Arial"/>
          <w:sz w:val="24"/>
          <w:szCs w:val="24"/>
        </w:rPr>
        <w:t>This is evident in practice, the London 201</w:t>
      </w:r>
      <w:bookmarkStart w:id="0" w:name="_GoBack"/>
      <w:bookmarkEnd w:id="0"/>
      <w:r>
        <w:rPr>
          <w:rFonts w:ascii="Arial" w:hAnsi="Arial" w:cs="Arial"/>
          <w:sz w:val="24"/>
          <w:szCs w:val="24"/>
        </w:rPr>
        <w:t>2 Paralympics remains a benchmark for inclusive event planning (Ekong, A., 2022).  Organisers engaged disabled people in co-production during venue design, ticketing and transport planning (Mayor of London, 2012)</w:t>
      </w:r>
      <w:r w:rsidR="00747E56">
        <w:rPr>
          <w:rFonts w:ascii="Arial" w:hAnsi="Arial" w:cs="Arial"/>
          <w:sz w:val="24"/>
          <w:szCs w:val="24"/>
        </w:rPr>
        <w:t>.  A European Commission (2015) report found that these efforts significantly improved satisfaction and participation amongst disabled attendees.  In contrast, audits of U</w:t>
      </w:r>
      <w:r w:rsidR="009060FD">
        <w:rPr>
          <w:rFonts w:ascii="Arial" w:hAnsi="Arial" w:cs="Arial"/>
          <w:sz w:val="24"/>
          <w:szCs w:val="24"/>
        </w:rPr>
        <w:t xml:space="preserve">K festivals </w:t>
      </w:r>
      <w:r w:rsidR="00747E56">
        <w:rPr>
          <w:rFonts w:ascii="Arial" w:hAnsi="Arial" w:cs="Arial"/>
          <w:sz w:val="24"/>
          <w:szCs w:val="24"/>
        </w:rPr>
        <w:t>revealed substantial shortcomings.</w:t>
      </w:r>
      <w:r w:rsidR="009060FD">
        <w:rPr>
          <w:rFonts w:ascii="Arial" w:hAnsi="Arial" w:cs="Arial"/>
          <w:sz w:val="24"/>
          <w:szCs w:val="24"/>
        </w:rPr>
        <w:t xml:space="preserve">  According to British Council (2021</w:t>
      </w:r>
      <w:r w:rsidR="00747E56">
        <w:rPr>
          <w:rFonts w:ascii="Arial" w:hAnsi="Arial" w:cs="Arial"/>
          <w:sz w:val="24"/>
          <w:szCs w:val="24"/>
        </w:rPr>
        <w:t>), only 43% of venues audited provided sufficient online access information, and many lacked inclusive signage</w:t>
      </w:r>
      <w:r w:rsidR="009060FD">
        <w:rPr>
          <w:rFonts w:ascii="Arial" w:hAnsi="Arial" w:cs="Arial"/>
          <w:sz w:val="24"/>
          <w:szCs w:val="24"/>
        </w:rPr>
        <w:t xml:space="preserve"> and staff trained in accessibility.</w:t>
      </w:r>
    </w:p>
    <w:p w:rsidR="00B62DA6" w:rsidRDefault="00DC639D" w:rsidP="00E03AFC">
      <w:pPr>
        <w:spacing w:line="360" w:lineRule="auto"/>
        <w:jc w:val="both"/>
        <w:rPr>
          <w:rFonts w:ascii="Arial" w:hAnsi="Arial" w:cs="Arial"/>
          <w:sz w:val="24"/>
          <w:szCs w:val="24"/>
        </w:rPr>
      </w:pPr>
      <w:r>
        <w:rPr>
          <w:rFonts w:ascii="Arial" w:hAnsi="Arial" w:cs="Arial"/>
          <w:sz w:val="24"/>
          <w:szCs w:val="24"/>
        </w:rPr>
        <w:t xml:space="preserve">These examples reinforce the idea that accessible hospitality is both a strategic and moral imperative.  With 24% of the UK population identifying as disabled (Kirk-Wade, </w:t>
      </w:r>
      <w:r w:rsidR="00D41CC7">
        <w:rPr>
          <w:rFonts w:ascii="Arial" w:hAnsi="Arial" w:cs="Arial"/>
          <w:sz w:val="24"/>
          <w:szCs w:val="24"/>
        </w:rPr>
        <w:lastRenderedPageBreak/>
        <w:t>E</w:t>
      </w:r>
      <w:r>
        <w:rPr>
          <w:rFonts w:ascii="Arial" w:hAnsi="Arial" w:cs="Arial"/>
          <w:sz w:val="24"/>
          <w:szCs w:val="24"/>
        </w:rPr>
        <w:t xml:space="preserve">., Wong, H., and Stiebahl, S., 2024), there is </w:t>
      </w:r>
      <w:r w:rsidR="008244CC">
        <w:rPr>
          <w:rFonts w:ascii="Arial" w:hAnsi="Arial" w:cs="Arial"/>
          <w:sz w:val="24"/>
          <w:szCs w:val="24"/>
        </w:rPr>
        <w:t xml:space="preserve">a </w:t>
      </w:r>
      <w:r>
        <w:rPr>
          <w:rFonts w:ascii="Arial" w:hAnsi="Arial" w:cs="Arial"/>
          <w:sz w:val="24"/>
          <w:szCs w:val="24"/>
        </w:rPr>
        <w:t>compelling economic case</w:t>
      </w:r>
      <w:r w:rsidR="008244CC">
        <w:rPr>
          <w:rFonts w:ascii="Arial" w:hAnsi="Arial" w:cs="Arial"/>
          <w:sz w:val="24"/>
          <w:szCs w:val="24"/>
        </w:rPr>
        <w:t xml:space="preserve"> for inclusivity.  Exclusion is not just social failure, it is a missed commercial opportunity.  Lashley (2009) challenges hospitality organisations to realise that failing to consider accessibility, risk undermining customer loyalty and brand equity.</w:t>
      </w:r>
    </w:p>
    <w:p w:rsidR="008244CC" w:rsidRDefault="008244CC" w:rsidP="00E03AFC">
      <w:pPr>
        <w:spacing w:line="360" w:lineRule="auto"/>
        <w:jc w:val="both"/>
        <w:rPr>
          <w:rFonts w:ascii="Arial" w:hAnsi="Arial" w:cs="Arial"/>
          <w:sz w:val="24"/>
          <w:szCs w:val="24"/>
        </w:rPr>
      </w:pPr>
      <w:r>
        <w:rPr>
          <w:rFonts w:ascii="Arial" w:hAnsi="Arial" w:cs="Arial"/>
          <w:sz w:val="24"/>
          <w:szCs w:val="24"/>
        </w:rPr>
        <w:t>However, a limitation of this study’s secondary only methodology is evident here.  While platforms such as Euan’s Guide offer qualitative insight, they lack granular or longitudinal data – for example, how different types of disability affect satisfaction, or whether specific interventions (e.g. training, signage) drive long term behavioural change.  Primary research such as interviews, surveys, or observational methods would allow richer understanding and more precise evaluation.</w:t>
      </w:r>
    </w:p>
    <w:p w:rsidR="008244CC" w:rsidRDefault="008244CC" w:rsidP="00E03AFC">
      <w:pPr>
        <w:spacing w:line="360" w:lineRule="auto"/>
        <w:jc w:val="both"/>
        <w:rPr>
          <w:rFonts w:ascii="Arial" w:hAnsi="Arial" w:cs="Arial"/>
          <w:sz w:val="24"/>
          <w:szCs w:val="24"/>
        </w:rPr>
      </w:pPr>
      <w:r>
        <w:rPr>
          <w:rFonts w:ascii="Arial" w:hAnsi="Arial" w:cs="Arial"/>
          <w:sz w:val="24"/>
          <w:szCs w:val="24"/>
        </w:rPr>
        <w:t>Despite these constraints, the secondary evidence overwhelmingly shows that inclusive hospitality influences not only satisfaction but also repeat attendance and positive word of mouth.  Disabled consumers consistently retu</w:t>
      </w:r>
      <w:r w:rsidR="00FE5825">
        <w:rPr>
          <w:rFonts w:ascii="Arial" w:hAnsi="Arial" w:cs="Arial"/>
          <w:sz w:val="24"/>
          <w:szCs w:val="24"/>
        </w:rPr>
        <w:t>rn to venues where they feel safe, understood and supported (Euan’s Guide, 2023; RIDC, 2024).  This reinforces that emotional</w:t>
      </w:r>
      <w:r w:rsidR="00867319">
        <w:rPr>
          <w:rFonts w:ascii="Arial" w:hAnsi="Arial" w:cs="Arial"/>
          <w:sz w:val="24"/>
          <w:szCs w:val="24"/>
        </w:rPr>
        <w:t xml:space="preserve"> inclusion is not a bonus, but</w:t>
      </w:r>
      <w:r w:rsidR="00FE5825">
        <w:rPr>
          <w:rFonts w:ascii="Arial" w:hAnsi="Arial" w:cs="Arial"/>
          <w:sz w:val="24"/>
          <w:szCs w:val="24"/>
        </w:rPr>
        <w:t xml:space="preserve"> a prerequi</w:t>
      </w:r>
      <w:r w:rsidR="00867319">
        <w:rPr>
          <w:rFonts w:ascii="Arial" w:hAnsi="Arial" w:cs="Arial"/>
          <w:sz w:val="24"/>
          <w:szCs w:val="24"/>
        </w:rPr>
        <w:t>si</w:t>
      </w:r>
      <w:r w:rsidR="00FE5825">
        <w:rPr>
          <w:rFonts w:ascii="Arial" w:hAnsi="Arial" w:cs="Arial"/>
          <w:sz w:val="24"/>
          <w:szCs w:val="24"/>
        </w:rPr>
        <w:t>te for equitable event success.</w:t>
      </w:r>
    </w:p>
    <w:p w:rsidR="00FE5825" w:rsidRDefault="00FE5825" w:rsidP="00FE5825">
      <w:pPr>
        <w:pStyle w:val="ListParagraph"/>
        <w:numPr>
          <w:ilvl w:val="0"/>
          <w:numId w:val="1"/>
        </w:numPr>
        <w:spacing w:line="360" w:lineRule="auto"/>
        <w:jc w:val="both"/>
        <w:rPr>
          <w:rFonts w:ascii="Arial" w:hAnsi="Arial" w:cs="Arial"/>
          <w:sz w:val="24"/>
          <w:szCs w:val="24"/>
          <w:u w:val="single"/>
        </w:rPr>
      </w:pPr>
      <w:r w:rsidRPr="00FE5825">
        <w:rPr>
          <w:rFonts w:ascii="Arial" w:hAnsi="Arial" w:cs="Arial"/>
          <w:sz w:val="24"/>
          <w:szCs w:val="24"/>
          <w:u w:val="single"/>
        </w:rPr>
        <w:t>Staff Training and Its Impact on Disabled Attendee Experience</w:t>
      </w:r>
    </w:p>
    <w:p w:rsidR="00FE5825" w:rsidRDefault="00FE5825" w:rsidP="00FE5825">
      <w:pPr>
        <w:spacing w:line="360" w:lineRule="auto"/>
        <w:jc w:val="both"/>
        <w:rPr>
          <w:rFonts w:ascii="Arial" w:hAnsi="Arial" w:cs="Arial"/>
          <w:sz w:val="24"/>
          <w:szCs w:val="24"/>
        </w:rPr>
      </w:pPr>
      <w:r w:rsidRPr="00FE5825">
        <w:rPr>
          <w:rFonts w:ascii="Arial" w:hAnsi="Arial" w:cs="Arial"/>
          <w:sz w:val="24"/>
          <w:szCs w:val="24"/>
        </w:rPr>
        <w:t>The</w:t>
      </w:r>
      <w:r>
        <w:rPr>
          <w:rFonts w:ascii="Arial" w:hAnsi="Arial" w:cs="Arial"/>
          <w:sz w:val="24"/>
          <w:szCs w:val="24"/>
        </w:rPr>
        <w:t xml:space="preserve"> quality of staff training is consistently identified in literature as one of the most powerful enablers or barr</w:t>
      </w:r>
      <w:r w:rsidR="00A455F4">
        <w:rPr>
          <w:rFonts w:ascii="Arial" w:hAnsi="Arial" w:cs="Arial"/>
          <w:sz w:val="24"/>
          <w:szCs w:val="24"/>
        </w:rPr>
        <w:t xml:space="preserve">iers to accessible hospitality </w:t>
      </w:r>
      <w:r w:rsidR="00A455F4" w:rsidRPr="00A455F4">
        <w:rPr>
          <w:rFonts w:ascii="Arial" w:hAnsi="Arial" w:cs="Arial"/>
          <w:sz w:val="24"/>
          <w:szCs w:val="24"/>
        </w:rPr>
        <w:t>(Waqanimaravu</w:t>
      </w:r>
      <w:r w:rsidR="00A455F4">
        <w:rPr>
          <w:rFonts w:ascii="Arial" w:hAnsi="Arial" w:cs="Arial"/>
          <w:sz w:val="24"/>
          <w:szCs w:val="24"/>
        </w:rPr>
        <w:t>, M.</w:t>
      </w:r>
      <w:r w:rsidR="00A455F4" w:rsidRPr="00A455F4">
        <w:rPr>
          <w:rFonts w:ascii="Arial" w:hAnsi="Arial" w:cs="Arial"/>
          <w:sz w:val="24"/>
          <w:szCs w:val="24"/>
        </w:rPr>
        <w:t xml:space="preserve"> and Arasanmi, </w:t>
      </w:r>
      <w:r w:rsidR="00A455F4">
        <w:rPr>
          <w:rFonts w:ascii="Arial" w:hAnsi="Arial" w:cs="Arial"/>
          <w:sz w:val="24"/>
          <w:szCs w:val="24"/>
        </w:rPr>
        <w:t xml:space="preserve">C., </w:t>
      </w:r>
      <w:r w:rsidR="00A455F4" w:rsidRPr="00A455F4">
        <w:rPr>
          <w:rFonts w:ascii="Arial" w:hAnsi="Arial" w:cs="Arial"/>
          <w:sz w:val="24"/>
          <w:szCs w:val="24"/>
        </w:rPr>
        <w:t>2020</w:t>
      </w:r>
      <w:r w:rsidR="00A455F4">
        <w:rPr>
          <w:rFonts w:ascii="Arial" w:hAnsi="Arial" w:cs="Arial"/>
          <w:sz w:val="24"/>
          <w:szCs w:val="24"/>
        </w:rPr>
        <w:t xml:space="preserve">; Da Ferst, M. </w:t>
      </w:r>
      <w:r w:rsidR="00A455F4" w:rsidRPr="00A455F4">
        <w:rPr>
          <w:rFonts w:ascii="Arial" w:hAnsi="Arial" w:cs="Arial"/>
          <w:sz w:val="24"/>
          <w:szCs w:val="24"/>
        </w:rPr>
        <w:t>and Coutinho</w:t>
      </w:r>
      <w:r w:rsidR="00A455F4">
        <w:rPr>
          <w:rFonts w:ascii="Arial" w:hAnsi="Arial" w:cs="Arial"/>
          <w:sz w:val="24"/>
          <w:szCs w:val="24"/>
        </w:rPr>
        <w:t xml:space="preserve">, H.R.M., </w:t>
      </w:r>
      <w:r w:rsidR="00A455F4" w:rsidRPr="00A455F4">
        <w:rPr>
          <w:rFonts w:ascii="Arial" w:hAnsi="Arial" w:cs="Arial"/>
          <w:sz w:val="24"/>
          <w:szCs w:val="24"/>
        </w:rPr>
        <w:t>2021)</w:t>
      </w:r>
      <w:r w:rsidR="00A455F4">
        <w:rPr>
          <w:rFonts w:ascii="Arial" w:hAnsi="Arial" w:cs="Arial"/>
          <w:sz w:val="24"/>
          <w:szCs w:val="24"/>
        </w:rPr>
        <w:t>.  For disabled attendees, trained staff can mean the difference between feeling safe and included or overlooked and excluded (RIDC, 2024).  This is especially true for attendees with invisible of complex needs, who may require emotional reassurance, alternative communication methods, or flexible support throughout their visit.</w:t>
      </w:r>
    </w:p>
    <w:p w:rsidR="00225741" w:rsidRDefault="00225741" w:rsidP="00FE5825">
      <w:pPr>
        <w:spacing w:line="360" w:lineRule="auto"/>
        <w:jc w:val="both"/>
        <w:rPr>
          <w:rFonts w:ascii="Arial" w:hAnsi="Arial" w:cs="Arial"/>
          <w:sz w:val="24"/>
          <w:szCs w:val="24"/>
        </w:rPr>
      </w:pPr>
      <w:r>
        <w:rPr>
          <w:rFonts w:ascii="Arial" w:hAnsi="Arial" w:cs="Arial"/>
          <w:sz w:val="24"/>
          <w:szCs w:val="24"/>
        </w:rPr>
        <w:t>Darcy and Pegg (2011) believe that staff competence and awareness are essential in hospitality settings, particularly because “disability is not a homogeneous condition, and responses must be adaptive, not prescriptive”.  Their study of hotel managers found that many frontline staff were unaware of basic accessibility practices and often defaulted to legal compliance rather than true inclusion.  In contrast, organisations that offered ongoing, scenario based training developed teams who could confidently assist guests with a range of disabilities, particularly those involving neurodiversity or mental health.</w:t>
      </w:r>
    </w:p>
    <w:p w:rsidR="00EE12D5" w:rsidRPr="00EE12D5" w:rsidRDefault="00EE12D5" w:rsidP="00EE12D5">
      <w:pPr>
        <w:spacing w:before="100" w:beforeAutospacing="1" w:after="100" w:afterAutospacing="1" w:line="360" w:lineRule="auto"/>
        <w:jc w:val="both"/>
        <w:rPr>
          <w:rFonts w:ascii="Arial" w:eastAsia="Times New Roman" w:hAnsi="Arial" w:cs="Arial"/>
          <w:sz w:val="24"/>
          <w:szCs w:val="24"/>
          <w:lang w:eastAsia="en-GB"/>
        </w:rPr>
      </w:pPr>
      <w:r w:rsidRPr="00EE12D5">
        <w:rPr>
          <w:rFonts w:ascii="Arial" w:eastAsia="Times New Roman" w:hAnsi="Arial" w:cs="Arial"/>
          <w:sz w:val="24"/>
          <w:szCs w:val="24"/>
          <w:lang w:eastAsia="en-GB"/>
        </w:rPr>
        <w:lastRenderedPageBreak/>
        <w:t xml:space="preserve">Staff training is not only an operational requirement but a strategic tool for promoting accessible hospitality. According to the Research Institute for Disabled Consumers (RIDC, 2024), 42% of disabled attendees cited </w:t>
      </w:r>
      <w:r w:rsidRPr="00EE12D5">
        <w:rPr>
          <w:rFonts w:ascii="Arial" w:eastAsia="Times New Roman" w:hAnsi="Arial" w:cs="Arial"/>
          <w:bCs/>
          <w:sz w:val="24"/>
          <w:szCs w:val="24"/>
          <w:lang w:eastAsia="en-GB"/>
        </w:rPr>
        <w:t>inadequate staff training</w:t>
      </w:r>
      <w:r w:rsidRPr="00EE12D5">
        <w:rPr>
          <w:rFonts w:ascii="Arial" w:eastAsia="Times New Roman" w:hAnsi="Arial" w:cs="Arial"/>
          <w:sz w:val="24"/>
          <w:szCs w:val="24"/>
          <w:lang w:eastAsia="en-GB"/>
        </w:rPr>
        <w:t xml:space="preserve"> as a barrier to participation in live events. This highlights the critical link between training quality and user experience. The same study found that attendees were more likely to return to venues where staff “understood their needs without making assumptions or drawing attention.”</w:t>
      </w:r>
    </w:p>
    <w:p w:rsidR="00EE12D5" w:rsidRPr="00EE12D5" w:rsidRDefault="003D3545" w:rsidP="00EE12D5">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Kennard</w:t>
      </w:r>
      <w:r w:rsidR="00EE12D5" w:rsidRPr="00EE12D5">
        <w:rPr>
          <w:rFonts w:ascii="Arial" w:eastAsia="Times New Roman" w:hAnsi="Arial" w:cs="Arial"/>
          <w:sz w:val="24"/>
          <w:szCs w:val="24"/>
          <w:lang w:eastAsia="en-GB"/>
        </w:rPr>
        <w:t xml:space="preserve"> (2021), writing for </w:t>
      </w:r>
      <w:r w:rsidR="00EE12D5" w:rsidRPr="00EE12D5">
        <w:rPr>
          <w:rFonts w:ascii="Arial" w:eastAsia="Times New Roman" w:hAnsi="Arial" w:cs="Arial"/>
          <w:i/>
          <w:iCs/>
          <w:sz w:val="24"/>
          <w:szCs w:val="24"/>
          <w:lang w:eastAsia="en-GB"/>
        </w:rPr>
        <w:t>Training Journal</w:t>
      </w:r>
      <w:r w:rsidR="00EE12D5" w:rsidRPr="00EE12D5">
        <w:rPr>
          <w:rFonts w:ascii="Arial" w:eastAsia="Times New Roman" w:hAnsi="Arial" w:cs="Arial"/>
          <w:sz w:val="24"/>
          <w:szCs w:val="24"/>
          <w:lang w:eastAsia="en-GB"/>
        </w:rPr>
        <w:t>, supports this, stating:</w:t>
      </w:r>
    </w:p>
    <w:p w:rsidR="00EE12D5" w:rsidRPr="00EE12D5" w:rsidRDefault="00EE12D5" w:rsidP="00EE12D5">
      <w:pPr>
        <w:spacing w:beforeAutospacing="1" w:after="100" w:afterAutospacing="1" w:line="360" w:lineRule="auto"/>
        <w:jc w:val="both"/>
        <w:rPr>
          <w:rFonts w:ascii="Arial" w:eastAsia="Times New Roman" w:hAnsi="Arial" w:cs="Arial"/>
          <w:sz w:val="24"/>
          <w:szCs w:val="24"/>
          <w:lang w:eastAsia="en-GB"/>
        </w:rPr>
      </w:pPr>
      <w:r w:rsidRPr="00EE12D5">
        <w:rPr>
          <w:rFonts w:ascii="Arial" w:eastAsia="Times New Roman" w:hAnsi="Arial" w:cs="Arial"/>
          <w:sz w:val="24"/>
          <w:szCs w:val="24"/>
          <w:lang w:eastAsia="en-GB"/>
        </w:rPr>
        <w:t>“Training promotes a positive understanding of disability and raises the confidence of staff, helping them to get over any barriers which may be causing them unnecessary awkwardness.”</w:t>
      </w:r>
      <w:r w:rsidRPr="00EE12D5">
        <w:rPr>
          <w:rFonts w:ascii="Arial" w:eastAsia="Times New Roman" w:hAnsi="Arial" w:cs="Arial"/>
          <w:sz w:val="24"/>
          <w:szCs w:val="24"/>
          <w:lang w:eastAsia="en-GB"/>
        </w:rPr>
        <w:br/>
        <w:t>This directly connects staff awareness to improvements in both customer confidence and satisfaction, reinforcing that service quality extends beyond compliance into the emotional and relational aspects of hospitality.</w:t>
      </w:r>
    </w:p>
    <w:p w:rsidR="00EE12D5" w:rsidRPr="00EE12D5" w:rsidRDefault="00EE12D5" w:rsidP="00EE12D5">
      <w:pPr>
        <w:spacing w:before="100" w:beforeAutospacing="1" w:after="100" w:afterAutospacing="1" w:line="360" w:lineRule="auto"/>
        <w:jc w:val="both"/>
        <w:rPr>
          <w:rFonts w:ascii="Arial" w:eastAsia="Times New Roman" w:hAnsi="Arial" w:cs="Arial"/>
          <w:sz w:val="24"/>
          <w:szCs w:val="24"/>
          <w:lang w:eastAsia="en-GB"/>
        </w:rPr>
      </w:pPr>
      <w:r w:rsidRPr="00EE12D5">
        <w:rPr>
          <w:rFonts w:ascii="Arial" w:eastAsia="Times New Roman" w:hAnsi="Arial" w:cs="Arial"/>
          <w:sz w:val="24"/>
          <w:szCs w:val="24"/>
          <w:lang w:eastAsia="en-GB"/>
        </w:rPr>
        <w:t>Waqanimaravu a</w:t>
      </w:r>
      <w:r w:rsidR="008777F9">
        <w:rPr>
          <w:rFonts w:ascii="Arial" w:eastAsia="Times New Roman" w:hAnsi="Arial" w:cs="Arial"/>
          <w:sz w:val="24"/>
          <w:szCs w:val="24"/>
          <w:lang w:eastAsia="en-GB"/>
        </w:rPr>
        <w:t>nd Arasanmi (2020) argue</w:t>
      </w:r>
      <w:r w:rsidRPr="00EE12D5">
        <w:rPr>
          <w:rFonts w:ascii="Arial" w:eastAsia="Times New Roman" w:hAnsi="Arial" w:cs="Arial"/>
          <w:sz w:val="24"/>
          <w:szCs w:val="24"/>
          <w:lang w:eastAsia="en-GB"/>
        </w:rPr>
        <w:t xml:space="preserve"> that </w:t>
      </w:r>
      <w:r w:rsidRPr="00EE12D5">
        <w:rPr>
          <w:rFonts w:ascii="Arial" w:eastAsia="Times New Roman" w:hAnsi="Arial" w:cs="Arial"/>
          <w:bCs/>
          <w:sz w:val="24"/>
          <w:szCs w:val="24"/>
          <w:lang w:eastAsia="en-GB"/>
        </w:rPr>
        <w:t>organisational support</w:t>
      </w:r>
      <w:r w:rsidRPr="00EE12D5">
        <w:rPr>
          <w:rFonts w:ascii="Arial" w:eastAsia="Times New Roman" w:hAnsi="Arial" w:cs="Arial"/>
          <w:sz w:val="24"/>
          <w:szCs w:val="24"/>
          <w:lang w:eastAsia="en-GB"/>
        </w:rPr>
        <w:t xml:space="preserve"> for training is key. Their study found that staff who felt supported and saw training as relevant were significantly more likely to improve their service behaviours. In contrast, one-off training sessions without follow-up or integration into team culture had little effect. Similarly, Ferst and Coutinho (2021) conducted pre- and post-training assessments in a tourism context and found measurable improvements in staff attitudes and behaviour after structured disability awareness programmes.</w:t>
      </w:r>
    </w:p>
    <w:p w:rsidR="00EE12D5" w:rsidRPr="00EE12D5" w:rsidRDefault="00EE12D5" w:rsidP="00EE12D5">
      <w:pPr>
        <w:spacing w:before="100" w:beforeAutospacing="1" w:after="100" w:afterAutospacing="1" w:line="360" w:lineRule="auto"/>
        <w:jc w:val="both"/>
        <w:rPr>
          <w:rFonts w:ascii="Arial" w:eastAsia="Times New Roman" w:hAnsi="Arial" w:cs="Arial"/>
          <w:sz w:val="24"/>
          <w:szCs w:val="24"/>
          <w:lang w:eastAsia="en-GB"/>
        </w:rPr>
      </w:pPr>
      <w:r w:rsidRPr="00EE12D5">
        <w:rPr>
          <w:rFonts w:ascii="Arial" w:eastAsia="Times New Roman" w:hAnsi="Arial" w:cs="Arial"/>
          <w:sz w:val="24"/>
          <w:szCs w:val="24"/>
          <w:lang w:eastAsia="en-GB"/>
        </w:rPr>
        <w:t xml:space="preserve">Critically, however, Poulston (2008) warns that hospitality organisations often underinvest in training or rely on standardised modules that fail to address situational nuance. She argues that meaningful inclusion requires </w:t>
      </w:r>
      <w:r w:rsidRPr="00EE12D5">
        <w:rPr>
          <w:rFonts w:ascii="Arial" w:eastAsia="Times New Roman" w:hAnsi="Arial" w:cs="Arial"/>
          <w:bCs/>
          <w:sz w:val="24"/>
          <w:szCs w:val="24"/>
          <w:lang w:eastAsia="en-GB"/>
        </w:rPr>
        <w:t>scenario-based learning</w:t>
      </w:r>
      <w:r w:rsidRPr="00EE12D5">
        <w:rPr>
          <w:rFonts w:ascii="Arial" w:eastAsia="Times New Roman" w:hAnsi="Arial" w:cs="Arial"/>
          <w:sz w:val="24"/>
          <w:szCs w:val="24"/>
          <w:lang w:eastAsia="en-GB"/>
        </w:rPr>
        <w:t xml:space="preserve"> that reflects the diverse and sometimes unpredictable needs of disabled guests. This is echoed by Darcy and Pegg (2011), who stress that “disability is not a homogeneous condition” and that effective service requires flexible, responsive attitudes rather than rigid procedural knowledge.</w:t>
      </w:r>
    </w:p>
    <w:p w:rsidR="00EE12D5" w:rsidRPr="00EE12D5" w:rsidRDefault="00EE12D5" w:rsidP="00EE12D5">
      <w:pPr>
        <w:spacing w:before="100" w:beforeAutospacing="1" w:after="100" w:afterAutospacing="1" w:line="360" w:lineRule="auto"/>
        <w:jc w:val="both"/>
        <w:rPr>
          <w:rFonts w:ascii="Arial" w:eastAsia="Times New Roman" w:hAnsi="Arial" w:cs="Arial"/>
          <w:sz w:val="24"/>
          <w:szCs w:val="24"/>
          <w:lang w:eastAsia="en-GB"/>
        </w:rPr>
      </w:pPr>
      <w:r w:rsidRPr="00EE12D5">
        <w:rPr>
          <w:rFonts w:ascii="Arial" w:eastAsia="Times New Roman" w:hAnsi="Arial" w:cs="Arial"/>
          <w:sz w:val="24"/>
          <w:szCs w:val="24"/>
          <w:lang w:eastAsia="en-GB"/>
        </w:rPr>
        <w:t xml:space="preserve">In practice, venues such as the Barbican Centre provide a model of this approach. According to its Access Guide (2022), all front-of-house staff undergo tailored disability </w:t>
      </w:r>
      <w:r w:rsidRPr="00EE12D5">
        <w:rPr>
          <w:rFonts w:ascii="Arial" w:eastAsia="Times New Roman" w:hAnsi="Arial" w:cs="Arial"/>
          <w:sz w:val="24"/>
          <w:szCs w:val="24"/>
          <w:lang w:eastAsia="en-GB"/>
        </w:rPr>
        <w:lastRenderedPageBreak/>
        <w:t>awareness training. Reviewers on Euan’s Guide consistently mention the professionalism and understanding shown by staff, with one reviewer noting:</w:t>
      </w:r>
    </w:p>
    <w:p w:rsidR="00EE12D5" w:rsidRPr="00EE12D5" w:rsidRDefault="00EE12D5" w:rsidP="00EE12D5">
      <w:pPr>
        <w:spacing w:beforeAutospacing="1" w:after="100" w:afterAutospacing="1" w:line="360" w:lineRule="auto"/>
        <w:jc w:val="both"/>
        <w:rPr>
          <w:rFonts w:ascii="Arial" w:eastAsia="Times New Roman" w:hAnsi="Arial" w:cs="Arial"/>
          <w:sz w:val="24"/>
          <w:szCs w:val="24"/>
          <w:lang w:eastAsia="en-GB"/>
        </w:rPr>
      </w:pPr>
      <w:r w:rsidRPr="00EE12D5">
        <w:rPr>
          <w:rFonts w:ascii="Arial" w:eastAsia="Times New Roman" w:hAnsi="Arial" w:cs="Arial"/>
          <w:sz w:val="24"/>
          <w:szCs w:val="24"/>
          <w:lang w:eastAsia="en-GB"/>
        </w:rPr>
        <w:t>“The staff anticipated what I might need without fuss — that level of awareness really sets the tone for the whole visit” (Euan’s Guide, 2021).</w:t>
      </w:r>
    </w:p>
    <w:p w:rsidR="00EE12D5" w:rsidRPr="00EE12D5" w:rsidRDefault="00EE12D5" w:rsidP="00EE12D5">
      <w:pPr>
        <w:spacing w:before="100" w:beforeAutospacing="1" w:after="100" w:afterAutospacing="1" w:line="360" w:lineRule="auto"/>
        <w:jc w:val="both"/>
        <w:rPr>
          <w:rFonts w:ascii="Arial" w:eastAsia="Times New Roman" w:hAnsi="Arial" w:cs="Arial"/>
          <w:sz w:val="24"/>
          <w:szCs w:val="24"/>
          <w:lang w:eastAsia="en-GB"/>
        </w:rPr>
      </w:pPr>
      <w:r w:rsidRPr="00EE12D5">
        <w:rPr>
          <w:rFonts w:ascii="Arial" w:eastAsia="Times New Roman" w:hAnsi="Arial" w:cs="Arial"/>
          <w:sz w:val="24"/>
          <w:szCs w:val="24"/>
          <w:lang w:eastAsia="en-GB"/>
        </w:rPr>
        <w:t>Yet even this case presents limits. The Barbican’s training model is not widely replicated across the industry, particularly in small or underfunded community venues. According to Jamin, Gbadamosi and Stoyanova-Bozhkova (2024), while awareness of disability inclusion is growing, many organisations lack the capacity or leadership commitment to embed it fully. Their review of UK hospitality training standards found a gap between policy aspirations and actual practice on the ground.</w:t>
      </w:r>
    </w:p>
    <w:p w:rsidR="00EE12D5" w:rsidRPr="00EE12D5" w:rsidRDefault="00EE12D5" w:rsidP="00EE12D5">
      <w:pPr>
        <w:spacing w:before="100" w:beforeAutospacing="1" w:after="100" w:afterAutospacing="1" w:line="360" w:lineRule="auto"/>
        <w:jc w:val="both"/>
        <w:rPr>
          <w:rFonts w:ascii="Arial" w:eastAsia="Times New Roman" w:hAnsi="Arial" w:cs="Arial"/>
          <w:sz w:val="24"/>
          <w:szCs w:val="24"/>
          <w:lang w:eastAsia="en-GB"/>
        </w:rPr>
      </w:pPr>
      <w:r w:rsidRPr="00EE12D5">
        <w:rPr>
          <w:rFonts w:ascii="Arial" w:eastAsia="Times New Roman" w:hAnsi="Arial" w:cs="Arial"/>
          <w:sz w:val="24"/>
          <w:szCs w:val="24"/>
          <w:lang w:eastAsia="en-GB"/>
        </w:rPr>
        <w:t xml:space="preserve">Finally, the limitations of secondary research must also be acknowledged. While review data and industry reports offer valuable insight into patterns and practices, they do not allow for deeper understanding of </w:t>
      </w:r>
      <w:r w:rsidRPr="00EE12D5">
        <w:rPr>
          <w:rFonts w:ascii="Arial" w:eastAsia="Times New Roman" w:hAnsi="Arial" w:cs="Arial"/>
          <w:bCs/>
          <w:sz w:val="24"/>
          <w:szCs w:val="24"/>
          <w:lang w:eastAsia="en-GB"/>
        </w:rPr>
        <w:t>how</w:t>
      </w:r>
      <w:r w:rsidRPr="00EE12D5">
        <w:rPr>
          <w:rFonts w:ascii="Arial" w:eastAsia="Times New Roman" w:hAnsi="Arial" w:cs="Arial"/>
          <w:sz w:val="24"/>
          <w:szCs w:val="24"/>
          <w:lang w:eastAsia="en-GB"/>
        </w:rPr>
        <w:t xml:space="preserve"> staff training changes behaviours or attitudes over time. Without access to primary research — such as interviews with trained staff or ethnographic observations during events — it is difficult to capture the lived dynamics of inclusion in action. This suggests an important avenue for future work.</w:t>
      </w:r>
    </w:p>
    <w:p w:rsidR="00EE12D5" w:rsidRDefault="00EE12D5" w:rsidP="00EE12D5">
      <w:pPr>
        <w:spacing w:before="100" w:beforeAutospacing="1" w:after="100" w:afterAutospacing="1" w:line="360" w:lineRule="auto"/>
        <w:jc w:val="both"/>
        <w:rPr>
          <w:rFonts w:ascii="Arial" w:eastAsia="Times New Roman" w:hAnsi="Arial" w:cs="Arial"/>
          <w:sz w:val="24"/>
          <w:szCs w:val="24"/>
          <w:lang w:eastAsia="en-GB"/>
        </w:rPr>
      </w:pPr>
      <w:r w:rsidRPr="00EE12D5">
        <w:rPr>
          <w:rFonts w:ascii="Arial" w:eastAsia="Times New Roman" w:hAnsi="Arial" w:cs="Arial"/>
          <w:sz w:val="24"/>
          <w:szCs w:val="24"/>
          <w:lang w:eastAsia="en-GB"/>
        </w:rPr>
        <w:t>Nevertheless, the secondary literature overwhelmingly supports the conclusion that well-designed, empathetic, and context-specific training plays a vital role in shaping accessible event experiences for disabled attendees. In the absence of such training, venues risk undermining otherwise inclusive infrastructures with service interactions that feel exclusionary, awkward, or dismissive.</w:t>
      </w:r>
    </w:p>
    <w:p w:rsidR="009D0EF4" w:rsidRDefault="009D0EF4" w:rsidP="009D0EF4">
      <w:pPr>
        <w:pStyle w:val="ListParagraph"/>
        <w:numPr>
          <w:ilvl w:val="0"/>
          <w:numId w:val="1"/>
        </w:numPr>
        <w:spacing w:before="100" w:beforeAutospacing="1" w:after="100" w:afterAutospacing="1" w:line="360" w:lineRule="auto"/>
        <w:jc w:val="both"/>
        <w:rPr>
          <w:rFonts w:ascii="Arial" w:eastAsia="Times New Roman" w:hAnsi="Arial" w:cs="Arial"/>
          <w:sz w:val="24"/>
          <w:szCs w:val="24"/>
          <w:u w:val="single"/>
          <w:lang w:eastAsia="en-GB"/>
        </w:rPr>
      </w:pPr>
      <w:r w:rsidRPr="009D0EF4">
        <w:rPr>
          <w:rFonts w:ascii="Arial" w:eastAsia="Times New Roman" w:hAnsi="Arial" w:cs="Arial"/>
          <w:sz w:val="24"/>
          <w:szCs w:val="24"/>
          <w:u w:val="single"/>
          <w:lang w:eastAsia="en-GB"/>
        </w:rPr>
        <w:t>The Role of Technology and Innovation in Accessible Hospitality</w:t>
      </w:r>
    </w:p>
    <w:p w:rsidR="009D0EF4" w:rsidRDefault="009D0EF4" w:rsidP="009D0EF4">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Technology plays an increasingly central role in transforming accessibility within the events industry.  From assistive tools, such as hearing loops and navigation apps to digital booking systems with access filters and real time assistance features, innovations are reshaping how disabled attendees engage with events.  These technologies have the potential to enhance autonomy, reduce anxiety, and offer more inclusive participation – provided they are deployed effectively and equitably.</w:t>
      </w:r>
    </w:p>
    <w:p w:rsidR="009D0EF4" w:rsidRDefault="009D0EF4" w:rsidP="009D0EF4">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lastRenderedPageBreak/>
        <w:t>Rubio-Escuderos</w:t>
      </w:r>
      <w:r w:rsidR="00453119">
        <w:rPr>
          <w:rFonts w:ascii="Arial" w:eastAsia="Times New Roman" w:hAnsi="Arial" w:cs="Arial"/>
          <w:sz w:val="24"/>
          <w:szCs w:val="24"/>
          <w:lang w:eastAsia="en-GB"/>
        </w:rPr>
        <w:t xml:space="preserve"> et al. (2021) report that disabled tourists who accessed venues equipped with tailored technologies, such as step free digital mapping or online video previews, experienced improved confidence and lower dependency on staff interventions.  Similarly, Theocharis et al. (2017) found that assistive technologies in hospitality settings, including mobile wayfinding tools and AR supported information, allowed disabled users to better plan their experience and navigate complex environments with less stress.</w:t>
      </w:r>
    </w:p>
    <w:p w:rsidR="00453119" w:rsidRDefault="00453119" w:rsidP="009D0EF4">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At the Barbican Centre, the integration of virtual walkthroughs, sensory environment previews, and online ticketing with access options is widely praised in user feedback.  Euan’s Guide (2023) reviews highlight how these systems promote independence and reduce logistical barriers:</w:t>
      </w:r>
    </w:p>
    <w:p w:rsidR="00453119" w:rsidRDefault="00453119" w:rsidP="009D0EF4">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“Having a virtual tour beforehand meant I could plan exactly where I needed to go, it took the pressure off completely”.</w:t>
      </w:r>
    </w:p>
    <w:p w:rsidR="00453119" w:rsidRDefault="00453119" w:rsidP="009D0EF4">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This example demonstrates the value of technology in pre arrival confidence building, especially for individuals</w:t>
      </w:r>
      <w:r w:rsidR="00172811">
        <w:rPr>
          <w:rFonts w:ascii="Arial" w:eastAsia="Times New Roman" w:hAnsi="Arial" w:cs="Arial"/>
          <w:sz w:val="24"/>
          <w:szCs w:val="24"/>
          <w:lang w:eastAsia="en-GB"/>
        </w:rPr>
        <w:t xml:space="preserve"> with sensory or cognitive impairments who may be overwhelmed by unfamiliar or unpredictable settings.</w:t>
      </w:r>
    </w:p>
    <w:p w:rsidR="00172811" w:rsidRDefault="00172811" w:rsidP="009D0EF4">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However, the deployment of such tools remains inconsistent across the industry.  The World Health Organisation (2022) has raised concerns about digital exclusion, pointing to an “uneven landscape” in which some venues excel, whilst others provide little or no digital accessibility features.  The Research Institute of Disabled Consumers (</w:t>
      </w:r>
      <w:r w:rsidR="00F27914">
        <w:rPr>
          <w:rFonts w:ascii="Arial" w:eastAsia="Times New Roman" w:hAnsi="Arial" w:cs="Arial"/>
          <w:sz w:val="24"/>
          <w:szCs w:val="24"/>
          <w:lang w:eastAsia="en-GB"/>
        </w:rPr>
        <w:t>2024) agrees this, noting tha</w:t>
      </w:r>
      <w:r w:rsidR="00632F64">
        <w:rPr>
          <w:rFonts w:ascii="Arial" w:eastAsia="Times New Roman" w:hAnsi="Arial" w:cs="Arial"/>
          <w:sz w:val="24"/>
          <w:szCs w:val="24"/>
          <w:lang w:eastAsia="en-GB"/>
        </w:rPr>
        <w:t xml:space="preserve">t </w:t>
      </w:r>
      <w:r w:rsidR="00F27914">
        <w:rPr>
          <w:rFonts w:ascii="Arial" w:eastAsia="Times New Roman" w:hAnsi="Arial" w:cs="Arial"/>
          <w:sz w:val="24"/>
          <w:szCs w:val="24"/>
          <w:lang w:eastAsia="en-GB"/>
        </w:rPr>
        <w:t>3</w:t>
      </w:r>
      <w:r>
        <w:rPr>
          <w:rFonts w:ascii="Arial" w:eastAsia="Times New Roman" w:hAnsi="Arial" w:cs="Arial"/>
          <w:sz w:val="24"/>
          <w:szCs w:val="24"/>
          <w:lang w:eastAsia="en-GB"/>
        </w:rPr>
        <w:t xml:space="preserve">5% of disabled attendees cite inaccessible digital platforms and poor online information as major barriers.  This includes missing access symbols, unlabelled booking options, and mobile </w:t>
      </w:r>
      <w:r w:rsidR="00F27914">
        <w:rPr>
          <w:rFonts w:ascii="Arial" w:eastAsia="Times New Roman" w:hAnsi="Arial" w:cs="Arial"/>
          <w:sz w:val="24"/>
          <w:szCs w:val="24"/>
          <w:lang w:eastAsia="en-GB"/>
        </w:rPr>
        <w:t xml:space="preserve">challenging </w:t>
      </w:r>
      <w:r>
        <w:rPr>
          <w:rFonts w:ascii="Arial" w:eastAsia="Times New Roman" w:hAnsi="Arial" w:cs="Arial"/>
          <w:sz w:val="24"/>
          <w:szCs w:val="24"/>
          <w:lang w:eastAsia="en-GB"/>
        </w:rPr>
        <w:t>interfaces.</w:t>
      </w:r>
    </w:p>
    <w:p w:rsidR="00172811" w:rsidRDefault="00172811" w:rsidP="009D0EF4">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Such</w:t>
      </w:r>
      <w:r w:rsidR="00A15891">
        <w:rPr>
          <w:rFonts w:ascii="Arial" w:eastAsia="Times New Roman" w:hAnsi="Arial" w:cs="Arial"/>
          <w:sz w:val="24"/>
          <w:szCs w:val="24"/>
          <w:lang w:eastAsia="en-GB"/>
        </w:rPr>
        <w:t xml:space="preserve"> disparities exacerbate</w:t>
      </w:r>
      <w:r w:rsidR="00F27914">
        <w:rPr>
          <w:rFonts w:ascii="Arial" w:eastAsia="Times New Roman" w:hAnsi="Arial" w:cs="Arial"/>
          <w:sz w:val="24"/>
          <w:szCs w:val="24"/>
          <w:lang w:eastAsia="en-GB"/>
        </w:rPr>
        <w:t xml:space="preserve"> </w:t>
      </w:r>
      <w:r w:rsidR="00632F64">
        <w:rPr>
          <w:rFonts w:ascii="Arial" w:eastAsia="Times New Roman" w:hAnsi="Arial" w:cs="Arial"/>
          <w:sz w:val="24"/>
          <w:szCs w:val="24"/>
          <w:lang w:eastAsia="en-GB"/>
        </w:rPr>
        <w:t xml:space="preserve">what Darcy and Buhalis (2010) term the “digital accessibility divide”, a form of exclusion where only those with access to up to date digital tools are sufficient digital literacy can fully benefit.  Shakespeare (2006) also reminds us that not all disabled individuals are digitally fluent or financially able to engage with online platforms.  Without analogue alternatives </w:t>
      </w:r>
      <w:r w:rsidR="00D75BAF">
        <w:rPr>
          <w:rFonts w:ascii="Arial" w:eastAsia="Times New Roman" w:hAnsi="Arial" w:cs="Arial"/>
          <w:sz w:val="24"/>
          <w:szCs w:val="24"/>
          <w:lang w:eastAsia="en-GB"/>
        </w:rPr>
        <w:t>o</w:t>
      </w:r>
      <w:r w:rsidR="00632F64">
        <w:rPr>
          <w:rFonts w:ascii="Arial" w:eastAsia="Times New Roman" w:hAnsi="Arial" w:cs="Arial"/>
          <w:sz w:val="24"/>
          <w:szCs w:val="24"/>
          <w:lang w:eastAsia="en-GB"/>
        </w:rPr>
        <w:t>r in person support, well intentioned digital fi</w:t>
      </w:r>
      <w:r w:rsidR="00D75BAF">
        <w:rPr>
          <w:rFonts w:ascii="Arial" w:eastAsia="Times New Roman" w:hAnsi="Arial" w:cs="Arial"/>
          <w:sz w:val="24"/>
          <w:szCs w:val="24"/>
          <w:lang w:eastAsia="en-GB"/>
        </w:rPr>
        <w:t>r</w:t>
      </w:r>
      <w:r w:rsidR="00632F64">
        <w:rPr>
          <w:rFonts w:ascii="Arial" w:eastAsia="Times New Roman" w:hAnsi="Arial" w:cs="Arial"/>
          <w:sz w:val="24"/>
          <w:szCs w:val="24"/>
          <w:lang w:eastAsia="en-GB"/>
        </w:rPr>
        <w:t>st systems risk isolating certain users.</w:t>
      </w:r>
    </w:p>
    <w:p w:rsidR="00D75BAF" w:rsidRDefault="00D75BAF" w:rsidP="009D0EF4">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lastRenderedPageBreak/>
        <w:t>There are additional risks associated with over reliance on technology.  Pizam and Shani (2009) argue that while technology can streamline</w:t>
      </w:r>
      <w:r w:rsidR="00D03F0F">
        <w:rPr>
          <w:rFonts w:ascii="Arial" w:eastAsia="Times New Roman" w:hAnsi="Arial" w:cs="Arial"/>
          <w:sz w:val="24"/>
          <w:szCs w:val="24"/>
          <w:lang w:eastAsia="en-GB"/>
        </w:rPr>
        <w:t xml:space="preserve"> functional interactions, it cannot replace the emotional intelligence and flexibility offered by well trained staff.  This reinforces the earlier point that hospitality must blend digital and human connection.  Darcy and Pegg (2011) support this, stating “technology must be integrated with empathy, not used as a shield from it”.  When used well, technology can supplement staff capacity and enhance choice, but when used as a replacement, it could degrade the experience.</w:t>
      </w:r>
    </w:p>
    <w:p w:rsidR="00D03F0F" w:rsidRDefault="00D03F0F" w:rsidP="009D0EF4">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Case studies support this integrated approach.  During the London 2012 Paralympic Games, digital innovations such as accessible apps, journey planners, and ticketing with filterable access preferences were designed in consultation with disabled users (Europe</w:t>
      </w:r>
      <w:r w:rsidR="00DB7122">
        <w:rPr>
          <w:rFonts w:ascii="Arial" w:eastAsia="Times New Roman" w:hAnsi="Arial" w:cs="Arial"/>
          <w:sz w:val="24"/>
          <w:szCs w:val="24"/>
          <w:lang w:eastAsia="en-GB"/>
        </w:rPr>
        <w:t>a</w:t>
      </w:r>
      <w:r>
        <w:rPr>
          <w:rFonts w:ascii="Arial" w:eastAsia="Times New Roman" w:hAnsi="Arial" w:cs="Arial"/>
          <w:sz w:val="24"/>
          <w:szCs w:val="24"/>
          <w:lang w:eastAsia="en-GB"/>
        </w:rPr>
        <w:t>n Commission, 2015).  Their inclusion in the design and trial phases ensured usability across a wide spectrum of needs</w:t>
      </w:r>
      <w:r w:rsidR="00DB7122">
        <w:rPr>
          <w:rFonts w:ascii="Arial" w:eastAsia="Times New Roman" w:hAnsi="Arial" w:cs="Arial"/>
          <w:sz w:val="24"/>
          <w:szCs w:val="24"/>
          <w:lang w:eastAsia="en-GB"/>
        </w:rPr>
        <w:t>, resulting in higher levels of satisfaction and reduced incidents or confusion (Mayor of London, 2012).</w:t>
      </w:r>
    </w:p>
    <w:p w:rsidR="00DB7122" w:rsidRDefault="00DB7122" w:rsidP="009D0EF4">
      <w:pPr>
        <w:spacing w:before="100" w:beforeAutospacing="1" w:after="100" w:afterAutospacing="1" w:line="360" w:lineRule="auto"/>
        <w:jc w:val="both"/>
        <w:rPr>
          <w:rFonts w:ascii="Arial" w:hAnsi="Arial" w:cs="Arial"/>
          <w:sz w:val="24"/>
          <w:szCs w:val="24"/>
        </w:rPr>
      </w:pPr>
      <w:r>
        <w:rPr>
          <w:rFonts w:ascii="Arial" w:eastAsia="Times New Roman" w:hAnsi="Arial" w:cs="Arial"/>
          <w:sz w:val="24"/>
          <w:szCs w:val="24"/>
          <w:lang w:eastAsia="en-GB"/>
        </w:rPr>
        <w:t>Regardless, budgetary and cultural barriers continue to limit uptake.  Small and midsize venues often lack the funding to implement adaptive technologies, and without external mandates or sector wide standards, innovation remains patchy.</w:t>
      </w:r>
      <w:r w:rsidRPr="00DB7122">
        <w:t xml:space="preserve"> </w:t>
      </w:r>
      <w:r w:rsidRPr="00DB7122">
        <w:rPr>
          <w:rFonts w:ascii="Arial" w:hAnsi="Arial" w:cs="Arial"/>
          <w:sz w:val="24"/>
          <w:szCs w:val="24"/>
        </w:rPr>
        <w:t>Jamin, Gbadamosi and Stoyanova-Bozhkova (2024)</w:t>
      </w:r>
      <w:r>
        <w:rPr>
          <w:rFonts w:ascii="Arial" w:hAnsi="Arial" w:cs="Arial"/>
          <w:sz w:val="24"/>
          <w:szCs w:val="24"/>
        </w:rPr>
        <w:t xml:space="preserve"> note that many hospitality operators continue to view accessibility technology as a “nice to have” rather than an operational necessity.  This mind set delays adoption </w:t>
      </w:r>
      <w:r w:rsidR="00FA6645">
        <w:rPr>
          <w:rFonts w:ascii="Arial" w:hAnsi="Arial" w:cs="Arial"/>
          <w:sz w:val="24"/>
          <w:szCs w:val="24"/>
        </w:rPr>
        <w:t xml:space="preserve">of assistive technology </w:t>
      </w:r>
      <w:r>
        <w:rPr>
          <w:rFonts w:ascii="Arial" w:hAnsi="Arial" w:cs="Arial"/>
          <w:sz w:val="24"/>
          <w:szCs w:val="24"/>
        </w:rPr>
        <w:t>and further entrenches inequality between f</w:t>
      </w:r>
      <w:r w:rsidR="00FA6645">
        <w:rPr>
          <w:rFonts w:ascii="Arial" w:hAnsi="Arial" w:cs="Arial"/>
          <w:sz w:val="24"/>
          <w:szCs w:val="24"/>
        </w:rPr>
        <w:t>lagship venues and community led</w:t>
      </w:r>
      <w:r>
        <w:rPr>
          <w:rFonts w:ascii="Arial" w:hAnsi="Arial" w:cs="Arial"/>
          <w:sz w:val="24"/>
          <w:szCs w:val="24"/>
        </w:rPr>
        <w:t xml:space="preserve"> events.</w:t>
      </w:r>
    </w:p>
    <w:p w:rsidR="00FA6645" w:rsidRDefault="00FA6645" w:rsidP="009D0EF4">
      <w:pPr>
        <w:spacing w:before="100" w:beforeAutospacing="1" w:after="100" w:afterAutospacing="1" w:line="360" w:lineRule="auto"/>
        <w:jc w:val="both"/>
        <w:rPr>
          <w:rFonts w:ascii="Arial" w:hAnsi="Arial" w:cs="Arial"/>
          <w:sz w:val="24"/>
          <w:szCs w:val="24"/>
        </w:rPr>
      </w:pPr>
      <w:r w:rsidRPr="008911BE">
        <w:rPr>
          <w:rFonts w:ascii="Arial" w:hAnsi="Arial" w:cs="Arial"/>
          <w:sz w:val="24"/>
          <w:szCs w:val="24"/>
        </w:rPr>
        <w:t xml:space="preserve">Regardless, budgetary and cultural barriers continue to limit uptake. Small and midsize venues often lack the resources to implement adaptive technologies such as hearing loops, virtual guides, or accessible ticketing systems. A recent study by the </w:t>
      </w:r>
      <w:r w:rsidRPr="008911BE">
        <w:rPr>
          <w:rStyle w:val="Strong"/>
          <w:rFonts w:ascii="Arial" w:hAnsi="Arial" w:cs="Arial"/>
          <w:b w:val="0"/>
          <w:sz w:val="24"/>
          <w:szCs w:val="24"/>
        </w:rPr>
        <w:t>National Council on Disability</w:t>
      </w:r>
      <w:r w:rsidRPr="008911BE">
        <w:rPr>
          <w:rFonts w:ascii="Arial" w:hAnsi="Arial" w:cs="Arial"/>
          <w:sz w:val="24"/>
          <w:szCs w:val="24"/>
        </w:rPr>
        <w:t xml:space="preserve"> found that </w:t>
      </w:r>
      <w:r w:rsidRPr="008911BE">
        <w:rPr>
          <w:rStyle w:val="Strong"/>
          <w:rFonts w:ascii="Arial" w:hAnsi="Arial" w:cs="Arial"/>
          <w:b w:val="0"/>
          <w:sz w:val="24"/>
          <w:szCs w:val="24"/>
        </w:rPr>
        <w:t>83% of small businesses cite a lack of funding as the primary barrier to accessibility upgrades</w:t>
      </w:r>
      <w:r w:rsidR="006A4F80">
        <w:rPr>
          <w:rFonts w:ascii="Arial" w:hAnsi="Arial" w:cs="Arial"/>
          <w:sz w:val="24"/>
          <w:szCs w:val="24"/>
        </w:rPr>
        <w:t xml:space="preserve"> (Vorecol, 2022</w:t>
      </w:r>
      <w:r w:rsidRPr="008911BE">
        <w:rPr>
          <w:rFonts w:ascii="Arial" w:hAnsi="Arial" w:cs="Arial"/>
          <w:sz w:val="24"/>
          <w:szCs w:val="24"/>
        </w:rPr>
        <w:t>). Additionally, a lack of awareness or misconceptions around the cost and complexity of these tools ca</w:t>
      </w:r>
      <w:r w:rsidR="008911BE">
        <w:rPr>
          <w:rFonts w:ascii="Arial" w:hAnsi="Arial" w:cs="Arial"/>
          <w:sz w:val="24"/>
          <w:szCs w:val="24"/>
        </w:rPr>
        <w:t xml:space="preserve">n lead to a lack of prioritising adaptive technology, particularly in community led or volunteer </w:t>
      </w:r>
      <w:r w:rsidRPr="008911BE">
        <w:rPr>
          <w:rFonts w:ascii="Arial" w:hAnsi="Arial" w:cs="Arial"/>
          <w:sz w:val="24"/>
          <w:szCs w:val="24"/>
        </w:rPr>
        <w:t>run settings (Jamin,</w:t>
      </w:r>
      <w:r w:rsidR="006A4F80">
        <w:rPr>
          <w:rFonts w:ascii="Arial" w:hAnsi="Arial" w:cs="Arial"/>
          <w:sz w:val="24"/>
          <w:szCs w:val="24"/>
        </w:rPr>
        <w:t xml:space="preserve"> A., </w:t>
      </w:r>
      <w:r w:rsidRPr="008911BE">
        <w:rPr>
          <w:rFonts w:ascii="Arial" w:hAnsi="Arial" w:cs="Arial"/>
          <w:sz w:val="24"/>
          <w:szCs w:val="24"/>
        </w:rPr>
        <w:t xml:space="preserve">Gbadamosi </w:t>
      </w:r>
      <w:r w:rsidR="006A4F80">
        <w:rPr>
          <w:rFonts w:ascii="Arial" w:hAnsi="Arial" w:cs="Arial"/>
          <w:sz w:val="24"/>
          <w:szCs w:val="24"/>
        </w:rPr>
        <w:t xml:space="preserve">S. </w:t>
      </w:r>
      <w:r w:rsidRPr="008911BE">
        <w:rPr>
          <w:rFonts w:ascii="Arial" w:hAnsi="Arial" w:cs="Arial"/>
          <w:sz w:val="24"/>
          <w:szCs w:val="24"/>
        </w:rPr>
        <w:t>&amp; Stoyanova-Bozhkova,</w:t>
      </w:r>
      <w:r w:rsidR="006A4F80">
        <w:rPr>
          <w:rFonts w:ascii="Arial" w:hAnsi="Arial" w:cs="Arial"/>
          <w:sz w:val="24"/>
          <w:szCs w:val="24"/>
        </w:rPr>
        <w:t xml:space="preserve"> S.,</w:t>
      </w:r>
      <w:r w:rsidRPr="008911BE">
        <w:rPr>
          <w:rFonts w:ascii="Arial" w:hAnsi="Arial" w:cs="Arial"/>
          <w:sz w:val="24"/>
          <w:szCs w:val="24"/>
        </w:rPr>
        <w:t xml:space="preserve"> 2024). Without external mandates or industry-wide standards to enforce consistency, access innovation remains patchy and heavily dependent on venue type, location, and leadership commitment.</w:t>
      </w:r>
    </w:p>
    <w:p w:rsidR="006A4F80" w:rsidRDefault="006A4F80" w:rsidP="009D0EF4">
      <w:pPr>
        <w:spacing w:before="100" w:beforeAutospacing="1" w:after="100" w:afterAutospacing="1" w:line="360" w:lineRule="auto"/>
        <w:jc w:val="both"/>
        <w:rPr>
          <w:rFonts w:ascii="Arial" w:hAnsi="Arial" w:cs="Arial"/>
          <w:sz w:val="24"/>
          <w:szCs w:val="24"/>
        </w:rPr>
      </w:pPr>
      <w:r>
        <w:rPr>
          <w:rFonts w:ascii="Arial" w:hAnsi="Arial" w:cs="Arial"/>
          <w:sz w:val="24"/>
          <w:szCs w:val="24"/>
        </w:rPr>
        <w:lastRenderedPageBreak/>
        <w:t>There is also a lack of evaluative data, and whilst anecdotal feedback suggests that technologies enhance user satisfaction, few venues publish robust performance metrics.  As Getz &amp; Pag</w:t>
      </w:r>
      <w:r w:rsidR="00E711EA">
        <w:rPr>
          <w:rFonts w:ascii="Arial" w:hAnsi="Arial" w:cs="Arial"/>
          <w:sz w:val="24"/>
          <w:szCs w:val="24"/>
        </w:rPr>
        <w:t>e (2020</w:t>
      </w:r>
      <w:r>
        <w:rPr>
          <w:rFonts w:ascii="Arial" w:hAnsi="Arial" w:cs="Arial"/>
          <w:sz w:val="24"/>
          <w:szCs w:val="24"/>
        </w:rPr>
        <w:t>) highlight, event technologies generate valuable usage data that could inform future planning and identify gaps, yet these opportunities are rarely utilised.  This is a limitation of both industry practice and this research, which, due to its reliance on secondary research sources, cannot interrogate real time technology usage of user satisfaction metrics.</w:t>
      </w:r>
    </w:p>
    <w:p w:rsidR="00E711EA" w:rsidRDefault="00E711EA" w:rsidP="009D0EF4">
      <w:pPr>
        <w:spacing w:before="100" w:beforeAutospacing="1" w:after="100" w:afterAutospacing="1" w:line="360" w:lineRule="auto"/>
        <w:jc w:val="both"/>
        <w:rPr>
          <w:rFonts w:ascii="Arial" w:hAnsi="Arial" w:cs="Arial"/>
          <w:sz w:val="24"/>
          <w:szCs w:val="24"/>
        </w:rPr>
      </w:pPr>
      <w:r>
        <w:rPr>
          <w:rFonts w:ascii="Arial" w:hAnsi="Arial" w:cs="Arial"/>
          <w:sz w:val="24"/>
          <w:szCs w:val="24"/>
        </w:rPr>
        <w:t>Ultimately, the evidence points to a clear conclusion: technology is a powerful enabler of accessible hospitality when applied thoughtfully, equitably, and in conjunction with human service.  Digital systems should not be expected to ‘solve’ access, rather, they should form one component of a wider, inclusive strategy that includes training, co design, and emotional responsiveness.</w:t>
      </w:r>
    </w:p>
    <w:p w:rsidR="00E711EA" w:rsidRDefault="00E711EA" w:rsidP="00E711EA">
      <w:pPr>
        <w:pStyle w:val="ListParagraph"/>
        <w:numPr>
          <w:ilvl w:val="0"/>
          <w:numId w:val="1"/>
        </w:numPr>
        <w:spacing w:before="100" w:beforeAutospacing="1" w:after="100" w:afterAutospacing="1" w:line="360" w:lineRule="auto"/>
        <w:jc w:val="both"/>
        <w:rPr>
          <w:rFonts w:ascii="Arial" w:eastAsia="Times New Roman" w:hAnsi="Arial" w:cs="Arial"/>
          <w:sz w:val="24"/>
          <w:szCs w:val="24"/>
          <w:u w:val="single"/>
          <w:lang w:eastAsia="en-GB"/>
        </w:rPr>
      </w:pPr>
      <w:r w:rsidRPr="00E711EA">
        <w:rPr>
          <w:rFonts w:ascii="Arial" w:eastAsia="Times New Roman" w:hAnsi="Arial" w:cs="Arial"/>
          <w:sz w:val="24"/>
          <w:szCs w:val="24"/>
          <w:u w:val="single"/>
          <w:lang w:eastAsia="en-GB"/>
        </w:rPr>
        <w:t>Organisational Barriers and Cultural Gaps</w:t>
      </w:r>
    </w:p>
    <w:p w:rsidR="00856363" w:rsidRDefault="00856363" w:rsidP="00E711EA">
      <w:pPr>
        <w:spacing w:before="100" w:beforeAutospacing="1" w:after="100" w:afterAutospacing="1" w:line="360" w:lineRule="auto"/>
        <w:jc w:val="both"/>
        <w:rPr>
          <w:rFonts w:ascii="Arial" w:eastAsia="Times New Roman" w:hAnsi="Arial" w:cs="Arial"/>
          <w:sz w:val="24"/>
          <w:szCs w:val="24"/>
          <w:lang w:eastAsia="en-GB"/>
        </w:rPr>
      </w:pPr>
      <w:r w:rsidRPr="00856363">
        <w:rPr>
          <w:rFonts w:ascii="Arial" w:eastAsia="Times New Roman" w:hAnsi="Arial" w:cs="Arial"/>
          <w:sz w:val="24"/>
          <w:szCs w:val="24"/>
          <w:lang w:eastAsia="en-GB"/>
        </w:rPr>
        <w:t>Despit</w:t>
      </w:r>
      <w:r>
        <w:rPr>
          <w:rFonts w:ascii="Arial" w:eastAsia="Times New Roman" w:hAnsi="Arial" w:cs="Arial"/>
          <w:sz w:val="24"/>
          <w:szCs w:val="24"/>
          <w:lang w:eastAsia="en-GB"/>
        </w:rPr>
        <w:t>e growing awareness and the availability of inclusive technologies and training resources, many organisations in the events industry continue to fall short in delivering fully accessible experiences. This is rarely due to a single cause, rather, it reflects deeper cultural and structural barriers within organisations.  These include underinvestment in accessibility, weak leadership commitment, tokenistic inclusion policies, and a lack of meaningful consultation with disabled people.</w:t>
      </w:r>
    </w:p>
    <w:p w:rsidR="00E711EA" w:rsidRPr="00856363" w:rsidRDefault="00856363" w:rsidP="00E711EA">
      <w:pPr>
        <w:spacing w:before="100" w:beforeAutospacing="1" w:after="100" w:afterAutospacing="1" w:line="360" w:lineRule="auto"/>
        <w:jc w:val="both"/>
        <w:rPr>
          <w:rFonts w:ascii="Arial" w:eastAsia="Times New Roman" w:hAnsi="Arial" w:cs="Arial"/>
          <w:sz w:val="24"/>
          <w:szCs w:val="24"/>
          <w:lang w:eastAsia="en-GB"/>
        </w:rPr>
      </w:pPr>
      <w:r w:rsidRPr="00856363">
        <w:rPr>
          <w:rFonts w:ascii="Arial" w:hAnsi="Arial" w:cs="Arial"/>
          <w:sz w:val="24"/>
          <w:szCs w:val="24"/>
        </w:rPr>
        <w:t>According to Jamin, Gbadamosi and Stoyanova-Bozhkova (2024), many hospitality and tourism organisations frame accessibility as a compliance issue rather than an opportunity to engage a wider audience. Their study reveals that while corporate statements often reference inclusivity, this is not always supported by strategic planning or staff accountability. Instead of embedding inclusion into everyday operations, some organisations treat it as a “bolt-on” concern, addressed only when mandated by regulation or public criticism.</w:t>
      </w:r>
      <w:r w:rsidRPr="00856363">
        <w:rPr>
          <w:rFonts w:ascii="Arial" w:eastAsia="Times New Roman" w:hAnsi="Arial" w:cs="Arial"/>
          <w:sz w:val="24"/>
          <w:szCs w:val="24"/>
          <w:lang w:eastAsia="en-GB"/>
        </w:rPr>
        <w:t xml:space="preserve"> </w:t>
      </w:r>
    </w:p>
    <w:p w:rsidR="009D0EF4" w:rsidRDefault="00D04921" w:rsidP="009D0EF4">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This culture of minimum compliance undermines long term progress.  As Darcy and Buhalis (2011) argue, accessibility must be positioned as a core business strategy, not merely a legal or ethical afterthought.  Without leadership buy-in and operational integration, even well intentioned venues may fail to deliver consistent, dignified </w:t>
      </w:r>
      <w:r>
        <w:rPr>
          <w:rFonts w:ascii="Arial" w:eastAsia="Times New Roman" w:hAnsi="Arial" w:cs="Arial"/>
          <w:sz w:val="24"/>
          <w:szCs w:val="24"/>
          <w:lang w:eastAsia="en-GB"/>
        </w:rPr>
        <w:lastRenderedPageBreak/>
        <w:t>service.  The Research Institute for Disabled Consumers (2024) supports this, noting that disabled users often report inconsistency in experiences, with some staff demonstrating excellent awareness and others appearing unprepared or unaware of access needs.</w:t>
      </w:r>
    </w:p>
    <w:p w:rsidR="00137655" w:rsidRDefault="00D04921" w:rsidP="009D0EF4">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Inadequate consultation also represents a significant cultural gap.  Shakespeare (2006) critiques what he calls “top down approach” to accessibility, where, decisions are made about disabled people without involving them directly.  This often results in solutions that do not match user needs.  </w:t>
      </w:r>
      <w:r w:rsidR="00137655">
        <w:rPr>
          <w:rFonts w:ascii="Arial" w:eastAsia="Times New Roman" w:hAnsi="Arial" w:cs="Arial"/>
          <w:sz w:val="24"/>
          <w:szCs w:val="24"/>
          <w:lang w:eastAsia="en-GB"/>
        </w:rPr>
        <w:t xml:space="preserve">In contrast, </w:t>
      </w:r>
      <w:r>
        <w:rPr>
          <w:rFonts w:ascii="Arial" w:eastAsia="Times New Roman" w:hAnsi="Arial" w:cs="Arial"/>
          <w:sz w:val="24"/>
          <w:szCs w:val="24"/>
          <w:lang w:eastAsia="en-GB"/>
        </w:rPr>
        <w:t xml:space="preserve">The </w:t>
      </w:r>
      <w:r w:rsidR="00137655">
        <w:rPr>
          <w:rFonts w:ascii="Arial" w:eastAsia="Times New Roman" w:hAnsi="Arial" w:cs="Arial"/>
          <w:sz w:val="24"/>
          <w:szCs w:val="24"/>
          <w:lang w:eastAsia="en-GB"/>
        </w:rPr>
        <w:t>London 2012 Paralympics succeeded largely because it embedded co production into its planning process, engaging disabled people in the design of ticketing, signage, transportation and venue layouts (European Commission, 2015).  This model ensured accessibility was not only functional but user centred, culturally relevant and future proof.</w:t>
      </w:r>
    </w:p>
    <w:p w:rsidR="00137655" w:rsidRDefault="00137655" w:rsidP="009D0EF4">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A persistent organisational challenge, is the misconception that accessibility improvements are prohibitively expensive.  Lashley (2009) challenges this assumption, arguing that many changes, such as staff training, inclusive signage, or restructured online information, require relatively low investment compared to the commercial and reputational gains they offer.  This is suppor</w:t>
      </w:r>
      <w:r w:rsidR="00096B6F">
        <w:rPr>
          <w:rFonts w:ascii="Arial" w:eastAsia="Times New Roman" w:hAnsi="Arial" w:cs="Arial"/>
          <w:sz w:val="24"/>
          <w:szCs w:val="24"/>
          <w:lang w:eastAsia="en-GB"/>
        </w:rPr>
        <w:t>ted by Kennard</w:t>
      </w:r>
      <w:r>
        <w:rPr>
          <w:rFonts w:ascii="Arial" w:eastAsia="Times New Roman" w:hAnsi="Arial" w:cs="Arial"/>
          <w:sz w:val="24"/>
          <w:szCs w:val="24"/>
          <w:lang w:eastAsia="en-GB"/>
        </w:rPr>
        <w:t xml:space="preserve"> (2021), who emphasises that disability awareness training builds staff confidence and enhances service quality for all guests, not only disabled ones.</w:t>
      </w:r>
    </w:p>
    <w:p w:rsidR="00137655" w:rsidRDefault="00137655" w:rsidP="009D0EF4">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However, smaller or community based venues may face genuine resource constra</w:t>
      </w:r>
      <w:r w:rsidR="00096B6F">
        <w:rPr>
          <w:rFonts w:ascii="Arial" w:eastAsia="Times New Roman" w:hAnsi="Arial" w:cs="Arial"/>
          <w:sz w:val="24"/>
          <w:szCs w:val="24"/>
          <w:lang w:eastAsia="en-GB"/>
        </w:rPr>
        <w:t>ints.  The British Council (2023</w:t>
      </w:r>
      <w:r>
        <w:rPr>
          <w:rFonts w:ascii="Arial" w:eastAsia="Times New Roman" w:hAnsi="Arial" w:cs="Arial"/>
          <w:sz w:val="24"/>
          <w:szCs w:val="24"/>
          <w:lang w:eastAsia="en-GB"/>
        </w:rPr>
        <w:t>) found that over half of surveyed event venues lacked a dedicated access officer or budget for accessibility improvements.  In these contexts</w:t>
      </w:r>
      <w:r w:rsidR="00266A30">
        <w:rPr>
          <w:rFonts w:ascii="Arial" w:eastAsia="Times New Roman" w:hAnsi="Arial" w:cs="Arial"/>
          <w:sz w:val="24"/>
          <w:szCs w:val="24"/>
          <w:lang w:eastAsia="en-GB"/>
        </w:rPr>
        <w:t>, staff may be overburdened, undertrained, or unaware of best practice guidelines.  Without structural support, even motivated teams may struggle to implement changes, reinforcing the need for sector wide frameworks, funding incentives, and collaborative learning models.</w:t>
      </w:r>
    </w:p>
    <w:p w:rsidR="00266A30" w:rsidRDefault="00266A30" w:rsidP="009D0EF4">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The lack of standardised benchmarks further complicates progress.  Whilst the Equality Act 2010 sets a legal baseline in the UK, it is open to interpretation and does not provide detailed operational guidance for event settings.  In response, organisations like Attitude is Everything have developed voluntary codes, such as the Live Events Access Charter, which sets out clear standards for accessible booking, </w:t>
      </w:r>
      <w:r>
        <w:rPr>
          <w:rFonts w:ascii="Arial" w:eastAsia="Times New Roman" w:hAnsi="Arial" w:cs="Arial"/>
          <w:sz w:val="24"/>
          <w:szCs w:val="24"/>
          <w:lang w:eastAsia="en-GB"/>
        </w:rPr>
        <w:lastRenderedPageBreak/>
        <w:t>customer service and venue infrastructure.  As yet, uptake remains optional and variable, depending on organisational will.</w:t>
      </w:r>
    </w:p>
    <w:p w:rsidR="00096B6F" w:rsidRPr="00096B6F" w:rsidRDefault="00096B6F" w:rsidP="00096B6F">
      <w:pPr>
        <w:spacing w:before="100" w:beforeAutospacing="1" w:after="100" w:afterAutospacing="1" w:line="360" w:lineRule="auto"/>
        <w:jc w:val="both"/>
        <w:rPr>
          <w:rFonts w:ascii="Arial" w:eastAsia="Times New Roman" w:hAnsi="Arial" w:cs="Arial"/>
          <w:sz w:val="24"/>
          <w:szCs w:val="24"/>
          <w:lang w:eastAsia="en-GB"/>
        </w:rPr>
      </w:pPr>
      <w:r w:rsidRPr="00096B6F">
        <w:rPr>
          <w:rFonts w:ascii="Arial" w:eastAsia="Times New Roman" w:hAnsi="Arial" w:cs="Arial"/>
          <w:sz w:val="24"/>
          <w:szCs w:val="24"/>
          <w:lang w:eastAsia="en-GB"/>
        </w:rPr>
        <w:t>Critically, these gaps suggest that hospitality cannot be improved solely through</w:t>
      </w:r>
      <w:r w:rsidR="00025CCC">
        <w:rPr>
          <w:rFonts w:ascii="Arial" w:eastAsia="Times New Roman" w:hAnsi="Arial" w:cs="Arial"/>
          <w:sz w:val="24"/>
          <w:szCs w:val="24"/>
          <w:lang w:eastAsia="en-GB"/>
        </w:rPr>
        <w:t xml:space="preserve"> frontline interventions. As Gro</w:t>
      </w:r>
      <w:r w:rsidRPr="00096B6F">
        <w:rPr>
          <w:rFonts w:ascii="Arial" w:eastAsia="Times New Roman" w:hAnsi="Arial" w:cs="Arial"/>
          <w:sz w:val="24"/>
          <w:szCs w:val="24"/>
          <w:lang w:eastAsia="en-GB"/>
        </w:rPr>
        <w:t>nroos (2007) emphasises, service quality emerges</w:t>
      </w:r>
      <w:r w:rsidR="00025CCC">
        <w:rPr>
          <w:rFonts w:ascii="Arial" w:eastAsia="Times New Roman" w:hAnsi="Arial" w:cs="Arial"/>
          <w:sz w:val="24"/>
          <w:szCs w:val="24"/>
          <w:lang w:eastAsia="en-GB"/>
        </w:rPr>
        <w:t xml:space="preserve"> from the entire organisation, </w:t>
      </w:r>
      <w:r w:rsidRPr="00096B6F">
        <w:rPr>
          <w:rFonts w:ascii="Arial" w:eastAsia="Times New Roman" w:hAnsi="Arial" w:cs="Arial"/>
          <w:sz w:val="24"/>
          <w:szCs w:val="24"/>
          <w:lang w:eastAsia="en-GB"/>
        </w:rPr>
        <w:t xml:space="preserve">from policies and systems to staff culture and leadership. This </w:t>
      </w:r>
      <w:r w:rsidR="00025CCC">
        <w:rPr>
          <w:rFonts w:ascii="Arial" w:eastAsia="Times New Roman" w:hAnsi="Arial" w:cs="Arial"/>
          <w:sz w:val="24"/>
          <w:szCs w:val="24"/>
          <w:lang w:eastAsia="en-GB"/>
        </w:rPr>
        <w:t xml:space="preserve">reinforces the need for a whole </w:t>
      </w:r>
      <w:r w:rsidRPr="00096B6F">
        <w:rPr>
          <w:rFonts w:ascii="Arial" w:eastAsia="Times New Roman" w:hAnsi="Arial" w:cs="Arial"/>
          <w:sz w:val="24"/>
          <w:szCs w:val="24"/>
          <w:lang w:eastAsia="en-GB"/>
        </w:rPr>
        <w:t>organisation approach, one that links accessible hospitality to strategy, values, and continuous improvement.</w:t>
      </w:r>
    </w:p>
    <w:p w:rsidR="00096B6F" w:rsidRDefault="00096B6F" w:rsidP="00096B6F">
      <w:pPr>
        <w:spacing w:before="100" w:beforeAutospacing="1" w:after="100" w:afterAutospacing="1" w:line="360" w:lineRule="auto"/>
        <w:jc w:val="both"/>
        <w:rPr>
          <w:rFonts w:ascii="Arial" w:eastAsia="Times New Roman" w:hAnsi="Arial" w:cs="Arial"/>
          <w:sz w:val="24"/>
          <w:szCs w:val="24"/>
          <w:lang w:eastAsia="en-GB"/>
        </w:rPr>
      </w:pPr>
      <w:r w:rsidRPr="00096B6F">
        <w:rPr>
          <w:rFonts w:ascii="Arial" w:eastAsia="Times New Roman" w:hAnsi="Arial" w:cs="Arial"/>
          <w:sz w:val="24"/>
          <w:szCs w:val="24"/>
          <w:lang w:eastAsia="en-GB"/>
        </w:rPr>
        <w:t>It is also worth noting the limitations of this research in addressing organisational change. As this study relies on secondary data, it cannot capture the internal dynamics or lived challenges within specific event organisations. Future research could address this through case studies, longitudinal interviews or organisational audits that explore how cultural barriers are formed, sustained, and dismantled over time.</w:t>
      </w:r>
    </w:p>
    <w:p w:rsidR="00025CCC" w:rsidRDefault="00025CCC" w:rsidP="00096B6F">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Nevertheless, the secondary evidence points to a consistent conclusion: sustainable accessible hospitality requires not only training and technology but a cultural shift.  This includes treating disabled people as true stakeholders, not liabilities; by embedding inclusion at the planning stage and creating accountability structures that ensure access is not optional by integral.</w:t>
      </w:r>
    </w:p>
    <w:p w:rsidR="00025CCC" w:rsidRDefault="00025CCC" w:rsidP="00025CCC">
      <w:pPr>
        <w:pStyle w:val="ListParagraph"/>
        <w:numPr>
          <w:ilvl w:val="0"/>
          <w:numId w:val="1"/>
        </w:numPr>
        <w:spacing w:before="100" w:beforeAutospacing="1" w:after="100" w:afterAutospacing="1" w:line="360" w:lineRule="auto"/>
        <w:jc w:val="both"/>
        <w:rPr>
          <w:rFonts w:ascii="Arial" w:eastAsia="Times New Roman" w:hAnsi="Arial" w:cs="Arial"/>
          <w:sz w:val="24"/>
          <w:szCs w:val="24"/>
          <w:u w:val="single"/>
          <w:lang w:eastAsia="en-GB"/>
        </w:rPr>
      </w:pPr>
      <w:r w:rsidRPr="00025CCC">
        <w:rPr>
          <w:rFonts w:ascii="Arial" w:eastAsia="Times New Roman" w:hAnsi="Arial" w:cs="Arial"/>
          <w:sz w:val="24"/>
          <w:szCs w:val="24"/>
          <w:u w:val="single"/>
          <w:lang w:eastAsia="en-GB"/>
        </w:rPr>
        <w:t>Conclusion</w:t>
      </w:r>
    </w:p>
    <w:p w:rsidR="00025CCC" w:rsidRDefault="007B442C" w:rsidP="00025CCC">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This study set out to investigate how accessible hospitality and customer service influence the satisfaction, engagement, and long term loyalty of disabled event attendees.  Drawing on a wide range of secondary sources, including industry reports, academic studies, and user generated reviews, the research has shown that accessibility is not solely a question of infrastructure, but a complex mix of emotional, technological, and organisational factors.</w:t>
      </w:r>
    </w:p>
    <w:p w:rsidR="007B442C" w:rsidRDefault="007B442C" w:rsidP="00025CCC">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The findings strongly support the original hypothesis: that well trained, empathetic staff and the strategic use of adaptive technologies significantly enhance the experience of disabled attendees.  Further, the evidence demonstrates that accessible hospitality is both a social obligation and an economic opportunity, with inclusive practices driving positive word of mouth, repeat attendance, and organisational reputation.</w:t>
      </w:r>
    </w:p>
    <w:p w:rsidR="007B442C" w:rsidRDefault="007B442C" w:rsidP="00025CCC">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lastRenderedPageBreak/>
        <w:t>Throughout the discussion, four key themes emerged.  Firstly, the emotional dimensions of hospitality, such as empathy, respect and psychological safety, are just as importa</w:t>
      </w:r>
      <w:r w:rsidR="000C070B">
        <w:rPr>
          <w:rFonts w:ascii="Arial" w:eastAsia="Times New Roman" w:hAnsi="Arial" w:cs="Arial"/>
          <w:sz w:val="24"/>
          <w:szCs w:val="24"/>
          <w:lang w:eastAsia="en-GB"/>
        </w:rPr>
        <w:t>nt as physical access.  Second</w:t>
      </w:r>
      <w:r>
        <w:rPr>
          <w:rFonts w:ascii="Arial" w:eastAsia="Times New Roman" w:hAnsi="Arial" w:cs="Arial"/>
          <w:sz w:val="24"/>
          <w:szCs w:val="24"/>
          <w:lang w:eastAsia="en-GB"/>
        </w:rPr>
        <w:t>, staff training has a measurable impact on service quality, particularly when it is contextual, continuous, and embedded into team culture.  Third</w:t>
      </w:r>
      <w:r w:rsidR="000C070B">
        <w:rPr>
          <w:rFonts w:ascii="Arial" w:eastAsia="Times New Roman" w:hAnsi="Arial" w:cs="Arial"/>
          <w:sz w:val="24"/>
          <w:szCs w:val="24"/>
          <w:lang w:eastAsia="en-GB"/>
        </w:rPr>
        <w:t>, while technology offers powerful tools for enhancing autonomy and reducing anxiety, it must be implemented thoughtfully and never as a substitute for human service.  Finally, organisational culture and leadership remain critical barriers or enablers: without strategic commitment and structural support, even the best tools and intentions may fail to deliver inclusive experiences.</w:t>
      </w:r>
    </w:p>
    <w:p w:rsidR="000C070B" w:rsidRDefault="000C070B" w:rsidP="00025CCC">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Even so, the limitations of secondary research must be acknowledged.  This study lacked access to primary data, such as staff interviews or direct feedback from attendees across different disability types.  As a result, some conclusions rely on aggregated trends and may not capture the full nuance of lived experience.  Future research could include qualitative fieldwork, to explore how inclusive practices evolve within specific organisations and impact real world outcomes over time.</w:t>
      </w:r>
    </w:p>
    <w:p w:rsidR="001202ED" w:rsidRPr="00025CCC" w:rsidRDefault="001202ED" w:rsidP="00025CCC">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In conclusion, accessibility in events is not a separate entity, but a defining feature of quality hospitality.  The most successful venues are those that treat disabled attendees not as exceptions to be accommodated, but as valued participants whose needs help define excellence for all.  For the events industry to move forward, inclusion must shift from reactive compliance to proactive design, where empathy, innovation, and organisational integrity work in tandem to ensure that every attendee feels welcome, respected and supported.</w:t>
      </w:r>
    </w:p>
    <w:p w:rsidR="00025CCC" w:rsidRPr="00096B6F" w:rsidRDefault="00025CCC" w:rsidP="00096B6F">
      <w:pPr>
        <w:spacing w:before="100" w:beforeAutospacing="1" w:after="100" w:afterAutospacing="1" w:line="360" w:lineRule="auto"/>
        <w:jc w:val="both"/>
        <w:rPr>
          <w:rFonts w:ascii="Arial" w:eastAsia="Times New Roman" w:hAnsi="Arial" w:cs="Arial"/>
          <w:sz w:val="24"/>
          <w:szCs w:val="24"/>
          <w:lang w:eastAsia="en-GB"/>
        </w:rPr>
      </w:pPr>
    </w:p>
    <w:p w:rsidR="00266A30" w:rsidRDefault="00266A30" w:rsidP="009D0EF4">
      <w:pPr>
        <w:spacing w:before="100" w:beforeAutospacing="1" w:after="100" w:afterAutospacing="1" w:line="360" w:lineRule="auto"/>
        <w:jc w:val="both"/>
        <w:rPr>
          <w:rFonts w:ascii="Arial" w:eastAsia="Times New Roman" w:hAnsi="Arial" w:cs="Arial"/>
          <w:sz w:val="24"/>
          <w:szCs w:val="24"/>
          <w:lang w:eastAsia="en-GB"/>
        </w:rPr>
      </w:pPr>
    </w:p>
    <w:p w:rsidR="00137655" w:rsidRPr="009D0EF4" w:rsidRDefault="00137655" w:rsidP="009D0EF4">
      <w:pPr>
        <w:spacing w:before="100" w:beforeAutospacing="1" w:after="100" w:afterAutospacing="1" w:line="360" w:lineRule="auto"/>
        <w:jc w:val="both"/>
        <w:rPr>
          <w:rFonts w:ascii="Arial" w:eastAsia="Times New Roman" w:hAnsi="Arial" w:cs="Arial"/>
          <w:sz w:val="24"/>
          <w:szCs w:val="24"/>
          <w:lang w:eastAsia="en-GB"/>
        </w:rPr>
      </w:pPr>
    </w:p>
    <w:p w:rsidR="00EE12D5" w:rsidRPr="00EE12D5" w:rsidRDefault="00EE12D5" w:rsidP="00EE12D5">
      <w:pPr>
        <w:spacing w:line="360" w:lineRule="auto"/>
        <w:jc w:val="both"/>
        <w:rPr>
          <w:rFonts w:ascii="Arial" w:hAnsi="Arial" w:cs="Arial"/>
          <w:sz w:val="24"/>
          <w:szCs w:val="24"/>
        </w:rPr>
      </w:pPr>
    </w:p>
    <w:p w:rsidR="00225741" w:rsidRDefault="00225741" w:rsidP="00FE5825">
      <w:pPr>
        <w:spacing w:line="360" w:lineRule="auto"/>
        <w:jc w:val="both"/>
        <w:rPr>
          <w:rFonts w:ascii="Arial" w:hAnsi="Arial" w:cs="Arial"/>
          <w:sz w:val="24"/>
          <w:szCs w:val="24"/>
        </w:rPr>
      </w:pPr>
    </w:p>
    <w:p w:rsidR="001202ED" w:rsidRDefault="001202ED" w:rsidP="00FE5825">
      <w:pPr>
        <w:spacing w:line="360" w:lineRule="auto"/>
        <w:jc w:val="both"/>
        <w:rPr>
          <w:rFonts w:ascii="Arial" w:hAnsi="Arial" w:cs="Arial"/>
          <w:sz w:val="24"/>
          <w:szCs w:val="24"/>
        </w:rPr>
      </w:pPr>
    </w:p>
    <w:p w:rsidR="001202ED" w:rsidRDefault="001202ED" w:rsidP="00FE5825">
      <w:pPr>
        <w:spacing w:line="360" w:lineRule="auto"/>
        <w:jc w:val="both"/>
        <w:rPr>
          <w:rFonts w:ascii="Arial" w:hAnsi="Arial" w:cs="Arial"/>
          <w:sz w:val="24"/>
          <w:szCs w:val="24"/>
        </w:rPr>
      </w:pPr>
      <w:r w:rsidRPr="001202ED">
        <w:rPr>
          <w:rFonts w:ascii="Arial" w:hAnsi="Arial" w:cs="Arial"/>
          <w:sz w:val="24"/>
          <w:szCs w:val="24"/>
          <w:u w:val="single"/>
        </w:rPr>
        <w:lastRenderedPageBreak/>
        <w:t>References</w:t>
      </w:r>
    </w:p>
    <w:p w:rsidR="001202ED" w:rsidRDefault="001202ED" w:rsidP="001202ED">
      <w:pPr>
        <w:pStyle w:val="NormalWeb"/>
        <w:spacing w:before="0" w:beforeAutospacing="0" w:after="240" w:afterAutospacing="0" w:line="360" w:lineRule="auto"/>
      </w:pPr>
      <w:r>
        <w:t xml:space="preserve">Barbican Access Guide (2022). </w:t>
      </w:r>
      <w:r>
        <w:rPr>
          <w:i/>
          <w:iCs/>
        </w:rPr>
        <w:t>Barbican Access Guide 3 2</w:t>
      </w:r>
      <w:r>
        <w:t>. [</w:t>
      </w:r>
      <w:proofErr w:type="gramStart"/>
      <w:r>
        <w:t>online</w:t>
      </w:r>
      <w:proofErr w:type="gramEnd"/>
      <w:r>
        <w:t>] Available at: https://www.barbican.org.uk/sites/default/files/documents/2022-09/Access%20Guide%20Sep%202022%20LR%20ONLINE%20VERSION.pdf.</w:t>
      </w:r>
    </w:p>
    <w:p w:rsidR="001202ED" w:rsidRDefault="001202ED" w:rsidP="001202ED">
      <w:pPr>
        <w:pStyle w:val="NormalWeb"/>
        <w:spacing w:before="0" w:beforeAutospacing="0" w:after="240" w:afterAutospacing="0" w:line="360" w:lineRule="auto"/>
      </w:pPr>
      <w:r>
        <w:t xml:space="preserve">Barbican Centre (2024). </w:t>
      </w:r>
      <w:r>
        <w:rPr>
          <w:i/>
          <w:iCs/>
        </w:rPr>
        <w:t>Barbican Centre - Theatre &amp; Cinema with Disabled Access - London - Euan’s Guide</w:t>
      </w:r>
      <w:r>
        <w:t>. [</w:t>
      </w:r>
      <w:proofErr w:type="gramStart"/>
      <w:r>
        <w:t>online</w:t>
      </w:r>
      <w:proofErr w:type="gramEnd"/>
      <w:r>
        <w:t>] Euansguide.com. Available at: https://www.euansguide.com/venues/barbican-centre-london-755/reviews/barbican-theatre-is-amazing-16104 [Accessed 30 Apr. 2025].</w:t>
      </w:r>
    </w:p>
    <w:p w:rsidR="001202ED" w:rsidRDefault="001202ED" w:rsidP="001202ED">
      <w:pPr>
        <w:pStyle w:val="NormalWeb"/>
        <w:spacing w:before="0" w:beforeAutospacing="0" w:after="240" w:afterAutospacing="0" w:line="360" w:lineRule="auto"/>
      </w:pPr>
      <w:r>
        <w:t xml:space="preserve">Berners, P. and Martin, A. (2022). </w:t>
      </w:r>
      <w:r>
        <w:rPr>
          <w:i/>
          <w:iCs/>
        </w:rPr>
        <w:t>The Practical Guide to Achieving Customer Satisfaction in Events and Hotels</w:t>
      </w:r>
      <w:r>
        <w:t>. Taylor &amp; Francis.</w:t>
      </w:r>
    </w:p>
    <w:p w:rsidR="001202ED" w:rsidRDefault="001202ED" w:rsidP="001202ED">
      <w:pPr>
        <w:pStyle w:val="NormalWeb"/>
        <w:spacing w:before="0" w:beforeAutospacing="0" w:after="240" w:afterAutospacing="0" w:line="360" w:lineRule="auto"/>
      </w:pPr>
      <w:r>
        <w:t xml:space="preserve">British Council (2021). </w:t>
      </w:r>
      <w:r>
        <w:rPr>
          <w:i/>
          <w:iCs/>
        </w:rPr>
        <w:t>New British Council reports reveal continuing lack of support for disabled artists across the global cultural sector | British Council</w:t>
      </w:r>
      <w:r>
        <w:t>. [</w:t>
      </w:r>
      <w:proofErr w:type="gramStart"/>
      <w:r>
        <w:t>online</w:t>
      </w:r>
      <w:proofErr w:type="gramEnd"/>
      <w:r>
        <w:t>] Britishcouncil.org. Available at: https://www.britishcouncil.org/about/press/new-british-council-reports-reveal-continuing-lack-support-disabled-artists-across.</w:t>
      </w:r>
    </w:p>
    <w:p w:rsidR="001202ED" w:rsidRDefault="001202ED" w:rsidP="001202ED">
      <w:pPr>
        <w:pStyle w:val="NormalWeb"/>
        <w:spacing w:before="0" w:beforeAutospacing="0" w:after="240" w:afterAutospacing="0" w:line="360" w:lineRule="auto"/>
      </w:pPr>
      <w:r>
        <w:t xml:space="preserve">British Council (2023). </w:t>
      </w:r>
      <w:r>
        <w:rPr>
          <w:i/>
          <w:iCs/>
        </w:rPr>
        <w:t>Research Series: Time to Act | Arts and Disability | British Council</w:t>
      </w:r>
      <w:r>
        <w:t>. [</w:t>
      </w:r>
      <w:proofErr w:type="gramStart"/>
      <w:r>
        <w:t>online</w:t>
      </w:r>
      <w:proofErr w:type="gramEnd"/>
      <w:r>
        <w:t>] Britishcouncil.org. Available at: https://www.britishcouncil.org/research-insight/Time_to_Act_report [Accessed 2 May 2025].</w:t>
      </w:r>
    </w:p>
    <w:p w:rsidR="001202ED" w:rsidRDefault="001202ED" w:rsidP="001202ED">
      <w:pPr>
        <w:pStyle w:val="NormalWeb"/>
        <w:spacing w:before="0" w:beforeAutospacing="0" w:after="240" w:afterAutospacing="0" w:line="360" w:lineRule="auto"/>
      </w:pPr>
      <w:r>
        <w:t xml:space="preserve">Da Ferst, M. and Coutinho, H.R.M. (2021). </w:t>
      </w:r>
      <w:r>
        <w:rPr>
          <w:i/>
          <w:iCs/>
        </w:rPr>
        <w:t>IMPACTS OF TRAINING ON PERCEPTIONS OF ACCESSIBILITY IN TOURISM</w:t>
      </w:r>
      <w:r>
        <w:t xml:space="preserve">. </w:t>
      </w:r>
      <w:r>
        <w:rPr>
          <w:i/>
          <w:iCs/>
        </w:rPr>
        <w:t>https://www.researchgate.net/publication/352808946_IMPACTS_OF_TRAINING_ON_PERCEPTIONS_OF_ACCESSIBILITY_IN_TOURISM</w:t>
      </w:r>
      <w:r>
        <w:t>.</w:t>
      </w:r>
    </w:p>
    <w:p w:rsidR="001202ED" w:rsidRDefault="001202ED" w:rsidP="001202ED">
      <w:pPr>
        <w:pStyle w:val="NormalWeb"/>
        <w:spacing w:before="0" w:beforeAutospacing="0" w:after="240" w:afterAutospacing="0" w:line="360" w:lineRule="auto"/>
      </w:pPr>
      <w:r>
        <w:t xml:space="preserve">Darcy, S. and Pegg, S. (2011). Towards Strategic Intent: Perceptions of disability service provision amongst hotel accommodation managers. </w:t>
      </w:r>
      <w:r>
        <w:rPr>
          <w:i/>
          <w:iCs/>
        </w:rPr>
        <w:t>International Journal of Hospitality Management</w:t>
      </w:r>
      <w:r>
        <w:t xml:space="preserve">, 30(2), pp.468–476. </w:t>
      </w:r>
      <w:proofErr w:type="spellStart"/>
      <w:r>
        <w:t>doi:https</w:t>
      </w:r>
      <w:proofErr w:type="spellEnd"/>
      <w:r>
        <w:t>://doi.org/10.1016/j.ijhm.2010.09.009.</w:t>
      </w:r>
    </w:p>
    <w:p w:rsidR="001202ED" w:rsidRDefault="001202ED" w:rsidP="001202ED">
      <w:pPr>
        <w:pStyle w:val="NormalWeb"/>
        <w:spacing w:before="0" w:beforeAutospacing="0" w:after="240" w:afterAutospacing="0" w:line="360" w:lineRule="auto"/>
      </w:pPr>
      <w:r>
        <w:t xml:space="preserve">Dickinson, L. (2023). </w:t>
      </w:r>
      <w:r>
        <w:rPr>
          <w:i/>
          <w:iCs/>
        </w:rPr>
        <w:t>Excelling in Accessible Hospitality: 6 Strategies for Accessibility Excellence</w:t>
      </w:r>
      <w:r>
        <w:t>. [</w:t>
      </w:r>
      <w:proofErr w:type="gramStart"/>
      <w:r>
        <w:t>online</w:t>
      </w:r>
      <w:proofErr w:type="gramEnd"/>
      <w:r>
        <w:t>] Sustainable Hospitality Alliance. Available at: https://sustainablehospitalityalliance.org/strategies-for-accessibility-excellence/.</w:t>
      </w:r>
    </w:p>
    <w:p w:rsidR="001202ED" w:rsidRDefault="001202ED" w:rsidP="001202ED">
      <w:pPr>
        <w:pStyle w:val="NormalWeb"/>
        <w:spacing w:before="0" w:beforeAutospacing="0" w:after="240" w:afterAutospacing="0" w:line="360" w:lineRule="auto"/>
      </w:pPr>
      <w:proofErr w:type="spellStart"/>
      <w:r>
        <w:t>Dimitrios</w:t>
      </w:r>
      <w:proofErr w:type="spellEnd"/>
      <w:r>
        <w:t xml:space="preserve"> </w:t>
      </w:r>
      <w:proofErr w:type="spellStart"/>
      <w:r>
        <w:t>Buhalis</w:t>
      </w:r>
      <w:proofErr w:type="spellEnd"/>
      <w:r>
        <w:t xml:space="preserve"> and Darcy, S. (2010). </w:t>
      </w:r>
      <w:r>
        <w:rPr>
          <w:i/>
          <w:iCs/>
        </w:rPr>
        <w:t>Accessible Tourism</w:t>
      </w:r>
      <w:r>
        <w:t>. Channel View Publications.</w:t>
      </w:r>
    </w:p>
    <w:p w:rsidR="001202ED" w:rsidRDefault="001202ED" w:rsidP="001202ED">
      <w:pPr>
        <w:pStyle w:val="NormalWeb"/>
        <w:spacing w:before="0" w:beforeAutospacing="0" w:after="240" w:afterAutospacing="0" w:line="360" w:lineRule="auto"/>
      </w:pPr>
      <w:r>
        <w:lastRenderedPageBreak/>
        <w:t xml:space="preserve">Disability Arts Online (2024). </w:t>
      </w:r>
      <w:r>
        <w:rPr>
          <w:i/>
          <w:iCs/>
        </w:rPr>
        <w:t>Latest Euan’s Guide survey finds access barriers and cost of living hitting disabled people hard - Disability Arts Online</w:t>
      </w:r>
      <w:r>
        <w:t>. [</w:t>
      </w:r>
      <w:proofErr w:type="gramStart"/>
      <w:r>
        <w:t>online</w:t>
      </w:r>
      <w:proofErr w:type="gramEnd"/>
      <w:r>
        <w:t>] Disability Arts Online. Available at: https://disabilityarts.online/magazine/news/latest-euans-guide-survey-finds-access-barriers-and-cost-of-living-hitting-disabled-people-hard/.</w:t>
      </w:r>
    </w:p>
    <w:p w:rsidR="001202ED" w:rsidRDefault="001202ED" w:rsidP="001202ED">
      <w:pPr>
        <w:pStyle w:val="NormalWeb"/>
        <w:spacing w:before="0" w:beforeAutospacing="0" w:after="240" w:afterAutospacing="0" w:line="360" w:lineRule="auto"/>
      </w:pPr>
      <w:r>
        <w:t xml:space="preserve">Ekong, A. (2022). </w:t>
      </w:r>
      <w:r>
        <w:rPr>
          <w:i/>
          <w:iCs/>
        </w:rPr>
        <w:t>Discussing the London 2012 Paralympic legacy for disability inclusion</w:t>
      </w:r>
      <w:r>
        <w:t>. [</w:t>
      </w:r>
      <w:proofErr w:type="gramStart"/>
      <w:r>
        <w:t>online</w:t>
      </w:r>
      <w:proofErr w:type="gramEnd"/>
      <w:r>
        <w:t>] Spirit of 2012. Available at: https://spiritof2012.org.uk/london-2012-paralympic-legacy-disability-inclusion/.</w:t>
      </w:r>
    </w:p>
    <w:p w:rsidR="001202ED" w:rsidRDefault="001202ED" w:rsidP="001202ED">
      <w:pPr>
        <w:pStyle w:val="NormalWeb"/>
        <w:spacing w:before="0" w:beforeAutospacing="0" w:after="240" w:afterAutospacing="0" w:line="360" w:lineRule="auto"/>
      </w:pPr>
      <w:r>
        <w:t xml:space="preserve">Euan's Guide (2024a). </w:t>
      </w:r>
      <w:r>
        <w:rPr>
          <w:i/>
          <w:iCs/>
        </w:rPr>
        <w:t>Euan’s Guide | Results</w:t>
      </w:r>
      <w:r>
        <w:t>. [</w:t>
      </w:r>
      <w:proofErr w:type="gramStart"/>
      <w:r>
        <w:t>online</w:t>
      </w:r>
      <w:proofErr w:type="gramEnd"/>
      <w:r>
        <w:t>] Euansguide.com. Available at: https://www.euansguide.com/reviews/results/?nameorcategory=barbican&amp;sortby=BestMatch [Accessed 29 Apr. 2025].</w:t>
      </w:r>
    </w:p>
    <w:p w:rsidR="001202ED" w:rsidRDefault="001202ED" w:rsidP="001202ED">
      <w:pPr>
        <w:pStyle w:val="NormalWeb"/>
        <w:spacing w:before="0" w:beforeAutospacing="0" w:after="240" w:afterAutospacing="0" w:line="360" w:lineRule="auto"/>
      </w:pPr>
      <w:r>
        <w:t xml:space="preserve">Euan's Guide (2024b). </w:t>
      </w:r>
      <w:r>
        <w:rPr>
          <w:i/>
          <w:iCs/>
        </w:rPr>
        <w:t>The Euan’s Guide Access Survey</w:t>
      </w:r>
      <w:r>
        <w:t>. [</w:t>
      </w:r>
      <w:proofErr w:type="gramStart"/>
      <w:r>
        <w:t>online</w:t>
      </w:r>
      <w:proofErr w:type="gramEnd"/>
      <w:r>
        <w:t>] www.euansguide.com. Available at: https://www.euansguide.com/get-involved/access-survey/.</w:t>
      </w:r>
    </w:p>
    <w:p w:rsidR="001202ED" w:rsidRDefault="001202ED" w:rsidP="001202ED">
      <w:pPr>
        <w:pStyle w:val="NormalWeb"/>
        <w:spacing w:before="0" w:beforeAutospacing="0" w:after="240" w:afterAutospacing="0" w:line="360" w:lineRule="auto"/>
      </w:pPr>
      <w:r>
        <w:t xml:space="preserve">European </w:t>
      </w:r>
      <w:proofErr w:type="spellStart"/>
      <w:r>
        <w:t>Comission</w:t>
      </w:r>
      <w:proofErr w:type="spellEnd"/>
      <w:r>
        <w:t xml:space="preserve"> (2015). </w:t>
      </w:r>
      <w:r>
        <w:rPr>
          <w:i/>
          <w:iCs/>
        </w:rPr>
        <w:t>Mapping and Performance of the Supply of Accessible Tourism Services in Europe</w:t>
      </w:r>
      <w:r>
        <w:t xml:space="preserve">. </w:t>
      </w:r>
      <w:r>
        <w:rPr>
          <w:i/>
          <w:iCs/>
        </w:rPr>
        <w:t>https://op.europa.eu/en/publication-detail/-/publication/f0948779-1303-481a-a2d8-5aa043035b81</w:t>
      </w:r>
      <w:r>
        <w:t>.</w:t>
      </w:r>
    </w:p>
    <w:p w:rsidR="001202ED" w:rsidRDefault="001202ED" w:rsidP="001202ED">
      <w:pPr>
        <w:pStyle w:val="NormalWeb"/>
        <w:spacing w:before="0" w:beforeAutospacing="0" w:after="240" w:afterAutospacing="0" w:line="360" w:lineRule="auto"/>
      </w:pPr>
      <w:r>
        <w:t xml:space="preserve">Getz, D. and Page, S.J. (2020). </w:t>
      </w:r>
      <w:r>
        <w:rPr>
          <w:i/>
          <w:iCs/>
        </w:rPr>
        <w:t>Event Studies: Theory, Research and Policy for Planned Events</w:t>
      </w:r>
      <w:r>
        <w:t xml:space="preserve">. 4th </w:t>
      </w:r>
      <w:proofErr w:type="gramStart"/>
      <w:r>
        <w:t>ed</w:t>
      </w:r>
      <w:proofErr w:type="gramEnd"/>
      <w:r>
        <w:t>. New York: Routledge.</w:t>
      </w:r>
    </w:p>
    <w:p w:rsidR="001202ED" w:rsidRDefault="001202ED" w:rsidP="001202ED">
      <w:pPr>
        <w:pStyle w:val="NormalWeb"/>
        <w:spacing w:before="0" w:beforeAutospacing="0" w:after="240" w:afterAutospacing="0" w:line="360" w:lineRule="auto"/>
      </w:pPr>
      <w:r>
        <w:t xml:space="preserve">Grönroos, C. (2007). </w:t>
      </w:r>
      <w:r>
        <w:rPr>
          <w:i/>
          <w:iCs/>
        </w:rPr>
        <w:t xml:space="preserve">Service management and </w:t>
      </w:r>
      <w:proofErr w:type="gramStart"/>
      <w:r>
        <w:rPr>
          <w:i/>
          <w:iCs/>
        </w:rPr>
        <w:t>marketing :</w:t>
      </w:r>
      <w:proofErr w:type="gramEnd"/>
      <w:r>
        <w:rPr>
          <w:i/>
          <w:iCs/>
        </w:rPr>
        <w:t xml:space="preserve"> customer management in service competition</w:t>
      </w:r>
      <w:r>
        <w:t>. Chichester: Wiley.</w:t>
      </w:r>
    </w:p>
    <w:p w:rsidR="001202ED" w:rsidRDefault="001202ED" w:rsidP="001202ED">
      <w:pPr>
        <w:pStyle w:val="NormalWeb"/>
        <w:spacing w:before="0" w:beforeAutospacing="0" w:after="240" w:afterAutospacing="0" w:line="360" w:lineRule="auto"/>
      </w:pPr>
      <w:r>
        <w:t xml:space="preserve">Jamin, A., Gbadamosi, G. and </w:t>
      </w:r>
      <w:proofErr w:type="spellStart"/>
      <w:r>
        <w:t>Svetla</w:t>
      </w:r>
      <w:proofErr w:type="spellEnd"/>
      <w:r>
        <w:t xml:space="preserve"> </w:t>
      </w:r>
      <w:proofErr w:type="spellStart"/>
      <w:r>
        <w:t>Stoyanova-Bozhkova</w:t>
      </w:r>
      <w:proofErr w:type="spellEnd"/>
      <w:r>
        <w:t xml:space="preserve"> (2024). The ecosystem of disability inclusion in hospitality and tourism organisations: an integrative review and research agenda. </w:t>
      </w:r>
      <w:r>
        <w:rPr>
          <w:i/>
          <w:iCs/>
        </w:rPr>
        <w:t>International journal of contemporary hospitality management</w:t>
      </w:r>
      <w:r>
        <w:t xml:space="preserve">, 36(13), pp.38–56. </w:t>
      </w:r>
      <w:proofErr w:type="spellStart"/>
      <w:r>
        <w:t>doi:https</w:t>
      </w:r>
      <w:proofErr w:type="spellEnd"/>
      <w:r>
        <w:t>://doi.org/10.1108/ijchm-05-2023-0581.</w:t>
      </w:r>
    </w:p>
    <w:p w:rsidR="001202ED" w:rsidRDefault="001202ED" w:rsidP="001202ED">
      <w:pPr>
        <w:pStyle w:val="NormalWeb"/>
        <w:spacing w:before="0" w:beforeAutospacing="0" w:after="240" w:afterAutospacing="0" w:line="360" w:lineRule="auto"/>
      </w:pPr>
      <w:proofErr w:type="spellStart"/>
      <w:r>
        <w:t>Jon_Kennard</w:t>
      </w:r>
      <w:proofErr w:type="spellEnd"/>
      <w:r>
        <w:t xml:space="preserve"> (2021). </w:t>
      </w:r>
      <w:r>
        <w:rPr>
          <w:i/>
          <w:iCs/>
        </w:rPr>
        <w:t>Improving customer service with disability awareness training -</w:t>
      </w:r>
      <w:r>
        <w:t>. [</w:t>
      </w:r>
      <w:proofErr w:type="gramStart"/>
      <w:r>
        <w:t>online</w:t>
      </w:r>
      <w:proofErr w:type="gramEnd"/>
      <w:r>
        <w:t>] - Daily insights for people development professionals to transform workplace learning and performance together. Available at: https://www.trainingjournal.com/2021/business-and-industry/improving-customer-service-disability-awareness-training/ [Accessed 13 Nov. 2024].</w:t>
      </w:r>
    </w:p>
    <w:p w:rsidR="001202ED" w:rsidRDefault="001202ED" w:rsidP="001202ED">
      <w:pPr>
        <w:pStyle w:val="NormalWeb"/>
        <w:spacing w:before="0" w:beforeAutospacing="0" w:after="240" w:afterAutospacing="0" w:line="360" w:lineRule="auto"/>
      </w:pPr>
      <w:r>
        <w:lastRenderedPageBreak/>
        <w:t xml:space="preserve">Kirk-Wade, E., Wong, H. and Stiebahl, S. (2024). </w:t>
      </w:r>
      <w:r>
        <w:rPr>
          <w:i/>
          <w:iCs/>
        </w:rPr>
        <w:t>UK disability statistics: Prevalence and life experiences</w:t>
      </w:r>
      <w:r>
        <w:t>. [</w:t>
      </w:r>
      <w:proofErr w:type="gramStart"/>
      <w:r>
        <w:t>online</w:t>
      </w:r>
      <w:proofErr w:type="gramEnd"/>
      <w:r>
        <w:t>] House of Commons Library. Available at: https://commonslibrary.parliament.uk/research-briefings/cbp-9602/.</w:t>
      </w:r>
    </w:p>
    <w:p w:rsidR="001202ED" w:rsidRDefault="001202ED" w:rsidP="001202ED">
      <w:pPr>
        <w:pStyle w:val="NormalWeb"/>
        <w:spacing w:before="0" w:beforeAutospacing="0" w:after="240" w:afterAutospacing="0" w:line="360" w:lineRule="auto"/>
      </w:pPr>
      <w:r>
        <w:t xml:space="preserve">Ladhari, R. (2009). Service quality, emotional satisfaction, and behavioural intentions. </w:t>
      </w:r>
      <w:r>
        <w:rPr>
          <w:i/>
          <w:iCs/>
        </w:rPr>
        <w:t>Managing Service Quality: An International Journal</w:t>
      </w:r>
      <w:r>
        <w:t xml:space="preserve">, 19(3), pp.308–331. </w:t>
      </w:r>
      <w:proofErr w:type="spellStart"/>
      <w:r>
        <w:t>doi:https</w:t>
      </w:r>
      <w:proofErr w:type="spellEnd"/>
      <w:r>
        <w:t>://doi.org/10.1108/09604520910955320.</w:t>
      </w:r>
    </w:p>
    <w:p w:rsidR="001202ED" w:rsidRDefault="001202ED" w:rsidP="001202ED">
      <w:pPr>
        <w:pStyle w:val="NormalWeb"/>
        <w:spacing w:before="0" w:beforeAutospacing="0" w:after="240" w:afterAutospacing="0" w:line="360" w:lineRule="auto"/>
      </w:pPr>
      <w:r>
        <w:t xml:space="preserve">legislation.gov.uk (2010). </w:t>
      </w:r>
      <w:r>
        <w:rPr>
          <w:i/>
          <w:iCs/>
        </w:rPr>
        <w:t>Equality Act 2010</w:t>
      </w:r>
      <w:r>
        <w:t>. [</w:t>
      </w:r>
      <w:proofErr w:type="gramStart"/>
      <w:r>
        <w:t>online</w:t>
      </w:r>
      <w:proofErr w:type="gramEnd"/>
      <w:r>
        <w:t>] Legislation.gov.uk. Available at: https://www.legislation.gov.uk/ukpga/2010/15/contents.</w:t>
      </w:r>
    </w:p>
    <w:p w:rsidR="001202ED" w:rsidRDefault="001202ED" w:rsidP="001202ED">
      <w:pPr>
        <w:pStyle w:val="NormalWeb"/>
        <w:spacing w:before="0" w:beforeAutospacing="0" w:after="240" w:afterAutospacing="0" w:line="360" w:lineRule="auto"/>
      </w:pPr>
      <w:r>
        <w:t xml:space="preserve">Mayor of London (2012). </w:t>
      </w:r>
      <w:r>
        <w:rPr>
          <w:i/>
          <w:iCs/>
        </w:rPr>
        <w:t>2012 Games raising bar for embedding accessibility into city</w:t>
      </w:r>
      <w:r>
        <w:t>. [</w:t>
      </w:r>
      <w:proofErr w:type="gramStart"/>
      <w:r>
        <w:t>online</w:t>
      </w:r>
      <w:proofErr w:type="gramEnd"/>
      <w:r>
        <w:t>] London City Hall. Available at: https://www.london.gov.uk/press-releases-4813.</w:t>
      </w:r>
    </w:p>
    <w:p w:rsidR="001202ED" w:rsidRDefault="001202ED" w:rsidP="001202ED">
      <w:pPr>
        <w:pStyle w:val="NormalWeb"/>
        <w:spacing w:before="0" w:beforeAutospacing="0" w:after="240" w:afterAutospacing="0" w:line="360" w:lineRule="auto"/>
      </w:pPr>
      <w:r>
        <w:t xml:space="preserve">Moon, H. (2024). </w:t>
      </w:r>
      <w:r>
        <w:rPr>
          <w:i/>
          <w:iCs/>
        </w:rPr>
        <w:t>Embracing the Sunflower Lanyard Hidden Disability Scheme at Events: Promoting Inclusivity and Support</w:t>
      </w:r>
      <w:r>
        <w:t>. [</w:t>
      </w:r>
      <w:proofErr w:type="gramStart"/>
      <w:r>
        <w:t>online</w:t>
      </w:r>
      <w:proofErr w:type="gramEnd"/>
      <w:r>
        <w:t xml:space="preserve">] </w:t>
      </w:r>
      <w:proofErr w:type="spellStart"/>
      <w:r>
        <w:t>EventWell</w:t>
      </w:r>
      <w:proofErr w:type="spellEnd"/>
      <w:r>
        <w:t>®. Available at: https://eventwell.org/embracing-the-sunflower-lanyard-hidden-disability-scheme-at-events-promoting-inclusivity-and-support/ [Accessed 29 Apr. 2025].</w:t>
      </w:r>
    </w:p>
    <w:p w:rsidR="001202ED" w:rsidRDefault="001202ED" w:rsidP="001202ED">
      <w:pPr>
        <w:pStyle w:val="NormalWeb"/>
        <w:spacing w:before="0" w:beforeAutospacing="0" w:after="240" w:afterAutospacing="0" w:line="360" w:lineRule="auto"/>
      </w:pPr>
      <w:proofErr w:type="gramStart"/>
      <w:r>
        <w:t>new</w:t>
      </w:r>
      <w:proofErr w:type="gramEnd"/>
      <w:r>
        <w:t xml:space="preserve">, A. is E. (2025). </w:t>
      </w:r>
      <w:r>
        <w:rPr>
          <w:i/>
          <w:iCs/>
        </w:rPr>
        <w:t xml:space="preserve">Attitude is </w:t>
      </w:r>
      <w:proofErr w:type="gramStart"/>
      <w:r>
        <w:rPr>
          <w:i/>
          <w:iCs/>
        </w:rPr>
        <w:t>Everything</w:t>
      </w:r>
      <w:proofErr w:type="gramEnd"/>
      <w:r>
        <w:rPr>
          <w:i/>
          <w:iCs/>
        </w:rPr>
        <w:t xml:space="preserve"> launch new Live Events Access Charter | M Magazine</w:t>
      </w:r>
      <w:r>
        <w:t>. [</w:t>
      </w:r>
      <w:proofErr w:type="gramStart"/>
      <w:r>
        <w:t>online</w:t>
      </w:r>
      <w:proofErr w:type="gramEnd"/>
      <w:r>
        <w:t>] Prsformusic.com. Available at: https://www.prsformusic.com/m-magazine/news/attitude-is-everything-live-events-access-charter-launch [Accessed 2 May 2025].</w:t>
      </w:r>
    </w:p>
    <w:p w:rsidR="001202ED" w:rsidRDefault="001202ED" w:rsidP="001202ED">
      <w:pPr>
        <w:pStyle w:val="NormalWeb"/>
        <w:spacing w:before="0" w:beforeAutospacing="0" w:after="240" w:afterAutospacing="0" w:line="360" w:lineRule="auto"/>
      </w:pPr>
      <w:r>
        <w:t xml:space="preserve">Nikolaos Theocharis, Lagos, D., Dimitris </w:t>
      </w:r>
      <w:proofErr w:type="spellStart"/>
      <w:r>
        <w:t>Tseles</w:t>
      </w:r>
      <w:proofErr w:type="spellEnd"/>
      <w:r>
        <w:t xml:space="preserve"> and </w:t>
      </w:r>
      <w:proofErr w:type="spellStart"/>
      <w:r>
        <w:t>Nikoletta</w:t>
      </w:r>
      <w:proofErr w:type="spellEnd"/>
      <w:r>
        <w:t xml:space="preserve"> </w:t>
      </w:r>
      <w:proofErr w:type="spellStart"/>
      <w:r>
        <w:t>Klada</w:t>
      </w:r>
      <w:proofErr w:type="spellEnd"/>
      <w:r>
        <w:t xml:space="preserve"> (2017). Hospitality Industry and Innovative technology for People with disabilities: the case of the island of Rhodes, Greece. </w:t>
      </w:r>
      <w:r>
        <w:rPr>
          <w:i/>
          <w:iCs/>
        </w:rPr>
        <w:t>International Scientific Conference (NETTIES 2017), ‘Aristotelian Thinking Impact’, Piraeus University of Applied Sciences.</w:t>
      </w:r>
      <w:r>
        <w:t xml:space="preserve"> [</w:t>
      </w:r>
      <w:proofErr w:type="gramStart"/>
      <w:r>
        <w:t>online</w:t>
      </w:r>
      <w:proofErr w:type="gramEnd"/>
      <w:r>
        <w:t>] Available at: https://www.researchgate.net/publication/344464847_Hospitality_Industry_and_Innovative_technology_for_People_with_disabilities_the_case_of_the_island_of_Rhodes_Greece.</w:t>
      </w:r>
    </w:p>
    <w:p w:rsidR="001202ED" w:rsidRDefault="001202ED" w:rsidP="001202ED">
      <w:pPr>
        <w:pStyle w:val="NormalWeb"/>
        <w:spacing w:before="0" w:beforeAutospacing="0" w:after="240" w:afterAutospacing="0" w:line="360" w:lineRule="auto"/>
      </w:pPr>
      <w:r>
        <w:t xml:space="preserve">PIZAM, A. and SHANI, A. (2009). The Nature of the Hospitality Industry: Present and Future Managers’ Perspectives. </w:t>
      </w:r>
      <w:r>
        <w:rPr>
          <w:i/>
          <w:iCs/>
        </w:rPr>
        <w:t>Anatolia</w:t>
      </w:r>
      <w:r>
        <w:t xml:space="preserve">, 20(1), pp.134–150. </w:t>
      </w:r>
      <w:proofErr w:type="spellStart"/>
      <w:r>
        <w:t>doi:https</w:t>
      </w:r>
      <w:proofErr w:type="spellEnd"/>
      <w:r>
        <w:t>://doi.org/10.1080/13032917.2009.10518900.</w:t>
      </w:r>
    </w:p>
    <w:p w:rsidR="001202ED" w:rsidRDefault="001202ED" w:rsidP="001202ED">
      <w:pPr>
        <w:pStyle w:val="NormalWeb"/>
        <w:spacing w:before="0" w:beforeAutospacing="0" w:after="240" w:afterAutospacing="0" w:line="360" w:lineRule="auto"/>
      </w:pPr>
      <w:r>
        <w:t xml:space="preserve">Research Institute for Disabled Consumers (2024). </w:t>
      </w:r>
      <w:proofErr w:type="spellStart"/>
      <w:r>
        <w:rPr>
          <w:i/>
          <w:iCs/>
        </w:rPr>
        <w:t>RiDC</w:t>
      </w:r>
      <w:proofErr w:type="spellEnd"/>
      <w:r>
        <w:rPr>
          <w:i/>
          <w:iCs/>
        </w:rPr>
        <w:t xml:space="preserve"> research for </w:t>
      </w:r>
      <w:proofErr w:type="gramStart"/>
      <w:r>
        <w:rPr>
          <w:i/>
          <w:iCs/>
        </w:rPr>
        <w:t>Which</w:t>
      </w:r>
      <w:proofErr w:type="gramEnd"/>
      <w:r>
        <w:rPr>
          <w:i/>
          <w:iCs/>
        </w:rPr>
        <w:t xml:space="preserve">? </w:t>
      </w:r>
      <w:proofErr w:type="gramStart"/>
      <w:r>
        <w:rPr>
          <w:i/>
          <w:iCs/>
        </w:rPr>
        <w:t>finds</w:t>
      </w:r>
      <w:proofErr w:type="gramEnd"/>
      <w:r>
        <w:rPr>
          <w:i/>
          <w:iCs/>
        </w:rPr>
        <w:t xml:space="preserve"> half of disabled consumers face access issues at live events | </w:t>
      </w:r>
      <w:proofErr w:type="spellStart"/>
      <w:r>
        <w:rPr>
          <w:i/>
          <w:iCs/>
        </w:rPr>
        <w:t>RiDC</w:t>
      </w:r>
      <w:proofErr w:type="spellEnd"/>
      <w:r>
        <w:t>. [</w:t>
      </w:r>
      <w:proofErr w:type="gramStart"/>
      <w:r>
        <w:t>online</w:t>
      </w:r>
      <w:proofErr w:type="gramEnd"/>
      <w:r>
        <w:t xml:space="preserve">] Ridc.org.uk. Available </w:t>
      </w:r>
      <w:r>
        <w:lastRenderedPageBreak/>
        <w:t>at: https://www.ridc.org.uk/news/ridc-research-which-finds-half-disabled-consumers-face-access-issues-live-events.</w:t>
      </w:r>
    </w:p>
    <w:p w:rsidR="001202ED" w:rsidRDefault="001202ED" w:rsidP="001202ED">
      <w:pPr>
        <w:pStyle w:val="NormalWeb"/>
        <w:spacing w:before="0" w:beforeAutospacing="0" w:after="240" w:afterAutospacing="0" w:line="360" w:lineRule="auto"/>
      </w:pPr>
      <w:r>
        <w:t xml:space="preserve">Rubio-Escuderos, L., </w:t>
      </w:r>
      <w:proofErr w:type="spellStart"/>
      <w:r>
        <w:t>García</w:t>
      </w:r>
      <w:proofErr w:type="spellEnd"/>
      <w:r>
        <w:t xml:space="preserve">-Andreu, H., </w:t>
      </w:r>
      <w:proofErr w:type="spellStart"/>
      <w:r>
        <w:t>Michopoulou</w:t>
      </w:r>
      <w:proofErr w:type="spellEnd"/>
      <w:r>
        <w:t xml:space="preserve">, E. and Buhalis, D. (2021). Perspectives on experiences of tourists with disabilities: implications for their daily lives and for the tourist industry. </w:t>
      </w:r>
      <w:r>
        <w:rPr>
          <w:i/>
          <w:iCs/>
        </w:rPr>
        <w:t>Tourism Recreation Research</w:t>
      </w:r>
      <w:r>
        <w:t xml:space="preserve">, pp.1–15. </w:t>
      </w:r>
      <w:proofErr w:type="spellStart"/>
      <w:r>
        <w:t>doi:https</w:t>
      </w:r>
      <w:proofErr w:type="spellEnd"/>
      <w:r>
        <w:t>://doi.org/10.1080/02508281.2021.1981071.</w:t>
      </w:r>
    </w:p>
    <w:p w:rsidR="001202ED" w:rsidRDefault="001202ED" w:rsidP="001202ED">
      <w:pPr>
        <w:pStyle w:val="NormalWeb"/>
        <w:spacing w:before="0" w:beforeAutospacing="0" w:after="240" w:afterAutospacing="0" w:line="360" w:lineRule="auto"/>
      </w:pPr>
      <w:r>
        <w:t xml:space="preserve">Shakespeare, T. (2006). </w:t>
      </w:r>
      <w:r>
        <w:rPr>
          <w:i/>
          <w:iCs/>
        </w:rPr>
        <w:t>Disability rights and wrongs</w:t>
      </w:r>
      <w:r>
        <w:t>. London: Routledge, New York.</w:t>
      </w:r>
    </w:p>
    <w:p w:rsidR="001202ED" w:rsidRDefault="001202ED" w:rsidP="001202ED">
      <w:pPr>
        <w:pStyle w:val="NormalWeb"/>
        <w:spacing w:before="0" w:beforeAutospacing="0" w:after="240" w:afterAutospacing="0" w:line="360" w:lineRule="auto"/>
      </w:pPr>
      <w:r>
        <w:t xml:space="preserve">Vorecol (2022). </w:t>
      </w:r>
      <w:r>
        <w:rPr>
          <w:i/>
          <w:iCs/>
        </w:rPr>
        <w:t>What Are the Key Barriers to Accessing Public Spaces for Individuals with disabilities?</w:t>
      </w:r>
      <w:r>
        <w:t xml:space="preserve"> [</w:t>
      </w:r>
      <w:proofErr w:type="gramStart"/>
      <w:r>
        <w:t>online</w:t>
      </w:r>
      <w:proofErr w:type="gramEnd"/>
      <w:r>
        <w:t>] Vorecol.com. Available at: https://vorecol.com/blogs/blog-what-are-the-key-barriers-to-accessing-public-spaces-for-individuals-with-disabilities-138939?utm_source=chatgpt.com [Accessed 2 May 2025].</w:t>
      </w:r>
    </w:p>
    <w:p w:rsidR="001202ED" w:rsidRDefault="001202ED" w:rsidP="001202ED">
      <w:pPr>
        <w:pStyle w:val="NormalWeb"/>
        <w:spacing w:before="0" w:beforeAutospacing="0" w:after="240" w:afterAutospacing="0" w:line="360" w:lineRule="auto"/>
      </w:pPr>
      <w:r>
        <w:t xml:space="preserve">Waqanimaravu, M. and Arasanmi, C. (2020). (PDF) Employee training and service quality in the hospitality industry. </w:t>
      </w:r>
      <w:proofErr w:type="spellStart"/>
      <w:r>
        <w:rPr>
          <w:i/>
          <w:iCs/>
        </w:rPr>
        <w:t>ResearchGate</w:t>
      </w:r>
      <w:proofErr w:type="spellEnd"/>
      <w:r>
        <w:t>, [online] 23. Available at: https://www.researchgate.net/publication/339134856_Employee_training_and_service_quality_in_the_hospitality_industry.</w:t>
      </w:r>
    </w:p>
    <w:p w:rsidR="001202ED" w:rsidRDefault="001202ED" w:rsidP="001202ED">
      <w:pPr>
        <w:pStyle w:val="NormalWeb"/>
        <w:spacing w:before="0" w:beforeAutospacing="0" w:after="240" w:afterAutospacing="0" w:line="360" w:lineRule="auto"/>
      </w:pPr>
      <w:r>
        <w:t xml:space="preserve">World Health Organisation (2022). </w:t>
      </w:r>
      <w:r>
        <w:rPr>
          <w:i/>
          <w:iCs/>
        </w:rPr>
        <w:t>Global report on health equity for persons with disabilities</w:t>
      </w:r>
      <w:r>
        <w:t>.</w:t>
      </w:r>
    </w:p>
    <w:p w:rsidR="001202ED" w:rsidRDefault="001202ED" w:rsidP="001202ED">
      <w:pPr>
        <w:pStyle w:val="NormalWeb"/>
        <w:spacing w:before="0" w:beforeAutospacing="0" w:after="240" w:afterAutospacing="0" w:line="360" w:lineRule="auto"/>
      </w:pPr>
      <w:proofErr w:type="spellStart"/>
      <w:r>
        <w:t>Zeithaml</w:t>
      </w:r>
      <w:proofErr w:type="spellEnd"/>
      <w:r>
        <w:t xml:space="preserve">, V.A., </w:t>
      </w:r>
      <w:proofErr w:type="spellStart"/>
      <w:r>
        <w:t>Parasuraman</w:t>
      </w:r>
      <w:proofErr w:type="spellEnd"/>
      <w:r>
        <w:t xml:space="preserve">, A.P. and Berry, L.L. (1988). </w:t>
      </w:r>
      <w:r>
        <w:rPr>
          <w:i/>
          <w:iCs/>
        </w:rPr>
        <w:t>SERVQUAL: A multiple- item scale for measuring consumer perceptions of service quality</w:t>
      </w:r>
      <w:r>
        <w:t>. [</w:t>
      </w:r>
      <w:proofErr w:type="gramStart"/>
      <w:r>
        <w:t>online</w:t>
      </w:r>
      <w:proofErr w:type="gramEnd"/>
      <w:r>
        <w:t xml:space="preserve">] </w:t>
      </w:r>
      <w:proofErr w:type="spellStart"/>
      <w:r>
        <w:t>ResearchGate</w:t>
      </w:r>
      <w:proofErr w:type="spellEnd"/>
      <w:r>
        <w:t>. Available at: https://www.researchgate.net/publication/225083802_SERVQUAL_A_multiple-_Item_Scale_for_measuring_consumer_perceptions_of_service_quality.</w:t>
      </w:r>
    </w:p>
    <w:p w:rsidR="001202ED" w:rsidRPr="001202ED" w:rsidRDefault="001202ED" w:rsidP="00FE5825">
      <w:pPr>
        <w:spacing w:line="360" w:lineRule="auto"/>
        <w:jc w:val="both"/>
        <w:rPr>
          <w:rFonts w:ascii="Arial" w:hAnsi="Arial" w:cs="Arial"/>
          <w:sz w:val="24"/>
          <w:szCs w:val="24"/>
        </w:rPr>
      </w:pPr>
    </w:p>
    <w:p w:rsidR="00225741" w:rsidRPr="00EE12D5" w:rsidRDefault="00225741" w:rsidP="00FE5825">
      <w:pPr>
        <w:spacing w:line="360" w:lineRule="auto"/>
        <w:jc w:val="both"/>
        <w:rPr>
          <w:rFonts w:ascii="Arial" w:hAnsi="Arial" w:cs="Arial"/>
          <w:sz w:val="24"/>
          <w:szCs w:val="24"/>
        </w:rPr>
      </w:pPr>
    </w:p>
    <w:p w:rsidR="00992621" w:rsidRPr="00EE12D5" w:rsidRDefault="00992621" w:rsidP="00992621">
      <w:pPr>
        <w:spacing w:line="360" w:lineRule="auto"/>
        <w:jc w:val="both"/>
        <w:rPr>
          <w:rFonts w:ascii="Arial" w:hAnsi="Arial" w:cs="Arial"/>
          <w:sz w:val="24"/>
          <w:szCs w:val="24"/>
        </w:rPr>
      </w:pPr>
    </w:p>
    <w:p w:rsidR="00591DB8" w:rsidRPr="00EE12D5" w:rsidRDefault="00591DB8" w:rsidP="00CC0AE8">
      <w:pPr>
        <w:spacing w:line="360" w:lineRule="auto"/>
        <w:jc w:val="both"/>
        <w:rPr>
          <w:rFonts w:ascii="Arial" w:hAnsi="Arial" w:cs="Arial"/>
          <w:sz w:val="24"/>
          <w:szCs w:val="24"/>
        </w:rPr>
      </w:pPr>
    </w:p>
    <w:p w:rsidR="00591DB8" w:rsidRPr="00591DB8" w:rsidRDefault="00591DB8" w:rsidP="00CC0AE8">
      <w:pPr>
        <w:spacing w:line="360" w:lineRule="auto"/>
        <w:jc w:val="both"/>
        <w:rPr>
          <w:rFonts w:ascii="Arial" w:hAnsi="Arial" w:cs="Arial"/>
          <w:sz w:val="24"/>
          <w:szCs w:val="24"/>
        </w:rPr>
      </w:pPr>
    </w:p>
    <w:p w:rsidR="00415FA8" w:rsidRPr="00CC0AE8" w:rsidRDefault="00415FA8" w:rsidP="00CC0AE8">
      <w:pPr>
        <w:spacing w:line="360" w:lineRule="auto"/>
        <w:jc w:val="both"/>
        <w:rPr>
          <w:rFonts w:ascii="Arial" w:hAnsi="Arial" w:cs="Arial"/>
          <w:sz w:val="24"/>
          <w:szCs w:val="24"/>
        </w:rPr>
      </w:pPr>
    </w:p>
    <w:sectPr w:rsidR="00415FA8" w:rsidRPr="00CC0A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6487BDF"/>
    <w:multiLevelType w:val="hybridMultilevel"/>
    <w:tmpl w:val="5AF872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C0AE8"/>
    <w:rsid w:val="00025CCC"/>
    <w:rsid w:val="00096B6F"/>
    <w:rsid w:val="000B6377"/>
    <w:rsid w:val="000C070B"/>
    <w:rsid w:val="001202ED"/>
    <w:rsid w:val="001231C9"/>
    <w:rsid w:val="00137655"/>
    <w:rsid w:val="001673EB"/>
    <w:rsid w:val="00172811"/>
    <w:rsid w:val="00225741"/>
    <w:rsid w:val="00266A30"/>
    <w:rsid w:val="002A427B"/>
    <w:rsid w:val="002B43BC"/>
    <w:rsid w:val="00311827"/>
    <w:rsid w:val="003632F4"/>
    <w:rsid w:val="003D3545"/>
    <w:rsid w:val="00415FA8"/>
    <w:rsid w:val="00453119"/>
    <w:rsid w:val="0045390D"/>
    <w:rsid w:val="00545FE2"/>
    <w:rsid w:val="00591DB8"/>
    <w:rsid w:val="00593911"/>
    <w:rsid w:val="00632F64"/>
    <w:rsid w:val="006A4F80"/>
    <w:rsid w:val="006D0A48"/>
    <w:rsid w:val="00731FC6"/>
    <w:rsid w:val="00747E56"/>
    <w:rsid w:val="007B442C"/>
    <w:rsid w:val="008244CC"/>
    <w:rsid w:val="00856363"/>
    <w:rsid w:val="00867319"/>
    <w:rsid w:val="008777F9"/>
    <w:rsid w:val="008911BE"/>
    <w:rsid w:val="009060FD"/>
    <w:rsid w:val="00992621"/>
    <w:rsid w:val="009D0EF4"/>
    <w:rsid w:val="00A15891"/>
    <w:rsid w:val="00A455F4"/>
    <w:rsid w:val="00A81D64"/>
    <w:rsid w:val="00AB3857"/>
    <w:rsid w:val="00B24A6D"/>
    <w:rsid w:val="00B62DA6"/>
    <w:rsid w:val="00B8367F"/>
    <w:rsid w:val="00BC7F12"/>
    <w:rsid w:val="00C67B5C"/>
    <w:rsid w:val="00CC0AE8"/>
    <w:rsid w:val="00CE32BA"/>
    <w:rsid w:val="00D03F0F"/>
    <w:rsid w:val="00D04921"/>
    <w:rsid w:val="00D41CC7"/>
    <w:rsid w:val="00D4315E"/>
    <w:rsid w:val="00D75BAF"/>
    <w:rsid w:val="00DB7122"/>
    <w:rsid w:val="00DC639D"/>
    <w:rsid w:val="00E01620"/>
    <w:rsid w:val="00E03AFC"/>
    <w:rsid w:val="00E220D7"/>
    <w:rsid w:val="00E711EA"/>
    <w:rsid w:val="00ED47DA"/>
    <w:rsid w:val="00EE12D5"/>
    <w:rsid w:val="00F27914"/>
    <w:rsid w:val="00F85380"/>
    <w:rsid w:val="00FA6645"/>
    <w:rsid w:val="00FE58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76F067F-DE57-4BAF-ADE3-CDD97D03FC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3632F4"/>
    <w:rPr>
      <w:b/>
      <w:bCs/>
    </w:rPr>
  </w:style>
  <w:style w:type="paragraph" w:styleId="ListParagraph">
    <w:name w:val="List Paragraph"/>
    <w:basedOn w:val="Normal"/>
    <w:uiPriority w:val="34"/>
    <w:qFormat/>
    <w:rsid w:val="00992621"/>
    <w:pPr>
      <w:ind w:left="720"/>
      <w:contextualSpacing/>
    </w:pPr>
  </w:style>
  <w:style w:type="character" w:styleId="Emphasis">
    <w:name w:val="Emphasis"/>
    <w:basedOn w:val="DefaultParagraphFont"/>
    <w:uiPriority w:val="20"/>
    <w:qFormat/>
    <w:rsid w:val="00EE12D5"/>
    <w:rPr>
      <w:i/>
      <w:iCs/>
    </w:rPr>
  </w:style>
  <w:style w:type="paragraph" w:styleId="NormalWeb">
    <w:name w:val="Normal (Web)"/>
    <w:basedOn w:val="Normal"/>
    <w:uiPriority w:val="99"/>
    <w:semiHidden/>
    <w:unhideWhenUsed/>
    <w:rsid w:val="001202E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2819724">
      <w:bodyDiv w:val="1"/>
      <w:marLeft w:val="0"/>
      <w:marRight w:val="0"/>
      <w:marTop w:val="0"/>
      <w:marBottom w:val="0"/>
      <w:divBdr>
        <w:top w:val="none" w:sz="0" w:space="0" w:color="auto"/>
        <w:left w:val="none" w:sz="0" w:space="0" w:color="auto"/>
        <w:bottom w:val="none" w:sz="0" w:space="0" w:color="auto"/>
        <w:right w:val="none" w:sz="0" w:space="0" w:color="auto"/>
      </w:divBdr>
      <w:divsChild>
        <w:div w:id="1460369796">
          <w:blockQuote w:val="1"/>
          <w:marLeft w:val="720"/>
          <w:marRight w:val="720"/>
          <w:marTop w:val="100"/>
          <w:marBottom w:val="100"/>
          <w:divBdr>
            <w:top w:val="none" w:sz="0" w:space="0" w:color="auto"/>
            <w:left w:val="none" w:sz="0" w:space="0" w:color="auto"/>
            <w:bottom w:val="none" w:sz="0" w:space="0" w:color="auto"/>
            <w:right w:val="none" w:sz="0" w:space="0" w:color="auto"/>
          </w:divBdr>
        </w:div>
        <w:div w:id="175643758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45252942">
      <w:bodyDiv w:val="1"/>
      <w:marLeft w:val="0"/>
      <w:marRight w:val="0"/>
      <w:marTop w:val="0"/>
      <w:marBottom w:val="0"/>
      <w:divBdr>
        <w:top w:val="none" w:sz="0" w:space="0" w:color="auto"/>
        <w:left w:val="none" w:sz="0" w:space="0" w:color="auto"/>
        <w:bottom w:val="none" w:sz="0" w:space="0" w:color="auto"/>
        <w:right w:val="none" w:sz="0" w:space="0" w:color="auto"/>
      </w:divBdr>
      <w:divsChild>
        <w:div w:id="1119304281">
          <w:marLeft w:val="0"/>
          <w:marRight w:val="0"/>
          <w:marTop w:val="0"/>
          <w:marBottom w:val="0"/>
          <w:divBdr>
            <w:top w:val="none" w:sz="0" w:space="0" w:color="auto"/>
            <w:left w:val="none" w:sz="0" w:space="0" w:color="auto"/>
            <w:bottom w:val="none" w:sz="0" w:space="0" w:color="auto"/>
            <w:right w:val="none" w:sz="0" w:space="0" w:color="auto"/>
          </w:divBdr>
        </w:div>
      </w:divsChild>
    </w:div>
    <w:div w:id="490298705">
      <w:bodyDiv w:val="1"/>
      <w:marLeft w:val="0"/>
      <w:marRight w:val="0"/>
      <w:marTop w:val="0"/>
      <w:marBottom w:val="0"/>
      <w:divBdr>
        <w:top w:val="none" w:sz="0" w:space="0" w:color="auto"/>
        <w:left w:val="none" w:sz="0" w:space="0" w:color="auto"/>
        <w:bottom w:val="none" w:sz="0" w:space="0" w:color="auto"/>
        <w:right w:val="none" w:sz="0" w:space="0" w:color="auto"/>
      </w:divBdr>
    </w:div>
    <w:div w:id="1219823473">
      <w:bodyDiv w:val="1"/>
      <w:marLeft w:val="0"/>
      <w:marRight w:val="0"/>
      <w:marTop w:val="0"/>
      <w:marBottom w:val="0"/>
      <w:divBdr>
        <w:top w:val="none" w:sz="0" w:space="0" w:color="auto"/>
        <w:left w:val="none" w:sz="0" w:space="0" w:color="auto"/>
        <w:bottom w:val="none" w:sz="0" w:space="0" w:color="auto"/>
        <w:right w:val="none" w:sz="0" w:space="0" w:color="auto"/>
      </w:divBdr>
    </w:div>
    <w:div w:id="1842546917">
      <w:bodyDiv w:val="1"/>
      <w:marLeft w:val="0"/>
      <w:marRight w:val="0"/>
      <w:marTop w:val="0"/>
      <w:marBottom w:val="0"/>
      <w:divBdr>
        <w:top w:val="none" w:sz="0" w:space="0" w:color="auto"/>
        <w:left w:val="none" w:sz="0" w:space="0" w:color="auto"/>
        <w:bottom w:val="none" w:sz="0" w:space="0" w:color="auto"/>
        <w:right w:val="none" w:sz="0" w:space="0" w:color="auto"/>
      </w:divBdr>
      <w:divsChild>
        <w:div w:id="1007755713">
          <w:marLeft w:val="0"/>
          <w:marRight w:val="0"/>
          <w:marTop w:val="0"/>
          <w:marBottom w:val="0"/>
          <w:divBdr>
            <w:top w:val="none" w:sz="0" w:space="0" w:color="auto"/>
            <w:left w:val="none" w:sz="0" w:space="0" w:color="auto"/>
            <w:bottom w:val="none" w:sz="0" w:space="0" w:color="auto"/>
            <w:right w:val="none" w:sz="0" w:space="0" w:color="auto"/>
          </w:divBdr>
          <w:divsChild>
            <w:div w:id="222448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4775</TotalTime>
  <Pages>1</Pages>
  <Words>5523</Words>
  <Characters>31482</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4</cp:revision>
  <dcterms:created xsi:type="dcterms:W3CDTF">2025-04-29T08:10:00Z</dcterms:created>
  <dcterms:modified xsi:type="dcterms:W3CDTF">2025-05-03T07:57:00Z</dcterms:modified>
</cp:coreProperties>
</file>