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15703F" w14:textId="77777777" w:rsidR="00BF55BA" w:rsidRDefault="00BF55BA">
      <w:r>
        <w:rPr>
          <w:noProof/>
        </w:rPr>
        <w:drawing>
          <wp:anchor distT="0" distB="0" distL="114300" distR="114300" simplePos="0" relativeHeight="251658240" behindDoc="1" locked="0" layoutInCell="1" allowOverlap="1" wp14:anchorId="611570EA" wp14:editId="611570EB">
            <wp:simplePos x="0" y="0"/>
            <wp:positionH relativeFrom="column">
              <wp:posOffset>-662940</wp:posOffset>
            </wp:positionH>
            <wp:positionV relativeFrom="paragraph">
              <wp:posOffset>-701040</wp:posOffset>
            </wp:positionV>
            <wp:extent cx="1958340" cy="1087755"/>
            <wp:effectExtent l="0" t="0" r="3810" b="0"/>
            <wp:wrapThrough wrapText="bothSides">
              <wp:wrapPolygon edited="0">
                <wp:start x="0" y="0"/>
                <wp:lineTo x="0" y="21184"/>
                <wp:lineTo x="21432" y="21184"/>
                <wp:lineTo x="21432"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versity-of-wales-trinity-saint-david-logo-vector.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58340" cy="1087755"/>
                    </a:xfrm>
                    <a:prstGeom prst="rect">
                      <a:avLst/>
                    </a:prstGeom>
                  </pic:spPr>
                </pic:pic>
              </a:graphicData>
            </a:graphic>
            <wp14:sizeRelH relativeFrom="page">
              <wp14:pctWidth>0</wp14:pctWidth>
            </wp14:sizeRelH>
            <wp14:sizeRelV relativeFrom="page">
              <wp14:pctHeight>0</wp14:pctHeight>
            </wp14:sizeRelV>
          </wp:anchor>
        </w:drawing>
      </w:r>
    </w:p>
    <w:p w14:paraId="61157040" w14:textId="77777777" w:rsidR="00BF55BA" w:rsidRPr="00BF55BA" w:rsidRDefault="00BF55BA" w:rsidP="00BF55BA"/>
    <w:p w14:paraId="61157041" w14:textId="77777777" w:rsidR="00BF55BA" w:rsidRPr="00BF55BA" w:rsidRDefault="00BF55BA" w:rsidP="00BF55BA"/>
    <w:p w14:paraId="61157042" w14:textId="77777777" w:rsidR="00BF55BA" w:rsidRPr="00BF55BA" w:rsidRDefault="00BF55BA" w:rsidP="00BF55BA"/>
    <w:p w14:paraId="61157043" w14:textId="77777777" w:rsidR="00BF55BA" w:rsidRDefault="00BF55BA" w:rsidP="00BF55BA"/>
    <w:p w14:paraId="61157044" w14:textId="77777777" w:rsidR="003C6E53" w:rsidRPr="00BF55BA" w:rsidRDefault="00BF55BA" w:rsidP="00BF55BA">
      <w:pPr>
        <w:tabs>
          <w:tab w:val="left" w:pos="3876"/>
        </w:tabs>
        <w:jc w:val="center"/>
        <w:rPr>
          <w:rFonts w:cs="Times New Roman"/>
        </w:rPr>
      </w:pPr>
      <w:r w:rsidRPr="00BF55BA">
        <w:rPr>
          <w:rFonts w:cs="Times New Roman"/>
        </w:rPr>
        <w:t>Module Name: International Meetings Management for the Hotel Industry</w:t>
      </w:r>
    </w:p>
    <w:p w14:paraId="61157045" w14:textId="77777777" w:rsidR="00BF55BA" w:rsidRDefault="00BF55BA" w:rsidP="00BF55BA">
      <w:pPr>
        <w:tabs>
          <w:tab w:val="left" w:pos="3876"/>
        </w:tabs>
        <w:jc w:val="center"/>
        <w:rPr>
          <w:rFonts w:cs="Times New Roman"/>
        </w:rPr>
      </w:pPr>
      <w:r w:rsidRPr="00BF55BA">
        <w:rPr>
          <w:rFonts w:cs="Times New Roman"/>
        </w:rPr>
        <w:t>Module Code: BMIH6007</w:t>
      </w:r>
    </w:p>
    <w:p w14:paraId="61157046" w14:textId="77777777" w:rsidR="00BF55BA" w:rsidRDefault="00BF55BA" w:rsidP="00BF55BA">
      <w:pPr>
        <w:tabs>
          <w:tab w:val="left" w:pos="3876"/>
        </w:tabs>
        <w:jc w:val="center"/>
        <w:rPr>
          <w:rFonts w:cs="Times New Roman"/>
        </w:rPr>
      </w:pPr>
      <w:r>
        <w:rPr>
          <w:rFonts w:cs="Times New Roman"/>
        </w:rPr>
        <w:t xml:space="preserve">Assignment Title: </w:t>
      </w:r>
      <w:r w:rsidR="00B271B7">
        <w:rPr>
          <w:rFonts w:cs="Times New Roman"/>
        </w:rPr>
        <w:t xml:space="preserve">Assignment 2: Event Strategic </w:t>
      </w:r>
      <w:r w:rsidRPr="00BF55BA">
        <w:rPr>
          <w:rFonts w:cs="Times New Roman"/>
        </w:rPr>
        <w:t>Planning and Delivery Considerations for an International Meeting</w:t>
      </w:r>
    </w:p>
    <w:p w14:paraId="61157047" w14:textId="77777777" w:rsidR="00B271B7" w:rsidRDefault="00B271B7" w:rsidP="00BF55BA">
      <w:pPr>
        <w:tabs>
          <w:tab w:val="left" w:pos="3876"/>
        </w:tabs>
        <w:jc w:val="center"/>
        <w:rPr>
          <w:rFonts w:cs="Times New Roman"/>
        </w:rPr>
      </w:pPr>
    </w:p>
    <w:p w14:paraId="61157048" w14:textId="77777777" w:rsidR="00B271B7" w:rsidRDefault="00B271B7" w:rsidP="00BF55BA">
      <w:pPr>
        <w:tabs>
          <w:tab w:val="left" w:pos="3876"/>
        </w:tabs>
        <w:jc w:val="center"/>
        <w:rPr>
          <w:rFonts w:cs="Times New Roman"/>
        </w:rPr>
      </w:pPr>
    </w:p>
    <w:p w14:paraId="61157049" w14:textId="77777777" w:rsidR="00B271B7" w:rsidRDefault="00B271B7" w:rsidP="00BF55BA">
      <w:pPr>
        <w:tabs>
          <w:tab w:val="left" w:pos="3876"/>
        </w:tabs>
        <w:jc w:val="center"/>
        <w:rPr>
          <w:rFonts w:cs="Times New Roman"/>
        </w:rPr>
      </w:pPr>
    </w:p>
    <w:p w14:paraId="6115704A" w14:textId="77777777" w:rsidR="00B271B7" w:rsidRDefault="00B271B7" w:rsidP="00BF55BA">
      <w:pPr>
        <w:tabs>
          <w:tab w:val="left" w:pos="3876"/>
        </w:tabs>
        <w:jc w:val="center"/>
        <w:rPr>
          <w:rFonts w:cs="Times New Roman"/>
        </w:rPr>
      </w:pPr>
    </w:p>
    <w:p w14:paraId="6115704B" w14:textId="579FECFA" w:rsidR="00B271B7" w:rsidRDefault="00B271B7" w:rsidP="00BF55BA">
      <w:pPr>
        <w:tabs>
          <w:tab w:val="left" w:pos="3876"/>
        </w:tabs>
        <w:jc w:val="center"/>
        <w:rPr>
          <w:rFonts w:cs="Times New Roman"/>
        </w:rPr>
      </w:pPr>
      <w:r>
        <w:rPr>
          <w:rFonts w:cs="Times New Roman"/>
        </w:rPr>
        <w:t>Student Name:</w:t>
      </w:r>
      <w:r w:rsidR="00466924">
        <w:rPr>
          <w:rFonts w:cs="Times New Roman"/>
        </w:rPr>
        <w:t xml:space="preserve"> Gheorghe Plescan</w:t>
      </w:r>
    </w:p>
    <w:p w14:paraId="6115704C" w14:textId="75B72460" w:rsidR="00B271B7" w:rsidRDefault="00B271B7" w:rsidP="00BF55BA">
      <w:pPr>
        <w:tabs>
          <w:tab w:val="left" w:pos="3876"/>
        </w:tabs>
        <w:jc w:val="center"/>
        <w:rPr>
          <w:rFonts w:cs="Times New Roman"/>
        </w:rPr>
      </w:pPr>
      <w:r>
        <w:rPr>
          <w:rFonts w:cs="Times New Roman"/>
        </w:rPr>
        <w:t xml:space="preserve">Student ID: </w:t>
      </w:r>
      <w:r w:rsidR="00914E26">
        <w:rPr>
          <w:rFonts w:cs="Times New Roman"/>
        </w:rPr>
        <w:t>2234901</w:t>
      </w:r>
    </w:p>
    <w:p w14:paraId="6115704D" w14:textId="77777777" w:rsidR="00B271B7" w:rsidRDefault="00B271B7">
      <w:pPr>
        <w:jc w:val="left"/>
        <w:rPr>
          <w:rFonts w:cs="Times New Roman"/>
        </w:rPr>
      </w:pPr>
      <w:r>
        <w:rPr>
          <w:rFonts w:cs="Times New Roman"/>
        </w:rPr>
        <w:br w:type="page"/>
      </w:r>
    </w:p>
    <w:sdt>
      <w:sdtPr>
        <w:rPr>
          <w:rFonts w:ascii="Times New Roman" w:eastAsiaTheme="minorHAnsi" w:hAnsi="Times New Roman" w:cstheme="minorBidi"/>
          <w:b w:val="0"/>
          <w:bCs w:val="0"/>
          <w:color w:val="auto"/>
          <w:sz w:val="24"/>
          <w:szCs w:val="22"/>
          <w:lang w:eastAsia="en-US"/>
        </w:rPr>
        <w:id w:val="1718394012"/>
        <w:docPartObj>
          <w:docPartGallery w:val="Table of Contents"/>
          <w:docPartUnique/>
        </w:docPartObj>
      </w:sdtPr>
      <w:sdtEndPr>
        <w:rPr>
          <w:noProof/>
        </w:rPr>
      </w:sdtEndPr>
      <w:sdtContent>
        <w:p w14:paraId="6115704E" w14:textId="77777777" w:rsidR="00DD2120" w:rsidRDefault="00DD2120">
          <w:pPr>
            <w:pStyle w:val="TOCHeading"/>
          </w:pPr>
          <w:r>
            <w:t>Table of Contents</w:t>
          </w:r>
        </w:p>
        <w:p w14:paraId="6115704F" w14:textId="77777777" w:rsidR="00DD2120" w:rsidRDefault="00DD2120">
          <w:pPr>
            <w:pStyle w:val="TOC1"/>
            <w:tabs>
              <w:tab w:val="right" w:leader="dot" w:pos="9350"/>
            </w:tabs>
            <w:rPr>
              <w:noProof/>
            </w:rPr>
          </w:pPr>
          <w:r>
            <w:fldChar w:fldCharType="begin"/>
          </w:r>
          <w:r>
            <w:instrText xml:space="preserve"> TOC \o "1-3" \h \z \u </w:instrText>
          </w:r>
          <w:r>
            <w:fldChar w:fldCharType="separate"/>
          </w:r>
          <w:hyperlink w:anchor="_Toc189344092" w:history="1">
            <w:r w:rsidRPr="0084217E">
              <w:rPr>
                <w:rStyle w:val="Hyperlink"/>
                <w:noProof/>
              </w:rPr>
              <w:t>Introduction</w:t>
            </w:r>
            <w:r>
              <w:rPr>
                <w:noProof/>
                <w:webHidden/>
              </w:rPr>
              <w:tab/>
            </w:r>
            <w:r>
              <w:rPr>
                <w:noProof/>
                <w:webHidden/>
              </w:rPr>
              <w:fldChar w:fldCharType="begin"/>
            </w:r>
            <w:r>
              <w:rPr>
                <w:noProof/>
                <w:webHidden/>
              </w:rPr>
              <w:instrText xml:space="preserve"> PAGEREF _Toc189344092 \h </w:instrText>
            </w:r>
            <w:r>
              <w:rPr>
                <w:noProof/>
                <w:webHidden/>
              </w:rPr>
            </w:r>
            <w:r>
              <w:rPr>
                <w:noProof/>
                <w:webHidden/>
              </w:rPr>
              <w:fldChar w:fldCharType="separate"/>
            </w:r>
            <w:r>
              <w:rPr>
                <w:noProof/>
                <w:webHidden/>
              </w:rPr>
              <w:t>3</w:t>
            </w:r>
            <w:r>
              <w:rPr>
                <w:noProof/>
                <w:webHidden/>
              </w:rPr>
              <w:fldChar w:fldCharType="end"/>
            </w:r>
          </w:hyperlink>
        </w:p>
        <w:p w14:paraId="61157050" w14:textId="77777777" w:rsidR="00DD2120" w:rsidRDefault="00DD2120">
          <w:pPr>
            <w:pStyle w:val="TOC1"/>
            <w:tabs>
              <w:tab w:val="right" w:leader="dot" w:pos="9350"/>
            </w:tabs>
            <w:rPr>
              <w:noProof/>
            </w:rPr>
          </w:pPr>
          <w:hyperlink w:anchor="_Toc189344093" w:history="1">
            <w:r w:rsidRPr="0084217E">
              <w:rPr>
                <w:rStyle w:val="Hyperlink"/>
                <w:noProof/>
              </w:rPr>
              <w:t>The Event Cycle</w:t>
            </w:r>
            <w:r>
              <w:rPr>
                <w:noProof/>
                <w:webHidden/>
              </w:rPr>
              <w:tab/>
            </w:r>
            <w:r>
              <w:rPr>
                <w:noProof/>
                <w:webHidden/>
              </w:rPr>
              <w:fldChar w:fldCharType="begin"/>
            </w:r>
            <w:r>
              <w:rPr>
                <w:noProof/>
                <w:webHidden/>
              </w:rPr>
              <w:instrText xml:space="preserve"> PAGEREF _Toc189344093 \h </w:instrText>
            </w:r>
            <w:r>
              <w:rPr>
                <w:noProof/>
                <w:webHidden/>
              </w:rPr>
            </w:r>
            <w:r>
              <w:rPr>
                <w:noProof/>
                <w:webHidden/>
              </w:rPr>
              <w:fldChar w:fldCharType="separate"/>
            </w:r>
            <w:r>
              <w:rPr>
                <w:noProof/>
                <w:webHidden/>
              </w:rPr>
              <w:t>3</w:t>
            </w:r>
            <w:r>
              <w:rPr>
                <w:noProof/>
                <w:webHidden/>
              </w:rPr>
              <w:fldChar w:fldCharType="end"/>
            </w:r>
          </w:hyperlink>
        </w:p>
        <w:p w14:paraId="61157051" w14:textId="77777777" w:rsidR="00DD2120" w:rsidRDefault="00DD2120">
          <w:pPr>
            <w:pStyle w:val="TOC2"/>
            <w:tabs>
              <w:tab w:val="right" w:leader="dot" w:pos="9350"/>
            </w:tabs>
            <w:rPr>
              <w:noProof/>
            </w:rPr>
          </w:pPr>
          <w:hyperlink w:anchor="_Toc189344094" w:history="1">
            <w:r w:rsidRPr="0084217E">
              <w:rPr>
                <w:rStyle w:val="Hyperlink"/>
                <w:noProof/>
              </w:rPr>
              <w:t>Application to the Chosen Event</w:t>
            </w:r>
            <w:r>
              <w:rPr>
                <w:noProof/>
                <w:webHidden/>
              </w:rPr>
              <w:tab/>
            </w:r>
            <w:r>
              <w:rPr>
                <w:noProof/>
                <w:webHidden/>
              </w:rPr>
              <w:fldChar w:fldCharType="begin"/>
            </w:r>
            <w:r>
              <w:rPr>
                <w:noProof/>
                <w:webHidden/>
              </w:rPr>
              <w:instrText xml:space="preserve"> PAGEREF _Toc189344094 \h </w:instrText>
            </w:r>
            <w:r>
              <w:rPr>
                <w:noProof/>
                <w:webHidden/>
              </w:rPr>
            </w:r>
            <w:r>
              <w:rPr>
                <w:noProof/>
                <w:webHidden/>
              </w:rPr>
              <w:fldChar w:fldCharType="separate"/>
            </w:r>
            <w:r>
              <w:rPr>
                <w:noProof/>
                <w:webHidden/>
              </w:rPr>
              <w:t>3</w:t>
            </w:r>
            <w:r>
              <w:rPr>
                <w:noProof/>
                <w:webHidden/>
              </w:rPr>
              <w:fldChar w:fldCharType="end"/>
            </w:r>
          </w:hyperlink>
        </w:p>
        <w:p w14:paraId="61157052" w14:textId="77777777" w:rsidR="00DD2120" w:rsidRDefault="00DD2120">
          <w:pPr>
            <w:pStyle w:val="TOC1"/>
            <w:tabs>
              <w:tab w:val="right" w:leader="dot" w:pos="9350"/>
            </w:tabs>
            <w:rPr>
              <w:noProof/>
            </w:rPr>
          </w:pPr>
          <w:hyperlink w:anchor="_Toc189344095" w:history="1">
            <w:r w:rsidRPr="0084217E">
              <w:rPr>
                <w:rStyle w:val="Hyperlink"/>
                <w:noProof/>
              </w:rPr>
              <w:t>Event Concept &amp; Itinerary</w:t>
            </w:r>
            <w:r>
              <w:rPr>
                <w:noProof/>
                <w:webHidden/>
              </w:rPr>
              <w:tab/>
            </w:r>
            <w:r>
              <w:rPr>
                <w:noProof/>
                <w:webHidden/>
              </w:rPr>
              <w:fldChar w:fldCharType="begin"/>
            </w:r>
            <w:r>
              <w:rPr>
                <w:noProof/>
                <w:webHidden/>
              </w:rPr>
              <w:instrText xml:space="preserve"> PAGEREF _Toc189344095 \h </w:instrText>
            </w:r>
            <w:r>
              <w:rPr>
                <w:noProof/>
                <w:webHidden/>
              </w:rPr>
            </w:r>
            <w:r>
              <w:rPr>
                <w:noProof/>
                <w:webHidden/>
              </w:rPr>
              <w:fldChar w:fldCharType="separate"/>
            </w:r>
            <w:r>
              <w:rPr>
                <w:noProof/>
                <w:webHidden/>
              </w:rPr>
              <w:t>4</w:t>
            </w:r>
            <w:r>
              <w:rPr>
                <w:noProof/>
                <w:webHidden/>
              </w:rPr>
              <w:fldChar w:fldCharType="end"/>
            </w:r>
          </w:hyperlink>
        </w:p>
        <w:p w14:paraId="61157053" w14:textId="77777777" w:rsidR="00DD2120" w:rsidRDefault="00DD2120">
          <w:pPr>
            <w:pStyle w:val="TOC1"/>
            <w:tabs>
              <w:tab w:val="right" w:leader="dot" w:pos="9350"/>
            </w:tabs>
            <w:rPr>
              <w:noProof/>
            </w:rPr>
          </w:pPr>
          <w:hyperlink w:anchor="_Toc189344096" w:history="1">
            <w:r w:rsidRPr="0084217E">
              <w:rPr>
                <w:rStyle w:val="Hyperlink"/>
                <w:noProof/>
              </w:rPr>
              <w:t>Aim and Objectives of the Event</w:t>
            </w:r>
            <w:r>
              <w:rPr>
                <w:noProof/>
                <w:webHidden/>
              </w:rPr>
              <w:tab/>
            </w:r>
            <w:r>
              <w:rPr>
                <w:noProof/>
                <w:webHidden/>
              </w:rPr>
              <w:fldChar w:fldCharType="begin"/>
            </w:r>
            <w:r>
              <w:rPr>
                <w:noProof/>
                <w:webHidden/>
              </w:rPr>
              <w:instrText xml:space="preserve"> PAGEREF _Toc189344096 \h </w:instrText>
            </w:r>
            <w:r>
              <w:rPr>
                <w:noProof/>
                <w:webHidden/>
              </w:rPr>
            </w:r>
            <w:r>
              <w:rPr>
                <w:noProof/>
                <w:webHidden/>
              </w:rPr>
              <w:fldChar w:fldCharType="separate"/>
            </w:r>
            <w:r>
              <w:rPr>
                <w:noProof/>
                <w:webHidden/>
              </w:rPr>
              <w:t>6</w:t>
            </w:r>
            <w:r>
              <w:rPr>
                <w:noProof/>
                <w:webHidden/>
              </w:rPr>
              <w:fldChar w:fldCharType="end"/>
            </w:r>
          </w:hyperlink>
        </w:p>
        <w:p w14:paraId="61157054" w14:textId="77777777" w:rsidR="00DD2120" w:rsidRDefault="00DD2120">
          <w:pPr>
            <w:pStyle w:val="TOC1"/>
            <w:tabs>
              <w:tab w:val="right" w:leader="dot" w:pos="9350"/>
            </w:tabs>
            <w:rPr>
              <w:noProof/>
            </w:rPr>
          </w:pPr>
          <w:hyperlink w:anchor="_Toc189344097" w:history="1">
            <w:r w:rsidRPr="0084217E">
              <w:rPr>
                <w:rStyle w:val="Hyperlink"/>
                <w:noProof/>
              </w:rPr>
              <w:t>Event Management: Planning &amp; Execution</w:t>
            </w:r>
            <w:r>
              <w:rPr>
                <w:noProof/>
                <w:webHidden/>
              </w:rPr>
              <w:tab/>
            </w:r>
            <w:r>
              <w:rPr>
                <w:noProof/>
                <w:webHidden/>
              </w:rPr>
              <w:fldChar w:fldCharType="begin"/>
            </w:r>
            <w:r>
              <w:rPr>
                <w:noProof/>
                <w:webHidden/>
              </w:rPr>
              <w:instrText xml:space="preserve"> PAGEREF _Toc189344097 \h </w:instrText>
            </w:r>
            <w:r>
              <w:rPr>
                <w:noProof/>
                <w:webHidden/>
              </w:rPr>
            </w:r>
            <w:r>
              <w:rPr>
                <w:noProof/>
                <w:webHidden/>
              </w:rPr>
              <w:fldChar w:fldCharType="separate"/>
            </w:r>
            <w:r>
              <w:rPr>
                <w:noProof/>
                <w:webHidden/>
              </w:rPr>
              <w:t>7</w:t>
            </w:r>
            <w:r>
              <w:rPr>
                <w:noProof/>
                <w:webHidden/>
              </w:rPr>
              <w:fldChar w:fldCharType="end"/>
            </w:r>
          </w:hyperlink>
        </w:p>
        <w:p w14:paraId="61157055" w14:textId="77777777" w:rsidR="00DD2120" w:rsidRDefault="00DD2120">
          <w:pPr>
            <w:pStyle w:val="TOC1"/>
            <w:tabs>
              <w:tab w:val="right" w:leader="dot" w:pos="9350"/>
            </w:tabs>
            <w:rPr>
              <w:noProof/>
            </w:rPr>
          </w:pPr>
          <w:hyperlink w:anchor="_Toc189344098" w:history="1">
            <w:r w:rsidRPr="0084217E">
              <w:rPr>
                <w:rStyle w:val="Hyperlink"/>
                <w:rFonts w:eastAsia="Times New Roman"/>
                <w:noProof/>
              </w:rPr>
              <w:t>Event Budget &amp; Financial Analysis</w:t>
            </w:r>
            <w:r>
              <w:rPr>
                <w:noProof/>
                <w:webHidden/>
              </w:rPr>
              <w:tab/>
            </w:r>
            <w:r>
              <w:rPr>
                <w:noProof/>
                <w:webHidden/>
              </w:rPr>
              <w:fldChar w:fldCharType="begin"/>
            </w:r>
            <w:r>
              <w:rPr>
                <w:noProof/>
                <w:webHidden/>
              </w:rPr>
              <w:instrText xml:space="preserve"> PAGEREF _Toc189344098 \h </w:instrText>
            </w:r>
            <w:r>
              <w:rPr>
                <w:noProof/>
                <w:webHidden/>
              </w:rPr>
            </w:r>
            <w:r>
              <w:rPr>
                <w:noProof/>
                <w:webHidden/>
              </w:rPr>
              <w:fldChar w:fldCharType="separate"/>
            </w:r>
            <w:r>
              <w:rPr>
                <w:noProof/>
                <w:webHidden/>
              </w:rPr>
              <w:t>8</w:t>
            </w:r>
            <w:r>
              <w:rPr>
                <w:noProof/>
                <w:webHidden/>
              </w:rPr>
              <w:fldChar w:fldCharType="end"/>
            </w:r>
          </w:hyperlink>
        </w:p>
        <w:p w14:paraId="61157056" w14:textId="77777777" w:rsidR="00DD2120" w:rsidRDefault="00DD2120">
          <w:pPr>
            <w:pStyle w:val="TOC1"/>
            <w:tabs>
              <w:tab w:val="right" w:leader="dot" w:pos="9350"/>
            </w:tabs>
            <w:rPr>
              <w:noProof/>
            </w:rPr>
          </w:pPr>
          <w:hyperlink w:anchor="_Toc189344099" w:history="1">
            <w:r w:rsidRPr="0084217E">
              <w:rPr>
                <w:rStyle w:val="Hyperlink"/>
                <w:noProof/>
              </w:rPr>
              <w:t>Industry Trends, Issues &amp; Impacts</w:t>
            </w:r>
            <w:r>
              <w:rPr>
                <w:noProof/>
                <w:webHidden/>
              </w:rPr>
              <w:tab/>
            </w:r>
            <w:r>
              <w:rPr>
                <w:noProof/>
                <w:webHidden/>
              </w:rPr>
              <w:fldChar w:fldCharType="begin"/>
            </w:r>
            <w:r>
              <w:rPr>
                <w:noProof/>
                <w:webHidden/>
              </w:rPr>
              <w:instrText xml:space="preserve"> PAGEREF _Toc189344099 \h </w:instrText>
            </w:r>
            <w:r>
              <w:rPr>
                <w:noProof/>
                <w:webHidden/>
              </w:rPr>
            </w:r>
            <w:r>
              <w:rPr>
                <w:noProof/>
                <w:webHidden/>
              </w:rPr>
              <w:fldChar w:fldCharType="separate"/>
            </w:r>
            <w:r>
              <w:rPr>
                <w:noProof/>
                <w:webHidden/>
              </w:rPr>
              <w:t>10</w:t>
            </w:r>
            <w:r>
              <w:rPr>
                <w:noProof/>
                <w:webHidden/>
              </w:rPr>
              <w:fldChar w:fldCharType="end"/>
            </w:r>
          </w:hyperlink>
        </w:p>
        <w:p w14:paraId="61157057" w14:textId="77777777" w:rsidR="00DD2120" w:rsidRDefault="00DD2120">
          <w:pPr>
            <w:pStyle w:val="TOC1"/>
            <w:tabs>
              <w:tab w:val="right" w:leader="dot" w:pos="9350"/>
            </w:tabs>
            <w:rPr>
              <w:noProof/>
            </w:rPr>
          </w:pPr>
          <w:hyperlink w:anchor="_Toc189344100" w:history="1">
            <w:r w:rsidRPr="0084217E">
              <w:rPr>
                <w:rStyle w:val="Hyperlink"/>
                <w:noProof/>
              </w:rPr>
              <w:t>Situational &amp; Cultural Considerations</w:t>
            </w:r>
            <w:r>
              <w:rPr>
                <w:noProof/>
                <w:webHidden/>
              </w:rPr>
              <w:tab/>
            </w:r>
            <w:r>
              <w:rPr>
                <w:noProof/>
                <w:webHidden/>
              </w:rPr>
              <w:fldChar w:fldCharType="begin"/>
            </w:r>
            <w:r>
              <w:rPr>
                <w:noProof/>
                <w:webHidden/>
              </w:rPr>
              <w:instrText xml:space="preserve"> PAGEREF _Toc189344100 \h </w:instrText>
            </w:r>
            <w:r>
              <w:rPr>
                <w:noProof/>
                <w:webHidden/>
              </w:rPr>
            </w:r>
            <w:r>
              <w:rPr>
                <w:noProof/>
                <w:webHidden/>
              </w:rPr>
              <w:fldChar w:fldCharType="separate"/>
            </w:r>
            <w:r>
              <w:rPr>
                <w:noProof/>
                <w:webHidden/>
              </w:rPr>
              <w:t>10</w:t>
            </w:r>
            <w:r>
              <w:rPr>
                <w:noProof/>
                <w:webHidden/>
              </w:rPr>
              <w:fldChar w:fldCharType="end"/>
            </w:r>
          </w:hyperlink>
        </w:p>
        <w:p w14:paraId="61157058" w14:textId="77777777" w:rsidR="00DD2120" w:rsidRDefault="00DD2120">
          <w:pPr>
            <w:pStyle w:val="TOC1"/>
            <w:tabs>
              <w:tab w:val="right" w:leader="dot" w:pos="9350"/>
            </w:tabs>
            <w:rPr>
              <w:noProof/>
            </w:rPr>
          </w:pPr>
          <w:hyperlink w:anchor="_Toc189344101" w:history="1">
            <w:r w:rsidRPr="0084217E">
              <w:rPr>
                <w:rStyle w:val="Hyperlink"/>
                <w:rFonts w:eastAsia="Times New Roman"/>
                <w:noProof/>
              </w:rPr>
              <w:t>Conclusion &amp; Recommendations</w:t>
            </w:r>
            <w:r>
              <w:rPr>
                <w:noProof/>
                <w:webHidden/>
              </w:rPr>
              <w:tab/>
            </w:r>
            <w:r>
              <w:rPr>
                <w:noProof/>
                <w:webHidden/>
              </w:rPr>
              <w:fldChar w:fldCharType="begin"/>
            </w:r>
            <w:r>
              <w:rPr>
                <w:noProof/>
                <w:webHidden/>
              </w:rPr>
              <w:instrText xml:space="preserve"> PAGEREF _Toc189344101 \h </w:instrText>
            </w:r>
            <w:r>
              <w:rPr>
                <w:noProof/>
                <w:webHidden/>
              </w:rPr>
            </w:r>
            <w:r>
              <w:rPr>
                <w:noProof/>
                <w:webHidden/>
              </w:rPr>
              <w:fldChar w:fldCharType="separate"/>
            </w:r>
            <w:r>
              <w:rPr>
                <w:noProof/>
                <w:webHidden/>
              </w:rPr>
              <w:t>12</w:t>
            </w:r>
            <w:r>
              <w:rPr>
                <w:noProof/>
                <w:webHidden/>
              </w:rPr>
              <w:fldChar w:fldCharType="end"/>
            </w:r>
          </w:hyperlink>
        </w:p>
        <w:p w14:paraId="61157059" w14:textId="77777777" w:rsidR="00DD2120" w:rsidRDefault="00DD2120">
          <w:pPr>
            <w:pStyle w:val="TOC1"/>
            <w:tabs>
              <w:tab w:val="right" w:leader="dot" w:pos="9350"/>
            </w:tabs>
            <w:rPr>
              <w:noProof/>
            </w:rPr>
          </w:pPr>
          <w:hyperlink w:anchor="_Toc189344102" w:history="1">
            <w:r w:rsidRPr="0084217E">
              <w:rPr>
                <w:rStyle w:val="Hyperlink"/>
                <w:noProof/>
              </w:rPr>
              <w:t>References</w:t>
            </w:r>
            <w:r>
              <w:rPr>
                <w:noProof/>
                <w:webHidden/>
              </w:rPr>
              <w:tab/>
            </w:r>
            <w:r>
              <w:rPr>
                <w:noProof/>
                <w:webHidden/>
              </w:rPr>
              <w:fldChar w:fldCharType="begin"/>
            </w:r>
            <w:r>
              <w:rPr>
                <w:noProof/>
                <w:webHidden/>
              </w:rPr>
              <w:instrText xml:space="preserve"> PAGEREF _Toc189344102 \h </w:instrText>
            </w:r>
            <w:r>
              <w:rPr>
                <w:noProof/>
                <w:webHidden/>
              </w:rPr>
            </w:r>
            <w:r>
              <w:rPr>
                <w:noProof/>
                <w:webHidden/>
              </w:rPr>
              <w:fldChar w:fldCharType="separate"/>
            </w:r>
            <w:r>
              <w:rPr>
                <w:noProof/>
                <w:webHidden/>
              </w:rPr>
              <w:t>13</w:t>
            </w:r>
            <w:r>
              <w:rPr>
                <w:noProof/>
                <w:webHidden/>
              </w:rPr>
              <w:fldChar w:fldCharType="end"/>
            </w:r>
          </w:hyperlink>
        </w:p>
        <w:p w14:paraId="6115705A" w14:textId="77777777" w:rsidR="00DD2120" w:rsidRDefault="00DD2120">
          <w:r>
            <w:rPr>
              <w:b/>
              <w:bCs/>
              <w:noProof/>
            </w:rPr>
            <w:fldChar w:fldCharType="end"/>
          </w:r>
        </w:p>
      </w:sdtContent>
    </w:sdt>
    <w:p w14:paraId="6115705B" w14:textId="77777777" w:rsidR="00B271B7" w:rsidRDefault="00B271B7">
      <w:pPr>
        <w:jc w:val="left"/>
        <w:rPr>
          <w:rFonts w:cs="Times New Roman"/>
        </w:rPr>
      </w:pPr>
      <w:r>
        <w:rPr>
          <w:rFonts w:cs="Times New Roman"/>
        </w:rPr>
        <w:br w:type="page"/>
      </w:r>
    </w:p>
    <w:p w14:paraId="6115705C" w14:textId="77777777" w:rsidR="00B271B7" w:rsidRDefault="00B271B7" w:rsidP="00B271B7">
      <w:pPr>
        <w:pStyle w:val="Heading1"/>
      </w:pPr>
      <w:bookmarkStart w:id="0" w:name="_Toc189344092"/>
      <w:r>
        <w:lastRenderedPageBreak/>
        <w:t>Introduction</w:t>
      </w:r>
      <w:bookmarkEnd w:id="0"/>
    </w:p>
    <w:p w14:paraId="6115705D" w14:textId="77777777" w:rsidR="005F6A46" w:rsidRDefault="005F6A46" w:rsidP="00B271B7">
      <w:pPr>
        <w:tabs>
          <w:tab w:val="left" w:pos="3876"/>
        </w:tabs>
        <w:spacing w:line="360" w:lineRule="auto"/>
        <w:rPr>
          <w:rFonts w:cs="Times New Roman"/>
        </w:rPr>
      </w:pPr>
      <w:r w:rsidRPr="005F6A46">
        <w:rPr>
          <w:rFonts w:cs="Times New Roman"/>
        </w:rPr>
        <w:t xml:space="preserve">The Future of Inclusion: EDI Conference for Hospitality &amp; Business, a carefully planned international conference, will take place to address Equality, Diversity and Inclusion (EDI) in </w:t>
      </w:r>
      <w:proofErr w:type="gramStart"/>
      <w:r w:rsidRPr="005F6A46">
        <w:rPr>
          <w:rFonts w:cs="Times New Roman"/>
        </w:rPr>
        <w:t>hospitality</w:t>
      </w:r>
      <w:proofErr w:type="gramEnd"/>
      <w:r w:rsidRPr="005F6A46">
        <w:rPr>
          <w:rFonts w:cs="Times New Roman"/>
        </w:rPr>
        <w:t xml:space="preserve"> sector. Online participation as well as in-person participation will be possible at a highly accessible hospitality site in a hybrid format. With such a strategy, it will optimize global reach, </w:t>
      </w:r>
      <w:proofErr w:type="gramStart"/>
      <w:r w:rsidRPr="005F6A46">
        <w:rPr>
          <w:rFonts w:cs="Times New Roman"/>
        </w:rPr>
        <w:t>inclusivity</w:t>
      </w:r>
      <w:proofErr w:type="gramEnd"/>
      <w:r w:rsidRPr="005F6A46">
        <w:rPr>
          <w:rFonts w:cs="Times New Roman"/>
        </w:rPr>
        <w:t xml:space="preserve"> and engagement and ensure a wide variety of professionals can benefit from its material.</w:t>
      </w:r>
    </w:p>
    <w:p w14:paraId="6115705E" w14:textId="77777777" w:rsidR="005F6A46" w:rsidRDefault="005F6A46" w:rsidP="00B271B7">
      <w:pPr>
        <w:tabs>
          <w:tab w:val="left" w:pos="3876"/>
        </w:tabs>
        <w:spacing w:line="360" w:lineRule="auto"/>
        <w:rPr>
          <w:rFonts w:cs="Times New Roman"/>
        </w:rPr>
      </w:pPr>
      <w:r w:rsidRPr="005F6A46">
        <w:rPr>
          <w:rFonts w:cs="Times New Roman"/>
        </w:rPr>
        <w:t xml:space="preserve">Even with its naturally diverse workforce, the hospitality sector still faces structural injustices, underrepresentation in leadership, and workplace accessibility issues. Although many other industries have laid down the ground for including inclusion frameworks, industry lacks a </w:t>
      </w:r>
      <w:proofErr w:type="spellStart"/>
      <w:r w:rsidRPr="005F6A46">
        <w:rPr>
          <w:rFonts w:cs="Times New Roman"/>
        </w:rPr>
        <w:t>specialised</w:t>
      </w:r>
      <w:proofErr w:type="spellEnd"/>
      <w:r w:rsidRPr="005F6A46">
        <w:rPr>
          <w:rFonts w:cs="Times New Roman"/>
        </w:rPr>
        <w:t xml:space="preserve"> platform where key players can collaborate on policies regarding EDI. There is an important gap in the industry for a conference that focuses solely on diversity–driven workforce change, which this conference is meant to serve.</w:t>
      </w:r>
    </w:p>
    <w:p w14:paraId="6115705F" w14:textId="77777777" w:rsidR="005F6A46" w:rsidRDefault="005F6A46" w:rsidP="00B271B7">
      <w:pPr>
        <w:tabs>
          <w:tab w:val="left" w:pos="3876"/>
        </w:tabs>
        <w:spacing w:line="360" w:lineRule="auto"/>
        <w:rPr>
          <w:rFonts w:cs="Times New Roman"/>
        </w:rPr>
      </w:pPr>
      <w:r w:rsidRPr="005F6A46">
        <w:rPr>
          <w:rFonts w:cs="Times New Roman"/>
        </w:rPr>
        <w:t xml:space="preserve">This study critically examines the necessary delivery and strategic planning factors for this event to be successfully executed. Therefore, it will deeply examine theoretical models and </w:t>
      </w:r>
      <w:proofErr w:type="gramStart"/>
      <w:r w:rsidRPr="005F6A46">
        <w:rPr>
          <w:rFonts w:cs="Times New Roman"/>
        </w:rPr>
        <w:t>links</w:t>
      </w:r>
      <w:proofErr w:type="gramEnd"/>
      <w:r w:rsidRPr="005F6A46">
        <w:rPr>
          <w:rFonts w:cs="Times New Roman"/>
        </w:rPr>
        <w:t xml:space="preserve"> up with event management frameworks to identify the means of planning, logistics, marketing, budgeting, and execution techniques. This conference aims to bridge this gap in order to close the gap between theoretical discussion and reality and hope that this conference becomes the catalyst towards the </w:t>
      </w:r>
      <w:proofErr w:type="gramStart"/>
      <w:r w:rsidRPr="005F6A46">
        <w:rPr>
          <w:rFonts w:cs="Times New Roman"/>
        </w:rPr>
        <w:t>long term</w:t>
      </w:r>
      <w:proofErr w:type="gramEnd"/>
      <w:r w:rsidRPr="005F6A46">
        <w:rPr>
          <w:rFonts w:cs="Times New Roman"/>
        </w:rPr>
        <w:t xml:space="preserve"> development of industrial society.</w:t>
      </w:r>
    </w:p>
    <w:p w14:paraId="61157060" w14:textId="77777777" w:rsidR="00B271B7" w:rsidRDefault="00B271B7" w:rsidP="00B271B7">
      <w:pPr>
        <w:pStyle w:val="Heading1"/>
      </w:pPr>
      <w:bookmarkStart w:id="1" w:name="_Toc189344093"/>
      <w:r>
        <w:t>The Event Cycle</w:t>
      </w:r>
      <w:bookmarkEnd w:id="1"/>
      <w:r>
        <w:t xml:space="preserve"> </w:t>
      </w:r>
    </w:p>
    <w:p w14:paraId="61157061" w14:textId="77777777" w:rsidR="00B271B7" w:rsidRDefault="005F6A46" w:rsidP="00B271B7">
      <w:pPr>
        <w:tabs>
          <w:tab w:val="left" w:pos="3876"/>
        </w:tabs>
        <w:spacing w:line="360" w:lineRule="auto"/>
        <w:rPr>
          <w:rFonts w:cs="Times New Roman"/>
        </w:rPr>
      </w:pPr>
      <w:r w:rsidRPr="005F6A46">
        <w:rPr>
          <w:rFonts w:cs="Times New Roman"/>
        </w:rPr>
        <w:t>The Event Cycle, a strategic framework, delineates the various stages of event preparation, implementation, and assessment. According to Getz and Page (2016), the event cycle is a total approach that promises procedures in an order as they evolve and in a strategic management approach not as individual happenings. This is crucial for an event to be executed well with a business that can survive financially and that is able to have an impact.</w:t>
      </w:r>
    </w:p>
    <w:p w14:paraId="61157062" w14:textId="77777777" w:rsidR="00B271B7" w:rsidRPr="00B271B7" w:rsidRDefault="00B271B7" w:rsidP="00B271B7">
      <w:pPr>
        <w:pStyle w:val="Heading2"/>
      </w:pPr>
      <w:bookmarkStart w:id="2" w:name="_Toc189344094"/>
      <w:r w:rsidRPr="00B271B7">
        <w:rPr>
          <w:rStyle w:val="Strong"/>
          <w:b/>
          <w:bCs/>
        </w:rPr>
        <w:t xml:space="preserve">Application </w:t>
      </w:r>
      <w:proofErr w:type="gramStart"/>
      <w:r w:rsidRPr="00B271B7">
        <w:rPr>
          <w:rStyle w:val="Strong"/>
          <w:b/>
          <w:bCs/>
        </w:rPr>
        <w:t>to</w:t>
      </w:r>
      <w:proofErr w:type="gramEnd"/>
      <w:r w:rsidRPr="00B271B7">
        <w:rPr>
          <w:rStyle w:val="Strong"/>
          <w:b/>
          <w:bCs/>
        </w:rPr>
        <w:t xml:space="preserve"> the Chosen Event</w:t>
      </w:r>
      <w:bookmarkEnd w:id="2"/>
    </w:p>
    <w:p w14:paraId="61157063" w14:textId="77777777" w:rsidR="00B271B7" w:rsidRDefault="00B271B7" w:rsidP="00E902DB">
      <w:pPr>
        <w:pStyle w:val="NormalWeb"/>
        <w:spacing w:before="0" w:beforeAutospacing="0" w:after="0" w:afterAutospacing="0" w:line="360" w:lineRule="auto"/>
        <w:jc w:val="both"/>
        <w:rPr>
          <w:color w:val="0E101A"/>
        </w:rPr>
      </w:pPr>
      <w:r>
        <w:rPr>
          <w:color w:val="0E101A"/>
        </w:rPr>
        <w:t xml:space="preserve">For the </w:t>
      </w:r>
      <w:r>
        <w:rPr>
          <w:rStyle w:val="Strong"/>
          <w:color w:val="0E101A"/>
        </w:rPr>
        <w:t>Future of Inclusion: EDI Conference for Hospitality &amp; Business</w:t>
      </w:r>
      <w:r>
        <w:rPr>
          <w:color w:val="0E101A"/>
        </w:rPr>
        <w:t>, the event cycle can be divided into three key phases:</w:t>
      </w:r>
    </w:p>
    <w:p w14:paraId="61157064" w14:textId="77777777" w:rsidR="00B271B7" w:rsidRDefault="00B271B7" w:rsidP="00E902DB">
      <w:pPr>
        <w:numPr>
          <w:ilvl w:val="0"/>
          <w:numId w:val="1"/>
        </w:numPr>
        <w:spacing w:after="0" w:line="360" w:lineRule="auto"/>
        <w:rPr>
          <w:color w:val="0E101A"/>
        </w:rPr>
      </w:pPr>
      <w:r>
        <w:rPr>
          <w:rStyle w:val="Strong"/>
          <w:color w:val="0E101A"/>
        </w:rPr>
        <w:t>Pre-Event Phase (Strategic Planning &amp; Preparation)</w:t>
      </w:r>
    </w:p>
    <w:p w14:paraId="61157065" w14:textId="77777777" w:rsidR="00B271B7" w:rsidRDefault="00B271B7" w:rsidP="00E902DB">
      <w:pPr>
        <w:numPr>
          <w:ilvl w:val="1"/>
          <w:numId w:val="2"/>
        </w:numPr>
        <w:spacing w:after="0" w:line="360" w:lineRule="auto"/>
        <w:rPr>
          <w:color w:val="0E101A"/>
        </w:rPr>
      </w:pPr>
      <w:r>
        <w:rPr>
          <w:rStyle w:val="Strong"/>
          <w:color w:val="0E101A"/>
        </w:rPr>
        <w:lastRenderedPageBreak/>
        <w:t>Market Research &amp; Feasibility Study:</w:t>
      </w:r>
      <w:r>
        <w:rPr>
          <w:color w:val="0E101A"/>
        </w:rPr>
        <w:t xml:space="preserve"> Identifying demand for an EDI-focused hospitality conference, analyzing competitors, and assessing the financial viability of the event.</w:t>
      </w:r>
    </w:p>
    <w:p w14:paraId="61157066" w14:textId="77777777" w:rsidR="00B271B7" w:rsidRDefault="00B271B7" w:rsidP="00E902DB">
      <w:pPr>
        <w:numPr>
          <w:ilvl w:val="1"/>
          <w:numId w:val="2"/>
        </w:numPr>
        <w:spacing w:after="0" w:line="360" w:lineRule="auto"/>
        <w:rPr>
          <w:color w:val="0E101A"/>
        </w:rPr>
      </w:pPr>
      <w:r>
        <w:rPr>
          <w:rStyle w:val="Strong"/>
          <w:color w:val="0E101A"/>
        </w:rPr>
        <w:t>Stakeholder Engagement:</w:t>
      </w:r>
      <w:r>
        <w:rPr>
          <w:color w:val="0E101A"/>
        </w:rPr>
        <w:t xml:space="preserve"> Establishing partnerships with sponsors, industry experts, and policymakers to enhance event credibility and funding sources.</w:t>
      </w:r>
    </w:p>
    <w:p w14:paraId="61157067" w14:textId="77777777" w:rsidR="00B271B7" w:rsidRDefault="00B271B7" w:rsidP="00E902DB">
      <w:pPr>
        <w:numPr>
          <w:ilvl w:val="1"/>
          <w:numId w:val="2"/>
        </w:numPr>
        <w:spacing w:after="0" w:line="360" w:lineRule="auto"/>
        <w:rPr>
          <w:color w:val="0E101A"/>
        </w:rPr>
      </w:pPr>
      <w:r>
        <w:rPr>
          <w:rStyle w:val="Strong"/>
          <w:color w:val="0E101A"/>
        </w:rPr>
        <w:t>Financial Planning:</w:t>
      </w:r>
      <w:r>
        <w:rPr>
          <w:color w:val="0E101A"/>
        </w:rPr>
        <w:t xml:space="preserve"> Budget forecasting, securing sponsorships, ticket pricing strategies, and funding allocations to ensure cost-effectiveness.</w:t>
      </w:r>
    </w:p>
    <w:p w14:paraId="61157068" w14:textId="77777777" w:rsidR="00B271B7" w:rsidRDefault="00B271B7" w:rsidP="00E902DB">
      <w:pPr>
        <w:numPr>
          <w:ilvl w:val="0"/>
          <w:numId w:val="2"/>
        </w:numPr>
        <w:spacing w:after="0" w:line="360" w:lineRule="auto"/>
        <w:rPr>
          <w:color w:val="0E101A"/>
        </w:rPr>
      </w:pPr>
      <w:r>
        <w:rPr>
          <w:rStyle w:val="Strong"/>
          <w:color w:val="0E101A"/>
        </w:rPr>
        <w:t>Event Execution (Operational &amp; Logistical Delivery)</w:t>
      </w:r>
    </w:p>
    <w:p w14:paraId="61157069" w14:textId="77777777" w:rsidR="005F6A46" w:rsidRPr="005F6A46" w:rsidRDefault="005F6A46" w:rsidP="005F6A46">
      <w:pPr>
        <w:numPr>
          <w:ilvl w:val="1"/>
          <w:numId w:val="2"/>
        </w:numPr>
        <w:spacing w:after="0" w:line="360" w:lineRule="auto"/>
        <w:rPr>
          <w:color w:val="0E101A"/>
        </w:rPr>
      </w:pPr>
      <w:r w:rsidRPr="005F6A46">
        <w:rPr>
          <w:color w:val="0E101A"/>
        </w:rPr>
        <w:t>Logistics Management: Coordinating venue setup, hybrid technology integration, speaker arrangements, and accessibility features.</w:t>
      </w:r>
    </w:p>
    <w:p w14:paraId="6115706A" w14:textId="77777777" w:rsidR="005F6A46" w:rsidRPr="005F6A46" w:rsidRDefault="005F6A46" w:rsidP="005F6A46">
      <w:pPr>
        <w:numPr>
          <w:ilvl w:val="1"/>
          <w:numId w:val="2"/>
        </w:numPr>
        <w:spacing w:after="0" w:line="360" w:lineRule="auto"/>
        <w:rPr>
          <w:color w:val="0E101A"/>
        </w:rPr>
      </w:pPr>
      <w:r w:rsidRPr="005F6A46">
        <w:rPr>
          <w:color w:val="0E101A"/>
        </w:rPr>
        <w:t xml:space="preserve">Managing unexpected challenges that will arise, ensuring smooth technical operations, and </w:t>
      </w:r>
      <w:proofErr w:type="gramStart"/>
      <w:r w:rsidRPr="005F6A46">
        <w:rPr>
          <w:color w:val="0E101A"/>
        </w:rPr>
        <w:t>ensure</w:t>
      </w:r>
      <w:proofErr w:type="gramEnd"/>
      <w:r w:rsidRPr="005F6A46">
        <w:rPr>
          <w:color w:val="0E101A"/>
        </w:rPr>
        <w:t xml:space="preserve"> attendee satisfaction.</w:t>
      </w:r>
    </w:p>
    <w:p w14:paraId="6115706B" w14:textId="77777777" w:rsidR="00B271B7" w:rsidRDefault="005F6A46" w:rsidP="005F6A46">
      <w:pPr>
        <w:numPr>
          <w:ilvl w:val="1"/>
          <w:numId w:val="2"/>
        </w:numPr>
        <w:spacing w:after="0" w:line="360" w:lineRule="auto"/>
        <w:rPr>
          <w:color w:val="0E101A"/>
        </w:rPr>
      </w:pPr>
      <w:r w:rsidRPr="005F6A46">
        <w:rPr>
          <w:color w:val="0E101A"/>
        </w:rPr>
        <w:t>Attendee Experience Management: Smooth registration process, structured networking and interaction through workshops.</w:t>
      </w:r>
    </w:p>
    <w:p w14:paraId="6115706C" w14:textId="77777777" w:rsidR="00B271B7" w:rsidRDefault="00B271B7" w:rsidP="00E902DB">
      <w:pPr>
        <w:numPr>
          <w:ilvl w:val="0"/>
          <w:numId w:val="2"/>
        </w:numPr>
        <w:spacing w:after="0" w:line="360" w:lineRule="auto"/>
        <w:rPr>
          <w:color w:val="0E101A"/>
        </w:rPr>
      </w:pPr>
      <w:r>
        <w:rPr>
          <w:rStyle w:val="Strong"/>
          <w:color w:val="0E101A"/>
        </w:rPr>
        <w:t>Post-Event Phase (Evaluation &amp; Impact Measurement)</w:t>
      </w:r>
    </w:p>
    <w:p w14:paraId="6115706D" w14:textId="77777777" w:rsidR="00BE7606" w:rsidRPr="00BE7606" w:rsidRDefault="00BE7606" w:rsidP="00BE7606">
      <w:pPr>
        <w:numPr>
          <w:ilvl w:val="1"/>
          <w:numId w:val="2"/>
        </w:numPr>
        <w:spacing w:after="0" w:line="360" w:lineRule="auto"/>
        <w:rPr>
          <w:color w:val="0E101A"/>
        </w:rPr>
      </w:pPr>
      <w:r w:rsidRPr="00BE7606">
        <w:rPr>
          <w:color w:val="0E101A"/>
        </w:rPr>
        <w:t>Feedback Collection: We collect feedback from participants about speakers and audience alike with surveys and data analytical techniques.</w:t>
      </w:r>
    </w:p>
    <w:p w14:paraId="6115706E" w14:textId="77777777" w:rsidR="00BE7606" w:rsidRPr="00BE7606" w:rsidRDefault="00BE7606" w:rsidP="00BE7606">
      <w:pPr>
        <w:numPr>
          <w:ilvl w:val="1"/>
          <w:numId w:val="2"/>
        </w:numPr>
        <w:spacing w:after="0" w:line="360" w:lineRule="auto"/>
        <w:rPr>
          <w:color w:val="0E101A"/>
        </w:rPr>
      </w:pPr>
      <w:r w:rsidRPr="00BE7606">
        <w:rPr>
          <w:color w:val="0E101A"/>
        </w:rPr>
        <w:t>How Does the Event Have a Long-Term Impact on the Measurement of EDI: Examining its contribution in setting future EDI policies and industry practices.</w:t>
      </w:r>
    </w:p>
    <w:p w14:paraId="6115706F" w14:textId="77777777" w:rsidR="00B271B7" w:rsidRDefault="00BE7606" w:rsidP="00BE7606">
      <w:pPr>
        <w:numPr>
          <w:ilvl w:val="1"/>
          <w:numId w:val="2"/>
        </w:numPr>
        <w:spacing w:after="0" w:line="360" w:lineRule="auto"/>
        <w:rPr>
          <w:rFonts w:cs="Times New Roman"/>
        </w:rPr>
      </w:pPr>
      <w:r w:rsidRPr="00BE7606">
        <w:rPr>
          <w:color w:val="0E101A"/>
        </w:rPr>
        <w:t>Evaluation for Future Planning: Utilizing learning from evaluations to enhance succeeding conference editions.</w:t>
      </w:r>
    </w:p>
    <w:p w14:paraId="61157070" w14:textId="77777777" w:rsidR="00E902DB" w:rsidRDefault="00E902DB" w:rsidP="00E902DB">
      <w:pPr>
        <w:pStyle w:val="Heading1"/>
      </w:pPr>
      <w:bookmarkStart w:id="3" w:name="_Toc189344095"/>
      <w:r>
        <w:t>Event Concept &amp; Itinerary</w:t>
      </w:r>
      <w:bookmarkEnd w:id="3"/>
    </w:p>
    <w:p w14:paraId="61157071" w14:textId="77777777" w:rsidR="00E902DB" w:rsidRPr="00E902DB" w:rsidRDefault="00E902DB" w:rsidP="00E902DB">
      <w:pPr>
        <w:tabs>
          <w:tab w:val="left" w:pos="3876"/>
        </w:tabs>
        <w:spacing w:line="360" w:lineRule="auto"/>
        <w:rPr>
          <w:rFonts w:cs="Times New Roman"/>
          <w:b/>
        </w:rPr>
      </w:pPr>
      <w:r w:rsidRPr="00E902DB">
        <w:rPr>
          <w:rFonts w:cs="Times New Roman"/>
          <w:b/>
        </w:rPr>
        <w:t>Attendee Experience &amp; Structure of the Day</w:t>
      </w:r>
    </w:p>
    <w:p w14:paraId="61157072" w14:textId="77777777" w:rsidR="00BE7606" w:rsidRDefault="00BE7606" w:rsidP="00E902DB">
      <w:pPr>
        <w:tabs>
          <w:tab w:val="left" w:pos="3876"/>
        </w:tabs>
        <w:spacing w:line="360" w:lineRule="auto"/>
        <w:rPr>
          <w:rFonts w:cs="Times New Roman"/>
        </w:rPr>
      </w:pPr>
      <w:r w:rsidRPr="00BE7606">
        <w:rPr>
          <w:rFonts w:cs="Times New Roman"/>
        </w:rPr>
        <w:t xml:space="preserve">EDI Conference for Hospitality &amp; Business has an immersive and structured approach that ensures participants have productive conversations, knowledge sharing and the chance to network with other </w:t>
      </w:r>
      <w:proofErr w:type="spellStart"/>
      <w:proofErr w:type="gramStart"/>
      <w:r w:rsidRPr="00BE7606">
        <w:rPr>
          <w:rFonts w:cs="Times New Roman"/>
        </w:rPr>
        <w:t>like minded</w:t>
      </w:r>
      <w:proofErr w:type="spellEnd"/>
      <w:proofErr w:type="gramEnd"/>
      <w:r w:rsidRPr="00BE7606">
        <w:rPr>
          <w:rFonts w:cs="Times New Roman"/>
        </w:rPr>
        <w:t xml:space="preserve"> professionals. Attendees will be provided with the opportunity to learn from reputable DEI specialists, business leaders, and legislators, all of whom will share the challenges and innovative solutions in the role of diversity within the hospitality field over the morning keynote addresses. The insights, practical case studies and practical suggestions </w:t>
      </w:r>
      <w:r w:rsidRPr="00BE7606">
        <w:rPr>
          <w:rFonts w:cs="Times New Roman"/>
        </w:rPr>
        <w:lastRenderedPageBreak/>
        <w:t>provided by the keynote talks will frame the more expansive conversations that will happen throughout the day.</w:t>
      </w:r>
    </w:p>
    <w:p w14:paraId="61157073" w14:textId="77777777" w:rsidR="00BE7606" w:rsidRDefault="00BE7606" w:rsidP="00E902DB">
      <w:pPr>
        <w:tabs>
          <w:tab w:val="left" w:pos="3876"/>
        </w:tabs>
        <w:spacing w:line="360" w:lineRule="auto"/>
        <w:rPr>
          <w:rFonts w:cs="Times New Roman"/>
        </w:rPr>
      </w:pPr>
      <w:r w:rsidRPr="00BE7606">
        <w:rPr>
          <w:rFonts w:cs="Times New Roman"/>
        </w:rPr>
        <w:t xml:space="preserve">At the afternoon event, business executives will be engaged in panel discussions and provide their knowledge </w:t>
      </w:r>
      <w:proofErr w:type="gramStart"/>
      <w:r w:rsidRPr="00BE7606">
        <w:rPr>
          <w:rFonts w:cs="Times New Roman"/>
        </w:rPr>
        <w:t>on</w:t>
      </w:r>
      <w:proofErr w:type="gramEnd"/>
      <w:r w:rsidRPr="00BE7606">
        <w:rPr>
          <w:rFonts w:cs="Times New Roman"/>
        </w:rPr>
        <w:t xml:space="preserve"> workplace accessibility, cultural intelligence, and inclusive recruiting. Following that, participants will </w:t>
      </w:r>
      <w:proofErr w:type="gramStart"/>
      <w:r w:rsidRPr="00BE7606">
        <w:rPr>
          <w:rFonts w:cs="Times New Roman"/>
        </w:rPr>
        <w:t>enter into</w:t>
      </w:r>
      <w:proofErr w:type="gramEnd"/>
      <w:r w:rsidRPr="00BE7606">
        <w:rPr>
          <w:rFonts w:cs="Times New Roman"/>
        </w:rPr>
        <w:t xml:space="preserve"> interactive workshops where they will be able to apply EDI to work real world problems. These seminars will be highly </w:t>
      </w:r>
      <w:proofErr w:type="gramStart"/>
      <w:r w:rsidRPr="00BE7606">
        <w:rPr>
          <w:rFonts w:cs="Times New Roman"/>
        </w:rPr>
        <w:t>interactive</w:t>
      </w:r>
      <w:proofErr w:type="gramEnd"/>
      <w:r w:rsidRPr="00BE7606">
        <w:rPr>
          <w:rFonts w:cs="Times New Roman"/>
        </w:rPr>
        <w:t xml:space="preserve"> and participants will go through collaborative learning exercises and real world case scenarios and not just sit and absorb material.</w:t>
      </w:r>
    </w:p>
    <w:p w14:paraId="61157074" w14:textId="77777777" w:rsidR="00E902DB" w:rsidRPr="00E902DB" w:rsidRDefault="00E902DB" w:rsidP="00E902DB">
      <w:pPr>
        <w:tabs>
          <w:tab w:val="left" w:pos="3876"/>
        </w:tabs>
        <w:spacing w:line="360" w:lineRule="auto"/>
        <w:rPr>
          <w:rFonts w:cs="Times New Roman"/>
          <w:b/>
        </w:rPr>
      </w:pPr>
      <w:r w:rsidRPr="00E902DB">
        <w:rPr>
          <w:rFonts w:cs="Times New Roman"/>
          <w:b/>
        </w:rPr>
        <w:t>Event Format &amp; Engagement Strategies</w:t>
      </w:r>
    </w:p>
    <w:p w14:paraId="61157075" w14:textId="77777777" w:rsidR="00BE7606" w:rsidRDefault="00BE7606" w:rsidP="00BE7606">
      <w:pPr>
        <w:tabs>
          <w:tab w:val="left" w:pos="3876"/>
        </w:tabs>
        <w:spacing w:line="360" w:lineRule="auto"/>
        <w:rPr>
          <w:rFonts w:cs="Times New Roman"/>
        </w:rPr>
      </w:pPr>
      <w:r w:rsidRPr="00BE7606">
        <w:rPr>
          <w:rFonts w:cs="Times New Roman"/>
        </w:rPr>
        <w:t xml:space="preserve">In recognition of the importance of accessibility and participation the event will be presented in hybrid style, where both in person and virtual participation will be welcomed. A hosted digital platform is deployed that enables real time interaction which allows remote participants to participate in live polls, Q&amp;A sessions, and virtual networking rooms. With the support of </w:t>
      </w:r>
      <w:proofErr w:type="gramStart"/>
      <w:r w:rsidRPr="00BE7606">
        <w:rPr>
          <w:rFonts w:cs="Times New Roman"/>
        </w:rPr>
        <w:t>cutting edge</w:t>
      </w:r>
      <w:proofErr w:type="gramEnd"/>
      <w:r w:rsidRPr="00BE7606">
        <w:rPr>
          <w:rFonts w:cs="Times New Roman"/>
        </w:rPr>
        <w:t xml:space="preserve"> event technologies, including AI driven dating tools and interactive discussion boards, participants will experience the hybrid event at its very best and drive maxim</w:t>
      </w:r>
      <w:r>
        <w:rPr>
          <w:rFonts w:cs="Times New Roman"/>
        </w:rPr>
        <w:t>um engagement during the event.</w:t>
      </w:r>
    </w:p>
    <w:p w14:paraId="61157076" w14:textId="77777777" w:rsidR="00E902DB" w:rsidRDefault="00E902DB" w:rsidP="00E902DB">
      <w:pPr>
        <w:tabs>
          <w:tab w:val="left" w:pos="3876"/>
        </w:tabs>
        <w:spacing w:line="360" w:lineRule="auto"/>
        <w:rPr>
          <w:rFonts w:cs="Times New Roman"/>
          <w:b/>
        </w:rPr>
      </w:pPr>
      <w:r w:rsidRPr="00E902DB">
        <w:rPr>
          <w:rFonts w:cs="Times New Roman"/>
          <w:b/>
        </w:rPr>
        <w:t>Practical Considerations</w:t>
      </w:r>
    </w:p>
    <w:p w14:paraId="61157077" w14:textId="77777777" w:rsidR="00BE7606" w:rsidRPr="00BE7606" w:rsidRDefault="00BE7606" w:rsidP="00E902DB">
      <w:pPr>
        <w:tabs>
          <w:tab w:val="left" w:pos="3876"/>
        </w:tabs>
        <w:spacing w:line="360" w:lineRule="auto"/>
        <w:rPr>
          <w:rFonts w:cs="Times New Roman"/>
        </w:rPr>
      </w:pPr>
      <w:r w:rsidRPr="00BE7606">
        <w:rPr>
          <w:rFonts w:cs="Times New Roman"/>
        </w:rPr>
        <w:t xml:space="preserve">There will also be breakout sessions that will prompt the audience to engage in smaller, topic specific discussions in order to allow for more </w:t>
      </w:r>
      <w:proofErr w:type="gramStart"/>
      <w:r w:rsidRPr="00BE7606">
        <w:rPr>
          <w:rFonts w:cs="Times New Roman"/>
        </w:rPr>
        <w:t>in depth</w:t>
      </w:r>
      <w:proofErr w:type="gramEnd"/>
      <w:r w:rsidRPr="00BE7606">
        <w:rPr>
          <w:rFonts w:cs="Times New Roman"/>
        </w:rPr>
        <w:t xml:space="preserve"> exchange of information. Next, one will prioritize accessibility features such as providing wheelchair accessible areas, assistive listening devices, even sign language interpreters. The food will follow cultural diversity, which will mean that all the dietary needs will be taken care of and that all guests who are religious and cultural diversity will be sure to feel invited into the setting.</w:t>
      </w:r>
    </w:p>
    <w:p w14:paraId="61157078" w14:textId="77777777" w:rsidR="00E902DB" w:rsidRDefault="00E902DB" w:rsidP="00E902DB">
      <w:pPr>
        <w:pStyle w:val="Heading1"/>
      </w:pPr>
      <w:bookmarkStart w:id="4" w:name="_Toc189344096"/>
      <w:r>
        <w:t>Aim and Objectives of the Event</w:t>
      </w:r>
      <w:bookmarkEnd w:id="4"/>
    </w:p>
    <w:p w14:paraId="61157079" w14:textId="77777777" w:rsidR="00E902DB" w:rsidRPr="00E902DB" w:rsidRDefault="00E902DB" w:rsidP="00E902DB">
      <w:pPr>
        <w:tabs>
          <w:tab w:val="left" w:pos="3876"/>
        </w:tabs>
        <w:spacing w:line="360" w:lineRule="auto"/>
        <w:rPr>
          <w:rFonts w:cs="Times New Roman"/>
          <w:b/>
        </w:rPr>
      </w:pPr>
      <w:r w:rsidRPr="00E902DB">
        <w:rPr>
          <w:rFonts w:cs="Times New Roman"/>
          <w:b/>
        </w:rPr>
        <w:t>Overarching Aim</w:t>
      </w:r>
    </w:p>
    <w:p w14:paraId="6115707A" w14:textId="77777777" w:rsidR="00E902DB" w:rsidRPr="00E902DB" w:rsidRDefault="00E902DB" w:rsidP="00E902DB">
      <w:pPr>
        <w:tabs>
          <w:tab w:val="left" w:pos="3876"/>
        </w:tabs>
        <w:spacing w:line="360" w:lineRule="auto"/>
        <w:rPr>
          <w:rFonts w:cs="Times New Roman"/>
        </w:rPr>
      </w:pPr>
      <w:r w:rsidRPr="00E902DB">
        <w:rPr>
          <w:rFonts w:cs="Times New Roman"/>
        </w:rPr>
        <w:t xml:space="preserve">By providing them with valuable tools and doable tactics to promote Equality, Diversity, and Inclusion (EDI) within their companies, the EDI Conference for Hospitality &amp; Business aims to </w:t>
      </w:r>
      <w:r w:rsidRPr="00E902DB">
        <w:rPr>
          <w:rFonts w:cs="Times New Roman"/>
        </w:rPr>
        <w:lastRenderedPageBreak/>
        <w:t>empower and educate hospitality professionals. By bridging the gap between theoretical discussion and practical implementation, the event acts as a platform for information exchange, empowering hospitality executives to put sustainable diversity initiatives that improve workplace culture, employee well-being, and business performance into practice</w:t>
      </w:r>
      <w:r w:rsidR="00DA4480">
        <w:rPr>
          <w:rFonts w:cs="Times New Roman"/>
        </w:rPr>
        <w:t xml:space="preserve"> </w:t>
      </w:r>
      <w:r w:rsidR="00DA4480" w:rsidRPr="00DA4480">
        <w:rPr>
          <w:rFonts w:cs="Times New Roman"/>
        </w:rPr>
        <w:t>(Madera et al., 2023)</w:t>
      </w:r>
      <w:r w:rsidR="00DA4480">
        <w:rPr>
          <w:rFonts w:cs="Times New Roman"/>
        </w:rPr>
        <w:t>.</w:t>
      </w:r>
    </w:p>
    <w:p w14:paraId="6115707B" w14:textId="77777777" w:rsidR="00E902DB" w:rsidRPr="00E902DB" w:rsidRDefault="00E902DB" w:rsidP="00E902DB">
      <w:pPr>
        <w:tabs>
          <w:tab w:val="left" w:pos="3876"/>
        </w:tabs>
        <w:spacing w:line="360" w:lineRule="auto"/>
        <w:rPr>
          <w:rFonts w:cs="Times New Roman"/>
          <w:b/>
        </w:rPr>
      </w:pPr>
      <w:r w:rsidRPr="00E902DB">
        <w:rPr>
          <w:rFonts w:cs="Times New Roman"/>
          <w:b/>
        </w:rPr>
        <w:t>SMART Objectives</w:t>
      </w:r>
    </w:p>
    <w:p w14:paraId="6115707C" w14:textId="77777777" w:rsidR="00E902DB" w:rsidRPr="00E902DB" w:rsidRDefault="00E902DB" w:rsidP="00E902DB">
      <w:pPr>
        <w:tabs>
          <w:tab w:val="left" w:pos="3876"/>
        </w:tabs>
        <w:spacing w:line="360" w:lineRule="auto"/>
        <w:rPr>
          <w:rFonts w:cs="Times New Roman"/>
        </w:rPr>
      </w:pPr>
      <w:r w:rsidRPr="00E902DB">
        <w:rPr>
          <w:rFonts w:cs="Times New Roman"/>
        </w:rPr>
        <w:t>Three SMART (Specific, Measurable, Achievable, Relevant, and Time-bound) goals have been set to guarantee that the event produces quan</w:t>
      </w:r>
      <w:r>
        <w:rPr>
          <w:rFonts w:cs="Times New Roman"/>
        </w:rPr>
        <w:t>tifiable and strategic results:</w:t>
      </w:r>
    </w:p>
    <w:p w14:paraId="6115707D" w14:textId="77777777" w:rsidR="00E902DB" w:rsidRPr="00E902DB" w:rsidRDefault="00E902DB" w:rsidP="00E902DB">
      <w:pPr>
        <w:pStyle w:val="ListParagraph"/>
        <w:numPr>
          <w:ilvl w:val="0"/>
          <w:numId w:val="3"/>
        </w:numPr>
        <w:tabs>
          <w:tab w:val="left" w:pos="3876"/>
        </w:tabs>
        <w:spacing w:line="360" w:lineRule="auto"/>
        <w:rPr>
          <w:rFonts w:cs="Times New Roman"/>
        </w:rPr>
      </w:pPr>
      <w:r w:rsidRPr="00E902DB">
        <w:rPr>
          <w:rFonts w:cs="Times New Roman"/>
        </w:rPr>
        <w:t>Give participants three doable EDI implementation strategies. This goal guarantees that attendees will depart the conference with tangible, empirically supported frameworks they can use inside their organizations. Every workshop will include detailed instructions for incorporating EDI into hiring procedures, leadership structures, and workplace rules.</w:t>
      </w:r>
    </w:p>
    <w:p w14:paraId="6115707E" w14:textId="77777777" w:rsidR="00E902DB" w:rsidRPr="00E902DB" w:rsidRDefault="00E902DB" w:rsidP="00E902DB">
      <w:pPr>
        <w:pStyle w:val="ListParagraph"/>
        <w:numPr>
          <w:ilvl w:val="0"/>
          <w:numId w:val="3"/>
        </w:numPr>
        <w:tabs>
          <w:tab w:val="left" w:pos="3876"/>
        </w:tabs>
        <w:spacing w:line="360" w:lineRule="auto"/>
        <w:rPr>
          <w:rFonts w:cs="Times New Roman"/>
        </w:rPr>
      </w:pPr>
      <w:r w:rsidRPr="00E902DB">
        <w:rPr>
          <w:rFonts w:cs="Times New Roman"/>
        </w:rPr>
        <w:t xml:space="preserve">Encourage networking opportunities that lead to at least five corporate collaborations for business projects promoting inclusivity. By encouraging industry collaboration, the conference seeks to establish strategic partnerships that result in long-term, quantifiable diversity initiatives across various hospitality </w:t>
      </w:r>
      <w:proofErr w:type="spellStart"/>
      <w:r w:rsidRPr="00E902DB">
        <w:rPr>
          <w:rFonts w:cs="Times New Roman"/>
        </w:rPr>
        <w:t>organisations</w:t>
      </w:r>
      <w:proofErr w:type="spellEnd"/>
      <w:r w:rsidRPr="00E902DB">
        <w:rPr>
          <w:rFonts w:cs="Times New Roman"/>
        </w:rPr>
        <w:t>.</w:t>
      </w:r>
    </w:p>
    <w:p w14:paraId="6115707F" w14:textId="77777777" w:rsidR="00E902DB" w:rsidRPr="00BE7606" w:rsidRDefault="00E902DB" w:rsidP="00E902DB">
      <w:pPr>
        <w:pStyle w:val="ListParagraph"/>
        <w:numPr>
          <w:ilvl w:val="0"/>
          <w:numId w:val="3"/>
        </w:numPr>
        <w:tabs>
          <w:tab w:val="left" w:pos="3876"/>
        </w:tabs>
        <w:spacing w:line="360" w:lineRule="auto"/>
        <w:rPr>
          <w:rFonts w:cs="Times New Roman"/>
        </w:rPr>
      </w:pPr>
      <w:r w:rsidRPr="00E902DB">
        <w:rPr>
          <w:rFonts w:cs="Times New Roman"/>
        </w:rPr>
        <w:t xml:space="preserve">After the event, </w:t>
      </w:r>
      <w:proofErr w:type="gramStart"/>
      <w:r w:rsidRPr="00E902DB">
        <w:rPr>
          <w:rFonts w:cs="Times New Roman"/>
        </w:rPr>
        <w:t>use</w:t>
      </w:r>
      <w:proofErr w:type="gramEnd"/>
      <w:r w:rsidRPr="00E902DB">
        <w:rPr>
          <w:rFonts w:cs="Times New Roman"/>
        </w:rPr>
        <w:t xml:space="preserve"> structured feedback to ensure 85% of attendees are satisfied. The conference's impact will be measured using a strong assessment mechanism, guaranteeing ongoing development and conformity to industry demands.</w:t>
      </w:r>
    </w:p>
    <w:p w14:paraId="61157080" w14:textId="77777777" w:rsidR="00E902DB" w:rsidRDefault="002C0D32" w:rsidP="002C0D32">
      <w:pPr>
        <w:pStyle w:val="Heading1"/>
      </w:pPr>
      <w:bookmarkStart w:id="5" w:name="_Toc189344097"/>
      <w:r>
        <w:t>Event Management: Planning &amp; Execution</w:t>
      </w:r>
      <w:bookmarkEnd w:id="5"/>
    </w:p>
    <w:p w14:paraId="61157081" w14:textId="77777777" w:rsidR="00BE7606" w:rsidRDefault="00BE7606" w:rsidP="002C0D32">
      <w:pPr>
        <w:tabs>
          <w:tab w:val="left" w:pos="3876"/>
        </w:tabs>
        <w:spacing w:line="360" w:lineRule="auto"/>
        <w:rPr>
          <w:rFonts w:cs="Times New Roman"/>
        </w:rPr>
      </w:pPr>
      <w:r w:rsidRPr="00BE7606">
        <w:rPr>
          <w:rFonts w:cs="Times New Roman"/>
        </w:rPr>
        <w:t xml:space="preserve">EDI Conference for Hospitality &amp; Business to be successful, effective coordination, strong resource management and strategic planning are imperative. This requires </w:t>
      </w:r>
      <w:proofErr w:type="gramStart"/>
      <w:r w:rsidRPr="00BE7606">
        <w:rPr>
          <w:rFonts w:cs="Times New Roman"/>
        </w:rPr>
        <w:t>a number of</w:t>
      </w:r>
      <w:proofErr w:type="gramEnd"/>
      <w:r w:rsidRPr="00BE7606">
        <w:rPr>
          <w:rFonts w:cs="Times New Roman"/>
        </w:rPr>
        <w:t xml:space="preserve"> crucial abilities to identify that an event submits to its goals and ensures operational capability. For this reason, event coordinating is a basic need since it entails coordinating logistics, coordinating with vendors, and ensuring that the sessions are being carried out as planned (Bladen et al., 2022).  Corporate sponsors, legislators, industry professionals, DEI advocates and the like are just as important during stakeholder communication to bolster the legitimacy and audience of the event. Finally, not anticipating problems like speakers cancelling, equipment not working, or other issues cropping up at the last moment are things that risk management should prevent. </w:t>
      </w:r>
      <w:r w:rsidRPr="00BE7606">
        <w:rPr>
          <w:rFonts w:cs="Times New Roman"/>
        </w:rPr>
        <w:lastRenderedPageBreak/>
        <w:t xml:space="preserve">Finally, </w:t>
      </w:r>
      <w:proofErr w:type="gramStart"/>
      <w:r w:rsidRPr="00BE7606">
        <w:rPr>
          <w:rFonts w:cs="Times New Roman"/>
        </w:rPr>
        <w:t>the cost</w:t>
      </w:r>
      <w:proofErr w:type="gramEnd"/>
      <w:r w:rsidRPr="00BE7606">
        <w:rPr>
          <w:rFonts w:cs="Times New Roman"/>
        </w:rPr>
        <w:t xml:space="preserve"> effectiveness requires efforts in ensuring that the sources of finance to be used match the expected expenditure estimates.</w:t>
      </w:r>
    </w:p>
    <w:p w14:paraId="61157082" w14:textId="77777777" w:rsidR="00BE7606" w:rsidRDefault="00BE7606" w:rsidP="002C0D32">
      <w:pPr>
        <w:tabs>
          <w:tab w:val="left" w:pos="3876"/>
        </w:tabs>
        <w:spacing w:line="360" w:lineRule="auto"/>
        <w:rPr>
          <w:rFonts w:cs="Times New Roman"/>
        </w:rPr>
      </w:pPr>
      <w:r w:rsidRPr="00BE7606">
        <w:rPr>
          <w:rFonts w:cs="Times New Roman"/>
        </w:rPr>
        <w:t xml:space="preserve">Based on the Resource Based View (RVB) approach, the event's resource distribution should suitably be planned and exploited on its technological, human and financial resources. Funding will be acquired from institutional grants, corporate sponsorships, and ticket sales to </w:t>
      </w:r>
      <w:proofErr w:type="gramStart"/>
      <w:r w:rsidRPr="00BE7606">
        <w:rPr>
          <w:rFonts w:cs="Times New Roman"/>
        </w:rPr>
        <w:t>insure</w:t>
      </w:r>
      <w:proofErr w:type="gramEnd"/>
      <w:r w:rsidRPr="00BE7606">
        <w:rPr>
          <w:rFonts w:cs="Times New Roman"/>
        </w:rPr>
        <w:t xml:space="preserve"> sustainability and the accessibility of the film for wider audiences. Various pieces of preparation, participation and execution will be steered by a group of event managers, volunteers, marketing gurus, and DEI advisors from human resources. Moreover, the usage of advanced technological resources such as assistive technologies, live streaming features, AI networking tools and hybrid conferencing </w:t>
      </w:r>
      <w:proofErr w:type="gramStart"/>
      <w:r w:rsidRPr="00BE7606">
        <w:rPr>
          <w:rFonts w:cs="Times New Roman"/>
        </w:rPr>
        <w:t>platform</w:t>
      </w:r>
      <w:proofErr w:type="gramEnd"/>
      <w:r w:rsidRPr="00BE7606">
        <w:rPr>
          <w:rFonts w:cs="Times New Roman"/>
        </w:rPr>
        <w:t xml:space="preserve"> will allow virtual and in person participants to come together and have an inclusive experience and interaction.</w:t>
      </w:r>
    </w:p>
    <w:p w14:paraId="61157083" w14:textId="77777777" w:rsidR="00BE7606" w:rsidRDefault="00BE7606" w:rsidP="002C0D32">
      <w:pPr>
        <w:tabs>
          <w:tab w:val="left" w:pos="3876"/>
        </w:tabs>
        <w:spacing w:line="360" w:lineRule="auto"/>
        <w:rPr>
          <w:rFonts w:cs="Times New Roman"/>
        </w:rPr>
      </w:pPr>
      <w:r w:rsidRPr="00BE7606">
        <w:rPr>
          <w:rFonts w:cs="Times New Roman"/>
        </w:rPr>
        <w:t xml:space="preserve">For the business to guarantee high attendance and wide exposure, a clear marketing plan is necessary. With the help of the 4Ps framework (Product, Price, Place, Promotion) this can </w:t>
      </w:r>
      <w:proofErr w:type="gramStart"/>
      <w:r w:rsidRPr="00BE7606">
        <w:rPr>
          <w:rFonts w:cs="Times New Roman"/>
        </w:rPr>
        <w:t>be done</w:t>
      </w:r>
      <w:proofErr w:type="gramEnd"/>
      <w:r w:rsidRPr="00BE7606">
        <w:rPr>
          <w:rFonts w:cs="Times New Roman"/>
        </w:rPr>
        <w:t xml:space="preserve"> organized. The conference brings together </w:t>
      </w:r>
      <w:proofErr w:type="gramStart"/>
      <w:r w:rsidRPr="00BE7606">
        <w:rPr>
          <w:rFonts w:cs="Times New Roman"/>
        </w:rPr>
        <w:t>value driven</w:t>
      </w:r>
      <w:proofErr w:type="gramEnd"/>
      <w:r w:rsidRPr="00BE7606">
        <w:rPr>
          <w:rFonts w:cs="Times New Roman"/>
        </w:rPr>
        <w:t xml:space="preserve"> content by mixing expert led discussions, networking opportunities, and hospitality EDI methods in practice. Hybrid event approach ensures reach and engagement to the maximum by being available digitally and in person simultaneously. The last item, a marketing plan which increases visibility and attracts a wide spectrum of viewers through </w:t>
      </w:r>
      <w:proofErr w:type="gramStart"/>
      <w:r w:rsidRPr="00BE7606">
        <w:rPr>
          <w:rFonts w:cs="Times New Roman"/>
        </w:rPr>
        <w:t>use</w:t>
      </w:r>
      <w:proofErr w:type="gramEnd"/>
      <w:r w:rsidRPr="00BE7606">
        <w:rPr>
          <w:rFonts w:cs="Times New Roman"/>
        </w:rPr>
        <w:t xml:space="preserve"> of influencer relationships, digital marketing, focused social media outreach, and working with trade groups will be successful.</w:t>
      </w:r>
    </w:p>
    <w:p w14:paraId="61157084" w14:textId="77777777" w:rsidR="002C0D32" w:rsidRPr="002C0D32" w:rsidRDefault="002C0D32" w:rsidP="00F1517A">
      <w:pPr>
        <w:pStyle w:val="Heading1"/>
        <w:rPr>
          <w:rFonts w:eastAsia="Times New Roman"/>
        </w:rPr>
      </w:pPr>
      <w:bookmarkStart w:id="6" w:name="_Toc189344098"/>
      <w:r w:rsidRPr="002C0D32">
        <w:rPr>
          <w:rFonts w:eastAsia="Times New Roman"/>
        </w:rPr>
        <w:t>Event Budget &amp; Financial Analysis</w:t>
      </w:r>
      <w:bookmarkEnd w:id="6"/>
      <w:r w:rsidRPr="002C0D32">
        <w:rPr>
          <w:rFonts w:eastAsia="Times New Roman"/>
        </w:rPr>
        <w:t xml:space="preserve"> </w:t>
      </w:r>
    </w:p>
    <w:p w14:paraId="61157085" w14:textId="77777777" w:rsidR="00F1517A" w:rsidRPr="00F1517A" w:rsidRDefault="00F1517A" w:rsidP="002C0D32">
      <w:pPr>
        <w:tabs>
          <w:tab w:val="left" w:pos="3876"/>
        </w:tabs>
        <w:spacing w:line="360" w:lineRule="auto"/>
        <w:rPr>
          <w:b/>
        </w:rPr>
      </w:pPr>
      <w:r>
        <w:rPr>
          <w:rStyle w:val="Strong"/>
          <w:color w:val="0E101A"/>
        </w:rPr>
        <w:t>The Future of Inclusion:</w:t>
      </w:r>
      <w:r>
        <w:t xml:space="preserve"> </w:t>
      </w:r>
      <w:r w:rsidR="00BE7606" w:rsidRPr="00BE7606">
        <w:t xml:space="preserve">For the EDI Conference for Hospitality &amp; Business to be successful, the conference will require a carefully </w:t>
      </w:r>
      <w:proofErr w:type="gramStart"/>
      <w:r w:rsidR="00BE7606" w:rsidRPr="00BE7606">
        <w:t>thought out</w:t>
      </w:r>
      <w:proofErr w:type="gramEnd"/>
      <w:r w:rsidR="00BE7606" w:rsidRPr="00BE7606">
        <w:t xml:space="preserve"> revenue plan and budget based on its financial viability. Not only does this provide high value content and engagement opportunities for the event attendees but also an even strategy for revenue generation and expenditure distribution will ensure that the event is financially viable. It relies on various ways of income that increase the chances of achieving profitability while minimizing the risk of a financial </w:t>
      </w:r>
      <w:proofErr w:type="spellStart"/>
      <w:proofErr w:type="gramStart"/>
      <w:r w:rsidR="00BE7606" w:rsidRPr="00BE7606">
        <w:t>shortage.</w:t>
      </w:r>
      <w:r w:rsidRPr="00F1517A">
        <w:rPr>
          <w:b/>
        </w:rPr>
        <w:t>Income</w:t>
      </w:r>
      <w:proofErr w:type="spellEnd"/>
      <w:proofErr w:type="gramEnd"/>
      <w:r w:rsidRPr="00F1517A">
        <w:rPr>
          <w:b/>
        </w:rPr>
        <w:t xml:space="preserve"> &amp; Expenditure Breakdown</w:t>
      </w:r>
    </w:p>
    <w:tbl>
      <w:tblPr>
        <w:tblStyle w:val="TableGrid"/>
        <w:tblW w:w="0" w:type="auto"/>
        <w:tblLook w:val="04A0" w:firstRow="1" w:lastRow="0" w:firstColumn="1" w:lastColumn="0" w:noHBand="0" w:noVBand="1"/>
      </w:tblPr>
      <w:tblGrid>
        <w:gridCol w:w="2358"/>
        <w:gridCol w:w="2070"/>
        <w:gridCol w:w="3240"/>
        <w:gridCol w:w="1890"/>
      </w:tblGrid>
      <w:tr w:rsidR="00F1517A" w:rsidRPr="00F1517A" w14:paraId="6115708A" w14:textId="77777777" w:rsidTr="00F1517A">
        <w:trPr>
          <w:trHeight w:val="809"/>
        </w:trPr>
        <w:tc>
          <w:tcPr>
            <w:tcW w:w="2358" w:type="dxa"/>
            <w:shd w:val="clear" w:color="auto" w:fill="C6D9F1" w:themeFill="text2" w:themeFillTint="33"/>
            <w:hideMark/>
          </w:tcPr>
          <w:p w14:paraId="61157086" w14:textId="77777777" w:rsidR="00F1517A" w:rsidRPr="00F1517A" w:rsidRDefault="00F1517A" w:rsidP="00F1517A">
            <w:pPr>
              <w:tabs>
                <w:tab w:val="left" w:pos="3876"/>
              </w:tabs>
              <w:spacing w:line="360" w:lineRule="auto"/>
              <w:rPr>
                <w:rFonts w:cs="Times New Roman"/>
                <w:b/>
                <w:bCs/>
              </w:rPr>
            </w:pPr>
            <w:r w:rsidRPr="00F1517A">
              <w:rPr>
                <w:rFonts w:cs="Times New Roman"/>
                <w:b/>
                <w:bCs/>
              </w:rPr>
              <w:lastRenderedPageBreak/>
              <w:t>Category</w:t>
            </w:r>
          </w:p>
        </w:tc>
        <w:tc>
          <w:tcPr>
            <w:tcW w:w="2070" w:type="dxa"/>
            <w:shd w:val="clear" w:color="auto" w:fill="C6D9F1" w:themeFill="text2" w:themeFillTint="33"/>
            <w:hideMark/>
          </w:tcPr>
          <w:p w14:paraId="61157087" w14:textId="77777777" w:rsidR="00F1517A" w:rsidRPr="00F1517A" w:rsidRDefault="00F1517A" w:rsidP="00F1517A">
            <w:pPr>
              <w:tabs>
                <w:tab w:val="left" w:pos="3876"/>
              </w:tabs>
              <w:spacing w:line="360" w:lineRule="auto"/>
              <w:rPr>
                <w:rFonts w:cs="Times New Roman"/>
                <w:b/>
                <w:bCs/>
              </w:rPr>
            </w:pPr>
            <w:r w:rsidRPr="00F1517A">
              <w:rPr>
                <w:rFonts w:cs="Times New Roman"/>
                <w:b/>
                <w:bCs/>
              </w:rPr>
              <w:t>Estimated Cost (USD)</w:t>
            </w:r>
          </w:p>
        </w:tc>
        <w:tc>
          <w:tcPr>
            <w:tcW w:w="3240" w:type="dxa"/>
            <w:shd w:val="clear" w:color="auto" w:fill="C6D9F1" w:themeFill="text2" w:themeFillTint="33"/>
            <w:hideMark/>
          </w:tcPr>
          <w:p w14:paraId="61157088" w14:textId="77777777" w:rsidR="00F1517A" w:rsidRPr="00F1517A" w:rsidRDefault="00F1517A" w:rsidP="00F1517A">
            <w:pPr>
              <w:tabs>
                <w:tab w:val="left" w:pos="3876"/>
              </w:tabs>
              <w:spacing w:line="360" w:lineRule="auto"/>
              <w:rPr>
                <w:rFonts w:cs="Times New Roman"/>
                <w:b/>
                <w:bCs/>
              </w:rPr>
            </w:pPr>
            <w:r w:rsidRPr="00F1517A">
              <w:rPr>
                <w:rFonts w:cs="Times New Roman"/>
                <w:b/>
                <w:bCs/>
              </w:rPr>
              <w:t>Revenue Source</w:t>
            </w:r>
          </w:p>
        </w:tc>
        <w:tc>
          <w:tcPr>
            <w:tcW w:w="1890" w:type="dxa"/>
            <w:shd w:val="clear" w:color="auto" w:fill="C6D9F1" w:themeFill="text2" w:themeFillTint="33"/>
            <w:hideMark/>
          </w:tcPr>
          <w:p w14:paraId="61157089" w14:textId="77777777" w:rsidR="00F1517A" w:rsidRPr="00F1517A" w:rsidRDefault="00F1517A" w:rsidP="00F1517A">
            <w:pPr>
              <w:tabs>
                <w:tab w:val="left" w:pos="3876"/>
              </w:tabs>
              <w:spacing w:line="360" w:lineRule="auto"/>
              <w:rPr>
                <w:rFonts w:cs="Times New Roman"/>
                <w:b/>
                <w:bCs/>
              </w:rPr>
            </w:pPr>
            <w:r w:rsidRPr="00F1517A">
              <w:rPr>
                <w:rFonts w:cs="Times New Roman"/>
                <w:b/>
                <w:bCs/>
              </w:rPr>
              <w:t>Projected Revenue (USD)</w:t>
            </w:r>
          </w:p>
        </w:tc>
      </w:tr>
      <w:tr w:rsidR="00F1517A" w:rsidRPr="00F1517A" w14:paraId="6115708F" w14:textId="77777777" w:rsidTr="00F1517A">
        <w:trPr>
          <w:trHeight w:val="576"/>
        </w:trPr>
        <w:tc>
          <w:tcPr>
            <w:tcW w:w="2358" w:type="dxa"/>
            <w:shd w:val="clear" w:color="auto" w:fill="C6D9F1" w:themeFill="text2" w:themeFillTint="33"/>
            <w:hideMark/>
          </w:tcPr>
          <w:p w14:paraId="6115708B" w14:textId="77777777" w:rsidR="00F1517A" w:rsidRPr="00F1517A" w:rsidRDefault="00F1517A" w:rsidP="00F1517A">
            <w:pPr>
              <w:tabs>
                <w:tab w:val="left" w:pos="3876"/>
              </w:tabs>
              <w:spacing w:line="360" w:lineRule="auto"/>
              <w:rPr>
                <w:rFonts w:cs="Times New Roman"/>
              </w:rPr>
            </w:pPr>
            <w:r w:rsidRPr="00F1517A">
              <w:rPr>
                <w:rFonts w:cs="Times New Roman"/>
              </w:rPr>
              <w:t>Venue Rental</w:t>
            </w:r>
          </w:p>
        </w:tc>
        <w:tc>
          <w:tcPr>
            <w:tcW w:w="2070" w:type="dxa"/>
            <w:hideMark/>
          </w:tcPr>
          <w:p w14:paraId="6115708C" w14:textId="77777777" w:rsidR="00F1517A" w:rsidRPr="00F1517A" w:rsidRDefault="00F1517A" w:rsidP="00F1517A">
            <w:pPr>
              <w:tabs>
                <w:tab w:val="left" w:pos="3876"/>
              </w:tabs>
              <w:spacing w:line="360" w:lineRule="auto"/>
              <w:rPr>
                <w:rFonts w:cs="Times New Roman"/>
              </w:rPr>
            </w:pPr>
            <w:r w:rsidRPr="00F1517A">
              <w:rPr>
                <w:rFonts w:cs="Times New Roman"/>
              </w:rPr>
              <w:t xml:space="preserve">$20,000 </w:t>
            </w:r>
          </w:p>
        </w:tc>
        <w:tc>
          <w:tcPr>
            <w:tcW w:w="3240" w:type="dxa"/>
            <w:hideMark/>
          </w:tcPr>
          <w:p w14:paraId="6115708D" w14:textId="77777777" w:rsidR="00F1517A" w:rsidRPr="00F1517A" w:rsidRDefault="00F1517A" w:rsidP="00F1517A">
            <w:pPr>
              <w:tabs>
                <w:tab w:val="left" w:pos="3876"/>
              </w:tabs>
              <w:spacing w:line="360" w:lineRule="auto"/>
              <w:rPr>
                <w:rFonts w:cs="Times New Roman"/>
              </w:rPr>
            </w:pPr>
            <w:r w:rsidRPr="00F1517A">
              <w:rPr>
                <w:rFonts w:cs="Times New Roman"/>
              </w:rPr>
              <w:t>Ticket Sales</w:t>
            </w:r>
          </w:p>
        </w:tc>
        <w:tc>
          <w:tcPr>
            <w:tcW w:w="1890" w:type="dxa"/>
            <w:hideMark/>
          </w:tcPr>
          <w:p w14:paraId="6115708E" w14:textId="77777777" w:rsidR="00F1517A" w:rsidRPr="00F1517A" w:rsidRDefault="00F1517A" w:rsidP="00F1517A">
            <w:pPr>
              <w:tabs>
                <w:tab w:val="left" w:pos="3876"/>
              </w:tabs>
              <w:spacing w:line="360" w:lineRule="auto"/>
              <w:rPr>
                <w:rFonts w:cs="Times New Roman"/>
              </w:rPr>
            </w:pPr>
            <w:r w:rsidRPr="00F1517A">
              <w:rPr>
                <w:rFonts w:cs="Times New Roman"/>
              </w:rPr>
              <w:t xml:space="preserve">$50,000 </w:t>
            </w:r>
          </w:p>
        </w:tc>
      </w:tr>
      <w:tr w:rsidR="00F1517A" w:rsidRPr="00F1517A" w14:paraId="61157094" w14:textId="77777777" w:rsidTr="00F1517A">
        <w:trPr>
          <w:trHeight w:val="827"/>
        </w:trPr>
        <w:tc>
          <w:tcPr>
            <w:tcW w:w="2358" w:type="dxa"/>
            <w:shd w:val="clear" w:color="auto" w:fill="C6D9F1" w:themeFill="text2" w:themeFillTint="33"/>
            <w:hideMark/>
          </w:tcPr>
          <w:p w14:paraId="61157090" w14:textId="77777777" w:rsidR="00F1517A" w:rsidRPr="00F1517A" w:rsidRDefault="00F1517A" w:rsidP="00F1517A">
            <w:pPr>
              <w:tabs>
                <w:tab w:val="left" w:pos="3876"/>
              </w:tabs>
              <w:spacing w:line="360" w:lineRule="auto"/>
              <w:rPr>
                <w:rFonts w:cs="Times New Roman"/>
              </w:rPr>
            </w:pPr>
            <w:r w:rsidRPr="00F1517A">
              <w:rPr>
                <w:rFonts w:cs="Times New Roman"/>
              </w:rPr>
              <w:t>Catering &amp; Refreshments</w:t>
            </w:r>
          </w:p>
        </w:tc>
        <w:tc>
          <w:tcPr>
            <w:tcW w:w="2070" w:type="dxa"/>
            <w:hideMark/>
          </w:tcPr>
          <w:p w14:paraId="61157091" w14:textId="77777777" w:rsidR="00F1517A" w:rsidRPr="00F1517A" w:rsidRDefault="00F1517A" w:rsidP="00F1517A">
            <w:pPr>
              <w:tabs>
                <w:tab w:val="left" w:pos="3876"/>
              </w:tabs>
              <w:spacing w:line="360" w:lineRule="auto"/>
              <w:rPr>
                <w:rFonts w:cs="Times New Roman"/>
              </w:rPr>
            </w:pPr>
            <w:r w:rsidRPr="00F1517A">
              <w:rPr>
                <w:rFonts w:cs="Times New Roman"/>
              </w:rPr>
              <w:t xml:space="preserve">$10,000 </w:t>
            </w:r>
          </w:p>
        </w:tc>
        <w:tc>
          <w:tcPr>
            <w:tcW w:w="3240" w:type="dxa"/>
            <w:hideMark/>
          </w:tcPr>
          <w:p w14:paraId="61157092" w14:textId="77777777" w:rsidR="00F1517A" w:rsidRPr="00F1517A" w:rsidRDefault="00F1517A" w:rsidP="00F1517A">
            <w:pPr>
              <w:tabs>
                <w:tab w:val="left" w:pos="3876"/>
              </w:tabs>
              <w:spacing w:line="360" w:lineRule="auto"/>
              <w:rPr>
                <w:rFonts w:cs="Times New Roman"/>
              </w:rPr>
            </w:pPr>
            <w:r w:rsidRPr="00F1517A">
              <w:rPr>
                <w:rFonts w:cs="Times New Roman"/>
              </w:rPr>
              <w:t>Corporate Sponsorships</w:t>
            </w:r>
          </w:p>
        </w:tc>
        <w:tc>
          <w:tcPr>
            <w:tcW w:w="1890" w:type="dxa"/>
            <w:hideMark/>
          </w:tcPr>
          <w:p w14:paraId="61157093" w14:textId="77777777" w:rsidR="00F1517A" w:rsidRPr="00F1517A" w:rsidRDefault="00F1517A" w:rsidP="00F1517A">
            <w:pPr>
              <w:tabs>
                <w:tab w:val="left" w:pos="3876"/>
              </w:tabs>
              <w:spacing w:line="360" w:lineRule="auto"/>
              <w:rPr>
                <w:rFonts w:cs="Times New Roman"/>
              </w:rPr>
            </w:pPr>
            <w:r w:rsidRPr="00F1517A">
              <w:rPr>
                <w:rFonts w:cs="Times New Roman"/>
              </w:rPr>
              <w:t xml:space="preserve">$40,000 </w:t>
            </w:r>
          </w:p>
        </w:tc>
      </w:tr>
      <w:tr w:rsidR="00F1517A" w:rsidRPr="00F1517A" w14:paraId="61157099" w14:textId="77777777" w:rsidTr="00F1517A">
        <w:trPr>
          <w:trHeight w:val="791"/>
        </w:trPr>
        <w:tc>
          <w:tcPr>
            <w:tcW w:w="2358" w:type="dxa"/>
            <w:shd w:val="clear" w:color="auto" w:fill="C6D9F1" w:themeFill="text2" w:themeFillTint="33"/>
            <w:hideMark/>
          </w:tcPr>
          <w:p w14:paraId="61157095" w14:textId="77777777" w:rsidR="00F1517A" w:rsidRPr="00F1517A" w:rsidRDefault="00F1517A" w:rsidP="00F1517A">
            <w:pPr>
              <w:tabs>
                <w:tab w:val="left" w:pos="3876"/>
              </w:tabs>
              <w:spacing w:line="360" w:lineRule="auto"/>
              <w:rPr>
                <w:rFonts w:cs="Times New Roman"/>
              </w:rPr>
            </w:pPr>
            <w:r w:rsidRPr="00F1517A">
              <w:rPr>
                <w:rFonts w:cs="Times New Roman"/>
              </w:rPr>
              <w:t>Speaker Fees &amp; Travel</w:t>
            </w:r>
          </w:p>
        </w:tc>
        <w:tc>
          <w:tcPr>
            <w:tcW w:w="2070" w:type="dxa"/>
            <w:hideMark/>
          </w:tcPr>
          <w:p w14:paraId="61157096" w14:textId="77777777" w:rsidR="00F1517A" w:rsidRPr="00F1517A" w:rsidRDefault="00F1517A" w:rsidP="00F1517A">
            <w:pPr>
              <w:tabs>
                <w:tab w:val="left" w:pos="3876"/>
              </w:tabs>
              <w:spacing w:line="360" w:lineRule="auto"/>
              <w:rPr>
                <w:rFonts w:cs="Times New Roman"/>
              </w:rPr>
            </w:pPr>
            <w:r w:rsidRPr="00F1517A">
              <w:rPr>
                <w:rFonts w:cs="Times New Roman"/>
              </w:rPr>
              <w:t xml:space="preserve">$15,000 </w:t>
            </w:r>
          </w:p>
        </w:tc>
        <w:tc>
          <w:tcPr>
            <w:tcW w:w="3240" w:type="dxa"/>
            <w:hideMark/>
          </w:tcPr>
          <w:p w14:paraId="61157097" w14:textId="77777777" w:rsidR="00F1517A" w:rsidRPr="00F1517A" w:rsidRDefault="00F1517A" w:rsidP="00F1517A">
            <w:pPr>
              <w:tabs>
                <w:tab w:val="left" w:pos="3876"/>
              </w:tabs>
              <w:spacing w:line="360" w:lineRule="auto"/>
              <w:rPr>
                <w:rFonts w:cs="Times New Roman"/>
              </w:rPr>
            </w:pPr>
            <w:r w:rsidRPr="00F1517A">
              <w:rPr>
                <w:rFonts w:cs="Times New Roman"/>
              </w:rPr>
              <w:t>Exhibition Booths &amp; Advertising</w:t>
            </w:r>
          </w:p>
        </w:tc>
        <w:tc>
          <w:tcPr>
            <w:tcW w:w="1890" w:type="dxa"/>
            <w:hideMark/>
          </w:tcPr>
          <w:p w14:paraId="61157098" w14:textId="77777777" w:rsidR="00F1517A" w:rsidRPr="00F1517A" w:rsidRDefault="00F1517A" w:rsidP="00F1517A">
            <w:pPr>
              <w:tabs>
                <w:tab w:val="left" w:pos="3876"/>
              </w:tabs>
              <w:spacing w:line="360" w:lineRule="auto"/>
              <w:rPr>
                <w:rFonts w:cs="Times New Roman"/>
              </w:rPr>
            </w:pPr>
            <w:r w:rsidRPr="00F1517A">
              <w:rPr>
                <w:rFonts w:cs="Times New Roman"/>
              </w:rPr>
              <w:t xml:space="preserve">$15,000 </w:t>
            </w:r>
          </w:p>
        </w:tc>
      </w:tr>
      <w:tr w:rsidR="00F1517A" w:rsidRPr="00F1517A" w14:paraId="6115709E" w14:textId="77777777" w:rsidTr="00F1517A">
        <w:trPr>
          <w:trHeight w:val="683"/>
        </w:trPr>
        <w:tc>
          <w:tcPr>
            <w:tcW w:w="2358" w:type="dxa"/>
            <w:shd w:val="clear" w:color="auto" w:fill="C6D9F1" w:themeFill="text2" w:themeFillTint="33"/>
            <w:hideMark/>
          </w:tcPr>
          <w:p w14:paraId="6115709A" w14:textId="77777777" w:rsidR="00F1517A" w:rsidRPr="00F1517A" w:rsidRDefault="00F1517A" w:rsidP="00F1517A">
            <w:pPr>
              <w:tabs>
                <w:tab w:val="left" w:pos="3876"/>
              </w:tabs>
              <w:spacing w:line="360" w:lineRule="auto"/>
              <w:rPr>
                <w:rFonts w:cs="Times New Roman"/>
              </w:rPr>
            </w:pPr>
            <w:r w:rsidRPr="00F1517A">
              <w:rPr>
                <w:rFonts w:cs="Times New Roman"/>
              </w:rPr>
              <w:t>Marketing &amp; Promotions</w:t>
            </w:r>
          </w:p>
        </w:tc>
        <w:tc>
          <w:tcPr>
            <w:tcW w:w="2070" w:type="dxa"/>
            <w:hideMark/>
          </w:tcPr>
          <w:p w14:paraId="6115709B" w14:textId="77777777" w:rsidR="00F1517A" w:rsidRPr="00F1517A" w:rsidRDefault="00F1517A" w:rsidP="00F1517A">
            <w:pPr>
              <w:tabs>
                <w:tab w:val="left" w:pos="3876"/>
              </w:tabs>
              <w:spacing w:line="360" w:lineRule="auto"/>
              <w:rPr>
                <w:rFonts w:cs="Times New Roman"/>
              </w:rPr>
            </w:pPr>
            <w:r w:rsidRPr="00F1517A">
              <w:rPr>
                <w:rFonts w:cs="Times New Roman"/>
              </w:rPr>
              <w:t xml:space="preserve">$8,000 </w:t>
            </w:r>
          </w:p>
        </w:tc>
        <w:tc>
          <w:tcPr>
            <w:tcW w:w="3240" w:type="dxa"/>
            <w:hideMark/>
          </w:tcPr>
          <w:p w14:paraId="6115709C" w14:textId="77777777" w:rsidR="00F1517A" w:rsidRPr="00F1517A" w:rsidRDefault="00F1517A" w:rsidP="00F1517A">
            <w:pPr>
              <w:tabs>
                <w:tab w:val="left" w:pos="3876"/>
              </w:tabs>
              <w:spacing w:line="360" w:lineRule="auto"/>
              <w:rPr>
                <w:rFonts w:cs="Times New Roman"/>
              </w:rPr>
            </w:pPr>
            <w:r w:rsidRPr="00F1517A">
              <w:rPr>
                <w:rFonts w:cs="Times New Roman"/>
              </w:rPr>
              <w:t>Government &amp; NGO Grants</w:t>
            </w:r>
          </w:p>
        </w:tc>
        <w:tc>
          <w:tcPr>
            <w:tcW w:w="1890" w:type="dxa"/>
            <w:hideMark/>
          </w:tcPr>
          <w:p w14:paraId="6115709D" w14:textId="77777777" w:rsidR="00F1517A" w:rsidRPr="00F1517A" w:rsidRDefault="00F1517A" w:rsidP="00F1517A">
            <w:pPr>
              <w:tabs>
                <w:tab w:val="left" w:pos="3876"/>
              </w:tabs>
              <w:spacing w:line="360" w:lineRule="auto"/>
              <w:rPr>
                <w:rFonts w:cs="Times New Roman"/>
              </w:rPr>
            </w:pPr>
            <w:r w:rsidRPr="00F1517A">
              <w:rPr>
                <w:rFonts w:cs="Times New Roman"/>
              </w:rPr>
              <w:t xml:space="preserve">$20,000 </w:t>
            </w:r>
          </w:p>
        </w:tc>
      </w:tr>
      <w:tr w:rsidR="00F1517A" w:rsidRPr="00F1517A" w14:paraId="611570A3" w14:textId="77777777" w:rsidTr="00F1517A">
        <w:trPr>
          <w:trHeight w:val="746"/>
        </w:trPr>
        <w:tc>
          <w:tcPr>
            <w:tcW w:w="2358" w:type="dxa"/>
            <w:shd w:val="clear" w:color="auto" w:fill="C6D9F1" w:themeFill="text2" w:themeFillTint="33"/>
            <w:hideMark/>
          </w:tcPr>
          <w:p w14:paraId="6115709F" w14:textId="77777777" w:rsidR="00F1517A" w:rsidRPr="00F1517A" w:rsidRDefault="00F1517A" w:rsidP="00F1517A">
            <w:pPr>
              <w:tabs>
                <w:tab w:val="left" w:pos="3876"/>
              </w:tabs>
              <w:spacing w:line="360" w:lineRule="auto"/>
              <w:rPr>
                <w:rFonts w:cs="Times New Roman"/>
              </w:rPr>
            </w:pPr>
            <w:r w:rsidRPr="00F1517A">
              <w:rPr>
                <w:rFonts w:cs="Times New Roman"/>
              </w:rPr>
              <w:t>Technical &amp; AV Equipment</w:t>
            </w:r>
          </w:p>
        </w:tc>
        <w:tc>
          <w:tcPr>
            <w:tcW w:w="2070" w:type="dxa"/>
            <w:hideMark/>
          </w:tcPr>
          <w:p w14:paraId="611570A0" w14:textId="77777777" w:rsidR="00F1517A" w:rsidRPr="00F1517A" w:rsidRDefault="00F1517A" w:rsidP="00F1517A">
            <w:pPr>
              <w:tabs>
                <w:tab w:val="left" w:pos="3876"/>
              </w:tabs>
              <w:spacing w:line="360" w:lineRule="auto"/>
              <w:rPr>
                <w:rFonts w:cs="Times New Roman"/>
              </w:rPr>
            </w:pPr>
            <w:r w:rsidRPr="00F1517A">
              <w:rPr>
                <w:rFonts w:cs="Times New Roman"/>
              </w:rPr>
              <w:t xml:space="preserve">$12,000 </w:t>
            </w:r>
          </w:p>
        </w:tc>
        <w:tc>
          <w:tcPr>
            <w:tcW w:w="3240" w:type="dxa"/>
            <w:hideMark/>
          </w:tcPr>
          <w:p w14:paraId="611570A1" w14:textId="77777777" w:rsidR="00F1517A" w:rsidRPr="00F1517A" w:rsidRDefault="00F1517A" w:rsidP="00F1517A">
            <w:pPr>
              <w:tabs>
                <w:tab w:val="left" w:pos="3876"/>
              </w:tabs>
              <w:spacing w:line="360" w:lineRule="auto"/>
              <w:rPr>
                <w:rFonts w:cs="Times New Roman"/>
              </w:rPr>
            </w:pPr>
            <w:r w:rsidRPr="00F1517A">
              <w:rPr>
                <w:rFonts w:cs="Times New Roman"/>
              </w:rPr>
              <w:t>Merchandise &amp; Add-ons</w:t>
            </w:r>
          </w:p>
        </w:tc>
        <w:tc>
          <w:tcPr>
            <w:tcW w:w="1890" w:type="dxa"/>
            <w:hideMark/>
          </w:tcPr>
          <w:p w14:paraId="611570A2" w14:textId="77777777" w:rsidR="00F1517A" w:rsidRPr="00F1517A" w:rsidRDefault="00F1517A" w:rsidP="00F1517A">
            <w:pPr>
              <w:tabs>
                <w:tab w:val="left" w:pos="3876"/>
              </w:tabs>
              <w:spacing w:line="360" w:lineRule="auto"/>
              <w:rPr>
                <w:rFonts w:cs="Times New Roman"/>
              </w:rPr>
            </w:pPr>
            <w:r w:rsidRPr="00F1517A">
              <w:rPr>
                <w:rFonts w:cs="Times New Roman"/>
              </w:rPr>
              <w:t xml:space="preserve">$5,000 </w:t>
            </w:r>
          </w:p>
        </w:tc>
      </w:tr>
      <w:tr w:rsidR="00F1517A" w:rsidRPr="00F1517A" w14:paraId="611570A8" w14:textId="77777777" w:rsidTr="00F1517A">
        <w:trPr>
          <w:trHeight w:val="449"/>
        </w:trPr>
        <w:tc>
          <w:tcPr>
            <w:tcW w:w="2358" w:type="dxa"/>
            <w:shd w:val="clear" w:color="auto" w:fill="C6D9F1" w:themeFill="text2" w:themeFillTint="33"/>
            <w:hideMark/>
          </w:tcPr>
          <w:p w14:paraId="611570A4" w14:textId="77777777" w:rsidR="00F1517A" w:rsidRPr="00F1517A" w:rsidRDefault="00F1517A" w:rsidP="00F1517A">
            <w:pPr>
              <w:tabs>
                <w:tab w:val="left" w:pos="3876"/>
              </w:tabs>
              <w:spacing w:line="360" w:lineRule="auto"/>
              <w:rPr>
                <w:rFonts w:cs="Times New Roman"/>
              </w:rPr>
            </w:pPr>
            <w:r w:rsidRPr="00F1517A">
              <w:rPr>
                <w:rFonts w:cs="Times New Roman"/>
              </w:rPr>
              <w:t>Staffing &amp; Logistics</w:t>
            </w:r>
          </w:p>
        </w:tc>
        <w:tc>
          <w:tcPr>
            <w:tcW w:w="2070" w:type="dxa"/>
            <w:hideMark/>
          </w:tcPr>
          <w:p w14:paraId="611570A5" w14:textId="77777777" w:rsidR="00F1517A" w:rsidRPr="00F1517A" w:rsidRDefault="00F1517A" w:rsidP="00F1517A">
            <w:pPr>
              <w:tabs>
                <w:tab w:val="left" w:pos="3876"/>
              </w:tabs>
              <w:spacing w:line="360" w:lineRule="auto"/>
              <w:rPr>
                <w:rFonts w:cs="Times New Roman"/>
              </w:rPr>
            </w:pPr>
            <w:r w:rsidRPr="00F1517A">
              <w:rPr>
                <w:rFonts w:cs="Times New Roman"/>
              </w:rPr>
              <w:t xml:space="preserve">$10,000 </w:t>
            </w:r>
          </w:p>
        </w:tc>
        <w:tc>
          <w:tcPr>
            <w:tcW w:w="3240" w:type="dxa"/>
            <w:hideMark/>
          </w:tcPr>
          <w:p w14:paraId="611570A6" w14:textId="77777777" w:rsidR="00F1517A" w:rsidRPr="00F1517A" w:rsidRDefault="00F1517A" w:rsidP="00F1517A">
            <w:pPr>
              <w:tabs>
                <w:tab w:val="left" w:pos="3876"/>
              </w:tabs>
              <w:spacing w:line="360" w:lineRule="auto"/>
              <w:rPr>
                <w:rFonts w:cs="Times New Roman"/>
              </w:rPr>
            </w:pPr>
            <w:r w:rsidRPr="00F1517A">
              <w:rPr>
                <w:rFonts w:cs="Times New Roman"/>
              </w:rPr>
              <w:t>Other Revenue Sources</w:t>
            </w:r>
          </w:p>
        </w:tc>
        <w:tc>
          <w:tcPr>
            <w:tcW w:w="1890" w:type="dxa"/>
            <w:hideMark/>
          </w:tcPr>
          <w:p w14:paraId="611570A7" w14:textId="77777777" w:rsidR="00F1517A" w:rsidRPr="00F1517A" w:rsidRDefault="00F1517A" w:rsidP="00F1517A">
            <w:pPr>
              <w:tabs>
                <w:tab w:val="left" w:pos="3876"/>
              </w:tabs>
              <w:spacing w:line="360" w:lineRule="auto"/>
              <w:rPr>
                <w:rFonts w:cs="Times New Roman"/>
              </w:rPr>
            </w:pPr>
            <w:r w:rsidRPr="00F1517A">
              <w:rPr>
                <w:rFonts w:cs="Times New Roman"/>
              </w:rPr>
              <w:t xml:space="preserve">$10,000 </w:t>
            </w:r>
          </w:p>
        </w:tc>
      </w:tr>
      <w:tr w:rsidR="00F1517A" w:rsidRPr="00F1517A" w14:paraId="611570AD" w14:textId="77777777" w:rsidTr="00F1517A">
        <w:trPr>
          <w:trHeight w:val="800"/>
        </w:trPr>
        <w:tc>
          <w:tcPr>
            <w:tcW w:w="2358" w:type="dxa"/>
            <w:shd w:val="clear" w:color="auto" w:fill="C6D9F1" w:themeFill="text2" w:themeFillTint="33"/>
            <w:hideMark/>
          </w:tcPr>
          <w:p w14:paraId="611570A9" w14:textId="77777777" w:rsidR="00F1517A" w:rsidRPr="00F1517A" w:rsidRDefault="00F1517A" w:rsidP="00F1517A">
            <w:pPr>
              <w:tabs>
                <w:tab w:val="left" w:pos="3876"/>
              </w:tabs>
              <w:spacing w:line="360" w:lineRule="auto"/>
              <w:rPr>
                <w:rFonts w:cs="Times New Roman"/>
              </w:rPr>
            </w:pPr>
            <w:r w:rsidRPr="00F1517A">
              <w:rPr>
                <w:rFonts w:cs="Times New Roman"/>
              </w:rPr>
              <w:t>Miscellaneous &amp; Contingency</w:t>
            </w:r>
          </w:p>
        </w:tc>
        <w:tc>
          <w:tcPr>
            <w:tcW w:w="2070" w:type="dxa"/>
            <w:hideMark/>
          </w:tcPr>
          <w:p w14:paraId="611570AA" w14:textId="77777777" w:rsidR="00F1517A" w:rsidRPr="00F1517A" w:rsidRDefault="00F1517A" w:rsidP="00F1517A">
            <w:pPr>
              <w:tabs>
                <w:tab w:val="left" w:pos="3876"/>
              </w:tabs>
              <w:spacing w:line="360" w:lineRule="auto"/>
              <w:rPr>
                <w:rFonts w:cs="Times New Roman"/>
              </w:rPr>
            </w:pPr>
            <w:r w:rsidRPr="00F1517A">
              <w:rPr>
                <w:rFonts w:cs="Times New Roman"/>
              </w:rPr>
              <w:t xml:space="preserve">$5,000 </w:t>
            </w:r>
          </w:p>
        </w:tc>
        <w:tc>
          <w:tcPr>
            <w:tcW w:w="3240" w:type="dxa"/>
            <w:hideMark/>
          </w:tcPr>
          <w:p w14:paraId="611570AB" w14:textId="77777777" w:rsidR="00F1517A" w:rsidRPr="00F1517A" w:rsidRDefault="00F1517A" w:rsidP="00F1517A">
            <w:pPr>
              <w:tabs>
                <w:tab w:val="left" w:pos="3876"/>
              </w:tabs>
              <w:spacing w:line="360" w:lineRule="auto"/>
              <w:rPr>
                <w:rFonts w:cs="Times New Roman"/>
                <w:b/>
                <w:bCs/>
              </w:rPr>
            </w:pPr>
            <w:r w:rsidRPr="00F1517A">
              <w:rPr>
                <w:rFonts w:cs="Times New Roman"/>
                <w:b/>
                <w:bCs/>
              </w:rPr>
              <w:t>Total Revenue</w:t>
            </w:r>
          </w:p>
        </w:tc>
        <w:tc>
          <w:tcPr>
            <w:tcW w:w="1890" w:type="dxa"/>
            <w:hideMark/>
          </w:tcPr>
          <w:p w14:paraId="611570AC" w14:textId="77777777" w:rsidR="00F1517A" w:rsidRPr="00F1517A" w:rsidRDefault="00F1517A" w:rsidP="00F1517A">
            <w:pPr>
              <w:tabs>
                <w:tab w:val="left" w:pos="3876"/>
              </w:tabs>
              <w:spacing w:line="360" w:lineRule="auto"/>
              <w:rPr>
                <w:rFonts w:cs="Times New Roman"/>
                <w:b/>
                <w:bCs/>
              </w:rPr>
            </w:pPr>
            <w:r w:rsidRPr="00F1517A">
              <w:rPr>
                <w:rFonts w:cs="Times New Roman"/>
                <w:b/>
                <w:bCs/>
              </w:rPr>
              <w:t xml:space="preserve">$140,000 </w:t>
            </w:r>
          </w:p>
        </w:tc>
      </w:tr>
      <w:tr w:rsidR="00F1517A" w:rsidRPr="00F1517A" w14:paraId="611570B2" w14:textId="77777777" w:rsidTr="00F1517A">
        <w:trPr>
          <w:trHeight w:val="576"/>
        </w:trPr>
        <w:tc>
          <w:tcPr>
            <w:tcW w:w="2358" w:type="dxa"/>
            <w:shd w:val="clear" w:color="auto" w:fill="C6D9F1" w:themeFill="text2" w:themeFillTint="33"/>
            <w:hideMark/>
          </w:tcPr>
          <w:p w14:paraId="611570AE" w14:textId="77777777" w:rsidR="00F1517A" w:rsidRPr="00F1517A" w:rsidRDefault="00F1517A" w:rsidP="00F1517A">
            <w:pPr>
              <w:tabs>
                <w:tab w:val="left" w:pos="3876"/>
              </w:tabs>
              <w:spacing w:line="360" w:lineRule="auto"/>
              <w:rPr>
                <w:rFonts w:cs="Times New Roman"/>
                <w:b/>
                <w:bCs/>
              </w:rPr>
            </w:pPr>
            <w:r w:rsidRPr="00F1517A">
              <w:rPr>
                <w:rFonts w:cs="Times New Roman"/>
                <w:b/>
                <w:bCs/>
              </w:rPr>
              <w:t>Total Costs</w:t>
            </w:r>
          </w:p>
        </w:tc>
        <w:tc>
          <w:tcPr>
            <w:tcW w:w="2070" w:type="dxa"/>
            <w:hideMark/>
          </w:tcPr>
          <w:p w14:paraId="611570AF" w14:textId="77777777" w:rsidR="00F1517A" w:rsidRPr="00F1517A" w:rsidRDefault="00F1517A" w:rsidP="00F1517A">
            <w:pPr>
              <w:tabs>
                <w:tab w:val="left" w:pos="3876"/>
              </w:tabs>
              <w:spacing w:line="360" w:lineRule="auto"/>
              <w:rPr>
                <w:rFonts w:cs="Times New Roman"/>
                <w:b/>
                <w:bCs/>
              </w:rPr>
            </w:pPr>
            <w:r w:rsidRPr="00F1517A">
              <w:rPr>
                <w:rFonts w:cs="Times New Roman"/>
                <w:b/>
                <w:bCs/>
              </w:rPr>
              <w:t xml:space="preserve">$80,000 </w:t>
            </w:r>
          </w:p>
        </w:tc>
        <w:tc>
          <w:tcPr>
            <w:tcW w:w="3240" w:type="dxa"/>
            <w:hideMark/>
          </w:tcPr>
          <w:p w14:paraId="611570B0" w14:textId="77777777" w:rsidR="00F1517A" w:rsidRPr="00F1517A" w:rsidRDefault="00F1517A" w:rsidP="00F1517A">
            <w:pPr>
              <w:tabs>
                <w:tab w:val="left" w:pos="3876"/>
              </w:tabs>
              <w:spacing w:line="360" w:lineRule="auto"/>
              <w:rPr>
                <w:rFonts w:cs="Times New Roman"/>
                <w:b/>
                <w:bCs/>
              </w:rPr>
            </w:pPr>
            <w:r w:rsidRPr="00F1517A">
              <w:rPr>
                <w:rFonts w:cs="Times New Roman"/>
                <w:b/>
                <w:bCs/>
              </w:rPr>
              <w:t>Net Profit</w:t>
            </w:r>
          </w:p>
        </w:tc>
        <w:tc>
          <w:tcPr>
            <w:tcW w:w="1890" w:type="dxa"/>
            <w:hideMark/>
          </w:tcPr>
          <w:p w14:paraId="611570B1" w14:textId="77777777" w:rsidR="00F1517A" w:rsidRPr="00F1517A" w:rsidRDefault="00F1517A" w:rsidP="00F1517A">
            <w:pPr>
              <w:tabs>
                <w:tab w:val="left" w:pos="3876"/>
              </w:tabs>
              <w:spacing w:line="360" w:lineRule="auto"/>
              <w:rPr>
                <w:rFonts w:cs="Times New Roman"/>
                <w:b/>
                <w:bCs/>
              </w:rPr>
            </w:pPr>
            <w:r w:rsidRPr="00F1517A">
              <w:rPr>
                <w:rFonts w:cs="Times New Roman"/>
                <w:b/>
                <w:bCs/>
              </w:rPr>
              <w:t xml:space="preserve">$60,000 </w:t>
            </w:r>
          </w:p>
        </w:tc>
      </w:tr>
    </w:tbl>
    <w:p w14:paraId="611570B3" w14:textId="77777777" w:rsidR="00F1517A" w:rsidRDefault="00F1517A" w:rsidP="002C0D32">
      <w:pPr>
        <w:tabs>
          <w:tab w:val="left" w:pos="3876"/>
        </w:tabs>
        <w:spacing w:line="360" w:lineRule="auto"/>
        <w:rPr>
          <w:rFonts w:cs="Times New Roman"/>
        </w:rPr>
      </w:pPr>
    </w:p>
    <w:p w14:paraId="611570B4" w14:textId="77777777" w:rsidR="00F1517A" w:rsidRPr="00F1517A" w:rsidRDefault="00F1517A" w:rsidP="002C0D32">
      <w:pPr>
        <w:tabs>
          <w:tab w:val="left" w:pos="3876"/>
        </w:tabs>
        <w:spacing w:line="360" w:lineRule="auto"/>
        <w:rPr>
          <w:b/>
        </w:rPr>
      </w:pPr>
      <w:r w:rsidRPr="00F1517A">
        <w:rPr>
          <w:b/>
        </w:rPr>
        <w:t>Cost Justifications &amp; Strategic Allocation</w:t>
      </w:r>
    </w:p>
    <w:p w14:paraId="611570B5" w14:textId="77777777" w:rsidR="00F1517A" w:rsidRDefault="00F1517A" w:rsidP="002C0D32">
      <w:pPr>
        <w:tabs>
          <w:tab w:val="left" w:pos="3876"/>
        </w:tabs>
        <w:spacing w:line="360" w:lineRule="auto"/>
        <w:rPr>
          <w:rFonts w:cs="Times New Roman"/>
        </w:rPr>
      </w:pPr>
      <w:r w:rsidRPr="00F1517A">
        <w:rPr>
          <w:rFonts w:cs="Times New Roman"/>
        </w:rPr>
        <w:t xml:space="preserve">A sizeable portion of the budget is set aside for venue rental, speaker expenses, and technological </w:t>
      </w:r>
      <w:proofErr w:type="gramStart"/>
      <w:r w:rsidRPr="00F1517A">
        <w:rPr>
          <w:rFonts w:cs="Times New Roman"/>
        </w:rPr>
        <w:t>setup</w:t>
      </w:r>
      <w:proofErr w:type="gramEnd"/>
      <w:r w:rsidRPr="00F1517A">
        <w:rPr>
          <w:rFonts w:cs="Times New Roman"/>
        </w:rPr>
        <w:t xml:space="preserve"> to guarantee a top-notch event experience. The marketing budget is carefully managed to optimize attendance through targeted outreach, industry alliances, and social media initiatives. Investing in technical and hybrid event capabilities is essential to guarantee smooth interaction for both in-person and virtual attendees. To ensure unforeseen disruptions do not </w:t>
      </w:r>
      <w:proofErr w:type="gramStart"/>
      <w:r w:rsidRPr="00F1517A">
        <w:rPr>
          <w:rFonts w:cs="Times New Roman"/>
        </w:rPr>
        <w:t>impact event</w:t>
      </w:r>
      <w:proofErr w:type="gramEnd"/>
      <w:r w:rsidRPr="00F1517A">
        <w:rPr>
          <w:rFonts w:cs="Times New Roman"/>
        </w:rPr>
        <w:t xml:space="preserve"> delivery, a contingency budget is set aside to offset operational risks and unexpected costs.</w:t>
      </w:r>
    </w:p>
    <w:p w14:paraId="611570B6" w14:textId="77777777" w:rsidR="00F1517A" w:rsidRPr="00F1517A" w:rsidRDefault="00F1517A" w:rsidP="002C0D32">
      <w:pPr>
        <w:tabs>
          <w:tab w:val="left" w:pos="3876"/>
        </w:tabs>
        <w:spacing w:line="360" w:lineRule="auto"/>
        <w:rPr>
          <w:rFonts w:cs="Times New Roman"/>
          <w:b/>
        </w:rPr>
      </w:pPr>
      <w:r w:rsidRPr="00F1517A">
        <w:rPr>
          <w:rFonts w:cs="Times New Roman"/>
          <w:b/>
        </w:rPr>
        <w:t>Risk &amp; Mitigation Strategies</w:t>
      </w:r>
    </w:p>
    <w:tbl>
      <w:tblPr>
        <w:tblStyle w:val="TableGrid"/>
        <w:tblW w:w="0" w:type="auto"/>
        <w:tblLook w:val="04A0" w:firstRow="1" w:lastRow="0" w:firstColumn="1" w:lastColumn="0" w:noHBand="0" w:noVBand="1"/>
      </w:tblPr>
      <w:tblGrid>
        <w:gridCol w:w="2060"/>
        <w:gridCol w:w="1600"/>
        <w:gridCol w:w="5808"/>
      </w:tblGrid>
      <w:tr w:rsidR="00F1517A" w:rsidRPr="00F1517A" w14:paraId="611570BA" w14:textId="77777777" w:rsidTr="00F1517A">
        <w:trPr>
          <w:trHeight w:val="576"/>
        </w:trPr>
        <w:tc>
          <w:tcPr>
            <w:tcW w:w="2060" w:type="dxa"/>
            <w:shd w:val="clear" w:color="auto" w:fill="C6D9F1" w:themeFill="text2" w:themeFillTint="33"/>
            <w:hideMark/>
          </w:tcPr>
          <w:p w14:paraId="611570B7" w14:textId="77777777" w:rsidR="00F1517A" w:rsidRPr="00F1517A" w:rsidRDefault="00F1517A" w:rsidP="00F1517A">
            <w:pPr>
              <w:tabs>
                <w:tab w:val="left" w:pos="3876"/>
              </w:tabs>
              <w:spacing w:line="360" w:lineRule="auto"/>
              <w:rPr>
                <w:rFonts w:cs="Times New Roman"/>
                <w:b/>
                <w:bCs/>
              </w:rPr>
            </w:pPr>
            <w:r w:rsidRPr="00F1517A">
              <w:rPr>
                <w:rFonts w:cs="Times New Roman"/>
                <w:b/>
                <w:bCs/>
              </w:rPr>
              <w:t>Potential Risk</w:t>
            </w:r>
          </w:p>
        </w:tc>
        <w:tc>
          <w:tcPr>
            <w:tcW w:w="1600" w:type="dxa"/>
            <w:shd w:val="clear" w:color="auto" w:fill="C6D9F1" w:themeFill="text2" w:themeFillTint="33"/>
            <w:hideMark/>
          </w:tcPr>
          <w:p w14:paraId="611570B8" w14:textId="77777777" w:rsidR="00F1517A" w:rsidRPr="00F1517A" w:rsidRDefault="00F1517A" w:rsidP="00F1517A">
            <w:pPr>
              <w:tabs>
                <w:tab w:val="left" w:pos="3876"/>
              </w:tabs>
              <w:spacing w:line="360" w:lineRule="auto"/>
              <w:rPr>
                <w:rFonts w:cs="Times New Roman"/>
                <w:b/>
                <w:bCs/>
              </w:rPr>
            </w:pPr>
            <w:r w:rsidRPr="00F1517A">
              <w:rPr>
                <w:rFonts w:cs="Times New Roman"/>
                <w:b/>
                <w:bCs/>
              </w:rPr>
              <w:t>Impact Level</w:t>
            </w:r>
          </w:p>
        </w:tc>
        <w:tc>
          <w:tcPr>
            <w:tcW w:w="5808" w:type="dxa"/>
            <w:shd w:val="clear" w:color="auto" w:fill="C6D9F1" w:themeFill="text2" w:themeFillTint="33"/>
            <w:hideMark/>
          </w:tcPr>
          <w:p w14:paraId="611570B9" w14:textId="77777777" w:rsidR="00F1517A" w:rsidRPr="00F1517A" w:rsidRDefault="00F1517A" w:rsidP="00F1517A">
            <w:pPr>
              <w:tabs>
                <w:tab w:val="left" w:pos="3876"/>
              </w:tabs>
              <w:spacing w:line="360" w:lineRule="auto"/>
              <w:rPr>
                <w:rFonts w:cs="Times New Roman"/>
                <w:b/>
                <w:bCs/>
              </w:rPr>
            </w:pPr>
            <w:r w:rsidRPr="00F1517A">
              <w:rPr>
                <w:rFonts w:cs="Times New Roman"/>
                <w:b/>
                <w:bCs/>
              </w:rPr>
              <w:t>Mitigation Strategy</w:t>
            </w:r>
          </w:p>
        </w:tc>
      </w:tr>
      <w:tr w:rsidR="00F1517A" w:rsidRPr="00F1517A" w14:paraId="611570BE" w14:textId="77777777" w:rsidTr="00F1517A">
        <w:trPr>
          <w:trHeight w:val="719"/>
        </w:trPr>
        <w:tc>
          <w:tcPr>
            <w:tcW w:w="2060" w:type="dxa"/>
            <w:shd w:val="clear" w:color="auto" w:fill="C6D9F1" w:themeFill="text2" w:themeFillTint="33"/>
            <w:hideMark/>
          </w:tcPr>
          <w:p w14:paraId="611570BB" w14:textId="77777777" w:rsidR="00F1517A" w:rsidRPr="00F1517A" w:rsidRDefault="00F1517A" w:rsidP="00F1517A">
            <w:pPr>
              <w:tabs>
                <w:tab w:val="left" w:pos="3876"/>
              </w:tabs>
              <w:spacing w:line="360" w:lineRule="auto"/>
              <w:rPr>
                <w:rFonts w:cs="Times New Roman"/>
              </w:rPr>
            </w:pPr>
            <w:r w:rsidRPr="00F1517A">
              <w:rPr>
                <w:rFonts w:cs="Times New Roman"/>
              </w:rPr>
              <w:t>Low Ticket Sales</w:t>
            </w:r>
          </w:p>
        </w:tc>
        <w:tc>
          <w:tcPr>
            <w:tcW w:w="1600" w:type="dxa"/>
            <w:hideMark/>
          </w:tcPr>
          <w:p w14:paraId="611570BC" w14:textId="77777777" w:rsidR="00F1517A" w:rsidRPr="00F1517A" w:rsidRDefault="00F1517A" w:rsidP="00F1517A">
            <w:pPr>
              <w:tabs>
                <w:tab w:val="left" w:pos="3876"/>
              </w:tabs>
              <w:spacing w:line="360" w:lineRule="auto"/>
              <w:rPr>
                <w:rFonts w:cs="Times New Roman"/>
              </w:rPr>
            </w:pPr>
            <w:r w:rsidRPr="00F1517A">
              <w:rPr>
                <w:rFonts w:cs="Times New Roman"/>
              </w:rPr>
              <w:t>High</w:t>
            </w:r>
          </w:p>
        </w:tc>
        <w:tc>
          <w:tcPr>
            <w:tcW w:w="5808" w:type="dxa"/>
            <w:hideMark/>
          </w:tcPr>
          <w:p w14:paraId="611570BD" w14:textId="77777777" w:rsidR="00F1517A" w:rsidRPr="00F1517A" w:rsidRDefault="00F1517A" w:rsidP="00F1517A">
            <w:pPr>
              <w:tabs>
                <w:tab w:val="left" w:pos="3876"/>
              </w:tabs>
              <w:spacing w:line="360" w:lineRule="auto"/>
              <w:rPr>
                <w:rFonts w:cs="Times New Roman"/>
              </w:rPr>
            </w:pPr>
            <w:r w:rsidRPr="00F1517A">
              <w:rPr>
                <w:rFonts w:cs="Times New Roman"/>
              </w:rPr>
              <w:t xml:space="preserve">Early-bird discounts, targeted digital marketing, </w:t>
            </w:r>
            <w:proofErr w:type="gramStart"/>
            <w:r w:rsidRPr="00F1517A">
              <w:rPr>
                <w:rFonts w:cs="Times New Roman"/>
              </w:rPr>
              <w:lastRenderedPageBreak/>
              <w:t>influencer</w:t>
            </w:r>
            <w:proofErr w:type="gramEnd"/>
            <w:r w:rsidRPr="00F1517A">
              <w:rPr>
                <w:rFonts w:cs="Times New Roman"/>
              </w:rPr>
              <w:t xml:space="preserve"> partnerships.</w:t>
            </w:r>
          </w:p>
        </w:tc>
      </w:tr>
      <w:tr w:rsidR="00F1517A" w:rsidRPr="00F1517A" w14:paraId="611570C2" w14:textId="77777777" w:rsidTr="00F1517A">
        <w:trPr>
          <w:trHeight w:val="863"/>
        </w:trPr>
        <w:tc>
          <w:tcPr>
            <w:tcW w:w="2060" w:type="dxa"/>
            <w:shd w:val="clear" w:color="auto" w:fill="C6D9F1" w:themeFill="text2" w:themeFillTint="33"/>
            <w:hideMark/>
          </w:tcPr>
          <w:p w14:paraId="611570BF" w14:textId="77777777" w:rsidR="00F1517A" w:rsidRPr="00F1517A" w:rsidRDefault="00F1517A" w:rsidP="00F1517A">
            <w:pPr>
              <w:tabs>
                <w:tab w:val="left" w:pos="3876"/>
              </w:tabs>
              <w:spacing w:line="360" w:lineRule="auto"/>
              <w:rPr>
                <w:rFonts w:cs="Times New Roman"/>
              </w:rPr>
            </w:pPr>
            <w:r w:rsidRPr="00F1517A">
              <w:rPr>
                <w:rFonts w:cs="Times New Roman"/>
              </w:rPr>
              <w:lastRenderedPageBreak/>
              <w:t>Sponsorship Shortfall</w:t>
            </w:r>
          </w:p>
        </w:tc>
        <w:tc>
          <w:tcPr>
            <w:tcW w:w="1600" w:type="dxa"/>
            <w:hideMark/>
          </w:tcPr>
          <w:p w14:paraId="611570C0" w14:textId="77777777" w:rsidR="00F1517A" w:rsidRPr="00F1517A" w:rsidRDefault="00F1517A" w:rsidP="00F1517A">
            <w:pPr>
              <w:tabs>
                <w:tab w:val="left" w:pos="3876"/>
              </w:tabs>
              <w:spacing w:line="360" w:lineRule="auto"/>
              <w:rPr>
                <w:rFonts w:cs="Times New Roman"/>
              </w:rPr>
            </w:pPr>
            <w:r w:rsidRPr="00F1517A">
              <w:rPr>
                <w:rFonts w:cs="Times New Roman"/>
              </w:rPr>
              <w:t>Medium</w:t>
            </w:r>
          </w:p>
        </w:tc>
        <w:tc>
          <w:tcPr>
            <w:tcW w:w="5808" w:type="dxa"/>
            <w:hideMark/>
          </w:tcPr>
          <w:p w14:paraId="611570C1" w14:textId="77777777" w:rsidR="00F1517A" w:rsidRPr="00F1517A" w:rsidRDefault="00F1517A" w:rsidP="00F1517A">
            <w:pPr>
              <w:tabs>
                <w:tab w:val="left" w:pos="3876"/>
              </w:tabs>
              <w:spacing w:line="360" w:lineRule="auto"/>
              <w:rPr>
                <w:rFonts w:cs="Times New Roman"/>
              </w:rPr>
            </w:pPr>
            <w:r w:rsidRPr="00F1517A">
              <w:rPr>
                <w:rFonts w:cs="Times New Roman"/>
              </w:rPr>
              <w:t>Diversify funding sources, introduce tiered sponsorship packages, engage multiple industries.</w:t>
            </w:r>
          </w:p>
        </w:tc>
      </w:tr>
      <w:tr w:rsidR="00F1517A" w:rsidRPr="00F1517A" w14:paraId="611570C6" w14:textId="77777777" w:rsidTr="00F1517A">
        <w:trPr>
          <w:trHeight w:val="890"/>
        </w:trPr>
        <w:tc>
          <w:tcPr>
            <w:tcW w:w="2060" w:type="dxa"/>
            <w:shd w:val="clear" w:color="auto" w:fill="C6D9F1" w:themeFill="text2" w:themeFillTint="33"/>
            <w:hideMark/>
          </w:tcPr>
          <w:p w14:paraId="611570C3" w14:textId="77777777" w:rsidR="00F1517A" w:rsidRPr="00F1517A" w:rsidRDefault="00F1517A" w:rsidP="00F1517A">
            <w:pPr>
              <w:tabs>
                <w:tab w:val="left" w:pos="3876"/>
              </w:tabs>
              <w:spacing w:line="360" w:lineRule="auto"/>
              <w:rPr>
                <w:rFonts w:cs="Times New Roman"/>
              </w:rPr>
            </w:pPr>
            <w:r w:rsidRPr="00F1517A">
              <w:rPr>
                <w:rFonts w:cs="Times New Roman"/>
              </w:rPr>
              <w:t>Venue or Technical Issues</w:t>
            </w:r>
          </w:p>
        </w:tc>
        <w:tc>
          <w:tcPr>
            <w:tcW w:w="1600" w:type="dxa"/>
            <w:hideMark/>
          </w:tcPr>
          <w:p w14:paraId="611570C4" w14:textId="77777777" w:rsidR="00F1517A" w:rsidRPr="00F1517A" w:rsidRDefault="00F1517A" w:rsidP="00F1517A">
            <w:pPr>
              <w:tabs>
                <w:tab w:val="left" w:pos="3876"/>
              </w:tabs>
              <w:spacing w:line="360" w:lineRule="auto"/>
              <w:rPr>
                <w:rFonts w:cs="Times New Roman"/>
              </w:rPr>
            </w:pPr>
            <w:r w:rsidRPr="00F1517A">
              <w:rPr>
                <w:rFonts w:cs="Times New Roman"/>
              </w:rPr>
              <w:t>Medium</w:t>
            </w:r>
          </w:p>
        </w:tc>
        <w:tc>
          <w:tcPr>
            <w:tcW w:w="5808" w:type="dxa"/>
            <w:hideMark/>
          </w:tcPr>
          <w:p w14:paraId="611570C5" w14:textId="77777777" w:rsidR="00F1517A" w:rsidRPr="00F1517A" w:rsidRDefault="00F1517A" w:rsidP="00F1517A">
            <w:pPr>
              <w:tabs>
                <w:tab w:val="left" w:pos="3876"/>
              </w:tabs>
              <w:spacing w:line="360" w:lineRule="auto"/>
              <w:rPr>
                <w:rFonts w:cs="Times New Roman"/>
              </w:rPr>
            </w:pPr>
            <w:r w:rsidRPr="00F1517A">
              <w:rPr>
                <w:rFonts w:cs="Times New Roman"/>
              </w:rPr>
              <w:t>Backup venue contracts, on-site technical team, pre-event system testing.</w:t>
            </w:r>
          </w:p>
        </w:tc>
      </w:tr>
      <w:tr w:rsidR="00F1517A" w:rsidRPr="00F1517A" w14:paraId="611570CA" w14:textId="77777777" w:rsidTr="00F1517A">
        <w:trPr>
          <w:trHeight w:val="800"/>
        </w:trPr>
        <w:tc>
          <w:tcPr>
            <w:tcW w:w="2060" w:type="dxa"/>
            <w:shd w:val="clear" w:color="auto" w:fill="C6D9F1" w:themeFill="text2" w:themeFillTint="33"/>
            <w:hideMark/>
          </w:tcPr>
          <w:p w14:paraId="611570C7" w14:textId="77777777" w:rsidR="00F1517A" w:rsidRPr="00F1517A" w:rsidRDefault="00F1517A" w:rsidP="00F1517A">
            <w:pPr>
              <w:tabs>
                <w:tab w:val="left" w:pos="3876"/>
              </w:tabs>
              <w:spacing w:line="360" w:lineRule="auto"/>
              <w:rPr>
                <w:rFonts w:cs="Times New Roman"/>
              </w:rPr>
            </w:pPr>
            <w:r w:rsidRPr="00F1517A">
              <w:rPr>
                <w:rFonts w:cs="Times New Roman"/>
              </w:rPr>
              <w:t>Speaker Cancellations</w:t>
            </w:r>
          </w:p>
        </w:tc>
        <w:tc>
          <w:tcPr>
            <w:tcW w:w="1600" w:type="dxa"/>
            <w:hideMark/>
          </w:tcPr>
          <w:p w14:paraId="611570C8" w14:textId="77777777" w:rsidR="00F1517A" w:rsidRPr="00F1517A" w:rsidRDefault="00F1517A" w:rsidP="00F1517A">
            <w:pPr>
              <w:tabs>
                <w:tab w:val="left" w:pos="3876"/>
              </w:tabs>
              <w:spacing w:line="360" w:lineRule="auto"/>
              <w:rPr>
                <w:rFonts w:cs="Times New Roman"/>
              </w:rPr>
            </w:pPr>
            <w:r w:rsidRPr="00F1517A">
              <w:rPr>
                <w:rFonts w:cs="Times New Roman"/>
              </w:rPr>
              <w:t>Low</w:t>
            </w:r>
          </w:p>
        </w:tc>
        <w:tc>
          <w:tcPr>
            <w:tcW w:w="5808" w:type="dxa"/>
            <w:hideMark/>
          </w:tcPr>
          <w:p w14:paraId="611570C9" w14:textId="77777777" w:rsidR="00F1517A" w:rsidRPr="00F1517A" w:rsidRDefault="00F1517A" w:rsidP="00F1517A">
            <w:pPr>
              <w:tabs>
                <w:tab w:val="left" w:pos="3876"/>
              </w:tabs>
              <w:spacing w:line="360" w:lineRule="auto"/>
              <w:rPr>
                <w:rFonts w:cs="Times New Roman"/>
              </w:rPr>
            </w:pPr>
            <w:r w:rsidRPr="00F1517A">
              <w:rPr>
                <w:rFonts w:cs="Times New Roman"/>
              </w:rPr>
              <w:t>Backup speaker agreements, virtual participation options.</w:t>
            </w:r>
          </w:p>
        </w:tc>
      </w:tr>
      <w:tr w:rsidR="00F1517A" w:rsidRPr="00F1517A" w14:paraId="611570CE" w14:textId="77777777" w:rsidTr="00F1517A">
        <w:trPr>
          <w:trHeight w:val="800"/>
        </w:trPr>
        <w:tc>
          <w:tcPr>
            <w:tcW w:w="2060" w:type="dxa"/>
            <w:shd w:val="clear" w:color="auto" w:fill="C6D9F1" w:themeFill="text2" w:themeFillTint="33"/>
            <w:hideMark/>
          </w:tcPr>
          <w:p w14:paraId="611570CB" w14:textId="77777777" w:rsidR="00F1517A" w:rsidRPr="00F1517A" w:rsidRDefault="00F1517A" w:rsidP="00F1517A">
            <w:pPr>
              <w:tabs>
                <w:tab w:val="left" w:pos="3876"/>
              </w:tabs>
              <w:spacing w:line="360" w:lineRule="auto"/>
              <w:rPr>
                <w:rFonts w:cs="Times New Roman"/>
              </w:rPr>
            </w:pPr>
            <w:r w:rsidRPr="00F1517A">
              <w:rPr>
                <w:rFonts w:cs="Times New Roman"/>
              </w:rPr>
              <w:t>Operational Delays</w:t>
            </w:r>
          </w:p>
        </w:tc>
        <w:tc>
          <w:tcPr>
            <w:tcW w:w="1600" w:type="dxa"/>
            <w:hideMark/>
          </w:tcPr>
          <w:p w14:paraId="611570CC" w14:textId="77777777" w:rsidR="00F1517A" w:rsidRPr="00F1517A" w:rsidRDefault="00F1517A" w:rsidP="00F1517A">
            <w:pPr>
              <w:tabs>
                <w:tab w:val="left" w:pos="3876"/>
              </w:tabs>
              <w:spacing w:line="360" w:lineRule="auto"/>
              <w:rPr>
                <w:rFonts w:cs="Times New Roman"/>
              </w:rPr>
            </w:pPr>
            <w:r w:rsidRPr="00F1517A">
              <w:rPr>
                <w:rFonts w:cs="Times New Roman"/>
              </w:rPr>
              <w:t>Medium</w:t>
            </w:r>
          </w:p>
        </w:tc>
        <w:tc>
          <w:tcPr>
            <w:tcW w:w="5808" w:type="dxa"/>
            <w:hideMark/>
          </w:tcPr>
          <w:p w14:paraId="611570CD" w14:textId="77777777" w:rsidR="00F1517A" w:rsidRPr="00F1517A" w:rsidRDefault="00F1517A" w:rsidP="00F1517A">
            <w:pPr>
              <w:tabs>
                <w:tab w:val="left" w:pos="3876"/>
              </w:tabs>
              <w:spacing w:line="360" w:lineRule="auto"/>
              <w:rPr>
                <w:rFonts w:cs="Times New Roman"/>
              </w:rPr>
            </w:pPr>
            <w:r w:rsidRPr="00F1517A">
              <w:rPr>
                <w:rFonts w:cs="Times New Roman"/>
              </w:rPr>
              <w:t>Detailed event timeline, professional event management team, contingency planning.</w:t>
            </w:r>
          </w:p>
        </w:tc>
      </w:tr>
    </w:tbl>
    <w:p w14:paraId="611570CF" w14:textId="77777777" w:rsidR="00F1517A" w:rsidRDefault="00F1517A" w:rsidP="002C0D32">
      <w:pPr>
        <w:tabs>
          <w:tab w:val="left" w:pos="3876"/>
        </w:tabs>
        <w:spacing w:line="360" w:lineRule="auto"/>
        <w:rPr>
          <w:rFonts w:cs="Times New Roman"/>
        </w:rPr>
      </w:pPr>
    </w:p>
    <w:p w14:paraId="611570D0" w14:textId="77777777" w:rsidR="00F1517A" w:rsidRDefault="00F1517A" w:rsidP="00F1517A">
      <w:pPr>
        <w:pStyle w:val="Heading1"/>
      </w:pPr>
      <w:bookmarkStart w:id="7" w:name="_Toc189344099"/>
      <w:r>
        <w:t>Industry Trends, Issues &amp; Impacts</w:t>
      </w:r>
      <w:bookmarkEnd w:id="7"/>
    </w:p>
    <w:p w14:paraId="611570D1" w14:textId="77777777" w:rsidR="00BE7606" w:rsidRDefault="00BE7606" w:rsidP="00F1517A">
      <w:pPr>
        <w:tabs>
          <w:tab w:val="left" w:pos="3876"/>
        </w:tabs>
        <w:spacing w:line="360" w:lineRule="auto"/>
        <w:rPr>
          <w:rFonts w:cs="Times New Roman"/>
        </w:rPr>
      </w:pPr>
      <w:r w:rsidRPr="00BE7606">
        <w:rPr>
          <w:rFonts w:cs="Times New Roman"/>
        </w:rPr>
        <w:t xml:space="preserve">The events industry has been changing rapidly due to technological breakthroughs, alteration of business priorities and new societal expectations. Among the most important developments taking place in the sector at this point is the appearance of hybrid and digital events which have accelerated with post-pandemic engage tactics and global connectivity (Mahadewi, 2023). Nowadays, hybrid models are gaining popularity, because they allow creating greater accessibility, lower costs and broader coverage. Furthermore, with the companies and consumers putting </w:t>
      </w:r>
      <w:proofErr w:type="spellStart"/>
      <w:r w:rsidRPr="00BE7606">
        <w:rPr>
          <w:rFonts w:cs="Times New Roman"/>
        </w:rPr>
        <w:t>eco friendly</w:t>
      </w:r>
      <w:proofErr w:type="spellEnd"/>
      <w:r w:rsidRPr="00BE7606">
        <w:rPr>
          <w:rFonts w:cs="Times New Roman"/>
        </w:rPr>
        <w:t xml:space="preserve"> processes and waste reduction and minimizing carbon </w:t>
      </w:r>
      <w:proofErr w:type="gramStart"/>
      <w:r w:rsidRPr="00BE7606">
        <w:rPr>
          <w:rFonts w:cs="Times New Roman"/>
        </w:rPr>
        <w:t>footprint</w:t>
      </w:r>
      <w:proofErr w:type="gramEnd"/>
      <w:r w:rsidRPr="00BE7606">
        <w:rPr>
          <w:rFonts w:cs="Times New Roman"/>
        </w:rPr>
        <w:t xml:space="preserve"> on the top, the demand for sustainable event planning is on the rise. The second big trend is corporates' focus on Diversity, Equity, and Inclusion (DEI). As businesses adopt equity driven initiatives, diverse recruiting practices, and inclusive policies to their corporate frameworks, specialized events tailored to this need are becoming a demand (</w:t>
      </w:r>
      <w:proofErr w:type="spellStart"/>
      <w:r w:rsidRPr="00BE7606">
        <w:rPr>
          <w:rFonts w:cs="Times New Roman"/>
        </w:rPr>
        <w:t>Okatta</w:t>
      </w:r>
      <w:proofErr w:type="spellEnd"/>
      <w:r w:rsidRPr="00BE7606">
        <w:rPr>
          <w:rFonts w:cs="Times New Roman"/>
        </w:rPr>
        <w:t xml:space="preserve"> et al., 2024).</w:t>
      </w:r>
    </w:p>
    <w:p w14:paraId="611570D2" w14:textId="77777777" w:rsidR="00BE7606" w:rsidRDefault="00BE7606" w:rsidP="00F1517A">
      <w:pPr>
        <w:tabs>
          <w:tab w:val="left" w:pos="3876"/>
        </w:tabs>
        <w:spacing w:line="360" w:lineRule="auto"/>
        <w:rPr>
          <w:rFonts w:cs="Times New Roman"/>
        </w:rPr>
      </w:pPr>
      <w:r w:rsidRPr="00BE7606">
        <w:rPr>
          <w:rFonts w:cs="Times New Roman"/>
        </w:rPr>
        <w:t xml:space="preserve">This helps in ensuring the EDI Conference for the Hospitality &amp; Business </w:t>
      </w:r>
      <w:proofErr w:type="gramStart"/>
      <w:r w:rsidRPr="00BE7606">
        <w:rPr>
          <w:rFonts w:cs="Times New Roman"/>
        </w:rPr>
        <w:t>to stay</w:t>
      </w:r>
      <w:proofErr w:type="gramEnd"/>
      <w:r w:rsidRPr="00BE7606">
        <w:rPr>
          <w:rFonts w:cs="Times New Roman"/>
        </w:rPr>
        <w:t xml:space="preserve"> as pertinent and impactful as possible. The hybrid event format makes global participation possible so that business leaders, lawmakers and hospitality professionals can be part of the conversation from any location (KOURKOURIDIS et al., 2024). By doing so, it provides for inclusivity and accessibility in line with the current trend of digital interaction and global networking. Furthermore, the event aligns with the emerging requirement of sustainable event design by </w:t>
      </w:r>
      <w:r w:rsidRPr="00BE7606">
        <w:rPr>
          <w:rFonts w:cs="Times New Roman"/>
        </w:rPr>
        <w:lastRenderedPageBreak/>
        <w:t xml:space="preserve">incorporating sustainable action including digital program, </w:t>
      </w:r>
      <w:proofErr w:type="spellStart"/>
      <w:r w:rsidRPr="00BE7606">
        <w:rPr>
          <w:rFonts w:cs="Times New Roman"/>
        </w:rPr>
        <w:t>eco friendly</w:t>
      </w:r>
      <w:proofErr w:type="spellEnd"/>
      <w:r w:rsidRPr="00BE7606">
        <w:rPr>
          <w:rFonts w:cs="Times New Roman"/>
        </w:rPr>
        <w:t xml:space="preserve"> food and waste management method (Liu and Lei, 2020). In addition, the conference finally addresses the corporate shift to DEI and contributes practical tactics, industry case studies, and expert conversations for organizations to implement actual diversity initiatives.</w:t>
      </w:r>
    </w:p>
    <w:p w14:paraId="611570D3" w14:textId="77777777" w:rsidR="00F1517A" w:rsidRDefault="00DD2120" w:rsidP="00DD2120">
      <w:pPr>
        <w:pStyle w:val="Heading1"/>
      </w:pPr>
      <w:bookmarkStart w:id="8" w:name="_Toc189344100"/>
      <w:r>
        <w:t>Situational &amp; Cultural Considerations</w:t>
      </w:r>
      <w:bookmarkEnd w:id="8"/>
    </w:p>
    <w:p w14:paraId="611570D4" w14:textId="77777777" w:rsidR="00BE7606" w:rsidRDefault="00BE7606" w:rsidP="00DD2120">
      <w:pPr>
        <w:tabs>
          <w:tab w:val="left" w:pos="3876"/>
        </w:tabs>
        <w:spacing w:line="360" w:lineRule="auto"/>
        <w:rPr>
          <w:rFonts w:cs="Times New Roman"/>
        </w:rPr>
      </w:pPr>
      <w:r w:rsidRPr="00BE7606">
        <w:rPr>
          <w:rFonts w:cs="Times New Roman"/>
        </w:rPr>
        <w:t xml:space="preserve">To develop strategic planning and </w:t>
      </w:r>
      <w:proofErr w:type="gramStart"/>
      <w:r w:rsidRPr="00BE7606">
        <w:rPr>
          <w:rFonts w:cs="Times New Roman"/>
        </w:rPr>
        <w:t>a successful</w:t>
      </w:r>
      <w:proofErr w:type="gramEnd"/>
      <w:r w:rsidRPr="00BE7606">
        <w:rPr>
          <w:rFonts w:cs="Times New Roman"/>
        </w:rPr>
        <w:t xml:space="preserve"> implementation of the Future of Inclusion: EDI Conference for Hospitality &amp; Business, it is essential to have a sound understanding of situational and cultural aspects. The analysis of the PESTEL, to be critically, </w:t>
      </w:r>
      <w:proofErr w:type="gramStart"/>
      <w:r w:rsidRPr="00BE7606">
        <w:rPr>
          <w:rFonts w:cs="Times New Roman"/>
        </w:rPr>
        <w:t>ensure</w:t>
      </w:r>
      <w:proofErr w:type="gramEnd"/>
      <w:r w:rsidRPr="00BE7606">
        <w:rPr>
          <w:rFonts w:cs="Times New Roman"/>
        </w:rPr>
        <w:t xml:space="preserve"> an efficient, inclusive and sustainable delivery of the event, enables the external macro environmental elements that impact the event to be analyzed.</w:t>
      </w:r>
    </w:p>
    <w:p w14:paraId="611570D5" w14:textId="77777777" w:rsidR="00DD2120" w:rsidRPr="00DD2120" w:rsidRDefault="00DD2120" w:rsidP="00DD2120">
      <w:pPr>
        <w:tabs>
          <w:tab w:val="left" w:pos="3876"/>
        </w:tabs>
        <w:spacing w:line="360" w:lineRule="auto"/>
        <w:rPr>
          <w:rFonts w:cs="Times New Roman"/>
          <w:b/>
        </w:rPr>
      </w:pPr>
      <w:r w:rsidRPr="00DD2120">
        <w:rPr>
          <w:rFonts w:cs="Times New Roman"/>
          <w:b/>
        </w:rPr>
        <w:t>Use of PESTEL Analysis</w:t>
      </w:r>
    </w:p>
    <w:p w14:paraId="611570D6" w14:textId="77777777" w:rsidR="00BE7606" w:rsidRDefault="00BE7606" w:rsidP="00DD2120">
      <w:pPr>
        <w:tabs>
          <w:tab w:val="left" w:pos="3876"/>
        </w:tabs>
        <w:spacing w:line="360" w:lineRule="auto"/>
        <w:rPr>
          <w:rFonts w:cs="Times New Roman"/>
        </w:rPr>
      </w:pPr>
      <w:r w:rsidRPr="00BE7606">
        <w:rPr>
          <w:rFonts w:cs="Times New Roman"/>
        </w:rPr>
        <w:t xml:space="preserve">From a political standpoint, this is a crucial consideration, as the government rules govern </w:t>
      </w:r>
      <w:proofErr w:type="spellStart"/>
      <w:r w:rsidRPr="00BE7606">
        <w:rPr>
          <w:rFonts w:cs="Times New Roman"/>
        </w:rPr>
        <w:t>anti discrimination</w:t>
      </w:r>
      <w:proofErr w:type="spellEnd"/>
      <w:r w:rsidRPr="00BE7606">
        <w:rPr>
          <w:rFonts w:cs="Times New Roman"/>
        </w:rPr>
        <w:t xml:space="preserve"> and workplace inclusion in the sector. However, it must be pointed out that the conference's content is dictated by regulatory frameworks that aim at achieving equitable employment, equal pay, and universally accessible standards to comply with industry diversity initiatives (</w:t>
      </w:r>
      <w:proofErr w:type="spellStart"/>
      <w:r w:rsidRPr="00BE7606">
        <w:rPr>
          <w:rFonts w:cs="Times New Roman"/>
        </w:rPr>
        <w:t>Alshaabani</w:t>
      </w:r>
      <w:proofErr w:type="spellEnd"/>
      <w:r w:rsidRPr="00BE7606">
        <w:rPr>
          <w:rFonts w:cs="Times New Roman"/>
        </w:rPr>
        <w:t xml:space="preserve"> et al., 2021). Another important part is the economy, considering financial limitations, depending on sponsorship support, and the transformation of corporate support. This requires balance to provide accessibility and economic viability, and price and sponsorship arrangements accommodation of sizeable companies.</w:t>
      </w:r>
    </w:p>
    <w:p w14:paraId="611570D7" w14:textId="77777777" w:rsidR="00BE7606" w:rsidRDefault="00BE7606" w:rsidP="00DD2120">
      <w:pPr>
        <w:tabs>
          <w:tab w:val="left" w:pos="3876"/>
        </w:tabs>
        <w:spacing w:line="360" w:lineRule="auto"/>
        <w:rPr>
          <w:rFonts w:cs="Times New Roman"/>
        </w:rPr>
      </w:pPr>
      <w:r w:rsidRPr="00BE7606">
        <w:rPr>
          <w:rFonts w:cs="Times New Roman"/>
        </w:rPr>
        <w:t xml:space="preserve">The changing demands of the diverse workplace are guided by social considerations relating to equality, inclusive leadership, and cultural intelligence. The event becomes more relevant due to this change in society; this is because its program is ensured to be changing, as the change reflects the changing expectations from the labor force. It is the technology that makes these happen, particularly in the case of maintaining a serene hybrid interaction using AI backed networking </w:t>
      </w:r>
      <w:proofErr w:type="gramStart"/>
      <w:r w:rsidRPr="00BE7606">
        <w:rPr>
          <w:rFonts w:cs="Times New Roman"/>
        </w:rPr>
        <w:t>tools, or</w:t>
      </w:r>
      <w:proofErr w:type="gramEnd"/>
      <w:r w:rsidRPr="00BE7606">
        <w:rPr>
          <w:rFonts w:cs="Times New Roman"/>
        </w:rPr>
        <w:t xml:space="preserve"> holding virtual interactive panels, or picking technology that is accessible among other things (Sharad Kumar Kulshreshtha and Webster, 2024). Environmental considerations such as </w:t>
      </w:r>
      <w:proofErr w:type="spellStart"/>
      <w:r w:rsidRPr="00BE7606">
        <w:rPr>
          <w:rFonts w:cs="Times New Roman"/>
        </w:rPr>
        <w:t>eco friendly</w:t>
      </w:r>
      <w:proofErr w:type="spellEnd"/>
      <w:r w:rsidRPr="00BE7606">
        <w:rPr>
          <w:rFonts w:cs="Times New Roman"/>
        </w:rPr>
        <w:t xml:space="preserve"> supplies, conscientious catering, and reduction of waste are required to be dedicated to sustainable event planning. Legal considerations on compliance and </w:t>
      </w:r>
      <w:r w:rsidRPr="00BE7606">
        <w:rPr>
          <w:rFonts w:cs="Times New Roman"/>
        </w:rPr>
        <w:lastRenderedPageBreak/>
        <w:t xml:space="preserve">legitimacy entail </w:t>
      </w:r>
      <w:proofErr w:type="gramStart"/>
      <w:r w:rsidRPr="00BE7606">
        <w:rPr>
          <w:rFonts w:cs="Times New Roman"/>
        </w:rPr>
        <w:t>standard</w:t>
      </w:r>
      <w:proofErr w:type="gramEnd"/>
      <w:r w:rsidRPr="00BE7606">
        <w:rPr>
          <w:rFonts w:cs="Times New Roman"/>
        </w:rPr>
        <w:t xml:space="preserve"> to adhere to accessibility standards, anti-discrimination, and ethical sponsorship agreements.</w:t>
      </w:r>
    </w:p>
    <w:p w14:paraId="611570D8" w14:textId="77777777" w:rsidR="00DD2120" w:rsidRPr="00DD2120" w:rsidRDefault="00DD2120" w:rsidP="00DD2120">
      <w:pPr>
        <w:tabs>
          <w:tab w:val="left" w:pos="3876"/>
        </w:tabs>
        <w:spacing w:line="360" w:lineRule="auto"/>
        <w:rPr>
          <w:rFonts w:cs="Times New Roman"/>
          <w:b/>
        </w:rPr>
      </w:pPr>
      <w:r w:rsidRPr="00DD2120">
        <w:rPr>
          <w:rFonts w:cs="Times New Roman"/>
          <w:b/>
        </w:rPr>
        <w:t>How These Factors Influence Event Planning &amp; Delivery</w:t>
      </w:r>
    </w:p>
    <w:p w14:paraId="611570D9" w14:textId="77777777" w:rsidR="00BE7606" w:rsidRDefault="00BE7606" w:rsidP="00DD2120">
      <w:pPr>
        <w:tabs>
          <w:tab w:val="left" w:pos="3876"/>
        </w:tabs>
        <w:spacing w:line="360" w:lineRule="auto"/>
        <w:rPr>
          <w:rFonts w:cs="Times New Roman"/>
        </w:rPr>
      </w:pPr>
      <w:r w:rsidRPr="00BE7606">
        <w:rPr>
          <w:rFonts w:cs="Times New Roman"/>
        </w:rPr>
        <w:t xml:space="preserve">These </w:t>
      </w:r>
      <w:proofErr w:type="spellStart"/>
      <w:r w:rsidRPr="00BE7606">
        <w:rPr>
          <w:rFonts w:cs="Times New Roman"/>
        </w:rPr>
        <w:t>macroenvirionmental</w:t>
      </w:r>
      <w:proofErr w:type="spellEnd"/>
      <w:r w:rsidRPr="00BE7606">
        <w:rPr>
          <w:rFonts w:cs="Times New Roman"/>
        </w:rPr>
        <w:t xml:space="preserve"> factors determine the choice of location, marketing plans, the content to select and logistics planning. Financial allocations, sponsorship outreach and cost control measures are impacted by economics; political and legal frameworks determine the progression of conversations focused on DEI. While technology is a good way to have a larger audience anywhere in the world, social factors </w:t>
      </w:r>
      <w:proofErr w:type="gramStart"/>
      <w:r w:rsidRPr="00BE7606">
        <w:rPr>
          <w:rFonts w:cs="Times New Roman"/>
        </w:rPr>
        <w:t>stresses</w:t>
      </w:r>
      <w:proofErr w:type="gramEnd"/>
      <w:r w:rsidRPr="00BE7606">
        <w:rPr>
          <w:rFonts w:cs="Times New Roman"/>
        </w:rPr>
        <w:t xml:space="preserve"> the </w:t>
      </w:r>
      <w:proofErr w:type="gramStart"/>
      <w:r w:rsidRPr="00BE7606">
        <w:rPr>
          <w:rFonts w:cs="Times New Roman"/>
        </w:rPr>
        <w:t>need of a concept</w:t>
      </w:r>
      <w:proofErr w:type="gramEnd"/>
      <w:r w:rsidRPr="00BE7606">
        <w:rPr>
          <w:rFonts w:cs="Times New Roman"/>
        </w:rPr>
        <w:t xml:space="preserve"> for </w:t>
      </w:r>
      <w:proofErr w:type="spellStart"/>
      <w:r w:rsidRPr="00BE7606">
        <w:rPr>
          <w:rFonts w:cs="Times New Roman"/>
        </w:rPr>
        <w:t>a</w:t>
      </w:r>
      <w:proofErr w:type="spellEnd"/>
      <w:r w:rsidRPr="00BE7606">
        <w:rPr>
          <w:rFonts w:cs="Times New Roman"/>
        </w:rPr>
        <w:t xml:space="preserve"> inclusive event. However, ensuring sustainability embedded into event operations </w:t>
      </w:r>
      <w:proofErr w:type="gramStart"/>
      <w:r w:rsidRPr="00BE7606">
        <w:rPr>
          <w:rFonts w:cs="Times New Roman"/>
        </w:rPr>
        <w:t>are</w:t>
      </w:r>
      <w:proofErr w:type="gramEnd"/>
      <w:r w:rsidRPr="00BE7606">
        <w:rPr>
          <w:rFonts w:cs="Times New Roman"/>
        </w:rPr>
        <w:t xml:space="preserve"> the corporate responsibility that strengthens the hotel industry's environmental commitments.</w:t>
      </w:r>
    </w:p>
    <w:p w14:paraId="611570DA" w14:textId="77777777" w:rsidR="00DD2120" w:rsidRDefault="00DD2120" w:rsidP="00DD2120">
      <w:pPr>
        <w:tabs>
          <w:tab w:val="left" w:pos="3876"/>
        </w:tabs>
        <w:spacing w:line="360" w:lineRule="auto"/>
        <w:rPr>
          <w:rFonts w:cs="Times New Roman"/>
          <w:b/>
        </w:rPr>
      </w:pPr>
      <w:r w:rsidRPr="00DD2120">
        <w:rPr>
          <w:rFonts w:cs="Times New Roman"/>
          <w:b/>
        </w:rPr>
        <w:t>Ensuring Cultural Sensitivity</w:t>
      </w:r>
    </w:p>
    <w:p w14:paraId="611570DB" w14:textId="77777777" w:rsidR="00BE7606" w:rsidRPr="00BE7606" w:rsidRDefault="00BE7606" w:rsidP="00DD2120">
      <w:pPr>
        <w:tabs>
          <w:tab w:val="left" w:pos="3876"/>
        </w:tabs>
        <w:spacing w:line="360" w:lineRule="auto"/>
        <w:rPr>
          <w:rFonts w:cs="Times New Roman"/>
        </w:rPr>
      </w:pPr>
      <w:proofErr w:type="spellStart"/>
      <w:r w:rsidRPr="00BE7606">
        <w:rPr>
          <w:rFonts w:cs="Times New Roman"/>
        </w:rPr>
        <w:t>Macrosenvironmental</w:t>
      </w:r>
      <w:proofErr w:type="spellEnd"/>
      <w:r w:rsidRPr="00BE7606">
        <w:rPr>
          <w:rFonts w:cs="Times New Roman"/>
        </w:rPr>
        <w:t xml:space="preserve"> factors are less crucial than the cultural ones. It will ensure multilingual access so we can service a worldwide audience, inclusive catering so that dietaries can be represented accordingly, and multi nationality of speakers. Providing culturally aware interaction tactics will foster a friendly environment and thus ensure guests are </w:t>
      </w:r>
      <w:proofErr w:type="gramStart"/>
      <w:r w:rsidRPr="00BE7606">
        <w:rPr>
          <w:rFonts w:cs="Times New Roman"/>
        </w:rPr>
        <w:t>provided</w:t>
      </w:r>
      <w:proofErr w:type="gramEnd"/>
      <w:r w:rsidRPr="00BE7606">
        <w:rPr>
          <w:rFonts w:cs="Times New Roman"/>
        </w:rPr>
        <w:t xml:space="preserve"> an inclusive, internat</w:t>
      </w:r>
      <w:r w:rsidR="00D03E6D">
        <w:rPr>
          <w:rFonts w:cs="Times New Roman"/>
        </w:rPr>
        <w:t>ionally relevant business event.</w:t>
      </w:r>
    </w:p>
    <w:p w14:paraId="611570DC" w14:textId="77777777" w:rsidR="00DD2120" w:rsidRPr="00DD2120" w:rsidRDefault="00DD2120" w:rsidP="00DD2120">
      <w:pPr>
        <w:pStyle w:val="Heading1"/>
        <w:rPr>
          <w:rFonts w:eastAsia="Times New Roman"/>
        </w:rPr>
      </w:pPr>
      <w:bookmarkStart w:id="9" w:name="_Toc189344101"/>
      <w:r w:rsidRPr="00DD2120">
        <w:rPr>
          <w:rFonts w:eastAsia="Times New Roman"/>
        </w:rPr>
        <w:t>Conclusion &amp; Recommendations</w:t>
      </w:r>
      <w:bookmarkEnd w:id="9"/>
    </w:p>
    <w:p w14:paraId="611570DD" w14:textId="77777777" w:rsidR="00DD2120" w:rsidRDefault="00BE7606" w:rsidP="00BE7606">
      <w:pPr>
        <w:spacing w:line="360" w:lineRule="auto"/>
        <w:rPr>
          <w:rFonts w:cs="Times New Roman"/>
        </w:rPr>
      </w:pPr>
      <w:r w:rsidRPr="00BE7606">
        <w:rPr>
          <w:rFonts w:cs="Times New Roman"/>
        </w:rPr>
        <w:t xml:space="preserve">Indeed, The Future of Inclusion, the strategically sound EDI conference for hospitality &amp; business, immediately meets a market need in the hospitality sector. Because of its </w:t>
      </w:r>
      <w:proofErr w:type="gramStart"/>
      <w:r w:rsidRPr="00BE7606">
        <w:rPr>
          <w:rFonts w:cs="Times New Roman"/>
        </w:rPr>
        <w:t>long term</w:t>
      </w:r>
      <w:proofErr w:type="gramEnd"/>
      <w:r w:rsidRPr="00BE7606">
        <w:rPr>
          <w:rFonts w:cs="Times New Roman"/>
        </w:rPr>
        <w:t xml:space="preserve"> financial viability, conformity of the industry and expert running and planning, a high impact event is guaranteed. The economic framework ensures long term sustainable viability by decreasing risk and enhancing the profits. To complement this, to accommodate higher scale, the event should eventually scale into regional conferences. In addition, a post event effects tracking system will also set the basis to evaluate long term results, ensuring the conference fosters EDI implementations beyond the event itself.</w:t>
      </w:r>
      <w:r w:rsidR="00DD2120">
        <w:rPr>
          <w:rFonts w:cs="Times New Roman"/>
        </w:rPr>
        <w:br w:type="page"/>
      </w:r>
    </w:p>
    <w:p w14:paraId="611570DE" w14:textId="77777777" w:rsidR="00DD2120" w:rsidRDefault="00DD2120" w:rsidP="00DD2120">
      <w:pPr>
        <w:pStyle w:val="Heading1"/>
      </w:pPr>
      <w:bookmarkStart w:id="10" w:name="_Toc189344102"/>
      <w:r>
        <w:lastRenderedPageBreak/>
        <w:t>References</w:t>
      </w:r>
      <w:bookmarkEnd w:id="10"/>
    </w:p>
    <w:p w14:paraId="611570DF" w14:textId="77777777" w:rsidR="00FB54CE" w:rsidRPr="00FB54CE" w:rsidRDefault="00FB54CE" w:rsidP="00FB54CE">
      <w:pPr>
        <w:spacing w:after="240" w:line="360" w:lineRule="auto"/>
        <w:rPr>
          <w:rFonts w:eastAsia="Times New Roman" w:cs="Times New Roman"/>
          <w:szCs w:val="24"/>
        </w:rPr>
      </w:pPr>
      <w:proofErr w:type="spellStart"/>
      <w:r w:rsidRPr="00FB54CE">
        <w:rPr>
          <w:rFonts w:eastAsia="Times New Roman" w:cs="Times New Roman"/>
          <w:szCs w:val="24"/>
        </w:rPr>
        <w:t>Alshaabani</w:t>
      </w:r>
      <w:proofErr w:type="spellEnd"/>
      <w:r w:rsidRPr="00FB54CE">
        <w:rPr>
          <w:rFonts w:eastAsia="Times New Roman" w:cs="Times New Roman"/>
          <w:szCs w:val="24"/>
        </w:rPr>
        <w:t xml:space="preserve">, A., Hamza, K.A. and </w:t>
      </w:r>
      <w:proofErr w:type="spellStart"/>
      <w:r w:rsidRPr="00FB54CE">
        <w:rPr>
          <w:rFonts w:eastAsia="Times New Roman" w:cs="Times New Roman"/>
          <w:szCs w:val="24"/>
        </w:rPr>
        <w:t>Rudnák</w:t>
      </w:r>
      <w:proofErr w:type="spellEnd"/>
      <w:r w:rsidRPr="00FB54CE">
        <w:rPr>
          <w:rFonts w:eastAsia="Times New Roman" w:cs="Times New Roman"/>
          <w:szCs w:val="24"/>
        </w:rPr>
        <w:t xml:space="preserve">, I. (2021). Impact of Diversity Management on Employees’ Engagement: The Role of Organizational Trust and Job Insecurity. </w:t>
      </w:r>
      <w:r w:rsidRPr="00FB54CE">
        <w:rPr>
          <w:rFonts w:eastAsia="Times New Roman" w:cs="Times New Roman"/>
          <w:i/>
          <w:iCs/>
          <w:szCs w:val="24"/>
        </w:rPr>
        <w:t>Sustainability</w:t>
      </w:r>
      <w:r w:rsidRPr="00FB54CE">
        <w:rPr>
          <w:rFonts w:eastAsia="Times New Roman" w:cs="Times New Roman"/>
          <w:szCs w:val="24"/>
        </w:rPr>
        <w:t xml:space="preserve">, 14(1), p.420. </w:t>
      </w:r>
      <w:proofErr w:type="spellStart"/>
      <w:proofErr w:type="gramStart"/>
      <w:r w:rsidRPr="00FB54CE">
        <w:rPr>
          <w:rFonts w:eastAsia="Times New Roman" w:cs="Times New Roman"/>
          <w:szCs w:val="24"/>
        </w:rPr>
        <w:t>doi:https</w:t>
      </w:r>
      <w:proofErr w:type="spellEnd"/>
      <w:r w:rsidRPr="00FB54CE">
        <w:rPr>
          <w:rFonts w:eastAsia="Times New Roman" w:cs="Times New Roman"/>
          <w:szCs w:val="24"/>
        </w:rPr>
        <w:t>://doi.org/10.3390/su14010420</w:t>
      </w:r>
      <w:proofErr w:type="gramEnd"/>
      <w:r w:rsidRPr="00FB54CE">
        <w:rPr>
          <w:rFonts w:eastAsia="Times New Roman" w:cs="Times New Roman"/>
          <w:szCs w:val="24"/>
        </w:rPr>
        <w:t>.</w:t>
      </w:r>
    </w:p>
    <w:p w14:paraId="611570E0" w14:textId="77777777" w:rsidR="00FB54CE" w:rsidRPr="00DA4480" w:rsidRDefault="00FB54CE" w:rsidP="00FB54CE">
      <w:pPr>
        <w:spacing w:after="240" w:line="360" w:lineRule="auto"/>
        <w:rPr>
          <w:rFonts w:eastAsia="Times New Roman" w:cs="Times New Roman"/>
          <w:szCs w:val="24"/>
        </w:rPr>
      </w:pPr>
      <w:r w:rsidRPr="00DA4480">
        <w:rPr>
          <w:rFonts w:eastAsia="Times New Roman" w:cs="Times New Roman"/>
          <w:szCs w:val="24"/>
        </w:rPr>
        <w:t xml:space="preserve">Bladen, C., Wilde, N., Kennell, J. and Abson, E. (2022). Events Management. </w:t>
      </w:r>
      <w:r w:rsidRPr="00DA4480">
        <w:rPr>
          <w:rFonts w:eastAsia="Times New Roman" w:cs="Times New Roman"/>
          <w:i/>
          <w:iCs/>
          <w:szCs w:val="24"/>
        </w:rPr>
        <w:t>Events Management</w:t>
      </w:r>
      <w:r w:rsidRPr="00DA4480">
        <w:rPr>
          <w:rFonts w:eastAsia="Times New Roman" w:cs="Times New Roman"/>
          <w:szCs w:val="24"/>
        </w:rPr>
        <w:t xml:space="preserve">. </w:t>
      </w:r>
      <w:proofErr w:type="spellStart"/>
      <w:proofErr w:type="gramStart"/>
      <w:r w:rsidRPr="00DA4480">
        <w:rPr>
          <w:rFonts w:eastAsia="Times New Roman" w:cs="Times New Roman"/>
          <w:szCs w:val="24"/>
        </w:rPr>
        <w:t>doi:https</w:t>
      </w:r>
      <w:proofErr w:type="spellEnd"/>
      <w:r w:rsidRPr="00DA4480">
        <w:rPr>
          <w:rFonts w:eastAsia="Times New Roman" w:cs="Times New Roman"/>
          <w:szCs w:val="24"/>
        </w:rPr>
        <w:t>://doi.org/10.4324/9781003102878</w:t>
      </w:r>
      <w:proofErr w:type="gramEnd"/>
      <w:r w:rsidRPr="00DA4480">
        <w:rPr>
          <w:rFonts w:eastAsia="Times New Roman" w:cs="Times New Roman"/>
          <w:szCs w:val="24"/>
        </w:rPr>
        <w:t>.</w:t>
      </w:r>
    </w:p>
    <w:p w14:paraId="611570E1" w14:textId="77777777" w:rsidR="00FB54CE" w:rsidRPr="00DD2120" w:rsidRDefault="00FB54CE" w:rsidP="00FB54CE">
      <w:pPr>
        <w:spacing w:after="240" w:line="360" w:lineRule="auto"/>
        <w:rPr>
          <w:rFonts w:eastAsia="Times New Roman" w:cs="Times New Roman"/>
          <w:szCs w:val="24"/>
        </w:rPr>
      </w:pPr>
      <w:proofErr w:type="spellStart"/>
      <w:r w:rsidRPr="00DD2120">
        <w:rPr>
          <w:rFonts w:eastAsia="Times New Roman" w:cs="Times New Roman"/>
          <w:szCs w:val="24"/>
        </w:rPr>
        <w:t>FitzSimmons</w:t>
      </w:r>
      <w:proofErr w:type="spellEnd"/>
      <w:r w:rsidRPr="00DD2120">
        <w:rPr>
          <w:rFonts w:eastAsia="Times New Roman" w:cs="Times New Roman"/>
          <w:szCs w:val="24"/>
        </w:rPr>
        <w:t xml:space="preserve">, S.C., </w:t>
      </w:r>
      <w:proofErr w:type="spellStart"/>
      <w:r w:rsidRPr="00DD2120">
        <w:rPr>
          <w:rFonts w:eastAsia="Times New Roman" w:cs="Times New Roman"/>
          <w:szCs w:val="24"/>
        </w:rPr>
        <w:t>Özbilgin</w:t>
      </w:r>
      <w:proofErr w:type="spellEnd"/>
      <w:r w:rsidRPr="00DD2120">
        <w:rPr>
          <w:rFonts w:eastAsia="Times New Roman" w:cs="Times New Roman"/>
          <w:szCs w:val="24"/>
        </w:rPr>
        <w:t xml:space="preserve">, M.F., Thomas, D.C. and Nkomo, S.M. (2023). Equality, diversity, and Inclusion in International business: a Review and Research Agenda. </w:t>
      </w:r>
      <w:r w:rsidRPr="00DD2120">
        <w:rPr>
          <w:rFonts w:eastAsia="Times New Roman" w:cs="Times New Roman"/>
          <w:i/>
          <w:iCs/>
          <w:szCs w:val="24"/>
        </w:rPr>
        <w:t>Journal of International Business Studies</w:t>
      </w:r>
      <w:r w:rsidRPr="00DD2120">
        <w:rPr>
          <w:rFonts w:eastAsia="Times New Roman" w:cs="Times New Roman"/>
          <w:szCs w:val="24"/>
        </w:rPr>
        <w:t>, 54(8), pp.1402–1422.</w:t>
      </w:r>
    </w:p>
    <w:p w14:paraId="611570E2" w14:textId="77777777" w:rsidR="00FB54CE" w:rsidRPr="00DD2120" w:rsidRDefault="00FB54CE" w:rsidP="00FB54CE">
      <w:pPr>
        <w:spacing w:after="240" w:line="360" w:lineRule="auto"/>
        <w:rPr>
          <w:rFonts w:eastAsia="Times New Roman" w:cs="Times New Roman"/>
          <w:szCs w:val="24"/>
        </w:rPr>
      </w:pPr>
      <w:r w:rsidRPr="00DD2120">
        <w:rPr>
          <w:rFonts w:eastAsia="Times New Roman" w:cs="Times New Roman"/>
          <w:szCs w:val="24"/>
        </w:rPr>
        <w:t xml:space="preserve">Getz, D. and Page, S.J. (2016). Progress and prospects for event tourism research. </w:t>
      </w:r>
      <w:r w:rsidRPr="00DD2120">
        <w:rPr>
          <w:rFonts w:eastAsia="Times New Roman" w:cs="Times New Roman"/>
          <w:i/>
          <w:iCs/>
          <w:szCs w:val="24"/>
        </w:rPr>
        <w:t>Tourism Management</w:t>
      </w:r>
      <w:r w:rsidRPr="00DD2120">
        <w:rPr>
          <w:rFonts w:eastAsia="Times New Roman" w:cs="Times New Roman"/>
          <w:szCs w:val="24"/>
        </w:rPr>
        <w:t xml:space="preserve">, 52(0261-5177), pp.593–631. </w:t>
      </w:r>
      <w:proofErr w:type="spellStart"/>
      <w:proofErr w:type="gramStart"/>
      <w:r w:rsidRPr="00DD2120">
        <w:rPr>
          <w:rFonts w:eastAsia="Times New Roman" w:cs="Times New Roman"/>
          <w:szCs w:val="24"/>
        </w:rPr>
        <w:t>doi:https</w:t>
      </w:r>
      <w:proofErr w:type="spellEnd"/>
      <w:r w:rsidRPr="00DD2120">
        <w:rPr>
          <w:rFonts w:eastAsia="Times New Roman" w:cs="Times New Roman"/>
          <w:szCs w:val="24"/>
        </w:rPr>
        <w:t>://doi.org/10.1016/j.tourman.2015.03.007</w:t>
      </w:r>
      <w:proofErr w:type="gramEnd"/>
      <w:r w:rsidRPr="00DD2120">
        <w:rPr>
          <w:rFonts w:eastAsia="Times New Roman" w:cs="Times New Roman"/>
          <w:szCs w:val="24"/>
        </w:rPr>
        <w:t>.</w:t>
      </w:r>
    </w:p>
    <w:p w14:paraId="611570E3" w14:textId="77777777" w:rsidR="00FB54CE" w:rsidRPr="00DA4480" w:rsidRDefault="00FB54CE" w:rsidP="00FB54CE">
      <w:pPr>
        <w:spacing w:after="240" w:line="360" w:lineRule="auto"/>
        <w:rPr>
          <w:rFonts w:eastAsia="Times New Roman" w:cs="Times New Roman"/>
          <w:szCs w:val="24"/>
        </w:rPr>
      </w:pPr>
      <w:r w:rsidRPr="00DA4480">
        <w:rPr>
          <w:rFonts w:eastAsia="Times New Roman" w:cs="Times New Roman"/>
          <w:szCs w:val="24"/>
        </w:rPr>
        <w:t xml:space="preserve">KOURKOURIDIS, D., FRANGOPOULOS, I. and SALEPAKI, A. (2024). POST-PANDEMIC TRADE FAIR DYNAMICS: A LONGITUDINAL STUDY OF EXHIBITORS’ VIEWS ON DIGITAL AND HYBRID TRADE FAIRS. </w:t>
      </w:r>
      <w:proofErr w:type="spellStart"/>
      <w:r w:rsidRPr="00DA4480">
        <w:rPr>
          <w:rFonts w:eastAsia="Times New Roman" w:cs="Times New Roman"/>
          <w:i/>
          <w:iCs/>
          <w:szCs w:val="24"/>
        </w:rPr>
        <w:t>GeoJournal</w:t>
      </w:r>
      <w:proofErr w:type="spellEnd"/>
      <w:r w:rsidRPr="00DA4480">
        <w:rPr>
          <w:rFonts w:eastAsia="Times New Roman" w:cs="Times New Roman"/>
          <w:i/>
          <w:iCs/>
          <w:szCs w:val="24"/>
        </w:rPr>
        <w:t xml:space="preserve"> of Tourism and </w:t>
      </w:r>
      <w:proofErr w:type="spellStart"/>
      <w:r w:rsidRPr="00DA4480">
        <w:rPr>
          <w:rFonts w:eastAsia="Times New Roman" w:cs="Times New Roman"/>
          <w:i/>
          <w:iCs/>
          <w:szCs w:val="24"/>
        </w:rPr>
        <w:t>Geosites</w:t>
      </w:r>
      <w:proofErr w:type="spellEnd"/>
      <w:r w:rsidRPr="00DA4480">
        <w:rPr>
          <w:rFonts w:eastAsia="Times New Roman" w:cs="Times New Roman"/>
          <w:szCs w:val="24"/>
        </w:rPr>
        <w:t xml:space="preserve">, 55(3), pp.1174–1185. </w:t>
      </w:r>
      <w:proofErr w:type="spellStart"/>
      <w:proofErr w:type="gramStart"/>
      <w:r w:rsidRPr="00DA4480">
        <w:rPr>
          <w:rFonts w:eastAsia="Times New Roman" w:cs="Times New Roman"/>
          <w:szCs w:val="24"/>
        </w:rPr>
        <w:t>doi:https</w:t>
      </w:r>
      <w:proofErr w:type="spellEnd"/>
      <w:r w:rsidRPr="00DA4480">
        <w:rPr>
          <w:rFonts w:eastAsia="Times New Roman" w:cs="Times New Roman"/>
          <w:szCs w:val="24"/>
        </w:rPr>
        <w:t>://doi.org/10.30892/gtg.55318-1290</w:t>
      </w:r>
      <w:proofErr w:type="gramEnd"/>
      <w:r w:rsidRPr="00DA4480">
        <w:rPr>
          <w:rFonts w:eastAsia="Times New Roman" w:cs="Times New Roman"/>
          <w:szCs w:val="24"/>
        </w:rPr>
        <w:t>.</w:t>
      </w:r>
    </w:p>
    <w:p w14:paraId="611570E4" w14:textId="77777777" w:rsidR="00FB54CE" w:rsidRPr="00DA4480" w:rsidRDefault="00FB54CE" w:rsidP="00FB54CE">
      <w:pPr>
        <w:spacing w:after="240" w:line="360" w:lineRule="auto"/>
        <w:rPr>
          <w:rFonts w:eastAsia="Times New Roman" w:cs="Times New Roman"/>
          <w:szCs w:val="24"/>
        </w:rPr>
      </w:pPr>
      <w:r w:rsidRPr="00DA4480">
        <w:rPr>
          <w:rFonts w:eastAsia="Times New Roman" w:cs="Times New Roman"/>
          <w:szCs w:val="24"/>
        </w:rPr>
        <w:t xml:space="preserve">Liu, Y.Q. and Lei, W.S. (Clara) (2020). TOWARDS SUSTAINABLE PRACTICE IN THE EVENT INDUSTRY: INSIGHTS FROM PRACTITIONERS. </w:t>
      </w:r>
      <w:r w:rsidRPr="00DA4480">
        <w:rPr>
          <w:rFonts w:eastAsia="Times New Roman" w:cs="Times New Roman"/>
          <w:i/>
          <w:iCs/>
          <w:szCs w:val="24"/>
        </w:rPr>
        <w:t>Event Management</w:t>
      </w:r>
      <w:r w:rsidRPr="00DA4480">
        <w:rPr>
          <w:rFonts w:eastAsia="Times New Roman" w:cs="Times New Roman"/>
          <w:szCs w:val="24"/>
        </w:rPr>
        <w:t xml:space="preserve">, 25(3). </w:t>
      </w:r>
      <w:proofErr w:type="spellStart"/>
      <w:proofErr w:type="gramStart"/>
      <w:r w:rsidRPr="00DA4480">
        <w:rPr>
          <w:rFonts w:eastAsia="Times New Roman" w:cs="Times New Roman"/>
          <w:szCs w:val="24"/>
        </w:rPr>
        <w:t>doi:https</w:t>
      </w:r>
      <w:proofErr w:type="spellEnd"/>
      <w:r w:rsidRPr="00DA4480">
        <w:rPr>
          <w:rFonts w:eastAsia="Times New Roman" w:cs="Times New Roman"/>
          <w:szCs w:val="24"/>
        </w:rPr>
        <w:t>://doi.org/10.3727/152599519x15506259856462</w:t>
      </w:r>
      <w:proofErr w:type="gramEnd"/>
      <w:r w:rsidRPr="00DA4480">
        <w:rPr>
          <w:rFonts w:eastAsia="Times New Roman" w:cs="Times New Roman"/>
          <w:szCs w:val="24"/>
        </w:rPr>
        <w:t>.</w:t>
      </w:r>
    </w:p>
    <w:p w14:paraId="611570E5" w14:textId="77777777" w:rsidR="00FB54CE" w:rsidRPr="00DA4480" w:rsidRDefault="00FB54CE" w:rsidP="00FB54CE">
      <w:pPr>
        <w:spacing w:after="240" w:line="360" w:lineRule="auto"/>
        <w:rPr>
          <w:rFonts w:eastAsia="Times New Roman" w:cs="Times New Roman"/>
          <w:szCs w:val="24"/>
        </w:rPr>
      </w:pPr>
      <w:r w:rsidRPr="00DA4480">
        <w:rPr>
          <w:rFonts w:eastAsia="Times New Roman" w:cs="Times New Roman"/>
          <w:szCs w:val="24"/>
        </w:rPr>
        <w:t xml:space="preserve">Madera, J.M., Yang, W., Wu, L., Ma, E. and Xu, S. (2023). Diversity and Inclusion in Hospitality and tourism: Bridging the Gap between Employee and Customer Perspectives. </w:t>
      </w:r>
      <w:r w:rsidRPr="00DA4480">
        <w:rPr>
          <w:rFonts w:eastAsia="Times New Roman" w:cs="Times New Roman"/>
          <w:i/>
          <w:iCs/>
          <w:szCs w:val="24"/>
        </w:rPr>
        <w:t>International Journal of Contemporary Hospitality Management</w:t>
      </w:r>
      <w:r w:rsidRPr="00DA4480">
        <w:rPr>
          <w:rFonts w:eastAsia="Times New Roman" w:cs="Times New Roman"/>
          <w:szCs w:val="24"/>
        </w:rPr>
        <w:t xml:space="preserve">, 35(11), pp.3972–3989. </w:t>
      </w:r>
      <w:proofErr w:type="spellStart"/>
      <w:proofErr w:type="gramStart"/>
      <w:r w:rsidRPr="00DA4480">
        <w:rPr>
          <w:rFonts w:eastAsia="Times New Roman" w:cs="Times New Roman"/>
          <w:szCs w:val="24"/>
        </w:rPr>
        <w:t>doi:https</w:t>
      </w:r>
      <w:proofErr w:type="spellEnd"/>
      <w:r w:rsidRPr="00DA4480">
        <w:rPr>
          <w:rFonts w:eastAsia="Times New Roman" w:cs="Times New Roman"/>
          <w:szCs w:val="24"/>
        </w:rPr>
        <w:t>://doi.org/10.1108/ijchm-04-2023-0450</w:t>
      </w:r>
      <w:proofErr w:type="gramEnd"/>
      <w:r w:rsidRPr="00DA4480">
        <w:rPr>
          <w:rFonts w:eastAsia="Times New Roman" w:cs="Times New Roman"/>
          <w:szCs w:val="24"/>
        </w:rPr>
        <w:t>.</w:t>
      </w:r>
    </w:p>
    <w:p w14:paraId="611570E6" w14:textId="77777777" w:rsidR="00FB54CE" w:rsidRPr="00DA4480" w:rsidRDefault="00FB54CE" w:rsidP="00FB54CE">
      <w:pPr>
        <w:spacing w:after="240" w:line="360" w:lineRule="auto"/>
        <w:rPr>
          <w:rFonts w:eastAsia="Times New Roman" w:cs="Times New Roman"/>
          <w:szCs w:val="24"/>
        </w:rPr>
      </w:pPr>
      <w:r w:rsidRPr="00DA4480">
        <w:rPr>
          <w:rFonts w:eastAsia="Times New Roman" w:cs="Times New Roman"/>
          <w:szCs w:val="24"/>
        </w:rPr>
        <w:t xml:space="preserve">Mahadewi (2023). Hybrid Event: Utilization of Digital Technology in Organizing Events during the COVID-19 Pandemic in Indonesia. </w:t>
      </w:r>
      <w:r w:rsidRPr="00DA4480">
        <w:rPr>
          <w:rFonts w:eastAsia="Times New Roman" w:cs="Times New Roman"/>
          <w:i/>
          <w:iCs/>
          <w:szCs w:val="24"/>
        </w:rPr>
        <w:t>Proceedings</w:t>
      </w:r>
      <w:r w:rsidRPr="00DA4480">
        <w:rPr>
          <w:rFonts w:eastAsia="Times New Roman" w:cs="Times New Roman"/>
          <w:szCs w:val="24"/>
        </w:rPr>
        <w:t xml:space="preserve">, [online] 83(1), p.53. </w:t>
      </w:r>
      <w:proofErr w:type="spellStart"/>
      <w:proofErr w:type="gramStart"/>
      <w:r w:rsidRPr="00DA4480">
        <w:rPr>
          <w:rFonts w:eastAsia="Times New Roman" w:cs="Times New Roman"/>
          <w:szCs w:val="24"/>
        </w:rPr>
        <w:t>doi:https</w:t>
      </w:r>
      <w:proofErr w:type="spellEnd"/>
      <w:r w:rsidRPr="00DA4480">
        <w:rPr>
          <w:rFonts w:eastAsia="Times New Roman" w:cs="Times New Roman"/>
          <w:szCs w:val="24"/>
        </w:rPr>
        <w:t>://doi.org/10.3390/proceedings2022083053</w:t>
      </w:r>
      <w:proofErr w:type="gramEnd"/>
      <w:r w:rsidRPr="00DA4480">
        <w:rPr>
          <w:rFonts w:eastAsia="Times New Roman" w:cs="Times New Roman"/>
          <w:szCs w:val="24"/>
        </w:rPr>
        <w:t>.</w:t>
      </w:r>
    </w:p>
    <w:p w14:paraId="611570E7" w14:textId="77777777" w:rsidR="00FB54CE" w:rsidRPr="00DA4480" w:rsidRDefault="00FB54CE" w:rsidP="00FB54CE">
      <w:pPr>
        <w:spacing w:after="240" w:line="360" w:lineRule="auto"/>
        <w:rPr>
          <w:rFonts w:eastAsia="Times New Roman" w:cs="Times New Roman"/>
          <w:szCs w:val="24"/>
        </w:rPr>
      </w:pPr>
      <w:proofErr w:type="spellStart"/>
      <w:r w:rsidRPr="00DA4480">
        <w:rPr>
          <w:rFonts w:eastAsia="Times New Roman" w:cs="Times New Roman"/>
          <w:szCs w:val="24"/>
        </w:rPr>
        <w:lastRenderedPageBreak/>
        <w:t>Okatta</w:t>
      </w:r>
      <w:proofErr w:type="spellEnd"/>
      <w:r w:rsidRPr="00DA4480">
        <w:rPr>
          <w:rFonts w:eastAsia="Times New Roman" w:cs="Times New Roman"/>
          <w:szCs w:val="24"/>
        </w:rPr>
        <w:t xml:space="preserve">, C.G., Ajayi, A. and Olawale, O. (2024). Enhancing Organizational Performance Through Diversity and Inclusion Initiatives: </w:t>
      </w:r>
      <w:proofErr w:type="gramStart"/>
      <w:r w:rsidRPr="00DA4480">
        <w:rPr>
          <w:rFonts w:eastAsia="Times New Roman" w:cs="Times New Roman"/>
          <w:szCs w:val="24"/>
        </w:rPr>
        <w:t>a</w:t>
      </w:r>
      <w:proofErr w:type="gramEnd"/>
      <w:r w:rsidRPr="00DA4480">
        <w:rPr>
          <w:rFonts w:eastAsia="Times New Roman" w:cs="Times New Roman"/>
          <w:szCs w:val="24"/>
        </w:rPr>
        <w:t xml:space="preserve"> Meta-Analysis. </w:t>
      </w:r>
      <w:r w:rsidRPr="00DA4480">
        <w:rPr>
          <w:rFonts w:eastAsia="Times New Roman" w:cs="Times New Roman"/>
          <w:i/>
          <w:iCs/>
          <w:szCs w:val="24"/>
        </w:rPr>
        <w:t>International journal of applied research in social sciences</w:t>
      </w:r>
      <w:r w:rsidRPr="00DA4480">
        <w:rPr>
          <w:rFonts w:eastAsia="Times New Roman" w:cs="Times New Roman"/>
          <w:szCs w:val="24"/>
        </w:rPr>
        <w:t xml:space="preserve">, [online] 6(4), pp.734–758. </w:t>
      </w:r>
      <w:proofErr w:type="spellStart"/>
      <w:proofErr w:type="gramStart"/>
      <w:r w:rsidRPr="00DA4480">
        <w:rPr>
          <w:rFonts w:eastAsia="Times New Roman" w:cs="Times New Roman"/>
          <w:szCs w:val="24"/>
        </w:rPr>
        <w:t>doi:https</w:t>
      </w:r>
      <w:proofErr w:type="spellEnd"/>
      <w:r w:rsidRPr="00DA4480">
        <w:rPr>
          <w:rFonts w:eastAsia="Times New Roman" w:cs="Times New Roman"/>
          <w:szCs w:val="24"/>
        </w:rPr>
        <w:t>://doi.org/10.51594/ijarss.v6i4.1065</w:t>
      </w:r>
      <w:proofErr w:type="gramEnd"/>
      <w:r w:rsidRPr="00DA4480">
        <w:rPr>
          <w:rFonts w:eastAsia="Times New Roman" w:cs="Times New Roman"/>
          <w:szCs w:val="24"/>
        </w:rPr>
        <w:t>.</w:t>
      </w:r>
    </w:p>
    <w:p w14:paraId="611570E8" w14:textId="77777777" w:rsidR="00FB54CE" w:rsidRPr="00FB54CE" w:rsidRDefault="00FB54CE" w:rsidP="00FB54CE">
      <w:pPr>
        <w:spacing w:after="240" w:line="360" w:lineRule="auto"/>
        <w:rPr>
          <w:rFonts w:eastAsia="Times New Roman" w:cs="Times New Roman"/>
          <w:szCs w:val="24"/>
        </w:rPr>
      </w:pPr>
      <w:r w:rsidRPr="00FB54CE">
        <w:rPr>
          <w:rFonts w:eastAsia="Times New Roman" w:cs="Times New Roman"/>
          <w:szCs w:val="24"/>
        </w:rPr>
        <w:t xml:space="preserve">Sharad Kumar Kulshreshtha and Webster, C. (2024). Emerging Technologies in Virtual and Hybrid Events. </w:t>
      </w:r>
      <w:r w:rsidRPr="00FB54CE">
        <w:rPr>
          <w:rFonts w:eastAsia="Times New Roman" w:cs="Times New Roman"/>
          <w:i/>
          <w:iCs/>
          <w:szCs w:val="24"/>
        </w:rPr>
        <w:t>Advances in hospitality, tourism and the services industry (AHTSI) book series</w:t>
      </w:r>
      <w:r w:rsidRPr="00FB54CE">
        <w:rPr>
          <w:rFonts w:eastAsia="Times New Roman" w:cs="Times New Roman"/>
          <w:szCs w:val="24"/>
        </w:rPr>
        <w:t xml:space="preserve">, [online] pp.1–18. </w:t>
      </w:r>
      <w:proofErr w:type="spellStart"/>
      <w:proofErr w:type="gramStart"/>
      <w:r w:rsidRPr="00FB54CE">
        <w:rPr>
          <w:rFonts w:eastAsia="Times New Roman" w:cs="Times New Roman"/>
          <w:szCs w:val="24"/>
        </w:rPr>
        <w:t>doi:https</w:t>
      </w:r>
      <w:proofErr w:type="spellEnd"/>
      <w:r w:rsidRPr="00FB54CE">
        <w:rPr>
          <w:rFonts w:eastAsia="Times New Roman" w:cs="Times New Roman"/>
          <w:szCs w:val="24"/>
        </w:rPr>
        <w:t>://doi.org/10.4018/979-8-3693-2272-7.ch001</w:t>
      </w:r>
      <w:proofErr w:type="gramEnd"/>
      <w:r w:rsidRPr="00FB54CE">
        <w:rPr>
          <w:rFonts w:eastAsia="Times New Roman" w:cs="Times New Roman"/>
          <w:szCs w:val="24"/>
        </w:rPr>
        <w:t>.</w:t>
      </w:r>
    </w:p>
    <w:p w14:paraId="611570E9" w14:textId="77777777" w:rsidR="00DD2120" w:rsidRPr="00DD2120" w:rsidRDefault="00DD2120" w:rsidP="00DD2120"/>
    <w:sectPr w:rsidR="00DD2120" w:rsidRPr="00DD2120">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AA5242" w14:textId="77777777" w:rsidR="009C3159" w:rsidRDefault="009C3159" w:rsidP="00B271B7">
      <w:pPr>
        <w:spacing w:after="0" w:line="240" w:lineRule="auto"/>
      </w:pPr>
      <w:r>
        <w:separator/>
      </w:r>
    </w:p>
  </w:endnote>
  <w:endnote w:type="continuationSeparator" w:id="0">
    <w:p w14:paraId="73C66BCE" w14:textId="77777777" w:rsidR="009C3159" w:rsidRDefault="009C3159" w:rsidP="00B271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9405306"/>
      <w:docPartObj>
        <w:docPartGallery w:val="Page Numbers (Bottom of Page)"/>
        <w:docPartUnique/>
      </w:docPartObj>
    </w:sdtPr>
    <w:sdtEndPr>
      <w:rPr>
        <w:noProof/>
      </w:rPr>
    </w:sdtEndPr>
    <w:sdtContent>
      <w:p w14:paraId="611570F0" w14:textId="77777777" w:rsidR="00B271B7" w:rsidRDefault="00B271B7">
        <w:pPr>
          <w:pStyle w:val="Footer"/>
          <w:jc w:val="right"/>
        </w:pPr>
        <w:r>
          <w:fldChar w:fldCharType="begin"/>
        </w:r>
        <w:r>
          <w:instrText xml:space="preserve"> PAGE   \* MERGEFORMAT </w:instrText>
        </w:r>
        <w:r>
          <w:fldChar w:fldCharType="separate"/>
        </w:r>
        <w:r w:rsidR="000E4FA5">
          <w:rPr>
            <w:noProof/>
          </w:rPr>
          <w:t>1</w:t>
        </w:r>
        <w:r>
          <w:rPr>
            <w:noProof/>
          </w:rPr>
          <w:fldChar w:fldCharType="end"/>
        </w:r>
      </w:p>
    </w:sdtContent>
  </w:sdt>
  <w:p w14:paraId="611570F1" w14:textId="77777777" w:rsidR="00B271B7" w:rsidRDefault="00B271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D5FC7F" w14:textId="77777777" w:rsidR="009C3159" w:rsidRDefault="009C3159" w:rsidP="00B271B7">
      <w:pPr>
        <w:spacing w:after="0" w:line="240" w:lineRule="auto"/>
      </w:pPr>
      <w:r>
        <w:separator/>
      </w:r>
    </w:p>
  </w:footnote>
  <w:footnote w:type="continuationSeparator" w:id="0">
    <w:p w14:paraId="5BD6EF26" w14:textId="77777777" w:rsidR="009C3159" w:rsidRDefault="009C3159" w:rsidP="00B271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2171D2"/>
    <w:multiLevelType w:val="hybridMultilevel"/>
    <w:tmpl w:val="978C7D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2EE5761"/>
    <w:multiLevelType w:val="multilevel"/>
    <w:tmpl w:val="F754055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05798541">
    <w:abstractNumId w:val="1"/>
  </w:num>
  <w:num w:numId="2" w16cid:durableId="390926299">
    <w:abstractNumId w:val="1"/>
    <w:lvlOverride w:ilvl="1">
      <w:lvl w:ilvl="1">
        <w:numFmt w:val="bullet"/>
        <w:lvlText w:val=""/>
        <w:lvlJc w:val="left"/>
        <w:pPr>
          <w:tabs>
            <w:tab w:val="num" w:pos="1440"/>
          </w:tabs>
          <w:ind w:left="1440" w:hanging="360"/>
        </w:pPr>
        <w:rPr>
          <w:rFonts w:ascii="Symbol" w:hAnsi="Symbol" w:hint="default"/>
          <w:sz w:val="20"/>
        </w:rPr>
      </w:lvl>
    </w:lvlOverride>
  </w:num>
  <w:num w:numId="3" w16cid:durableId="5261394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F55BA"/>
    <w:rsid w:val="000E4FA5"/>
    <w:rsid w:val="002C0D32"/>
    <w:rsid w:val="003C6E53"/>
    <w:rsid w:val="00466924"/>
    <w:rsid w:val="005F6A46"/>
    <w:rsid w:val="00914E26"/>
    <w:rsid w:val="009C3159"/>
    <w:rsid w:val="00B271B7"/>
    <w:rsid w:val="00BE7606"/>
    <w:rsid w:val="00BF55BA"/>
    <w:rsid w:val="00C907D5"/>
    <w:rsid w:val="00D03E6D"/>
    <w:rsid w:val="00DA4480"/>
    <w:rsid w:val="00DD2120"/>
    <w:rsid w:val="00E902DB"/>
    <w:rsid w:val="00F1517A"/>
    <w:rsid w:val="00FB54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5703F"/>
  <w15:docId w15:val="{ACD2ABE2-DCB6-4301-9690-25B1F65554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71B7"/>
    <w:pPr>
      <w:jc w:val="both"/>
    </w:pPr>
    <w:rPr>
      <w:rFonts w:ascii="Times New Roman" w:hAnsi="Times New Roman"/>
      <w:sz w:val="24"/>
    </w:rPr>
  </w:style>
  <w:style w:type="paragraph" w:styleId="Heading1">
    <w:name w:val="heading 1"/>
    <w:basedOn w:val="Normal"/>
    <w:next w:val="Normal"/>
    <w:link w:val="Heading1Char"/>
    <w:uiPriority w:val="9"/>
    <w:qFormat/>
    <w:rsid w:val="00B271B7"/>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B271B7"/>
    <w:pPr>
      <w:keepNext/>
      <w:keepLines/>
      <w:spacing w:before="200" w:after="0"/>
      <w:outlineLvl w:val="1"/>
    </w:pPr>
    <w:rPr>
      <w:rFonts w:eastAsiaTheme="majorEastAsia" w:cstheme="majorBidi"/>
      <w:b/>
      <w:bCs/>
      <w:color w:val="4F81BD" w:themeColor="accent1"/>
      <w:sz w:val="28"/>
      <w:szCs w:val="26"/>
    </w:rPr>
  </w:style>
  <w:style w:type="paragraph" w:styleId="Heading4">
    <w:name w:val="heading 4"/>
    <w:basedOn w:val="Normal"/>
    <w:next w:val="Normal"/>
    <w:link w:val="Heading4Char"/>
    <w:uiPriority w:val="9"/>
    <w:semiHidden/>
    <w:unhideWhenUsed/>
    <w:qFormat/>
    <w:rsid w:val="00B271B7"/>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F55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55BA"/>
    <w:rPr>
      <w:rFonts w:ascii="Tahoma" w:hAnsi="Tahoma" w:cs="Tahoma"/>
      <w:sz w:val="16"/>
      <w:szCs w:val="16"/>
    </w:rPr>
  </w:style>
  <w:style w:type="paragraph" w:styleId="Header">
    <w:name w:val="header"/>
    <w:basedOn w:val="Normal"/>
    <w:link w:val="HeaderChar"/>
    <w:uiPriority w:val="99"/>
    <w:unhideWhenUsed/>
    <w:rsid w:val="00B271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71B7"/>
  </w:style>
  <w:style w:type="paragraph" w:styleId="Footer">
    <w:name w:val="footer"/>
    <w:basedOn w:val="Normal"/>
    <w:link w:val="FooterChar"/>
    <w:uiPriority w:val="99"/>
    <w:unhideWhenUsed/>
    <w:rsid w:val="00B271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71B7"/>
  </w:style>
  <w:style w:type="character" w:customStyle="1" w:styleId="Heading1Char">
    <w:name w:val="Heading 1 Char"/>
    <w:basedOn w:val="DefaultParagraphFont"/>
    <w:link w:val="Heading1"/>
    <w:uiPriority w:val="9"/>
    <w:rsid w:val="00B271B7"/>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B271B7"/>
    <w:rPr>
      <w:rFonts w:ascii="Times New Roman" w:eastAsiaTheme="majorEastAsia" w:hAnsi="Times New Roman" w:cstheme="majorBidi"/>
      <w:b/>
      <w:bCs/>
      <w:color w:val="4F81BD" w:themeColor="accent1"/>
      <w:sz w:val="28"/>
      <w:szCs w:val="26"/>
    </w:rPr>
  </w:style>
  <w:style w:type="character" w:customStyle="1" w:styleId="Heading4Char">
    <w:name w:val="Heading 4 Char"/>
    <w:basedOn w:val="DefaultParagraphFont"/>
    <w:link w:val="Heading4"/>
    <w:uiPriority w:val="9"/>
    <w:semiHidden/>
    <w:rsid w:val="00B271B7"/>
    <w:rPr>
      <w:rFonts w:asciiTheme="majorHAnsi" w:eastAsiaTheme="majorEastAsia" w:hAnsiTheme="majorHAnsi" w:cstheme="majorBidi"/>
      <w:b/>
      <w:bCs/>
      <w:i/>
      <w:iCs/>
      <w:color w:val="4F81BD" w:themeColor="accent1"/>
      <w:sz w:val="24"/>
    </w:rPr>
  </w:style>
  <w:style w:type="character" w:styleId="Strong">
    <w:name w:val="Strong"/>
    <w:basedOn w:val="DefaultParagraphFont"/>
    <w:uiPriority w:val="22"/>
    <w:qFormat/>
    <w:rsid w:val="00B271B7"/>
    <w:rPr>
      <w:b/>
      <w:bCs/>
    </w:rPr>
  </w:style>
  <w:style w:type="paragraph" w:styleId="NormalWeb">
    <w:name w:val="Normal (Web)"/>
    <w:basedOn w:val="Normal"/>
    <w:uiPriority w:val="99"/>
    <w:semiHidden/>
    <w:unhideWhenUsed/>
    <w:rsid w:val="00B271B7"/>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E902DB"/>
    <w:pPr>
      <w:ind w:left="720"/>
      <w:contextualSpacing/>
    </w:pPr>
  </w:style>
  <w:style w:type="table" w:styleId="TableGrid">
    <w:name w:val="Table Grid"/>
    <w:basedOn w:val="TableNormal"/>
    <w:uiPriority w:val="59"/>
    <w:rsid w:val="00F151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DD2120"/>
    <w:pPr>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DD2120"/>
    <w:pPr>
      <w:spacing w:after="100"/>
    </w:pPr>
  </w:style>
  <w:style w:type="paragraph" w:styleId="TOC2">
    <w:name w:val="toc 2"/>
    <w:basedOn w:val="Normal"/>
    <w:next w:val="Normal"/>
    <w:autoRedefine/>
    <w:uiPriority w:val="39"/>
    <w:unhideWhenUsed/>
    <w:rsid w:val="00DD2120"/>
    <w:pPr>
      <w:spacing w:after="100"/>
      <w:ind w:left="240"/>
    </w:pPr>
  </w:style>
  <w:style w:type="character" w:styleId="Hyperlink">
    <w:name w:val="Hyperlink"/>
    <w:basedOn w:val="DefaultParagraphFont"/>
    <w:uiPriority w:val="99"/>
    <w:unhideWhenUsed/>
    <w:rsid w:val="00DD212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484598">
      <w:bodyDiv w:val="1"/>
      <w:marLeft w:val="0"/>
      <w:marRight w:val="0"/>
      <w:marTop w:val="0"/>
      <w:marBottom w:val="0"/>
      <w:divBdr>
        <w:top w:val="none" w:sz="0" w:space="0" w:color="auto"/>
        <w:left w:val="none" w:sz="0" w:space="0" w:color="auto"/>
        <w:bottom w:val="none" w:sz="0" w:space="0" w:color="auto"/>
        <w:right w:val="none" w:sz="0" w:space="0" w:color="auto"/>
      </w:divBdr>
    </w:div>
    <w:div w:id="154542245">
      <w:bodyDiv w:val="1"/>
      <w:marLeft w:val="0"/>
      <w:marRight w:val="0"/>
      <w:marTop w:val="0"/>
      <w:marBottom w:val="0"/>
      <w:divBdr>
        <w:top w:val="none" w:sz="0" w:space="0" w:color="auto"/>
        <w:left w:val="none" w:sz="0" w:space="0" w:color="auto"/>
        <w:bottom w:val="none" w:sz="0" w:space="0" w:color="auto"/>
        <w:right w:val="none" w:sz="0" w:space="0" w:color="auto"/>
      </w:divBdr>
      <w:divsChild>
        <w:div w:id="669911885">
          <w:marLeft w:val="0"/>
          <w:marRight w:val="0"/>
          <w:marTop w:val="0"/>
          <w:marBottom w:val="0"/>
          <w:divBdr>
            <w:top w:val="none" w:sz="0" w:space="0" w:color="auto"/>
            <w:left w:val="none" w:sz="0" w:space="0" w:color="auto"/>
            <w:bottom w:val="none" w:sz="0" w:space="0" w:color="auto"/>
            <w:right w:val="none" w:sz="0" w:space="0" w:color="auto"/>
          </w:divBdr>
        </w:div>
      </w:divsChild>
    </w:div>
    <w:div w:id="246548232">
      <w:bodyDiv w:val="1"/>
      <w:marLeft w:val="0"/>
      <w:marRight w:val="0"/>
      <w:marTop w:val="0"/>
      <w:marBottom w:val="0"/>
      <w:divBdr>
        <w:top w:val="none" w:sz="0" w:space="0" w:color="auto"/>
        <w:left w:val="none" w:sz="0" w:space="0" w:color="auto"/>
        <w:bottom w:val="none" w:sz="0" w:space="0" w:color="auto"/>
        <w:right w:val="none" w:sz="0" w:space="0" w:color="auto"/>
      </w:divBdr>
      <w:divsChild>
        <w:div w:id="413167804">
          <w:marLeft w:val="0"/>
          <w:marRight w:val="0"/>
          <w:marTop w:val="0"/>
          <w:marBottom w:val="0"/>
          <w:divBdr>
            <w:top w:val="none" w:sz="0" w:space="0" w:color="auto"/>
            <w:left w:val="none" w:sz="0" w:space="0" w:color="auto"/>
            <w:bottom w:val="none" w:sz="0" w:space="0" w:color="auto"/>
            <w:right w:val="none" w:sz="0" w:space="0" w:color="auto"/>
          </w:divBdr>
        </w:div>
      </w:divsChild>
    </w:div>
    <w:div w:id="509560872">
      <w:bodyDiv w:val="1"/>
      <w:marLeft w:val="0"/>
      <w:marRight w:val="0"/>
      <w:marTop w:val="0"/>
      <w:marBottom w:val="0"/>
      <w:divBdr>
        <w:top w:val="none" w:sz="0" w:space="0" w:color="auto"/>
        <w:left w:val="none" w:sz="0" w:space="0" w:color="auto"/>
        <w:bottom w:val="none" w:sz="0" w:space="0" w:color="auto"/>
        <w:right w:val="none" w:sz="0" w:space="0" w:color="auto"/>
      </w:divBdr>
      <w:divsChild>
        <w:div w:id="1460880907">
          <w:marLeft w:val="0"/>
          <w:marRight w:val="0"/>
          <w:marTop w:val="0"/>
          <w:marBottom w:val="0"/>
          <w:divBdr>
            <w:top w:val="none" w:sz="0" w:space="0" w:color="auto"/>
            <w:left w:val="none" w:sz="0" w:space="0" w:color="auto"/>
            <w:bottom w:val="none" w:sz="0" w:space="0" w:color="auto"/>
            <w:right w:val="none" w:sz="0" w:space="0" w:color="auto"/>
          </w:divBdr>
        </w:div>
      </w:divsChild>
    </w:div>
    <w:div w:id="523323775">
      <w:bodyDiv w:val="1"/>
      <w:marLeft w:val="0"/>
      <w:marRight w:val="0"/>
      <w:marTop w:val="0"/>
      <w:marBottom w:val="0"/>
      <w:divBdr>
        <w:top w:val="none" w:sz="0" w:space="0" w:color="auto"/>
        <w:left w:val="none" w:sz="0" w:space="0" w:color="auto"/>
        <w:bottom w:val="none" w:sz="0" w:space="0" w:color="auto"/>
        <w:right w:val="none" w:sz="0" w:space="0" w:color="auto"/>
      </w:divBdr>
      <w:divsChild>
        <w:div w:id="1855531522">
          <w:marLeft w:val="0"/>
          <w:marRight w:val="0"/>
          <w:marTop w:val="0"/>
          <w:marBottom w:val="0"/>
          <w:divBdr>
            <w:top w:val="none" w:sz="0" w:space="0" w:color="auto"/>
            <w:left w:val="none" w:sz="0" w:space="0" w:color="auto"/>
            <w:bottom w:val="none" w:sz="0" w:space="0" w:color="auto"/>
            <w:right w:val="none" w:sz="0" w:space="0" w:color="auto"/>
          </w:divBdr>
        </w:div>
      </w:divsChild>
    </w:div>
    <w:div w:id="706494493">
      <w:bodyDiv w:val="1"/>
      <w:marLeft w:val="0"/>
      <w:marRight w:val="0"/>
      <w:marTop w:val="0"/>
      <w:marBottom w:val="0"/>
      <w:divBdr>
        <w:top w:val="none" w:sz="0" w:space="0" w:color="auto"/>
        <w:left w:val="none" w:sz="0" w:space="0" w:color="auto"/>
        <w:bottom w:val="none" w:sz="0" w:space="0" w:color="auto"/>
        <w:right w:val="none" w:sz="0" w:space="0" w:color="auto"/>
      </w:divBdr>
    </w:div>
    <w:div w:id="1033457466">
      <w:bodyDiv w:val="1"/>
      <w:marLeft w:val="0"/>
      <w:marRight w:val="0"/>
      <w:marTop w:val="0"/>
      <w:marBottom w:val="0"/>
      <w:divBdr>
        <w:top w:val="none" w:sz="0" w:space="0" w:color="auto"/>
        <w:left w:val="none" w:sz="0" w:space="0" w:color="auto"/>
        <w:bottom w:val="none" w:sz="0" w:space="0" w:color="auto"/>
        <w:right w:val="none" w:sz="0" w:space="0" w:color="auto"/>
      </w:divBdr>
    </w:div>
    <w:div w:id="1046105487">
      <w:bodyDiv w:val="1"/>
      <w:marLeft w:val="0"/>
      <w:marRight w:val="0"/>
      <w:marTop w:val="0"/>
      <w:marBottom w:val="0"/>
      <w:divBdr>
        <w:top w:val="none" w:sz="0" w:space="0" w:color="auto"/>
        <w:left w:val="none" w:sz="0" w:space="0" w:color="auto"/>
        <w:bottom w:val="none" w:sz="0" w:space="0" w:color="auto"/>
        <w:right w:val="none" w:sz="0" w:space="0" w:color="auto"/>
      </w:divBdr>
      <w:divsChild>
        <w:div w:id="1582445269">
          <w:marLeft w:val="0"/>
          <w:marRight w:val="0"/>
          <w:marTop w:val="0"/>
          <w:marBottom w:val="0"/>
          <w:divBdr>
            <w:top w:val="none" w:sz="0" w:space="0" w:color="auto"/>
            <w:left w:val="none" w:sz="0" w:space="0" w:color="auto"/>
            <w:bottom w:val="none" w:sz="0" w:space="0" w:color="auto"/>
            <w:right w:val="none" w:sz="0" w:space="0" w:color="auto"/>
          </w:divBdr>
        </w:div>
      </w:divsChild>
    </w:div>
    <w:div w:id="1176067745">
      <w:bodyDiv w:val="1"/>
      <w:marLeft w:val="0"/>
      <w:marRight w:val="0"/>
      <w:marTop w:val="0"/>
      <w:marBottom w:val="0"/>
      <w:divBdr>
        <w:top w:val="none" w:sz="0" w:space="0" w:color="auto"/>
        <w:left w:val="none" w:sz="0" w:space="0" w:color="auto"/>
        <w:bottom w:val="none" w:sz="0" w:space="0" w:color="auto"/>
        <w:right w:val="none" w:sz="0" w:space="0" w:color="auto"/>
      </w:divBdr>
      <w:divsChild>
        <w:div w:id="888224090">
          <w:marLeft w:val="0"/>
          <w:marRight w:val="0"/>
          <w:marTop w:val="0"/>
          <w:marBottom w:val="0"/>
          <w:divBdr>
            <w:top w:val="none" w:sz="0" w:space="0" w:color="auto"/>
            <w:left w:val="none" w:sz="0" w:space="0" w:color="auto"/>
            <w:bottom w:val="none" w:sz="0" w:space="0" w:color="auto"/>
            <w:right w:val="none" w:sz="0" w:space="0" w:color="auto"/>
          </w:divBdr>
        </w:div>
      </w:divsChild>
    </w:div>
    <w:div w:id="1491871503">
      <w:bodyDiv w:val="1"/>
      <w:marLeft w:val="0"/>
      <w:marRight w:val="0"/>
      <w:marTop w:val="0"/>
      <w:marBottom w:val="0"/>
      <w:divBdr>
        <w:top w:val="none" w:sz="0" w:space="0" w:color="auto"/>
        <w:left w:val="none" w:sz="0" w:space="0" w:color="auto"/>
        <w:bottom w:val="none" w:sz="0" w:space="0" w:color="auto"/>
        <w:right w:val="none" w:sz="0" w:space="0" w:color="auto"/>
      </w:divBdr>
    </w:div>
    <w:div w:id="1564490394">
      <w:bodyDiv w:val="1"/>
      <w:marLeft w:val="0"/>
      <w:marRight w:val="0"/>
      <w:marTop w:val="0"/>
      <w:marBottom w:val="0"/>
      <w:divBdr>
        <w:top w:val="none" w:sz="0" w:space="0" w:color="auto"/>
        <w:left w:val="none" w:sz="0" w:space="0" w:color="auto"/>
        <w:bottom w:val="none" w:sz="0" w:space="0" w:color="auto"/>
        <w:right w:val="none" w:sz="0" w:space="0" w:color="auto"/>
      </w:divBdr>
      <w:divsChild>
        <w:div w:id="602344828">
          <w:marLeft w:val="0"/>
          <w:marRight w:val="0"/>
          <w:marTop w:val="0"/>
          <w:marBottom w:val="0"/>
          <w:divBdr>
            <w:top w:val="none" w:sz="0" w:space="0" w:color="auto"/>
            <w:left w:val="none" w:sz="0" w:space="0" w:color="auto"/>
            <w:bottom w:val="none" w:sz="0" w:space="0" w:color="auto"/>
            <w:right w:val="none" w:sz="0" w:space="0" w:color="auto"/>
          </w:divBdr>
        </w:div>
      </w:divsChild>
    </w:div>
    <w:div w:id="1578175197">
      <w:bodyDiv w:val="1"/>
      <w:marLeft w:val="0"/>
      <w:marRight w:val="0"/>
      <w:marTop w:val="0"/>
      <w:marBottom w:val="0"/>
      <w:divBdr>
        <w:top w:val="none" w:sz="0" w:space="0" w:color="auto"/>
        <w:left w:val="none" w:sz="0" w:space="0" w:color="auto"/>
        <w:bottom w:val="none" w:sz="0" w:space="0" w:color="auto"/>
        <w:right w:val="none" w:sz="0" w:space="0" w:color="auto"/>
      </w:divBdr>
      <w:divsChild>
        <w:div w:id="2105105413">
          <w:marLeft w:val="0"/>
          <w:marRight w:val="0"/>
          <w:marTop w:val="0"/>
          <w:marBottom w:val="0"/>
          <w:divBdr>
            <w:top w:val="none" w:sz="0" w:space="0" w:color="auto"/>
            <w:left w:val="none" w:sz="0" w:space="0" w:color="auto"/>
            <w:bottom w:val="none" w:sz="0" w:space="0" w:color="auto"/>
            <w:right w:val="none" w:sz="0" w:space="0" w:color="auto"/>
          </w:divBdr>
        </w:div>
      </w:divsChild>
    </w:div>
    <w:div w:id="1679308995">
      <w:bodyDiv w:val="1"/>
      <w:marLeft w:val="0"/>
      <w:marRight w:val="0"/>
      <w:marTop w:val="0"/>
      <w:marBottom w:val="0"/>
      <w:divBdr>
        <w:top w:val="none" w:sz="0" w:space="0" w:color="auto"/>
        <w:left w:val="none" w:sz="0" w:space="0" w:color="auto"/>
        <w:bottom w:val="none" w:sz="0" w:space="0" w:color="auto"/>
        <w:right w:val="none" w:sz="0" w:space="0" w:color="auto"/>
      </w:divBdr>
      <w:divsChild>
        <w:div w:id="1925991906">
          <w:marLeft w:val="0"/>
          <w:marRight w:val="0"/>
          <w:marTop w:val="0"/>
          <w:marBottom w:val="0"/>
          <w:divBdr>
            <w:top w:val="none" w:sz="0" w:space="0" w:color="auto"/>
            <w:left w:val="none" w:sz="0" w:space="0" w:color="auto"/>
            <w:bottom w:val="none" w:sz="0" w:space="0" w:color="auto"/>
            <w:right w:val="none" w:sz="0" w:space="0" w:color="auto"/>
          </w:divBdr>
        </w:div>
      </w:divsChild>
    </w:div>
    <w:div w:id="1805734559">
      <w:bodyDiv w:val="1"/>
      <w:marLeft w:val="0"/>
      <w:marRight w:val="0"/>
      <w:marTop w:val="0"/>
      <w:marBottom w:val="0"/>
      <w:divBdr>
        <w:top w:val="none" w:sz="0" w:space="0" w:color="auto"/>
        <w:left w:val="none" w:sz="0" w:space="0" w:color="auto"/>
        <w:bottom w:val="none" w:sz="0" w:space="0" w:color="auto"/>
        <w:right w:val="none" w:sz="0" w:space="0" w:color="auto"/>
      </w:divBdr>
    </w:div>
    <w:div w:id="2044789903">
      <w:bodyDiv w:val="1"/>
      <w:marLeft w:val="0"/>
      <w:marRight w:val="0"/>
      <w:marTop w:val="0"/>
      <w:marBottom w:val="0"/>
      <w:divBdr>
        <w:top w:val="none" w:sz="0" w:space="0" w:color="auto"/>
        <w:left w:val="none" w:sz="0" w:space="0" w:color="auto"/>
        <w:bottom w:val="none" w:sz="0" w:space="0" w:color="auto"/>
        <w:right w:val="none" w:sz="0" w:space="0" w:color="auto"/>
      </w:divBdr>
    </w:div>
    <w:div w:id="2128430165">
      <w:bodyDiv w:val="1"/>
      <w:marLeft w:val="0"/>
      <w:marRight w:val="0"/>
      <w:marTop w:val="0"/>
      <w:marBottom w:val="0"/>
      <w:divBdr>
        <w:top w:val="none" w:sz="0" w:space="0" w:color="auto"/>
        <w:left w:val="none" w:sz="0" w:space="0" w:color="auto"/>
        <w:bottom w:val="none" w:sz="0" w:space="0" w:color="auto"/>
        <w:right w:val="none" w:sz="0" w:space="0" w:color="auto"/>
      </w:divBdr>
      <w:divsChild>
        <w:div w:id="8563108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101848B-7F88-4110-AC2B-E960629975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3327</Words>
  <Characters>18970</Characters>
  <Application>Microsoft Office Word</Application>
  <DocSecurity>0</DocSecurity>
  <Lines>158</Lines>
  <Paragraphs>44</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Introduction</vt:lpstr>
      <vt:lpstr>The Event Cycle </vt:lpstr>
      <vt:lpstr>    Application to the Chosen Event</vt:lpstr>
      <vt:lpstr>Event Concept &amp; Itinerary</vt:lpstr>
      <vt:lpstr>Aim and Objectives of the Event</vt:lpstr>
      <vt:lpstr>Event Management: Planning &amp; Execution</vt:lpstr>
      <vt:lpstr>Event Budget &amp; Financial Analysis </vt:lpstr>
      <vt:lpstr>Industry Trends, Issues &amp; Impacts</vt:lpstr>
      <vt:lpstr>Situational &amp; Cultural Considerations</vt:lpstr>
      <vt:lpstr>Conclusion &amp; Recommendations</vt:lpstr>
      <vt:lpstr>References</vt:lpstr>
    </vt:vector>
  </TitlesOfParts>
  <Company/>
  <LinksUpToDate>false</LinksUpToDate>
  <CharactersWithSpaces>22253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George Plescan</cp:lastModifiedBy>
  <cp:revision>4</cp:revision>
  <dcterms:created xsi:type="dcterms:W3CDTF">2025-02-01T17:52:00Z</dcterms:created>
  <dcterms:modified xsi:type="dcterms:W3CDTF">2025-02-02T11:25:00Z</dcterms:modified>
</cp:coreProperties>
</file>