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B44E6" w14:textId="77777777" w:rsidR="003273F7" w:rsidRDefault="003273F7" w:rsidP="003273F7">
      <w:pPr>
        <w:spacing w:line="360" w:lineRule="auto"/>
        <w:jc w:val="center"/>
        <w:rPr>
          <w:rFonts w:ascii="Arial" w:hAnsi="Arial" w:cs="Arial"/>
          <w:sz w:val="40"/>
          <w:szCs w:val="40"/>
        </w:rPr>
      </w:pPr>
    </w:p>
    <w:p w14:paraId="3AEACBF8" w14:textId="66FF06AD" w:rsidR="003273F7" w:rsidRDefault="008F6A22" w:rsidP="008F6A22">
      <w:pPr>
        <w:spacing w:line="360" w:lineRule="auto"/>
        <w:rPr>
          <w:rFonts w:ascii="Arial" w:hAnsi="Arial" w:cs="Arial"/>
          <w:sz w:val="40"/>
          <w:szCs w:val="40"/>
        </w:rPr>
      </w:pPr>
      <w:r>
        <w:rPr>
          <w:rFonts w:ascii="Arial" w:hAnsi="Arial" w:cs="Arial"/>
          <w:sz w:val="40"/>
          <w:szCs w:val="40"/>
        </w:rPr>
        <w:t xml:space="preserve">                        </w:t>
      </w:r>
      <w:r w:rsidR="003273F7" w:rsidRPr="003273F7">
        <w:rPr>
          <w:rFonts w:ascii="Arial" w:hAnsi="Arial" w:cs="Arial"/>
          <w:sz w:val="40"/>
          <w:szCs w:val="40"/>
        </w:rPr>
        <w:t xml:space="preserve">Module Title: </w:t>
      </w:r>
      <w:r w:rsidR="003273F7" w:rsidRPr="003273F7">
        <w:rPr>
          <w:rFonts w:ascii="Arial" w:hAnsi="Arial" w:cs="Arial"/>
          <w:sz w:val="40"/>
          <w:szCs w:val="40"/>
        </w:rPr>
        <w:br/>
        <w:t>Developing and Managing Individuals and Teams</w:t>
      </w:r>
      <w:r w:rsidR="003273F7" w:rsidRPr="003273F7">
        <w:rPr>
          <w:rFonts w:ascii="Arial" w:hAnsi="Arial" w:cs="Arial"/>
          <w:sz w:val="40"/>
          <w:szCs w:val="40"/>
        </w:rPr>
        <w:br/>
        <w:t>Module Code: LCLM 5002</w:t>
      </w:r>
      <w:r w:rsidR="003273F7" w:rsidRPr="003273F7">
        <w:rPr>
          <w:rFonts w:ascii="Arial" w:hAnsi="Arial" w:cs="Arial"/>
          <w:sz w:val="40"/>
          <w:szCs w:val="40"/>
        </w:rPr>
        <w:br/>
      </w:r>
    </w:p>
    <w:p w14:paraId="0E1D4ADD" w14:textId="2D35A8E3" w:rsidR="003273F7" w:rsidRDefault="008F6A22" w:rsidP="008F6A22">
      <w:pPr>
        <w:spacing w:line="360" w:lineRule="auto"/>
        <w:rPr>
          <w:rFonts w:ascii="Arial" w:hAnsi="Arial" w:cs="Arial"/>
          <w:sz w:val="40"/>
          <w:szCs w:val="40"/>
        </w:rPr>
      </w:pPr>
      <w:r>
        <w:rPr>
          <w:rFonts w:ascii="Arial" w:hAnsi="Arial" w:cs="Arial"/>
          <w:sz w:val="40"/>
          <w:szCs w:val="40"/>
        </w:rPr>
        <w:t xml:space="preserve">                       </w:t>
      </w:r>
      <w:r w:rsidR="003273F7" w:rsidRPr="003273F7">
        <w:rPr>
          <w:rFonts w:ascii="Arial" w:hAnsi="Arial" w:cs="Arial"/>
          <w:sz w:val="40"/>
          <w:szCs w:val="40"/>
        </w:rPr>
        <w:t>Assignment Title:</w:t>
      </w:r>
    </w:p>
    <w:p w14:paraId="216887A1" w14:textId="1EBB2F96" w:rsidR="003273F7" w:rsidRDefault="003273F7" w:rsidP="006F07AE">
      <w:pPr>
        <w:spacing w:line="360" w:lineRule="auto"/>
        <w:rPr>
          <w:rFonts w:ascii="Arial" w:hAnsi="Arial" w:cs="Arial"/>
          <w:sz w:val="40"/>
          <w:szCs w:val="40"/>
        </w:rPr>
      </w:pPr>
      <w:r w:rsidRPr="006F07AE">
        <w:rPr>
          <w:rFonts w:ascii="Arial" w:hAnsi="Arial" w:cs="Arial"/>
          <w:sz w:val="40"/>
          <w:szCs w:val="40"/>
        </w:rPr>
        <w:t>Strategic HR Review: Addressing Technological Advancement, Talent Management, and DEI at Lear Redditch</w:t>
      </w:r>
    </w:p>
    <w:p w14:paraId="6C44E65D" w14:textId="77777777" w:rsidR="003273F7" w:rsidRPr="003273F7" w:rsidRDefault="003273F7" w:rsidP="006F07AE">
      <w:pPr>
        <w:spacing w:line="360" w:lineRule="auto"/>
        <w:rPr>
          <w:rFonts w:ascii="Arial" w:hAnsi="Arial" w:cs="Arial"/>
          <w:sz w:val="40"/>
          <w:szCs w:val="40"/>
        </w:rPr>
      </w:pPr>
    </w:p>
    <w:p w14:paraId="3B00E158" w14:textId="703D6423" w:rsidR="006F07AE" w:rsidRPr="003273F7" w:rsidRDefault="003273F7" w:rsidP="006F07AE">
      <w:pPr>
        <w:spacing w:line="360" w:lineRule="auto"/>
        <w:rPr>
          <w:rFonts w:ascii="Arial" w:hAnsi="Arial" w:cs="Arial"/>
          <w:sz w:val="40"/>
          <w:szCs w:val="40"/>
        </w:rPr>
      </w:pPr>
      <w:r w:rsidRPr="003273F7">
        <w:rPr>
          <w:rFonts w:ascii="Arial" w:hAnsi="Arial" w:cs="Arial"/>
          <w:sz w:val="40"/>
          <w:szCs w:val="40"/>
        </w:rPr>
        <w:t>Student Name: Daniel Nicolae Amisculesei</w:t>
      </w:r>
      <w:r w:rsidRPr="003273F7">
        <w:rPr>
          <w:rFonts w:ascii="Arial" w:hAnsi="Arial" w:cs="Arial"/>
          <w:sz w:val="40"/>
          <w:szCs w:val="40"/>
        </w:rPr>
        <w:br/>
        <w:t>Student Number: 2411947</w:t>
      </w:r>
      <w:r w:rsidRPr="003273F7">
        <w:rPr>
          <w:rFonts w:ascii="Arial" w:hAnsi="Arial" w:cs="Arial"/>
          <w:sz w:val="40"/>
          <w:szCs w:val="40"/>
        </w:rPr>
        <w:br/>
      </w:r>
      <w:r w:rsidRPr="003273F7">
        <w:rPr>
          <w:rFonts w:ascii="Arial" w:hAnsi="Arial" w:cs="Arial"/>
          <w:sz w:val="40"/>
          <w:szCs w:val="40"/>
        </w:rPr>
        <w:br/>
        <w:t>Lecturer’s Name – Dr Mudassar Hasan</w:t>
      </w:r>
      <w:r w:rsidRPr="003273F7">
        <w:rPr>
          <w:rFonts w:ascii="Arial" w:hAnsi="Arial" w:cs="Arial"/>
          <w:sz w:val="40"/>
          <w:szCs w:val="40"/>
        </w:rPr>
        <w:br/>
      </w:r>
    </w:p>
    <w:p w14:paraId="28467613" w14:textId="77777777" w:rsidR="006F07AE" w:rsidRDefault="006F07AE" w:rsidP="006F07AE">
      <w:pPr>
        <w:spacing w:line="360" w:lineRule="auto"/>
        <w:rPr>
          <w:rFonts w:ascii="Arial" w:hAnsi="Arial" w:cs="Arial"/>
          <w:sz w:val="22"/>
          <w:szCs w:val="22"/>
        </w:rPr>
      </w:pPr>
    </w:p>
    <w:p w14:paraId="6E8F2AAC" w14:textId="77777777" w:rsidR="006F07AE" w:rsidRDefault="006F07AE" w:rsidP="006F07AE">
      <w:pPr>
        <w:spacing w:line="360" w:lineRule="auto"/>
        <w:rPr>
          <w:rFonts w:ascii="Arial" w:hAnsi="Arial" w:cs="Arial"/>
          <w:sz w:val="22"/>
          <w:szCs w:val="22"/>
        </w:rPr>
      </w:pPr>
    </w:p>
    <w:p w14:paraId="0F22443D" w14:textId="77777777" w:rsidR="006F07AE" w:rsidRDefault="006F07AE" w:rsidP="006F07AE">
      <w:pPr>
        <w:spacing w:line="360" w:lineRule="auto"/>
        <w:rPr>
          <w:rFonts w:ascii="Arial" w:hAnsi="Arial" w:cs="Arial"/>
          <w:sz w:val="22"/>
          <w:szCs w:val="22"/>
        </w:rPr>
      </w:pPr>
    </w:p>
    <w:p w14:paraId="1A675A66" w14:textId="77777777" w:rsidR="006F07AE" w:rsidRDefault="006F07AE" w:rsidP="006F07AE">
      <w:pPr>
        <w:spacing w:line="360" w:lineRule="auto"/>
        <w:rPr>
          <w:rFonts w:ascii="Arial" w:hAnsi="Arial" w:cs="Arial"/>
          <w:sz w:val="22"/>
          <w:szCs w:val="22"/>
        </w:rPr>
      </w:pPr>
    </w:p>
    <w:p w14:paraId="7E336516" w14:textId="77777777" w:rsidR="003273F7" w:rsidRDefault="003273F7" w:rsidP="006F07AE">
      <w:pPr>
        <w:spacing w:line="360" w:lineRule="auto"/>
        <w:rPr>
          <w:rFonts w:ascii="Arial" w:hAnsi="Arial" w:cs="Arial"/>
          <w:sz w:val="22"/>
          <w:szCs w:val="22"/>
        </w:rPr>
      </w:pPr>
    </w:p>
    <w:p w14:paraId="7071FE90" w14:textId="77777777" w:rsidR="00BF1209" w:rsidRDefault="00BF1209" w:rsidP="006F07AE">
      <w:pPr>
        <w:spacing w:line="360" w:lineRule="auto"/>
        <w:rPr>
          <w:rFonts w:ascii="Arial" w:hAnsi="Arial" w:cs="Arial"/>
          <w:sz w:val="36"/>
          <w:szCs w:val="36"/>
        </w:rPr>
      </w:pPr>
    </w:p>
    <w:p w14:paraId="251BCA5B" w14:textId="164F04A5" w:rsidR="006F07AE" w:rsidRDefault="006F07AE" w:rsidP="006F07AE">
      <w:pPr>
        <w:spacing w:line="360" w:lineRule="auto"/>
        <w:rPr>
          <w:rFonts w:ascii="Arial" w:hAnsi="Arial" w:cs="Arial"/>
          <w:sz w:val="36"/>
          <w:szCs w:val="36"/>
        </w:rPr>
      </w:pPr>
      <w:r w:rsidRPr="003273F7">
        <w:rPr>
          <w:rFonts w:ascii="Arial" w:hAnsi="Arial" w:cs="Arial"/>
          <w:sz w:val="36"/>
          <w:szCs w:val="36"/>
        </w:rPr>
        <w:t>Table of Contents</w:t>
      </w:r>
    </w:p>
    <w:sdt>
      <w:sdtPr>
        <w:rPr>
          <w:rFonts w:asciiTheme="minorHAnsi" w:eastAsiaTheme="minorHAnsi" w:hAnsiTheme="minorHAnsi" w:cstheme="minorBidi"/>
          <w:color w:val="auto"/>
          <w:kern w:val="2"/>
          <w:sz w:val="24"/>
          <w:szCs w:val="24"/>
          <w:lang w:eastAsia="en-US"/>
          <w14:ligatures w14:val="standardContextual"/>
        </w:rPr>
        <w:id w:val="253568404"/>
        <w:docPartObj>
          <w:docPartGallery w:val="Table of Contents"/>
          <w:docPartUnique/>
        </w:docPartObj>
      </w:sdtPr>
      <w:sdtEndPr>
        <w:rPr>
          <w:b/>
          <w:bCs/>
        </w:rPr>
      </w:sdtEndPr>
      <w:sdtContent>
        <w:p w14:paraId="60E995F0" w14:textId="64F96423" w:rsidR="00C32D57" w:rsidRDefault="00C32D57">
          <w:pPr>
            <w:pStyle w:val="TOCHeading"/>
          </w:pPr>
          <w:r>
            <w:t>Contents</w:t>
          </w:r>
        </w:p>
        <w:p w14:paraId="5F27AD37" w14:textId="25B251FE" w:rsidR="00DC4016" w:rsidRDefault="00C32D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065198" w:history="1">
            <w:r w:rsidR="00DC4016" w:rsidRPr="00171F7D">
              <w:rPr>
                <w:rStyle w:val="Hyperlink"/>
                <w:rFonts w:ascii="Arial" w:hAnsi="Arial" w:cs="Arial"/>
                <w:noProof/>
              </w:rPr>
              <w:t>Introduction</w:t>
            </w:r>
            <w:r w:rsidR="00DC4016">
              <w:rPr>
                <w:noProof/>
                <w:webHidden/>
              </w:rPr>
              <w:tab/>
            </w:r>
            <w:r w:rsidR="00DC4016">
              <w:rPr>
                <w:noProof/>
                <w:webHidden/>
              </w:rPr>
              <w:fldChar w:fldCharType="begin"/>
            </w:r>
            <w:r w:rsidR="00DC4016">
              <w:rPr>
                <w:noProof/>
                <w:webHidden/>
              </w:rPr>
              <w:instrText xml:space="preserve"> PAGEREF _Toc225065198 \h </w:instrText>
            </w:r>
            <w:r w:rsidR="00DC4016">
              <w:rPr>
                <w:noProof/>
                <w:webHidden/>
              </w:rPr>
            </w:r>
            <w:r w:rsidR="00DC4016">
              <w:rPr>
                <w:noProof/>
                <w:webHidden/>
              </w:rPr>
              <w:fldChar w:fldCharType="separate"/>
            </w:r>
            <w:r w:rsidR="00DC4016">
              <w:rPr>
                <w:noProof/>
                <w:webHidden/>
              </w:rPr>
              <w:t>3</w:t>
            </w:r>
            <w:r w:rsidR="00DC4016">
              <w:rPr>
                <w:noProof/>
                <w:webHidden/>
              </w:rPr>
              <w:fldChar w:fldCharType="end"/>
            </w:r>
          </w:hyperlink>
        </w:p>
        <w:p w14:paraId="102D03A1" w14:textId="3799968A" w:rsidR="00DC4016" w:rsidRDefault="00DC4016">
          <w:pPr>
            <w:pStyle w:val="TOC1"/>
            <w:tabs>
              <w:tab w:val="right" w:leader="dot" w:pos="9016"/>
            </w:tabs>
            <w:rPr>
              <w:rFonts w:eastAsiaTheme="minorEastAsia"/>
              <w:noProof/>
              <w:lang w:eastAsia="en-GB"/>
            </w:rPr>
          </w:pPr>
          <w:hyperlink w:anchor="_Toc225065199" w:history="1">
            <w:r w:rsidRPr="00171F7D">
              <w:rPr>
                <w:rStyle w:val="Hyperlink"/>
                <w:rFonts w:ascii="Arial" w:hAnsi="Arial" w:cs="Arial"/>
                <w:noProof/>
              </w:rPr>
              <w:t>Explanation of Specific Factors Related to Key HR Challenges</w:t>
            </w:r>
            <w:r>
              <w:rPr>
                <w:noProof/>
                <w:webHidden/>
              </w:rPr>
              <w:tab/>
            </w:r>
            <w:r>
              <w:rPr>
                <w:noProof/>
                <w:webHidden/>
              </w:rPr>
              <w:fldChar w:fldCharType="begin"/>
            </w:r>
            <w:r>
              <w:rPr>
                <w:noProof/>
                <w:webHidden/>
              </w:rPr>
              <w:instrText xml:space="preserve"> PAGEREF _Toc225065199 \h </w:instrText>
            </w:r>
            <w:r>
              <w:rPr>
                <w:noProof/>
                <w:webHidden/>
              </w:rPr>
            </w:r>
            <w:r>
              <w:rPr>
                <w:noProof/>
                <w:webHidden/>
              </w:rPr>
              <w:fldChar w:fldCharType="separate"/>
            </w:r>
            <w:r>
              <w:rPr>
                <w:noProof/>
                <w:webHidden/>
              </w:rPr>
              <w:t>3</w:t>
            </w:r>
            <w:r>
              <w:rPr>
                <w:noProof/>
                <w:webHidden/>
              </w:rPr>
              <w:fldChar w:fldCharType="end"/>
            </w:r>
          </w:hyperlink>
        </w:p>
        <w:p w14:paraId="29F0F980" w14:textId="62329BFE" w:rsidR="00DC4016" w:rsidRDefault="00DC4016">
          <w:pPr>
            <w:pStyle w:val="TOC1"/>
            <w:tabs>
              <w:tab w:val="right" w:leader="dot" w:pos="9016"/>
            </w:tabs>
            <w:rPr>
              <w:rFonts w:eastAsiaTheme="minorEastAsia"/>
              <w:noProof/>
              <w:lang w:eastAsia="en-GB"/>
            </w:rPr>
          </w:pPr>
          <w:hyperlink w:anchor="_Toc225065200" w:history="1">
            <w:r w:rsidRPr="00171F7D">
              <w:rPr>
                <w:rStyle w:val="Hyperlink"/>
                <w:rFonts w:ascii="Arial" w:hAnsi="Arial" w:cs="Arial"/>
                <w:noProof/>
              </w:rPr>
              <w:t>Evaluation of Different Contemporary HR Practices</w:t>
            </w:r>
            <w:r>
              <w:rPr>
                <w:noProof/>
                <w:webHidden/>
              </w:rPr>
              <w:tab/>
            </w:r>
            <w:r>
              <w:rPr>
                <w:noProof/>
                <w:webHidden/>
              </w:rPr>
              <w:fldChar w:fldCharType="begin"/>
            </w:r>
            <w:r>
              <w:rPr>
                <w:noProof/>
                <w:webHidden/>
              </w:rPr>
              <w:instrText xml:space="preserve"> PAGEREF _Toc225065200 \h </w:instrText>
            </w:r>
            <w:r>
              <w:rPr>
                <w:noProof/>
                <w:webHidden/>
              </w:rPr>
            </w:r>
            <w:r>
              <w:rPr>
                <w:noProof/>
                <w:webHidden/>
              </w:rPr>
              <w:fldChar w:fldCharType="separate"/>
            </w:r>
            <w:r>
              <w:rPr>
                <w:noProof/>
                <w:webHidden/>
              </w:rPr>
              <w:t>5</w:t>
            </w:r>
            <w:r>
              <w:rPr>
                <w:noProof/>
                <w:webHidden/>
              </w:rPr>
              <w:fldChar w:fldCharType="end"/>
            </w:r>
          </w:hyperlink>
        </w:p>
        <w:p w14:paraId="1CA07E51" w14:textId="2BD4E164" w:rsidR="00DC4016" w:rsidRDefault="00DC4016">
          <w:pPr>
            <w:pStyle w:val="TOC1"/>
            <w:tabs>
              <w:tab w:val="right" w:leader="dot" w:pos="9016"/>
            </w:tabs>
            <w:rPr>
              <w:rFonts w:eastAsiaTheme="minorEastAsia"/>
              <w:noProof/>
              <w:lang w:eastAsia="en-GB"/>
            </w:rPr>
          </w:pPr>
          <w:hyperlink w:anchor="_Toc225065201" w:history="1">
            <w:r w:rsidRPr="00171F7D">
              <w:rPr>
                <w:rStyle w:val="Hyperlink"/>
                <w:rFonts w:ascii="Arial" w:hAnsi="Arial" w:cs="Arial"/>
                <w:noProof/>
              </w:rPr>
              <w:t>Critical Evaluation of How Departmental Managers Can Ensure Implementation as a Matter of Urgency</w:t>
            </w:r>
            <w:r>
              <w:rPr>
                <w:noProof/>
                <w:webHidden/>
              </w:rPr>
              <w:tab/>
            </w:r>
            <w:r>
              <w:rPr>
                <w:noProof/>
                <w:webHidden/>
              </w:rPr>
              <w:fldChar w:fldCharType="begin"/>
            </w:r>
            <w:r>
              <w:rPr>
                <w:noProof/>
                <w:webHidden/>
              </w:rPr>
              <w:instrText xml:space="preserve"> PAGEREF _Toc225065201 \h </w:instrText>
            </w:r>
            <w:r>
              <w:rPr>
                <w:noProof/>
                <w:webHidden/>
              </w:rPr>
            </w:r>
            <w:r>
              <w:rPr>
                <w:noProof/>
                <w:webHidden/>
              </w:rPr>
              <w:fldChar w:fldCharType="separate"/>
            </w:r>
            <w:r>
              <w:rPr>
                <w:noProof/>
                <w:webHidden/>
              </w:rPr>
              <w:t>7</w:t>
            </w:r>
            <w:r>
              <w:rPr>
                <w:noProof/>
                <w:webHidden/>
              </w:rPr>
              <w:fldChar w:fldCharType="end"/>
            </w:r>
          </w:hyperlink>
        </w:p>
        <w:p w14:paraId="541AA298" w14:textId="0724C218" w:rsidR="00DC4016" w:rsidRDefault="00DC4016">
          <w:pPr>
            <w:pStyle w:val="TOC1"/>
            <w:tabs>
              <w:tab w:val="right" w:leader="dot" w:pos="9016"/>
            </w:tabs>
            <w:rPr>
              <w:rFonts w:eastAsiaTheme="minorEastAsia"/>
              <w:noProof/>
              <w:lang w:eastAsia="en-GB"/>
            </w:rPr>
          </w:pPr>
          <w:hyperlink w:anchor="_Toc225065202" w:history="1">
            <w:r w:rsidRPr="00171F7D">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_Toc225065202 \h </w:instrText>
            </w:r>
            <w:r>
              <w:rPr>
                <w:noProof/>
                <w:webHidden/>
              </w:rPr>
            </w:r>
            <w:r>
              <w:rPr>
                <w:noProof/>
                <w:webHidden/>
              </w:rPr>
              <w:fldChar w:fldCharType="separate"/>
            </w:r>
            <w:r>
              <w:rPr>
                <w:noProof/>
                <w:webHidden/>
              </w:rPr>
              <w:t>8</w:t>
            </w:r>
            <w:r>
              <w:rPr>
                <w:noProof/>
                <w:webHidden/>
              </w:rPr>
              <w:fldChar w:fldCharType="end"/>
            </w:r>
          </w:hyperlink>
        </w:p>
        <w:p w14:paraId="1CDC91C3" w14:textId="56F40E21" w:rsidR="00DC4016" w:rsidRDefault="00DC4016">
          <w:pPr>
            <w:pStyle w:val="TOC1"/>
            <w:tabs>
              <w:tab w:val="right" w:leader="dot" w:pos="9016"/>
            </w:tabs>
            <w:rPr>
              <w:rFonts w:eastAsiaTheme="minorEastAsia"/>
              <w:noProof/>
              <w:lang w:eastAsia="en-GB"/>
            </w:rPr>
          </w:pPr>
          <w:hyperlink w:anchor="_Toc225065203" w:history="1">
            <w:r w:rsidRPr="00171F7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_Toc225065203 \h </w:instrText>
            </w:r>
            <w:r>
              <w:rPr>
                <w:noProof/>
                <w:webHidden/>
              </w:rPr>
            </w:r>
            <w:r>
              <w:rPr>
                <w:noProof/>
                <w:webHidden/>
              </w:rPr>
              <w:fldChar w:fldCharType="separate"/>
            </w:r>
            <w:r>
              <w:rPr>
                <w:noProof/>
                <w:webHidden/>
              </w:rPr>
              <w:t>9</w:t>
            </w:r>
            <w:r>
              <w:rPr>
                <w:noProof/>
                <w:webHidden/>
              </w:rPr>
              <w:fldChar w:fldCharType="end"/>
            </w:r>
          </w:hyperlink>
        </w:p>
        <w:p w14:paraId="7C2A0FFF" w14:textId="54D0B8EF" w:rsidR="00C32D57" w:rsidRDefault="00C32D57">
          <w:r>
            <w:rPr>
              <w:b/>
              <w:bCs/>
            </w:rPr>
            <w:fldChar w:fldCharType="end"/>
          </w:r>
        </w:p>
      </w:sdtContent>
    </w:sdt>
    <w:p w14:paraId="4C407F81" w14:textId="77777777" w:rsidR="00E469F5" w:rsidRDefault="00E469F5" w:rsidP="006F07AE">
      <w:pPr>
        <w:spacing w:line="360" w:lineRule="auto"/>
        <w:rPr>
          <w:rFonts w:ascii="Arial" w:hAnsi="Arial" w:cs="Arial"/>
          <w:sz w:val="36"/>
          <w:szCs w:val="36"/>
        </w:rPr>
      </w:pPr>
    </w:p>
    <w:p w14:paraId="5151579C" w14:textId="77777777" w:rsidR="00E469F5" w:rsidRDefault="00E469F5" w:rsidP="006F07AE">
      <w:pPr>
        <w:spacing w:line="360" w:lineRule="auto"/>
        <w:rPr>
          <w:rFonts w:ascii="Arial" w:hAnsi="Arial" w:cs="Arial"/>
          <w:sz w:val="22"/>
          <w:szCs w:val="22"/>
        </w:rPr>
      </w:pPr>
    </w:p>
    <w:p w14:paraId="7706F60F" w14:textId="77777777" w:rsidR="00E469F5" w:rsidRDefault="00E469F5" w:rsidP="006F07AE">
      <w:pPr>
        <w:spacing w:line="360" w:lineRule="auto"/>
        <w:rPr>
          <w:rFonts w:ascii="Arial" w:hAnsi="Arial" w:cs="Arial"/>
          <w:sz w:val="22"/>
          <w:szCs w:val="22"/>
        </w:rPr>
      </w:pPr>
    </w:p>
    <w:p w14:paraId="76BFB019" w14:textId="77777777" w:rsidR="00E469F5" w:rsidRDefault="00E469F5" w:rsidP="006F07AE">
      <w:pPr>
        <w:spacing w:line="360" w:lineRule="auto"/>
        <w:rPr>
          <w:rFonts w:ascii="Arial" w:hAnsi="Arial" w:cs="Arial"/>
          <w:sz w:val="22"/>
          <w:szCs w:val="22"/>
        </w:rPr>
      </w:pPr>
    </w:p>
    <w:p w14:paraId="7DCF5142" w14:textId="77777777" w:rsidR="00E469F5" w:rsidRPr="00E469F5" w:rsidRDefault="00E469F5" w:rsidP="006F07AE">
      <w:pPr>
        <w:spacing w:line="360" w:lineRule="auto"/>
        <w:rPr>
          <w:rFonts w:ascii="Arial" w:hAnsi="Arial" w:cs="Arial"/>
          <w:sz w:val="22"/>
          <w:szCs w:val="22"/>
        </w:rPr>
      </w:pPr>
    </w:p>
    <w:p w14:paraId="3C6F6EA7" w14:textId="77777777" w:rsidR="006F07AE" w:rsidRDefault="006F07AE" w:rsidP="006F07AE">
      <w:pPr>
        <w:spacing w:line="360" w:lineRule="auto"/>
        <w:rPr>
          <w:rFonts w:ascii="Arial" w:hAnsi="Arial" w:cs="Arial"/>
          <w:sz w:val="22"/>
          <w:szCs w:val="22"/>
        </w:rPr>
      </w:pPr>
    </w:p>
    <w:p w14:paraId="615D24D2" w14:textId="77777777" w:rsidR="006F07AE" w:rsidRDefault="006F07AE" w:rsidP="006F07AE">
      <w:pPr>
        <w:spacing w:line="360" w:lineRule="auto"/>
        <w:rPr>
          <w:rFonts w:ascii="Arial" w:hAnsi="Arial" w:cs="Arial"/>
          <w:sz w:val="22"/>
          <w:szCs w:val="22"/>
        </w:rPr>
      </w:pPr>
    </w:p>
    <w:p w14:paraId="1FB3B5AC" w14:textId="77777777" w:rsidR="006F07AE" w:rsidRDefault="006F07AE" w:rsidP="006F07AE">
      <w:pPr>
        <w:spacing w:line="360" w:lineRule="auto"/>
        <w:rPr>
          <w:rFonts w:ascii="Arial" w:hAnsi="Arial" w:cs="Arial"/>
          <w:sz w:val="22"/>
          <w:szCs w:val="22"/>
        </w:rPr>
      </w:pPr>
    </w:p>
    <w:p w14:paraId="4BB04BF5" w14:textId="77777777" w:rsidR="006F07AE" w:rsidRDefault="006F07AE" w:rsidP="006F07AE">
      <w:pPr>
        <w:spacing w:line="360" w:lineRule="auto"/>
        <w:rPr>
          <w:rFonts w:ascii="Arial" w:hAnsi="Arial" w:cs="Arial"/>
          <w:sz w:val="22"/>
          <w:szCs w:val="22"/>
        </w:rPr>
      </w:pPr>
    </w:p>
    <w:p w14:paraId="6418A374" w14:textId="77777777" w:rsidR="006F07AE" w:rsidRDefault="006F07AE" w:rsidP="006F07AE">
      <w:pPr>
        <w:spacing w:line="360" w:lineRule="auto"/>
        <w:rPr>
          <w:rFonts w:ascii="Arial" w:hAnsi="Arial" w:cs="Arial"/>
          <w:sz w:val="22"/>
          <w:szCs w:val="22"/>
        </w:rPr>
      </w:pPr>
    </w:p>
    <w:p w14:paraId="5A78CC7F" w14:textId="77777777" w:rsidR="006F07AE" w:rsidRDefault="006F07AE" w:rsidP="006F07AE">
      <w:pPr>
        <w:spacing w:line="360" w:lineRule="auto"/>
        <w:rPr>
          <w:rFonts w:ascii="Arial" w:hAnsi="Arial" w:cs="Arial"/>
          <w:sz w:val="22"/>
          <w:szCs w:val="22"/>
        </w:rPr>
      </w:pPr>
    </w:p>
    <w:p w14:paraId="1D73080E" w14:textId="77777777" w:rsidR="006F07AE" w:rsidRDefault="006F07AE" w:rsidP="006F07AE">
      <w:pPr>
        <w:spacing w:line="360" w:lineRule="auto"/>
        <w:rPr>
          <w:rFonts w:ascii="Arial" w:hAnsi="Arial" w:cs="Arial"/>
          <w:sz w:val="22"/>
          <w:szCs w:val="22"/>
        </w:rPr>
      </w:pPr>
    </w:p>
    <w:p w14:paraId="26DB6049" w14:textId="77777777" w:rsidR="006F07AE" w:rsidRDefault="006F07AE" w:rsidP="006F07AE">
      <w:pPr>
        <w:spacing w:line="360" w:lineRule="auto"/>
        <w:rPr>
          <w:rFonts w:ascii="Arial" w:hAnsi="Arial" w:cs="Arial"/>
          <w:sz w:val="22"/>
          <w:szCs w:val="22"/>
        </w:rPr>
      </w:pPr>
    </w:p>
    <w:p w14:paraId="1274C1A0" w14:textId="77777777" w:rsidR="006F07AE" w:rsidRDefault="006F07AE" w:rsidP="006F07AE">
      <w:pPr>
        <w:spacing w:line="360" w:lineRule="auto"/>
        <w:rPr>
          <w:rFonts w:ascii="Arial" w:hAnsi="Arial" w:cs="Arial"/>
          <w:sz w:val="22"/>
          <w:szCs w:val="22"/>
        </w:rPr>
      </w:pPr>
    </w:p>
    <w:p w14:paraId="08594D00" w14:textId="77777777" w:rsidR="002C1C4F" w:rsidRDefault="002C1C4F" w:rsidP="002C1C4F">
      <w:pPr>
        <w:spacing w:line="360" w:lineRule="auto"/>
        <w:rPr>
          <w:rFonts w:ascii="Arial" w:hAnsi="Arial" w:cs="Arial"/>
          <w:sz w:val="22"/>
          <w:szCs w:val="22"/>
        </w:rPr>
      </w:pPr>
    </w:p>
    <w:p w14:paraId="6AC030E3" w14:textId="615155E6" w:rsidR="006F07AE" w:rsidRPr="002C1C4F" w:rsidRDefault="006F07AE" w:rsidP="002C1C4F">
      <w:pPr>
        <w:pStyle w:val="Heading1"/>
        <w:rPr>
          <w:rFonts w:ascii="Arial" w:hAnsi="Arial" w:cs="Arial"/>
        </w:rPr>
      </w:pPr>
      <w:bookmarkStart w:id="0" w:name="_Toc225065198"/>
      <w:r w:rsidRPr="002C1C4F">
        <w:rPr>
          <w:rFonts w:ascii="Arial" w:hAnsi="Arial" w:cs="Arial"/>
        </w:rPr>
        <w:lastRenderedPageBreak/>
        <w:t>Introduction</w:t>
      </w:r>
      <w:bookmarkEnd w:id="0"/>
    </w:p>
    <w:p w14:paraId="7CDCA139" w14:textId="77777777" w:rsidR="002C1C4F" w:rsidRDefault="002C1C4F" w:rsidP="002C1C4F">
      <w:pPr>
        <w:spacing w:line="360" w:lineRule="auto"/>
        <w:rPr>
          <w:rFonts w:ascii="Arial" w:hAnsi="Arial" w:cs="Arial"/>
          <w:sz w:val="22"/>
          <w:szCs w:val="22"/>
        </w:rPr>
      </w:pPr>
    </w:p>
    <w:p w14:paraId="69ABBF73" w14:textId="372210FA" w:rsidR="002C1C4F" w:rsidRPr="002C1C4F" w:rsidRDefault="002C1C4F" w:rsidP="002C1C4F">
      <w:r w:rsidRPr="006F07AE">
        <w:rPr>
          <w:rFonts w:ascii="Arial" w:hAnsi="Arial" w:cs="Arial"/>
          <w:sz w:val="22"/>
          <w:szCs w:val="22"/>
        </w:rPr>
        <w:t>This report examines the strategic HR challenges facing Lear Corporation's Redditch facility, focusing on technological advancement, talent management, and diversity, equity, and inclusion (DEI). It evaluates contemporary HR practices and provides recommendations for urgent implementation.</w:t>
      </w:r>
      <w:r w:rsidRPr="006F07AE">
        <w:rPr>
          <w:rFonts w:ascii="Arial" w:hAnsi="Arial" w:cs="Arial"/>
          <w:sz w:val="22"/>
          <w:szCs w:val="22"/>
        </w:rPr>
        <w:br/>
      </w:r>
    </w:p>
    <w:p w14:paraId="20417C14" w14:textId="77777777" w:rsidR="00844357" w:rsidRDefault="006F07AE" w:rsidP="003273F7">
      <w:pPr>
        <w:spacing w:line="360" w:lineRule="auto"/>
        <w:rPr>
          <w:rFonts w:ascii="Arial" w:hAnsi="Arial" w:cs="Arial"/>
          <w:sz w:val="22"/>
          <w:szCs w:val="22"/>
        </w:rPr>
      </w:pPr>
      <w:r w:rsidRPr="006F07AE">
        <w:rPr>
          <w:rFonts w:ascii="Arial" w:hAnsi="Arial" w:cs="Arial"/>
          <w:sz w:val="22"/>
          <w:szCs w:val="22"/>
        </w:rPr>
        <w:t xml:space="preserve">The contemporary business environment presents Human Resources (HR) departments with a complex array of challenges that require strategic foresight and adaptive practices. For Lear Corporation, a global automotive technology leader operating in Seating and E-Systems, its facility in Redditch, UK, is not immune to these pressures. This report is commissioned to address three critical areas impacting the organisation: </w:t>
      </w:r>
    </w:p>
    <w:p w14:paraId="07226155" w14:textId="77777777" w:rsidR="00844357" w:rsidRDefault="00844357" w:rsidP="003273F7">
      <w:pPr>
        <w:spacing w:line="360" w:lineRule="auto"/>
        <w:rPr>
          <w:rFonts w:ascii="Arial" w:hAnsi="Arial" w:cs="Arial"/>
          <w:sz w:val="22"/>
          <w:szCs w:val="22"/>
        </w:rPr>
      </w:pPr>
      <w:r>
        <w:rPr>
          <w:rFonts w:ascii="Arial" w:hAnsi="Arial" w:cs="Arial"/>
          <w:sz w:val="22"/>
          <w:szCs w:val="22"/>
        </w:rPr>
        <w:t>-T</w:t>
      </w:r>
      <w:r w:rsidR="006F07AE" w:rsidRPr="006F07AE">
        <w:rPr>
          <w:rFonts w:ascii="Arial" w:hAnsi="Arial" w:cs="Arial"/>
          <w:sz w:val="22"/>
          <w:szCs w:val="22"/>
        </w:rPr>
        <w:t xml:space="preserve">he rapid pace of technological advancement, </w:t>
      </w:r>
    </w:p>
    <w:p w14:paraId="5C2E8867" w14:textId="77777777" w:rsidR="00844357" w:rsidRDefault="00844357" w:rsidP="003273F7">
      <w:pPr>
        <w:spacing w:line="360" w:lineRule="auto"/>
        <w:rPr>
          <w:rFonts w:ascii="Arial" w:hAnsi="Arial" w:cs="Arial"/>
          <w:sz w:val="22"/>
          <w:szCs w:val="22"/>
        </w:rPr>
      </w:pPr>
      <w:r>
        <w:rPr>
          <w:rFonts w:ascii="Arial" w:hAnsi="Arial" w:cs="Arial"/>
          <w:sz w:val="22"/>
          <w:szCs w:val="22"/>
        </w:rPr>
        <w:t>-T</w:t>
      </w:r>
      <w:r w:rsidR="006F07AE" w:rsidRPr="006F07AE">
        <w:rPr>
          <w:rFonts w:ascii="Arial" w:hAnsi="Arial" w:cs="Arial"/>
          <w:sz w:val="22"/>
          <w:szCs w:val="22"/>
        </w:rPr>
        <w:t xml:space="preserve">he persistent challenges of talent acquisition and retention, </w:t>
      </w:r>
    </w:p>
    <w:p w14:paraId="0573D1E7" w14:textId="77777777" w:rsidR="00844357" w:rsidRDefault="00844357" w:rsidP="003273F7">
      <w:pPr>
        <w:spacing w:line="360" w:lineRule="auto"/>
        <w:rPr>
          <w:rFonts w:ascii="Arial" w:hAnsi="Arial" w:cs="Arial"/>
          <w:sz w:val="22"/>
          <w:szCs w:val="22"/>
        </w:rPr>
      </w:pPr>
      <w:r>
        <w:rPr>
          <w:rFonts w:ascii="Arial" w:hAnsi="Arial" w:cs="Arial"/>
          <w:sz w:val="22"/>
          <w:szCs w:val="22"/>
        </w:rPr>
        <w:t>- T</w:t>
      </w:r>
      <w:r w:rsidR="006F07AE" w:rsidRPr="006F07AE">
        <w:rPr>
          <w:rFonts w:ascii="Arial" w:hAnsi="Arial" w:cs="Arial"/>
          <w:sz w:val="22"/>
          <w:szCs w:val="22"/>
        </w:rPr>
        <w:t xml:space="preserve">he deepening strategic importance of Diversity, Equity, and Inclusion (DEI). </w:t>
      </w:r>
    </w:p>
    <w:p w14:paraId="272C3E40" w14:textId="24B9C2D3" w:rsidR="003273F7" w:rsidRDefault="006F07AE" w:rsidP="003273F7">
      <w:pPr>
        <w:spacing w:line="360" w:lineRule="auto"/>
        <w:rPr>
          <w:rFonts w:ascii="Arial" w:hAnsi="Arial" w:cs="Arial"/>
          <w:sz w:val="22"/>
          <w:szCs w:val="22"/>
        </w:rPr>
      </w:pPr>
      <w:r w:rsidRPr="006F07AE">
        <w:rPr>
          <w:rFonts w:ascii="Arial" w:hAnsi="Arial" w:cs="Arial"/>
          <w:sz w:val="22"/>
          <w:szCs w:val="22"/>
        </w:rPr>
        <w:t>The purpose of this document is twofold: first, to explain the specific factors related to these challenges within the context of Lear; and second, to evaluate contemporary HR practices designed to address them. The report will conclude with a critical evaluation of how departmental managers can urgently implement these practices and provide a set of actionable recommendations. By examining these interlinked issues, this report aims to provide a clear pathway for Lear Redditch to strengthen its workforce resilience and maintain its competitive edge.</w:t>
      </w:r>
    </w:p>
    <w:p w14:paraId="790E96A0" w14:textId="77777777" w:rsidR="003273F7" w:rsidRDefault="003273F7" w:rsidP="003273F7">
      <w:pPr>
        <w:spacing w:line="360" w:lineRule="auto"/>
        <w:rPr>
          <w:rFonts w:ascii="Arial" w:hAnsi="Arial" w:cs="Arial"/>
          <w:sz w:val="22"/>
          <w:szCs w:val="22"/>
        </w:rPr>
      </w:pPr>
    </w:p>
    <w:p w14:paraId="30FB3313" w14:textId="77777777" w:rsidR="003273F7" w:rsidRDefault="003273F7" w:rsidP="003273F7">
      <w:pPr>
        <w:spacing w:line="360" w:lineRule="auto"/>
        <w:rPr>
          <w:rFonts w:ascii="Arial" w:hAnsi="Arial" w:cs="Arial"/>
          <w:sz w:val="22"/>
          <w:szCs w:val="22"/>
        </w:rPr>
      </w:pPr>
    </w:p>
    <w:p w14:paraId="36A493D1" w14:textId="77777777" w:rsidR="003273F7" w:rsidRDefault="003273F7" w:rsidP="003273F7">
      <w:pPr>
        <w:spacing w:line="360" w:lineRule="auto"/>
        <w:rPr>
          <w:rFonts w:ascii="Arial" w:hAnsi="Arial" w:cs="Arial"/>
          <w:sz w:val="22"/>
          <w:szCs w:val="22"/>
        </w:rPr>
      </w:pPr>
    </w:p>
    <w:p w14:paraId="79485FE1" w14:textId="474835B4" w:rsidR="006F07AE" w:rsidRPr="008F6A22" w:rsidRDefault="006F07AE" w:rsidP="008F6A22">
      <w:pPr>
        <w:pStyle w:val="Heading1"/>
        <w:rPr>
          <w:rFonts w:ascii="Arial" w:hAnsi="Arial" w:cs="Arial"/>
        </w:rPr>
      </w:pPr>
      <w:r w:rsidRPr="00F44627">
        <w:t xml:space="preserve"> </w:t>
      </w:r>
      <w:bookmarkStart w:id="1" w:name="_Toc225065199"/>
      <w:r w:rsidRPr="008F6A22">
        <w:rPr>
          <w:rFonts w:ascii="Arial" w:hAnsi="Arial" w:cs="Arial"/>
        </w:rPr>
        <w:t>Explanation of Specific Factors Related to Key HR Challenges</w:t>
      </w:r>
      <w:bookmarkEnd w:id="1"/>
    </w:p>
    <w:p w14:paraId="689322A9" w14:textId="77777777" w:rsidR="006F07AE" w:rsidRDefault="006F07AE" w:rsidP="006F07AE">
      <w:pPr>
        <w:spacing w:line="360" w:lineRule="auto"/>
        <w:rPr>
          <w:rFonts w:ascii="Arial" w:hAnsi="Arial" w:cs="Arial"/>
          <w:sz w:val="22"/>
          <w:szCs w:val="22"/>
        </w:rPr>
      </w:pPr>
      <w:r w:rsidRPr="006F07AE">
        <w:rPr>
          <w:rFonts w:ascii="Arial" w:hAnsi="Arial" w:cs="Arial"/>
          <w:sz w:val="22"/>
          <w:szCs w:val="22"/>
        </w:rPr>
        <w:t>This section outlines the specific factors driving challenges in technological advancement, talent acquisition and retention, and DEI at Lear Redditch.</w:t>
      </w:r>
    </w:p>
    <w:p w14:paraId="11295541" w14:textId="77777777" w:rsidR="002C1C4F" w:rsidRPr="006F07AE" w:rsidRDefault="002C1C4F" w:rsidP="006F07AE">
      <w:pPr>
        <w:spacing w:line="360" w:lineRule="auto"/>
        <w:rPr>
          <w:rFonts w:ascii="Arial" w:hAnsi="Arial" w:cs="Arial"/>
          <w:sz w:val="22"/>
          <w:szCs w:val="22"/>
        </w:rPr>
      </w:pPr>
    </w:p>
    <w:p w14:paraId="6FA5AB32" w14:textId="650D6357" w:rsidR="006F07AE" w:rsidRPr="003273F7" w:rsidRDefault="006F07AE" w:rsidP="003273F7">
      <w:pPr>
        <w:pStyle w:val="ListParagraph"/>
        <w:numPr>
          <w:ilvl w:val="0"/>
          <w:numId w:val="4"/>
        </w:numPr>
        <w:spacing w:line="360" w:lineRule="auto"/>
        <w:rPr>
          <w:rFonts w:ascii="Arial" w:hAnsi="Arial" w:cs="Arial"/>
          <w:sz w:val="22"/>
          <w:szCs w:val="22"/>
        </w:rPr>
      </w:pPr>
      <w:r w:rsidRPr="003273F7">
        <w:rPr>
          <w:rFonts w:ascii="Arial" w:hAnsi="Arial" w:cs="Arial"/>
          <w:b/>
          <w:bCs/>
          <w:sz w:val="22"/>
          <w:szCs w:val="22"/>
        </w:rPr>
        <w:lastRenderedPageBreak/>
        <w:t xml:space="preserve"> Meeting Up with Technological Advancement</w:t>
      </w:r>
    </w:p>
    <w:p w14:paraId="41A59C64" w14:textId="0745E0F4"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The automotive industry is in the throes of a profound technological shift, moving from traditional manufacturing towards electric vehicles (EVs), autonomous driving, and sophisticated in-car E-Systems. For Lear, a leader in both Seating and E-Systems, this presents a dual challenge. Firstly, the very nature of work is changing. As noted in a recent academic review, the advent of Industry 4.0 necessitates a redefinition of talent and competencies, with digital literacy and adaptability becoming core requirements for all roles. For employees in Redditch, this means moving beyond manual or mechanical skills to encompass data analytics, robotics management, and software integration.</w:t>
      </w:r>
    </w:p>
    <w:p w14:paraId="096D92A8" w14:textId="397F76BC"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Secondly, this technological evolution creates a significant skills gap. The organisation must not only recruit new talent proficient in these areas but also upskill its existing workforce. This requires significant investment in continuous learning platforms and a cultural shift towards perpetual development. Failure to adapt risks operational obsolescence and an inability to meet the sophisticated demands of clients like Ford, Jaguar Land Rover, and BMW.</w:t>
      </w:r>
    </w:p>
    <w:p w14:paraId="4B9FE0D7" w14:textId="157734FB" w:rsidR="006F07AE" w:rsidRPr="003273F7" w:rsidRDefault="006F07AE" w:rsidP="003273F7">
      <w:pPr>
        <w:pStyle w:val="ListParagraph"/>
        <w:numPr>
          <w:ilvl w:val="0"/>
          <w:numId w:val="4"/>
        </w:numPr>
        <w:spacing w:line="360" w:lineRule="auto"/>
        <w:rPr>
          <w:rFonts w:ascii="Arial" w:hAnsi="Arial" w:cs="Arial"/>
          <w:sz w:val="22"/>
          <w:szCs w:val="22"/>
        </w:rPr>
      </w:pPr>
      <w:r w:rsidRPr="003273F7">
        <w:rPr>
          <w:rFonts w:ascii="Arial" w:hAnsi="Arial" w:cs="Arial"/>
          <w:b/>
          <w:bCs/>
          <w:sz w:val="22"/>
          <w:szCs w:val="22"/>
        </w:rPr>
        <w:t>Talent Acquisition and Retention</w:t>
      </w:r>
    </w:p>
    <w:p w14:paraId="4F817F95" w14:textId="1A1F61AD"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The competition for skilled labour in the UK, particularly in the engineering and technology sectors, is intense. For Lear Redditch, talent acquisition is challenged by a finite pool of candidates with specialised skills in areas like electrical engineering and advanced materials. Retention, however, is equally vexing. Recent industry surveys indicate that while hiring remains a challenge, employee retention strategies are again capturing significant HR attention, driven by talent shortages and evolving worker expectations</w:t>
      </w:r>
      <w:r>
        <w:rPr>
          <w:rFonts w:ascii="Arial" w:hAnsi="Arial" w:cs="Arial"/>
          <w:sz w:val="22"/>
          <w:szCs w:val="22"/>
        </w:rPr>
        <w:t>.</w:t>
      </w:r>
    </w:p>
    <w:p w14:paraId="36084B0D" w14:textId="708F0C6B"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 xml:space="preserve">A key factor is the changing nature of the employee-employer relationship. Workers, particularly millennials and Gen Z, now prioritise purpose, development, and wellbeing. Research suggests that a perceived lack of professional development is a primary driver of turnover; employees who do not see a clear path for growth are significantly more likely to </w:t>
      </w:r>
      <w:r w:rsidR="003273F7" w:rsidRPr="006F07AE">
        <w:rPr>
          <w:rFonts w:ascii="Arial" w:hAnsi="Arial" w:cs="Arial"/>
          <w:sz w:val="22"/>
          <w:szCs w:val="22"/>
        </w:rPr>
        <w:t>leave.</w:t>
      </w:r>
      <w:r w:rsidRPr="006F07AE">
        <w:rPr>
          <w:rFonts w:ascii="Arial" w:hAnsi="Arial" w:cs="Arial"/>
          <w:sz w:val="22"/>
          <w:szCs w:val="22"/>
        </w:rPr>
        <w:t xml:space="preserve"> Furthermore, employees increasingly value wellbeing support, with many stating they would prioritise a caring employer over a higher salary. For Lear Redditch, this means retention is no longer just about competitive pay but about creating a holistic environment where employees feel valued, supported, and capable of growing their careers.</w:t>
      </w:r>
    </w:p>
    <w:p w14:paraId="7733F5FB" w14:textId="26F47E6C" w:rsidR="006F07AE" w:rsidRPr="003273F7" w:rsidRDefault="006F07AE" w:rsidP="003273F7">
      <w:pPr>
        <w:pStyle w:val="ListParagraph"/>
        <w:numPr>
          <w:ilvl w:val="0"/>
          <w:numId w:val="4"/>
        </w:numPr>
        <w:spacing w:line="360" w:lineRule="auto"/>
        <w:rPr>
          <w:rFonts w:ascii="Arial" w:hAnsi="Arial" w:cs="Arial"/>
          <w:sz w:val="22"/>
          <w:szCs w:val="22"/>
        </w:rPr>
      </w:pPr>
      <w:r w:rsidRPr="003273F7">
        <w:rPr>
          <w:rFonts w:ascii="Arial" w:hAnsi="Arial" w:cs="Arial"/>
          <w:b/>
          <w:bCs/>
          <w:sz w:val="22"/>
          <w:szCs w:val="22"/>
        </w:rPr>
        <w:t xml:space="preserve"> Diversity, Equity and Inclusion (DEI)</w:t>
      </w:r>
    </w:p>
    <w:p w14:paraId="1F708A3C" w14:textId="77777777"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 xml:space="preserve">DEI at Lear has evolved from a compliance exercise to a strategic imperative. Lear Corporation publicly champions a "Together We Belong" ethos, supported by global Employee Resource Groups (ERGs) such as GROW (for women) and VALOR (for </w:t>
      </w:r>
      <w:r w:rsidRPr="006F07AE">
        <w:rPr>
          <w:rFonts w:ascii="Arial" w:hAnsi="Arial" w:cs="Arial"/>
          <w:sz w:val="22"/>
          <w:szCs w:val="22"/>
        </w:rPr>
        <w:lastRenderedPageBreak/>
        <w:t>veterans</w:t>
      </w:r>
      <w:proofErr w:type="gramStart"/>
      <w:r w:rsidRPr="006F07AE">
        <w:rPr>
          <w:rFonts w:ascii="Arial" w:hAnsi="Arial" w:cs="Arial"/>
          <w:sz w:val="22"/>
          <w:szCs w:val="22"/>
        </w:rPr>
        <w:t>) .</w:t>
      </w:r>
      <w:proofErr w:type="gramEnd"/>
      <w:r w:rsidRPr="006F07AE">
        <w:rPr>
          <w:rFonts w:ascii="Arial" w:hAnsi="Arial" w:cs="Arial"/>
          <w:sz w:val="22"/>
          <w:szCs w:val="22"/>
        </w:rPr>
        <w:t xml:space="preserve"> However, the specific factors for the Redditch facility involve translating this global policy into local, tangible impact. The challenge is to move beyond high-level statements and ensure that DEI is embedded into the fabric of the organisation.</w:t>
      </w:r>
    </w:p>
    <w:p w14:paraId="762F1C9E" w14:textId="444AAB65" w:rsidR="008F6A22" w:rsidRPr="002C1C4F" w:rsidRDefault="006F07AE" w:rsidP="002C1C4F">
      <w:pPr>
        <w:spacing w:line="360" w:lineRule="auto"/>
        <w:rPr>
          <w:rFonts w:ascii="Arial" w:hAnsi="Arial" w:cs="Arial"/>
          <w:sz w:val="22"/>
          <w:szCs w:val="22"/>
        </w:rPr>
      </w:pPr>
      <w:r w:rsidRPr="006F07AE">
        <w:rPr>
          <w:rFonts w:ascii="Arial" w:hAnsi="Arial" w:cs="Arial"/>
          <w:sz w:val="22"/>
          <w:szCs w:val="22"/>
        </w:rPr>
        <w:t>Contemporary research underscores that effective DEI is directly linked to innovation and resilience. For a site like Redditch, this means leveraging diverse perspectives to solve complex engineering and manufacturing problems. However, this requires more than just representation; it requires creating an environment of genuine inclusion and psychological safety where all employees feel heard. The CIPD notes that organisations are now focusing on "resetting EDI" by aligning it with business strategy and ensuring clear accountability, moving away from performative actions to measurable outcomes. The factor at play in Redditch is the need to localise global DEI values in a way that resonates with the UK workforce, addresses specific local demographics, and demonstrably contributes to business performance.</w:t>
      </w:r>
    </w:p>
    <w:p w14:paraId="65157AC1" w14:textId="1A02BD91" w:rsidR="006F07AE" w:rsidRPr="008F6A22" w:rsidRDefault="006F07AE" w:rsidP="008F6A22">
      <w:pPr>
        <w:pStyle w:val="Heading1"/>
        <w:rPr>
          <w:rFonts w:ascii="Arial" w:hAnsi="Arial" w:cs="Arial"/>
        </w:rPr>
      </w:pPr>
      <w:bookmarkStart w:id="2" w:name="_Toc225065200"/>
      <w:r w:rsidRPr="008F6A22">
        <w:rPr>
          <w:rFonts w:ascii="Arial" w:hAnsi="Arial" w:cs="Arial"/>
        </w:rPr>
        <w:t>Evaluation of Different Contemporary HR Practices</w:t>
      </w:r>
      <w:bookmarkEnd w:id="2"/>
    </w:p>
    <w:p w14:paraId="041338C6" w14:textId="77777777"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To address the challenges outlined above, HR must deploy a range of contemporary practices. This section evaluates their potential effectiveness for Lear Redditch.</w:t>
      </w:r>
    </w:p>
    <w:p w14:paraId="7075C4AA" w14:textId="6519209A" w:rsidR="006F07AE" w:rsidRPr="003273F7" w:rsidRDefault="006F07AE" w:rsidP="003273F7">
      <w:pPr>
        <w:pStyle w:val="ListParagraph"/>
        <w:numPr>
          <w:ilvl w:val="0"/>
          <w:numId w:val="4"/>
        </w:numPr>
        <w:spacing w:line="360" w:lineRule="auto"/>
        <w:rPr>
          <w:rFonts w:ascii="Arial" w:hAnsi="Arial" w:cs="Arial"/>
          <w:sz w:val="22"/>
          <w:szCs w:val="22"/>
        </w:rPr>
      </w:pPr>
      <w:r w:rsidRPr="003273F7">
        <w:rPr>
          <w:rFonts w:ascii="Arial" w:hAnsi="Arial" w:cs="Arial"/>
          <w:b/>
          <w:bCs/>
          <w:sz w:val="22"/>
          <w:szCs w:val="22"/>
        </w:rPr>
        <w:t xml:space="preserve"> Practices for Technological Advancement</w:t>
      </w:r>
    </w:p>
    <w:p w14:paraId="7106AB8F" w14:textId="6CD7DEF9"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To bridge the digital skills gap, HR must move beyond traditional training models. A key contemporary practice is the implementation of </w:t>
      </w:r>
      <w:r w:rsidRPr="006F07AE">
        <w:rPr>
          <w:rFonts w:ascii="Arial" w:hAnsi="Arial" w:cs="Arial"/>
          <w:b/>
          <w:bCs/>
          <w:sz w:val="22"/>
          <w:szCs w:val="22"/>
        </w:rPr>
        <w:t>AI-driven learning platforms</w:t>
      </w:r>
      <w:r w:rsidRPr="006F07AE">
        <w:rPr>
          <w:rFonts w:ascii="Arial" w:hAnsi="Arial" w:cs="Arial"/>
          <w:sz w:val="22"/>
          <w:szCs w:val="22"/>
        </w:rPr>
        <w:t>. These platforms can personalise employee development by identifying individual skill gaps and recommending tailored learning content, creating a "virtuous cycle of learning”. This is more effective than one-size-fits-all training as it allows employees to learn at their own pace and focus on relevant skills, fostering the adaptability required for Industry 4.0.</w:t>
      </w:r>
    </w:p>
    <w:p w14:paraId="27F08C41" w14:textId="59ECA8A0" w:rsidR="006F07AE" w:rsidRDefault="006F07AE" w:rsidP="006F07AE">
      <w:pPr>
        <w:spacing w:line="360" w:lineRule="auto"/>
        <w:rPr>
          <w:rFonts w:ascii="Arial" w:hAnsi="Arial" w:cs="Arial"/>
          <w:sz w:val="22"/>
          <w:szCs w:val="22"/>
        </w:rPr>
      </w:pPr>
      <w:r w:rsidRPr="006F07AE">
        <w:rPr>
          <w:rFonts w:ascii="Arial" w:hAnsi="Arial" w:cs="Arial"/>
          <w:sz w:val="22"/>
          <w:szCs w:val="22"/>
        </w:rPr>
        <w:t>Another critical practice is the adoption of </w:t>
      </w:r>
      <w:r w:rsidRPr="006F07AE">
        <w:rPr>
          <w:rFonts w:ascii="Arial" w:hAnsi="Arial" w:cs="Arial"/>
          <w:b/>
          <w:bCs/>
          <w:sz w:val="22"/>
          <w:szCs w:val="22"/>
        </w:rPr>
        <w:t>talent intelligence and people analytics</w:t>
      </w:r>
      <w:r w:rsidRPr="006F07AE">
        <w:rPr>
          <w:rFonts w:ascii="Arial" w:hAnsi="Arial" w:cs="Arial"/>
          <w:sz w:val="22"/>
          <w:szCs w:val="22"/>
        </w:rPr>
        <w:t>. This involves using AI to gain a unified view of the workforce's current skills, potential, and adjacent capabilities. Instead of defaulting to external hiring for new technological roles, HR can use these insights to identify internal candidates with transferable skills who can be reskilled. This data-driven approach to workforce planning, which forecasts future skill needs based on strategic goals, is far more proactive and cost-effective than reactive hiring. As the ISG reports, enterprises using integrated workforce platforms gain roughly twice the return on investment of peers with siloed systems.</w:t>
      </w:r>
    </w:p>
    <w:p w14:paraId="2DCD9E11" w14:textId="77777777" w:rsidR="002C1C4F" w:rsidRDefault="002C1C4F" w:rsidP="006F07AE">
      <w:pPr>
        <w:spacing w:line="360" w:lineRule="auto"/>
        <w:rPr>
          <w:rFonts w:ascii="Arial" w:hAnsi="Arial" w:cs="Arial"/>
          <w:sz w:val="22"/>
          <w:szCs w:val="22"/>
        </w:rPr>
      </w:pPr>
    </w:p>
    <w:p w14:paraId="5AECB4A5" w14:textId="77777777" w:rsidR="002C1C4F" w:rsidRPr="006F07AE" w:rsidRDefault="002C1C4F" w:rsidP="006F07AE">
      <w:pPr>
        <w:spacing w:line="360" w:lineRule="auto"/>
        <w:rPr>
          <w:rFonts w:ascii="Arial" w:hAnsi="Arial" w:cs="Arial"/>
          <w:sz w:val="22"/>
          <w:szCs w:val="22"/>
        </w:rPr>
      </w:pPr>
    </w:p>
    <w:p w14:paraId="52416477" w14:textId="32DFEDA9" w:rsidR="006F07AE" w:rsidRPr="003273F7" w:rsidRDefault="006F07AE" w:rsidP="003273F7">
      <w:pPr>
        <w:pStyle w:val="ListParagraph"/>
        <w:numPr>
          <w:ilvl w:val="0"/>
          <w:numId w:val="4"/>
        </w:numPr>
        <w:spacing w:line="360" w:lineRule="auto"/>
        <w:rPr>
          <w:rFonts w:ascii="Arial" w:hAnsi="Arial" w:cs="Arial"/>
          <w:sz w:val="22"/>
          <w:szCs w:val="22"/>
        </w:rPr>
      </w:pPr>
      <w:r w:rsidRPr="003273F7">
        <w:rPr>
          <w:rFonts w:ascii="Arial" w:hAnsi="Arial" w:cs="Arial"/>
          <w:b/>
          <w:bCs/>
          <w:sz w:val="22"/>
          <w:szCs w:val="22"/>
        </w:rPr>
        <w:lastRenderedPageBreak/>
        <w:t>Practices for Talent Acquisition and Retention</w:t>
      </w:r>
    </w:p>
    <w:p w14:paraId="31B814AE" w14:textId="113ED3CE"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In response to retention challenges, contemporary HR is shifting from a hiring-first to a </w:t>
      </w:r>
      <w:r w:rsidRPr="006F07AE">
        <w:rPr>
          <w:rFonts w:ascii="Arial" w:hAnsi="Arial" w:cs="Arial"/>
          <w:b/>
          <w:bCs/>
          <w:sz w:val="22"/>
          <w:szCs w:val="22"/>
        </w:rPr>
        <w:t>talent-first or internal mobility mindset</w:t>
      </w:r>
      <w:r w:rsidRPr="006F07AE">
        <w:rPr>
          <w:rFonts w:ascii="Arial" w:hAnsi="Arial" w:cs="Arial"/>
          <w:sz w:val="22"/>
          <w:szCs w:val="22"/>
        </w:rPr>
        <w:t>. This practice involves creating a robust internal talent marketplace where employees can see and apply for short-term projects, mentorships, or permanent roles within Lear. By making growth trajectories visible, employees are 2.5 times more likely to stay, as they feel their work is valued and their future is within the company. This directly counters the turnover risk associated with a perceived lack of development.</w:t>
      </w:r>
    </w:p>
    <w:p w14:paraId="7DFE1CD1" w14:textId="59294655"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Furthermore, HR must equip managers to be the linchpin of retention through </w:t>
      </w:r>
      <w:r w:rsidRPr="006F07AE">
        <w:rPr>
          <w:rFonts w:ascii="Arial" w:hAnsi="Arial" w:cs="Arial"/>
          <w:b/>
          <w:bCs/>
          <w:sz w:val="22"/>
          <w:szCs w:val="22"/>
        </w:rPr>
        <w:t>enhanced manager training in coaching and empathy</w:t>
      </w:r>
      <w:r w:rsidRPr="006F07AE">
        <w:rPr>
          <w:rFonts w:ascii="Arial" w:hAnsi="Arial" w:cs="Arial"/>
          <w:sz w:val="22"/>
          <w:szCs w:val="22"/>
        </w:rPr>
        <w:t>. Data shows that managers feel a personal responsibility for their teams' wellbeing but often lack the tools to handle these conversations effectively. Contemporary practice involves providing managers with specific "recipes" for career coaching conversations and training them to use continuous listening tools. These tools move beyond annual engagement surveys to provide real-time insights, allowing managers to identify and address issues like burnout or disengagement before they lead to attrition. This focus on wellbeing and connection is not just a nice-to-have but a performance driver; employees with regular, quality one-on-ones are significantly more likely to be high performers.</w:t>
      </w:r>
    </w:p>
    <w:p w14:paraId="18A47451" w14:textId="4BFEDD68" w:rsidR="006F07AE" w:rsidRPr="003273F7" w:rsidRDefault="006F07AE" w:rsidP="003273F7">
      <w:pPr>
        <w:pStyle w:val="ListParagraph"/>
        <w:numPr>
          <w:ilvl w:val="0"/>
          <w:numId w:val="4"/>
        </w:numPr>
        <w:spacing w:line="360" w:lineRule="auto"/>
        <w:rPr>
          <w:rFonts w:ascii="Arial" w:hAnsi="Arial" w:cs="Arial"/>
          <w:sz w:val="22"/>
          <w:szCs w:val="22"/>
        </w:rPr>
      </w:pPr>
      <w:r w:rsidRPr="003273F7">
        <w:rPr>
          <w:rFonts w:ascii="Arial" w:hAnsi="Arial" w:cs="Arial"/>
          <w:b/>
          <w:bCs/>
          <w:sz w:val="22"/>
          <w:szCs w:val="22"/>
        </w:rPr>
        <w:t xml:space="preserve"> Practices for Diversity, Equity and Inclusion</w:t>
      </w:r>
    </w:p>
    <w:p w14:paraId="780EFA99" w14:textId="7415B548"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To ensure DEI is more than a symbolic policy, contemporary practice demands </w:t>
      </w:r>
      <w:r w:rsidRPr="006F07AE">
        <w:rPr>
          <w:rFonts w:ascii="Arial" w:hAnsi="Arial" w:cs="Arial"/>
          <w:b/>
          <w:bCs/>
          <w:sz w:val="22"/>
          <w:szCs w:val="22"/>
        </w:rPr>
        <w:t>strategic alignment and data-driven accountability</w:t>
      </w:r>
      <w:r w:rsidRPr="006F07AE">
        <w:rPr>
          <w:rFonts w:ascii="Arial" w:hAnsi="Arial" w:cs="Arial"/>
          <w:sz w:val="22"/>
          <w:szCs w:val="22"/>
        </w:rPr>
        <w:t>. This means integrating DEI goals directly into the business strategy and holding leaders accountable for measurable outcomes, such as diverse slates of candidates for hires or equitable pay audits. For Lear Redditch, this could involve tracking the diversity of applicants and hires for its apprenticeship and graduate schemes, ensuring they reflect the local community.</w:t>
      </w:r>
    </w:p>
    <w:p w14:paraId="71B0C21B" w14:textId="437FAA24" w:rsidR="006F07AE" w:rsidRDefault="006F07AE" w:rsidP="006F07AE">
      <w:pPr>
        <w:spacing w:line="360" w:lineRule="auto"/>
        <w:rPr>
          <w:rFonts w:ascii="Arial" w:hAnsi="Arial" w:cs="Arial"/>
          <w:sz w:val="22"/>
          <w:szCs w:val="22"/>
        </w:rPr>
      </w:pPr>
      <w:r w:rsidRPr="006F07AE">
        <w:rPr>
          <w:rFonts w:ascii="Arial" w:hAnsi="Arial" w:cs="Arial"/>
          <w:sz w:val="22"/>
          <w:szCs w:val="22"/>
        </w:rPr>
        <w:t>Another vital practice is the development of </w:t>
      </w:r>
      <w:r w:rsidRPr="006F07AE">
        <w:rPr>
          <w:rFonts w:ascii="Arial" w:hAnsi="Arial" w:cs="Arial"/>
          <w:b/>
          <w:bCs/>
          <w:sz w:val="22"/>
          <w:szCs w:val="22"/>
        </w:rPr>
        <w:t>inclusive leadership capabilities</w:t>
      </w:r>
      <w:r w:rsidRPr="006F07AE">
        <w:rPr>
          <w:rFonts w:ascii="Arial" w:hAnsi="Arial" w:cs="Arial"/>
          <w:sz w:val="22"/>
          <w:szCs w:val="22"/>
        </w:rPr>
        <w:t>. This involves training managers to recognise and mitigate unconscious bias, particularly in hybrid work environments where "proximity bias" can lead to remote workers being overlooked for development opportunities. Furthermore, as Lear integrates more AI into its HR processes (e.g., in recruitment), a critical contemporary practice is the establishment of </w:t>
      </w:r>
      <w:r w:rsidRPr="006F07AE">
        <w:rPr>
          <w:rFonts w:ascii="Arial" w:hAnsi="Arial" w:cs="Arial"/>
          <w:b/>
          <w:bCs/>
          <w:sz w:val="22"/>
          <w:szCs w:val="22"/>
        </w:rPr>
        <w:t>ethical governance frameworks for AI</w:t>
      </w:r>
      <w:r w:rsidRPr="006F07AE">
        <w:rPr>
          <w:rFonts w:ascii="Arial" w:hAnsi="Arial" w:cs="Arial"/>
          <w:sz w:val="22"/>
          <w:szCs w:val="22"/>
        </w:rPr>
        <w:t>. This ensures that algorithms used for screening candidates or evaluating performance are regularly audited for bias, preventing digital tools from perpetuating existing inequalities and reinforcing fair employment outcomes. Leveraging Lear's existing ERGs to inform these practices can ground them in genuine employee experience.</w:t>
      </w:r>
    </w:p>
    <w:p w14:paraId="78554B80" w14:textId="77777777" w:rsidR="00F44627" w:rsidRDefault="00F44627" w:rsidP="006F07AE">
      <w:pPr>
        <w:spacing w:line="360" w:lineRule="auto"/>
        <w:rPr>
          <w:rFonts w:ascii="Arial" w:hAnsi="Arial" w:cs="Arial"/>
          <w:sz w:val="22"/>
          <w:szCs w:val="22"/>
        </w:rPr>
      </w:pPr>
    </w:p>
    <w:p w14:paraId="25136FD6" w14:textId="58C52A15" w:rsidR="006F07AE" w:rsidRPr="008F6A22" w:rsidRDefault="006F07AE" w:rsidP="008F6A22">
      <w:pPr>
        <w:pStyle w:val="Heading1"/>
        <w:rPr>
          <w:rFonts w:ascii="Arial" w:hAnsi="Arial" w:cs="Arial"/>
        </w:rPr>
      </w:pPr>
      <w:bookmarkStart w:id="3" w:name="_Toc225065201"/>
      <w:r w:rsidRPr="008F6A22">
        <w:rPr>
          <w:rFonts w:ascii="Arial" w:hAnsi="Arial" w:cs="Arial"/>
        </w:rPr>
        <w:t xml:space="preserve">Critical Evaluation of How Departmental Managers </w:t>
      </w:r>
      <w:r w:rsidR="00E469F5" w:rsidRPr="008F6A22">
        <w:rPr>
          <w:rFonts w:ascii="Arial" w:hAnsi="Arial" w:cs="Arial"/>
        </w:rPr>
        <w:t>Can Ensure</w:t>
      </w:r>
      <w:r w:rsidRPr="008F6A22">
        <w:rPr>
          <w:rFonts w:ascii="Arial" w:hAnsi="Arial" w:cs="Arial"/>
        </w:rPr>
        <w:t xml:space="preserve"> Implementation as a Matter of Urgency</w:t>
      </w:r>
      <w:bookmarkEnd w:id="3"/>
    </w:p>
    <w:p w14:paraId="75B6191D" w14:textId="77777777"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While HR can design and propose these practices, their successful implementation hinges on the actions of departmental managers. Ensuring this happens with urgency requires a critical shift in the manager's role and the support they receive from HR.</w:t>
      </w:r>
    </w:p>
    <w:p w14:paraId="65EE6C76" w14:textId="77777777"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First, managers must transition from being passive recipients of HR initiatives to </w:t>
      </w:r>
      <w:r w:rsidRPr="006F07AE">
        <w:rPr>
          <w:rFonts w:ascii="Arial" w:hAnsi="Arial" w:cs="Arial"/>
          <w:b/>
          <w:bCs/>
          <w:sz w:val="22"/>
          <w:szCs w:val="22"/>
        </w:rPr>
        <w:t>active champions of cultural change</w:t>
      </w:r>
      <w:r w:rsidRPr="006F07AE">
        <w:rPr>
          <w:rFonts w:ascii="Arial" w:hAnsi="Arial" w:cs="Arial"/>
          <w:sz w:val="22"/>
          <w:szCs w:val="22"/>
        </w:rPr>
        <w:t>. This requires HR to provide them with the "why" as well as the "how". For urgent implementation of, say, internal mobility practices, managers need to understand that hoarding talent damages the entire organisation. They must be incentivised and measured on their contribution to developing people for the whole company, not just their department. This requires HR to embed these goals into performance management frameworks for managers themselves, linking rewards to outcomes like team retention, successful internal promotions, and DEI metric improvements. Without this accountability, urgency will be lacking.</w:t>
      </w:r>
    </w:p>
    <w:p w14:paraId="06C3DFAF" w14:textId="5E7CF6A8"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Second, managers must leverage technology to work smarter, not harder, to combat the "urgency culture" that can derail new initiatives. As highlighted by recent SAP research, managers are often buried in administrative work, leaving little time for the coaching and connection that new retention strategies demand. To implement these practices urgently, managers must adopt </w:t>
      </w:r>
      <w:r w:rsidRPr="006F07AE">
        <w:rPr>
          <w:rFonts w:ascii="Arial" w:hAnsi="Arial" w:cs="Arial"/>
          <w:b/>
          <w:bCs/>
          <w:sz w:val="22"/>
          <w:szCs w:val="22"/>
        </w:rPr>
        <w:t>AI-powered tools that automate routine tasks</w:t>
      </w:r>
      <w:r w:rsidRPr="006F07AE">
        <w:rPr>
          <w:rFonts w:ascii="Arial" w:hAnsi="Arial" w:cs="Arial"/>
          <w:sz w:val="22"/>
          <w:szCs w:val="22"/>
        </w:rPr>
        <w:t>. For instance, using an AI agent to prepare for performance reviews by summarising peer feedback and suggesting talking points frees up managerial time for meaningful one-on-one conversations. HR must urgently train managers on these tools and frame their use not as an additional burden, but as a mechanism to reclaim time for high-value human interaction. This directly addresses the risk of manager burnout, which would cripple any implementation effort.</w:t>
      </w:r>
    </w:p>
    <w:p w14:paraId="2368F6DF" w14:textId="01CF3A66" w:rsidR="006F07AE" w:rsidRDefault="006F07AE" w:rsidP="006F07AE">
      <w:pPr>
        <w:spacing w:line="360" w:lineRule="auto"/>
        <w:rPr>
          <w:rFonts w:ascii="Arial" w:hAnsi="Arial" w:cs="Arial"/>
          <w:sz w:val="22"/>
          <w:szCs w:val="22"/>
        </w:rPr>
      </w:pPr>
      <w:r w:rsidRPr="006F07AE">
        <w:rPr>
          <w:rFonts w:ascii="Arial" w:hAnsi="Arial" w:cs="Arial"/>
          <w:sz w:val="22"/>
          <w:szCs w:val="22"/>
        </w:rPr>
        <w:t>Third, managers must become </w:t>
      </w:r>
      <w:r w:rsidRPr="006F07AE">
        <w:rPr>
          <w:rFonts w:ascii="Arial" w:hAnsi="Arial" w:cs="Arial"/>
          <w:b/>
          <w:bCs/>
          <w:sz w:val="22"/>
          <w:szCs w:val="22"/>
        </w:rPr>
        <w:t>custodians of trust and psychological safety</w:t>
      </w:r>
      <w:r w:rsidRPr="006F07AE">
        <w:rPr>
          <w:rFonts w:ascii="Arial" w:hAnsi="Arial" w:cs="Arial"/>
          <w:sz w:val="22"/>
          <w:szCs w:val="22"/>
        </w:rPr>
        <w:t xml:space="preserve">. As Nickle Lamoreaux, IBM's CHRO, stated, "technology should enhance culture, not mask its flaws”. As new DEI and wellbeing practices are rolled out, employees will be sceptical if their direct manager does not model the desired behaviour. A manager can undermine a sophisticated new DEI analytics tool by making biased decisions in project allocation. Conversely, a manager who consistently holds team rhythm and resets meetings, asks about workload, and acts on feedback builds the trust necessary for new systems to take hold. Urgency, </w:t>
      </w:r>
      <w:r w:rsidRPr="006F07AE">
        <w:rPr>
          <w:rFonts w:ascii="Arial" w:hAnsi="Arial" w:cs="Arial"/>
          <w:sz w:val="22"/>
          <w:szCs w:val="22"/>
        </w:rPr>
        <w:lastRenderedPageBreak/>
        <w:t>therefore, is not about speed but about priority. Managers must make these human-centric practices their top priority, embedding them into daily team rituals rather than treating them as quarterly HR exercises. As the Australian HR Institute notes, falling back on strong systems and team connections is what sustains performance in times of chaos. For Lear Redditch, this means managers must urgently build these "non-negotiables" within their teams to create a resilient foundation upon which all other strategic HR practices can succeed.</w:t>
      </w:r>
    </w:p>
    <w:p w14:paraId="0DDF4DC7" w14:textId="77777777" w:rsidR="00C32D57" w:rsidRDefault="00C32D57" w:rsidP="008F6A22">
      <w:pPr>
        <w:pStyle w:val="Heading1"/>
        <w:rPr>
          <w:rFonts w:ascii="Arial" w:hAnsi="Arial" w:cs="Arial"/>
        </w:rPr>
      </w:pPr>
    </w:p>
    <w:p w14:paraId="0CD388A1" w14:textId="7FD79E42" w:rsidR="006F07AE" w:rsidRPr="008F6A22" w:rsidRDefault="006F07AE" w:rsidP="008F6A22">
      <w:pPr>
        <w:pStyle w:val="Heading1"/>
        <w:rPr>
          <w:rFonts w:ascii="Arial" w:hAnsi="Arial" w:cs="Arial"/>
        </w:rPr>
      </w:pPr>
      <w:bookmarkStart w:id="4" w:name="_Toc225065202"/>
      <w:r w:rsidRPr="008F6A22">
        <w:rPr>
          <w:rFonts w:ascii="Arial" w:hAnsi="Arial" w:cs="Arial"/>
        </w:rPr>
        <w:t>Conclusion and Recommendations</w:t>
      </w:r>
      <w:bookmarkEnd w:id="4"/>
    </w:p>
    <w:p w14:paraId="2A2D4422" w14:textId="77777777"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In conclusion, Lear Corporation's Redditch facility faces distinct challenges stemming from technological disruption, a competitive talent market, and the strategic need for genuine inclusion. However, by adopting a suite of contemporary, data-driven, and human-centric HR practices, these challenges can be transformed into opportunities. The key lies in the urgent and committed implementation by departmental managers, supported by HR as a strategic partner.</w:t>
      </w:r>
    </w:p>
    <w:p w14:paraId="259B964F" w14:textId="77777777"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Based on the analysis within this report, the following recommendations are made for Lear Redditch:</w:t>
      </w:r>
    </w:p>
    <w:p w14:paraId="5CE212E3" w14:textId="4B51480C" w:rsidR="006F07AE" w:rsidRPr="006F07AE" w:rsidRDefault="006F07AE" w:rsidP="006F07AE">
      <w:pPr>
        <w:numPr>
          <w:ilvl w:val="0"/>
          <w:numId w:val="2"/>
        </w:numPr>
        <w:spacing w:line="360" w:lineRule="auto"/>
        <w:rPr>
          <w:rFonts w:ascii="Arial" w:hAnsi="Arial" w:cs="Arial"/>
          <w:sz w:val="22"/>
          <w:szCs w:val="22"/>
        </w:rPr>
      </w:pPr>
      <w:r w:rsidRPr="006F07AE">
        <w:rPr>
          <w:rFonts w:ascii="Arial" w:hAnsi="Arial" w:cs="Arial"/>
          <w:b/>
          <w:bCs/>
          <w:sz w:val="22"/>
          <w:szCs w:val="22"/>
        </w:rPr>
        <w:t>Implement an Integrated Talent Intelligence Platform:</w:t>
      </w:r>
      <w:r w:rsidRPr="006F07AE">
        <w:rPr>
          <w:rFonts w:ascii="Arial" w:hAnsi="Arial" w:cs="Arial"/>
          <w:sz w:val="22"/>
          <w:szCs w:val="22"/>
        </w:rPr>
        <w:t> Adopt an AI-driven HCM platform to gain a unified view of workforce skills. This will enable proactive workforce planning, identify internal candidates for reskilling in EV and E-Systems roles, and power an internal talent marketplace to boost retention.</w:t>
      </w:r>
    </w:p>
    <w:p w14:paraId="67FB8586" w14:textId="77746229" w:rsidR="006F07AE" w:rsidRPr="006F07AE" w:rsidRDefault="006F07AE" w:rsidP="006F07AE">
      <w:pPr>
        <w:numPr>
          <w:ilvl w:val="0"/>
          <w:numId w:val="2"/>
        </w:numPr>
        <w:spacing w:line="360" w:lineRule="auto"/>
        <w:rPr>
          <w:rFonts w:ascii="Arial" w:hAnsi="Arial" w:cs="Arial"/>
          <w:sz w:val="22"/>
          <w:szCs w:val="22"/>
        </w:rPr>
      </w:pPr>
      <w:r w:rsidRPr="006F07AE">
        <w:rPr>
          <w:rFonts w:ascii="Arial" w:hAnsi="Arial" w:cs="Arial"/>
          <w:b/>
          <w:bCs/>
          <w:sz w:val="22"/>
          <w:szCs w:val="22"/>
        </w:rPr>
        <w:t>Launch a "Manager Enablement" Programme:</w:t>
      </w:r>
      <w:r w:rsidRPr="006F07AE">
        <w:rPr>
          <w:rFonts w:ascii="Arial" w:hAnsi="Arial" w:cs="Arial"/>
          <w:sz w:val="22"/>
          <w:szCs w:val="22"/>
        </w:rPr>
        <w:t> Develop a mandatory, ongoing training programme for all managers focused on coaching, empathetic leadership, and conducting effective wellbeing and career conversations. This must be supported by continuous listening tools that provide real-time team insights.</w:t>
      </w:r>
    </w:p>
    <w:p w14:paraId="373E5792" w14:textId="1C779CD4" w:rsidR="006F07AE" w:rsidRPr="006F07AE" w:rsidRDefault="006F07AE" w:rsidP="006F07AE">
      <w:pPr>
        <w:numPr>
          <w:ilvl w:val="0"/>
          <w:numId w:val="2"/>
        </w:numPr>
        <w:spacing w:line="360" w:lineRule="auto"/>
        <w:rPr>
          <w:rFonts w:ascii="Arial" w:hAnsi="Arial" w:cs="Arial"/>
          <w:sz w:val="22"/>
          <w:szCs w:val="22"/>
        </w:rPr>
      </w:pPr>
      <w:r w:rsidRPr="006F07AE">
        <w:rPr>
          <w:rFonts w:ascii="Arial" w:hAnsi="Arial" w:cs="Arial"/>
          <w:b/>
          <w:bCs/>
          <w:sz w:val="22"/>
          <w:szCs w:val="22"/>
        </w:rPr>
        <w:t>Embed DEI into Core Business Processes with Accountability:</w:t>
      </w:r>
      <w:r w:rsidRPr="006F07AE">
        <w:rPr>
          <w:rFonts w:ascii="Arial" w:hAnsi="Arial" w:cs="Arial"/>
          <w:sz w:val="22"/>
          <w:szCs w:val="22"/>
        </w:rPr>
        <w:t> Move beyond policy by integrating specific DEI metrics into all talent processes, from recruitment (e.g., diverse shortlists) to performance reviews (e.g., manager accountability for inclusive team culture). Establish a governance framework to audit AI tools for bias.</w:t>
      </w:r>
    </w:p>
    <w:p w14:paraId="6DB25979" w14:textId="2490B4E2" w:rsidR="006F07AE" w:rsidRPr="006F07AE" w:rsidRDefault="006F07AE" w:rsidP="006F07AE">
      <w:pPr>
        <w:numPr>
          <w:ilvl w:val="0"/>
          <w:numId w:val="2"/>
        </w:numPr>
        <w:spacing w:line="360" w:lineRule="auto"/>
        <w:rPr>
          <w:rFonts w:ascii="Arial" w:hAnsi="Arial" w:cs="Arial"/>
          <w:sz w:val="22"/>
          <w:szCs w:val="22"/>
        </w:rPr>
      </w:pPr>
      <w:r w:rsidRPr="006F07AE">
        <w:rPr>
          <w:rFonts w:ascii="Arial" w:hAnsi="Arial" w:cs="Arial"/>
          <w:b/>
          <w:bCs/>
          <w:sz w:val="22"/>
          <w:szCs w:val="22"/>
        </w:rPr>
        <w:t>Cultivate a "Talent-First" Culture:</w:t>
      </w:r>
      <w:r w:rsidRPr="006F07AE">
        <w:rPr>
          <w:rFonts w:ascii="Arial" w:hAnsi="Arial" w:cs="Arial"/>
          <w:sz w:val="22"/>
          <w:szCs w:val="22"/>
        </w:rPr>
        <w:t xml:space="preserve"> Formally recognise and reward managers who actively develop and release their talent for internal opportunities. Communicate </w:t>
      </w:r>
      <w:r w:rsidRPr="006F07AE">
        <w:rPr>
          <w:rFonts w:ascii="Arial" w:hAnsi="Arial" w:cs="Arial"/>
          <w:sz w:val="22"/>
          <w:szCs w:val="22"/>
        </w:rPr>
        <w:lastRenderedPageBreak/>
        <w:t>success stories of internal mobility to demonstrate the organisation's commitment to growth, directly countering a key driver of attrition.</w:t>
      </w:r>
    </w:p>
    <w:p w14:paraId="6E1F6433" w14:textId="77777777"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By pursuing these recommendations with focus and urgency, Lear Redditch can not only navigate the current challenges but also build a more agile, engaged, and innovative workforce for the future.</w:t>
      </w:r>
    </w:p>
    <w:p w14:paraId="40887A8B" w14:textId="73245F7C" w:rsidR="006F07AE" w:rsidRPr="008F6A22" w:rsidRDefault="006F07AE" w:rsidP="008F6A22">
      <w:pPr>
        <w:pStyle w:val="Heading1"/>
        <w:rPr>
          <w:rFonts w:ascii="Arial" w:hAnsi="Arial" w:cs="Arial"/>
        </w:rPr>
      </w:pPr>
      <w:bookmarkStart w:id="5" w:name="_Toc225065203"/>
      <w:r w:rsidRPr="008F6A22">
        <w:rPr>
          <w:rFonts w:ascii="Arial" w:hAnsi="Arial" w:cs="Arial"/>
        </w:rPr>
        <w:t>Reference List</w:t>
      </w:r>
      <w:bookmarkEnd w:id="5"/>
    </w:p>
    <w:p w14:paraId="4ED207C1" w14:textId="24862427" w:rsidR="006F07AE" w:rsidRPr="006F07AE" w:rsidRDefault="006F07AE" w:rsidP="006F07AE">
      <w:pPr>
        <w:spacing w:line="360" w:lineRule="auto"/>
        <w:rPr>
          <w:rFonts w:ascii="Arial" w:hAnsi="Arial" w:cs="Arial"/>
          <w:sz w:val="22"/>
          <w:szCs w:val="22"/>
        </w:rPr>
      </w:pPr>
      <w:proofErr w:type="spellStart"/>
      <w:r w:rsidRPr="006F07AE">
        <w:rPr>
          <w:rFonts w:ascii="Arial" w:hAnsi="Arial" w:cs="Arial"/>
          <w:sz w:val="22"/>
          <w:szCs w:val="22"/>
        </w:rPr>
        <w:t>Jovcheska</w:t>
      </w:r>
      <w:proofErr w:type="spellEnd"/>
      <w:r w:rsidRPr="006F07AE">
        <w:rPr>
          <w:rFonts w:ascii="Arial" w:hAnsi="Arial" w:cs="Arial"/>
          <w:sz w:val="22"/>
          <w:szCs w:val="22"/>
        </w:rPr>
        <w:t>, S. (2025) Integrating Diversity, Equity and Inclusion (DEI) Principles into Strategic HR Management: Contemporary Challenges and Opportunities 2025-2035, </w:t>
      </w:r>
      <w:r w:rsidRPr="006F07AE">
        <w:rPr>
          <w:rFonts w:ascii="Arial" w:hAnsi="Arial" w:cs="Arial"/>
          <w:i/>
          <w:iCs/>
          <w:sz w:val="22"/>
          <w:szCs w:val="22"/>
        </w:rPr>
        <w:t>KNOWLEDGE - International Journal</w:t>
      </w:r>
      <w:r w:rsidRPr="006F07AE">
        <w:rPr>
          <w:rFonts w:ascii="Arial" w:hAnsi="Arial" w:cs="Arial"/>
          <w:sz w:val="22"/>
          <w:szCs w:val="22"/>
        </w:rPr>
        <w:t>, 73(1), pp. 213–216. </w:t>
      </w:r>
    </w:p>
    <w:p w14:paraId="6A80481C" w14:textId="7F301862"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Lear Corporation (2025) </w:t>
      </w:r>
      <w:r w:rsidRPr="006F07AE">
        <w:rPr>
          <w:rFonts w:ascii="Arial" w:hAnsi="Arial" w:cs="Arial"/>
          <w:i/>
          <w:iCs/>
          <w:sz w:val="22"/>
          <w:szCs w:val="22"/>
        </w:rPr>
        <w:t>Diversity, Equity, &amp; Inclusion</w:t>
      </w:r>
      <w:r w:rsidRPr="006F07AE">
        <w:rPr>
          <w:rFonts w:ascii="Arial" w:hAnsi="Arial" w:cs="Arial"/>
          <w:sz w:val="22"/>
          <w:szCs w:val="22"/>
        </w:rPr>
        <w:t>. Available at: </w:t>
      </w:r>
      <w:hyperlink r:id="rId8" w:tgtFrame="_blank" w:history="1">
        <w:r w:rsidRPr="006F07AE">
          <w:rPr>
            <w:rStyle w:val="Hyperlink"/>
            <w:rFonts w:ascii="Arial" w:hAnsi="Arial" w:cs="Arial"/>
            <w:sz w:val="22"/>
            <w:szCs w:val="22"/>
          </w:rPr>
          <w:t>https://www.lear.com/careers/diversity-equity-inclusion</w:t>
        </w:r>
      </w:hyperlink>
    </w:p>
    <w:p w14:paraId="565B4192" w14:textId="456437DA" w:rsidR="006F07AE" w:rsidRPr="006F07AE" w:rsidRDefault="006F07AE" w:rsidP="006F07AE">
      <w:pPr>
        <w:spacing w:line="360" w:lineRule="auto"/>
        <w:rPr>
          <w:rFonts w:ascii="Arial" w:hAnsi="Arial" w:cs="Arial"/>
          <w:sz w:val="22"/>
          <w:szCs w:val="22"/>
        </w:rPr>
      </w:pPr>
      <w:proofErr w:type="spellStart"/>
      <w:r w:rsidRPr="006F07AE">
        <w:rPr>
          <w:rFonts w:ascii="Arial" w:hAnsi="Arial" w:cs="Arial"/>
          <w:sz w:val="22"/>
          <w:szCs w:val="22"/>
        </w:rPr>
        <w:t>Marlapudi</w:t>
      </w:r>
      <w:proofErr w:type="spellEnd"/>
      <w:r w:rsidRPr="006F07AE">
        <w:rPr>
          <w:rFonts w:ascii="Arial" w:hAnsi="Arial" w:cs="Arial"/>
          <w:sz w:val="22"/>
          <w:szCs w:val="22"/>
        </w:rPr>
        <w:t>, K. and Lenka, U. (2024) Technology-Driven Change in Human Resource Management: Reshaping Talent Management and Organizational Design, </w:t>
      </w:r>
      <w:r w:rsidRPr="006F07AE">
        <w:rPr>
          <w:rFonts w:ascii="Arial" w:hAnsi="Arial" w:cs="Arial"/>
          <w:i/>
          <w:iCs/>
          <w:sz w:val="22"/>
          <w:szCs w:val="22"/>
        </w:rPr>
        <w:t>MDPI</w:t>
      </w:r>
      <w:r w:rsidRPr="006F07AE">
        <w:rPr>
          <w:rFonts w:ascii="Arial" w:hAnsi="Arial" w:cs="Arial"/>
          <w:sz w:val="22"/>
          <w:szCs w:val="22"/>
        </w:rPr>
        <w:t>, 15(11), 452. </w:t>
      </w:r>
    </w:p>
    <w:p w14:paraId="05EF715C" w14:textId="3E186583"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Powell, A. (2025) Must-haves for employee retention success in today's climate, </w:t>
      </w:r>
      <w:r w:rsidRPr="006F07AE">
        <w:rPr>
          <w:rFonts w:ascii="Arial" w:hAnsi="Arial" w:cs="Arial"/>
          <w:i/>
          <w:iCs/>
          <w:sz w:val="22"/>
          <w:szCs w:val="22"/>
        </w:rPr>
        <w:t>HR Executive</w:t>
      </w:r>
      <w:r w:rsidRPr="006F07AE">
        <w:rPr>
          <w:rFonts w:ascii="Arial" w:hAnsi="Arial" w:cs="Arial"/>
          <w:sz w:val="22"/>
          <w:szCs w:val="22"/>
        </w:rPr>
        <w:t>, 10 April. </w:t>
      </w:r>
    </w:p>
    <w:p w14:paraId="4DDC7870" w14:textId="1D2EBC8B"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CIPD (2025) </w:t>
      </w:r>
      <w:r w:rsidRPr="006F07AE">
        <w:rPr>
          <w:rFonts w:ascii="Arial" w:hAnsi="Arial" w:cs="Arial"/>
          <w:i/>
          <w:iCs/>
          <w:sz w:val="22"/>
          <w:szCs w:val="22"/>
        </w:rPr>
        <w:t>Resetting EDI: how people professionals are adapting and changing in a complex and evolving landscape</w:t>
      </w:r>
      <w:r w:rsidRPr="006F07AE">
        <w:rPr>
          <w:rFonts w:ascii="Arial" w:hAnsi="Arial" w:cs="Arial"/>
          <w:sz w:val="22"/>
          <w:szCs w:val="22"/>
        </w:rPr>
        <w:t>. Available at: </w:t>
      </w:r>
      <w:hyperlink r:id="rId9" w:tgtFrame="_blank" w:history="1">
        <w:r w:rsidRPr="006F07AE">
          <w:rPr>
            <w:rStyle w:val="Hyperlink"/>
            <w:rFonts w:ascii="Arial" w:hAnsi="Arial" w:cs="Arial"/>
            <w:sz w:val="22"/>
            <w:szCs w:val="22"/>
          </w:rPr>
          <w:t>https://prod.cipd.org/ie/about/news/resetting-edi-how-people-professionals-adapting-changing-complex-evolving-landscape/</w:t>
        </w:r>
      </w:hyperlink>
      <w:r w:rsidRPr="006F07AE">
        <w:rPr>
          <w:rFonts w:ascii="Arial" w:hAnsi="Arial" w:cs="Arial"/>
          <w:sz w:val="22"/>
          <w:szCs w:val="22"/>
        </w:rPr>
        <w:t> </w:t>
      </w:r>
    </w:p>
    <w:p w14:paraId="1E054C5D" w14:textId="63E1EC4A"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McQuaid, M. (2025) 5 ways HR can combat urgency culture in the workplace, </w:t>
      </w:r>
      <w:r w:rsidRPr="006F07AE">
        <w:rPr>
          <w:rFonts w:ascii="Arial" w:hAnsi="Arial" w:cs="Arial"/>
          <w:i/>
          <w:iCs/>
          <w:sz w:val="22"/>
          <w:szCs w:val="22"/>
        </w:rPr>
        <w:t>Australian HR Institute</w:t>
      </w:r>
      <w:r w:rsidRPr="006F07AE">
        <w:rPr>
          <w:rFonts w:ascii="Arial" w:hAnsi="Arial" w:cs="Arial"/>
          <w:sz w:val="22"/>
          <w:szCs w:val="22"/>
        </w:rPr>
        <w:t>, 17 March. </w:t>
      </w:r>
    </w:p>
    <w:p w14:paraId="4C4F3FEF" w14:textId="50911368"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Information Services Group (ISG) (2025) Enterprises Shift to AI and SaaS to Drive Strategic HR Services, ISG Survey Finds, </w:t>
      </w:r>
      <w:hyperlink r:id="rId10" w:tgtFrame="_blank" w:history="1">
        <w:r w:rsidRPr="006F07AE">
          <w:rPr>
            <w:rStyle w:val="Hyperlink"/>
            <w:rFonts w:ascii="Arial" w:hAnsi="Arial" w:cs="Arial"/>
            <w:i/>
            <w:iCs/>
            <w:sz w:val="22"/>
            <w:szCs w:val="22"/>
          </w:rPr>
          <w:t>Barchart.com</w:t>
        </w:r>
      </w:hyperlink>
      <w:r w:rsidRPr="006F07AE">
        <w:rPr>
          <w:rFonts w:ascii="Arial" w:hAnsi="Arial" w:cs="Arial"/>
          <w:sz w:val="22"/>
          <w:szCs w:val="22"/>
        </w:rPr>
        <w:t>, 17 November. </w:t>
      </w:r>
    </w:p>
    <w:p w14:paraId="17549DDA" w14:textId="2045A323" w:rsidR="006F07AE" w:rsidRPr="006F07AE" w:rsidRDefault="006F07AE" w:rsidP="006F07AE">
      <w:pPr>
        <w:spacing w:line="360" w:lineRule="auto"/>
        <w:rPr>
          <w:rFonts w:ascii="Arial" w:hAnsi="Arial" w:cs="Arial"/>
          <w:sz w:val="22"/>
          <w:szCs w:val="22"/>
        </w:rPr>
      </w:pPr>
      <w:r w:rsidRPr="006F07AE">
        <w:rPr>
          <w:rFonts w:ascii="Arial" w:hAnsi="Arial" w:cs="Arial"/>
          <w:sz w:val="22"/>
          <w:szCs w:val="22"/>
        </w:rPr>
        <w:t>SAP (2026) </w:t>
      </w:r>
      <w:r w:rsidRPr="006F07AE">
        <w:rPr>
          <w:rFonts w:ascii="Arial" w:hAnsi="Arial" w:cs="Arial"/>
          <w:i/>
          <w:iCs/>
          <w:sz w:val="22"/>
          <w:szCs w:val="22"/>
        </w:rPr>
        <w:t>The HR resolutions that will define work in 2026</w:t>
      </w:r>
      <w:r w:rsidRPr="006F07AE">
        <w:rPr>
          <w:rFonts w:ascii="Arial" w:hAnsi="Arial" w:cs="Arial"/>
          <w:sz w:val="22"/>
          <w:szCs w:val="22"/>
        </w:rPr>
        <w:t>. Available at: </w:t>
      </w:r>
      <w:hyperlink r:id="rId11" w:tgtFrame="_blank" w:history="1">
        <w:r w:rsidRPr="006F07AE">
          <w:rPr>
            <w:rStyle w:val="Hyperlink"/>
            <w:rFonts w:ascii="Arial" w:hAnsi="Arial" w:cs="Arial"/>
            <w:sz w:val="22"/>
            <w:szCs w:val="22"/>
          </w:rPr>
          <w:t>https://www.sap.com/mena-ar/blogs/2026-hr-resolutions</w:t>
        </w:r>
      </w:hyperlink>
      <w:r w:rsidRPr="006F07AE">
        <w:rPr>
          <w:rFonts w:ascii="Arial" w:hAnsi="Arial" w:cs="Arial"/>
          <w:sz w:val="22"/>
          <w:szCs w:val="22"/>
        </w:rPr>
        <w:t>  </w:t>
      </w:r>
    </w:p>
    <w:p w14:paraId="2438687F" w14:textId="383AD3EA" w:rsidR="006F07AE" w:rsidRPr="006F07AE" w:rsidRDefault="006F07AE" w:rsidP="006F07AE">
      <w:pPr>
        <w:spacing w:line="360" w:lineRule="auto"/>
        <w:rPr>
          <w:rFonts w:ascii="Arial" w:hAnsi="Arial" w:cs="Arial"/>
          <w:sz w:val="22"/>
          <w:szCs w:val="22"/>
        </w:rPr>
      </w:pPr>
      <w:proofErr w:type="spellStart"/>
      <w:r w:rsidRPr="006F07AE">
        <w:rPr>
          <w:rFonts w:ascii="Arial" w:hAnsi="Arial" w:cs="Arial"/>
          <w:sz w:val="22"/>
          <w:szCs w:val="22"/>
        </w:rPr>
        <w:t>Angsuwat</w:t>
      </w:r>
      <w:proofErr w:type="spellEnd"/>
      <w:r w:rsidRPr="006F07AE">
        <w:rPr>
          <w:rFonts w:ascii="Arial" w:hAnsi="Arial" w:cs="Arial"/>
          <w:sz w:val="22"/>
          <w:szCs w:val="22"/>
        </w:rPr>
        <w:t>, J. (2025) How to drive performance when employees are exhausted, </w:t>
      </w:r>
      <w:r w:rsidRPr="006F07AE">
        <w:rPr>
          <w:rFonts w:ascii="Arial" w:hAnsi="Arial" w:cs="Arial"/>
          <w:i/>
          <w:iCs/>
          <w:sz w:val="22"/>
          <w:szCs w:val="22"/>
        </w:rPr>
        <w:t>Australian HR Institute</w:t>
      </w:r>
      <w:r w:rsidRPr="006F07AE">
        <w:rPr>
          <w:rFonts w:ascii="Arial" w:hAnsi="Arial" w:cs="Arial"/>
          <w:sz w:val="22"/>
          <w:szCs w:val="22"/>
        </w:rPr>
        <w:t>, 28 September. </w:t>
      </w:r>
    </w:p>
    <w:p w14:paraId="589DAD0E" w14:textId="19D7BD0A" w:rsidR="007402AE" w:rsidRPr="006F07AE" w:rsidRDefault="006F07AE" w:rsidP="006F07AE">
      <w:pPr>
        <w:spacing w:line="360" w:lineRule="auto"/>
        <w:rPr>
          <w:rFonts w:ascii="Arial" w:hAnsi="Arial" w:cs="Arial"/>
          <w:sz w:val="22"/>
          <w:szCs w:val="22"/>
        </w:rPr>
      </w:pPr>
      <w:r w:rsidRPr="006F07AE">
        <w:rPr>
          <w:rFonts w:ascii="Arial" w:hAnsi="Arial" w:cs="Arial"/>
          <w:sz w:val="22"/>
          <w:szCs w:val="22"/>
        </w:rPr>
        <w:t>Barth, J. (2025) 5 HR Tech touchstones for building a future-ready workforce, </w:t>
      </w:r>
      <w:r w:rsidRPr="006F07AE">
        <w:rPr>
          <w:rFonts w:ascii="Arial" w:hAnsi="Arial" w:cs="Arial"/>
          <w:i/>
          <w:iCs/>
          <w:sz w:val="22"/>
          <w:szCs w:val="22"/>
        </w:rPr>
        <w:t>HR Executive</w:t>
      </w:r>
      <w:r w:rsidRPr="006F07AE">
        <w:rPr>
          <w:rFonts w:ascii="Arial" w:hAnsi="Arial" w:cs="Arial"/>
          <w:sz w:val="22"/>
          <w:szCs w:val="22"/>
        </w:rPr>
        <w:t>, 25 September. </w:t>
      </w:r>
    </w:p>
    <w:sectPr w:rsidR="007402AE" w:rsidRPr="006F07AE">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75F03" w14:textId="77777777" w:rsidR="00556A35" w:rsidRDefault="00556A35" w:rsidP="00B16DC0">
      <w:pPr>
        <w:spacing w:after="0" w:line="240" w:lineRule="auto"/>
      </w:pPr>
      <w:r>
        <w:separator/>
      </w:r>
    </w:p>
  </w:endnote>
  <w:endnote w:type="continuationSeparator" w:id="0">
    <w:p w14:paraId="55C20220" w14:textId="77777777" w:rsidR="00556A35" w:rsidRDefault="00556A35" w:rsidP="00B16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E19D65" w14:textId="77777777" w:rsidR="00B16DC0" w:rsidRDefault="00B16D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3224434"/>
      <w:docPartObj>
        <w:docPartGallery w:val="Page Numbers (Bottom of Page)"/>
        <w:docPartUnique/>
      </w:docPartObj>
    </w:sdtPr>
    <w:sdtContent>
      <w:p w14:paraId="550BC934" w14:textId="6E23706E" w:rsidR="00B16DC0" w:rsidRDefault="00B16DC0">
        <w:pPr>
          <w:pStyle w:val="Footer"/>
          <w:jc w:val="center"/>
        </w:pPr>
        <w:r>
          <w:fldChar w:fldCharType="begin"/>
        </w:r>
        <w:r>
          <w:instrText>PAGE   \* MERGEFORMAT</w:instrText>
        </w:r>
        <w:r>
          <w:fldChar w:fldCharType="separate"/>
        </w:r>
        <w:r>
          <w:t>2</w:t>
        </w:r>
        <w:r>
          <w:fldChar w:fldCharType="end"/>
        </w:r>
      </w:p>
    </w:sdtContent>
  </w:sdt>
  <w:p w14:paraId="2FBA964C" w14:textId="77777777" w:rsidR="00B16DC0" w:rsidRDefault="00B16D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978CA" w14:textId="77777777" w:rsidR="00B16DC0" w:rsidRDefault="00B16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D6356" w14:textId="77777777" w:rsidR="00556A35" w:rsidRDefault="00556A35" w:rsidP="00B16DC0">
      <w:pPr>
        <w:spacing w:after="0" w:line="240" w:lineRule="auto"/>
      </w:pPr>
      <w:r>
        <w:separator/>
      </w:r>
    </w:p>
  </w:footnote>
  <w:footnote w:type="continuationSeparator" w:id="0">
    <w:p w14:paraId="438689DC" w14:textId="77777777" w:rsidR="00556A35" w:rsidRDefault="00556A35" w:rsidP="00B16D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7300A" w14:textId="77777777" w:rsidR="00B16DC0" w:rsidRDefault="00B16D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4C308D" w14:textId="77777777" w:rsidR="00B16DC0" w:rsidRDefault="00B16D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E7F09" w14:textId="77777777" w:rsidR="00B16DC0" w:rsidRDefault="00B16D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05AFD"/>
    <w:multiLevelType w:val="hybridMultilevel"/>
    <w:tmpl w:val="DED4E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73403"/>
    <w:multiLevelType w:val="hybridMultilevel"/>
    <w:tmpl w:val="6E868FFE"/>
    <w:lvl w:ilvl="0" w:tplc="7F266552">
      <w:start w:val="1"/>
      <w:numFmt w:val="decimal"/>
      <w:lvlText w:val="%1."/>
      <w:lvlJc w:val="left"/>
      <w:pPr>
        <w:ind w:left="440" w:hanging="360"/>
      </w:pPr>
      <w:rPr>
        <w:rFonts w:hint="default"/>
        <w:b/>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2" w15:restartNumberingAfterBreak="0">
    <w:nsid w:val="17E72DD0"/>
    <w:multiLevelType w:val="multilevel"/>
    <w:tmpl w:val="9E7A2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3E25B9B"/>
    <w:multiLevelType w:val="hybridMultilevel"/>
    <w:tmpl w:val="0B1A47A2"/>
    <w:lvl w:ilvl="0" w:tplc="94D8A908">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E06320"/>
    <w:multiLevelType w:val="hybridMultilevel"/>
    <w:tmpl w:val="0F800D3A"/>
    <w:lvl w:ilvl="0" w:tplc="F41C66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D29DA"/>
    <w:multiLevelType w:val="hybridMultilevel"/>
    <w:tmpl w:val="6E08B558"/>
    <w:lvl w:ilvl="0" w:tplc="15C6AA58">
      <w:start w:val="1"/>
      <w:numFmt w:val="bullet"/>
      <w:lvlText w:val="-"/>
      <w:lvlJc w:val="left"/>
      <w:pPr>
        <w:ind w:left="420" w:hanging="360"/>
      </w:pPr>
      <w:rPr>
        <w:rFonts w:ascii="Arial" w:eastAsiaTheme="minorHAnsi" w:hAnsi="Arial" w:cs="Arial" w:hint="default"/>
        <w:b/>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464510DA"/>
    <w:multiLevelType w:val="multilevel"/>
    <w:tmpl w:val="36E0B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F80E78"/>
    <w:multiLevelType w:val="hybridMultilevel"/>
    <w:tmpl w:val="E4E01C74"/>
    <w:lvl w:ilvl="0" w:tplc="EB62B27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6911432">
    <w:abstractNumId w:val="2"/>
  </w:num>
  <w:num w:numId="2" w16cid:durableId="150486166">
    <w:abstractNumId w:val="6"/>
  </w:num>
  <w:num w:numId="3" w16cid:durableId="486243852">
    <w:abstractNumId w:val="0"/>
  </w:num>
  <w:num w:numId="4" w16cid:durableId="1492713818">
    <w:abstractNumId w:val="5"/>
  </w:num>
  <w:num w:numId="5" w16cid:durableId="1255018949">
    <w:abstractNumId w:val="7"/>
  </w:num>
  <w:num w:numId="6" w16cid:durableId="1758668490">
    <w:abstractNumId w:val="3"/>
  </w:num>
  <w:num w:numId="7" w16cid:durableId="1323386175">
    <w:abstractNumId w:val="1"/>
  </w:num>
  <w:num w:numId="8" w16cid:durableId="9056040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2AE"/>
    <w:rsid w:val="00247EDE"/>
    <w:rsid w:val="00286E42"/>
    <w:rsid w:val="002C1C4F"/>
    <w:rsid w:val="003273F7"/>
    <w:rsid w:val="003515BB"/>
    <w:rsid w:val="00556A35"/>
    <w:rsid w:val="006E4E31"/>
    <w:rsid w:val="006F07AE"/>
    <w:rsid w:val="007402AE"/>
    <w:rsid w:val="007C6B6C"/>
    <w:rsid w:val="00844357"/>
    <w:rsid w:val="008F6A22"/>
    <w:rsid w:val="00AE624E"/>
    <w:rsid w:val="00B16DC0"/>
    <w:rsid w:val="00B551B4"/>
    <w:rsid w:val="00BF1209"/>
    <w:rsid w:val="00C32D57"/>
    <w:rsid w:val="00CB52E2"/>
    <w:rsid w:val="00D32FD6"/>
    <w:rsid w:val="00DC4016"/>
    <w:rsid w:val="00E469F5"/>
    <w:rsid w:val="00F44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7FFD1"/>
  <w15:chartTrackingRefBased/>
  <w15:docId w15:val="{4A0C2DB9-8E69-4160-8A78-926BB66A6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2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2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2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2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02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02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02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02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02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2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2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2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2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02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02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02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02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02AE"/>
    <w:rPr>
      <w:rFonts w:eastAsiaTheme="majorEastAsia" w:cstheme="majorBidi"/>
      <w:color w:val="272727" w:themeColor="text1" w:themeTint="D8"/>
    </w:rPr>
  </w:style>
  <w:style w:type="paragraph" w:styleId="Title">
    <w:name w:val="Title"/>
    <w:basedOn w:val="Normal"/>
    <w:next w:val="Normal"/>
    <w:link w:val="TitleChar"/>
    <w:uiPriority w:val="10"/>
    <w:qFormat/>
    <w:rsid w:val="007402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02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02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2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02AE"/>
    <w:pPr>
      <w:spacing w:before="160"/>
      <w:jc w:val="center"/>
    </w:pPr>
    <w:rPr>
      <w:i/>
      <w:iCs/>
      <w:color w:val="404040" w:themeColor="text1" w:themeTint="BF"/>
    </w:rPr>
  </w:style>
  <w:style w:type="character" w:customStyle="1" w:styleId="QuoteChar">
    <w:name w:val="Quote Char"/>
    <w:basedOn w:val="DefaultParagraphFont"/>
    <w:link w:val="Quote"/>
    <w:uiPriority w:val="29"/>
    <w:rsid w:val="007402AE"/>
    <w:rPr>
      <w:i/>
      <w:iCs/>
      <w:color w:val="404040" w:themeColor="text1" w:themeTint="BF"/>
    </w:rPr>
  </w:style>
  <w:style w:type="paragraph" w:styleId="ListParagraph">
    <w:name w:val="List Paragraph"/>
    <w:basedOn w:val="Normal"/>
    <w:uiPriority w:val="34"/>
    <w:qFormat/>
    <w:rsid w:val="007402AE"/>
    <w:pPr>
      <w:ind w:left="720"/>
      <w:contextualSpacing/>
    </w:pPr>
  </w:style>
  <w:style w:type="character" w:styleId="IntenseEmphasis">
    <w:name w:val="Intense Emphasis"/>
    <w:basedOn w:val="DefaultParagraphFont"/>
    <w:uiPriority w:val="21"/>
    <w:qFormat/>
    <w:rsid w:val="007402AE"/>
    <w:rPr>
      <w:i/>
      <w:iCs/>
      <w:color w:val="0F4761" w:themeColor="accent1" w:themeShade="BF"/>
    </w:rPr>
  </w:style>
  <w:style w:type="paragraph" w:styleId="IntenseQuote">
    <w:name w:val="Intense Quote"/>
    <w:basedOn w:val="Normal"/>
    <w:next w:val="Normal"/>
    <w:link w:val="IntenseQuoteChar"/>
    <w:uiPriority w:val="30"/>
    <w:qFormat/>
    <w:rsid w:val="007402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2AE"/>
    <w:rPr>
      <w:i/>
      <w:iCs/>
      <w:color w:val="0F4761" w:themeColor="accent1" w:themeShade="BF"/>
    </w:rPr>
  </w:style>
  <w:style w:type="character" w:styleId="IntenseReference">
    <w:name w:val="Intense Reference"/>
    <w:basedOn w:val="DefaultParagraphFont"/>
    <w:uiPriority w:val="32"/>
    <w:qFormat/>
    <w:rsid w:val="007402AE"/>
    <w:rPr>
      <w:b/>
      <w:bCs/>
      <w:smallCaps/>
      <w:color w:val="0F4761" w:themeColor="accent1" w:themeShade="BF"/>
      <w:spacing w:val="5"/>
    </w:rPr>
  </w:style>
  <w:style w:type="character" w:styleId="Hyperlink">
    <w:name w:val="Hyperlink"/>
    <w:basedOn w:val="DefaultParagraphFont"/>
    <w:uiPriority w:val="99"/>
    <w:unhideWhenUsed/>
    <w:rsid w:val="006F07AE"/>
    <w:rPr>
      <w:color w:val="467886" w:themeColor="hyperlink"/>
      <w:u w:val="single"/>
    </w:rPr>
  </w:style>
  <w:style w:type="character" w:styleId="UnresolvedMention">
    <w:name w:val="Unresolved Mention"/>
    <w:basedOn w:val="DefaultParagraphFont"/>
    <w:uiPriority w:val="99"/>
    <w:semiHidden/>
    <w:unhideWhenUsed/>
    <w:rsid w:val="006F07AE"/>
    <w:rPr>
      <w:color w:val="605E5C"/>
      <w:shd w:val="clear" w:color="auto" w:fill="E1DFDD"/>
    </w:rPr>
  </w:style>
  <w:style w:type="paragraph" w:styleId="TOCHeading">
    <w:name w:val="TOC Heading"/>
    <w:basedOn w:val="Heading1"/>
    <w:next w:val="Normal"/>
    <w:uiPriority w:val="39"/>
    <w:unhideWhenUsed/>
    <w:qFormat/>
    <w:rsid w:val="00B16DC0"/>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B16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DC0"/>
  </w:style>
  <w:style w:type="paragraph" w:styleId="Footer">
    <w:name w:val="footer"/>
    <w:basedOn w:val="Normal"/>
    <w:link w:val="FooterChar"/>
    <w:uiPriority w:val="99"/>
    <w:unhideWhenUsed/>
    <w:rsid w:val="00B16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DC0"/>
  </w:style>
  <w:style w:type="paragraph" w:styleId="TOC1">
    <w:name w:val="toc 1"/>
    <w:basedOn w:val="Normal"/>
    <w:next w:val="Normal"/>
    <w:autoRedefine/>
    <w:uiPriority w:val="39"/>
    <w:unhideWhenUsed/>
    <w:rsid w:val="00C32D5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ar.com/careers/diversity-equity-inclusion"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p.com/mena-ar/blogs/2026-hr-resolution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barchar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rod.cipd.org/ie/about/news/resetting-edi-how-people-professionals-adapting-changing-complex-evolving-landscap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E0920-50F3-4BB5-A9C4-BA95EB85E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Pages>
  <Words>2508</Words>
  <Characters>15350</Characters>
  <Application>Microsoft Office Word</Application>
  <DocSecurity>0</DocSecurity>
  <Lines>289</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Daniel-Nicolae Amisculesei (2411947)</dc:creator>
  <cp:keywords/>
  <dc:description/>
  <cp:lastModifiedBy>Daniel-Nicolae Amisculesei (2411947)</cp:lastModifiedBy>
  <cp:revision>12</cp:revision>
  <dcterms:created xsi:type="dcterms:W3CDTF">2026-03-15T09:42:00Z</dcterms:created>
  <dcterms:modified xsi:type="dcterms:W3CDTF">2026-03-22T09:46:00Z</dcterms:modified>
</cp:coreProperties>
</file>