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3D16CB5" w14:textId="77777777" w:rsidR="00EE20C4" w:rsidRPr="00EE20C4" w:rsidRDefault="00EE20C4" w:rsidP="00EE20C4">
      <w:pPr>
        <w:shd w:val="clear" w:color="auto" w:fill="FFFFFF"/>
        <w:spacing w:before="480" w:after="240" w:line="450" w:lineRule="atLeast"/>
        <w:outlineLvl w:val="2"/>
        <w:rPr>
          <w:rFonts w:ascii="Segoe UI" w:eastAsia="Times New Roman" w:hAnsi="Segoe UI" w:cs="Segoe UI"/>
          <w:b/>
          <w:bCs/>
          <w:color w:val="0F1115"/>
          <w:kern w:val="0"/>
          <w:sz w:val="30"/>
          <w:szCs w:val="30"/>
          <w:lang w:eastAsia="en-GB"/>
          <w14:ligatures w14:val="none"/>
        </w:rPr>
      </w:pPr>
      <w:r w:rsidRPr="00EE20C4">
        <w:rPr>
          <w:rFonts w:ascii="Segoe UI" w:eastAsia="Times New Roman" w:hAnsi="Segoe UI" w:cs="Segoe UI"/>
          <w:b/>
          <w:bCs/>
          <w:color w:val="0F1115"/>
          <w:kern w:val="0"/>
          <w:sz w:val="30"/>
          <w:szCs w:val="30"/>
          <w:lang w:eastAsia="en-GB"/>
          <w14:ligatures w14:val="none"/>
        </w:rPr>
        <w:t>Trend Commentary</w:t>
      </w:r>
    </w:p>
    <w:p w14:paraId="74444E9E" w14:textId="77777777" w:rsidR="00EE20C4" w:rsidRPr="00EE20C4" w:rsidRDefault="00EE20C4" w:rsidP="00EE20C4">
      <w:pPr>
        <w:shd w:val="clear" w:color="auto" w:fill="FFFFFF"/>
        <w:spacing w:before="240" w:after="24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1. Profitability (A Volatile Recovery)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br/>
        <w:t>The company demonstrated a strong recovery from the pandemic slump in 2021 and 2022. Operating margins peaked at </w:t>
      </w: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11.5%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in 2022, driven by a surge in revenue as hospitality reopened. However, </w:t>
      </w: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2024 saw a dramatic reversal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—operating margins fell to -0.7% and net margins to -6.4%. Revenue continued to grow (+3.2% from 2023), but operating costs escalated faster (up 11.7%), squeezing profitability and pushing ROA and ROE firmly back into negative territory.</w:t>
      </w:r>
    </w:p>
    <w:p w14:paraId="7B88EEB1" w14:textId="77777777" w:rsidR="00EE20C4" w:rsidRPr="00EE20C4" w:rsidRDefault="00EE20C4" w:rsidP="00EE20C4">
      <w:pPr>
        <w:shd w:val="clear" w:color="auto" w:fill="FFFFFF"/>
        <w:spacing w:before="240" w:after="24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2. Liquidity (Persistently Strained)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br/>
        <w:t>All liquidity ratios remain critically low, with the current ratio consistently below </w:t>
      </w: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0.70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and often under </w:t>
      </w: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0.40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 xml:space="preserve">. This indicates that current liabilities far outweigh current assets, </w:t>
      </w:r>
      <w:proofErr w:type="spellStart"/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signaling</w:t>
      </w:r>
      <w:proofErr w:type="spellEnd"/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 xml:space="preserve"> a heavy reliance on operational cash flow to meet short-term obligations. The spike in the cash ratio to </w:t>
      </w: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0.56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in 2021 was temporary (a large cash inflow from financing). The subsequent drop to ~0.05–0.07 in 2022–2024 suggests minimal cash buffers, which is a notable risk factor.</w:t>
      </w:r>
    </w:p>
    <w:p w14:paraId="4F3A00B3" w14:textId="77777777" w:rsidR="00EE20C4" w:rsidRPr="00EE20C4" w:rsidRDefault="00EE20C4" w:rsidP="00EE20C4">
      <w:pPr>
        <w:shd w:val="clear" w:color="auto" w:fill="FFFFFF"/>
        <w:spacing w:before="240" w:after="24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3. Efficiency (Improving Asset Utilisation)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br/>
        <w:t>Despite the profit wipeout in 2024, efficiency metrics tell a positive story. Asset turnover rose steadily from </w:t>
      </w: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0.24x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in 2021 to </w:t>
      </w: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0.44x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in 2024, while fixed asset turnover increased from </w:t>
      </w: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0.37x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to </w:t>
      </w: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0.62x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. This suggests the company is generating more revenue per pound of assets (particularly property, plant, and equipment) year-on-year, meaning operational management of its large estate is improving.</w:t>
      </w:r>
    </w:p>
    <w:p w14:paraId="7F39AB5D" w14:textId="77777777" w:rsidR="00EE20C4" w:rsidRPr="00EE20C4" w:rsidRDefault="00EE20C4" w:rsidP="00EE20C4">
      <w:pPr>
        <w:shd w:val="clear" w:color="auto" w:fill="FFFFFF"/>
        <w:spacing w:before="240" w:after="24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4. Leverage &amp; Interest Coverage (A Warning Signal)</w:t>
      </w:r>
    </w:p>
    <w:p w14:paraId="627014E8" w14:textId="77777777" w:rsidR="00EE20C4" w:rsidRPr="00EE20C4" w:rsidRDefault="00EE20C4" w:rsidP="00EE20C4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Debt-to-Equity: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This spiked to an alarming </w:t>
      </w: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2.06x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in 2022 (due to a sharp drop in equity from accumulated losses and a reclassification of debt to current liabilities). However, it normalized to ~0.82x in 2024, aided by a strengthened equity position.</w:t>
      </w:r>
    </w:p>
    <w:p w14:paraId="00DEE785" w14:textId="77777777" w:rsidR="00EE20C4" w:rsidRPr="00EE20C4" w:rsidRDefault="00EE20C4" w:rsidP="00EE20C4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</w:pP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Interest Coverage: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The ratio is a major red flag. It turned positive in 2022–2023 (peaking at 1.57x) but crashed to </w:t>
      </w:r>
      <w:r w:rsidRPr="00EE20C4">
        <w:rPr>
          <w:rFonts w:ascii="Segoe UI" w:eastAsia="Times New Roman" w:hAnsi="Segoe UI" w:cs="Segoe UI"/>
          <w:b/>
          <w:bCs/>
          <w:color w:val="0F1115"/>
          <w:kern w:val="0"/>
          <w:lang w:eastAsia="en-GB"/>
          <w14:ligatures w14:val="none"/>
        </w:rPr>
        <w:t>-0.12x</w:t>
      </w:r>
      <w:r w:rsidRPr="00EE20C4">
        <w:rPr>
          <w:rFonts w:ascii="Segoe UI" w:eastAsia="Times New Roman" w:hAnsi="Segoe UI" w:cs="Segoe UI"/>
          <w:color w:val="0F1115"/>
          <w:kern w:val="0"/>
          <w:lang w:eastAsia="en-GB"/>
          <w14:ligatures w14:val="none"/>
        </w:rPr>
        <w:t> in 2024. This means operating profits are insufficient to cover interest payments. With Finance Costs rising to £137.5m in 2024 and operating losses returning, the company faces significant vulnerability to interest rate hikes and may need to restructure its debt or refinance to avoid covenant breaches.</w:t>
      </w:r>
    </w:p>
    <w:p w14:paraId="4ACE6591" w14:textId="77777777" w:rsidR="00EE20C4" w:rsidRDefault="00EE20C4"/>
    <w:sectPr w:rsidR="00EE20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D384697"/>
    <w:multiLevelType w:val="multilevel"/>
    <w:tmpl w:val="C4F43B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88836857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20C4"/>
    <w:rsid w:val="002A3E87"/>
    <w:rsid w:val="00EE20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5FE852"/>
  <w15:chartTrackingRefBased/>
  <w15:docId w15:val="{91D73C7B-65B3-3841-A9FB-2EA50CE105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20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20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E20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20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20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20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20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20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20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20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20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E20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20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20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20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20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20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20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20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20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20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20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20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20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20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20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20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20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20C4"/>
    <w:rPr>
      <w:b/>
      <w:bCs/>
      <w:smallCaps/>
      <w:color w:val="0F4761" w:themeColor="accent1" w:themeShade="BF"/>
      <w:spacing w:val="5"/>
    </w:rPr>
  </w:style>
  <w:style w:type="paragraph" w:customStyle="1" w:styleId="ds-markdown-paragraph">
    <w:name w:val="ds-markdown-paragraph"/>
    <w:basedOn w:val="Normal"/>
    <w:rsid w:val="00EE20C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EE20C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327</Words>
  <Characters>1870</Characters>
  <Application>Microsoft Office Word</Application>
  <DocSecurity>0</DocSecurity>
  <Lines>15</Lines>
  <Paragraphs>4</Paragraphs>
  <ScaleCrop>false</ScaleCrop>
  <Company/>
  <LinksUpToDate>false</LinksUpToDate>
  <CharactersWithSpaces>2193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Karankumar Rameshbhai Chaudhary (2538332)</dc:creator>
  <cp:keywords/>
  <dc:description/>
  <cp:lastModifiedBy>Karankumar Rameshbhai Chaudhary (2538332)</cp:lastModifiedBy>
  <cp:revision>1</cp:revision>
  <dcterms:created xsi:type="dcterms:W3CDTF">2026-07-17T16:30:00Z</dcterms:created>
  <dcterms:modified xsi:type="dcterms:W3CDTF">2026-07-17T16:31:00Z</dcterms:modified>
</cp:coreProperties>
</file>