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accent1" w:themeTint="33">
    <v:background id="_x0000_s2049" o:bwmode="white" fillcolor="white [660]" o:targetscreensize="1024,768">
      <v:fill color2="fill darken(118)" angle="-45" method="linear sigma" type="gradient"/>
    </v:background>
  </w:background>
  <w:body>
    <w:p w14:paraId="0BFC006B" w14:textId="0845DDA7" w:rsidR="005612A6" w:rsidRPr="008E6A94" w:rsidRDefault="005612A6" w:rsidP="008E6A94">
      <w:pPr>
        <w:spacing w:line="360" w:lineRule="auto"/>
        <w:rPr>
          <w:rFonts w:ascii="Arial" w:hAnsi="Arial" w:cs="Arial"/>
          <w:sz w:val="36"/>
          <w:szCs w:val="36"/>
        </w:rPr>
      </w:pPr>
    </w:p>
    <w:tbl>
      <w:tblPr>
        <w:tblStyle w:val="TableGrid"/>
        <w:tblW w:w="11058" w:type="dxa"/>
        <w:tblInd w:w="-998" w:type="dxa"/>
        <w:tblLook w:val="04A0" w:firstRow="1" w:lastRow="0" w:firstColumn="1" w:lastColumn="0" w:noHBand="0" w:noVBand="1"/>
      </w:tblPr>
      <w:tblGrid>
        <w:gridCol w:w="5506"/>
        <w:gridCol w:w="5552"/>
      </w:tblGrid>
      <w:tr w:rsidR="00427C8E" w:rsidRPr="008E6A94" w14:paraId="44B8B54C" w14:textId="77777777" w:rsidTr="006A7E76">
        <w:tc>
          <w:tcPr>
            <w:tcW w:w="5506" w:type="dxa"/>
            <w:shd w:val="clear" w:color="auto" w:fill="808080" w:themeFill="background2" w:themeFillShade="80"/>
          </w:tcPr>
          <w:p w14:paraId="20CE38F2" w14:textId="77777777" w:rsidR="002F33F6" w:rsidRPr="008E6A94" w:rsidRDefault="002F33F6" w:rsidP="008E6A94">
            <w:pPr>
              <w:spacing w:line="360" w:lineRule="auto"/>
              <w:ind w:left="360"/>
              <w:rPr>
                <w:rFonts w:ascii="Arial" w:hAnsi="Arial" w:cs="Arial"/>
                <w:color w:val="FFFFFF" w:themeColor="accent2" w:themeTint="99"/>
                <w:sz w:val="36"/>
                <w:szCs w:val="36"/>
              </w:rPr>
            </w:pPr>
          </w:p>
          <w:p w14:paraId="02BE2794" w14:textId="12354614" w:rsidR="00427C8E" w:rsidRPr="008E6A94" w:rsidRDefault="00427C8E" w:rsidP="008E6A94">
            <w:pPr>
              <w:spacing w:line="360" w:lineRule="auto"/>
              <w:ind w:left="360"/>
              <w:rPr>
                <w:rFonts w:ascii="Arial" w:hAnsi="Arial" w:cs="Arial"/>
                <w:color w:val="FFFFFF" w:themeColor="accent2" w:themeTint="99"/>
                <w:sz w:val="36"/>
                <w:szCs w:val="36"/>
              </w:rPr>
            </w:pPr>
            <w:r w:rsidRPr="008E6A94">
              <w:rPr>
                <w:rFonts w:ascii="Arial" w:hAnsi="Arial" w:cs="Arial"/>
                <w:color w:val="FFFFFF" w:themeColor="accent2" w:themeTint="99"/>
                <w:sz w:val="36"/>
                <w:szCs w:val="36"/>
              </w:rPr>
              <w:t>STUDENT NAME</w:t>
            </w:r>
          </w:p>
        </w:tc>
        <w:tc>
          <w:tcPr>
            <w:tcW w:w="5552" w:type="dxa"/>
            <w:shd w:val="clear" w:color="auto" w:fill="FFFFFF" w:themeFill="accent1" w:themeFillTint="66"/>
          </w:tcPr>
          <w:p w14:paraId="79038655" w14:textId="77777777" w:rsidR="00427C8E" w:rsidRPr="008E6A94" w:rsidRDefault="002A0164" w:rsidP="008E6A94">
            <w:pPr>
              <w:spacing w:line="360" w:lineRule="auto"/>
              <w:ind w:left="360"/>
              <w:rPr>
                <w:rFonts w:ascii="Arial" w:hAnsi="Arial" w:cs="Arial"/>
                <w:color w:val="7030A0"/>
                <w:sz w:val="36"/>
                <w:szCs w:val="36"/>
              </w:rPr>
            </w:pPr>
            <w:r w:rsidRPr="008E6A94">
              <w:rPr>
                <w:rFonts w:ascii="Arial" w:hAnsi="Arial" w:cs="Arial"/>
                <w:color w:val="7030A0"/>
                <w:sz w:val="36"/>
                <w:szCs w:val="36"/>
              </w:rPr>
              <w:t>NOMATHEMBA SOCIKWA</w:t>
            </w:r>
          </w:p>
          <w:p w14:paraId="5400FB62" w14:textId="2E4DC822" w:rsidR="006A7E76" w:rsidRPr="008E6A94" w:rsidRDefault="006A7E76" w:rsidP="008E6A94">
            <w:pPr>
              <w:spacing w:line="360" w:lineRule="auto"/>
              <w:rPr>
                <w:rFonts w:ascii="Arial" w:hAnsi="Arial" w:cs="Arial"/>
                <w:color w:val="7030A0"/>
                <w:sz w:val="36"/>
                <w:szCs w:val="36"/>
              </w:rPr>
            </w:pPr>
          </w:p>
        </w:tc>
      </w:tr>
      <w:tr w:rsidR="00427C8E" w:rsidRPr="008E6A94" w14:paraId="02EFF1E1" w14:textId="77777777" w:rsidTr="006A7E76">
        <w:tc>
          <w:tcPr>
            <w:tcW w:w="5506" w:type="dxa"/>
            <w:shd w:val="clear" w:color="auto" w:fill="808080" w:themeFill="background2" w:themeFillShade="80"/>
          </w:tcPr>
          <w:p w14:paraId="0E36A8E8" w14:textId="77777777" w:rsidR="004A2C73" w:rsidRPr="008E6A94" w:rsidRDefault="004A2C73" w:rsidP="008E6A94">
            <w:pPr>
              <w:spacing w:line="360" w:lineRule="auto"/>
              <w:ind w:left="360"/>
              <w:rPr>
                <w:rFonts w:ascii="Arial" w:hAnsi="Arial" w:cs="Arial"/>
                <w:color w:val="FFFFFF" w:themeColor="accent2" w:themeTint="99"/>
                <w:sz w:val="36"/>
                <w:szCs w:val="36"/>
              </w:rPr>
            </w:pPr>
          </w:p>
          <w:p w14:paraId="7530A76D" w14:textId="081E51D9" w:rsidR="00427C8E" w:rsidRPr="008E6A94" w:rsidRDefault="00427C8E" w:rsidP="008E6A94">
            <w:pPr>
              <w:spacing w:line="360" w:lineRule="auto"/>
              <w:ind w:left="360"/>
              <w:rPr>
                <w:rFonts w:ascii="Arial" w:hAnsi="Arial" w:cs="Arial"/>
                <w:color w:val="FFFFFF" w:themeColor="accent2" w:themeTint="99"/>
                <w:sz w:val="36"/>
                <w:szCs w:val="36"/>
              </w:rPr>
            </w:pPr>
            <w:r w:rsidRPr="008E6A94">
              <w:rPr>
                <w:rFonts w:ascii="Arial" w:hAnsi="Arial" w:cs="Arial"/>
                <w:color w:val="FFFFFF" w:themeColor="accent2" w:themeTint="99"/>
                <w:sz w:val="36"/>
                <w:szCs w:val="36"/>
              </w:rPr>
              <w:t>STUDENT ID</w:t>
            </w:r>
          </w:p>
          <w:p w14:paraId="52EA7884" w14:textId="77777777" w:rsidR="004A2C73" w:rsidRPr="008E6A94" w:rsidRDefault="004A2C73" w:rsidP="008E6A94">
            <w:pPr>
              <w:spacing w:line="360" w:lineRule="auto"/>
              <w:rPr>
                <w:rFonts w:ascii="Arial" w:hAnsi="Arial" w:cs="Arial"/>
                <w:color w:val="FFFFFF" w:themeColor="accent2" w:themeTint="99"/>
                <w:sz w:val="36"/>
                <w:szCs w:val="36"/>
              </w:rPr>
            </w:pPr>
          </w:p>
          <w:p w14:paraId="7D0FF527" w14:textId="6693E5F9" w:rsidR="004A2C73" w:rsidRPr="008E6A94" w:rsidRDefault="004A2C73" w:rsidP="008E6A94">
            <w:pPr>
              <w:spacing w:line="360" w:lineRule="auto"/>
              <w:rPr>
                <w:rFonts w:ascii="Arial" w:hAnsi="Arial" w:cs="Arial"/>
                <w:color w:val="FFFFFF" w:themeColor="accent2" w:themeTint="99"/>
                <w:sz w:val="36"/>
                <w:szCs w:val="36"/>
              </w:rPr>
            </w:pPr>
          </w:p>
        </w:tc>
        <w:tc>
          <w:tcPr>
            <w:tcW w:w="5552" w:type="dxa"/>
            <w:shd w:val="clear" w:color="auto" w:fill="FFFFFF" w:themeFill="accent1" w:themeFillTint="66"/>
          </w:tcPr>
          <w:p w14:paraId="62114BBD" w14:textId="77777777" w:rsidR="008706AE" w:rsidRPr="008E6A94" w:rsidRDefault="008706AE" w:rsidP="008E6A94">
            <w:pPr>
              <w:spacing w:line="360" w:lineRule="auto"/>
              <w:ind w:left="360"/>
              <w:rPr>
                <w:rFonts w:ascii="Arial" w:hAnsi="Arial" w:cs="Arial"/>
                <w:color w:val="7030A0"/>
                <w:sz w:val="36"/>
                <w:szCs w:val="36"/>
              </w:rPr>
            </w:pPr>
          </w:p>
          <w:p w14:paraId="683CE37C" w14:textId="7A5D22E9" w:rsidR="008706AE" w:rsidRPr="008E6A94" w:rsidRDefault="002A0164" w:rsidP="008E6A94">
            <w:pPr>
              <w:spacing w:line="360" w:lineRule="auto"/>
              <w:ind w:left="360"/>
              <w:rPr>
                <w:rFonts w:ascii="Arial" w:hAnsi="Arial" w:cs="Arial"/>
                <w:color w:val="7030A0"/>
                <w:sz w:val="36"/>
                <w:szCs w:val="36"/>
              </w:rPr>
            </w:pPr>
            <w:r w:rsidRPr="008E6A94">
              <w:rPr>
                <w:rFonts w:ascii="Arial" w:hAnsi="Arial" w:cs="Arial"/>
                <w:color w:val="7030A0"/>
                <w:sz w:val="36"/>
                <w:szCs w:val="36"/>
              </w:rPr>
              <w:t>2128581</w:t>
            </w:r>
          </w:p>
        </w:tc>
      </w:tr>
      <w:tr w:rsidR="00427C8E" w:rsidRPr="008E6A94" w14:paraId="7E41487A" w14:textId="77777777" w:rsidTr="006A7E76">
        <w:tc>
          <w:tcPr>
            <w:tcW w:w="5506" w:type="dxa"/>
            <w:shd w:val="clear" w:color="auto" w:fill="808080" w:themeFill="background2" w:themeFillShade="80"/>
          </w:tcPr>
          <w:p w14:paraId="516FBE10" w14:textId="77777777" w:rsidR="008706AE" w:rsidRPr="008E6A94" w:rsidRDefault="008706AE" w:rsidP="008E6A94">
            <w:pPr>
              <w:spacing w:line="360" w:lineRule="auto"/>
              <w:ind w:left="360"/>
              <w:rPr>
                <w:rFonts w:ascii="Arial" w:hAnsi="Arial" w:cs="Arial"/>
                <w:color w:val="FFFFFF" w:themeColor="accent2" w:themeTint="99"/>
                <w:sz w:val="36"/>
                <w:szCs w:val="36"/>
              </w:rPr>
            </w:pPr>
          </w:p>
          <w:p w14:paraId="4A1EF272" w14:textId="4C937EAE" w:rsidR="00427C8E" w:rsidRPr="008E6A94" w:rsidRDefault="00427C8E" w:rsidP="008E6A94">
            <w:pPr>
              <w:spacing w:line="360" w:lineRule="auto"/>
              <w:ind w:left="360"/>
              <w:rPr>
                <w:rFonts w:ascii="Arial" w:hAnsi="Arial" w:cs="Arial"/>
                <w:color w:val="FFFFFF" w:themeColor="accent2" w:themeTint="99"/>
                <w:sz w:val="36"/>
                <w:szCs w:val="36"/>
              </w:rPr>
            </w:pPr>
            <w:r w:rsidRPr="008E6A94">
              <w:rPr>
                <w:rFonts w:ascii="Arial" w:hAnsi="Arial" w:cs="Arial"/>
                <w:color w:val="FFFFFF" w:themeColor="accent2" w:themeTint="99"/>
                <w:sz w:val="36"/>
                <w:szCs w:val="36"/>
              </w:rPr>
              <w:t>PROGRAMME</w:t>
            </w:r>
          </w:p>
        </w:tc>
        <w:tc>
          <w:tcPr>
            <w:tcW w:w="5552" w:type="dxa"/>
            <w:shd w:val="clear" w:color="auto" w:fill="FFFFFF" w:themeFill="accent1" w:themeFillTint="66"/>
          </w:tcPr>
          <w:p w14:paraId="1C08D4E6" w14:textId="77777777" w:rsidR="00427C8E" w:rsidRPr="008E6A94" w:rsidRDefault="00B41771" w:rsidP="008E6A94">
            <w:pPr>
              <w:spacing w:line="360" w:lineRule="auto"/>
              <w:ind w:left="360"/>
              <w:rPr>
                <w:rFonts w:ascii="Arial" w:hAnsi="Arial" w:cs="Arial"/>
                <w:color w:val="7030A0"/>
                <w:sz w:val="36"/>
                <w:szCs w:val="36"/>
              </w:rPr>
            </w:pPr>
            <w:r w:rsidRPr="008E6A94">
              <w:rPr>
                <w:rFonts w:ascii="Arial" w:hAnsi="Arial" w:cs="Arial"/>
                <w:color w:val="7030A0"/>
                <w:sz w:val="36"/>
                <w:szCs w:val="36"/>
              </w:rPr>
              <w:t>Certificate of Higher Education</w:t>
            </w:r>
            <w:r w:rsidR="003F2AE7" w:rsidRPr="008E6A94">
              <w:rPr>
                <w:rFonts w:ascii="Arial" w:hAnsi="Arial" w:cs="Arial"/>
                <w:color w:val="7030A0"/>
                <w:sz w:val="36"/>
                <w:szCs w:val="36"/>
              </w:rPr>
              <w:t xml:space="preserve"> Skills for the Workplac</w:t>
            </w:r>
            <w:r w:rsidR="009A53DA" w:rsidRPr="008E6A94">
              <w:rPr>
                <w:rFonts w:ascii="Arial" w:hAnsi="Arial" w:cs="Arial"/>
                <w:color w:val="7030A0"/>
                <w:sz w:val="36"/>
                <w:szCs w:val="36"/>
              </w:rPr>
              <w:t xml:space="preserve">e (Health and Social </w:t>
            </w:r>
            <w:r w:rsidR="00E47EB4" w:rsidRPr="008E6A94">
              <w:rPr>
                <w:rFonts w:ascii="Arial" w:hAnsi="Arial" w:cs="Arial"/>
                <w:color w:val="7030A0"/>
                <w:sz w:val="36"/>
                <w:szCs w:val="36"/>
              </w:rPr>
              <w:t>C</w:t>
            </w:r>
            <w:r w:rsidR="009A53DA" w:rsidRPr="008E6A94">
              <w:rPr>
                <w:rFonts w:ascii="Arial" w:hAnsi="Arial" w:cs="Arial"/>
                <w:color w:val="7030A0"/>
                <w:sz w:val="36"/>
                <w:szCs w:val="36"/>
              </w:rPr>
              <w:t>are)</w:t>
            </w:r>
          </w:p>
          <w:p w14:paraId="2047D19D" w14:textId="03C447F3" w:rsidR="00DF0920" w:rsidRPr="008E6A94" w:rsidRDefault="00DF0920" w:rsidP="008E6A94">
            <w:pPr>
              <w:spacing w:line="360" w:lineRule="auto"/>
              <w:rPr>
                <w:rFonts w:ascii="Arial" w:hAnsi="Arial" w:cs="Arial"/>
                <w:color w:val="7030A0"/>
                <w:sz w:val="36"/>
                <w:szCs w:val="36"/>
              </w:rPr>
            </w:pPr>
          </w:p>
        </w:tc>
      </w:tr>
      <w:tr w:rsidR="00427C8E" w:rsidRPr="008E6A94" w14:paraId="1479F21F" w14:textId="77777777" w:rsidTr="006A7E76">
        <w:tc>
          <w:tcPr>
            <w:tcW w:w="5506" w:type="dxa"/>
            <w:shd w:val="clear" w:color="auto" w:fill="808080" w:themeFill="background2" w:themeFillShade="80"/>
          </w:tcPr>
          <w:p w14:paraId="2986655C" w14:textId="6A9AFA5F" w:rsidR="00427C8E" w:rsidRPr="008E6A94" w:rsidRDefault="00427C8E" w:rsidP="008E6A94">
            <w:pPr>
              <w:spacing w:line="360" w:lineRule="auto"/>
              <w:ind w:left="360"/>
              <w:rPr>
                <w:rFonts w:ascii="Arial" w:hAnsi="Arial" w:cs="Arial"/>
                <w:color w:val="FFFFFF" w:themeColor="accent2" w:themeTint="99"/>
                <w:sz w:val="36"/>
                <w:szCs w:val="36"/>
              </w:rPr>
            </w:pPr>
            <w:r w:rsidRPr="008E6A94">
              <w:rPr>
                <w:rFonts w:ascii="Arial" w:hAnsi="Arial" w:cs="Arial"/>
                <w:color w:val="FFFFFF" w:themeColor="accent2" w:themeTint="99"/>
                <w:sz w:val="36"/>
                <w:szCs w:val="36"/>
              </w:rPr>
              <w:t>MODULE CODE</w:t>
            </w:r>
          </w:p>
        </w:tc>
        <w:tc>
          <w:tcPr>
            <w:tcW w:w="5552" w:type="dxa"/>
            <w:shd w:val="clear" w:color="auto" w:fill="FFFFFF" w:themeFill="accent1" w:themeFillTint="66"/>
          </w:tcPr>
          <w:p w14:paraId="32C52C62" w14:textId="77777777" w:rsidR="00427C8E" w:rsidRPr="008E6A94" w:rsidRDefault="00E47EB4" w:rsidP="008E6A94">
            <w:pPr>
              <w:spacing w:line="360" w:lineRule="auto"/>
              <w:ind w:left="360"/>
              <w:rPr>
                <w:rFonts w:ascii="Arial" w:hAnsi="Arial" w:cs="Arial"/>
                <w:color w:val="7030A0"/>
                <w:sz w:val="36"/>
                <w:szCs w:val="36"/>
              </w:rPr>
            </w:pPr>
            <w:r w:rsidRPr="008E6A94">
              <w:rPr>
                <w:rFonts w:ascii="Arial" w:hAnsi="Arial" w:cs="Arial"/>
                <w:color w:val="7030A0"/>
                <w:sz w:val="36"/>
                <w:szCs w:val="36"/>
              </w:rPr>
              <w:t xml:space="preserve">LCHS </w:t>
            </w:r>
            <w:r w:rsidR="00C362A9" w:rsidRPr="008E6A94">
              <w:rPr>
                <w:rFonts w:ascii="Arial" w:hAnsi="Arial" w:cs="Arial"/>
                <w:color w:val="7030A0"/>
                <w:sz w:val="36"/>
                <w:szCs w:val="36"/>
              </w:rPr>
              <w:t>4004</w:t>
            </w:r>
          </w:p>
          <w:p w14:paraId="23EB49C6" w14:textId="19DC480F" w:rsidR="00DF0920" w:rsidRPr="008E6A94" w:rsidRDefault="00DF0920" w:rsidP="008E6A94">
            <w:pPr>
              <w:spacing w:line="360" w:lineRule="auto"/>
              <w:rPr>
                <w:rFonts w:ascii="Arial" w:hAnsi="Arial" w:cs="Arial"/>
                <w:color w:val="7030A0"/>
                <w:sz w:val="36"/>
                <w:szCs w:val="36"/>
              </w:rPr>
            </w:pPr>
          </w:p>
        </w:tc>
      </w:tr>
      <w:tr w:rsidR="00427C8E" w:rsidRPr="008E6A94" w14:paraId="744546BC" w14:textId="77777777" w:rsidTr="006A7E76">
        <w:tc>
          <w:tcPr>
            <w:tcW w:w="5506" w:type="dxa"/>
            <w:shd w:val="clear" w:color="auto" w:fill="808080" w:themeFill="background2" w:themeFillShade="80"/>
          </w:tcPr>
          <w:p w14:paraId="254A43CA" w14:textId="0BB04F1C" w:rsidR="00427C8E" w:rsidRPr="008E6A94" w:rsidRDefault="00427C8E" w:rsidP="008E6A94">
            <w:pPr>
              <w:spacing w:line="360" w:lineRule="auto"/>
              <w:ind w:left="360"/>
              <w:rPr>
                <w:rFonts w:ascii="Arial" w:hAnsi="Arial" w:cs="Arial"/>
                <w:color w:val="FFFFFF" w:themeColor="accent2" w:themeTint="99"/>
                <w:sz w:val="36"/>
                <w:szCs w:val="36"/>
              </w:rPr>
            </w:pPr>
            <w:r w:rsidRPr="008E6A94">
              <w:rPr>
                <w:rFonts w:ascii="Arial" w:hAnsi="Arial" w:cs="Arial"/>
                <w:color w:val="FFFFFF" w:themeColor="accent2" w:themeTint="99"/>
                <w:sz w:val="36"/>
                <w:szCs w:val="36"/>
              </w:rPr>
              <w:t>LECTURER</w:t>
            </w:r>
          </w:p>
        </w:tc>
        <w:tc>
          <w:tcPr>
            <w:tcW w:w="5552" w:type="dxa"/>
            <w:shd w:val="clear" w:color="auto" w:fill="FFFFFF" w:themeFill="accent1" w:themeFillTint="66"/>
          </w:tcPr>
          <w:p w14:paraId="4D610A7B" w14:textId="54534731" w:rsidR="00427C8E" w:rsidRPr="008E6A94" w:rsidRDefault="00C362A9" w:rsidP="008E6A94">
            <w:pPr>
              <w:spacing w:line="360" w:lineRule="auto"/>
              <w:ind w:left="360"/>
              <w:rPr>
                <w:rFonts w:ascii="Arial" w:hAnsi="Arial" w:cs="Arial"/>
                <w:color w:val="7030A0"/>
                <w:sz w:val="36"/>
                <w:szCs w:val="36"/>
              </w:rPr>
            </w:pPr>
            <w:r w:rsidRPr="008E6A94">
              <w:rPr>
                <w:rFonts w:ascii="Arial" w:hAnsi="Arial" w:cs="Arial"/>
                <w:color w:val="7030A0"/>
                <w:sz w:val="36"/>
                <w:szCs w:val="36"/>
              </w:rPr>
              <w:t>DR A</w:t>
            </w:r>
            <w:r w:rsidR="00FC6951" w:rsidRPr="008E6A94">
              <w:rPr>
                <w:rFonts w:ascii="Arial" w:hAnsi="Arial" w:cs="Arial"/>
                <w:color w:val="7030A0"/>
                <w:sz w:val="36"/>
                <w:szCs w:val="36"/>
              </w:rPr>
              <w:t>ISHAT BAKRE</w:t>
            </w:r>
          </w:p>
          <w:p w14:paraId="2D175C86" w14:textId="514489A3" w:rsidR="00DF0920" w:rsidRPr="008E6A94" w:rsidRDefault="00DF0920" w:rsidP="008E6A94">
            <w:pPr>
              <w:spacing w:line="360" w:lineRule="auto"/>
              <w:rPr>
                <w:rFonts w:ascii="Arial" w:hAnsi="Arial" w:cs="Arial"/>
                <w:color w:val="7030A0"/>
                <w:sz w:val="36"/>
                <w:szCs w:val="36"/>
              </w:rPr>
            </w:pPr>
          </w:p>
        </w:tc>
      </w:tr>
      <w:tr w:rsidR="00427C8E" w:rsidRPr="008E6A94" w14:paraId="3B31F269" w14:textId="77777777" w:rsidTr="006A7E76">
        <w:tc>
          <w:tcPr>
            <w:tcW w:w="5506" w:type="dxa"/>
            <w:shd w:val="clear" w:color="auto" w:fill="808080" w:themeFill="background2" w:themeFillShade="80"/>
          </w:tcPr>
          <w:p w14:paraId="20B79422" w14:textId="3698AC67" w:rsidR="00427C8E" w:rsidRPr="008E6A94" w:rsidRDefault="00427C8E" w:rsidP="008E6A94">
            <w:pPr>
              <w:spacing w:line="360" w:lineRule="auto"/>
              <w:ind w:left="360"/>
              <w:rPr>
                <w:rFonts w:ascii="Arial" w:hAnsi="Arial" w:cs="Arial"/>
                <w:color w:val="FFFFFF" w:themeColor="accent2" w:themeTint="99"/>
                <w:sz w:val="36"/>
                <w:szCs w:val="36"/>
              </w:rPr>
            </w:pPr>
            <w:r w:rsidRPr="008E6A94">
              <w:rPr>
                <w:rFonts w:ascii="Arial" w:hAnsi="Arial" w:cs="Arial"/>
                <w:color w:val="FFFFFF" w:themeColor="accent2" w:themeTint="99"/>
                <w:sz w:val="36"/>
                <w:szCs w:val="36"/>
              </w:rPr>
              <w:t>ASSIGNMENT</w:t>
            </w:r>
            <w:r w:rsidR="00800018" w:rsidRPr="008E6A94">
              <w:rPr>
                <w:rFonts w:ascii="Arial" w:hAnsi="Arial" w:cs="Arial"/>
                <w:color w:val="FFFFFF" w:themeColor="accent2" w:themeTint="99"/>
                <w:sz w:val="36"/>
                <w:szCs w:val="36"/>
              </w:rPr>
              <w:t xml:space="preserve"> TITLE</w:t>
            </w:r>
          </w:p>
        </w:tc>
        <w:tc>
          <w:tcPr>
            <w:tcW w:w="5552" w:type="dxa"/>
            <w:shd w:val="clear" w:color="auto" w:fill="FFFFFF" w:themeFill="accent1" w:themeFillTint="66"/>
          </w:tcPr>
          <w:p w14:paraId="7598AA29" w14:textId="39131903" w:rsidR="00427C8E" w:rsidRPr="008E6A94" w:rsidRDefault="00016F37" w:rsidP="008E6A94">
            <w:pPr>
              <w:spacing w:line="360" w:lineRule="auto"/>
              <w:ind w:left="360"/>
              <w:rPr>
                <w:rFonts w:ascii="Arial" w:hAnsi="Arial" w:cs="Arial"/>
                <w:color w:val="7030A0"/>
                <w:sz w:val="36"/>
                <w:szCs w:val="36"/>
              </w:rPr>
            </w:pPr>
            <w:r w:rsidRPr="008E6A94">
              <w:rPr>
                <w:rFonts w:ascii="Arial" w:hAnsi="Arial" w:cs="Arial"/>
                <w:color w:val="7030A0"/>
                <w:sz w:val="36"/>
                <w:szCs w:val="36"/>
              </w:rPr>
              <w:t xml:space="preserve">COMPONENT 2 </w:t>
            </w:r>
            <w:r w:rsidR="00E14F5C" w:rsidRPr="008E6A94">
              <w:rPr>
                <w:rFonts w:ascii="Arial" w:hAnsi="Arial" w:cs="Arial"/>
                <w:color w:val="7030A0"/>
                <w:sz w:val="36"/>
                <w:szCs w:val="36"/>
              </w:rPr>
              <w:t xml:space="preserve">REPORT ON </w:t>
            </w:r>
            <w:r w:rsidR="00BE4E64">
              <w:rPr>
                <w:rFonts w:ascii="Arial" w:hAnsi="Arial" w:cs="Arial"/>
                <w:color w:val="7030A0"/>
                <w:sz w:val="36"/>
                <w:szCs w:val="36"/>
              </w:rPr>
              <w:t>TB</w:t>
            </w:r>
          </w:p>
          <w:p w14:paraId="3DBA9D51" w14:textId="1EDBE97A" w:rsidR="00DF0920" w:rsidRPr="008E6A94" w:rsidRDefault="00DF0920" w:rsidP="008E6A94">
            <w:pPr>
              <w:spacing w:line="360" w:lineRule="auto"/>
              <w:rPr>
                <w:rFonts w:ascii="Arial" w:hAnsi="Arial" w:cs="Arial"/>
                <w:color w:val="7030A0"/>
                <w:sz w:val="36"/>
                <w:szCs w:val="36"/>
              </w:rPr>
            </w:pPr>
          </w:p>
        </w:tc>
      </w:tr>
      <w:tr w:rsidR="00427C8E" w:rsidRPr="008E6A94" w14:paraId="03197533" w14:textId="77777777" w:rsidTr="006A7E76">
        <w:trPr>
          <w:trHeight w:val="983"/>
        </w:trPr>
        <w:tc>
          <w:tcPr>
            <w:tcW w:w="5506" w:type="dxa"/>
            <w:shd w:val="clear" w:color="auto" w:fill="808080" w:themeFill="background2" w:themeFillShade="80"/>
          </w:tcPr>
          <w:p w14:paraId="062D72A6" w14:textId="14044407" w:rsidR="00427C8E" w:rsidRPr="008E6A94" w:rsidRDefault="002A0164" w:rsidP="008E6A94">
            <w:pPr>
              <w:spacing w:line="360" w:lineRule="auto"/>
              <w:ind w:left="360"/>
              <w:rPr>
                <w:rFonts w:ascii="Arial" w:hAnsi="Arial" w:cs="Arial"/>
                <w:color w:val="FFFFFF" w:themeColor="accent2" w:themeTint="99"/>
                <w:sz w:val="36"/>
                <w:szCs w:val="36"/>
              </w:rPr>
            </w:pPr>
            <w:r w:rsidRPr="008E6A94">
              <w:rPr>
                <w:rFonts w:ascii="Arial" w:hAnsi="Arial" w:cs="Arial"/>
                <w:color w:val="FFFFFF" w:themeColor="accent2" w:themeTint="99"/>
                <w:sz w:val="36"/>
                <w:szCs w:val="36"/>
              </w:rPr>
              <w:t>DUE DATE</w:t>
            </w:r>
          </w:p>
        </w:tc>
        <w:tc>
          <w:tcPr>
            <w:tcW w:w="5552" w:type="dxa"/>
            <w:shd w:val="clear" w:color="auto" w:fill="FFFFFF" w:themeFill="accent1" w:themeFillTint="66"/>
          </w:tcPr>
          <w:p w14:paraId="18940F3E" w14:textId="1941E1BC" w:rsidR="00427C8E" w:rsidRPr="008E6A94" w:rsidRDefault="00C31D7E" w:rsidP="008E6A94">
            <w:pPr>
              <w:spacing w:line="360" w:lineRule="auto"/>
              <w:ind w:left="360"/>
              <w:rPr>
                <w:rFonts w:ascii="Arial" w:hAnsi="Arial" w:cs="Arial"/>
                <w:color w:val="7030A0"/>
                <w:sz w:val="36"/>
                <w:szCs w:val="36"/>
              </w:rPr>
            </w:pPr>
            <w:r w:rsidRPr="008E6A94">
              <w:rPr>
                <w:rFonts w:ascii="Arial" w:hAnsi="Arial" w:cs="Arial"/>
                <w:color w:val="7030A0"/>
                <w:sz w:val="36"/>
                <w:szCs w:val="36"/>
              </w:rPr>
              <w:t>23</w:t>
            </w:r>
            <w:r w:rsidR="00D53D8E" w:rsidRPr="008E6A94">
              <w:rPr>
                <w:rFonts w:ascii="Arial" w:hAnsi="Arial" w:cs="Arial"/>
                <w:color w:val="7030A0"/>
                <w:sz w:val="36"/>
                <w:szCs w:val="36"/>
              </w:rPr>
              <w:t xml:space="preserve"> November 2022</w:t>
            </w:r>
          </w:p>
        </w:tc>
      </w:tr>
    </w:tbl>
    <w:p w14:paraId="09BC19D2" w14:textId="2DA39C26" w:rsidR="00584C97" w:rsidRDefault="00584C97" w:rsidP="00857270">
      <w:pPr>
        <w:spacing w:line="360" w:lineRule="auto"/>
        <w:rPr>
          <w:rFonts w:ascii="Arial" w:hAnsi="Arial" w:cs="Arial"/>
          <w:b/>
          <w:bCs/>
          <w:u w:val="single"/>
        </w:rPr>
      </w:pPr>
    </w:p>
    <w:p w14:paraId="78AA268F" w14:textId="3296241A" w:rsidR="00AA7BF5" w:rsidRDefault="00AA7BF5" w:rsidP="00857270">
      <w:pPr>
        <w:spacing w:line="360" w:lineRule="auto"/>
        <w:rPr>
          <w:rFonts w:ascii="Arial" w:hAnsi="Arial" w:cs="Arial"/>
          <w:b/>
          <w:bCs/>
          <w:u w:val="single"/>
        </w:rPr>
      </w:pPr>
    </w:p>
    <w:p w14:paraId="44F3BF81" w14:textId="77777777" w:rsidR="00AA7BF5" w:rsidRPr="0041662D" w:rsidRDefault="00AA7BF5" w:rsidP="00857270">
      <w:pPr>
        <w:spacing w:line="360" w:lineRule="auto"/>
        <w:rPr>
          <w:rFonts w:ascii="Arial" w:hAnsi="Arial" w:cs="Arial"/>
          <w:b/>
          <w:bCs/>
          <w:u w:val="single"/>
        </w:rPr>
      </w:pPr>
    </w:p>
    <w:p w14:paraId="19FF4EB7" w14:textId="4F528F6C" w:rsidR="00A827E3" w:rsidRDefault="006257EB" w:rsidP="006257EB">
      <w:pPr>
        <w:spacing w:line="360" w:lineRule="auto"/>
        <w:rPr>
          <w:rFonts w:ascii="Arial" w:hAnsi="Arial" w:cs="Arial"/>
          <w:b/>
          <w:bCs/>
          <w:u w:val="single"/>
        </w:rPr>
      </w:pPr>
      <w:r>
        <w:rPr>
          <w:rFonts w:ascii="Arial" w:hAnsi="Arial" w:cs="Arial"/>
          <w:b/>
          <w:bCs/>
          <w:u w:val="single"/>
        </w:rPr>
        <w:lastRenderedPageBreak/>
        <w:t xml:space="preserve">TABLE OF CONTENT </w:t>
      </w:r>
    </w:p>
    <w:p w14:paraId="2D54F050" w14:textId="77777777" w:rsidR="006257EB" w:rsidRPr="00AA7BF5" w:rsidRDefault="006257EB" w:rsidP="006257EB">
      <w:pPr>
        <w:spacing w:line="360" w:lineRule="auto"/>
        <w:rPr>
          <w:rFonts w:ascii="Arial" w:hAnsi="Arial" w:cs="Arial"/>
          <w:b/>
          <w:bCs/>
          <w:u w:val="single"/>
        </w:rPr>
      </w:pPr>
    </w:p>
    <w:p w14:paraId="2AB16095" w14:textId="1986AAA1" w:rsidR="009022A9" w:rsidRPr="00F65131" w:rsidRDefault="00F66146" w:rsidP="00857270">
      <w:pPr>
        <w:spacing w:line="360" w:lineRule="auto"/>
        <w:rPr>
          <w:rStyle w:val="Hyperlink"/>
          <w:rFonts w:ascii="Arial" w:hAnsi="Arial" w:cs="Arial"/>
          <w:noProof/>
          <w:color w:val="auto"/>
        </w:rPr>
      </w:pPr>
      <w:r w:rsidRPr="00F65131">
        <w:rPr>
          <w:rStyle w:val="Hyperlink"/>
          <w:rFonts w:ascii="Arial" w:hAnsi="Arial" w:cs="Arial"/>
          <w:noProof/>
          <w:color w:val="auto"/>
        </w:rPr>
        <w:t>INTRODUCTION</w:t>
      </w:r>
    </w:p>
    <w:p w14:paraId="5E4C99DC" w14:textId="53774725" w:rsidR="00F66146" w:rsidRPr="00F65131" w:rsidRDefault="00F66146" w:rsidP="00857270">
      <w:pPr>
        <w:spacing w:line="360" w:lineRule="auto"/>
        <w:rPr>
          <w:rStyle w:val="Hyperlink"/>
          <w:rFonts w:ascii="Arial" w:hAnsi="Arial" w:cs="Arial"/>
          <w:noProof/>
          <w:color w:val="auto"/>
        </w:rPr>
      </w:pPr>
      <w:r w:rsidRPr="00F65131">
        <w:rPr>
          <w:rStyle w:val="Hyperlink"/>
          <w:rFonts w:ascii="Arial" w:hAnsi="Arial" w:cs="Arial"/>
          <w:noProof/>
          <w:color w:val="auto"/>
        </w:rPr>
        <w:t>DEFIN</w:t>
      </w:r>
      <w:r w:rsidR="00AC0036" w:rsidRPr="00F65131">
        <w:rPr>
          <w:rStyle w:val="Hyperlink"/>
          <w:rFonts w:ascii="Arial" w:hAnsi="Arial" w:cs="Arial"/>
          <w:noProof/>
          <w:color w:val="auto"/>
        </w:rPr>
        <w:t>I</w:t>
      </w:r>
      <w:r w:rsidRPr="00F65131">
        <w:rPr>
          <w:rStyle w:val="Hyperlink"/>
          <w:rFonts w:ascii="Arial" w:hAnsi="Arial" w:cs="Arial"/>
          <w:noProof/>
          <w:color w:val="auto"/>
        </w:rPr>
        <w:t xml:space="preserve">TION </w:t>
      </w:r>
    </w:p>
    <w:p w14:paraId="5EA8781D" w14:textId="0014E19B" w:rsidR="00AC0036" w:rsidRPr="00F65131" w:rsidRDefault="00AC0036" w:rsidP="00AC0036">
      <w:pPr>
        <w:spacing w:before="100" w:beforeAutospacing="1" w:after="75" w:line="360" w:lineRule="auto"/>
        <w:rPr>
          <w:rStyle w:val="Hyperlink"/>
          <w:rFonts w:ascii="Arial" w:hAnsi="Arial" w:cs="Arial"/>
          <w:noProof/>
          <w:color w:val="auto"/>
        </w:rPr>
      </w:pPr>
      <w:r w:rsidRPr="00F65131">
        <w:rPr>
          <w:rStyle w:val="Hyperlink"/>
          <w:rFonts w:ascii="Arial" w:hAnsi="Arial" w:cs="Arial"/>
          <w:noProof/>
          <w:color w:val="auto"/>
        </w:rPr>
        <w:t>LEVELS OF TB INCIDENTS</w:t>
      </w:r>
    </w:p>
    <w:p w14:paraId="3C1FAE75" w14:textId="47473AF8" w:rsidR="00AC0036" w:rsidRPr="00F65131" w:rsidRDefault="00AC0036" w:rsidP="00AC0036">
      <w:pPr>
        <w:spacing w:before="100" w:beforeAutospacing="1" w:after="75" w:line="360" w:lineRule="auto"/>
        <w:rPr>
          <w:rStyle w:val="Hyperlink"/>
          <w:rFonts w:ascii="Arial" w:hAnsi="Arial" w:cs="Arial"/>
          <w:noProof/>
          <w:color w:val="auto"/>
        </w:rPr>
      </w:pPr>
      <w:r w:rsidRPr="00F65131">
        <w:rPr>
          <w:rStyle w:val="Hyperlink"/>
          <w:rFonts w:ascii="Arial" w:hAnsi="Arial" w:cs="Arial"/>
          <w:noProof/>
          <w:color w:val="auto"/>
        </w:rPr>
        <w:t>PUBLIC HEALTH MEASURES AVAILABLE FOR TB</w:t>
      </w:r>
    </w:p>
    <w:p w14:paraId="12AE144A" w14:textId="7694BACE" w:rsidR="00AC0036" w:rsidRPr="00F65131" w:rsidRDefault="00AC0036" w:rsidP="00AC0036">
      <w:pPr>
        <w:spacing w:before="100" w:beforeAutospacing="1" w:after="75" w:line="360" w:lineRule="auto"/>
        <w:rPr>
          <w:rStyle w:val="Hyperlink"/>
          <w:rFonts w:ascii="Arial" w:hAnsi="Arial" w:cs="Arial"/>
          <w:noProof/>
          <w:color w:val="auto"/>
        </w:rPr>
      </w:pPr>
      <w:r w:rsidRPr="00F65131">
        <w:rPr>
          <w:rStyle w:val="Hyperlink"/>
          <w:rFonts w:ascii="Arial" w:hAnsi="Arial" w:cs="Arial"/>
          <w:noProof/>
          <w:color w:val="auto"/>
        </w:rPr>
        <w:t>PREVENTION</w:t>
      </w:r>
    </w:p>
    <w:p w14:paraId="42CF570A" w14:textId="6FABF6CC" w:rsidR="00AC0036" w:rsidRPr="00F65131" w:rsidRDefault="00AC0036" w:rsidP="00AC0036">
      <w:pPr>
        <w:spacing w:before="100" w:beforeAutospacing="1" w:after="75" w:line="360" w:lineRule="auto"/>
        <w:rPr>
          <w:rStyle w:val="Hyperlink"/>
          <w:rFonts w:ascii="Arial" w:hAnsi="Arial" w:cs="Arial"/>
          <w:noProof/>
          <w:color w:val="auto"/>
        </w:rPr>
      </w:pPr>
      <w:r w:rsidRPr="00F65131">
        <w:rPr>
          <w:rStyle w:val="Hyperlink"/>
          <w:rFonts w:ascii="Arial" w:hAnsi="Arial" w:cs="Arial"/>
          <w:noProof/>
          <w:color w:val="auto"/>
        </w:rPr>
        <w:t>MONITOR</w:t>
      </w:r>
    </w:p>
    <w:p w14:paraId="4DB82AE5" w14:textId="77777777" w:rsidR="00AC0036" w:rsidRPr="00F65131" w:rsidRDefault="00AC0036" w:rsidP="00AC0036">
      <w:pPr>
        <w:spacing w:before="100" w:beforeAutospacing="1" w:after="120" w:line="360" w:lineRule="auto"/>
        <w:rPr>
          <w:rStyle w:val="Hyperlink"/>
          <w:rFonts w:ascii="Arial" w:hAnsi="Arial" w:cs="Arial"/>
          <w:noProof/>
          <w:color w:val="auto"/>
        </w:rPr>
      </w:pPr>
      <w:r w:rsidRPr="00F65131">
        <w:rPr>
          <w:rStyle w:val="Hyperlink"/>
          <w:rFonts w:ascii="Arial" w:hAnsi="Arial" w:cs="Arial"/>
          <w:noProof/>
          <w:color w:val="auto"/>
        </w:rPr>
        <w:t>CONTROL</w:t>
      </w:r>
    </w:p>
    <w:p w14:paraId="1BEB458C" w14:textId="77777777" w:rsidR="00AC0036" w:rsidRPr="00F65131" w:rsidRDefault="00AC0036" w:rsidP="00AC0036">
      <w:pPr>
        <w:spacing w:before="100" w:beforeAutospacing="1" w:after="120" w:line="360" w:lineRule="auto"/>
        <w:rPr>
          <w:rStyle w:val="Hyperlink"/>
          <w:rFonts w:ascii="Arial" w:hAnsi="Arial" w:cs="Arial"/>
          <w:noProof/>
          <w:color w:val="auto"/>
        </w:rPr>
      </w:pPr>
      <w:r w:rsidRPr="00F65131">
        <w:rPr>
          <w:rStyle w:val="Hyperlink"/>
          <w:rFonts w:ascii="Arial" w:hAnsi="Arial" w:cs="Arial"/>
          <w:noProof/>
          <w:color w:val="auto"/>
        </w:rPr>
        <w:t>THE KEY DETERMINANTS/RISK FACTORS OF TB</w:t>
      </w:r>
    </w:p>
    <w:p w14:paraId="639CF9C0" w14:textId="09801BD5" w:rsidR="006257EB" w:rsidRPr="00F65131" w:rsidRDefault="00AC0036" w:rsidP="00AC0036">
      <w:pPr>
        <w:spacing w:before="100" w:beforeAutospacing="1" w:after="120" w:line="360" w:lineRule="auto"/>
        <w:rPr>
          <w:rStyle w:val="Hyperlink"/>
          <w:rFonts w:ascii="Arial" w:hAnsi="Arial" w:cs="Arial"/>
          <w:noProof/>
          <w:color w:val="auto"/>
        </w:rPr>
      </w:pPr>
      <w:bookmarkStart w:id="0" w:name="_Hlk120085198"/>
      <w:r w:rsidRPr="00F65131">
        <w:rPr>
          <w:rStyle w:val="Hyperlink"/>
          <w:rFonts w:ascii="Arial" w:hAnsi="Arial" w:cs="Arial"/>
          <w:noProof/>
          <w:color w:val="auto"/>
        </w:rPr>
        <w:t>SHORT-TERM AND LONG-TERM PUBLIC HEALTH CONSEQUENCES OF TB IN</w:t>
      </w:r>
      <w:r w:rsidR="006257EB" w:rsidRPr="00F65131">
        <w:rPr>
          <w:rStyle w:val="Hyperlink"/>
          <w:rFonts w:ascii="Arial" w:hAnsi="Arial" w:cs="Arial"/>
          <w:noProof/>
          <w:color w:val="auto"/>
        </w:rPr>
        <w:t xml:space="preserve"> AHEALTH</w:t>
      </w:r>
    </w:p>
    <w:bookmarkEnd w:id="0"/>
    <w:p w14:paraId="12B8653E" w14:textId="4A29FD84" w:rsidR="006257EB" w:rsidRPr="00F65131" w:rsidRDefault="006257EB" w:rsidP="00AC0036">
      <w:pPr>
        <w:spacing w:before="100" w:beforeAutospacing="1" w:after="120" w:line="360" w:lineRule="auto"/>
        <w:rPr>
          <w:rStyle w:val="Hyperlink"/>
          <w:rFonts w:ascii="Arial" w:hAnsi="Arial" w:cs="Arial"/>
          <w:noProof/>
          <w:color w:val="auto"/>
        </w:rPr>
      </w:pPr>
      <w:r w:rsidRPr="00F65131">
        <w:rPr>
          <w:rStyle w:val="Hyperlink"/>
          <w:rFonts w:ascii="Arial" w:hAnsi="Arial" w:cs="Arial"/>
          <w:noProof/>
          <w:color w:val="auto"/>
        </w:rPr>
        <w:t>CONCLUSION</w:t>
      </w:r>
    </w:p>
    <w:p w14:paraId="47EF99DA" w14:textId="0B7ACB56" w:rsidR="006257EB" w:rsidRPr="00F65131" w:rsidRDefault="006257EB" w:rsidP="00AC0036">
      <w:pPr>
        <w:spacing w:before="100" w:beforeAutospacing="1" w:after="120" w:line="360" w:lineRule="auto"/>
        <w:rPr>
          <w:rFonts w:ascii="Arial" w:hAnsi="Arial" w:cs="Arial"/>
          <w:b/>
          <w:bCs/>
          <w:u w:val="single"/>
        </w:rPr>
      </w:pPr>
      <w:r w:rsidRPr="00F65131">
        <w:rPr>
          <w:rStyle w:val="Hyperlink"/>
          <w:rFonts w:ascii="Arial" w:hAnsi="Arial" w:cs="Arial"/>
          <w:noProof/>
          <w:color w:val="auto"/>
        </w:rPr>
        <w:t>REFERENCES</w:t>
      </w:r>
    </w:p>
    <w:p w14:paraId="3626B602" w14:textId="53D95F52" w:rsidR="00AC0036" w:rsidRPr="00F65131" w:rsidRDefault="00AC0036" w:rsidP="00AC0036">
      <w:pPr>
        <w:spacing w:before="100" w:beforeAutospacing="1" w:after="120" w:line="360" w:lineRule="auto"/>
        <w:rPr>
          <w:rFonts w:ascii="Arial" w:hAnsi="Arial" w:cs="Arial"/>
          <w:b/>
          <w:bCs/>
          <w:u w:val="single"/>
        </w:rPr>
      </w:pPr>
    </w:p>
    <w:p w14:paraId="61A3ABB8" w14:textId="120429D7" w:rsidR="00AC0036" w:rsidRPr="00F65131" w:rsidRDefault="00AC0036" w:rsidP="00AC0036">
      <w:pPr>
        <w:spacing w:before="100" w:beforeAutospacing="1" w:after="120" w:line="360" w:lineRule="auto"/>
        <w:ind w:firstLine="720"/>
        <w:rPr>
          <w:rFonts w:ascii="Arial" w:hAnsi="Arial" w:cs="Arial"/>
          <w:b/>
          <w:bCs/>
          <w:u w:val="single"/>
        </w:rPr>
      </w:pPr>
    </w:p>
    <w:p w14:paraId="0370825E" w14:textId="77777777" w:rsidR="00AC0036" w:rsidRPr="00F65131" w:rsidRDefault="00AC0036" w:rsidP="00AC0036">
      <w:pPr>
        <w:spacing w:before="100" w:beforeAutospacing="1" w:after="120" w:line="360" w:lineRule="auto"/>
        <w:ind w:firstLine="720"/>
        <w:rPr>
          <w:rFonts w:ascii="Arial" w:hAnsi="Arial" w:cs="Arial"/>
          <w:b/>
          <w:bCs/>
          <w:u w:val="single"/>
        </w:rPr>
      </w:pPr>
    </w:p>
    <w:p w14:paraId="3327D471" w14:textId="5EFF89CF" w:rsidR="00AC0036" w:rsidRPr="00F65131" w:rsidRDefault="00AC0036" w:rsidP="00AC0036">
      <w:pPr>
        <w:spacing w:before="100" w:beforeAutospacing="1" w:after="75" w:line="360" w:lineRule="auto"/>
        <w:rPr>
          <w:rStyle w:val="Hyperlink"/>
          <w:rFonts w:ascii="Arial" w:hAnsi="Arial" w:cs="Arial"/>
          <w:noProof/>
          <w:color w:val="auto"/>
        </w:rPr>
      </w:pPr>
    </w:p>
    <w:p w14:paraId="74D4E8B6" w14:textId="77777777" w:rsidR="00AC0036" w:rsidRPr="00F65131" w:rsidRDefault="00AC0036" w:rsidP="00AC0036">
      <w:pPr>
        <w:spacing w:before="100" w:beforeAutospacing="1" w:after="75" w:line="360" w:lineRule="auto"/>
        <w:rPr>
          <w:rStyle w:val="Hyperlink"/>
          <w:rFonts w:ascii="Arial" w:hAnsi="Arial" w:cs="Arial"/>
          <w:noProof/>
          <w:color w:val="auto"/>
        </w:rPr>
      </w:pPr>
    </w:p>
    <w:p w14:paraId="3BB5F0AF" w14:textId="77777777" w:rsidR="00AC0036" w:rsidRPr="00F65131" w:rsidRDefault="00AC0036" w:rsidP="00AC0036">
      <w:pPr>
        <w:spacing w:before="100" w:beforeAutospacing="1" w:after="75" w:line="360" w:lineRule="auto"/>
        <w:rPr>
          <w:rStyle w:val="Hyperlink"/>
          <w:rFonts w:ascii="Arial" w:hAnsi="Arial" w:cs="Arial"/>
          <w:noProof/>
          <w:color w:val="auto"/>
        </w:rPr>
      </w:pPr>
    </w:p>
    <w:p w14:paraId="4C253DB3" w14:textId="77777777" w:rsidR="00AC0036" w:rsidRPr="00F65131" w:rsidRDefault="00AC0036" w:rsidP="00AC0036">
      <w:pPr>
        <w:spacing w:before="100" w:beforeAutospacing="1" w:after="75" w:line="360" w:lineRule="auto"/>
        <w:rPr>
          <w:rStyle w:val="Hyperlink"/>
          <w:rFonts w:ascii="Arial" w:hAnsi="Arial" w:cs="Arial"/>
          <w:noProof/>
          <w:color w:val="auto"/>
        </w:rPr>
      </w:pPr>
    </w:p>
    <w:p w14:paraId="201D7830" w14:textId="2E93EAE1" w:rsidR="006257EB" w:rsidRPr="00F65131" w:rsidRDefault="006257EB" w:rsidP="006257EB">
      <w:pPr>
        <w:spacing w:line="360" w:lineRule="auto"/>
        <w:rPr>
          <w:rFonts w:ascii="Arial" w:hAnsi="Arial" w:cs="Arial"/>
          <w:b/>
          <w:bCs/>
          <w:u w:val="single"/>
        </w:rPr>
      </w:pPr>
    </w:p>
    <w:p w14:paraId="7BA68DF4" w14:textId="77777777" w:rsidR="006257EB" w:rsidRPr="00F65131" w:rsidRDefault="006257EB" w:rsidP="006257EB">
      <w:pPr>
        <w:spacing w:line="360" w:lineRule="auto"/>
        <w:rPr>
          <w:rFonts w:ascii="Arial" w:hAnsi="Arial" w:cs="Arial"/>
          <w:b/>
          <w:bCs/>
          <w:u w:val="single"/>
        </w:rPr>
      </w:pPr>
    </w:p>
    <w:p w14:paraId="267EA5AA" w14:textId="1FAB24F8" w:rsidR="002F1C01" w:rsidRPr="00F65131" w:rsidRDefault="00BD0B46" w:rsidP="002F1C01">
      <w:pPr>
        <w:spacing w:line="360" w:lineRule="auto"/>
        <w:rPr>
          <w:rFonts w:asciiTheme="majorHAnsi" w:hAnsiTheme="majorHAnsi" w:cstheme="majorHAnsi"/>
          <w:b/>
          <w:bCs/>
          <w:u w:val="single"/>
        </w:rPr>
      </w:pPr>
      <w:r w:rsidRPr="00F65131">
        <w:rPr>
          <w:rFonts w:asciiTheme="majorHAnsi" w:hAnsiTheme="majorHAnsi" w:cstheme="majorHAnsi"/>
          <w:b/>
          <w:bCs/>
          <w:u w:val="single"/>
        </w:rPr>
        <w:lastRenderedPageBreak/>
        <w:t>Introductio</w:t>
      </w:r>
      <w:r w:rsidR="00144D3C" w:rsidRPr="00F65131">
        <w:rPr>
          <w:rFonts w:asciiTheme="majorHAnsi" w:hAnsiTheme="majorHAnsi" w:cstheme="majorHAnsi"/>
          <w:b/>
          <w:bCs/>
          <w:u w:val="single"/>
        </w:rPr>
        <w:t>n</w:t>
      </w:r>
    </w:p>
    <w:p w14:paraId="3376D447" w14:textId="613CE9F1" w:rsidR="00E65F8E" w:rsidRPr="00F65131" w:rsidRDefault="002F1C01" w:rsidP="00CD2199">
      <w:pPr>
        <w:rPr>
          <w:rFonts w:asciiTheme="majorHAnsi" w:hAnsiTheme="majorHAnsi" w:cstheme="majorHAnsi"/>
        </w:rPr>
      </w:pPr>
      <w:r w:rsidRPr="00F65131">
        <w:rPr>
          <w:rFonts w:asciiTheme="majorHAnsi" w:hAnsiTheme="majorHAnsi" w:cstheme="majorHAnsi"/>
        </w:rPr>
        <w:t>This report is about tuberculosis (TB). Therefore, there will be a definition of TB and levels of TB incidence that demonstrate the severity of the health issue worldwide and in UK statistics. It will look at the public health measures available for TB and the key determinants and risk factors of TB. It will further look at the short-term and long-term public health consequences of TB in a health or social care setting. In conclusion, it will mention how TB is monitored worldwide and in the UK.</w:t>
      </w:r>
    </w:p>
    <w:p w14:paraId="7F7EE40E" w14:textId="7117A737" w:rsidR="003A4EEE" w:rsidRPr="00F65131" w:rsidRDefault="00041DF3" w:rsidP="00CD2199">
      <w:pPr>
        <w:rPr>
          <w:rFonts w:asciiTheme="majorHAnsi" w:hAnsiTheme="majorHAnsi" w:cstheme="majorHAnsi"/>
          <w:b/>
          <w:bCs/>
          <w:u w:val="single"/>
        </w:rPr>
      </w:pPr>
      <w:r w:rsidRPr="00F65131">
        <w:rPr>
          <w:rFonts w:asciiTheme="majorHAnsi" w:hAnsiTheme="majorHAnsi" w:cstheme="majorHAnsi"/>
          <w:b/>
          <w:bCs/>
          <w:u w:val="single"/>
        </w:rPr>
        <w:t>Definition</w:t>
      </w:r>
    </w:p>
    <w:p w14:paraId="76E0B1E4" w14:textId="7B524DF8" w:rsidR="00DD3B7B" w:rsidRPr="00F65131" w:rsidRDefault="004952A8" w:rsidP="00CD2199">
      <w:pPr>
        <w:spacing w:before="100" w:beforeAutospacing="1" w:after="100" w:afterAutospacing="1" w:line="360" w:lineRule="auto"/>
        <w:rPr>
          <w:rFonts w:asciiTheme="majorHAnsi" w:hAnsiTheme="majorHAnsi" w:cstheme="majorHAnsi"/>
        </w:rPr>
      </w:pPr>
      <w:r w:rsidRPr="00F65131">
        <w:rPr>
          <w:rFonts w:asciiTheme="majorHAnsi" w:hAnsiTheme="majorHAnsi" w:cstheme="majorHAnsi"/>
        </w:rPr>
        <w:t>A</w:t>
      </w:r>
      <w:r w:rsidR="00F86C56" w:rsidRPr="00F65131">
        <w:rPr>
          <w:rFonts w:asciiTheme="majorHAnsi" w:hAnsiTheme="majorHAnsi" w:cstheme="majorHAnsi"/>
        </w:rPr>
        <w:t xml:space="preserve">ccording </w:t>
      </w:r>
      <w:r w:rsidR="00523791" w:rsidRPr="00F65131">
        <w:rPr>
          <w:rFonts w:asciiTheme="majorHAnsi" w:hAnsiTheme="majorHAnsi" w:cstheme="majorHAnsi"/>
        </w:rPr>
        <w:t>to</w:t>
      </w:r>
      <w:r w:rsidR="00523791" w:rsidRPr="00F65131">
        <w:rPr>
          <w:rFonts w:asciiTheme="majorHAnsi" w:hAnsiTheme="majorHAnsi" w:cstheme="majorHAnsi"/>
          <w:b/>
          <w:bCs/>
        </w:rPr>
        <w:t xml:space="preserve"> </w:t>
      </w:r>
      <w:r w:rsidR="00A66731" w:rsidRPr="00F65131">
        <w:rPr>
          <w:rFonts w:asciiTheme="majorHAnsi" w:hAnsiTheme="majorHAnsi" w:cstheme="majorHAnsi"/>
        </w:rPr>
        <w:t>(</w:t>
      </w:r>
      <w:r w:rsidR="003C0768" w:rsidRPr="00F65131">
        <w:rPr>
          <w:rFonts w:asciiTheme="majorHAnsi" w:hAnsiTheme="majorHAnsi" w:cstheme="majorHAnsi"/>
        </w:rPr>
        <w:t>www.nh</w:t>
      </w:r>
      <w:r w:rsidR="00EB33F2" w:rsidRPr="00F65131">
        <w:rPr>
          <w:rFonts w:asciiTheme="majorHAnsi" w:hAnsiTheme="majorHAnsi" w:cstheme="majorHAnsi"/>
        </w:rPr>
        <w:t>inform</w:t>
      </w:r>
      <w:r w:rsidR="00C95138" w:rsidRPr="00F65131">
        <w:rPr>
          <w:rFonts w:asciiTheme="majorHAnsi" w:hAnsiTheme="majorHAnsi" w:cstheme="majorHAnsi"/>
        </w:rPr>
        <w:t>)</w:t>
      </w:r>
      <w:r w:rsidR="00BE4E64" w:rsidRPr="00F65131">
        <w:rPr>
          <w:rFonts w:asciiTheme="majorHAnsi" w:hAnsiTheme="majorHAnsi" w:cstheme="majorHAnsi"/>
        </w:rPr>
        <w:t>TB</w:t>
      </w:r>
      <w:r w:rsidR="006A442D" w:rsidRPr="00F65131">
        <w:rPr>
          <w:rFonts w:asciiTheme="majorHAnsi" w:hAnsiTheme="majorHAnsi" w:cstheme="majorHAnsi"/>
        </w:rPr>
        <w:t xml:space="preserve"> is a bacterial infection spread through inhaling tiny droplets from the coughs or sneezes of an infected </w:t>
      </w:r>
      <w:r w:rsidR="00523791" w:rsidRPr="00F65131">
        <w:rPr>
          <w:rFonts w:asciiTheme="majorHAnsi" w:hAnsiTheme="majorHAnsi" w:cstheme="majorHAnsi"/>
        </w:rPr>
        <w:t>person. It</w:t>
      </w:r>
      <w:r w:rsidR="006A442D" w:rsidRPr="00F65131">
        <w:rPr>
          <w:rFonts w:asciiTheme="majorHAnsi" w:hAnsiTheme="majorHAnsi" w:cstheme="majorHAnsi"/>
        </w:rPr>
        <w:t xml:space="preserve"> mainly affects the lungs, but it can affect any part of the body, including the tummy (abdomen), glands, </w:t>
      </w:r>
      <w:r w:rsidR="00E91E0F" w:rsidRPr="00F65131">
        <w:rPr>
          <w:rFonts w:asciiTheme="majorHAnsi" w:hAnsiTheme="majorHAnsi" w:cstheme="majorHAnsi"/>
        </w:rPr>
        <w:t>bones,</w:t>
      </w:r>
      <w:r w:rsidR="006A442D" w:rsidRPr="00F65131">
        <w:rPr>
          <w:rFonts w:asciiTheme="majorHAnsi" w:hAnsiTheme="majorHAnsi" w:cstheme="majorHAnsi"/>
        </w:rPr>
        <w:t xml:space="preserve"> and nervous</w:t>
      </w:r>
      <w:r w:rsidR="00CC480B" w:rsidRPr="00F65131">
        <w:rPr>
          <w:rFonts w:asciiTheme="majorHAnsi" w:hAnsiTheme="majorHAnsi" w:cstheme="majorHAnsi"/>
        </w:rPr>
        <w:t xml:space="preserve"> </w:t>
      </w:r>
      <w:r w:rsidR="006A442D" w:rsidRPr="00F65131">
        <w:rPr>
          <w:rFonts w:asciiTheme="majorHAnsi" w:hAnsiTheme="majorHAnsi" w:cstheme="majorHAnsi"/>
        </w:rPr>
        <w:t>system</w:t>
      </w:r>
      <w:r w:rsidR="004E4FCC" w:rsidRPr="00F65131">
        <w:rPr>
          <w:rFonts w:asciiTheme="majorHAnsi" w:hAnsiTheme="majorHAnsi" w:cstheme="majorHAnsi"/>
        </w:rPr>
        <w:t>.</w:t>
      </w:r>
      <w:r w:rsidR="00605DAC" w:rsidRPr="00F65131">
        <w:rPr>
          <w:rFonts w:asciiTheme="majorHAnsi" w:hAnsiTheme="majorHAnsi" w:cstheme="majorHAnsi"/>
        </w:rPr>
        <w:t xml:space="preserve"> </w:t>
      </w:r>
      <w:r w:rsidR="0005178D" w:rsidRPr="00F65131">
        <w:rPr>
          <w:rFonts w:asciiTheme="majorHAnsi" w:hAnsiTheme="majorHAnsi" w:cstheme="majorHAnsi"/>
        </w:rPr>
        <w:t>In addition</w:t>
      </w:r>
      <w:r w:rsidR="003D3B6F" w:rsidRPr="00F65131">
        <w:rPr>
          <w:rFonts w:asciiTheme="majorHAnsi" w:hAnsiTheme="majorHAnsi" w:cstheme="majorHAnsi"/>
        </w:rPr>
        <w:t xml:space="preserve"> (</w:t>
      </w:r>
      <w:hyperlink r:id="rId8" w:history="1">
        <w:r w:rsidR="00243154" w:rsidRPr="00F65131">
          <w:rPr>
            <w:rStyle w:val="Hyperlink"/>
            <w:rFonts w:asciiTheme="majorHAnsi" w:hAnsiTheme="majorHAnsi" w:cstheme="majorHAnsi"/>
            <w:color w:val="auto"/>
          </w:rPr>
          <w:t>www.nhsinforn</w:t>
        </w:r>
      </w:hyperlink>
      <w:r w:rsidR="003D3B6F" w:rsidRPr="00F65131">
        <w:rPr>
          <w:rFonts w:asciiTheme="majorHAnsi" w:hAnsiTheme="majorHAnsi" w:cstheme="majorHAnsi"/>
        </w:rPr>
        <w:t>)</w:t>
      </w:r>
      <w:r w:rsidR="00243154" w:rsidRPr="00F65131">
        <w:rPr>
          <w:rFonts w:asciiTheme="majorHAnsi" w:hAnsiTheme="majorHAnsi" w:cstheme="majorHAnsi"/>
        </w:rPr>
        <w:t xml:space="preserve"> mentioned that</w:t>
      </w:r>
      <w:r w:rsidR="00CC480B" w:rsidRPr="00F65131">
        <w:rPr>
          <w:rFonts w:asciiTheme="majorHAnsi" w:hAnsiTheme="majorHAnsi" w:cstheme="majorHAnsi"/>
        </w:rPr>
        <w:t xml:space="preserve"> </w:t>
      </w:r>
      <w:r w:rsidR="006A442D" w:rsidRPr="00F65131">
        <w:rPr>
          <w:rFonts w:asciiTheme="majorHAnsi" w:hAnsiTheme="majorHAnsi" w:cstheme="majorHAnsi"/>
        </w:rPr>
        <w:t>TB is a potentially serious condition, but it can be cured if it</w:t>
      </w:r>
      <w:r w:rsidR="0005334E" w:rsidRPr="00F65131">
        <w:rPr>
          <w:rFonts w:asciiTheme="majorHAnsi" w:hAnsiTheme="majorHAnsi" w:cstheme="majorHAnsi"/>
        </w:rPr>
        <w:t xml:space="preserve"> is </w:t>
      </w:r>
      <w:r w:rsidR="006A442D" w:rsidRPr="00F65131">
        <w:rPr>
          <w:rFonts w:asciiTheme="majorHAnsi" w:hAnsiTheme="majorHAnsi" w:cstheme="majorHAnsi"/>
        </w:rPr>
        <w:t>treated with the right</w:t>
      </w:r>
      <w:r w:rsidR="008B7915" w:rsidRPr="00F65131">
        <w:rPr>
          <w:rFonts w:asciiTheme="majorHAnsi" w:hAnsiTheme="majorHAnsi" w:cstheme="majorHAnsi"/>
        </w:rPr>
        <w:t xml:space="preserve"> antibiotics.</w:t>
      </w:r>
    </w:p>
    <w:p w14:paraId="63339AC6" w14:textId="5775D2E5" w:rsidR="002A0456" w:rsidRPr="00F65131" w:rsidRDefault="00084A75" w:rsidP="00677EBD">
      <w:pPr>
        <w:spacing w:before="100" w:beforeAutospacing="1" w:after="100" w:afterAutospacing="1" w:line="360" w:lineRule="auto"/>
        <w:rPr>
          <w:rFonts w:asciiTheme="majorHAnsi" w:hAnsiTheme="majorHAnsi" w:cstheme="majorHAnsi"/>
        </w:rPr>
      </w:pPr>
      <w:r w:rsidRPr="00F65131">
        <w:rPr>
          <w:rFonts w:asciiTheme="majorHAnsi" w:hAnsiTheme="majorHAnsi" w:cstheme="majorHAnsi"/>
        </w:rPr>
        <w:t xml:space="preserve">People infected with TB bacteria have a 5–10% lifetime risk of falling ill with TB. Those with compromised immune systems, such as people living with HIV, </w:t>
      </w:r>
      <w:r w:rsidR="000E40CF" w:rsidRPr="00F65131">
        <w:rPr>
          <w:rFonts w:asciiTheme="majorHAnsi" w:hAnsiTheme="majorHAnsi" w:cstheme="majorHAnsi"/>
        </w:rPr>
        <w:t>malnutrition,</w:t>
      </w:r>
      <w:r w:rsidRPr="00F65131">
        <w:rPr>
          <w:rFonts w:asciiTheme="majorHAnsi" w:hAnsiTheme="majorHAnsi" w:cstheme="majorHAnsi"/>
        </w:rPr>
        <w:t xml:space="preserve"> or diabetes, or who use tobacco, have a higher risk of falling ill</w:t>
      </w:r>
      <w:r w:rsidR="00D461A9" w:rsidRPr="00F65131">
        <w:rPr>
          <w:rFonts w:asciiTheme="majorHAnsi" w:hAnsiTheme="majorHAnsi" w:cstheme="majorHAnsi"/>
        </w:rPr>
        <w:t xml:space="preserve"> (WHO</w:t>
      </w:r>
      <w:r w:rsidR="00171E36" w:rsidRPr="00F65131">
        <w:rPr>
          <w:rFonts w:asciiTheme="majorHAnsi" w:hAnsiTheme="majorHAnsi" w:cstheme="majorHAnsi"/>
        </w:rPr>
        <w:t>.2020)</w:t>
      </w:r>
      <w:r w:rsidRPr="00F65131">
        <w:rPr>
          <w:rFonts w:asciiTheme="majorHAnsi" w:hAnsiTheme="majorHAnsi" w:cstheme="majorHAnsi"/>
        </w:rPr>
        <w:t>.</w:t>
      </w:r>
    </w:p>
    <w:p w14:paraId="5E287BB3" w14:textId="7FD167C4" w:rsidR="002B1135" w:rsidRPr="00F65131" w:rsidRDefault="002B1135" w:rsidP="00677EBD">
      <w:pPr>
        <w:spacing w:before="100" w:beforeAutospacing="1" w:after="100" w:afterAutospacing="1" w:line="360" w:lineRule="auto"/>
        <w:rPr>
          <w:rFonts w:asciiTheme="majorHAnsi" w:hAnsiTheme="majorHAnsi" w:cstheme="majorHAnsi"/>
        </w:rPr>
      </w:pPr>
      <w:r w:rsidRPr="00F65131">
        <w:rPr>
          <w:rFonts w:asciiTheme="majorHAnsi" w:hAnsiTheme="majorHAnsi" w:cstheme="majorHAnsi"/>
        </w:rPr>
        <w:t xml:space="preserve">According to </w:t>
      </w:r>
      <w:proofErr w:type="spellStart"/>
      <w:r w:rsidRPr="00F65131">
        <w:rPr>
          <w:rFonts w:asciiTheme="majorHAnsi" w:hAnsiTheme="majorHAnsi" w:cstheme="majorHAnsi"/>
        </w:rPr>
        <w:t>Sasindran</w:t>
      </w:r>
      <w:proofErr w:type="spellEnd"/>
      <w:r w:rsidRPr="00F65131">
        <w:rPr>
          <w:rFonts w:asciiTheme="majorHAnsi" w:hAnsiTheme="majorHAnsi" w:cstheme="majorHAnsi"/>
        </w:rPr>
        <w:t xml:space="preserve">, S.J., and </w:t>
      </w:r>
      <w:proofErr w:type="spellStart"/>
      <w:r w:rsidRPr="00F65131">
        <w:rPr>
          <w:rFonts w:asciiTheme="majorHAnsi" w:hAnsiTheme="majorHAnsi" w:cstheme="majorHAnsi"/>
        </w:rPr>
        <w:t>Torrelles</w:t>
      </w:r>
      <w:proofErr w:type="spellEnd"/>
      <w:r w:rsidRPr="00F65131">
        <w:rPr>
          <w:rFonts w:asciiTheme="majorHAnsi" w:hAnsiTheme="majorHAnsi" w:cstheme="majorHAnsi"/>
        </w:rPr>
        <w:t xml:space="preserve">, J.B. (2011), tuberculosis (TB) is an infection caused by a bacterium from the Mycobacterium TB complex, which includes M. TB, M. </w:t>
      </w:r>
      <w:proofErr w:type="spellStart"/>
      <w:r w:rsidRPr="00F65131">
        <w:rPr>
          <w:rFonts w:asciiTheme="majorHAnsi" w:hAnsiTheme="majorHAnsi" w:cstheme="majorHAnsi"/>
        </w:rPr>
        <w:t>africanum</w:t>
      </w:r>
      <w:proofErr w:type="spellEnd"/>
      <w:r w:rsidRPr="00F65131">
        <w:rPr>
          <w:rFonts w:asciiTheme="majorHAnsi" w:hAnsiTheme="majorHAnsi" w:cstheme="majorHAnsi"/>
        </w:rPr>
        <w:t xml:space="preserve">, M. </w:t>
      </w:r>
      <w:proofErr w:type="spellStart"/>
      <w:r w:rsidRPr="00F65131">
        <w:rPr>
          <w:rFonts w:asciiTheme="majorHAnsi" w:hAnsiTheme="majorHAnsi" w:cstheme="majorHAnsi"/>
        </w:rPr>
        <w:t>bovis</w:t>
      </w:r>
      <w:proofErr w:type="spellEnd"/>
      <w:r w:rsidRPr="00F65131">
        <w:rPr>
          <w:rFonts w:asciiTheme="majorHAnsi" w:hAnsiTheme="majorHAnsi" w:cstheme="majorHAnsi"/>
        </w:rPr>
        <w:t xml:space="preserve">, and some rare bacteria such as M. microti and M. </w:t>
      </w:r>
      <w:proofErr w:type="spellStart"/>
      <w:r w:rsidRPr="00F65131">
        <w:rPr>
          <w:rFonts w:asciiTheme="majorHAnsi" w:hAnsiTheme="majorHAnsi" w:cstheme="majorHAnsi"/>
        </w:rPr>
        <w:t>pinnipedii</w:t>
      </w:r>
      <w:proofErr w:type="spellEnd"/>
      <w:r w:rsidRPr="00F65131">
        <w:rPr>
          <w:rFonts w:asciiTheme="majorHAnsi" w:hAnsiTheme="majorHAnsi" w:cstheme="majorHAnsi"/>
        </w:rPr>
        <w:t>. Tuberculosis symptoms include a persistent cough that lasts more than three weeks and usually produces bloody phlegm, weight loss, night sweats, a high temperature, tiredness and fatigue, a loss of appetite, and swellings in the neck.</w:t>
      </w:r>
    </w:p>
    <w:p w14:paraId="730265E9" w14:textId="690AFC23" w:rsidR="00A33D9C" w:rsidRPr="00F65131" w:rsidRDefault="002B1135" w:rsidP="00677EBD">
      <w:pPr>
        <w:spacing w:before="100" w:beforeAutospacing="1" w:after="100" w:afterAutospacing="1" w:line="360" w:lineRule="auto"/>
        <w:rPr>
          <w:rFonts w:asciiTheme="majorHAnsi" w:hAnsiTheme="majorHAnsi" w:cstheme="majorHAnsi"/>
        </w:rPr>
      </w:pPr>
      <w:r w:rsidRPr="00F65131">
        <w:rPr>
          <w:rFonts w:asciiTheme="majorHAnsi" w:hAnsiTheme="majorHAnsi" w:cstheme="majorHAnsi"/>
        </w:rPr>
        <w:t xml:space="preserve">The most contagious type of </w:t>
      </w:r>
      <w:r w:rsidR="00774745" w:rsidRPr="00F65131">
        <w:rPr>
          <w:rFonts w:asciiTheme="majorHAnsi" w:hAnsiTheme="majorHAnsi" w:cstheme="majorHAnsi"/>
        </w:rPr>
        <w:t>T</w:t>
      </w:r>
      <w:r w:rsidR="00A011C8" w:rsidRPr="00F65131">
        <w:rPr>
          <w:rFonts w:asciiTheme="majorHAnsi" w:hAnsiTheme="majorHAnsi" w:cstheme="majorHAnsi"/>
        </w:rPr>
        <w:t>B</w:t>
      </w:r>
      <w:r w:rsidRPr="00F65131">
        <w:rPr>
          <w:rFonts w:asciiTheme="majorHAnsi" w:hAnsiTheme="majorHAnsi" w:cstheme="majorHAnsi"/>
        </w:rPr>
        <w:t xml:space="preserve"> affects the lungs (pulmonary TB), but it usually spreads only after prolonged exposure to someone with the illness (</w:t>
      </w:r>
      <w:proofErr w:type="spellStart"/>
      <w:r w:rsidRPr="00F65131">
        <w:rPr>
          <w:rFonts w:asciiTheme="majorHAnsi" w:hAnsiTheme="majorHAnsi" w:cstheme="majorHAnsi"/>
        </w:rPr>
        <w:t>Sasindran</w:t>
      </w:r>
      <w:proofErr w:type="spellEnd"/>
      <w:r w:rsidRPr="00F65131">
        <w:rPr>
          <w:rFonts w:asciiTheme="majorHAnsi" w:hAnsiTheme="majorHAnsi" w:cstheme="majorHAnsi"/>
        </w:rPr>
        <w:t xml:space="preserve">, S.J., and </w:t>
      </w:r>
      <w:proofErr w:type="spellStart"/>
      <w:r w:rsidRPr="00F65131">
        <w:rPr>
          <w:rFonts w:asciiTheme="majorHAnsi" w:hAnsiTheme="majorHAnsi" w:cstheme="majorHAnsi"/>
        </w:rPr>
        <w:t>Torrelles</w:t>
      </w:r>
      <w:proofErr w:type="spellEnd"/>
      <w:r w:rsidRPr="00F65131">
        <w:rPr>
          <w:rFonts w:asciiTheme="majorHAnsi" w:hAnsiTheme="majorHAnsi" w:cstheme="majorHAnsi"/>
        </w:rPr>
        <w:t xml:space="preserve">, J.B., 2011). The body's natural defence against infection and illness (the immune system) kills the bacteria in most healthy people, and there are no symptoms. Sometimes the immune system is unable to kill the bacteria but </w:t>
      </w:r>
      <w:proofErr w:type="gramStart"/>
      <w:r w:rsidRPr="00F65131">
        <w:rPr>
          <w:rFonts w:asciiTheme="majorHAnsi" w:hAnsiTheme="majorHAnsi" w:cstheme="majorHAnsi"/>
        </w:rPr>
        <w:t>is able to</w:t>
      </w:r>
      <w:proofErr w:type="gramEnd"/>
      <w:r w:rsidRPr="00F65131">
        <w:rPr>
          <w:rFonts w:asciiTheme="majorHAnsi" w:hAnsiTheme="majorHAnsi" w:cstheme="majorHAnsi"/>
        </w:rPr>
        <w:t xml:space="preserve"> keep it from spreading throughout the body.</w:t>
      </w:r>
      <w:r w:rsidR="00AA0723" w:rsidRPr="00F65131">
        <w:rPr>
          <w:rFonts w:asciiTheme="majorHAnsi" w:hAnsiTheme="majorHAnsi" w:cstheme="majorHAnsi"/>
        </w:rPr>
        <w:t xml:space="preserve"> </w:t>
      </w:r>
      <w:r w:rsidR="00774745" w:rsidRPr="00F65131">
        <w:rPr>
          <w:rFonts w:asciiTheme="majorHAnsi" w:hAnsiTheme="majorHAnsi" w:cstheme="majorHAnsi"/>
        </w:rPr>
        <w:t>The person who is infected will not show any symptoms, but the bacteria will remain in the body. This is referred to as latent tb. People with latent tb are not contagious to others. If the immune system is unable to kill or contain the infection, it can spread to the lungs or other parts of the body, causing symptoms to appear within a few weeks or months. This is referred to as active tb. Latent tb may progress to active TB at a later stage, especially if the person's immune system is compromised.</w:t>
      </w:r>
    </w:p>
    <w:p w14:paraId="34012892" w14:textId="1D58CECE" w:rsidR="004E4EBA" w:rsidRPr="00F65131" w:rsidRDefault="00EA748E" w:rsidP="00677EBD">
      <w:pPr>
        <w:spacing w:before="100" w:beforeAutospacing="1" w:after="100" w:afterAutospacing="1" w:line="360" w:lineRule="auto"/>
        <w:rPr>
          <w:rFonts w:asciiTheme="majorHAnsi" w:hAnsiTheme="majorHAnsi" w:cstheme="majorHAnsi"/>
        </w:rPr>
      </w:pPr>
      <w:r w:rsidRPr="00F65131">
        <w:rPr>
          <w:rFonts w:asciiTheme="majorHAnsi" w:hAnsiTheme="majorHAnsi" w:cstheme="majorHAnsi"/>
        </w:rPr>
        <w:lastRenderedPageBreak/>
        <w:t>(WHO 2022) About one-quarter of the world's population has a TB infection, which means people have been infected by TB bacteria but are not (yet) ill with the disease and cannot transmit it.</w:t>
      </w:r>
    </w:p>
    <w:p w14:paraId="470A4C23" w14:textId="77777777" w:rsidR="00E65F8E" w:rsidRPr="00F65131" w:rsidRDefault="00E65F8E" w:rsidP="00F82A9F">
      <w:pPr>
        <w:spacing w:before="100" w:beforeAutospacing="1" w:after="100" w:afterAutospacing="1" w:line="360" w:lineRule="auto"/>
        <w:rPr>
          <w:rFonts w:asciiTheme="majorHAnsi" w:hAnsiTheme="majorHAnsi" w:cstheme="majorHAnsi"/>
        </w:rPr>
      </w:pPr>
    </w:p>
    <w:p w14:paraId="498BAE50" w14:textId="77777777" w:rsidR="00026A10" w:rsidRDefault="00BF1834" w:rsidP="00F82A9F">
      <w:pPr>
        <w:spacing w:before="100" w:beforeAutospacing="1" w:after="100" w:afterAutospacing="1" w:line="360" w:lineRule="auto"/>
        <w:rPr>
          <w:rFonts w:asciiTheme="majorHAnsi" w:hAnsiTheme="majorHAnsi" w:cstheme="majorHAnsi"/>
          <w:b/>
          <w:bCs/>
          <w:u w:val="single"/>
        </w:rPr>
      </w:pPr>
      <w:r w:rsidRPr="00F65131">
        <w:rPr>
          <w:rFonts w:asciiTheme="majorHAnsi" w:hAnsiTheme="majorHAnsi" w:cstheme="majorHAnsi"/>
        </w:rPr>
        <w:t xml:space="preserve"> </w:t>
      </w:r>
      <w:r w:rsidRPr="00F65131">
        <w:rPr>
          <w:rFonts w:asciiTheme="majorHAnsi" w:hAnsiTheme="majorHAnsi" w:cstheme="majorHAnsi"/>
          <w:b/>
          <w:bCs/>
          <w:u w:val="single"/>
        </w:rPr>
        <w:t>Levels of TB incidence</w:t>
      </w:r>
    </w:p>
    <w:p w14:paraId="4F8B738A" w14:textId="1A152A9A" w:rsidR="00026A10" w:rsidRPr="003F1852" w:rsidRDefault="00940F74" w:rsidP="00026A10">
      <w:pPr>
        <w:spacing w:before="100" w:beforeAutospacing="1" w:after="100" w:afterAutospacing="1" w:line="360" w:lineRule="auto"/>
        <w:rPr>
          <w:rFonts w:ascii="Arial" w:hAnsi="Arial" w:cs="Arial"/>
        </w:rPr>
      </w:pPr>
      <w:r w:rsidRPr="003F1852">
        <w:rPr>
          <w:rFonts w:ascii="Arial" w:hAnsi="Arial" w:cs="Arial"/>
          <w:b/>
          <w:bCs/>
          <w:u w:val="single"/>
        </w:rPr>
        <w:t xml:space="preserve"> </w:t>
      </w:r>
      <w:r w:rsidR="00026A10" w:rsidRPr="003F1852">
        <w:rPr>
          <w:rFonts w:ascii="Arial" w:hAnsi="Arial" w:cs="Arial"/>
        </w:rPr>
        <w:t xml:space="preserve">The WHO Global TB Report 2022 provides a comprehensive and over- to- date assessment of the TB epidemic and of progress in </w:t>
      </w:r>
      <w:proofErr w:type="spellStart"/>
      <w:r w:rsidR="00026A10" w:rsidRPr="003F1852">
        <w:rPr>
          <w:rFonts w:ascii="Arial" w:hAnsi="Arial" w:cs="Arial"/>
        </w:rPr>
        <w:t>forestallment</w:t>
      </w:r>
      <w:proofErr w:type="spellEnd"/>
      <w:r w:rsidR="00026A10" w:rsidRPr="003F1852">
        <w:rPr>
          <w:rFonts w:ascii="Arial" w:hAnsi="Arial" w:cs="Arial"/>
        </w:rPr>
        <w:t xml:space="preserve">, </w:t>
      </w:r>
      <w:proofErr w:type="gramStart"/>
      <w:r w:rsidR="00026A10" w:rsidRPr="003F1852">
        <w:rPr>
          <w:rFonts w:ascii="Arial" w:hAnsi="Arial" w:cs="Arial"/>
        </w:rPr>
        <w:t>opinion</w:t>
      </w:r>
      <w:proofErr w:type="gramEnd"/>
      <w:r w:rsidR="00026A10" w:rsidRPr="003F1852">
        <w:rPr>
          <w:rFonts w:ascii="Arial" w:hAnsi="Arial" w:cs="Arial"/>
        </w:rPr>
        <w:t xml:space="preserve"> and treatment for TB, at global, indigenous and country situations. This is done in the environment of global TB commitments, strategies and targets</w:t>
      </w:r>
      <w:r w:rsidR="009C24D6">
        <w:rPr>
          <w:rFonts w:ascii="Arial" w:hAnsi="Arial" w:cs="Arial"/>
        </w:rPr>
        <w:t xml:space="preserve"> </w:t>
      </w:r>
      <w:proofErr w:type="gramStart"/>
      <w:r w:rsidR="00026A10" w:rsidRPr="003F1852">
        <w:rPr>
          <w:rFonts w:ascii="Arial" w:hAnsi="Arial" w:cs="Arial"/>
        </w:rPr>
        <w:t>( Kochi</w:t>
      </w:r>
      <w:proofErr w:type="gramEnd"/>
      <w:r w:rsidR="00026A10" w:rsidRPr="003F1852">
        <w:rPr>
          <w:rFonts w:ascii="Arial" w:hAnsi="Arial" w:cs="Arial"/>
        </w:rPr>
        <w:t xml:space="preserve">. 1991). The 2022 edition of the report is as usual, grounded primarily on data gathered by WHO from public ministries of health in periodic rounds of data collection. In 2022, 202 countries and homes with further than 99 of the world’s population and TB cases reported data. According </w:t>
      </w:r>
      <w:proofErr w:type="gramStart"/>
      <w:r w:rsidR="00026A10" w:rsidRPr="003F1852">
        <w:rPr>
          <w:rFonts w:ascii="Arial" w:hAnsi="Arial" w:cs="Arial"/>
        </w:rPr>
        <w:t>to(</w:t>
      </w:r>
      <w:proofErr w:type="gramEnd"/>
      <w:r w:rsidR="00026A10" w:rsidRPr="003F1852">
        <w:rPr>
          <w:rFonts w:ascii="Arial" w:hAnsi="Arial" w:cs="Arial"/>
        </w:rPr>
        <w:t xml:space="preserve">WHO.2022) </w:t>
      </w:r>
      <w:proofErr w:type="spellStart"/>
      <w:r w:rsidR="00026A10" w:rsidRPr="003F1852">
        <w:rPr>
          <w:rFonts w:ascii="Arial" w:hAnsi="Arial" w:cs="Arial"/>
        </w:rPr>
        <w:t>a</w:t>
      </w:r>
      <w:proofErr w:type="spellEnd"/>
      <w:r w:rsidR="00026A10" w:rsidRPr="003F1852">
        <w:rPr>
          <w:rFonts w:ascii="Arial" w:hAnsi="Arial" w:cs="Arial"/>
        </w:rPr>
        <w:t xml:space="preserve"> aggregate of1.6 million people failed from TB in 2021( including 187 000 people with HIV). Worldwide, TB is the 13th leading cause of death and the alternate leading contagious killer after COVID- </w:t>
      </w:r>
      <w:proofErr w:type="gramStart"/>
      <w:r w:rsidR="00026A10" w:rsidRPr="003F1852">
        <w:rPr>
          <w:rFonts w:ascii="Arial" w:hAnsi="Arial" w:cs="Arial"/>
        </w:rPr>
        <w:t>19( above</w:t>
      </w:r>
      <w:proofErr w:type="gramEnd"/>
      <w:r w:rsidR="00026A10" w:rsidRPr="003F1852">
        <w:rPr>
          <w:rFonts w:ascii="Arial" w:hAnsi="Arial" w:cs="Arial"/>
        </w:rPr>
        <w:t xml:space="preserve"> HIV/ AIDS). According </w:t>
      </w:r>
      <w:proofErr w:type="gramStart"/>
      <w:r w:rsidR="00026A10" w:rsidRPr="003F1852">
        <w:rPr>
          <w:rFonts w:ascii="Arial" w:hAnsi="Arial" w:cs="Arial"/>
        </w:rPr>
        <w:t>to(</w:t>
      </w:r>
      <w:proofErr w:type="gramEnd"/>
      <w:r w:rsidR="00026A10" w:rsidRPr="003F1852">
        <w:rPr>
          <w:rFonts w:ascii="Arial" w:hAnsi="Arial" w:cs="Arial"/>
        </w:rPr>
        <w:t>Visca.et al 2021) In 2021, an estimated10.6 million people fell ill with TB worldwide. Six million men,3.4 million women and1.2 million children.</w:t>
      </w:r>
    </w:p>
    <w:p w14:paraId="33DC47EE" w14:textId="77777777" w:rsidR="00026A10" w:rsidRPr="00026A10" w:rsidRDefault="00026A10" w:rsidP="00026A10">
      <w:pPr>
        <w:spacing w:before="100" w:beforeAutospacing="1" w:after="100" w:afterAutospacing="1" w:line="360" w:lineRule="auto"/>
        <w:rPr>
          <w:rFonts w:ascii="Arial" w:hAnsi="Arial" w:cs="Arial"/>
        </w:rPr>
      </w:pPr>
      <w:r w:rsidRPr="00026A10">
        <w:rPr>
          <w:rFonts w:ascii="Arial" w:hAnsi="Arial" w:cs="Arial"/>
        </w:rPr>
        <w:t>TB is present in all countries and age groups.</w:t>
      </w:r>
    </w:p>
    <w:p w14:paraId="14D223A4" w14:textId="24C0444A" w:rsidR="00940F74" w:rsidRPr="003F1852" w:rsidRDefault="00026A10" w:rsidP="00026A10">
      <w:pPr>
        <w:spacing w:before="100" w:beforeAutospacing="1" w:after="100" w:afterAutospacing="1" w:line="360" w:lineRule="auto"/>
        <w:rPr>
          <w:rFonts w:ascii="Arial" w:hAnsi="Arial" w:cs="Arial"/>
        </w:rPr>
      </w:pPr>
      <w:r w:rsidRPr="003F1852">
        <w:rPr>
          <w:rFonts w:ascii="Arial" w:hAnsi="Arial" w:cs="Arial"/>
        </w:rPr>
        <w:t xml:space="preserve">But TB is curable and preventable.1.2 million children fell ill with TB </w:t>
      </w:r>
      <w:proofErr w:type="spellStart"/>
      <w:r w:rsidRPr="003F1852">
        <w:rPr>
          <w:rFonts w:ascii="Arial" w:hAnsi="Arial" w:cs="Arial"/>
        </w:rPr>
        <w:t>encyclopedically</w:t>
      </w:r>
      <w:proofErr w:type="spellEnd"/>
      <w:r w:rsidRPr="003F1852">
        <w:rPr>
          <w:rFonts w:ascii="Arial" w:hAnsi="Arial" w:cs="Arial"/>
        </w:rPr>
        <w:t xml:space="preserve">. Child and adolescent TB is frequently overlooked by health providers and can be delicate to diagnose and </w:t>
      </w:r>
      <w:proofErr w:type="gramStart"/>
      <w:r w:rsidRPr="003F1852">
        <w:rPr>
          <w:rFonts w:ascii="Arial" w:hAnsi="Arial" w:cs="Arial"/>
        </w:rPr>
        <w:t>treat.(</w:t>
      </w:r>
      <w:proofErr w:type="gramEnd"/>
      <w:r w:rsidRPr="003F1852">
        <w:rPr>
          <w:rFonts w:ascii="Arial" w:hAnsi="Arial" w:cs="Arial"/>
        </w:rPr>
        <w:t xml:space="preserve">Song.et.al 2021) the 30 high TB burden countries reckoned for 87 of new TB cases, Multidrug- resistant TB( MDR- TB) remains a public health extremity and a health security trouble. Only about one in three people with medicine resistant TB penetrated treatment in 2020. </w:t>
      </w:r>
      <w:proofErr w:type="spellStart"/>
      <w:r w:rsidRPr="003F1852">
        <w:rPr>
          <w:rFonts w:ascii="Arial" w:hAnsi="Arial" w:cs="Arial"/>
        </w:rPr>
        <w:t>Encyclopedically</w:t>
      </w:r>
      <w:proofErr w:type="spellEnd"/>
      <w:r w:rsidRPr="003F1852">
        <w:rPr>
          <w:rFonts w:ascii="Arial" w:hAnsi="Arial" w:cs="Arial"/>
        </w:rPr>
        <w:t xml:space="preserve">, TB prevalence is falling at about 2 per time and between 2015 and 2020 the accretive reduction was 11. This was over halfway to the End TB Strategy corner of 20 reduction between 2015 and 2020. An estimated 66 million lives were saved through TB opinion and treatment between 2000 and </w:t>
      </w:r>
      <w:proofErr w:type="gramStart"/>
      <w:r w:rsidRPr="003F1852">
        <w:rPr>
          <w:rFonts w:ascii="Arial" w:hAnsi="Arial" w:cs="Arial"/>
        </w:rPr>
        <w:t>2020.(</w:t>
      </w:r>
      <w:proofErr w:type="gramEnd"/>
      <w:r w:rsidRPr="003F1852">
        <w:rPr>
          <w:rFonts w:ascii="Arial" w:hAnsi="Arial" w:cs="Arial"/>
        </w:rPr>
        <w:t xml:space="preserve">WHO.2020) the number of cases of TB in England has shown a steady decline over the last four times, down by third from the peak seen in 2011. There were,758 verified cases in England in 2015 compared to8.280 in 2011. still England has one of the loftiest </w:t>
      </w:r>
      <w:proofErr w:type="gramStart"/>
      <w:r w:rsidRPr="003F1852">
        <w:rPr>
          <w:rFonts w:ascii="Arial" w:hAnsi="Arial" w:cs="Arial"/>
        </w:rPr>
        <w:t>rate</w:t>
      </w:r>
      <w:proofErr w:type="gramEnd"/>
      <w:r w:rsidRPr="003F1852">
        <w:rPr>
          <w:rFonts w:ascii="Arial" w:hAnsi="Arial" w:cs="Arial"/>
        </w:rPr>
        <w:t xml:space="preserve"> of TB in Western Europe, according to estimates from the World Health Organisation. TB is more common in people born abroad. The rate in </w:t>
      </w:r>
      <w:proofErr w:type="spellStart"/>
      <w:r w:rsidRPr="003F1852">
        <w:rPr>
          <w:rFonts w:ascii="Arial" w:hAnsi="Arial" w:cs="Arial"/>
        </w:rPr>
        <w:t>thenon</w:t>
      </w:r>
      <w:proofErr w:type="spellEnd"/>
      <w:r w:rsidRPr="003F1852">
        <w:rPr>
          <w:rFonts w:ascii="Arial" w:hAnsi="Arial" w:cs="Arial"/>
        </w:rPr>
        <w:t xml:space="preserve">-UK-born population is 15 times advanced than in the UK- born population, and 73 of all cases notified in 2015(,087) were born </w:t>
      </w:r>
      <w:proofErr w:type="gramStart"/>
      <w:r w:rsidRPr="003F1852">
        <w:rPr>
          <w:rFonts w:ascii="Arial" w:hAnsi="Arial" w:cs="Arial"/>
        </w:rPr>
        <w:t>abroad( WHO</w:t>
      </w:r>
      <w:proofErr w:type="gramEnd"/>
      <w:r w:rsidRPr="003F1852">
        <w:rPr>
          <w:rFonts w:ascii="Arial" w:hAnsi="Arial" w:cs="Arial"/>
        </w:rPr>
        <w:t xml:space="preserve"> 2022).</w:t>
      </w:r>
    </w:p>
    <w:p w14:paraId="6407F9BA" w14:textId="77777777" w:rsidR="00026A10" w:rsidRPr="00F65131" w:rsidRDefault="00026A10" w:rsidP="00F82A9F">
      <w:pPr>
        <w:spacing w:before="100" w:beforeAutospacing="1" w:after="100" w:afterAutospacing="1" w:line="360" w:lineRule="auto"/>
        <w:rPr>
          <w:rFonts w:asciiTheme="majorHAnsi" w:hAnsiTheme="majorHAnsi" w:cstheme="majorHAnsi"/>
          <w:b/>
          <w:bCs/>
          <w:u w:val="single"/>
        </w:rPr>
      </w:pPr>
    </w:p>
    <w:p w14:paraId="5D95F0E0" w14:textId="4D1622D9" w:rsidR="00F82A9F" w:rsidRPr="00F65131" w:rsidRDefault="00525D77" w:rsidP="0046100B">
      <w:pPr>
        <w:spacing w:before="100" w:beforeAutospacing="1" w:after="75" w:line="360" w:lineRule="auto"/>
        <w:rPr>
          <w:rFonts w:asciiTheme="majorHAnsi" w:hAnsiTheme="majorHAnsi" w:cstheme="majorHAnsi"/>
          <w:b/>
          <w:bCs/>
          <w:u w:val="single"/>
        </w:rPr>
      </w:pPr>
      <w:bookmarkStart w:id="1" w:name="_Hlk120066922"/>
      <w:r w:rsidRPr="00F65131">
        <w:rPr>
          <w:rFonts w:asciiTheme="majorHAnsi" w:hAnsiTheme="majorHAnsi" w:cstheme="majorHAnsi"/>
          <w:b/>
          <w:bCs/>
          <w:u w:val="single"/>
        </w:rPr>
        <w:t>Public health measures available for TB</w:t>
      </w:r>
    </w:p>
    <w:p w14:paraId="6543B526" w14:textId="77777777" w:rsidR="000E40CF" w:rsidRPr="00F65131" w:rsidRDefault="000E40CF" w:rsidP="0046100B">
      <w:pPr>
        <w:spacing w:before="100" w:beforeAutospacing="1" w:after="75" w:line="360" w:lineRule="auto"/>
        <w:rPr>
          <w:rFonts w:asciiTheme="majorHAnsi" w:hAnsiTheme="majorHAnsi" w:cstheme="majorHAnsi"/>
          <w:b/>
          <w:bCs/>
          <w:u w:val="single"/>
        </w:rPr>
      </w:pPr>
    </w:p>
    <w:p w14:paraId="53D242F3" w14:textId="7189563B" w:rsidR="00BD0316" w:rsidRPr="00F65131" w:rsidRDefault="00BD0316" w:rsidP="000E40CF">
      <w:pPr>
        <w:pStyle w:val="Heading2"/>
        <w:spacing w:line="360" w:lineRule="auto"/>
        <w:jc w:val="left"/>
        <w:rPr>
          <w:rFonts w:asciiTheme="majorHAnsi" w:hAnsiTheme="majorHAnsi" w:cstheme="majorHAnsi"/>
          <w:sz w:val="22"/>
          <w:szCs w:val="22"/>
          <w:u w:val="single"/>
        </w:rPr>
      </w:pPr>
      <w:r w:rsidRPr="00F65131">
        <w:rPr>
          <w:rFonts w:asciiTheme="majorHAnsi" w:hAnsiTheme="majorHAnsi" w:cstheme="majorHAnsi"/>
          <w:sz w:val="22"/>
          <w:szCs w:val="22"/>
          <w:u w:val="single"/>
        </w:rPr>
        <w:t>P</w:t>
      </w:r>
      <w:r w:rsidR="000671D5" w:rsidRPr="00F65131">
        <w:rPr>
          <w:rFonts w:asciiTheme="majorHAnsi" w:hAnsiTheme="majorHAnsi" w:cstheme="majorHAnsi"/>
          <w:sz w:val="22"/>
          <w:szCs w:val="22"/>
          <w:u w:val="single"/>
        </w:rPr>
        <w:t>revention</w:t>
      </w:r>
      <w:bookmarkEnd w:id="1"/>
    </w:p>
    <w:p w14:paraId="356A9DAA" w14:textId="73DC3333" w:rsidR="006A442D" w:rsidRPr="00F65131" w:rsidRDefault="000671D5" w:rsidP="003A4985">
      <w:pPr>
        <w:spacing w:after="360" w:line="360" w:lineRule="auto"/>
        <w:rPr>
          <w:rFonts w:asciiTheme="majorHAnsi" w:hAnsiTheme="majorHAnsi" w:cstheme="majorHAnsi"/>
        </w:rPr>
      </w:pPr>
      <w:r w:rsidRPr="00F65131">
        <w:rPr>
          <w:rFonts w:asciiTheme="majorHAnsi" w:hAnsiTheme="majorHAnsi" w:cstheme="majorHAnsi"/>
        </w:rPr>
        <w:t>The </w:t>
      </w:r>
      <w:hyperlink r:id="rId9" w:history="1">
        <w:r w:rsidRPr="00F65131">
          <w:rPr>
            <w:rFonts w:asciiTheme="majorHAnsi" w:hAnsiTheme="majorHAnsi" w:cstheme="majorHAnsi"/>
          </w:rPr>
          <w:t>BCG vaccine</w:t>
        </w:r>
      </w:hyperlink>
      <w:r w:rsidRPr="00F65131">
        <w:rPr>
          <w:rFonts w:asciiTheme="majorHAnsi" w:hAnsiTheme="majorHAnsi" w:cstheme="majorHAnsi"/>
        </w:rPr>
        <w:t> offers protection against TB, and is recommended on the NHS for babies, children and adults under the age of 35 who are considered to be at risk of catching TB. The BCG vaccine is not routinely given to anyone over the age o</w:t>
      </w:r>
      <w:r w:rsidR="00D317B6" w:rsidRPr="00F65131">
        <w:rPr>
          <w:rFonts w:asciiTheme="majorHAnsi" w:hAnsiTheme="majorHAnsi" w:cstheme="majorHAnsi"/>
        </w:rPr>
        <w:t>f 35</w:t>
      </w:r>
      <w:r w:rsidR="00EF323F" w:rsidRPr="00F65131">
        <w:rPr>
          <w:rFonts w:asciiTheme="majorHAnsi" w:hAnsiTheme="majorHAnsi" w:cstheme="majorHAnsi"/>
        </w:rPr>
        <w:t xml:space="preserve"> (Mangtani.et.al.2017)</w:t>
      </w:r>
      <w:r w:rsidRPr="00F65131">
        <w:rPr>
          <w:rFonts w:asciiTheme="majorHAnsi" w:hAnsiTheme="majorHAnsi" w:cstheme="majorHAnsi"/>
        </w:rPr>
        <w:t>.</w:t>
      </w:r>
    </w:p>
    <w:p w14:paraId="58AF0BAF" w14:textId="6D17FF75" w:rsidR="006A442D" w:rsidRPr="00F65131" w:rsidRDefault="002F1C01" w:rsidP="005C44A6">
      <w:pPr>
        <w:spacing w:after="360" w:line="360" w:lineRule="auto"/>
        <w:rPr>
          <w:rFonts w:asciiTheme="majorHAnsi" w:hAnsiTheme="majorHAnsi" w:cstheme="majorHAnsi"/>
        </w:rPr>
      </w:pPr>
      <w:r w:rsidRPr="00F65131">
        <w:rPr>
          <w:rFonts w:asciiTheme="majorHAnsi" w:hAnsiTheme="majorHAnsi" w:cstheme="majorHAnsi"/>
        </w:rPr>
        <w:t>(Frasie.</w:t>
      </w:r>
      <w:r w:rsidR="002A3133" w:rsidRPr="00F65131">
        <w:rPr>
          <w:rFonts w:asciiTheme="majorHAnsi" w:hAnsiTheme="majorHAnsi" w:cstheme="majorHAnsi"/>
        </w:rPr>
        <w:t xml:space="preserve">et.al 2006) </w:t>
      </w:r>
      <w:r w:rsidR="006A442D" w:rsidRPr="00F65131">
        <w:rPr>
          <w:rFonts w:asciiTheme="majorHAnsi" w:hAnsiTheme="majorHAnsi" w:cstheme="majorHAnsi"/>
        </w:rPr>
        <w:t>TB can almost always be cured. A course of </w:t>
      </w:r>
      <w:r w:rsidR="00985625" w:rsidRPr="00F65131">
        <w:rPr>
          <w:rFonts w:asciiTheme="majorHAnsi" w:hAnsiTheme="majorHAnsi" w:cstheme="majorHAnsi"/>
        </w:rPr>
        <w:t>antibiotics</w:t>
      </w:r>
      <w:r w:rsidR="006A442D" w:rsidRPr="00F65131">
        <w:rPr>
          <w:rFonts w:asciiTheme="majorHAnsi" w:hAnsiTheme="majorHAnsi" w:cstheme="majorHAnsi"/>
        </w:rPr>
        <w:t xml:space="preserve"> will usually need to be taken for 6 </w:t>
      </w:r>
      <w:r w:rsidR="006C388E" w:rsidRPr="00F65131">
        <w:rPr>
          <w:rFonts w:asciiTheme="majorHAnsi" w:hAnsiTheme="majorHAnsi" w:cstheme="majorHAnsi"/>
        </w:rPr>
        <w:t>months. Several</w:t>
      </w:r>
      <w:r w:rsidR="006A442D" w:rsidRPr="00F65131">
        <w:rPr>
          <w:rFonts w:asciiTheme="majorHAnsi" w:hAnsiTheme="majorHAnsi" w:cstheme="majorHAnsi"/>
        </w:rPr>
        <w:t xml:space="preserve"> different antibiotics are used because some forms of TB are resistant to certain antibiotics.</w:t>
      </w:r>
      <w:r w:rsidR="006C388E" w:rsidRPr="00F65131">
        <w:rPr>
          <w:rFonts w:asciiTheme="majorHAnsi" w:hAnsiTheme="majorHAnsi" w:cstheme="majorHAnsi"/>
        </w:rPr>
        <w:t xml:space="preserve"> </w:t>
      </w:r>
      <w:r w:rsidR="006A442D" w:rsidRPr="00F65131">
        <w:rPr>
          <w:rFonts w:asciiTheme="majorHAnsi" w:hAnsiTheme="majorHAnsi" w:cstheme="majorHAnsi"/>
        </w:rPr>
        <w:t xml:space="preserve">If </w:t>
      </w:r>
      <w:r w:rsidR="009E14F8" w:rsidRPr="00F65131">
        <w:rPr>
          <w:rFonts w:asciiTheme="majorHAnsi" w:hAnsiTheme="majorHAnsi" w:cstheme="majorHAnsi"/>
        </w:rPr>
        <w:t>the person is</w:t>
      </w:r>
      <w:r w:rsidR="006A442D" w:rsidRPr="00F65131">
        <w:rPr>
          <w:rFonts w:asciiTheme="majorHAnsi" w:hAnsiTheme="majorHAnsi" w:cstheme="majorHAnsi"/>
        </w:rPr>
        <w:t xml:space="preserve"> infected with a drug-resistant form of TB, treatment with 6 or more different medications may be needed.</w:t>
      </w:r>
      <w:r w:rsidR="006C388E" w:rsidRPr="00F65131">
        <w:rPr>
          <w:rFonts w:asciiTheme="majorHAnsi" w:hAnsiTheme="majorHAnsi" w:cstheme="majorHAnsi"/>
        </w:rPr>
        <w:t xml:space="preserve"> </w:t>
      </w:r>
      <w:r w:rsidR="006A442D" w:rsidRPr="00F65131">
        <w:rPr>
          <w:rFonts w:asciiTheme="majorHAnsi" w:hAnsiTheme="majorHAnsi" w:cstheme="majorHAnsi"/>
        </w:rPr>
        <w:t xml:space="preserve">If </w:t>
      </w:r>
      <w:r w:rsidR="009E14F8" w:rsidRPr="00F65131">
        <w:rPr>
          <w:rFonts w:asciiTheme="majorHAnsi" w:hAnsiTheme="majorHAnsi" w:cstheme="majorHAnsi"/>
        </w:rPr>
        <w:t>the person</w:t>
      </w:r>
      <w:r w:rsidR="00985625" w:rsidRPr="00F65131">
        <w:rPr>
          <w:rFonts w:asciiTheme="majorHAnsi" w:hAnsiTheme="majorHAnsi" w:cstheme="majorHAnsi"/>
        </w:rPr>
        <w:t xml:space="preserve"> is</w:t>
      </w:r>
      <w:r w:rsidR="006A442D" w:rsidRPr="00F65131">
        <w:rPr>
          <w:rFonts w:asciiTheme="majorHAnsi" w:hAnsiTheme="majorHAnsi" w:cstheme="majorHAnsi"/>
        </w:rPr>
        <w:t xml:space="preserve"> diagnosed with pulmonary TB, </w:t>
      </w:r>
      <w:r w:rsidR="009E14F8" w:rsidRPr="00F65131">
        <w:rPr>
          <w:rFonts w:asciiTheme="majorHAnsi" w:hAnsiTheme="majorHAnsi" w:cstheme="majorHAnsi"/>
        </w:rPr>
        <w:t>the person</w:t>
      </w:r>
      <w:r w:rsidR="00985625" w:rsidRPr="00F65131">
        <w:rPr>
          <w:rFonts w:asciiTheme="majorHAnsi" w:hAnsiTheme="majorHAnsi" w:cstheme="majorHAnsi"/>
        </w:rPr>
        <w:t xml:space="preserve"> will</w:t>
      </w:r>
      <w:r w:rsidR="006A442D" w:rsidRPr="00F65131">
        <w:rPr>
          <w:rFonts w:asciiTheme="majorHAnsi" w:hAnsiTheme="majorHAnsi" w:cstheme="majorHAnsi"/>
        </w:rPr>
        <w:t xml:space="preserve"> be contagious for about 2 to 3 weeks into </w:t>
      </w:r>
      <w:r w:rsidR="009E14F8" w:rsidRPr="00F65131">
        <w:rPr>
          <w:rFonts w:asciiTheme="majorHAnsi" w:hAnsiTheme="majorHAnsi" w:cstheme="majorHAnsi"/>
        </w:rPr>
        <w:t xml:space="preserve">the </w:t>
      </w:r>
      <w:r w:rsidR="0071799A" w:rsidRPr="00F65131">
        <w:rPr>
          <w:rFonts w:asciiTheme="majorHAnsi" w:hAnsiTheme="majorHAnsi" w:cstheme="majorHAnsi"/>
        </w:rPr>
        <w:t>persons</w:t>
      </w:r>
      <w:r w:rsidR="006A442D" w:rsidRPr="00F65131">
        <w:rPr>
          <w:rFonts w:asciiTheme="majorHAnsi" w:hAnsiTheme="majorHAnsi" w:cstheme="majorHAnsi"/>
        </w:rPr>
        <w:t xml:space="preserve"> course of treatment.</w:t>
      </w:r>
      <w:r w:rsidR="006C388E" w:rsidRPr="00F65131">
        <w:rPr>
          <w:rFonts w:asciiTheme="majorHAnsi" w:hAnsiTheme="majorHAnsi" w:cstheme="majorHAnsi"/>
        </w:rPr>
        <w:t xml:space="preserve"> </w:t>
      </w:r>
      <w:r w:rsidR="009E14F8" w:rsidRPr="00F65131">
        <w:rPr>
          <w:rFonts w:asciiTheme="majorHAnsi" w:hAnsiTheme="majorHAnsi" w:cstheme="majorHAnsi"/>
        </w:rPr>
        <w:t>The person</w:t>
      </w:r>
      <w:r w:rsidR="006A442D" w:rsidRPr="00F65131">
        <w:rPr>
          <w:rFonts w:asciiTheme="majorHAnsi" w:hAnsiTheme="majorHAnsi" w:cstheme="majorHAnsi"/>
        </w:rPr>
        <w:t xml:space="preserve"> will not usually need to be isolated during this time, but it</w:t>
      </w:r>
      <w:r w:rsidR="0071799A" w:rsidRPr="00F65131">
        <w:rPr>
          <w:rFonts w:asciiTheme="majorHAnsi" w:hAnsiTheme="majorHAnsi" w:cstheme="majorHAnsi"/>
        </w:rPr>
        <w:t xml:space="preserve"> is </w:t>
      </w:r>
      <w:r w:rsidR="006A442D" w:rsidRPr="00F65131">
        <w:rPr>
          <w:rFonts w:asciiTheme="majorHAnsi" w:hAnsiTheme="majorHAnsi" w:cstheme="majorHAnsi"/>
        </w:rPr>
        <w:t xml:space="preserve">important to take some basic precautions to stop the infection spreading to </w:t>
      </w:r>
      <w:r w:rsidR="009E14F8" w:rsidRPr="00F65131">
        <w:rPr>
          <w:rFonts w:asciiTheme="majorHAnsi" w:hAnsiTheme="majorHAnsi" w:cstheme="majorHAnsi"/>
        </w:rPr>
        <w:t xml:space="preserve">the </w:t>
      </w:r>
      <w:r w:rsidR="0071799A" w:rsidRPr="00F65131">
        <w:rPr>
          <w:rFonts w:asciiTheme="majorHAnsi" w:hAnsiTheme="majorHAnsi" w:cstheme="majorHAnsi"/>
        </w:rPr>
        <w:t>persons</w:t>
      </w:r>
      <w:r w:rsidR="006A442D" w:rsidRPr="00F65131">
        <w:rPr>
          <w:rFonts w:asciiTheme="majorHAnsi" w:hAnsiTheme="majorHAnsi" w:cstheme="majorHAnsi"/>
        </w:rPr>
        <w:t xml:space="preserve"> family and friends</w:t>
      </w:r>
      <w:r w:rsidR="002A3133" w:rsidRPr="00F65131">
        <w:rPr>
          <w:rFonts w:asciiTheme="majorHAnsi" w:hAnsiTheme="majorHAnsi" w:cstheme="majorHAnsi"/>
        </w:rPr>
        <w:t xml:space="preserve"> (www.nhsinfor)</w:t>
      </w:r>
      <w:r w:rsidR="006A442D" w:rsidRPr="00F65131">
        <w:rPr>
          <w:rFonts w:asciiTheme="majorHAnsi" w:hAnsiTheme="majorHAnsi" w:cstheme="majorHAnsi"/>
        </w:rPr>
        <w:t>.</w:t>
      </w:r>
    </w:p>
    <w:p w14:paraId="498199B3" w14:textId="1B5AC76C" w:rsidR="00EF323F" w:rsidRPr="00F65131" w:rsidRDefault="003019B0" w:rsidP="000E40CF">
      <w:pPr>
        <w:pStyle w:val="Heading2"/>
        <w:spacing w:line="360" w:lineRule="auto"/>
        <w:jc w:val="left"/>
        <w:rPr>
          <w:rFonts w:asciiTheme="majorHAnsi" w:hAnsiTheme="majorHAnsi" w:cstheme="majorHAnsi"/>
          <w:sz w:val="22"/>
          <w:szCs w:val="22"/>
          <w:u w:val="single"/>
        </w:rPr>
      </w:pPr>
      <w:r w:rsidRPr="00F65131">
        <w:rPr>
          <w:rFonts w:asciiTheme="majorHAnsi" w:hAnsiTheme="majorHAnsi" w:cstheme="majorHAnsi"/>
          <w:sz w:val="22"/>
          <w:szCs w:val="22"/>
          <w:u w:val="single"/>
        </w:rPr>
        <w:t>Monitor</w:t>
      </w:r>
    </w:p>
    <w:p w14:paraId="69232451" w14:textId="456DFA87" w:rsidR="00EF323F" w:rsidRPr="00F65131" w:rsidRDefault="00EF323F" w:rsidP="00EF323F">
      <w:pPr>
        <w:rPr>
          <w:rFonts w:asciiTheme="majorHAnsi" w:hAnsiTheme="majorHAnsi" w:cstheme="majorHAnsi"/>
        </w:rPr>
      </w:pPr>
      <w:r w:rsidRPr="00F65131">
        <w:rPr>
          <w:rFonts w:asciiTheme="majorHAnsi" w:hAnsiTheme="majorHAnsi" w:cstheme="majorHAnsi"/>
        </w:rPr>
        <w:t>(CDC, 2012) actions to reduce mobility and mortality and how to improve health,</w:t>
      </w:r>
    </w:p>
    <w:p w14:paraId="6BD7217C" w14:textId="20ABD62B" w:rsidR="008B4D38" w:rsidRPr="00F65131" w:rsidRDefault="00AB3EEA" w:rsidP="00AF62CA">
      <w:pPr>
        <w:spacing w:before="100" w:beforeAutospacing="1" w:after="120" w:line="360" w:lineRule="auto"/>
        <w:rPr>
          <w:rFonts w:asciiTheme="majorHAnsi" w:hAnsiTheme="majorHAnsi" w:cstheme="majorHAnsi"/>
        </w:rPr>
      </w:pPr>
      <w:r w:rsidRPr="00F65131">
        <w:rPr>
          <w:rFonts w:asciiTheme="majorHAnsi" w:hAnsiTheme="majorHAnsi" w:cstheme="majorHAnsi"/>
        </w:rPr>
        <w:t>S</w:t>
      </w:r>
      <w:r w:rsidR="006A442D" w:rsidRPr="00F65131">
        <w:rPr>
          <w:rFonts w:asciiTheme="majorHAnsi" w:hAnsiTheme="majorHAnsi" w:cstheme="majorHAnsi"/>
        </w:rPr>
        <w:t xml:space="preserve">tay away from work, school or college until </w:t>
      </w:r>
      <w:r w:rsidR="009E14F8" w:rsidRPr="00F65131">
        <w:rPr>
          <w:rFonts w:asciiTheme="majorHAnsi" w:hAnsiTheme="majorHAnsi" w:cstheme="majorHAnsi"/>
        </w:rPr>
        <w:t>the</w:t>
      </w:r>
      <w:r w:rsidR="006A442D" w:rsidRPr="00F65131">
        <w:rPr>
          <w:rFonts w:asciiTheme="majorHAnsi" w:hAnsiTheme="majorHAnsi" w:cstheme="majorHAnsi"/>
        </w:rPr>
        <w:t xml:space="preserve"> TB treatment team advises </w:t>
      </w:r>
      <w:r w:rsidR="009E14F8" w:rsidRPr="00F65131">
        <w:rPr>
          <w:rFonts w:asciiTheme="majorHAnsi" w:hAnsiTheme="majorHAnsi" w:cstheme="majorHAnsi"/>
        </w:rPr>
        <w:t>th</w:t>
      </w:r>
      <w:r w:rsidR="00214A15" w:rsidRPr="00F65131">
        <w:rPr>
          <w:rFonts w:asciiTheme="majorHAnsi" w:hAnsiTheme="majorHAnsi" w:cstheme="majorHAnsi"/>
        </w:rPr>
        <w:t>at</w:t>
      </w:r>
      <w:r w:rsidR="006A442D" w:rsidRPr="00F65131">
        <w:rPr>
          <w:rFonts w:asciiTheme="majorHAnsi" w:hAnsiTheme="majorHAnsi" w:cstheme="majorHAnsi"/>
        </w:rPr>
        <w:t xml:space="preserve"> it</w:t>
      </w:r>
      <w:r w:rsidR="00214A15" w:rsidRPr="00F65131">
        <w:rPr>
          <w:rFonts w:asciiTheme="majorHAnsi" w:hAnsiTheme="majorHAnsi" w:cstheme="majorHAnsi"/>
        </w:rPr>
        <w:t xml:space="preserve"> is</w:t>
      </w:r>
      <w:r w:rsidR="006A442D" w:rsidRPr="00F65131">
        <w:rPr>
          <w:rFonts w:asciiTheme="majorHAnsi" w:hAnsiTheme="majorHAnsi" w:cstheme="majorHAnsi"/>
        </w:rPr>
        <w:t xml:space="preserve"> safe to return</w:t>
      </w:r>
      <w:r w:rsidR="0023051D" w:rsidRPr="00F65131">
        <w:rPr>
          <w:rFonts w:asciiTheme="majorHAnsi" w:hAnsiTheme="majorHAnsi" w:cstheme="majorHAnsi"/>
        </w:rPr>
        <w:t xml:space="preserve">, </w:t>
      </w:r>
      <w:r w:rsidR="006A442D" w:rsidRPr="00F65131">
        <w:rPr>
          <w:rFonts w:asciiTheme="majorHAnsi" w:hAnsiTheme="majorHAnsi" w:cstheme="majorHAnsi"/>
        </w:rPr>
        <w:t xml:space="preserve">always cover </w:t>
      </w:r>
      <w:r w:rsidR="009E14F8" w:rsidRPr="00F65131">
        <w:rPr>
          <w:rFonts w:asciiTheme="majorHAnsi" w:hAnsiTheme="majorHAnsi" w:cstheme="majorHAnsi"/>
        </w:rPr>
        <w:t>the</w:t>
      </w:r>
      <w:r w:rsidR="006A442D" w:rsidRPr="00F65131">
        <w:rPr>
          <w:rFonts w:asciiTheme="majorHAnsi" w:hAnsiTheme="majorHAnsi" w:cstheme="majorHAnsi"/>
        </w:rPr>
        <w:t xml:space="preserve"> mouth when coughing, sneezing</w:t>
      </w:r>
      <w:r w:rsidR="008148A5" w:rsidRPr="00F65131">
        <w:rPr>
          <w:rFonts w:asciiTheme="majorHAnsi" w:hAnsiTheme="majorHAnsi" w:cstheme="majorHAnsi"/>
        </w:rPr>
        <w:t>,</w:t>
      </w:r>
      <w:r w:rsidR="006A442D" w:rsidRPr="00F65131">
        <w:rPr>
          <w:rFonts w:asciiTheme="majorHAnsi" w:hAnsiTheme="majorHAnsi" w:cstheme="majorHAnsi"/>
        </w:rPr>
        <w:t xml:space="preserve"> or laughing</w:t>
      </w:r>
      <w:r w:rsidR="00F73FC2" w:rsidRPr="00F65131">
        <w:rPr>
          <w:rFonts w:asciiTheme="majorHAnsi" w:hAnsiTheme="majorHAnsi" w:cstheme="majorHAnsi"/>
        </w:rPr>
        <w:t xml:space="preserve">, </w:t>
      </w:r>
      <w:r w:rsidR="006A442D" w:rsidRPr="00F65131">
        <w:rPr>
          <w:rFonts w:asciiTheme="majorHAnsi" w:hAnsiTheme="majorHAnsi" w:cstheme="majorHAnsi"/>
        </w:rPr>
        <w:t>carefully dispose of any used tissues in a sealed plastic bag</w:t>
      </w:r>
      <w:r w:rsidR="00F73FC2" w:rsidRPr="00F65131">
        <w:rPr>
          <w:rFonts w:asciiTheme="majorHAnsi" w:hAnsiTheme="majorHAnsi" w:cstheme="majorHAnsi"/>
        </w:rPr>
        <w:t xml:space="preserve">, </w:t>
      </w:r>
      <w:r w:rsidR="006A442D" w:rsidRPr="00F65131">
        <w:rPr>
          <w:rFonts w:asciiTheme="majorHAnsi" w:hAnsiTheme="majorHAnsi" w:cstheme="majorHAnsi"/>
        </w:rPr>
        <w:t xml:space="preserve">open </w:t>
      </w:r>
      <w:r w:rsidR="003C24AE" w:rsidRPr="00F65131">
        <w:rPr>
          <w:rFonts w:asciiTheme="majorHAnsi" w:hAnsiTheme="majorHAnsi" w:cstheme="majorHAnsi"/>
        </w:rPr>
        <w:t>windows,</w:t>
      </w:r>
      <w:r w:rsidR="006A442D" w:rsidRPr="00F65131">
        <w:rPr>
          <w:rFonts w:asciiTheme="majorHAnsi" w:hAnsiTheme="majorHAnsi" w:cstheme="majorHAnsi"/>
        </w:rPr>
        <w:t xml:space="preserve"> when </w:t>
      </w:r>
      <w:r w:rsidR="0071799A" w:rsidRPr="00F65131">
        <w:rPr>
          <w:rFonts w:asciiTheme="majorHAnsi" w:hAnsiTheme="majorHAnsi" w:cstheme="majorHAnsi"/>
        </w:rPr>
        <w:t>possible,</w:t>
      </w:r>
      <w:r w:rsidR="006A442D" w:rsidRPr="00F65131">
        <w:rPr>
          <w:rFonts w:asciiTheme="majorHAnsi" w:hAnsiTheme="majorHAnsi" w:cstheme="majorHAnsi"/>
        </w:rPr>
        <w:t xml:space="preserve"> to ensure a good supply of fresh air in the areas where </w:t>
      </w:r>
      <w:r w:rsidR="009E14F8" w:rsidRPr="00F65131">
        <w:rPr>
          <w:rFonts w:asciiTheme="majorHAnsi" w:hAnsiTheme="majorHAnsi" w:cstheme="majorHAnsi"/>
        </w:rPr>
        <w:t>the</w:t>
      </w:r>
      <w:r w:rsidR="008148A5" w:rsidRPr="00F65131">
        <w:rPr>
          <w:rFonts w:asciiTheme="majorHAnsi" w:hAnsiTheme="majorHAnsi" w:cstheme="majorHAnsi"/>
        </w:rPr>
        <w:t xml:space="preserve"> infected</w:t>
      </w:r>
      <w:r w:rsidR="009E14F8" w:rsidRPr="00F65131">
        <w:rPr>
          <w:rFonts w:asciiTheme="majorHAnsi" w:hAnsiTheme="majorHAnsi" w:cstheme="majorHAnsi"/>
        </w:rPr>
        <w:t xml:space="preserve"> person</w:t>
      </w:r>
      <w:r w:rsidR="006A442D" w:rsidRPr="00F65131">
        <w:rPr>
          <w:rFonts w:asciiTheme="majorHAnsi" w:hAnsiTheme="majorHAnsi" w:cstheme="majorHAnsi"/>
        </w:rPr>
        <w:t xml:space="preserve"> spend</w:t>
      </w:r>
      <w:r w:rsidR="000A53F1" w:rsidRPr="00F65131">
        <w:rPr>
          <w:rFonts w:asciiTheme="majorHAnsi" w:hAnsiTheme="majorHAnsi" w:cstheme="majorHAnsi"/>
        </w:rPr>
        <w:t>s</w:t>
      </w:r>
      <w:r w:rsidR="006A442D" w:rsidRPr="00F65131">
        <w:rPr>
          <w:rFonts w:asciiTheme="majorHAnsi" w:hAnsiTheme="majorHAnsi" w:cstheme="majorHAnsi"/>
        </w:rPr>
        <w:t xml:space="preserve"> time</w:t>
      </w:r>
      <w:r w:rsidR="00A2138F" w:rsidRPr="00F65131">
        <w:rPr>
          <w:rFonts w:asciiTheme="majorHAnsi" w:hAnsiTheme="majorHAnsi" w:cstheme="majorHAnsi"/>
        </w:rPr>
        <w:t xml:space="preserve">, </w:t>
      </w:r>
      <w:r w:rsidR="006A442D" w:rsidRPr="00F65131">
        <w:rPr>
          <w:rFonts w:asciiTheme="majorHAnsi" w:hAnsiTheme="majorHAnsi" w:cstheme="majorHAnsi"/>
        </w:rPr>
        <w:t>avoid sleeping in the same room as other people</w:t>
      </w:r>
      <w:r w:rsidR="00A2138F" w:rsidRPr="00F65131">
        <w:rPr>
          <w:rFonts w:asciiTheme="majorHAnsi" w:hAnsiTheme="majorHAnsi" w:cstheme="majorHAnsi"/>
        </w:rPr>
        <w:t xml:space="preserve">, </w:t>
      </w:r>
      <w:r w:rsidR="006A442D" w:rsidRPr="00F65131">
        <w:rPr>
          <w:rFonts w:asciiTheme="majorHAnsi" w:hAnsiTheme="majorHAnsi" w:cstheme="majorHAnsi"/>
        </w:rPr>
        <w:t xml:space="preserve">If </w:t>
      </w:r>
      <w:r w:rsidR="009E14F8" w:rsidRPr="00F65131">
        <w:rPr>
          <w:rFonts w:asciiTheme="majorHAnsi" w:hAnsiTheme="majorHAnsi" w:cstheme="majorHAnsi"/>
        </w:rPr>
        <w:t xml:space="preserve">the </w:t>
      </w:r>
      <w:r w:rsidR="0071799A" w:rsidRPr="00F65131">
        <w:rPr>
          <w:rFonts w:asciiTheme="majorHAnsi" w:hAnsiTheme="majorHAnsi" w:cstheme="majorHAnsi"/>
        </w:rPr>
        <w:t>infected person is in</w:t>
      </w:r>
      <w:r w:rsidR="006A442D" w:rsidRPr="00F65131">
        <w:rPr>
          <w:rFonts w:asciiTheme="majorHAnsi" w:hAnsiTheme="majorHAnsi" w:cstheme="majorHAnsi"/>
        </w:rPr>
        <w:t xml:space="preserve"> close </w:t>
      </w:r>
      <w:r w:rsidR="003C24AE" w:rsidRPr="00F65131">
        <w:rPr>
          <w:rFonts w:asciiTheme="majorHAnsi" w:hAnsiTheme="majorHAnsi" w:cstheme="majorHAnsi"/>
        </w:rPr>
        <w:t>contact with</w:t>
      </w:r>
      <w:r w:rsidR="0071799A" w:rsidRPr="00F65131">
        <w:rPr>
          <w:rFonts w:asciiTheme="majorHAnsi" w:hAnsiTheme="majorHAnsi" w:cstheme="majorHAnsi"/>
        </w:rPr>
        <w:t xml:space="preserve"> others a </w:t>
      </w:r>
      <w:r w:rsidR="006A442D" w:rsidRPr="00F65131">
        <w:rPr>
          <w:rFonts w:asciiTheme="majorHAnsi" w:hAnsiTheme="majorHAnsi" w:cstheme="majorHAnsi"/>
        </w:rPr>
        <w:t>TB</w:t>
      </w:r>
      <w:r w:rsidR="0071799A" w:rsidRPr="00F65131">
        <w:rPr>
          <w:rFonts w:asciiTheme="majorHAnsi" w:hAnsiTheme="majorHAnsi" w:cstheme="majorHAnsi"/>
        </w:rPr>
        <w:t xml:space="preserve"> </w:t>
      </w:r>
      <w:r w:rsidR="006A442D" w:rsidRPr="00F65131">
        <w:rPr>
          <w:rFonts w:asciiTheme="majorHAnsi" w:hAnsiTheme="majorHAnsi" w:cstheme="majorHAnsi"/>
        </w:rPr>
        <w:t xml:space="preserve">tests </w:t>
      </w:r>
      <w:r w:rsidR="0071799A" w:rsidRPr="00F65131">
        <w:rPr>
          <w:rFonts w:asciiTheme="majorHAnsi" w:hAnsiTheme="majorHAnsi" w:cstheme="majorHAnsi"/>
        </w:rPr>
        <w:t xml:space="preserve">to be </w:t>
      </w:r>
      <w:r w:rsidR="006A442D" w:rsidRPr="00F65131">
        <w:rPr>
          <w:rFonts w:asciiTheme="majorHAnsi" w:hAnsiTheme="majorHAnsi" w:cstheme="majorHAnsi"/>
        </w:rPr>
        <w:t>to see whether</w:t>
      </w:r>
      <w:r w:rsidR="0071799A" w:rsidRPr="00F65131">
        <w:rPr>
          <w:rFonts w:asciiTheme="majorHAnsi" w:hAnsiTheme="majorHAnsi" w:cstheme="majorHAnsi"/>
        </w:rPr>
        <w:t xml:space="preserve"> others are</w:t>
      </w:r>
      <w:r w:rsidR="006A442D" w:rsidRPr="00F65131">
        <w:rPr>
          <w:rFonts w:asciiTheme="majorHAnsi" w:hAnsiTheme="majorHAnsi" w:cstheme="majorHAnsi"/>
        </w:rPr>
        <w:t xml:space="preserve"> also infected. These can include a chest </w:t>
      </w:r>
      <w:hyperlink r:id="rId10" w:history="1">
        <w:r w:rsidR="006A442D" w:rsidRPr="00F65131">
          <w:rPr>
            <w:rFonts w:asciiTheme="majorHAnsi" w:hAnsiTheme="majorHAnsi" w:cstheme="majorHAnsi"/>
            <w:u w:val="single"/>
          </w:rPr>
          <w:t>X-ray</w:t>
        </w:r>
      </w:hyperlink>
      <w:r w:rsidR="006A442D" w:rsidRPr="00F65131">
        <w:rPr>
          <w:rFonts w:asciiTheme="majorHAnsi" w:hAnsiTheme="majorHAnsi" w:cstheme="majorHAnsi"/>
        </w:rPr>
        <w:t>, </w:t>
      </w:r>
      <w:hyperlink r:id="rId11" w:history="1">
        <w:r w:rsidR="006A442D" w:rsidRPr="00F65131">
          <w:rPr>
            <w:rFonts w:asciiTheme="majorHAnsi" w:hAnsiTheme="majorHAnsi" w:cstheme="majorHAnsi"/>
            <w:u w:val="single"/>
          </w:rPr>
          <w:t>blood tests</w:t>
        </w:r>
      </w:hyperlink>
      <w:r w:rsidR="006A442D" w:rsidRPr="00F65131">
        <w:rPr>
          <w:rFonts w:asciiTheme="majorHAnsi" w:hAnsiTheme="majorHAnsi" w:cstheme="majorHAnsi"/>
        </w:rPr>
        <w:t xml:space="preserve">, </w:t>
      </w:r>
    </w:p>
    <w:p w14:paraId="5F95750B" w14:textId="72F5FDF7" w:rsidR="00E65F8E" w:rsidRPr="00F65131" w:rsidRDefault="00EF323F" w:rsidP="00646D83">
      <w:pPr>
        <w:spacing w:before="100" w:beforeAutospacing="1" w:after="120" w:line="360" w:lineRule="auto"/>
        <w:rPr>
          <w:rFonts w:asciiTheme="majorHAnsi" w:eastAsia="Times New Roman" w:hAnsiTheme="majorHAnsi" w:cstheme="majorHAnsi"/>
        </w:rPr>
      </w:pPr>
      <w:r w:rsidRPr="00F65131">
        <w:rPr>
          <w:rFonts w:asciiTheme="majorHAnsi" w:eastAsia="Times New Roman" w:hAnsiTheme="majorHAnsi" w:cstheme="majorHAnsi"/>
        </w:rPr>
        <w:t xml:space="preserve">According to </w:t>
      </w:r>
      <w:r w:rsidR="002F1C01" w:rsidRPr="00F65131">
        <w:rPr>
          <w:rFonts w:asciiTheme="majorHAnsi" w:eastAsia="Times New Roman" w:hAnsiTheme="majorHAnsi" w:cstheme="majorHAnsi"/>
        </w:rPr>
        <w:t xml:space="preserve">(Beggs.2003) </w:t>
      </w:r>
      <w:r w:rsidR="00987CED" w:rsidRPr="00F65131">
        <w:rPr>
          <w:rFonts w:asciiTheme="majorHAnsi" w:eastAsia="Times New Roman" w:hAnsiTheme="majorHAnsi" w:cstheme="majorHAnsi"/>
        </w:rPr>
        <w:t>Wear mask, if a family member, is known to infected at home; keep separate utensils and room if possible; keep the most vulnerable kids or aged persons away from the infected person</w:t>
      </w:r>
      <w:r w:rsidR="008B4D38" w:rsidRPr="00F65131">
        <w:rPr>
          <w:rFonts w:asciiTheme="majorHAnsi" w:hAnsiTheme="majorHAnsi" w:cstheme="majorHAnsi"/>
        </w:rPr>
        <w:t xml:space="preserve"> </w:t>
      </w:r>
      <w:r w:rsidR="00987CED" w:rsidRPr="00F65131">
        <w:rPr>
          <w:rFonts w:asciiTheme="majorHAnsi" w:eastAsia="Times New Roman" w:hAnsiTheme="majorHAnsi" w:cstheme="majorHAnsi"/>
        </w:rPr>
        <w:t>Avoid large gatherings</w:t>
      </w:r>
      <w:r w:rsidR="008B4D38" w:rsidRPr="00F65131">
        <w:rPr>
          <w:rFonts w:asciiTheme="majorHAnsi" w:hAnsiTheme="majorHAnsi" w:cstheme="majorHAnsi"/>
        </w:rPr>
        <w:t xml:space="preserve">, </w:t>
      </w:r>
      <w:r w:rsidRPr="00F65131">
        <w:rPr>
          <w:rFonts w:asciiTheme="majorHAnsi" w:eastAsia="Times New Roman" w:hAnsiTheme="majorHAnsi" w:cstheme="majorHAnsi"/>
        </w:rPr>
        <w:t>wash</w:t>
      </w:r>
      <w:r w:rsidR="00987CED" w:rsidRPr="00F65131">
        <w:rPr>
          <w:rFonts w:asciiTheme="majorHAnsi" w:eastAsia="Times New Roman" w:hAnsiTheme="majorHAnsi" w:cstheme="majorHAnsi"/>
        </w:rPr>
        <w:t xml:space="preserve"> hands or sanitize regularly when outside the house</w:t>
      </w:r>
      <w:r w:rsidR="008B4D38" w:rsidRPr="00F65131">
        <w:rPr>
          <w:rFonts w:asciiTheme="majorHAnsi" w:hAnsiTheme="majorHAnsi" w:cstheme="majorHAnsi"/>
        </w:rPr>
        <w:t xml:space="preserve">, </w:t>
      </w:r>
      <w:proofErr w:type="gramStart"/>
      <w:r w:rsidR="00987CED" w:rsidRPr="00F65131">
        <w:rPr>
          <w:rFonts w:asciiTheme="majorHAnsi" w:eastAsia="Times New Roman" w:hAnsiTheme="majorHAnsi" w:cstheme="majorHAnsi"/>
        </w:rPr>
        <w:t>Avoid</w:t>
      </w:r>
      <w:proofErr w:type="gramEnd"/>
      <w:r w:rsidR="00987CED" w:rsidRPr="00F65131">
        <w:rPr>
          <w:rFonts w:asciiTheme="majorHAnsi" w:eastAsia="Times New Roman" w:hAnsiTheme="majorHAnsi" w:cstheme="majorHAnsi"/>
        </w:rPr>
        <w:t xml:space="preserve"> wearing wet or half wet clothes</w:t>
      </w:r>
      <w:r w:rsidR="00D317B6" w:rsidRPr="00F65131">
        <w:rPr>
          <w:rFonts w:asciiTheme="majorHAnsi" w:hAnsiTheme="majorHAnsi" w:cstheme="majorHAnsi"/>
        </w:rPr>
        <w:t>.</w:t>
      </w:r>
    </w:p>
    <w:p w14:paraId="5C243EA3" w14:textId="77777777" w:rsidR="00D317B6" w:rsidRPr="00F65131" w:rsidRDefault="00D317B6" w:rsidP="0021777E">
      <w:pPr>
        <w:rPr>
          <w:rFonts w:asciiTheme="majorHAnsi" w:hAnsiTheme="majorHAnsi" w:cstheme="majorHAnsi"/>
          <w:b/>
          <w:bCs/>
          <w:u w:val="single"/>
        </w:rPr>
      </w:pPr>
    </w:p>
    <w:p w14:paraId="5E1ECF95" w14:textId="77777777" w:rsidR="00D317B6" w:rsidRPr="00F65131" w:rsidRDefault="00D317B6" w:rsidP="0021777E">
      <w:pPr>
        <w:rPr>
          <w:rFonts w:asciiTheme="majorHAnsi" w:hAnsiTheme="majorHAnsi" w:cstheme="majorHAnsi"/>
          <w:b/>
          <w:bCs/>
          <w:u w:val="single"/>
        </w:rPr>
      </w:pPr>
    </w:p>
    <w:p w14:paraId="7DBC0C4F" w14:textId="7583D8BD" w:rsidR="0021777E" w:rsidRPr="00F65131" w:rsidRDefault="0021777E" w:rsidP="0021777E">
      <w:pPr>
        <w:rPr>
          <w:rFonts w:asciiTheme="majorHAnsi" w:hAnsiTheme="majorHAnsi" w:cstheme="majorHAnsi"/>
          <w:b/>
          <w:bCs/>
          <w:u w:val="single"/>
        </w:rPr>
      </w:pPr>
      <w:r w:rsidRPr="00F65131">
        <w:rPr>
          <w:rFonts w:asciiTheme="majorHAnsi" w:hAnsiTheme="majorHAnsi" w:cstheme="majorHAnsi"/>
          <w:b/>
          <w:bCs/>
          <w:u w:val="single"/>
        </w:rPr>
        <w:t>Control</w:t>
      </w:r>
    </w:p>
    <w:p w14:paraId="644F3BE9" w14:textId="66FB97D2" w:rsidR="00A94708" w:rsidRPr="00033B14" w:rsidRDefault="0021777E" w:rsidP="005413E3">
      <w:pPr>
        <w:spacing w:line="360" w:lineRule="auto"/>
        <w:rPr>
          <w:rFonts w:ascii="Arial" w:hAnsi="Arial" w:cs="Arial"/>
        </w:rPr>
      </w:pPr>
      <w:r w:rsidRPr="00033B14">
        <w:rPr>
          <w:rFonts w:ascii="Arial" w:hAnsi="Arial" w:cs="Arial"/>
        </w:rPr>
        <w:lastRenderedPageBreak/>
        <w:t>There are several types of surveillances</w:t>
      </w:r>
      <w:r w:rsidR="00583E5E" w:rsidRPr="00033B14">
        <w:rPr>
          <w:rFonts w:ascii="Arial" w:hAnsi="Arial" w:cs="Arial"/>
        </w:rPr>
        <w:t xml:space="preserve"> like </w:t>
      </w:r>
      <w:r w:rsidRPr="00033B14">
        <w:rPr>
          <w:rFonts w:ascii="Arial" w:hAnsi="Arial" w:cs="Arial"/>
        </w:rPr>
        <w:t xml:space="preserve">active surveillance it </w:t>
      </w:r>
      <w:proofErr w:type="gramStart"/>
      <w:r w:rsidR="00E914B2" w:rsidRPr="00033B14">
        <w:rPr>
          <w:rFonts w:ascii="Arial" w:hAnsi="Arial" w:cs="Arial"/>
        </w:rPr>
        <w:t>sort</w:t>
      </w:r>
      <w:proofErr w:type="gramEnd"/>
      <w:r w:rsidRPr="00033B14">
        <w:rPr>
          <w:rFonts w:ascii="Arial" w:hAnsi="Arial" w:cs="Arial"/>
        </w:rPr>
        <w:t xml:space="preserve"> out outbreaks</w:t>
      </w:r>
      <w:r w:rsidR="00790DCF" w:rsidRPr="00033B14">
        <w:rPr>
          <w:rFonts w:ascii="Arial" w:hAnsi="Arial" w:cs="Arial"/>
        </w:rPr>
        <w:t>,</w:t>
      </w:r>
      <w:r w:rsidR="005B476F" w:rsidRPr="00033B14">
        <w:rPr>
          <w:rFonts w:ascii="Arial" w:hAnsi="Arial" w:cs="Arial"/>
        </w:rPr>
        <w:t xml:space="preserve"> </w:t>
      </w:r>
      <w:r w:rsidR="00E914B2" w:rsidRPr="00033B14">
        <w:rPr>
          <w:rFonts w:ascii="Arial" w:hAnsi="Arial" w:cs="Arial"/>
        </w:rPr>
        <w:t>a</w:t>
      </w:r>
      <w:r w:rsidRPr="00033B14">
        <w:rPr>
          <w:rFonts w:ascii="Arial" w:hAnsi="Arial" w:cs="Arial"/>
        </w:rPr>
        <w:t>ctive case findings</w:t>
      </w:r>
      <w:r w:rsidR="005B476F" w:rsidRPr="00033B14">
        <w:rPr>
          <w:rFonts w:ascii="Arial" w:hAnsi="Arial" w:cs="Arial"/>
        </w:rPr>
        <w:t xml:space="preserve">, </w:t>
      </w:r>
      <w:r w:rsidR="00E914B2" w:rsidRPr="00033B14">
        <w:rPr>
          <w:rFonts w:ascii="Arial" w:hAnsi="Arial" w:cs="Arial"/>
        </w:rPr>
        <w:t>h</w:t>
      </w:r>
      <w:r w:rsidRPr="00033B14">
        <w:rPr>
          <w:rFonts w:ascii="Arial" w:hAnsi="Arial" w:cs="Arial"/>
        </w:rPr>
        <w:t>ealth centres</w:t>
      </w:r>
      <w:r w:rsidR="005B476F" w:rsidRPr="00033B14">
        <w:rPr>
          <w:rFonts w:ascii="Arial" w:hAnsi="Arial" w:cs="Arial"/>
        </w:rPr>
        <w:t xml:space="preserve">, </w:t>
      </w:r>
      <w:r w:rsidR="00E914B2" w:rsidRPr="00033B14">
        <w:rPr>
          <w:rFonts w:ascii="Arial" w:hAnsi="Arial" w:cs="Arial"/>
        </w:rPr>
        <w:t>t</w:t>
      </w:r>
      <w:r w:rsidRPr="00033B14">
        <w:rPr>
          <w:rFonts w:ascii="Arial" w:hAnsi="Arial" w:cs="Arial"/>
        </w:rPr>
        <w:t>esting blood</w:t>
      </w:r>
      <w:r w:rsidR="005B476F" w:rsidRPr="00033B14">
        <w:rPr>
          <w:rFonts w:ascii="Arial" w:hAnsi="Arial" w:cs="Arial"/>
        </w:rPr>
        <w:t xml:space="preserve">, </w:t>
      </w:r>
      <w:r w:rsidR="00E914B2" w:rsidRPr="00033B14">
        <w:rPr>
          <w:rFonts w:ascii="Arial" w:hAnsi="Arial" w:cs="Arial"/>
        </w:rPr>
        <w:t>c</w:t>
      </w:r>
      <w:r w:rsidRPr="00033B14">
        <w:rPr>
          <w:rFonts w:ascii="Arial" w:hAnsi="Arial" w:cs="Arial"/>
        </w:rPr>
        <w:t>hecking for antibodies</w:t>
      </w:r>
      <w:r w:rsidR="005B476F" w:rsidRPr="00033B14">
        <w:rPr>
          <w:rFonts w:ascii="Arial" w:hAnsi="Arial" w:cs="Arial"/>
        </w:rPr>
        <w:t>,</w:t>
      </w:r>
      <w:r w:rsidR="00C30880" w:rsidRPr="00033B14">
        <w:rPr>
          <w:rFonts w:ascii="Arial" w:hAnsi="Arial" w:cs="Arial"/>
        </w:rPr>
        <w:t xml:space="preserve"> </w:t>
      </w:r>
      <w:r w:rsidR="00E914B2" w:rsidRPr="00033B14">
        <w:rPr>
          <w:rFonts w:ascii="Arial" w:hAnsi="Arial" w:cs="Arial"/>
        </w:rPr>
        <w:t>h</w:t>
      </w:r>
      <w:r w:rsidRPr="00033B14">
        <w:rPr>
          <w:rFonts w:ascii="Arial" w:hAnsi="Arial" w:cs="Arial"/>
        </w:rPr>
        <w:t>ealth surveys which can be global.</w:t>
      </w:r>
      <w:r w:rsidR="00C30880" w:rsidRPr="00033B14">
        <w:rPr>
          <w:rFonts w:ascii="Arial" w:hAnsi="Arial" w:cs="Arial"/>
        </w:rPr>
        <w:t xml:space="preserve"> </w:t>
      </w:r>
      <w:r w:rsidR="00E914B2" w:rsidRPr="00033B14">
        <w:rPr>
          <w:rFonts w:ascii="Arial" w:hAnsi="Arial" w:cs="Arial"/>
        </w:rPr>
        <w:t>v</w:t>
      </w:r>
      <w:r w:rsidRPr="00033B14">
        <w:rPr>
          <w:rFonts w:ascii="Arial" w:hAnsi="Arial" w:cs="Arial"/>
        </w:rPr>
        <w:t>accine in this case BCG (</w:t>
      </w:r>
      <w:proofErr w:type="spellStart"/>
      <w:r w:rsidRPr="00033B14">
        <w:rPr>
          <w:rFonts w:ascii="Arial" w:hAnsi="Arial" w:cs="Arial"/>
          <w:shd w:val="clear" w:color="auto" w:fill="FFFFFF"/>
        </w:rPr>
        <w:t>Bacille</w:t>
      </w:r>
      <w:proofErr w:type="spellEnd"/>
      <w:r w:rsidRPr="00033B14">
        <w:rPr>
          <w:rFonts w:ascii="Arial" w:hAnsi="Arial" w:cs="Arial"/>
          <w:shd w:val="clear" w:color="auto" w:fill="FFFFFF"/>
        </w:rPr>
        <w:t xml:space="preserve"> Calmette–Guerin</w:t>
      </w:r>
      <w:r w:rsidRPr="00033B14">
        <w:rPr>
          <w:rFonts w:ascii="Arial" w:hAnsi="Arial" w:cs="Arial"/>
        </w:rPr>
        <w:t>)</w:t>
      </w:r>
      <w:r w:rsidR="002F1C01" w:rsidRPr="00033B14">
        <w:rPr>
          <w:rFonts w:ascii="Arial" w:hAnsi="Arial" w:cs="Arial"/>
        </w:rPr>
        <w:t xml:space="preserve"> (</w:t>
      </w:r>
      <w:proofErr w:type="spellStart"/>
      <w:proofErr w:type="gramStart"/>
      <w:r w:rsidR="002F1C01" w:rsidRPr="00033B14">
        <w:rPr>
          <w:rFonts w:ascii="Arial" w:hAnsi="Arial" w:cs="Arial"/>
        </w:rPr>
        <w:t>Mangtani</w:t>
      </w:r>
      <w:proofErr w:type="spellEnd"/>
      <w:r w:rsidR="002F1C01" w:rsidRPr="00033B14">
        <w:rPr>
          <w:rFonts w:ascii="Arial" w:hAnsi="Arial" w:cs="Arial"/>
        </w:rPr>
        <w:t xml:space="preserve"> .</w:t>
      </w:r>
      <w:proofErr w:type="gramEnd"/>
      <w:r w:rsidR="002F1C01" w:rsidRPr="00033B14">
        <w:rPr>
          <w:rFonts w:ascii="Arial" w:hAnsi="Arial" w:cs="Arial"/>
        </w:rPr>
        <w:t xml:space="preserve">et.al.2017) </w:t>
      </w:r>
      <w:r w:rsidRPr="00033B14">
        <w:rPr>
          <w:rFonts w:ascii="Arial" w:hAnsi="Arial" w:cs="Arial"/>
        </w:rPr>
        <w:t xml:space="preserve">Active surveillance requires intensive resources, it is better quality data. </w:t>
      </w:r>
      <w:r w:rsidR="00F739C3" w:rsidRPr="00033B14">
        <w:rPr>
          <w:rFonts w:ascii="Arial" w:hAnsi="Arial" w:cs="Arial"/>
        </w:rPr>
        <w:t xml:space="preserve">The infected </w:t>
      </w:r>
      <w:r w:rsidR="00583E5E" w:rsidRPr="00033B14">
        <w:rPr>
          <w:rFonts w:ascii="Arial" w:hAnsi="Arial" w:cs="Arial"/>
        </w:rPr>
        <w:t xml:space="preserve">person </w:t>
      </w:r>
      <w:proofErr w:type="gramStart"/>
      <w:r w:rsidR="00583E5E" w:rsidRPr="00033B14">
        <w:rPr>
          <w:rFonts w:ascii="Arial" w:hAnsi="Arial" w:cs="Arial"/>
        </w:rPr>
        <w:t>require</w:t>
      </w:r>
      <w:proofErr w:type="gramEnd"/>
      <w:r w:rsidRPr="00033B14">
        <w:rPr>
          <w:rFonts w:ascii="Arial" w:hAnsi="Arial" w:cs="Arial"/>
        </w:rPr>
        <w:t xml:space="preserve"> blood test to find out what is </w:t>
      </w:r>
      <w:r w:rsidR="0037706F" w:rsidRPr="00033B14">
        <w:rPr>
          <w:rFonts w:ascii="Arial" w:hAnsi="Arial" w:cs="Arial"/>
        </w:rPr>
        <w:t>wrong, a</w:t>
      </w:r>
      <w:r w:rsidRPr="00033B14">
        <w:rPr>
          <w:rFonts w:ascii="Arial" w:hAnsi="Arial" w:cs="Arial"/>
        </w:rPr>
        <w:t xml:space="preserve"> chest x-ray to rule out if </w:t>
      </w:r>
      <w:r w:rsidR="002A3133" w:rsidRPr="00033B14">
        <w:rPr>
          <w:rFonts w:ascii="Arial" w:hAnsi="Arial" w:cs="Arial"/>
        </w:rPr>
        <w:t>the person</w:t>
      </w:r>
      <w:r w:rsidRPr="00033B14">
        <w:rPr>
          <w:rFonts w:ascii="Arial" w:hAnsi="Arial" w:cs="Arial"/>
        </w:rPr>
        <w:t xml:space="preserve"> has pulmonary TB. </w:t>
      </w:r>
      <w:r w:rsidR="00FB206F" w:rsidRPr="00033B14">
        <w:rPr>
          <w:rFonts w:ascii="Arial" w:hAnsi="Arial" w:cs="Arial"/>
        </w:rPr>
        <w:t xml:space="preserve">A </w:t>
      </w:r>
      <w:proofErr w:type="gramStart"/>
      <w:r w:rsidRPr="00033B14">
        <w:rPr>
          <w:rFonts w:ascii="Arial" w:hAnsi="Arial" w:cs="Arial"/>
        </w:rPr>
        <w:t>diagnose</w:t>
      </w:r>
      <w:r w:rsidR="00FB206F" w:rsidRPr="00033B14">
        <w:rPr>
          <w:rFonts w:ascii="Arial" w:hAnsi="Arial" w:cs="Arial"/>
        </w:rPr>
        <w:t>s</w:t>
      </w:r>
      <w:proofErr w:type="gramEnd"/>
      <w:r w:rsidRPr="00033B14">
        <w:rPr>
          <w:rFonts w:ascii="Arial" w:hAnsi="Arial" w:cs="Arial"/>
        </w:rPr>
        <w:t xml:space="preserve"> with the right TB as there is Active TB and Latent TB. According to  </w:t>
      </w:r>
      <w:hyperlink w:history="1">
        <w:r w:rsidRPr="00033B14">
          <w:rPr>
            <w:rStyle w:val="Hyperlink"/>
            <w:rFonts w:ascii="Arial" w:hAnsi="Arial" w:cs="Arial"/>
            <w:color w:val="auto"/>
          </w:rPr>
          <w:t>www.nhsinform.scot&gt;tuberculosis</w:t>
        </w:r>
      </w:hyperlink>
      <w:r w:rsidRPr="00033B14">
        <w:rPr>
          <w:rFonts w:ascii="Arial" w:hAnsi="Arial" w:cs="Arial"/>
        </w:rPr>
        <w:t>, there are two kinds of tests used to detect TB bacteria in the body: the TB skin test (TST) and TB blood tests. Other tests, such as a chest x-ray and a sample of sputum, are used to see whether the person has TB disease</w:t>
      </w:r>
      <w:r w:rsidR="000216C7" w:rsidRPr="00033B14">
        <w:rPr>
          <w:rFonts w:ascii="Arial" w:hAnsi="Arial" w:cs="Arial"/>
        </w:rPr>
        <w:t xml:space="preserve">, </w:t>
      </w:r>
      <w:proofErr w:type="gramStart"/>
      <w:r w:rsidR="000216C7" w:rsidRPr="00033B14">
        <w:rPr>
          <w:rFonts w:ascii="Arial" w:hAnsi="Arial" w:cs="Arial"/>
        </w:rPr>
        <w:t>When</w:t>
      </w:r>
      <w:proofErr w:type="gramEnd"/>
      <w:r w:rsidR="000216C7" w:rsidRPr="00033B14">
        <w:rPr>
          <w:rFonts w:ascii="Arial" w:hAnsi="Arial" w:cs="Arial"/>
        </w:rPr>
        <w:t xml:space="preserve"> a confirmation of positive results on TB it have to be notified as it is a notified disease </w:t>
      </w:r>
      <w:r w:rsidR="002F1C01" w:rsidRPr="00033B14">
        <w:rPr>
          <w:rFonts w:ascii="Arial" w:hAnsi="Arial" w:cs="Arial"/>
        </w:rPr>
        <w:t>(</w:t>
      </w:r>
      <w:proofErr w:type="spellStart"/>
      <w:r w:rsidR="002F1C01" w:rsidRPr="00033B14">
        <w:rPr>
          <w:rFonts w:ascii="Arial" w:hAnsi="Arial" w:cs="Arial"/>
        </w:rPr>
        <w:t>Spowage</w:t>
      </w:r>
      <w:proofErr w:type="spellEnd"/>
      <w:r w:rsidR="002F1C01" w:rsidRPr="00033B14">
        <w:rPr>
          <w:rFonts w:ascii="Arial" w:hAnsi="Arial" w:cs="Arial"/>
        </w:rPr>
        <w:t xml:space="preserve">, L. and Beckett, G., 2016) </w:t>
      </w:r>
      <w:r w:rsidR="003E27D1" w:rsidRPr="00033B14">
        <w:rPr>
          <w:rFonts w:ascii="Arial" w:hAnsi="Arial" w:cs="Arial"/>
        </w:rPr>
        <w:t>TB cases should be notified within 3 working days of making or suspecting the diagnosis. Notification should not be delayed if full case information. A case can be subsequently de-notified if an alternative diagnosis or contamination is confirmed if a case requires immediate public health action, the local PHE Health Protection Team should be contacted as soon as possible, and always within 24 hours.</w:t>
      </w:r>
    </w:p>
    <w:p w14:paraId="6737EF9F" w14:textId="0D4CE6A9" w:rsidR="000216C7" w:rsidRPr="00F65131" w:rsidRDefault="000216C7" w:rsidP="00E65F8E">
      <w:pPr>
        <w:spacing w:line="360" w:lineRule="auto"/>
        <w:rPr>
          <w:rFonts w:asciiTheme="majorHAnsi" w:hAnsiTheme="majorHAnsi" w:cstheme="majorHAnsi"/>
        </w:rPr>
      </w:pPr>
      <w:r w:rsidRPr="00F65131">
        <w:rPr>
          <w:rFonts w:asciiTheme="majorHAnsi" w:hAnsiTheme="majorHAnsi" w:cstheme="majorHAnsi"/>
        </w:rPr>
        <w:t xml:space="preserve">The notification of cases prompts timely risk assessment for appropriate clinical and public health responses to cases and their </w:t>
      </w:r>
      <w:r w:rsidR="008B7314" w:rsidRPr="00F65131">
        <w:rPr>
          <w:rFonts w:asciiTheme="majorHAnsi" w:hAnsiTheme="majorHAnsi" w:cstheme="majorHAnsi"/>
        </w:rPr>
        <w:t>contacts (</w:t>
      </w:r>
      <w:proofErr w:type="spellStart"/>
      <w:proofErr w:type="gramStart"/>
      <w:r w:rsidR="008B7314" w:rsidRPr="00F65131">
        <w:rPr>
          <w:rFonts w:asciiTheme="majorHAnsi" w:hAnsiTheme="majorHAnsi" w:cstheme="majorHAnsi"/>
        </w:rPr>
        <w:t>O’Kane,A.A</w:t>
      </w:r>
      <w:proofErr w:type="spellEnd"/>
      <w:r w:rsidR="008B7314" w:rsidRPr="00F65131">
        <w:rPr>
          <w:rFonts w:asciiTheme="majorHAnsi" w:hAnsiTheme="majorHAnsi" w:cstheme="majorHAnsi"/>
        </w:rPr>
        <w:t>.</w:t>
      </w:r>
      <w:proofErr w:type="gramEnd"/>
      <w:r w:rsidR="008B7314" w:rsidRPr="00F65131">
        <w:rPr>
          <w:rFonts w:asciiTheme="majorHAnsi" w:hAnsiTheme="majorHAnsi" w:cstheme="majorHAnsi"/>
        </w:rPr>
        <w:t xml:space="preserve"> and</w:t>
      </w:r>
      <w:r w:rsidR="002F1C01" w:rsidRPr="00F65131">
        <w:rPr>
          <w:rFonts w:asciiTheme="majorHAnsi" w:hAnsiTheme="majorHAnsi" w:cstheme="majorHAnsi"/>
        </w:rPr>
        <w:t xml:space="preserve"> </w:t>
      </w:r>
      <w:r w:rsidR="008B7314" w:rsidRPr="00F65131">
        <w:rPr>
          <w:rFonts w:asciiTheme="majorHAnsi" w:hAnsiTheme="majorHAnsi" w:cstheme="majorHAnsi"/>
        </w:rPr>
        <w:t>Mentis, H., 2012)</w:t>
      </w:r>
      <w:r w:rsidRPr="00F65131">
        <w:rPr>
          <w:rFonts w:asciiTheme="majorHAnsi" w:hAnsiTheme="majorHAnsi" w:cstheme="majorHAnsi"/>
        </w:rPr>
        <w:t xml:space="preserve">. The information provided through notification is used for epidemiological surveillance to control TB and to identify cases for cohort review, to notify All new TB cases that meet one of the two following case definitions Culture confirmed case due to M. TB complex (including M. TB, M. </w:t>
      </w:r>
      <w:proofErr w:type="spellStart"/>
      <w:r w:rsidRPr="00F65131">
        <w:rPr>
          <w:rFonts w:asciiTheme="majorHAnsi" w:hAnsiTheme="majorHAnsi" w:cstheme="majorHAnsi"/>
        </w:rPr>
        <w:t>bovis</w:t>
      </w:r>
      <w:proofErr w:type="spellEnd"/>
      <w:r w:rsidRPr="00F65131">
        <w:rPr>
          <w:rFonts w:asciiTheme="majorHAnsi" w:hAnsiTheme="majorHAnsi" w:cstheme="majorHAnsi"/>
        </w:rPr>
        <w:t xml:space="preserve">, M. </w:t>
      </w:r>
      <w:proofErr w:type="spellStart"/>
      <w:r w:rsidRPr="00F65131">
        <w:rPr>
          <w:rFonts w:asciiTheme="majorHAnsi" w:hAnsiTheme="majorHAnsi" w:cstheme="majorHAnsi"/>
        </w:rPr>
        <w:t>africanum</w:t>
      </w:r>
      <w:proofErr w:type="spellEnd"/>
      <w:r w:rsidRPr="00F65131">
        <w:rPr>
          <w:rFonts w:asciiTheme="majorHAnsi" w:hAnsiTheme="majorHAnsi" w:cstheme="majorHAnsi"/>
        </w:rPr>
        <w:t xml:space="preserve"> or </w:t>
      </w:r>
      <w:proofErr w:type="spellStart"/>
      <w:proofErr w:type="gramStart"/>
      <w:r w:rsidRPr="00F65131">
        <w:rPr>
          <w:rFonts w:asciiTheme="majorHAnsi" w:hAnsiTheme="majorHAnsi" w:cstheme="majorHAnsi"/>
        </w:rPr>
        <w:t>M.microti</w:t>
      </w:r>
      <w:proofErr w:type="spellEnd"/>
      <w:proofErr w:type="gramEnd"/>
      <w:r w:rsidRPr="00F65131">
        <w:rPr>
          <w:rFonts w:asciiTheme="majorHAnsi" w:hAnsiTheme="majorHAnsi" w:cstheme="majorHAnsi"/>
        </w:rPr>
        <w:t>). In the absence of culture confirmation, a case that meets the following criteria, A clinician’s judgement that the patient’s clinical and/or radiological signs and/or symptoms are compatible with TB, and A clinician’s decision to treat the patient with a full course of anti-TB therapy. The requirement to notify applies if there is reasonable ground for suspecting that a patient has died with, but not necessarily from, active TB (including post mortem diagnoses) Notification requirement applies also to UK residents who are diagnosed abroad but continue with their anti-TB therapy in the UK and to non-UK residents diagnosed in the UK, even if anti-TB therapy is not initiated in the UK (WHO.2022)</w:t>
      </w:r>
      <w:r w:rsidR="00E914B2" w:rsidRPr="00F65131">
        <w:rPr>
          <w:rFonts w:asciiTheme="majorHAnsi" w:hAnsiTheme="majorHAnsi" w:cstheme="majorHAnsi"/>
        </w:rPr>
        <w:t>.</w:t>
      </w:r>
    </w:p>
    <w:p w14:paraId="3B49929A" w14:textId="0C70C8F1" w:rsidR="00987CED" w:rsidRPr="00F65131" w:rsidRDefault="00E65F8E" w:rsidP="00E65F8E">
      <w:pPr>
        <w:spacing w:before="100" w:beforeAutospacing="1" w:after="120" w:line="360" w:lineRule="auto"/>
        <w:rPr>
          <w:rFonts w:asciiTheme="majorHAnsi" w:hAnsiTheme="majorHAnsi" w:cstheme="majorHAnsi"/>
          <w:b/>
          <w:bCs/>
          <w:u w:val="single"/>
        </w:rPr>
      </w:pPr>
      <w:bookmarkStart w:id="2" w:name="_Hlk120067105"/>
      <w:r w:rsidRPr="00F65131">
        <w:rPr>
          <w:rFonts w:asciiTheme="majorHAnsi" w:hAnsiTheme="majorHAnsi" w:cstheme="majorHAnsi"/>
          <w:b/>
          <w:bCs/>
          <w:u w:val="single"/>
        </w:rPr>
        <w:t>T</w:t>
      </w:r>
      <w:r w:rsidR="00104AE5" w:rsidRPr="00F65131">
        <w:rPr>
          <w:rFonts w:asciiTheme="majorHAnsi" w:hAnsiTheme="majorHAnsi" w:cstheme="majorHAnsi"/>
          <w:b/>
          <w:bCs/>
          <w:u w:val="single"/>
        </w:rPr>
        <w:t>he key determinants/risk factors of TB</w:t>
      </w:r>
    </w:p>
    <w:bookmarkEnd w:id="2"/>
    <w:p w14:paraId="3D24AF1D" w14:textId="77777777" w:rsidR="008B7314" w:rsidRPr="00F65131" w:rsidRDefault="005D2E5A" w:rsidP="008B7314">
      <w:pPr>
        <w:spacing w:before="100" w:beforeAutospacing="1" w:after="100" w:afterAutospacing="1" w:line="360" w:lineRule="auto"/>
        <w:rPr>
          <w:rFonts w:asciiTheme="majorHAnsi" w:hAnsiTheme="majorHAnsi" w:cstheme="majorHAnsi"/>
        </w:rPr>
      </w:pPr>
      <w:r w:rsidRPr="00F65131">
        <w:rPr>
          <w:rFonts w:asciiTheme="majorHAnsi" w:hAnsiTheme="majorHAnsi" w:cstheme="majorHAnsi"/>
        </w:rPr>
        <w:t>According to (WHO 2022) TB occurs in every part of the world. In 2021, the largest number of new TB cases occurred in the WHO South-East Asian Region, with 46% of new cases, followed by the WHO African Region, with 23% of new cases and the WHO Western Pacific with 18%.</w:t>
      </w:r>
      <w:r w:rsidR="00030C52" w:rsidRPr="00F65131">
        <w:rPr>
          <w:rFonts w:asciiTheme="majorHAnsi" w:hAnsiTheme="majorHAnsi" w:cstheme="majorHAnsi"/>
        </w:rPr>
        <w:t xml:space="preserve"> </w:t>
      </w:r>
      <w:r w:rsidRPr="00F65131">
        <w:rPr>
          <w:rFonts w:asciiTheme="majorHAnsi" w:hAnsiTheme="majorHAnsi" w:cstheme="majorHAnsi"/>
        </w:rPr>
        <w:t xml:space="preserve">In 2020, 87% of new TB cases occurred in the 30 high TB burden countries. Eight </w:t>
      </w:r>
      <w:r w:rsidRPr="00F65131">
        <w:rPr>
          <w:rFonts w:asciiTheme="majorHAnsi" w:hAnsiTheme="majorHAnsi" w:cstheme="majorHAnsi"/>
        </w:rPr>
        <w:lastRenderedPageBreak/>
        <w:t xml:space="preserve">countries accounted for more than two thirds of the global total: India, Indonesia, China, the Philippines, Pakistan, Nigeria, </w:t>
      </w:r>
      <w:r w:rsidR="00B76BDA" w:rsidRPr="00F65131">
        <w:rPr>
          <w:rFonts w:asciiTheme="majorHAnsi" w:hAnsiTheme="majorHAnsi" w:cstheme="majorHAnsi"/>
        </w:rPr>
        <w:t>Bangladesh,</w:t>
      </w:r>
      <w:r w:rsidRPr="00F65131">
        <w:rPr>
          <w:rFonts w:asciiTheme="majorHAnsi" w:hAnsiTheme="majorHAnsi" w:cstheme="majorHAnsi"/>
        </w:rPr>
        <w:t xml:space="preserve"> and the Democratic Republic of the Congo.</w:t>
      </w:r>
    </w:p>
    <w:p w14:paraId="4C32CEF9" w14:textId="77777777" w:rsidR="001931FB" w:rsidRPr="001931FB" w:rsidRDefault="00030C52" w:rsidP="001931FB">
      <w:pPr>
        <w:spacing w:before="100" w:beforeAutospacing="1" w:after="100" w:afterAutospacing="1" w:line="360" w:lineRule="auto"/>
        <w:rPr>
          <w:rFonts w:asciiTheme="majorHAnsi" w:hAnsiTheme="majorHAnsi" w:cstheme="majorHAnsi"/>
        </w:rPr>
      </w:pPr>
      <w:r w:rsidRPr="00F65131">
        <w:rPr>
          <w:rFonts w:asciiTheme="majorHAnsi" w:hAnsiTheme="majorHAnsi" w:cstheme="majorHAnsi"/>
        </w:rPr>
        <w:t xml:space="preserve"> </w:t>
      </w:r>
      <w:r w:rsidR="001931FB" w:rsidRPr="001931FB">
        <w:rPr>
          <w:rFonts w:asciiTheme="majorHAnsi" w:hAnsiTheme="majorHAnsi" w:cstheme="majorHAnsi"/>
        </w:rPr>
        <w:t>According to( Custer, 2016) assessing the threat factors of TB transmission is as follow children living in areas with high rates of TB, people with close family members from countries with high TB rates, people going to live and work with original people for further than 3 months in an area with high rates of TB, like healthcare worker or NHS hand and the person infected comes into contact with cases or clinical samples. TB substantially affects grown-ups in their most productive times. still, all age groups are at threat. Over 80 of cases and deaths are in low- and middle- income countries.</w:t>
      </w:r>
    </w:p>
    <w:p w14:paraId="543B0504" w14:textId="77777777" w:rsidR="001931FB" w:rsidRPr="001931FB" w:rsidRDefault="001931FB" w:rsidP="001931FB">
      <w:pPr>
        <w:spacing w:before="100" w:beforeAutospacing="1" w:after="100" w:afterAutospacing="1" w:line="360" w:lineRule="auto"/>
        <w:rPr>
          <w:rFonts w:asciiTheme="majorHAnsi" w:hAnsiTheme="majorHAnsi" w:cstheme="majorHAnsi"/>
        </w:rPr>
      </w:pPr>
      <w:r w:rsidRPr="001931FB">
        <w:rPr>
          <w:rFonts w:asciiTheme="majorHAnsi" w:hAnsiTheme="majorHAnsi" w:cstheme="majorHAnsi"/>
        </w:rPr>
        <w:t>People who are infected with HIV are 18 times more likely to develop active TB.</w:t>
      </w:r>
    </w:p>
    <w:p w14:paraId="7CD01B78" w14:textId="77777777" w:rsidR="003842F1" w:rsidRDefault="001931FB" w:rsidP="003842F1">
      <w:pPr>
        <w:spacing w:before="100" w:beforeAutospacing="1" w:after="100" w:afterAutospacing="1" w:line="360" w:lineRule="auto"/>
        <w:rPr>
          <w:rFonts w:ascii="Arial" w:hAnsi="Arial" w:cs="Arial"/>
          <w:noProof/>
          <w:u w:val="single"/>
        </w:rPr>
      </w:pPr>
      <w:r w:rsidRPr="001931FB">
        <w:rPr>
          <w:rFonts w:asciiTheme="majorHAnsi" w:hAnsiTheme="majorHAnsi" w:cstheme="majorHAnsi"/>
        </w:rPr>
        <w:t xml:space="preserve">The threat of active TB is also lesser in persons suffering from other conditions that vitiate the vulnerable system. People with undernutrition are 3 times further at threat. </w:t>
      </w:r>
      <w:proofErr w:type="spellStart"/>
      <w:r w:rsidRPr="001931FB">
        <w:rPr>
          <w:rFonts w:asciiTheme="majorHAnsi" w:hAnsiTheme="majorHAnsi" w:cstheme="majorHAnsi"/>
        </w:rPr>
        <w:t>Encyclopedically</w:t>
      </w:r>
      <w:proofErr w:type="spellEnd"/>
      <w:r w:rsidRPr="001931FB">
        <w:rPr>
          <w:rFonts w:asciiTheme="majorHAnsi" w:hAnsiTheme="majorHAnsi" w:cstheme="majorHAnsi"/>
        </w:rPr>
        <w:t xml:space="preserve"> in 2021, there were2.2 million new TB cases that were attributable to undernutrition( </w:t>
      </w:r>
      <w:proofErr w:type="spellStart"/>
      <w:r w:rsidRPr="001931FB">
        <w:rPr>
          <w:rFonts w:asciiTheme="majorHAnsi" w:hAnsiTheme="majorHAnsi" w:cstheme="majorHAnsi"/>
        </w:rPr>
        <w:t>Cegielski,J.P</w:t>
      </w:r>
      <w:proofErr w:type="spellEnd"/>
      <w:r w:rsidRPr="001931FB">
        <w:rPr>
          <w:rFonts w:asciiTheme="majorHAnsi" w:hAnsiTheme="majorHAnsi" w:cstheme="majorHAnsi"/>
        </w:rPr>
        <w:t xml:space="preserve">. and </w:t>
      </w:r>
      <w:proofErr w:type="spellStart"/>
      <w:r w:rsidRPr="001931FB">
        <w:rPr>
          <w:rFonts w:asciiTheme="majorHAnsi" w:hAnsiTheme="majorHAnsi" w:cstheme="majorHAnsi"/>
        </w:rPr>
        <w:t>McMurray,D.N</w:t>
      </w:r>
      <w:proofErr w:type="spellEnd"/>
      <w:r w:rsidRPr="001931FB">
        <w:rPr>
          <w:rFonts w:asciiTheme="majorHAnsi" w:hAnsiTheme="majorHAnsi" w:cstheme="majorHAnsi"/>
        </w:rPr>
        <w:t xml:space="preserve">, 2004) Short- term and Long- term public health consequences of TB in a health When a person develops active TB complaint, the symptoms( similar as cough, fever, night sweats, or weight loss) may be mild for numerous </w:t>
      </w:r>
      <w:proofErr w:type="spellStart"/>
      <w:r w:rsidRPr="001931FB">
        <w:rPr>
          <w:rFonts w:asciiTheme="majorHAnsi" w:hAnsiTheme="majorHAnsi" w:cstheme="majorHAnsi"/>
        </w:rPr>
        <w:t>months.This</w:t>
      </w:r>
      <w:proofErr w:type="spellEnd"/>
      <w:r w:rsidRPr="001931FB">
        <w:rPr>
          <w:rFonts w:asciiTheme="majorHAnsi" w:hAnsiTheme="majorHAnsi" w:cstheme="majorHAnsi"/>
        </w:rPr>
        <w:t xml:space="preserve"> can lead to detainments in seeking care, and results in transmission of the bacteria to others.</w:t>
      </w:r>
      <w:r w:rsidR="003842F1" w:rsidRPr="003842F1">
        <w:rPr>
          <w:rFonts w:ascii="Arial" w:hAnsi="Arial" w:cs="Arial"/>
          <w:noProof/>
          <w:u w:val="single"/>
        </w:rPr>
        <w:t xml:space="preserve"> </w:t>
      </w:r>
    </w:p>
    <w:p w14:paraId="016A5BDB" w14:textId="561A20AE" w:rsidR="003842F1" w:rsidRPr="001931FB" w:rsidRDefault="003842F1" w:rsidP="001931FB">
      <w:pPr>
        <w:spacing w:before="100" w:beforeAutospacing="1" w:after="100" w:afterAutospacing="1" w:line="360" w:lineRule="auto"/>
        <w:rPr>
          <w:rFonts w:ascii="Arial" w:hAnsi="Arial" w:cs="Arial"/>
          <w:b/>
          <w:bCs/>
          <w:u w:val="single"/>
        </w:rPr>
      </w:pPr>
      <w:r w:rsidRPr="003842F1">
        <w:rPr>
          <w:rFonts w:ascii="Arial" w:hAnsi="Arial" w:cs="Arial"/>
          <w:b/>
          <w:bCs/>
          <w:u w:val="single"/>
        </w:rPr>
        <w:t>SHORT-TERM AND LONG-TERM PUBLIC HEALTH CONSEQUENCES OF TB IN AHEALTH</w:t>
      </w:r>
    </w:p>
    <w:p w14:paraId="1E8D36BB" w14:textId="31FB59DC" w:rsidR="00713D22" w:rsidRDefault="001931FB" w:rsidP="001931FB">
      <w:pPr>
        <w:spacing w:before="100" w:beforeAutospacing="1" w:after="100" w:afterAutospacing="1" w:line="360" w:lineRule="auto"/>
        <w:rPr>
          <w:rFonts w:asciiTheme="majorHAnsi" w:hAnsiTheme="majorHAnsi" w:cstheme="majorHAnsi"/>
        </w:rPr>
      </w:pPr>
      <w:r w:rsidRPr="001931FB">
        <w:rPr>
          <w:rFonts w:asciiTheme="majorHAnsi" w:hAnsiTheme="majorHAnsi" w:cstheme="majorHAnsi"/>
        </w:rPr>
        <w:t xml:space="preserve">People with active TB can infect 5 – 15 other people through close contact over the course of a time. Without proper treatment, 45 of HIV-negative people with TB on average and nearly all HIV-positive people with TB will die. Alcohol use complaint and tobacco smoking increase the threat of TB. In 2021,0.74 million new TB cases worldwide were attributable to alcohol use complaint and0.63 million were attributable to </w:t>
      </w:r>
      <w:proofErr w:type="gramStart"/>
      <w:r w:rsidRPr="001931FB">
        <w:rPr>
          <w:rFonts w:asciiTheme="majorHAnsi" w:hAnsiTheme="majorHAnsi" w:cstheme="majorHAnsi"/>
        </w:rPr>
        <w:t>smoking(</w:t>
      </w:r>
      <w:proofErr w:type="gramEnd"/>
      <w:r w:rsidRPr="001931FB">
        <w:rPr>
          <w:rFonts w:asciiTheme="majorHAnsi" w:hAnsiTheme="majorHAnsi" w:cstheme="majorHAnsi"/>
        </w:rPr>
        <w:t xml:space="preserve">Song.et.al 2021) TB can also beget infection of the bones, chine, brain, spinal cord, lymph glands and other corridor of the body. It can damage those areas and beget short term or endless symptoms from the damage. unbridled TB can lead to death and TB remains on the one of the leading contagious </w:t>
      </w:r>
      <w:proofErr w:type="gramStart"/>
      <w:r w:rsidRPr="001931FB">
        <w:rPr>
          <w:rFonts w:asciiTheme="majorHAnsi" w:hAnsiTheme="majorHAnsi" w:cstheme="majorHAnsi"/>
        </w:rPr>
        <w:t>cause</w:t>
      </w:r>
      <w:proofErr w:type="gramEnd"/>
      <w:r w:rsidRPr="001931FB">
        <w:rPr>
          <w:rFonts w:asciiTheme="majorHAnsi" w:hAnsiTheme="majorHAnsi" w:cstheme="majorHAnsi"/>
        </w:rPr>
        <w:t xml:space="preserve"> of death worldwide.</w:t>
      </w:r>
    </w:p>
    <w:p w14:paraId="5533ABE7" w14:textId="77777777" w:rsidR="00390F95" w:rsidRPr="00F65131" w:rsidRDefault="00390F95" w:rsidP="00E65F8E">
      <w:pPr>
        <w:spacing w:before="100" w:beforeAutospacing="1" w:after="100" w:afterAutospacing="1" w:line="360" w:lineRule="auto"/>
        <w:rPr>
          <w:rFonts w:asciiTheme="majorHAnsi" w:hAnsiTheme="majorHAnsi" w:cstheme="majorHAnsi"/>
        </w:rPr>
      </w:pPr>
    </w:p>
    <w:p w14:paraId="4F142902" w14:textId="6897FB56" w:rsidR="003C3380" w:rsidRPr="00F65131" w:rsidRDefault="00470D59" w:rsidP="00E65F8E">
      <w:pPr>
        <w:pStyle w:val="Heading1"/>
        <w:spacing w:line="360" w:lineRule="auto"/>
        <w:rPr>
          <w:rFonts w:cstheme="majorHAnsi"/>
          <w:b/>
          <w:bCs/>
          <w:color w:val="auto"/>
          <w:sz w:val="22"/>
          <w:szCs w:val="22"/>
        </w:rPr>
      </w:pPr>
      <w:r w:rsidRPr="00F65131">
        <w:rPr>
          <w:rFonts w:cstheme="majorHAnsi"/>
          <w:b/>
          <w:bCs/>
          <w:color w:val="auto"/>
          <w:sz w:val="22"/>
          <w:szCs w:val="22"/>
          <w:u w:val="single"/>
        </w:rPr>
        <w:lastRenderedPageBreak/>
        <w:t>Conclusion</w:t>
      </w:r>
      <w:r w:rsidRPr="00F65131">
        <w:rPr>
          <w:rFonts w:cstheme="majorHAnsi"/>
          <w:b/>
          <w:bCs/>
          <w:color w:val="auto"/>
          <w:sz w:val="22"/>
          <w:szCs w:val="22"/>
        </w:rPr>
        <w:t xml:space="preserve"> </w:t>
      </w:r>
    </w:p>
    <w:p w14:paraId="3A4EF17F" w14:textId="77777777" w:rsidR="00657680" w:rsidRDefault="006740C2" w:rsidP="000E40CF">
      <w:pPr>
        <w:pStyle w:val="Heading1"/>
        <w:spacing w:line="360" w:lineRule="auto"/>
        <w:rPr>
          <w:rFonts w:cstheme="majorHAnsi"/>
          <w:color w:val="auto"/>
          <w:sz w:val="22"/>
          <w:szCs w:val="22"/>
        </w:rPr>
      </w:pPr>
      <w:r w:rsidRPr="00F65131">
        <w:rPr>
          <w:rFonts w:cstheme="majorHAnsi"/>
          <w:color w:val="auto"/>
          <w:sz w:val="22"/>
          <w:szCs w:val="22"/>
        </w:rPr>
        <w:t>In conclusio</w:t>
      </w:r>
      <w:r w:rsidR="008B7314" w:rsidRPr="00F65131">
        <w:rPr>
          <w:rFonts w:cstheme="majorHAnsi"/>
          <w:color w:val="auto"/>
          <w:sz w:val="22"/>
          <w:szCs w:val="22"/>
        </w:rPr>
        <w:t>n</w:t>
      </w:r>
      <w:r w:rsidR="00BA1B8E" w:rsidRPr="00F65131">
        <w:rPr>
          <w:rFonts w:cstheme="majorHAnsi"/>
          <w:color w:val="auto"/>
          <w:sz w:val="22"/>
          <w:szCs w:val="22"/>
        </w:rPr>
        <w:t xml:space="preserve"> </w:t>
      </w:r>
      <w:r w:rsidR="008B7314" w:rsidRPr="00F65131">
        <w:rPr>
          <w:rFonts w:cstheme="majorHAnsi"/>
          <w:color w:val="auto"/>
          <w:sz w:val="22"/>
          <w:szCs w:val="22"/>
        </w:rPr>
        <w:t>(</w:t>
      </w:r>
      <w:proofErr w:type="spellStart"/>
      <w:r w:rsidR="008B7314" w:rsidRPr="00F65131">
        <w:rPr>
          <w:rFonts w:cstheme="majorHAnsi"/>
          <w:color w:val="auto"/>
          <w:sz w:val="22"/>
          <w:szCs w:val="22"/>
        </w:rPr>
        <w:t>Sasindran</w:t>
      </w:r>
      <w:proofErr w:type="spellEnd"/>
      <w:r w:rsidR="008B7314" w:rsidRPr="00F65131">
        <w:rPr>
          <w:rFonts w:cstheme="majorHAnsi"/>
          <w:color w:val="auto"/>
          <w:sz w:val="22"/>
          <w:szCs w:val="22"/>
        </w:rPr>
        <w:t xml:space="preserve">, S.J. and </w:t>
      </w:r>
      <w:proofErr w:type="spellStart"/>
      <w:r w:rsidR="008B7314" w:rsidRPr="00F65131">
        <w:rPr>
          <w:rFonts w:cstheme="majorHAnsi"/>
          <w:color w:val="auto"/>
          <w:sz w:val="22"/>
          <w:szCs w:val="22"/>
        </w:rPr>
        <w:t>Torrelles</w:t>
      </w:r>
      <w:proofErr w:type="spellEnd"/>
      <w:r w:rsidR="008B7314" w:rsidRPr="00F65131">
        <w:rPr>
          <w:rFonts w:cstheme="majorHAnsi"/>
          <w:color w:val="auto"/>
          <w:sz w:val="22"/>
          <w:szCs w:val="22"/>
        </w:rPr>
        <w:t>, J.B., 2011)</w:t>
      </w:r>
      <w:r w:rsidRPr="00F65131">
        <w:rPr>
          <w:rFonts w:cstheme="majorHAnsi"/>
          <w:color w:val="auto"/>
          <w:sz w:val="22"/>
          <w:szCs w:val="22"/>
        </w:rPr>
        <w:t xml:space="preserve"> </w:t>
      </w:r>
      <w:r w:rsidR="006660B9" w:rsidRPr="00F65131">
        <w:rPr>
          <w:rFonts w:cstheme="majorHAnsi"/>
          <w:color w:val="auto"/>
          <w:sz w:val="22"/>
          <w:szCs w:val="22"/>
        </w:rPr>
        <w:t>An infectious</w:t>
      </w:r>
      <w:r w:rsidR="006660B9" w:rsidRPr="00F65131">
        <w:rPr>
          <w:rFonts w:cstheme="majorHAnsi"/>
          <w:i/>
          <w:iCs/>
          <w:color w:val="auto"/>
          <w:sz w:val="22"/>
          <w:szCs w:val="22"/>
        </w:rPr>
        <w:t xml:space="preserve"> </w:t>
      </w:r>
      <w:r w:rsidR="006660B9" w:rsidRPr="00F65131">
        <w:rPr>
          <w:rFonts w:cstheme="majorHAnsi"/>
          <w:color w:val="auto"/>
          <w:sz w:val="22"/>
          <w:szCs w:val="22"/>
        </w:rPr>
        <w:t>disease can be defined as an illness due to a pathogen or its toxic product, which arises through transmission from an infected person, an infected animal, or a contaminated inanimate object to a susceptible host. Infectious diseases are responsible for an immense </w:t>
      </w:r>
      <w:hyperlink r:id="rId12" w:tooltip="Learn more about global burden of disease from ScienceDirect's AI-generated Topic Pages" w:history="1">
        <w:r w:rsidR="006660B9" w:rsidRPr="00F65131">
          <w:rPr>
            <w:rFonts w:cstheme="majorHAnsi"/>
            <w:color w:val="auto"/>
            <w:sz w:val="22"/>
            <w:szCs w:val="22"/>
            <w:u w:val="single"/>
          </w:rPr>
          <w:t>global burden of disease</w:t>
        </w:r>
      </w:hyperlink>
      <w:r w:rsidR="006660B9" w:rsidRPr="00F65131">
        <w:rPr>
          <w:rFonts w:cstheme="majorHAnsi"/>
          <w:color w:val="auto"/>
          <w:sz w:val="22"/>
          <w:szCs w:val="22"/>
        </w:rPr>
        <w:t> that impacts public health systems and economies worldwide, disproportionately affecting vulnerable populations.</w:t>
      </w:r>
      <w:r w:rsidR="00657680">
        <w:rPr>
          <w:rFonts w:cstheme="majorHAnsi"/>
          <w:color w:val="auto"/>
          <w:sz w:val="22"/>
          <w:szCs w:val="22"/>
        </w:rPr>
        <w:t xml:space="preserve"> </w:t>
      </w:r>
    </w:p>
    <w:p w14:paraId="7376B544" w14:textId="39B39B05" w:rsidR="00A84920" w:rsidRDefault="00657680" w:rsidP="000E40CF">
      <w:pPr>
        <w:pStyle w:val="Heading1"/>
        <w:spacing w:line="360" w:lineRule="auto"/>
        <w:rPr>
          <w:rFonts w:cstheme="majorHAnsi"/>
          <w:color w:val="auto"/>
          <w:sz w:val="22"/>
          <w:szCs w:val="22"/>
        </w:rPr>
      </w:pPr>
      <w:r w:rsidRPr="00657680">
        <w:rPr>
          <w:rFonts w:cstheme="majorHAnsi"/>
          <w:color w:val="auto"/>
          <w:sz w:val="22"/>
          <w:szCs w:val="22"/>
        </w:rPr>
        <w:t xml:space="preserve">(Fraser.et.al.2006) mentioned that precluding TB infection and stopping progression from infection to complaint are critical to reduce TB prevalence to the situations imaged by the End TB Strategy. The main health care interventions to achieve this reduction are TB preventative treatment, which the World Health </w:t>
      </w:r>
      <w:proofErr w:type="gramStart"/>
      <w:r w:rsidRPr="00657680">
        <w:rPr>
          <w:rFonts w:cstheme="majorHAnsi"/>
          <w:color w:val="auto"/>
          <w:sz w:val="22"/>
          <w:szCs w:val="22"/>
        </w:rPr>
        <w:t>Organization( WHO</w:t>
      </w:r>
      <w:proofErr w:type="gramEnd"/>
      <w:r w:rsidRPr="00657680">
        <w:rPr>
          <w:rFonts w:cstheme="majorHAnsi"/>
          <w:color w:val="auto"/>
          <w:sz w:val="22"/>
          <w:szCs w:val="22"/>
        </w:rPr>
        <w:t xml:space="preserve">) recommends for people living with HIV, ménage connections of people with TB and other threat groups, TB infection </w:t>
      </w:r>
      <w:proofErr w:type="spellStart"/>
      <w:r w:rsidRPr="00657680">
        <w:rPr>
          <w:rFonts w:cstheme="majorHAnsi"/>
          <w:color w:val="auto"/>
          <w:sz w:val="22"/>
          <w:szCs w:val="22"/>
        </w:rPr>
        <w:t>forestallment</w:t>
      </w:r>
      <w:proofErr w:type="spellEnd"/>
      <w:r w:rsidRPr="00657680">
        <w:rPr>
          <w:rFonts w:cstheme="majorHAnsi"/>
          <w:color w:val="auto"/>
          <w:sz w:val="22"/>
          <w:szCs w:val="22"/>
        </w:rPr>
        <w:t xml:space="preserve"> and control and vaccination of children with the </w:t>
      </w:r>
      <w:proofErr w:type="spellStart"/>
      <w:r w:rsidRPr="00657680">
        <w:rPr>
          <w:rFonts w:cstheme="majorHAnsi"/>
          <w:color w:val="auto"/>
          <w:sz w:val="22"/>
          <w:szCs w:val="22"/>
        </w:rPr>
        <w:t>bacille</w:t>
      </w:r>
      <w:proofErr w:type="spellEnd"/>
      <w:r w:rsidRPr="00657680">
        <w:rPr>
          <w:rFonts w:cstheme="majorHAnsi"/>
          <w:color w:val="auto"/>
          <w:sz w:val="22"/>
          <w:szCs w:val="22"/>
        </w:rPr>
        <w:t xml:space="preserve"> Calmette- </w:t>
      </w:r>
      <w:proofErr w:type="spellStart"/>
      <w:r w:rsidRPr="00657680">
        <w:rPr>
          <w:rFonts w:cstheme="majorHAnsi"/>
          <w:color w:val="auto"/>
          <w:sz w:val="22"/>
          <w:szCs w:val="22"/>
        </w:rPr>
        <w:t>Guérin</w:t>
      </w:r>
      <w:proofErr w:type="spellEnd"/>
      <w:r w:rsidRPr="00657680">
        <w:rPr>
          <w:rFonts w:cstheme="majorHAnsi"/>
          <w:color w:val="auto"/>
          <w:sz w:val="22"/>
          <w:szCs w:val="22"/>
        </w:rPr>
        <w:t>( BCG) vaccine. Addressing broader determinants that impact TB pandemics can also help to help TB infection</w:t>
      </w:r>
    </w:p>
    <w:p w14:paraId="08FAE299" w14:textId="1BD3BF08" w:rsidR="00657680" w:rsidRDefault="00657680" w:rsidP="00657680"/>
    <w:p w14:paraId="25545945" w14:textId="77777777" w:rsidR="00657680" w:rsidRPr="00657680" w:rsidRDefault="00657680" w:rsidP="00657680"/>
    <w:p w14:paraId="65362860" w14:textId="5E342688" w:rsidR="00A02457" w:rsidRDefault="00A02457" w:rsidP="00A02457"/>
    <w:p w14:paraId="11B7140A" w14:textId="77777777" w:rsidR="00657680" w:rsidRPr="00A02457" w:rsidRDefault="00657680" w:rsidP="00A02457"/>
    <w:p w14:paraId="5E3CD6B0" w14:textId="78E79A4A" w:rsidR="00A011C8" w:rsidRDefault="00A011C8" w:rsidP="000E40CF">
      <w:pPr>
        <w:spacing w:before="100" w:beforeAutospacing="1" w:after="100" w:afterAutospacing="1" w:line="360" w:lineRule="auto"/>
        <w:rPr>
          <w:rFonts w:asciiTheme="majorHAnsi" w:hAnsiTheme="majorHAnsi" w:cstheme="majorHAnsi"/>
          <w:b/>
          <w:bCs/>
          <w:u w:val="single"/>
        </w:rPr>
      </w:pPr>
    </w:p>
    <w:p w14:paraId="6816FD9E" w14:textId="550C969A" w:rsidR="00A011C8" w:rsidRDefault="00A011C8" w:rsidP="000E40CF">
      <w:pPr>
        <w:spacing w:before="100" w:beforeAutospacing="1" w:after="100" w:afterAutospacing="1" w:line="360" w:lineRule="auto"/>
        <w:rPr>
          <w:rFonts w:asciiTheme="majorHAnsi" w:hAnsiTheme="majorHAnsi" w:cstheme="majorHAnsi"/>
          <w:b/>
          <w:bCs/>
          <w:u w:val="single"/>
        </w:rPr>
      </w:pPr>
    </w:p>
    <w:p w14:paraId="5EFA639E" w14:textId="46CC7DCA" w:rsidR="00A011C8" w:rsidRDefault="00A011C8" w:rsidP="000E40CF">
      <w:pPr>
        <w:spacing w:before="100" w:beforeAutospacing="1" w:after="100" w:afterAutospacing="1" w:line="360" w:lineRule="auto"/>
        <w:rPr>
          <w:rFonts w:asciiTheme="majorHAnsi" w:hAnsiTheme="majorHAnsi" w:cstheme="majorHAnsi"/>
          <w:b/>
          <w:bCs/>
          <w:u w:val="single"/>
        </w:rPr>
      </w:pPr>
    </w:p>
    <w:p w14:paraId="2E027C9C" w14:textId="3073386D" w:rsidR="00A011C8" w:rsidRDefault="00A011C8" w:rsidP="000E40CF">
      <w:pPr>
        <w:spacing w:before="100" w:beforeAutospacing="1" w:after="100" w:afterAutospacing="1" w:line="360" w:lineRule="auto"/>
        <w:rPr>
          <w:rFonts w:asciiTheme="majorHAnsi" w:hAnsiTheme="majorHAnsi" w:cstheme="majorHAnsi"/>
          <w:b/>
          <w:bCs/>
          <w:u w:val="single"/>
        </w:rPr>
      </w:pPr>
    </w:p>
    <w:p w14:paraId="4F487993" w14:textId="2A6CDD49" w:rsidR="00A011C8" w:rsidRDefault="00A011C8" w:rsidP="000E40CF">
      <w:pPr>
        <w:spacing w:before="100" w:beforeAutospacing="1" w:after="100" w:afterAutospacing="1" w:line="360" w:lineRule="auto"/>
        <w:rPr>
          <w:rFonts w:asciiTheme="majorHAnsi" w:hAnsiTheme="majorHAnsi" w:cstheme="majorHAnsi"/>
          <w:b/>
          <w:bCs/>
          <w:u w:val="single"/>
        </w:rPr>
      </w:pPr>
    </w:p>
    <w:p w14:paraId="2D720E0A" w14:textId="0B916B48" w:rsidR="00A011C8" w:rsidRDefault="00A011C8" w:rsidP="000E40CF">
      <w:pPr>
        <w:spacing w:before="100" w:beforeAutospacing="1" w:after="100" w:afterAutospacing="1" w:line="360" w:lineRule="auto"/>
        <w:rPr>
          <w:rFonts w:asciiTheme="majorHAnsi" w:hAnsiTheme="majorHAnsi" w:cstheme="majorHAnsi"/>
          <w:b/>
          <w:bCs/>
          <w:u w:val="single"/>
        </w:rPr>
      </w:pPr>
    </w:p>
    <w:p w14:paraId="64CD4DDF" w14:textId="33313E00" w:rsidR="00A011C8" w:rsidRDefault="00A011C8" w:rsidP="000E40CF">
      <w:pPr>
        <w:spacing w:before="100" w:beforeAutospacing="1" w:after="100" w:afterAutospacing="1" w:line="360" w:lineRule="auto"/>
        <w:rPr>
          <w:rFonts w:asciiTheme="majorHAnsi" w:hAnsiTheme="majorHAnsi" w:cstheme="majorHAnsi"/>
          <w:b/>
          <w:bCs/>
          <w:u w:val="single"/>
        </w:rPr>
      </w:pPr>
    </w:p>
    <w:p w14:paraId="0324659D" w14:textId="265AE2D2" w:rsidR="00A011C8" w:rsidRDefault="00A011C8" w:rsidP="000E40CF">
      <w:pPr>
        <w:spacing w:before="100" w:beforeAutospacing="1" w:after="100" w:afterAutospacing="1" w:line="360" w:lineRule="auto"/>
        <w:rPr>
          <w:rFonts w:asciiTheme="majorHAnsi" w:hAnsiTheme="majorHAnsi" w:cstheme="majorHAnsi"/>
          <w:b/>
          <w:bCs/>
          <w:u w:val="single"/>
        </w:rPr>
      </w:pPr>
    </w:p>
    <w:p w14:paraId="07BC6145" w14:textId="60EC496A" w:rsidR="00A011C8" w:rsidRDefault="00A011C8" w:rsidP="000E40CF">
      <w:pPr>
        <w:spacing w:before="100" w:beforeAutospacing="1" w:after="100" w:afterAutospacing="1" w:line="360" w:lineRule="auto"/>
        <w:rPr>
          <w:rFonts w:asciiTheme="majorHAnsi" w:hAnsiTheme="majorHAnsi" w:cstheme="majorHAnsi"/>
          <w:b/>
          <w:bCs/>
          <w:u w:val="single"/>
        </w:rPr>
      </w:pPr>
    </w:p>
    <w:p w14:paraId="63C94DEF" w14:textId="3CBFAF47" w:rsidR="00A011C8" w:rsidRDefault="00A011C8" w:rsidP="000E40CF">
      <w:pPr>
        <w:spacing w:before="100" w:beforeAutospacing="1" w:after="100" w:afterAutospacing="1" w:line="360" w:lineRule="auto"/>
        <w:rPr>
          <w:rFonts w:asciiTheme="majorHAnsi" w:hAnsiTheme="majorHAnsi" w:cstheme="majorHAnsi"/>
          <w:b/>
          <w:bCs/>
          <w:u w:val="single"/>
        </w:rPr>
      </w:pPr>
    </w:p>
    <w:p w14:paraId="20B40E63" w14:textId="77777777" w:rsidR="00A011C8" w:rsidRDefault="00A011C8" w:rsidP="000E40CF">
      <w:pPr>
        <w:spacing w:before="100" w:beforeAutospacing="1" w:after="100" w:afterAutospacing="1" w:line="360" w:lineRule="auto"/>
        <w:rPr>
          <w:rFonts w:asciiTheme="majorHAnsi" w:hAnsiTheme="majorHAnsi" w:cstheme="majorHAnsi"/>
          <w:b/>
          <w:bCs/>
          <w:u w:val="single"/>
        </w:rPr>
      </w:pPr>
    </w:p>
    <w:p w14:paraId="288B3012" w14:textId="76CAD43B" w:rsidR="00410170" w:rsidRPr="00F65131" w:rsidRDefault="0031200C" w:rsidP="000E40CF">
      <w:pPr>
        <w:spacing w:before="100" w:beforeAutospacing="1" w:after="100" w:afterAutospacing="1" w:line="360" w:lineRule="auto"/>
        <w:rPr>
          <w:rFonts w:asciiTheme="majorHAnsi" w:hAnsiTheme="majorHAnsi" w:cstheme="majorHAnsi"/>
          <w:b/>
          <w:bCs/>
          <w:u w:val="single"/>
        </w:rPr>
      </w:pPr>
      <w:r w:rsidRPr="00F65131">
        <w:rPr>
          <w:rFonts w:asciiTheme="majorHAnsi" w:hAnsiTheme="majorHAnsi" w:cstheme="majorHAnsi"/>
          <w:b/>
          <w:bCs/>
          <w:u w:val="single"/>
        </w:rPr>
        <w:t>Reference list</w:t>
      </w:r>
    </w:p>
    <w:p w14:paraId="0DE502B7" w14:textId="2C819383" w:rsidR="00012B00" w:rsidRPr="00F65131" w:rsidRDefault="00012B00" w:rsidP="000E40CF">
      <w:pPr>
        <w:spacing w:line="360" w:lineRule="auto"/>
        <w:rPr>
          <w:rFonts w:asciiTheme="majorHAnsi" w:hAnsiTheme="majorHAnsi" w:cstheme="majorHAnsi"/>
          <w:shd w:val="clear" w:color="auto" w:fill="FFFFFF"/>
        </w:rPr>
      </w:pPr>
      <w:bookmarkStart w:id="3" w:name="_Hlk120059735"/>
      <w:r w:rsidRPr="00F65131">
        <w:rPr>
          <w:rFonts w:asciiTheme="majorHAnsi" w:hAnsiTheme="majorHAnsi" w:cstheme="majorHAnsi"/>
          <w:shd w:val="clear" w:color="auto" w:fill="FFFFFF"/>
        </w:rPr>
        <w:t>Barber, C., 2018. Rare health conditions 13: tuberculosis, whooping cough (pertussis) and malnutrition. </w:t>
      </w:r>
      <w:r w:rsidRPr="00F65131">
        <w:rPr>
          <w:rFonts w:asciiTheme="majorHAnsi" w:hAnsiTheme="majorHAnsi" w:cstheme="majorHAnsi"/>
          <w:i/>
          <w:iCs/>
          <w:shd w:val="clear" w:color="auto" w:fill="FFFFFF"/>
        </w:rPr>
        <w:t>British Journal of Healthcare Assistants</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12</w:t>
      </w:r>
      <w:r w:rsidRPr="00F65131">
        <w:rPr>
          <w:rFonts w:asciiTheme="majorHAnsi" w:hAnsiTheme="majorHAnsi" w:cstheme="majorHAnsi"/>
          <w:shd w:val="clear" w:color="auto" w:fill="FFFFFF"/>
        </w:rPr>
        <w:t>(6), pp.272-276.</w:t>
      </w:r>
    </w:p>
    <w:p w14:paraId="672E7798" w14:textId="77777777" w:rsidR="00012B00" w:rsidRPr="00F65131" w:rsidRDefault="00012B00" w:rsidP="002F6510">
      <w:pPr>
        <w:spacing w:line="360" w:lineRule="auto"/>
        <w:ind w:left="360"/>
        <w:rPr>
          <w:rFonts w:asciiTheme="majorHAnsi" w:hAnsiTheme="majorHAnsi" w:cstheme="majorHAnsi"/>
          <w:shd w:val="clear" w:color="auto" w:fill="FFFFFF"/>
        </w:rPr>
      </w:pPr>
    </w:p>
    <w:p w14:paraId="7EBFDEA1" w14:textId="25A5DD7B" w:rsidR="00410170" w:rsidRPr="00F65131" w:rsidRDefault="00410170" w:rsidP="000E40CF">
      <w:pPr>
        <w:spacing w:line="360" w:lineRule="auto"/>
        <w:rPr>
          <w:rFonts w:asciiTheme="majorHAnsi" w:hAnsiTheme="majorHAnsi" w:cstheme="majorHAnsi"/>
          <w:shd w:val="clear" w:color="auto" w:fill="FFFFFF"/>
        </w:rPr>
      </w:pPr>
      <w:proofErr w:type="spellStart"/>
      <w:r w:rsidRPr="00F65131">
        <w:rPr>
          <w:rFonts w:asciiTheme="majorHAnsi" w:hAnsiTheme="majorHAnsi" w:cstheme="majorHAnsi"/>
          <w:shd w:val="clear" w:color="auto" w:fill="FFFFFF"/>
        </w:rPr>
        <w:t>Beggs</w:t>
      </w:r>
      <w:proofErr w:type="spellEnd"/>
      <w:r w:rsidRPr="00F65131">
        <w:rPr>
          <w:rFonts w:asciiTheme="majorHAnsi" w:hAnsiTheme="majorHAnsi" w:cstheme="majorHAnsi"/>
          <w:shd w:val="clear" w:color="auto" w:fill="FFFFFF"/>
        </w:rPr>
        <w:t xml:space="preserve">, C.B., 2003. </w:t>
      </w:r>
      <w:bookmarkEnd w:id="3"/>
      <w:r w:rsidRPr="00F65131">
        <w:rPr>
          <w:rFonts w:asciiTheme="majorHAnsi" w:hAnsiTheme="majorHAnsi" w:cstheme="majorHAnsi"/>
          <w:shd w:val="clear" w:color="auto" w:fill="FFFFFF"/>
        </w:rPr>
        <w:t xml:space="preserve">The airborne transmission of infection in hospital buildings: fact or </w:t>
      </w:r>
      <w:proofErr w:type="gramStart"/>
      <w:r w:rsidRPr="00F65131">
        <w:rPr>
          <w:rFonts w:asciiTheme="majorHAnsi" w:hAnsiTheme="majorHAnsi" w:cstheme="majorHAnsi"/>
          <w:shd w:val="clear" w:color="auto" w:fill="FFFFFF"/>
        </w:rPr>
        <w:t>fiction?.</w:t>
      </w:r>
      <w:proofErr w:type="gramEnd"/>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Indoor and built Environment</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12</w:t>
      </w:r>
      <w:r w:rsidRPr="00F65131">
        <w:rPr>
          <w:rFonts w:asciiTheme="majorHAnsi" w:hAnsiTheme="majorHAnsi" w:cstheme="majorHAnsi"/>
          <w:shd w:val="clear" w:color="auto" w:fill="FFFFFF"/>
        </w:rPr>
        <w:t>(1-2), pp.9-18.</w:t>
      </w:r>
    </w:p>
    <w:p w14:paraId="2F44E6F3" w14:textId="015CB559" w:rsidR="00EF323F" w:rsidRPr="00F65131" w:rsidRDefault="00EF323F" w:rsidP="002F6510">
      <w:pPr>
        <w:spacing w:line="360" w:lineRule="auto"/>
        <w:ind w:left="360"/>
        <w:rPr>
          <w:rFonts w:asciiTheme="majorHAnsi" w:hAnsiTheme="majorHAnsi" w:cstheme="majorHAnsi"/>
          <w:shd w:val="clear" w:color="auto" w:fill="FFFFFF"/>
        </w:rPr>
      </w:pPr>
    </w:p>
    <w:p w14:paraId="5CA5CC3B" w14:textId="79F46733" w:rsidR="00EF323F" w:rsidRPr="00F65131" w:rsidRDefault="00EF323F" w:rsidP="000E40CF">
      <w:pPr>
        <w:spacing w:line="360" w:lineRule="auto"/>
        <w:rPr>
          <w:rFonts w:asciiTheme="majorHAnsi" w:hAnsiTheme="majorHAnsi" w:cstheme="majorHAnsi"/>
          <w:shd w:val="clear" w:color="auto" w:fill="FFFFFF"/>
        </w:rPr>
      </w:pPr>
      <w:proofErr w:type="spellStart"/>
      <w:r w:rsidRPr="00F65131">
        <w:rPr>
          <w:rFonts w:asciiTheme="majorHAnsi" w:hAnsiTheme="majorHAnsi" w:cstheme="majorHAnsi"/>
          <w:shd w:val="clear" w:color="auto" w:fill="FFFFFF"/>
        </w:rPr>
        <w:t>Centers</w:t>
      </w:r>
      <w:proofErr w:type="spellEnd"/>
      <w:r w:rsidRPr="00F65131">
        <w:rPr>
          <w:rFonts w:asciiTheme="majorHAnsi" w:hAnsiTheme="majorHAnsi" w:cstheme="majorHAnsi"/>
          <w:shd w:val="clear" w:color="auto" w:fill="FFFFFF"/>
        </w:rPr>
        <w:t xml:space="preserve"> for Disease Control and Prevention (CDC, 2013. Trends in tuberculosis--United States, 2012. </w:t>
      </w:r>
      <w:r w:rsidRPr="00F65131">
        <w:rPr>
          <w:rFonts w:asciiTheme="majorHAnsi" w:hAnsiTheme="majorHAnsi" w:cstheme="majorHAnsi"/>
          <w:i/>
          <w:iCs/>
          <w:shd w:val="clear" w:color="auto" w:fill="FFFFFF"/>
        </w:rPr>
        <w:t>MMWR. Morbidity and mortality weekly report</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62</w:t>
      </w:r>
      <w:r w:rsidRPr="00F65131">
        <w:rPr>
          <w:rFonts w:asciiTheme="majorHAnsi" w:hAnsiTheme="majorHAnsi" w:cstheme="majorHAnsi"/>
          <w:shd w:val="clear" w:color="auto" w:fill="FFFFFF"/>
        </w:rPr>
        <w:t>(11), pp.201-205.</w:t>
      </w:r>
    </w:p>
    <w:p w14:paraId="74FD6E8E" w14:textId="77777777" w:rsidR="00B06731" w:rsidRPr="00F65131" w:rsidRDefault="00B06731" w:rsidP="002F6510">
      <w:pPr>
        <w:spacing w:line="360" w:lineRule="auto"/>
        <w:rPr>
          <w:rFonts w:asciiTheme="majorHAnsi" w:hAnsiTheme="majorHAnsi" w:cstheme="majorHAnsi"/>
          <w:shd w:val="clear" w:color="auto" w:fill="FFFFFF"/>
        </w:rPr>
      </w:pPr>
    </w:p>
    <w:p w14:paraId="6ED70A4B" w14:textId="4B2C71C9" w:rsidR="007552B5" w:rsidRPr="00F65131" w:rsidRDefault="00410170" w:rsidP="000E40CF">
      <w:pPr>
        <w:spacing w:line="360" w:lineRule="auto"/>
        <w:rPr>
          <w:rFonts w:asciiTheme="majorHAnsi" w:hAnsiTheme="majorHAnsi" w:cstheme="majorHAnsi"/>
          <w:shd w:val="clear" w:color="auto" w:fill="FFFFFF"/>
        </w:rPr>
      </w:pPr>
      <w:bookmarkStart w:id="4" w:name="_Hlk120060891"/>
      <w:r w:rsidRPr="00F65131">
        <w:rPr>
          <w:rFonts w:asciiTheme="majorHAnsi" w:hAnsiTheme="majorHAnsi" w:cstheme="majorHAnsi"/>
          <w:shd w:val="clear" w:color="auto" w:fill="FFFFFF"/>
        </w:rPr>
        <w:t xml:space="preserve">Custer, B., 2016. </w:t>
      </w:r>
      <w:bookmarkEnd w:id="4"/>
      <w:r w:rsidRPr="00F65131">
        <w:rPr>
          <w:rFonts w:asciiTheme="majorHAnsi" w:hAnsiTheme="majorHAnsi" w:cstheme="majorHAnsi"/>
          <w:shd w:val="clear" w:color="auto" w:fill="FFFFFF"/>
        </w:rPr>
        <w:t>Assessing the risk of transfusion</w:t>
      </w:r>
      <w:r w:rsidRPr="00F65131">
        <w:rPr>
          <w:rFonts w:ascii="Cambria Math" w:hAnsi="Cambria Math" w:cs="Cambria Math"/>
          <w:shd w:val="clear" w:color="auto" w:fill="FFFFFF"/>
        </w:rPr>
        <w:t>‐</w:t>
      </w:r>
      <w:r w:rsidRPr="00F65131">
        <w:rPr>
          <w:rFonts w:asciiTheme="majorHAnsi" w:hAnsiTheme="majorHAnsi" w:cstheme="majorHAnsi"/>
          <w:shd w:val="clear" w:color="auto" w:fill="FFFFFF"/>
        </w:rPr>
        <w:t>transmitted emerging infectious diseases. </w:t>
      </w:r>
      <w:r w:rsidRPr="00F65131">
        <w:rPr>
          <w:rFonts w:asciiTheme="majorHAnsi" w:hAnsiTheme="majorHAnsi" w:cstheme="majorHAnsi"/>
          <w:i/>
          <w:iCs/>
          <w:shd w:val="clear" w:color="auto" w:fill="FFFFFF"/>
        </w:rPr>
        <w:t>ISBT Science Series</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11</w:t>
      </w:r>
      <w:r w:rsidRPr="00F65131">
        <w:rPr>
          <w:rFonts w:asciiTheme="majorHAnsi" w:hAnsiTheme="majorHAnsi" w:cstheme="majorHAnsi"/>
          <w:shd w:val="clear" w:color="auto" w:fill="FFFFFF"/>
        </w:rPr>
        <w:t>(S2), pp.79-85.</w:t>
      </w:r>
    </w:p>
    <w:p w14:paraId="4B9D6BAA" w14:textId="77777777" w:rsidR="007552B5" w:rsidRPr="00F65131" w:rsidRDefault="007552B5" w:rsidP="002F6510">
      <w:pPr>
        <w:spacing w:line="360" w:lineRule="auto"/>
        <w:rPr>
          <w:rFonts w:asciiTheme="majorHAnsi" w:hAnsiTheme="majorHAnsi" w:cstheme="majorHAnsi"/>
          <w:shd w:val="clear" w:color="auto" w:fill="FFFFFF"/>
        </w:rPr>
      </w:pPr>
    </w:p>
    <w:p w14:paraId="0C078F0C" w14:textId="59D1AECC" w:rsidR="007A3A75" w:rsidRPr="00F65131" w:rsidRDefault="007552B5" w:rsidP="000E40CF">
      <w:pPr>
        <w:spacing w:line="360" w:lineRule="auto"/>
        <w:rPr>
          <w:rFonts w:asciiTheme="majorHAnsi" w:hAnsiTheme="majorHAnsi" w:cstheme="majorHAnsi"/>
          <w:i/>
          <w:iCs/>
          <w:shd w:val="clear" w:color="auto" w:fill="FFFFFF"/>
        </w:rPr>
      </w:pPr>
      <w:bookmarkStart w:id="5" w:name="_Hlk120060250"/>
      <w:r w:rsidRPr="00F65131">
        <w:rPr>
          <w:rFonts w:asciiTheme="majorHAnsi" w:hAnsiTheme="majorHAnsi" w:cstheme="majorHAnsi"/>
          <w:shd w:val="clear" w:color="auto" w:fill="FFFFFF"/>
        </w:rPr>
        <w:t>Fraser</w:t>
      </w:r>
      <w:bookmarkEnd w:id="5"/>
      <w:r w:rsidRPr="00F65131">
        <w:rPr>
          <w:rFonts w:asciiTheme="majorHAnsi" w:hAnsiTheme="majorHAnsi" w:cstheme="majorHAnsi"/>
          <w:shd w:val="clear" w:color="auto" w:fill="FFFFFF"/>
        </w:rPr>
        <w:t xml:space="preserve">, A., Paul, M., </w:t>
      </w:r>
      <w:proofErr w:type="spellStart"/>
      <w:r w:rsidRPr="00F65131">
        <w:rPr>
          <w:rFonts w:asciiTheme="majorHAnsi" w:hAnsiTheme="majorHAnsi" w:cstheme="majorHAnsi"/>
          <w:shd w:val="clear" w:color="auto" w:fill="FFFFFF"/>
        </w:rPr>
        <w:t>Attamna</w:t>
      </w:r>
      <w:proofErr w:type="spellEnd"/>
      <w:r w:rsidRPr="00F65131">
        <w:rPr>
          <w:rFonts w:asciiTheme="majorHAnsi" w:hAnsiTheme="majorHAnsi" w:cstheme="majorHAnsi"/>
          <w:shd w:val="clear" w:color="auto" w:fill="FFFFFF"/>
        </w:rPr>
        <w:t xml:space="preserve">, A. and </w:t>
      </w:r>
      <w:proofErr w:type="spellStart"/>
      <w:r w:rsidRPr="00F65131">
        <w:rPr>
          <w:rFonts w:asciiTheme="majorHAnsi" w:hAnsiTheme="majorHAnsi" w:cstheme="majorHAnsi"/>
          <w:shd w:val="clear" w:color="auto" w:fill="FFFFFF"/>
        </w:rPr>
        <w:t>Leibovici</w:t>
      </w:r>
      <w:proofErr w:type="spellEnd"/>
      <w:r w:rsidRPr="00F65131">
        <w:rPr>
          <w:rFonts w:asciiTheme="majorHAnsi" w:hAnsiTheme="majorHAnsi" w:cstheme="majorHAnsi"/>
          <w:shd w:val="clear" w:color="auto" w:fill="FFFFFF"/>
        </w:rPr>
        <w:t xml:space="preserve">, L., 2006. Drugs for preventing </w:t>
      </w:r>
      <w:r w:rsidR="00BE4E64" w:rsidRPr="00F65131">
        <w:rPr>
          <w:rFonts w:asciiTheme="majorHAnsi" w:hAnsiTheme="majorHAnsi" w:cstheme="majorHAnsi"/>
          <w:shd w:val="clear" w:color="auto" w:fill="FFFFFF"/>
        </w:rPr>
        <w:t>TB</w:t>
      </w:r>
      <w:r w:rsidRPr="00F65131">
        <w:rPr>
          <w:rFonts w:asciiTheme="majorHAnsi" w:hAnsiTheme="majorHAnsi" w:cstheme="majorHAnsi"/>
          <w:shd w:val="clear" w:color="auto" w:fill="FFFFFF"/>
        </w:rPr>
        <w:t xml:space="preserve"> in people at risk of multiple</w:t>
      </w:r>
      <w:r w:rsidRPr="00F65131">
        <w:rPr>
          <w:rFonts w:ascii="Cambria Math" w:hAnsi="Cambria Math" w:cs="Cambria Math"/>
          <w:shd w:val="clear" w:color="auto" w:fill="FFFFFF"/>
        </w:rPr>
        <w:t>‐</w:t>
      </w:r>
      <w:r w:rsidRPr="00F65131">
        <w:rPr>
          <w:rFonts w:asciiTheme="majorHAnsi" w:hAnsiTheme="majorHAnsi" w:cstheme="majorHAnsi"/>
          <w:shd w:val="clear" w:color="auto" w:fill="FFFFFF"/>
        </w:rPr>
        <w:t>drug</w:t>
      </w:r>
      <w:r w:rsidRPr="00F65131">
        <w:rPr>
          <w:rFonts w:ascii="Cambria Math" w:hAnsi="Cambria Math" w:cs="Cambria Math"/>
          <w:shd w:val="clear" w:color="auto" w:fill="FFFFFF"/>
        </w:rPr>
        <w:t>‐</w:t>
      </w:r>
      <w:r w:rsidRPr="00F65131">
        <w:rPr>
          <w:rFonts w:asciiTheme="majorHAnsi" w:hAnsiTheme="majorHAnsi" w:cstheme="majorHAnsi"/>
          <w:shd w:val="clear" w:color="auto" w:fill="FFFFFF"/>
        </w:rPr>
        <w:t xml:space="preserve">resistant pulmonary </w:t>
      </w:r>
      <w:r w:rsidR="00BE4E64" w:rsidRPr="00F65131">
        <w:rPr>
          <w:rFonts w:asciiTheme="majorHAnsi" w:hAnsiTheme="majorHAnsi" w:cstheme="majorHAnsi"/>
          <w:shd w:val="clear" w:color="auto" w:fill="FFFFFF"/>
        </w:rPr>
        <w:t>TB</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Cochrane Database of Systematic Reviews</w:t>
      </w:r>
      <w:r w:rsidRPr="00F65131">
        <w:rPr>
          <w:rFonts w:asciiTheme="majorHAnsi" w:hAnsiTheme="majorHAnsi" w:cstheme="majorHAnsi"/>
          <w:shd w:val="clear" w:color="auto" w:fill="FFFFFF"/>
        </w:rPr>
        <w:t>, (2).</w:t>
      </w:r>
      <w:r w:rsidR="007A3A75" w:rsidRPr="00F65131">
        <w:rPr>
          <w:rFonts w:asciiTheme="majorHAnsi" w:hAnsiTheme="majorHAnsi" w:cstheme="majorHAnsi"/>
          <w:i/>
          <w:iCs/>
          <w:shd w:val="clear" w:color="auto" w:fill="FFFFFF"/>
        </w:rPr>
        <w:t xml:space="preserve"> </w:t>
      </w:r>
    </w:p>
    <w:p w14:paraId="5C2BA804" w14:textId="77777777" w:rsidR="000E40CF" w:rsidRPr="00F65131" w:rsidRDefault="000E40CF" w:rsidP="002F6510">
      <w:pPr>
        <w:spacing w:line="360" w:lineRule="auto"/>
        <w:ind w:left="360"/>
        <w:rPr>
          <w:rFonts w:asciiTheme="majorHAnsi" w:hAnsiTheme="majorHAnsi" w:cstheme="majorHAnsi"/>
          <w:i/>
          <w:iCs/>
          <w:shd w:val="clear" w:color="auto" w:fill="FFFFFF"/>
        </w:rPr>
      </w:pPr>
    </w:p>
    <w:p w14:paraId="1DD4C457" w14:textId="55C855CA" w:rsidR="00140A50" w:rsidRPr="00F65131" w:rsidRDefault="009019BF" w:rsidP="000E40CF">
      <w:pPr>
        <w:spacing w:line="360" w:lineRule="auto"/>
        <w:rPr>
          <w:rFonts w:asciiTheme="majorHAnsi" w:hAnsiTheme="majorHAnsi" w:cstheme="majorHAnsi"/>
          <w:b/>
          <w:bCs/>
          <w:shd w:val="clear" w:color="auto" w:fill="FFFFFF"/>
        </w:rPr>
      </w:pPr>
      <w:hyperlink r:id="rId13" w:history="1">
        <w:r w:rsidR="000E40CF" w:rsidRPr="00F65131">
          <w:rPr>
            <w:rStyle w:val="Hyperlink"/>
            <w:rFonts w:asciiTheme="majorHAnsi" w:hAnsiTheme="majorHAnsi" w:cstheme="majorHAnsi"/>
            <w:b/>
            <w:bCs/>
            <w:color w:val="auto"/>
            <w:shd w:val="clear" w:color="auto" w:fill="FFFFFF"/>
          </w:rPr>
          <w:t>https://www.nhsinform.scot/.../infections-and-poisoning/TB-tb</w:t>
        </w:r>
      </w:hyperlink>
      <w:r w:rsidR="00140A50" w:rsidRPr="00F65131">
        <w:rPr>
          <w:rFonts w:asciiTheme="majorHAnsi" w:hAnsiTheme="majorHAnsi" w:cstheme="majorHAnsi"/>
          <w:b/>
          <w:bCs/>
          <w:shd w:val="clear" w:color="auto" w:fill="FFFFFF"/>
        </w:rPr>
        <w:t xml:space="preserve"> </w:t>
      </w:r>
    </w:p>
    <w:p w14:paraId="05EB39C2" w14:textId="77777777" w:rsidR="00140A50" w:rsidRPr="00F65131" w:rsidRDefault="00140A50" w:rsidP="00B245FD">
      <w:pPr>
        <w:spacing w:line="360" w:lineRule="auto"/>
        <w:ind w:left="360"/>
        <w:rPr>
          <w:rFonts w:asciiTheme="majorHAnsi" w:hAnsiTheme="majorHAnsi" w:cstheme="majorHAnsi"/>
          <w:shd w:val="clear" w:color="auto" w:fill="FFFFFF"/>
        </w:rPr>
      </w:pPr>
    </w:p>
    <w:p w14:paraId="7FE319AD" w14:textId="7B9407E8" w:rsidR="00282189" w:rsidRPr="00F65131" w:rsidRDefault="00140A50" w:rsidP="000E40CF">
      <w:pPr>
        <w:spacing w:line="360" w:lineRule="auto"/>
        <w:rPr>
          <w:rFonts w:asciiTheme="majorHAnsi" w:hAnsiTheme="majorHAnsi" w:cstheme="majorHAnsi"/>
          <w:shd w:val="clear" w:color="auto" w:fill="FFFFFF"/>
        </w:rPr>
      </w:pPr>
      <w:bookmarkStart w:id="6" w:name="_Hlk120029567"/>
      <w:r w:rsidRPr="00F65131">
        <w:rPr>
          <w:rFonts w:asciiTheme="majorHAnsi" w:hAnsiTheme="majorHAnsi" w:cstheme="majorHAnsi"/>
          <w:shd w:val="clear" w:color="auto" w:fill="FFFFFF"/>
        </w:rPr>
        <w:t>Kochi, A., 1991</w:t>
      </w:r>
      <w:bookmarkEnd w:id="6"/>
      <w:r w:rsidRPr="00F65131">
        <w:rPr>
          <w:rFonts w:asciiTheme="majorHAnsi" w:hAnsiTheme="majorHAnsi" w:cstheme="majorHAnsi"/>
          <w:shd w:val="clear" w:color="auto" w:fill="FFFFFF"/>
        </w:rPr>
        <w:t xml:space="preserve">. The global </w:t>
      </w:r>
      <w:r w:rsidR="00BE4E64" w:rsidRPr="00F65131">
        <w:rPr>
          <w:rFonts w:asciiTheme="majorHAnsi" w:hAnsiTheme="majorHAnsi" w:cstheme="majorHAnsi"/>
          <w:shd w:val="clear" w:color="auto" w:fill="FFFFFF"/>
        </w:rPr>
        <w:t>TB</w:t>
      </w:r>
      <w:r w:rsidRPr="00F65131">
        <w:rPr>
          <w:rFonts w:asciiTheme="majorHAnsi" w:hAnsiTheme="majorHAnsi" w:cstheme="majorHAnsi"/>
          <w:shd w:val="clear" w:color="auto" w:fill="FFFFFF"/>
        </w:rPr>
        <w:t xml:space="preserve"> situation and the new control strategy of the World Health Organization. </w:t>
      </w:r>
      <w:r w:rsidRPr="00F65131">
        <w:rPr>
          <w:rFonts w:asciiTheme="majorHAnsi" w:hAnsiTheme="majorHAnsi" w:cstheme="majorHAnsi"/>
          <w:i/>
          <w:iCs/>
          <w:shd w:val="clear" w:color="auto" w:fill="FFFFFF"/>
        </w:rPr>
        <w:t>Tubercle</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72</w:t>
      </w:r>
      <w:r w:rsidRPr="00F65131">
        <w:rPr>
          <w:rFonts w:asciiTheme="majorHAnsi" w:hAnsiTheme="majorHAnsi" w:cstheme="majorHAnsi"/>
          <w:shd w:val="clear" w:color="auto" w:fill="FFFFFF"/>
        </w:rPr>
        <w:t>(1), pp.1-6.</w:t>
      </w:r>
      <w:r w:rsidR="00282189" w:rsidRPr="00F65131">
        <w:rPr>
          <w:rFonts w:asciiTheme="majorHAnsi" w:hAnsiTheme="majorHAnsi" w:cstheme="majorHAnsi"/>
          <w:shd w:val="clear" w:color="auto" w:fill="FFFFFF"/>
        </w:rPr>
        <w:t xml:space="preserve"> </w:t>
      </w:r>
    </w:p>
    <w:p w14:paraId="790044B1" w14:textId="77777777" w:rsidR="00A941E8" w:rsidRPr="00F65131" w:rsidRDefault="00A941E8" w:rsidP="00CA0D3F">
      <w:pPr>
        <w:spacing w:line="360" w:lineRule="auto"/>
        <w:ind w:left="360"/>
        <w:rPr>
          <w:rFonts w:asciiTheme="majorHAnsi" w:hAnsiTheme="majorHAnsi" w:cstheme="majorHAnsi"/>
          <w:shd w:val="clear" w:color="auto" w:fill="FFFFFF"/>
        </w:rPr>
      </w:pPr>
    </w:p>
    <w:p w14:paraId="430110F6" w14:textId="1A582C6B" w:rsidR="00A941E8" w:rsidRPr="00F65131" w:rsidRDefault="00A941E8" w:rsidP="000E40CF">
      <w:pPr>
        <w:spacing w:line="360" w:lineRule="auto"/>
        <w:rPr>
          <w:rFonts w:asciiTheme="majorHAnsi" w:hAnsiTheme="majorHAnsi" w:cstheme="majorHAnsi"/>
          <w:shd w:val="clear" w:color="auto" w:fill="FFFFFF"/>
        </w:rPr>
      </w:pPr>
      <w:bookmarkStart w:id="7" w:name="_Hlk120058592"/>
      <w:proofErr w:type="spellStart"/>
      <w:r w:rsidRPr="00F65131">
        <w:rPr>
          <w:rFonts w:asciiTheme="majorHAnsi" w:hAnsiTheme="majorHAnsi" w:cstheme="majorHAnsi"/>
          <w:shd w:val="clear" w:color="auto" w:fill="FFFFFF"/>
        </w:rPr>
        <w:t>Cegielski</w:t>
      </w:r>
      <w:proofErr w:type="spellEnd"/>
      <w:r w:rsidRPr="00F65131">
        <w:rPr>
          <w:rFonts w:asciiTheme="majorHAnsi" w:hAnsiTheme="majorHAnsi" w:cstheme="majorHAnsi"/>
          <w:shd w:val="clear" w:color="auto" w:fill="FFFFFF"/>
        </w:rPr>
        <w:t xml:space="preserve">, J.P. and McMurray, D.N., 2004. </w:t>
      </w:r>
      <w:bookmarkEnd w:id="7"/>
      <w:r w:rsidRPr="00F65131">
        <w:rPr>
          <w:rFonts w:asciiTheme="majorHAnsi" w:hAnsiTheme="majorHAnsi" w:cstheme="majorHAnsi"/>
          <w:shd w:val="clear" w:color="auto" w:fill="FFFFFF"/>
        </w:rPr>
        <w:t>The relationship between malnutrition and tuberculosis: evidence from studies in humans and experimental animals. </w:t>
      </w:r>
      <w:r w:rsidRPr="00F65131">
        <w:rPr>
          <w:rFonts w:asciiTheme="majorHAnsi" w:hAnsiTheme="majorHAnsi" w:cstheme="majorHAnsi"/>
          <w:i/>
          <w:iCs/>
          <w:shd w:val="clear" w:color="auto" w:fill="FFFFFF"/>
        </w:rPr>
        <w:t>The international journal of tuberculosis and lung disease</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8</w:t>
      </w:r>
      <w:r w:rsidRPr="00F65131">
        <w:rPr>
          <w:rFonts w:asciiTheme="majorHAnsi" w:hAnsiTheme="majorHAnsi" w:cstheme="majorHAnsi"/>
          <w:shd w:val="clear" w:color="auto" w:fill="FFFFFF"/>
        </w:rPr>
        <w:t>(3), pp.286-298.</w:t>
      </w:r>
    </w:p>
    <w:p w14:paraId="7891E4FD" w14:textId="77777777" w:rsidR="00282189" w:rsidRPr="00F65131" w:rsidRDefault="00282189" w:rsidP="00CA0D3F">
      <w:pPr>
        <w:spacing w:line="360" w:lineRule="auto"/>
        <w:ind w:left="360"/>
        <w:rPr>
          <w:rFonts w:asciiTheme="majorHAnsi" w:hAnsiTheme="majorHAnsi" w:cstheme="majorHAnsi"/>
          <w:shd w:val="clear" w:color="auto" w:fill="FFFFFF"/>
        </w:rPr>
      </w:pPr>
    </w:p>
    <w:p w14:paraId="6AADE936" w14:textId="0ACA240C" w:rsidR="00F84BC9" w:rsidRPr="00F65131" w:rsidRDefault="00282189" w:rsidP="000E40CF">
      <w:pPr>
        <w:spacing w:line="360" w:lineRule="auto"/>
        <w:rPr>
          <w:rFonts w:asciiTheme="majorHAnsi" w:hAnsiTheme="majorHAnsi" w:cstheme="majorHAnsi"/>
          <w:shd w:val="clear" w:color="auto" w:fill="FFFFFF"/>
        </w:rPr>
      </w:pPr>
      <w:proofErr w:type="spellStart"/>
      <w:r w:rsidRPr="00F65131">
        <w:rPr>
          <w:rFonts w:asciiTheme="majorHAnsi" w:hAnsiTheme="majorHAnsi" w:cstheme="majorHAnsi"/>
          <w:shd w:val="clear" w:color="auto" w:fill="FFFFFF"/>
        </w:rPr>
        <w:lastRenderedPageBreak/>
        <w:t>Mangtani</w:t>
      </w:r>
      <w:proofErr w:type="spellEnd"/>
      <w:r w:rsidRPr="00F65131">
        <w:rPr>
          <w:rFonts w:asciiTheme="majorHAnsi" w:hAnsiTheme="majorHAnsi" w:cstheme="majorHAnsi"/>
          <w:shd w:val="clear" w:color="auto" w:fill="FFFFFF"/>
        </w:rPr>
        <w:t xml:space="preserve">, P., </w:t>
      </w:r>
      <w:proofErr w:type="spellStart"/>
      <w:r w:rsidRPr="00F65131">
        <w:rPr>
          <w:rFonts w:asciiTheme="majorHAnsi" w:hAnsiTheme="majorHAnsi" w:cstheme="majorHAnsi"/>
          <w:shd w:val="clear" w:color="auto" w:fill="FFFFFF"/>
        </w:rPr>
        <w:t>Nguipdop-Djomo</w:t>
      </w:r>
      <w:proofErr w:type="spellEnd"/>
      <w:r w:rsidRPr="00F65131">
        <w:rPr>
          <w:rFonts w:asciiTheme="majorHAnsi" w:hAnsiTheme="majorHAnsi" w:cstheme="majorHAnsi"/>
          <w:shd w:val="clear" w:color="auto" w:fill="FFFFFF"/>
        </w:rPr>
        <w:t xml:space="preserve">, P., Keogh, R.H., Trinder, L., Smith, P.G., Fine, P.E., Sterne, J., Abubakar, I., </w:t>
      </w:r>
      <w:proofErr w:type="spellStart"/>
      <w:r w:rsidRPr="00F65131">
        <w:rPr>
          <w:rFonts w:asciiTheme="majorHAnsi" w:hAnsiTheme="majorHAnsi" w:cstheme="majorHAnsi"/>
          <w:shd w:val="clear" w:color="auto" w:fill="FFFFFF"/>
        </w:rPr>
        <w:t>Vynnycky</w:t>
      </w:r>
      <w:proofErr w:type="spellEnd"/>
      <w:r w:rsidRPr="00F65131">
        <w:rPr>
          <w:rFonts w:asciiTheme="majorHAnsi" w:hAnsiTheme="majorHAnsi" w:cstheme="majorHAnsi"/>
          <w:shd w:val="clear" w:color="auto" w:fill="FFFFFF"/>
        </w:rPr>
        <w:t>, E., Watson, J. and Elliman, D., 2017. Observational study to estimate the changes in the effectiveness of bacillus Calmette-Guerin (BCG) vaccination with time since vaccination for preventing tuberculosis in the UK. </w:t>
      </w:r>
      <w:r w:rsidRPr="00F65131">
        <w:rPr>
          <w:rFonts w:asciiTheme="majorHAnsi" w:hAnsiTheme="majorHAnsi" w:cstheme="majorHAnsi"/>
          <w:i/>
          <w:iCs/>
          <w:shd w:val="clear" w:color="auto" w:fill="FFFFFF"/>
        </w:rPr>
        <w:t>Health technology assessment</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21</w:t>
      </w:r>
      <w:r w:rsidRPr="00F65131">
        <w:rPr>
          <w:rFonts w:asciiTheme="majorHAnsi" w:hAnsiTheme="majorHAnsi" w:cstheme="majorHAnsi"/>
          <w:shd w:val="clear" w:color="auto" w:fill="FFFFFF"/>
        </w:rPr>
        <w:t>(39), pp.7-7.</w:t>
      </w:r>
      <w:hyperlink r:id="rId14" w:history="1">
        <w:r w:rsidR="007A3A75" w:rsidRPr="00F65131">
          <w:rPr>
            <w:rFonts w:asciiTheme="majorHAnsi" w:hAnsiTheme="majorHAnsi" w:cstheme="majorHAnsi"/>
            <w:shd w:val="clear" w:color="auto" w:fill="FFFFFF"/>
          </w:rPr>
          <w:br/>
        </w:r>
      </w:hyperlink>
    </w:p>
    <w:p w14:paraId="401E8C44" w14:textId="0C4A28AE" w:rsidR="00F84BC9" w:rsidRPr="00F65131" w:rsidRDefault="00F84BC9" w:rsidP="000E40CF">
      <w:pPr>
        <w:spacing w:line="360" w:lineRule="auto"/>
        <w:rPr>
          <w:rFonts w:asciiTheme="majorHAnsi" w:hAnsiTheme="majorHAnsi" w:cstheme="majorHAnsi"/>
          <w:shd w:val="clear" w:color="auto" w:fill="FFFFFF"/>
        </w:rPr>
      </w:pPr>
      <w:bookmarkStart w:id="8" w:name="_Hlk119965029"/>
      <w:proofErr w:type="spellStart"/>
      <w:r w:rsidRPr="00F65131">
        <w:rPr>
          <w:rFonts w:asciiTheme="majorHAnsi" w:hAnsiTheme="majorHAnsi" w:cstheme="majorHAnsi"/>
          <w:shd w:val="clear" w:color="auto" w:fill="FFFFFF"/>
        </w:rPr>
        <w:t>O'kane</w:t>
      </w:r>
      <w:proofErr w:type="spellEnd"/>
      <w:r w:rsidRPr="00F65131">
        <w:rPr>
          <w:rFonts w:asciiTheme="majorHAnsi" w:hAnsiTheme="majorHAnsi" w:cstheme="majorHAnsi"/>
          <w:shd w:val="clear" w:color="auto" w:fill="FFFFFF"/>
        </w:rPr>
        <w:t>, A.A. and Mentis, H., 2012</w:t>
      </w:r>
      <w:bookmarkEnd w:id="8"/>
      <w:r w:rsidRPr="00F65131">
        <w:rPr>
          <w:rFonts w:asciiTheme="majorHAnsi" w:hAnsiTheme="majorHAnsi" w:cstheme="majorHAnsi"/>
          <w:shd w:val="clear" w:color="auto" w:fill="FFFFFF"/>
        </w:rPr>
        <w:t>. Sharing medical data vs. health knowledge in chronic illness care. In </w:t>
      </w:r>
      <w:r w:rsidRPr="00F65131">
        <w:rPr>
          <w:rFonts w:asciiTheme="majorHAnsi" w:hAnsiTheme="majorHAnsi" w:cstheme="majorHAnsi"/>
          <w:i/>
          <w:iCs/>
          <w:shd w:val="clear" w:color="auto" w:fill="FFFFFF"/>
        </w:rPr>
        <w:t>CHI'12 Extended Abstracts on Human Factors in Computing Systems</w:t>
      </w:r>
      <w:r w:rsidRPr="00F65131">
        <w:rPr>
          <w:rFonts w:asciiTheme="majorHAnsi" w:hAnsiTheme="majorHAnsi" w:cstheme="majorHAnsi"/>
          <w:shd w:val="clear" w:color="auto" w:fill="FFFFFF"/>
        </w:rPr>
        <w:t> (pp. 2417-2422).</w:t>
      </w:r>
    </w:p>
    <w:p w14:paraId="4E38DAD5" w14:textId="77777777" w:rsidR="00B06731" w:rsidRPr="00F65131" w:rsidRDefault="00B06731" w:rsidP="002F6510">
      <w:pPr>
        <w:spacing w:line="360" w:lineRule="auto"/>
        <w:rPr>
          <w:rFonts w:asciiTheme="majorHAnsi" w:hAnsiTheme="majorHAnsi" w:cstheme="majorHAnsi"/>
          <w:shd w:val="clear" w:color="auto" w:fill="FFFFFF"/>
        </w:rPr>
      </w:pPr>
    </w:p>
    <w:p w14:paraId="46121B84" w14:textId="28E06FAD" w:rsidR="00410170" w:rsidRPr="00F65131" w:rsidRDefault="00410170" w:rsidP="000E40CF">
      <w:pPr>
        <w:spacing w:line="360" w:lineRule="auto"/>
        <w:rPr>
          <w:rFonts w:asciiTheme="majorHAnsi" w:hAnsiTheme="majorHAnsi" w:cstheme="majorHAnsi"/>
          <w:shd w:val="clear" w:color="auto" w:fill="FFFFFF"/>
        </w:rPr>
      </w:pPr>
      <w:proofErr w:type="spellStart"/>
      <w:r w:rsidRPr="00F65131">
        <w:rPr>
          <w:rFonts w:asciiTheme="majorHAnsi" w:hAnsiTheme="majorHAnsi" w:cstheme="majorHAnsi"/>
          <w:shd w:val="clear" w:color="auto" w:fill="FFFFFF"/>
        </w:rPr>
        <w:t>Perriëns</w:t>
      </w:r>
      <w:proofErr w:type="spellEnd"/>
      <w:r w:rsidRPr="00F65131">
        <w:rPr>
          <w:rFonts w:asciiTheme="majorHAnsi" w:hAnsiTheme="majorHAnsi" w:cstheme="majorHAnsi"/>
          <w:shd w:val="clear" w:color="auto" w:fill="FFFFFF"/>
        </w:rPr>
        <w:t xml:space="preserve">, J.H., St. Louis, M.E., </w:t>
      </w:r>
      <w:proofErr w:type="spellStart"/>
      <w:r w:rsidRPr="00F65131">
        <w:rPr>
          <w:rFonts w:asciiTheme="majorHAnsi" w:hAnsiTheme="majorHAnsi" w:cstheme="majorHAnsi"/>
          <w:shd w:val="clear" w:color="auto" w:fill="FFFFFF"/>
        </w:rPr>
        <w:t>Mukadi</w:t>
      </w:r>
      <w:proofErr w:type="spellEnd"/>
      <w:r w:rsidRPr="00F65131">
        <w:rPr>
          <w:rFonts w:asciiTheme="majorHAnsi" w:hAnsiTheme="majorHAnsi" w:cstheme="majorHAnsi"/>
          <w:shd w:val="clear" w:color="auto" w:fill="FFFFFF"/>
        </w:rPr>
        <w:t xml:space="preserve">, Y.B., Brown, C., </w:t>
      </w:r>
      <w:proofErr w:type="spellStart"/>
      <w:r w:rsidRPr="00F65131">
        <w:rPr>
          <w:rFonts w:asciiTheme="majorHAnsi" w:hAnsiTheme="majorHAnsi" w:cstheme="majorHAnsi"/>
          <w:shd w:val="clear" w:color="auto" w:fill="FFFFFF"/>
        </w:rPr>
        <w:t>Prignot</w:t>
      </w:r>
      <w:proofErr w:type="spellEnd"/>
      <w:r w:rsidRPr="00F65131">
        <w:rPr>
          <w:rFonts w:asciiTheme="majorHAnsi" w:hAnsiTheme="majorHAnsi" w:cstheme="majorHAnsi"/>
          <w:shd w:val="clear" w:color="auto" w:fill="FFFFFF"/>
        </w:rPr>
        <w:t xml:space="preserve">, J., </w:t>
      </w:r>
      <w:proofErr w:type="spellStart"/>
      <w:r w:rsidRPr="00F65131">
        <w:rPr>
          <w:rFonts w:asciiTheme="majorHAnsi" w:hAnsiTheme="majorHAnsi" w:cstheme="majorHAnsi"/>
          <w:shd w:val="clear" w:color="auto" w:fill="FFFFFF"/>
        </w:rPr>
        <w:t>Pouthier</w:t>
      </w:r>
      <w:proofErr w:type="spellEnd"/>
      <w:r w:rsidRPr="00F65131">
        <w:rPr>
          <w:rFonts w:asciiTheme="majorHAnsi" w:hAnsiTheme="majorHAnsi" w:cstheme="majorHAnsi"/>
          <w:shd w:val="clear" w:color="auto" w:fill="FFFFFF"/>
        </w:rPr>
        <w:t xml:space="preserve">, F., </w:t>
      </w:r>
      <w:proofErr w:type="spellStart"/>
      <w:r w:rsidRPr="00F65131">
        <w:rPr>
          <w:rFonts w:asciiTheme="majorHAnsi" w:hAnsiTheme="majorHAnsi" w:cstheme="majorHAnsi"/>
          <w:shd w:val="clear" w:color="auto" w:fill="FFFFFF"/>
        </w:rPr>
        <w:t>Portaels</w:t>
      </w:r>
      <w:proofErr w:type="spellEnd"/>
      <w:r w:rsidRPr="00F65131">
        <w:rPr>
          <w:rFonts w:asciiTheme="majorHAnsi" w:hAnsiTheme="majorHAnsi" w:cstheme="majorHAnsi"/>
          <w:shd w:val="clear" w:color="auto" w:fill="FFFFFF"/>
        </w:rPr>
        <w:t xml:space="preserve">, F., </w:t>
      </w:r>
      <w:proofErr w:type="spellStart"/>
      <w:r w:rsidRPr="00F65131">
        <w:rPr>
          <w:rFonts w:asciiTheme="majorHAnsi" w:hAnsiTheme="majorHAnsi" w:cstheme="majorHAnsi"/>
          <w:shd w:val="clear" w:color="auto" w:fill="FFFFFF"/>
        </w:rPr>
        <w:t>Willame</w:t>
      </w:r>
      <w:proofErr w:type="spellEnd"/>
      <w:r w:rsidRPr="00F65131">
        <w:rPr>
          <w:rFonts w:asciiTheme="majorHAnsi" w:hAnsiTheme="majorHAnsi" w:cstheme="majorHAnsi"/>
          <w:shd w:val="clear" w:color="auto" w:fill="FFFFFF"/>
        </w:rPr>
        <w:t xml:space="preserve">, J.C., Mandala, J.K., </w:t>
      </w:r>
      <w:proofErr w:type="spellStart"/>
      <w:r w:rsidRPr="00F65131">
        <w:rPr>
          <w:rFonts w:asciiTheme="majorHAnsi" w:hAnsiTheme="majorHAnsi" w:cstheme="majorHAnsi"/>
          <w:shd w:val="clear" w:color="auto" w:fill="FFFFFF"/>
        </w:rPr>
        <w:t>Kaboto</w:t>
      </w:r>
      <w:proofErr w:type="spellEnd"/>
      <w:r w:rsidRPr="00F65131">
        <w:rPr>
          <w:rFonts w:asciiTheme="majorHAnsi" w:hAnsiTheme="majorHAnsi" w:cstheme="majorHAnsi"/>
          <w:shd w:val="clear" w:color="auto" w:fill="FFFFFF"/>
        </w:rPr>
        <w:t xml:space="preserve">, M. and Ryder, R.W., 1995. Pulmonary </w:t>
      </w:r>
      <w:r w:rsidR="00BE4E64" w:rsidRPr="00F65131">
        <w:rPr>
          <w:rFonts w:asciiTheme="majorHAnsi" w:hAnsiTheme="majorHAnsi" w:cstheme="majorHAnsi"/>
          <w:shd w:val="clear" w:color="auto" w:fill="FFFFFF"/>
        </w:rPr>
        <w:t>TB</w:t>
      </w:r>
      <w:r w:rsidRPr="00F65131">
        <w:rPr>
          <w:rFonts w:asciiTheme="majorHAnsi" w:hAnsiTheme="majorHAnsi" w:cstheme="majorHAnsi"/>
          <w:shd w:val="clear" w:color="auto" w:fill="FFFFFF"/>
        </w:rPr>
        <w:t xml:space="preserve"> in HIV-infected patients in Zaire—</w:t>
      </w:r>
      <w:r w:rsidR="005F4EED" w:rsidRPr="00F65131">
        <w:rPr>
          <w:rFonts w:asciiTheme="majorHAnsi" w:hAnsiTheme="majorHAnsi" w:cstheme="majorHAnsi"/>
          <w:shd w:val="clear" w:color="auto" w:fill="FFFFFF"/>
        </w:rPr>
        <w:t>a-controlled</w:t>
      </w:r>
      <w:r w:rsidRPr="00F65131">
        <w:rPr>
          <w:rFonts w:asciiTheme="majorHAnsi" w:hAnsiTheme="majorHAnsi" w:cstheme="majorHAnsi"/>
          <w:shd w:val="clear" w:color="auto" w:fill="FFFFFF"/>
        </w:rPr>
        <w:t xml:space="preserve"> trial of treatment for either 6 or 12 months. </w:t>
      </w:r>
      <w:r w:rsidRPr="00F65131">
        <w:rPr>
          <w:rFonts w:asciiTheme="majorHAnsi" w:hAnsiTheme="majorHAnsi" w:cstheme="majorHAnsi"/>
          <w:i/>
          <w:iCs/>
          <w:shd w:val="clear" w:color="auto" w:fill="FFFFFF"/>
        </w:rPr>
        <w:t>New England journal of medicine</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332</w:t>
      </w:r>
      <w:r w:rsidRPr="00F65131">
        <w:rPr>
          <w:rFonts w:asciiTheme="majorHAnsi" w:hAnsiTheme="majorHAnsi" w:cstheme="majorHAnsi"/>
          <w:shd w:val="clear" w:color="auto" w:fill="FFFFFF"/>
        </w:rPr>
        <w:t>(12), pp.779-785.</w:t>
      </w:r>
    </w:p>
    <w:p w14:paraId="62CD5220" w14:textId="77777777" w:rsidR="00ED31BF" w:rsidRPr="00F65131" w:rsidRDefault="00ED31BF" w:rsidP="002F6510">
      <w:pPr>
        <w:spacing w:line="360" w:lineRule="auto"/>
        <w:rPr>
          <w:rFonts w:asciiTheme="majorHAnsi" w:hAnsiTheme="majorHAnsi" w:cstheme="majorHAnsi"/>
          <w:shd w:val="clear" w:color="auto" w:fill="FFFFFF"/>
        </w:rPr>
      </w:pPr>
    </w:p>
    <w:p w14:paraId="3FED538C" w14:textId="48AED9A7" w:rsidR="000E40CF" w:rsidRPr="00F65131" w:rsidRDefault="00410170" w:rsidP="002F6510">
      <w:pPr>
        <w:spacing w:line="360" w:lineRule="auto"/>
        <w:rPr>
          <w:rFonts w:asciiTheme="majorHAnsi" w:hAnsiTheme="majorHAnsi" w:cstheme="majorHAnsi"/>
          <w:shd w:val="clear" w:color="auto" w:fill="FFFFFF"/>
        </w:rPr>
      </w:pPr>
      <w:r w:rsidRPr="00F65131">
        <w:rPr>
          <w:rFonts w:asciiTheme="majorHAnsi" w:hAnsiTheme="majorHAnsi" w:cstheme="majorHAnsi"/>
          <w:shd w:val="clear" w:color="auto" w:fill="FFFFFF"/>
        </w:rPr>
        <w:t>Proudfoot, C.A., 2007. Controlling TB. </w:t>
      </w:r>
      <w:r w:rsidRPr="00F65131">
        <w:rPr>
          <w:rFonts w:asciiTheme="majorHAnsi" w:hAnsiTheme="majorHAnsi" w:cstheme="majorHAnsi"/>
          <w:i/>
          <w:iCs/>
          <w:shd w:val="clear" w:color="auto" w:fill="FFFFFF"/>
        </w:rPr>
        <w:t>Practice Nursing</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18</w:t>
      </w:r>
      <w:r w:rsidRPr="00F65131">
        <w:rPr>
          <w:rFonts w:asciiTheme="majorHAnsi" w:hAnsiTheme="majorHAnsi" w:cstheme="majorHAnsi"/>
          <w:shd w:val="clear" w:color="auto" w:fill="FFFFFF"/>
        </w:rPr>
        <w:t>(3), pp.142-146.</w:t>
      </w:r>
    </w:p>
    <w:p w14:paraId="76E0C4F0" w14:textId="77777777" w:rsidR="000E40CF" w:rsidRPr="00F65131" w:rsidRDefault="000E40CF" w:rsidP="002F6510">
      <w:pPr>
        <w:spacing w:line="360" w:lineRule="auto"/>
        <w:rPr>
          <w:rFonts w:asciiTheme="majorHAnsi" w:hAnsiTheme="majorHAnsi" w:cstheme="majorHAnsi"/>
          <w:shd w:val="clear" w:color="auto" w:fill="FFFFFF"/>
        </w:rPr>
      </w:pPr>
    </w:p>
    <w:p w14:paraId="50F29B39" w14:textId="0D7D19D9" w:rsidR="00083248" w:rsidRPr="00F65131" w:rsidRDefault="00410170" w:rsidP="000E40CF">
      <w:pPr>
        <w:spacing w:line="360" w:lineRule="auto"/>
        <w:rPr>
          <w:rFonts w:asciiTheme="majorHAnsi" w:hAnsiTheme="majorHAnsi" w:cstheme="majorHAnsi"/>
          <w:shd w:val="clear" w:color="auto" w:fill="FFFFFF"/>
        </w:rPr>
      </w:pPr>
      <w:r w:rsidRPr="00F65131">
        <w:rPr>
          <w:rFonts w:asciiTheme="majorHAnsi" w:hAnsiTheme="majorHAnsi" w:cstheme="majorHAnsi"/>
          <w:shd w:val="clear" w:color="auto" w:fill="FFFFFF"/>
        </w:rPr>
        <w:t xml:space="preserve">Roy, A., Abubakar, I., Chapman, A., Andrews, N., Pattinson, M., Lipman, M., Rodrigues, L.C., Figueroa, J., </w:t>
      </w:r>
      <w:proofErr w:type="spellStart"/>
      <w:r w:rsidRPr="00F65131">
        <w:rPr>
          <w:rFonts w:asciiTheme="majorHAnsi" w:hAnsiTheme="majorHAnsi" w:cstheme="majorHAnsi"/>
          <w:shd w:val="clear" w:color="auto" w:fill="FFFFFF"/>
        </w:rPr>
        <w:t>Tamne</w:t>
      </w:r>
      <w:proofErr w:type="spellEnd"/>
      <w:r w:rsidRPr="00F65131">
        <w:rPr>
          <w:rFonts w:asciiTheme="majorHAnsi" w:hAnsiTheme="majorHAnsi" w:cstheme="majorHAnsi"/>
          <w:shd w:val="clear" w:color="auto" w:fill="FFFFFF"/>
        </w:rPr>
        <w:t xml:space="preserve">, S. and Catchpole, M., 2011. A controlled trial of </w:t>
      </w:r>
      <w:r w:rsidR="005828E0" w:rsidRPr="00F65131">
        <w:rPr>
          <w:rFonts w:asciiTheme="majorHAnsi" w:hAnsiTheme="majorHAnsi" w:cstheme="majorHAnsi"/>
          <w:shd w:val="clear" w:color="auto" w:fill="FFFFFF"/>
        </w:rPr>
        <w:t>the knowledge</w:t>
      </w:r>
      <w:r w:rsidRPr="00F65131">
        <w:rPr>
          <w:rFonts w:asciiTheme="majorHAnsi" w:hAnsiTheme="majorHAnsi" w:cstheme="majorHAnsi"/>
          <w:shd w:val="clear" w:color="auto" w:fill="FFFFFF"/>
        </w:rPr>
        <w:t xml:space="preserve"> impact of </w:t>
      </w:r>
      <w:r w:rsidR="00BE4E64" w:rsidRPr="00F65131">
        <w:rPr>
          <w:rFonts w:asciiTheme="majorHAnsi" w:hAnsiTheme="majorHAnsi" w:cstheme="majorHAnsi"/>
          <w:shd w:val="clear" w:color="auto" w:fill="FFFFFF"/>
        </w:rPr>
        <w:t>TB</w:t>
      </w:r>
      <w:r w:rsidRPr="00F65131">
        <w:rPr>
          <w:rFonts w:asciiTheme="majorHAnsi" w:hAnsiTheme="majorHAnsi" w:cstheme="majorHAnsi"/>
          <w:shd w:val="clear" w:color="auto" w:fill="FFFFFF"/>
        </w:rPr>
        <w:t xml:space="preserve"> information leaflets among staff supporting substance misusers: pilot study. </w:t>
      </w:r>
      <w:proofErr w:type="spellStart"/>
      <w:r w:rsidRPr="00F65131">
        <w:rPr>
          <w:rFonts w:asciiTheme="majorHAnsi" w:hAnsiTheme="majorHAnsi" w:cstheme="majorHAnsi"/>
          <w:i/>
          <w:iCs/>
          <w:shd w:val="clear" w:color="auto" w:fill="FFFFFF"/>
        </w:rPr>
        <w:t>PloS</w:t>
      </w:r>
      <w:proofErr w:type="spellEnd"/>
      <w:r w:rsidRPr="00F65131">
        <w:rPr>
          <w:rFonts w:asciiTheme="majorHAnsi" w:hAnsiTheme="majorHAnsi" w:cstheme="majorHAnsi"/>
          <w:i/>
          <w:iCs/>
          <w:shd w:val="clear" w:color="auto" w:fill="FFFFFF"/>
        </w:rPr>
        <w:t xml:space="preserve"> one</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6</w:t>
      </w:r>
      <w:r w:rsidRPr="00F65131">
        <w:rPr>
          <w:rFonts w:asciiTheme="majorHAnsi" w:hAnsiTheme="majorHAnsi" w:cstheme="majorHAnsi"/>
          <w:shd w:val="clear" w:color="auto" w:fill="FFFFFF"/>
        </w:rPr>
        <w:t>(6), p.e20875.</w:t>
      </w:r>
      <w:r w:rsidR="00083248" w:rsidRPr="00F65131">
        <w:rPr>
          <w:rFonts w:asciiTheme="majorHAnsi" w:hAnsiTheme="majorHAnsi" w:cstheme="majorHAnsi"/>
          <w:shd w:val="clear" w:color="auto" w:fill="FFFFFF"/>
        </w:rPr>
        <w:t xml:space="preserve"> </w:t>
      </w:r>
    </w:p>
    <w:p w14:paraId="13554D16" w14:textId="77777777" w:rsidR="000E40CF" w:rsidRPr="00F65131" w:rsidRDefault="000E40CF" w:rsidP="000E40CF">
      <w:pPr>
        <w:spacing w:line="360" w:lineRule="auto"/>
        <w:rPr>
          <w:rFonts w:asciiTheme="majorHAnsi" w:hAnsiTheme="majorHAnsi" w:cstheme="majorHAnsi"/>
          <w:shd w:val="clear" w:color="auto" w:fill="FFFFFF"/>
        </w:rPr>
      </w:pPr>
    </w:p>
    <w:p w14:paraId="5514CD4A" w14:textId="0639A863" w:rsidR="00410170" w:rsidRPr="00F65131" w:rsidRDefault="00083248" w:rsidP="000E40CF">
      <w:pPr>
        <w:spacing w:line="360" w:lineRule="auto"/>
        <w:rPr>
          <w:rFonts w:asciiTheme="majorHAnsi" w:hAnsiTheme="majorHAnsi" w:cstheme="majorHAnsi"/>
          <w:shd w:val="clear" w:color="auto" w:fill="FFFFFF"/>
        </w:rPr>
      </w:pPr>
      <w:bookmarkStart w:id="9" w:name="_Hlk120050591"/>
      <w:proofErr w:type="spellStart"/>
      <w:r w:rsidRPr="00F65131">
        <w:rPr>
          <w:rFonts w:asciiTheme="majorHAnsi" w:hAnsiTheme="majorHAnsi" w:cstheme="majorHAnsi"/>
          <w:shd w:val="clear" w:color="auto" w:fill="FFFFFF"/>
        </w:rPr>
        <w:t>Sasindran</w:t>
      </w:r>
      <w:proofErr w:type="spellEnd"/>
      <w:r w:rsidRPr="00F65131">
        <w:rPr>
          <w:rFonts w:asciiTheme="majorHAnsi" w:hAnsiTheme="majorHAnsi" w:cstheme="majorHAnsi"/>
          <w:shd w:val="clear" w:color="auto" w:fill="FFFFFF"/>
        </w:rPr>
        <w:t xml:space="preserve">, S.J. and </w:t>
      </w:r>
      <w:proofErr w:type="spellStart"/>
      <w:r w:rsidRPr="00F65131">
        <w:rPr>
          <w:rFonts w:asciiTheme="majorHAnsi" w:hAnsiTheme="majorHAnsi" w:cstheme="majorHAnsi"/>
          <w:shd w:val="clear" w:color="auto" w:fill="FFFFFF"/>
        </w:rPr>
        <w:t>Torrelles</w:t>
      </w:r>
      <w:proofErr w:type="spellEnd"/>
      <w:r w:rsidRPr="00F65131">
        <w:rPr>
          <w:rFonts w:asciiTheme="majorHAnsi" w:hAnsiTheme="majorHAnsi" w:cstheme="majorHAnsi"/>
          <w:shd w:val="clear" w:color="auto" w:fill="FFFFFF"/>
        </w:rPr>
        <w:t>, J.B., 2011</w:t>
      </w:r>
      <w:bookmarkEnd w:id="9"/>
      <w:r w:rsidRPr="00F65131">
        <w:rPr>
          <w:rFonts w:asciiTheme="majorHAnsi" w:hAnsiTheme="majorHAnsi" w:cstheme="majorHAnsi"/>
          <w:shd w:val="clear" w:color="auto" w:fill="FFFFFF"/>
        </w:rPr>
        <w:t xml:space="preserve">. Mycobacterium Tuberculosis Infection and Inflammation: what is Beneficial for the Host and for the </w:t>
      </w:r>
      <w:proofErr w:type="gramStart"/>
      <w:r w:rsidRPr="00F65131">
        <w:rPr>
          <w:rFonts w:asciiTheme="majorHAnsi" w:hAnsiTheme="majorHAnsi" w:cstheme="majorHAnsi"/>
          <w:shd w:val="clear" w:color="auto" w:fill="FFFFFF"/>
        </w:rPr>
        <w:t>Bacterium?.</w:t>
      </w:r>
      <w:proofErr w:type="gramEnd"/>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Frontiers in microbiology</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2</w:t>
      </w:r>
      <w:r w:rsidRPr="00F65131">
        <w:rPr>
          <w:rFonts w:asciiTheme="majorHAnsi" w:hAnsiTheme="majorHAnsi" w:cstheme="majorHAnsi"/>
          <w:shd w:val="clear" w:color="auto" w:fill="FFFFFF"/>
        </w:rPr>
        <w:t>, p.2.</w:t>
      </w:r>
    </w:p>
    <w:p w14:paraId="6BFF553A" w14:textId="77777777" w:rsidR="000E40CF" w:rsidRPr="00F65131" w:rsidRDefault="000E40CF" w:rsidP="000E40CF">
      <w:pPr>
        <w:spacing w:line="360" w:lineRule="auto"/>
        <w:rPr>
          <w:rFonts w:asciiTheme="majorHAnsi" w:hAnsiTheme="majorHAnsi" w:cstheme="majorHAnsi"/>
          <w:shd w:val="clear" w:color="auto" w:fill="FFFFFF"/>
        </w:rPr>
      </w:pPr>
    </w:p>
    <w:p w14:paraId="34E02D70" w14:textId="4A7B01C2" w:rsidR="000216C7" w:rsidRPr="00F65131" w:rsidRDefault="00410170" w:rsidP="000E40CF">
      <w:pPr>
        <w:spacing w:line="360" w:lineRule="auto"/>
        <w:rPr>
          <w:rFonts w:asciiTheme="majorHAnsi" w:hAnsiTheme="majorHAnsi" w:cstheme="majorHAnsi"/>
          <w:shd w:val="clear" w:color="auto" w:fill="FFFFFF"/>
        </w:rPr>
      </w:pPr>
      <w:proofErr w:type="spellStart"/>
      <w:r w:rsidRPr="00F65131">
        <w:rPr>
          <w:rFonts w:asciiTheme="majorHAnsi" w:hAnsiTheme="majorHAnsi" w:cstheme="majorHAnsi"/>
          <w:shd w:val="clear" w:color="auto" w:fill="FFFFFF"/>
        </w:rPr>
        <w:t>Selgelid</w:t>
      </w:r>
      <w:proofErr w:type="spellEnd"/>
      <w:r w:rsidRPr="00F65131">
        <w:rPr>
          <w:rFonts w:asciiTheme="majorHAnsi" w:hAnsiTheme="majorHAnsi" w:cstheme="majorHAnsi"/>
          <w:shd w:val="clear" w:color="auto" w:fill="FFFFFF"/>
        </w:rPr>
        <w:t>, M.J., 2007. Ethics and drug resistance. </w:t>
      </w:r>
      <w:r w:rsidRPr="00F65131">
        <w:rPr>
          <w:rFonts w:asciiTheme="majorHAnsi" w:hAnsiTheme="majorHAnsi" w:cstheme="majorHAnsi"/>
          <w:i/>
          <w:iCs/>
          <w:shd w:val="clear" w:color="auto" w:fill="FFFFFF"/>
        </w:rPr>
        <w:t>Bioethics</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21</w:t>
      </w:r>
      <w:r w:rsidRPr="00F65131">
        <w:rPr>
          <w:rFonts w:asciiTheme="majorHAnsi" w:hAnsiTheme="majorHAnsi" w:cstheme="majorHAnsi"/>
          <w:shd w:val="clear" w:color="auto" w:fill="FFFFFF"/>
        </w:rPr>
        <w:t>(4), pp.218-229.</w:t>
      </w:r>
      <w:r w:rsidR="00A13A7B" w:rsidRPr="00F65131">
        <w:rPr>
          <w:rFonts w:asciiTheme="majorHAnsi" w:hAnsiTheme="majorHAnsi" w:cstheme="majorHAnsi"/>
          <w:shd w:val="clear" w:color="auto" w:fill="FFFFFF"/>
        </w:rPr>
        <w:t xml:space="preserve"> </w:t>
      </w:r>
    </w:p>
    <w:p w14:paraId="6090AF29" w14:textId="77777777" w:rsidR="000E40CF" w:rsidRPr="00F65131" w:rsidRDefault="000E40CF" w:rsidP="000E40CF">
      <w:pPr>
        <w:spacing w:line="360" w:lineRule="auto"/>
        <w:rPr>
          <w:rFonts w:asciiTheme="majorHAnsi" w:hAnsiTheme="majorHAnsi" w:cstheme="majorHAnsi"/>
          <w:shd w:val="clear" w:color="auto" w:fill="FFFFFF"/>
        </w:rPr>
      </w:pPr>
      <w:bookmarkStart w:id="10" w:name="_Hlk120062242"/>
    </w:p>
    <w:p w14:paraId="1CD616FB" w14:textId="3D758589" w:rsidR="00A13A7B" w:rsidRPr="00F65131" w:rsidRDefault="00410170" w:rsidP="000E40CF">
      <w:pPr>
        <w:spacing w:line="360" w:lineRule="auto"/>
        <w:rPr>
          <w:rFonts w:asciiTheme="majorHAnsi" w:hAnsiTheme="majorHAnsi" w:cstheme="majorHAnsi"/>
          <w:shd w:val="clear" w:color="auto" w:fill="FFFFFF"/>
        </w:rPr>
      </w:pPr>
      <w:proofErr w:type="spellStart"/>
      <w:r w:rsidRPr="00F65131">
        <w:rPr>
          <w:rFonts w:asciiTheme="majorHAnsi" w:hAnsiTheme="majorHAnsi" w:cstheme="majorHAnsi"/>
          <w:shd w:val="clear" w:color="auto" w:fill="FFFFFF"/>
        </w:rPr>
        <w:t>Spowage</w:t>
      </w:r>
      <w:proofErr w:type="spellEnd"/>
      <w:r w:rsidRPr="00F65131">
        <w:rPr>
          <w:rFonts w:asciiTheme="majorHAnsi" w:hAnsiTheme="majorHAnsi" w:cstheme="majorHAnsi"/>
          <w:shd w:val="clear" w:color="auto" w:fill="FFFFFF"/>
        </w:rPr>
        <w:t>, L. and Beckett, G., 2016</w:t>
      </w:r>
      <w:bookmarkEnd w:id="10"/>
      <w:r w:rsidRPr="00F65131">
        <w:rPr>
          <w:rFonts w:asciiTheme="majorHAnsi" w:hAnsiTheme="majorHAnsi" w:cstheme="majorHAnsi"/>
          <w:shd w:val="clear" w:color="auto" w:fill="FFFFFF"/>
        </w:rPr>
        <w:t>. Notifiable disease in the UK: A brief guide for primary care. </w:t>
      </w:r>
      <w:r w:rsidRPr="00F65131">
        <w:rPr>
          <w:rFonts w:asciiTheme="majorHAnsi" w:hAnsiTheme="majorHAnsi" w:cstheme="majorHAnsi"/>
          <w:i/>
          <w:iCs/>
          <w:shd w:val="clear" w:color="auto" w:fill="FFFFFF"/>
        </w:rPr>
        <w:t>Practice Nursing</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27</w:t>
      </w:r>
      <w:r w:rsidRPr="00F65131">
        <w:rPr>
          <w:rFonts w:asciiTheme="majorHAnsi" w:hAnsiTheme="majorHAnsi" w:cstheme="majorHAnsi"/>
          <w:shd w:val="clear" w:color="auto" w:fill="FFFFFF"/>
        </w:rPr>
        <w:t>(3), pp.128-131.</w:t>
      </w:r>
      <w:r w:rsidR="001D0277" w:rsidRPr="00F65131">
        <w:rPr>
          <w:rFonts w:asciiTheme="majorHAnsi" w:hAnsiTheme="majorHAnsi" w:cstheme="majorHAnsi"/>
          <w:shd w:val="clear" w:color="auto" w:fill="FFFFFF"/>
        </w:rPr>
        <w:t xml:space="preserve"> </w:t>
      </w:r>
    </w:p>
    <w:p w14:paraId="790AEE62" w14:textId="77777777" w:rsidR="000E40CF" w:rsidRPr="00F65131" w:rsidRDefault="000E40CF" w:rsidP="000E40CF">
      <w:pPr>
        <w:spacing w:line="360" w:lineRule="auto"/>
        <w:rPr>
          <w:rFonts w:asciiTheme="majorHAnsi" w:hAnsiTheme="majorHAnsi" w:cstheme="majorHAnsi"/>
          <w:shd w:val="clear" w:color="auto" w:fill="FFFFFF"/>
        </w:rPr>
      </w:pPr>
    </w:p>
    <w:p w14:paraId="1820D072" w14:textId="299CA24B" w:rsidR="00A13A7B" w:rsidRPr="00F65131" w:rsidRDefault="00A13A7B" w:rsidP="000E40CF">
      <w:pPr>
        <w:spacing w:line="360" w:lineRule="auto"/>
        <w:rPr>
          <w:rFonts w:asciiTheme="majorHAnsi" w:hAnsiTheme="majorHAnsi" w:cstheme="majorHAnsi"/>
          <w:shd w:val="clear" w:color="auto" w:fill="FFFFFF"/>
        </w:rPr>
      </w:pPr>
      <w:r w:rsidRPr="00F65131">
        <w:rPr>
          <w:rFonts w:asciiTheme="majorHAnsi" w:hAnsiTheme="majorHAnsi" w:cstheme="majorHAnsi"/>
          <w:shd w:val="clear" w:color="auto" w:fill="FFFFFF"/>
        </w:rPr>
        <w:lastRenderedPageBreak/>
        <w:t xml:space="preserve">Song, W.M., Liu, J.Y., Fu, Q., Xu, T.T., Li, S.J., Tao, N.N., Zhang, Q.Y., Liu, S.Q., An, Q.Q., Zhu, X.H. and Liu, Y., 2021. The Impact of Alcohol Drinking </w:t>
      </w:r>
      <w:proofErr w:type="gramStart"/>
      <w:r w:rsidRPr="00F65131">
        <w:rPr>
          <w:rFonts w:asciiTheme="majorHAnsi" w:hAnsiTheme="majorHAnsi" w:cstheme="majorHAnsi"/>
          <w:shd w:val="clear" w:color="auto" w:fill="FFFFFF"/>
        </w:rPr>
        <w:t>And</w:t>
      </w:r>
      <w:proofErr w:type="gramEnd"/>
      <w:r w:rsidRPr="00F65131">
        <w:rPr>
          <w:rFonts w:asciiTheme="majorHAnsi" w:hAnsiTheme="majorHAnsi" w:cstheme="majorHAnsi"/>
          <w:shd w:val="clear" w:color="auto" w:fill="FFFFFF"/>
        </w:rPr>
        <w:t xml:space="preserve"> Tobacco Smoking On The Drug-Resistance of Newly Diagnosed Tuberculosis.</w:t>
      </w:r>
    </w:p>
    <w:p w14:paraId="3EEC313C" w14:textId="77777777" w:rsidR="000E40CF" w:rsidRPr="00F65131" w:rsidRDefault="000E40CF" w:rsidP="000E40CF">
      <w:pPr>
        <w:spacing w:line="360" w:lineRule="auto"/>
        <w:rPr>
          <w:rFonts w:asciiTheme="majorHAnsi" w:hAnsiTheme="majorHAnsi" w:cstheme="majorHAnsi"/>
          <w:shd w:val="clear" w:color="auto" w:fill="FFFFFF"/>
        </w:rPr>
      </w:pPr>
    </w:p>
    <w:p w14:paraId="15E93CE2" w14:textId="33682F52" w:rsidR="001D0277" w:rsidRPr="00F65131" w:rsidRDefault="001D0277" w:rsidP="000E40CF">
      <w:pPr>
        <w:spacing w:line="360" w:lineRule="auto"/>
        <w:rPr>
          <w:rFonts w:asciiTheme="majorHAnsi" w:hAnsiTheme="majorHAnsi" w:cstheme="majorHAnsi"/>
          <w:shd w:val="clear" w:color="auto" w:fill="FFFFFF"/>
        </w:rPr>
      </w:pPr>
      <w:r w:rsidRPr="00F65131">
        <w:rPr>
          <w:rFonts w:asciiTheme="majorHAnsi" w:hAnsiTheme="majorHAnsi" w:cstheme="majorHAnsi"/>
          <w:shd w:val="clear" w:color="auto" w:fill="FFFFFF"/>
        </w:rPr>
        <w:t xml:space="preserve">Visca, D., Ong, C.W.M., </w:t>
      </w:r>
      <w:proofErr w:type="spellStart"/>
      <w:r w:rsidRPr="00F65131">
        <w:rPr>
          <w:rFonts w:asciiTheme="majorHAnsi" w:hAnsiTheme="majorHAnsi" w:cstheme="majorHAnsi"/>
          <w:shd w:val="clear" w:color="auto" w:fill="FFFFFF"/>
        </w:rPr>
        <w:t>Tiberi</w:t>
      </w:r>
      <w:proofErr w:type="spellEnd"/>
      <w:r w:rsidRPr="00F65131">
        <w:rPr>
          <w:rFonts w:asciiTheme="majorHAnsi" w:hAnsiTheme="majorHAnsi" w:cstheme="majorHAnsi"/>
          <w:shd w:val="clear" w:color="auto" w:fill="FFFFFF"/>
        </w:rPr>
        <w:t xml:space="preserve">, S., </w:t>
      </w:r>
      <w:proofErr w:type="spellStart"/>
      <w:r w:rsidRPr="00F65131">
        <w:rPr>
          <w:rFonts w:asciiTheme="majorHAnsi" w:hAnsiTheme="majorHAnsi" w:cstheme="majorHAnsi"/>
          <w:shd w:val="clear" w:color="auto" w:fill="FFFFFF"/>
        </w:rPr>
        <w:t>Centis</w:t>
      </w:r>
      <w:proofErr w:type="spellEnd"/>
      <w:r w:rsidRPr="00F65131">
        <w:rPr>
          <w:rFonts w:asciiTheme="majorHAnsi" w:hAnsiTheme="majorHAnsi" w:cstheme="majorHAnsi"/>
          <w:shd w:val="clear" w:color="auto" w:fill="FFFFFF"/>
        </w:rPr>
        <w:t xml:space="preserve">, R., </w:t>
      </w:r>
      <w:proofErr w:type="spellStart"/>
      <w:r w:rsidRPr="00F65131">
        <w:rPr>
          <w:rFonts w:asciiTheme="majorHAnsi" w:hAnsiTheme="majorHAnsi" w:cstheme="majorHAnsi"/>
          <w:shd w:val="clear" w:color="auto" w:fill="FFFFFF"/>
        </w:rPr>
        <w:t>D’ambrosio</w:t>
      </w:r>
      <w:proofErr w:type="spellEnd"/>
      <w:r w:rsidRPr="00F65131">
        <w:rPr>
          <w:rFonts w:asciiTheme="majorHAnsi" w:hAnsiTheme="majorHAnsi" w:cstheme="majorHAnsi"/>
          <w:shd w:val="clear" w:color="auto" w:fill="FFFFFF"/>
        </w:rPr>
        <w:t xml:space="preserve">, L., Chen, B., Mueller, J., Mueller, P., Duarte, R., </w:t>
      </w:r>
      <w:proofErr w:type="spellStart"/>
      <w:r w:rsidRPr="00F65131">
        <w:rPr>
          <w:rFonts w:asciiTheme="majorHAnsi" w:hAnsiTheme="majorHAnsi" w:cstheme="majorHAnsi"/>
          <w:shd w:val="clear" w:color="auto" w:fill="FFFFFF"/>
        </w:rPr>
        <w:t>Dalcolmo</w:t>
      </w:r>
      <w:proofErr w:type="spellEnd"/>
      <w:r w:rsidRPr="00F65131">
        <w:rPr>
          <w:rFonts w:asciiTheme="majorHAnsi" w:hAnsiTheme="majorHAnsi" w:cstheme="majorHAnsi"/>
          <w:shd w:val="clear" w:color="auto" w:fill="FFFFFF"/>
        </w:rPr>
        <w:t xml:space="preserve">, M. and </w:t>
      </w:r>
      <w:proofErr w:type="spellStart"/>
      <w:r w:rsidRPr="00F65131">
        <w:rPr>
          <w:rFonts w:asciiTheme="majorHAnsi" w:hAnsiTheme="majorHAnsi" w:cstheme="majorHAnsi"/>
          <w:shd w:val="clear" w:color="auto" w:fill="FFFFFF"/>
        </w:rPr>
        <w:t>Sotgiu</w:t>
      </w:r>
      <w:proofErr w:type="spellEnd"/>
      <w:r w:rsidRPr="00F65131">
        <w:rPr>
          <w:rFonts w:asciiTheme="majorHAnsi" w:hAnsiTheme="majorHAnsi" w:cstheme="majorHAnsi"/>
          <w:shd w:val="clear" w:color="auto" w:fill="FFFFFF"/>
        </w:rPr>
        <w:t xml:space="preserve">, G., 2021. </w:t>
      </w:r>
      <w:r w:rsidR="00BE4E64" w:rsidRPr="00F65131">
        <w:rPr>
          <w:rFonts w:asciiTheme="majorHAnsi" w:hAnsiTheme="majorHAnsi" w:cstheme="majorHAnsi"/>
          <w:shd w:val="clear" w:color="auto" w:fill="FFFFFF"/>
        </w:rPr>
        <w:t>TB</w:t>
      </w:r>
      <w:r w:rsidRPr="00F65131">
        <w:rPr>
          <w:rFonts w:asciiTheme="majorHAnsi" w:hAnsiTheme="majorHAnsi" w:cstheme="majorHAnsi"/>
          <w:shd w:val="clear" w:color="auto" w:fill="FFFFFF"/>
        </w:rPr>
        <w:t xml:space="preserve"> and COVID-19 interaction: a review of biological, </w:t>
      </w:r>
      <w:proofErr w:type="gramStart"/>
      <w:r w:rsidRPr="00F65131">
        <w:rPr>
          <w:rFonts w:asciiTheme="majorHAnsi" w:hAnsiTheme="majorHAnsi" w:cstheme="majorHAnsi"/>
          <w:shd w:val="clear" w:color="auto" w:fill="FFFFFF"/>
        </w:rPr>
        <w:t>clinical</w:t>
      </w:r>
      <w:proofErr w:type="gramEnd"/>
      <w:r w:rsidRPr="00F65131">
        <w:rPr>
          <w:rFonts w:asciiTheme="majorHAnsi" w:hAnsiTheme="majorHAnsi" w:cstheme="majorHAnsi"/>
          <w:shd w:val="clear" w:color="auto" w:fill="FFFFFF"/>
        </w:rPr>
        <w:t xml:space="preserve"> and public health effects. </w:t>
      </w:r>
      <w:r w:rsidRPr="00F65131">
        <w:rPr>
          <w:rFonts w:asciiTheme="majorHAnsi" w:hAnsiTheme="majorHAnsi" w:cstheme="majorHAnsi"/>
          <w:i/>
          <w:iCs/>
          <w:shd w:val="clear" w:color="auto" w:fill="FFFFFF"/>
        </w:rPr>
        <w:t>Pulmonology</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27</w:t>
      </w:r>
      <w:r w:rsidRPr="00F65131">
        <w:rPr>
          <w:rFonts w:asciiTheme="majorHAnsi" w:hAnsiTheme="majorHAnsi" w:cstheme="majorHAnsi"/>
          <w:shd w:val="clear" w:color="auto" w:fill="FFFFFF"/>
        </w:rPr>
        <w:t>(2), pp.151-165.</w:t>
      </w:r>
    </w:p>
    <w:p w14:paraId="04F18629" w14:textId="77777777" w:rsidR="000E40CF" w:rsidRPr="00F65131" w:rsidRDefault="000E40CF" w:rsidP="000E40CF">
      <w:pPr>
        <w:spacing w:line="360" w:lineRule="auto"/>
        <w:rPr>
          <w:rFonts w:asciiTheme="majorHAnsi" w:hAnsiTheme="majorHAnsi" w:cstheme="majorHAnsi"/>
          <w:shd w:val="clear" w:color="auto" w:fill="FFFFFF"/>
        </w:rPr>
      </w:pPr>
    </w:p>
    <w:p w14:paraId="1584C3B6" w14:textId="0629997A" w:rsidR="00E9633E" w:rsidRPr="00F65131" w:rsidRDefault="00E9633E" w:rsidP="000E40CF">
      <w:pPr>
        <w:spacing w:line="360" w:lineRule="auto"/>
        <w:rPr>
          <w:rFonts w:asciiTheme="majorHAnsi" w:hAnsiTheme="majorHAnsi" w:cstheme="majorHAnsi"/>
          <w:shd w:val="clear" w:color="auto" w:fill="FFFFFF"/>
        </w:rPr>
      </w:pPr>
      <w:r w:rsidRPr="00F65131">
        <w:rPr>
          <w:rFonts w:asciiTheme="majorHAnsi" w:hAnsiTheme="majorHAnsi" w:cstheme="majorHAnsi"/>
          <w:shd w:val="clear" w:color="auto" w:fill="FFFFFF"/>
        </w:rPr>
        <w:t xml:space="preserve">World Health Organization, 2022. Global </w:t>
      </w:r>
      <w:r w:rsidR="00BE4E64" w:rsidRPr="00F65131">
        <w:rPr>
          <w:rFonts w:asciiTheme="majorHAnsi" w:hAnsiTheme="majorHAnsi" w:cstheme="majorHAnsi"/>
          <w:shd w:val="clear" w:color="auto" w:fill="FFFFFF"/>
        </w:rPr>
        <w:t>TB</w:t>
      </w:r>
      <w:r w:rsidRPr="00F65131">
        <w:rPr>
          <w:rFonts w:asciiTheme="majorHAnsi" w:hAnsiTheme="majorHAnsi" w:cstheme="majorHAnsi"/>
          <w:shd w:val="clear" w:color="auto" w:fill="FFFFFF"/>
        </w:rPr>
        <w:t xml:space="preserve"> report 2021: supplementary material.</w:t>
      </w:r>
    </w:p>
    <w:p w14:paraId="688B1C92" w14:textId="77777777" w:rsidR="000E40CF" w:rsidRPr="00F65131" w:rsidRDefault="000E40CF" w:rsidP="000E40CF">
      <w:pPr>
        <w:spacing w:line="360" w:lineRule="auto"/>
        <w:rPr>
          <w:rFonts w:asciiTheme="majorHAnsi" w:hAnsiTheme="majorHAnsi" w:cstheme="majorHAnsi"/>
          <w:shd w:val="clear" w:color="auto" w:fill="FFFFFF"/>
        </w:rPr>
      </w:pPr>
    </w:p>
    <w:p w14:paraId="1928E8CD" w14:textId="40B48625" w:rsidR="00410170" w:rsidRPr="00F65131" w:rsidRDefault="00410170" w:rsidP="000E40CF">
      <w:pPr>
        <w:spacing w:line="360" w:lineRule="auto"/>
        <w:rPr>
          <w:rFonts w:asciiTheme="majorHAnsi" w:hAnsiTheme="majorHAnsi" w:cstheme="majorHAnsi"/>
          <w:shd w:val="clear" w:color="auto" w:fill="FFFFFF"/>
        </w:rPr>
      </w:pPr>
      <w:r w:rsidRPr="00F65131">
        <w:rPr>
          <w:rFonts w:asciiTheme="majorHAnsi" w:hAnsiTheme="majorHAnsi" w:cstheme="majorHAnsi"/>
          <w:shd w:val="clear" w:color="auto" w:fill="FFFFFF"/>
        </w:rPr>
        <w:t xml:space="preserve">Young, C., Chawla, A., Berardi, V., Padbury, J., </w:t>
      </w:r>
      <w:proofErr w:type="spellStart"/>
      <w:r w:rsidRPr="00F65131">
        <w:rPr>
          <w:rFonts w:asciiTheme="majorHAnsi" w:hAnsiTheme="majorHAnsi" w:cstheme="majorHAnsi"/>
          <w:shd w:val="clear" w:color="auto" w:fill="FFFFFF"/>
        </w:rPr>
        <w:t>Skowron</w:t>
      </w:r>
      <w:proofErr w:type="spellEnd"/>
      <w:r w:rsidRPr="00F65131">
        <w:rPr>
          <w:rFonts w:asciiTheme="majorHAnsi" w:hAnsiTheme="majorHAnsi" w:cstheme="majorHAnsi"/>
          <w:shd w:val="clear" w:color="auto" w:fill="FFFFFF"/>
        </w:rPr>
        <w:t>, G., Krause, P.J. and Babesia Testing Investigational Containment Study Group, 2012. Preventing transfusion</w:t>
      </w:r>
      <w:r w:rsidRPr="00F65131">
        <w:rPr>
          <w:rFonts w:ascii="Cambria Math" w:hAnsi="Cambria Math" w:cs="Cambria Math"/>
          <w:shd w:val="clear" w:color="auto" w:fill="FFFFFF"/>
        </w:rPr>
        <w:t>‐</w:t>
      </w:r>
      <w:r w:rsidRPr="00F65131">
        <w:rPr>
          <w:rFonts w:asciiTheme="majorHAnsi" w:hAnsiTheme="majorHAnsi" w:cstheme="majorHAnsi"/>
          <w:shd w:val="clear" w:color="auto" w:fill="FFFFFF"/>
        </w:rPr>
        <w:t>transmitted babesiosis: preliminary experience of the first laboratory</w:t>
      </w:r>
      <w:r w:rsidRPr="00F65131">
        <w:rPr>
          <w:rFonts w:ascii="Cambria Math" w:hAnsi="Cambria Math" w:cs="Cambria Math"/>
          <w:shd w:val="clear" w:color="auto" w:fill="FFFFFF"/>
        </w:rPr>
        <w:t>‐</w:t>
      </w:r>
      <w:r w:rsidRPr="00F65131">
        <w:rPr>
          <w:rFonts w:asciiTheme="majorHAnsi" w:hAnsiTheme="majorHAnsi" w:cstheme="majorHAnsi"/>
          <w:shd w:val="clear" w:color="auto" w:fill="FFFFFF"/>
        </w:rPr>
        <w:t>based blood donor screening program. </w:t>
      </w:r>
      <w:r w:rsidRPr="00F65131">
        <w:rPr>
          <w:rFonts w:asciiTheme="majorHAnsi" w:hAnsiTheme="majorHAnsi" w:cstheme="majorHAnsi"/>
          <w:i/>
          <w:iCs/>
          <w:shd w:val="clear" w:color="auto" w:fill="FFFFFF"/>
        </w:rPr>
        <w:t>Transfusion</w:t>
      </w:r>
      <w:r w:rsidRPr="00F65131">
        <w:rPr>
          <w:rFonts w:asciiTheme="majorHAnsi" w:hAnsiTheme="majorHAnsi" w:cstheme="majorHAnsi"/>
          <w:shd w:val="clear" w:color="auto" w:fill="FFFFFF"/>
        </w:rPr>
        <w:t>, </w:t>
      </w:r>
      <w:r w:rsidRPr="00F65131">
        <w:rPr>
          <w:rFonts w:asciiTheme="majorHAnsi" w:hAnsiTheme="majorHAnsi" w:cstheme="majorHAnsi"/>
          <w:i/>
          <w:iCs/>
          <w:shd w:val="clear" w:color="auto" w:fill="FFFFFF"/>
        </w:rPr>
        <w:t>52</w:t>
      </w:r>
      <w:r w:rsidRPr="00F65131">
        <w:rPr>
          <w:rFonts w:asciiTheme="majorHAnsi" w:hAnsiTheme="majorHAnsi" w:cstheme="majorHAnsi"/>
          <w:shd w:val="clear" w:color="auto" w:fill="FFFFFF"/>
        </w:rPr>
        <w:t>(7), pp.1523-1529.</w:t>
      </w:r>
    </w:p>
    <w:p w14:paraId="6DFEBA57" w14:textId="603F8FBE" w:rsidR="002721B4" w:rsidRPr="00F65131" w:rsidRDefault="002721B4" w:rsidP="002F6510">
      <w:pPr>
        <w:spacing w:line="360" w:lineRule="auto"/>
        <w:rPr>
          <w:rFonts w:ascii="Arial" w:hAnsi="Arial" w:cs="Arial"/>
          <w:shd w:val="clear" w:color="auto" w:fill="FFFFFF"/>
        </w:rPr>
      </w:pPr>
    </w:p>
    <w:p w14:paraId="017A5AD9" w14:textId="77777777" w:rsidR="002721B4" w:rsidRPr="0041662D" w:rsidRDefault="002721B4" w:rsidP="002F6510">
      <w:pPr>
        <w:spacing w:line="360" w:lineRule="auto"/>
        <w:rPr>
          <w:rFonts w:ascii="Arial" w:hAnsi="Arial" w:cs="Arial"/>
          <w:color w:val="222222"/>
          <w:shd w:val="clear" w:color="auto" w:fill="FFFFFF"/>
        </w:rPr>
      </w:pPr>
    </w:p>
    <w:p w14:paraId="40C32705" w14:textId="77777777" w:rsidR="00083871" w:rsidRPr="0041662D" w:rsidRDefault="00083871" w:rsidP="002F6510">
      <w:pPr>
        <w:spacing w:line="360" w:lineRule="auto"/>
        <w:rPr>
          <w:rFonts w:ascii="Arial" w:hAnsi="Arial" w:cs="Arial"/>
          <w:b/>
          <w:bCs/>
          <w:u w:val="single"/>
        </w:rPr>
      </w:pPr>
    </w:p>
    <w:sectPr w:rsidR="00083871" w:rsidRPr="004166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C7A69" w14:textId="77777777" w:rsidR="00DF73F4" w:rsidRDefault="00DF73F4" w:rsidP="00713D22">
      <w:pPr>
        <w:spacing w:after="0" w:line="240" w:lineRule="auto"/>
      </w:pPr>
      <w:r>
        <w:separator/>
      </w:r>
    </w:p>
  </w:endnote>
  <w:endnote w:type="continuationSeparator" w:id="0">
    <w:p w14:paraId="56D24820" w14:textId="77777777" w:rsidR="00DF73F4" w:rsidRDefault="00DF73F4" w:rsidP="00713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B0C81" w14:textId="77777777" w:rsidR="00DF73F4" w:rsidRDefault="00DF73F4" w:rsidP="00713D22">
      <w:pPr>
        <w:spacing w:after="0" w:line="240" w:lineRule="auto"/>
      </w:pPr>
      <w:r>
        <w:separator/>
      </w:r>
    </w:p>
  </w:footnote>
  <w:footnote w:type="continuationSeparator" w:id="0">
    <w:p w14:paraId="2AE2FB8C" w14:textId="77777777" w:rsidR="00DF73F4" w:rsidRDefault="00DF73F4" w:rsidP="00713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B0B07"/>
    <w:multiLevelType w:val="hybridMultilevel"/>
    <w:tmpl w:val="480208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76945"/>
    <w:multiLevelType w:val="multilevel"/>
    <w:tmpl w:val="7ABE3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05BE6"/>
    <w:multiLevelType w:val="multilevel"/>
    <w:tmpl w:val="B10E120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 w15:restartNumberingAfterBreak="0">
    <w:nsid w:val="27994C16"/>
    <w:multiLevelType w:val="multilevel"/>
    <w:tmpl w:val="4E9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211749"/>
    <w:multiLevelType w:val="hybridMultilevel"/>
    <w:tmpl w:val="E58CDA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D5CE5"/>
    <w:multiLevelType w:val="hybridMultilevel"/>
    <w:tmpl w:val="2F90F1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7D330B"/>
    <w:multiLevelType w:val="hybridMultilevel"/>
    <w:tmpl w:val="B2F27500"/>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7" w15:restartNumberingAfterBreak="0">
    <w:nsid w:val="2E6F26B3"/>
    <w:multiLevelType w:val="hybridMultilevel"/>
    <w:tmpl w:val="6E425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A1979"/>
    <w:multiLevelType w:val="multilevel"/>
    <w:tmpl w:val="BF20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606BA7"/>
    <w:multiLevelType w:val="multilevel"/>
    <w:tmpl w:val="63C2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42547F5"/>
    <w:multiLevelType w:val="hybridMultilevel"/>
    <w:tmpl w:val="A00A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DC2795"/>
    <w:multiLevelType w:val="multilevel"/>
    <w:tmpl w:val="8F368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6612DC"/>
    <w:multiLevelType w:val="multilevel"/>
    <w:tmpl w:val="5668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D32DA6"/>
    <w:multiLevelType w:val="multilevel"/>
    <w:tmpl w:val="EA62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F773BF"/>
    <w:multiLevelType w:val="hybridMultilevel"/>
    <w:tmpl w:val="75E8E26E"/>
    <w:lvl w:ilvl="0" w:tplc="A16C4D44">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6583228D"/>
    <w:multiLevelType w:val="hybridMultilevel"/>
    <w:tmpl w:val="5712DD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473664">
    <w:abstractNumId w:val="15"/>
  </w:num>
  <w:num w:numId="2" w16cid:durableId="1847400009">
    <w:abstractNumId w:val="6"/>
  </w:num>
  <w:num w:numId="3" w16cid:durableId="1925996234">
    <w:abstractNumId w:val="11"/>
  </w:num>
  <w:num w:numId="4" w16cid:durableId="1032144843">
    <w:abstractNumId w:val="3"/>
  </w:num>
  <w:num w:numId="5" w16cid:durableId="2120640837">
    <w:abstractNumId w:val="13"/>
  </w:num>
  <w:num w:numId="6" w16cid:durableId="1421639666">
    <w:abstractNumId w:val="9"/>
  </w:num>
  <w:num w:numId="7" w16cid:durableId="931477065">
    <w:abstractNumId w:val="12"/>
  </w:num>
  <w:num w:numId="8" w16cid:durableId="1424179407">
    <w:abstractNumId w:val="8"/>
  </w:num>
  <w:num w:numId="9" w16cid:durableId="1174220204">
    <w:abstractNumId w:val="1"/>
  </w:num>
  <w:num w:numId="10" w16cid:durableId="1097939775">
    <w:abstractNumId w:val="7"/>
  </w:num>
  <w:num w:numId="11" w16cid:durableId="2066487811">
    <w:abstractNumId w:val="4"/>
  </w:num>
  <w:num w:numId="12" w16cid:durableId="601648352">
    <w:abstractNumId w:val="5"/>
  </w:num>
  <w:num w:numId="13" w16cid:durableId="93789278">
    <w:abstractNumId w:val="0"/>
  </w:num>
  <w:num w:numId="14" w16cid:durableId="2079667092">
    <w:abstractNumId w:val="16"/>
  </w:num>
  <w:num w:numId="15" w16cid:durableId="1753500805">
    <w:abstractNumId w:val="14"/>
  </w:num>
  <w:num w:numId="16" w16cid:durableId="1993489230">
    <w:abstractNumId w:val="2"/>
  </w:num>
  <w:num w:numId="17" w16cid:durableId="6163750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3F0"/>
    <w:rsid w:val="00001203"/>
    <w:rsid w:val="000035FA"/>
    <w:rsid w:val="00012B00"/>
    <w:rsid w:val="00012D90"/>
    <w:rsid w:val="00016F37"/>
    <w:rsid w:val="000216C7"/>
    <w:rsid w:val="00023EF4"/>
    <w:rsid w:val="00026A10"/>
    <w:rsid w:val="000304C2"/>
    <w:rsid w:val="00030766"/>
    <w:rsid w:val="00030C52"/>
    <w:rsid w:val="00032E00"/>
    <w:rsid w:val="00033B14"/>
    <w:rsid w:val="00036791"/>
    <w:rsid w:val="00041DF3"/>
    <w:rsid w:val="00046FF6"/>
    <w:rsid w:val="0005178D"/>
    <w:rsid w:val="00052C0C"/>
    <w:rsid w:val="0005334E"/>
    <w:rsid w:val="00053523"/>
    <w:rsid w:val="000535D5"/>
    <w:rsid w:val="00054D7B"/>
    <w:rsid w:val="00055227"/>
    <w:rsid w:val="000652DC"/>
    <w:rsid w:val="000671D5"/>
    <w:rsid w:val="00082E98"/>
    <w:rsid w:val="00083248"/>
    <w:rsid w:val="00083871"/>
    <w:rsid w:val="00084A75"/>
    <w:rsid w:val="00091346"/>
    <w:rsid w:val="00094040"/>
    <w:rsid w:val="000A3237"/>
    <w:rsid w:val="000A53F1"/>
    <w:rsid w:val="000B4738"/>
    <w:rsid w:val="000C0DFA"/>
    <w:rsid w:val="000D0358"/>
    <w:rsid w:val="000D495A"/>
    <w:rsid w:val="000E40CF"/>
    <w:rsid w:val="000E4A4E"/>
    <w:rsid w:val="000E6AD3"/>
    <w:rsid w:val="000F0D33"/>
    <w:rsid w:val="000F2209"/>
    <w:rsid w:val="000F2C80"/>
    <w:rsid w:val="000F57D5"/>
    <w:rsid w:val="00100F32"/>
    <w:rsid w:val="00104AE5"/>
    <w:rsid w:val="0010632C"/>
    <w:rsid w:val="0010665D"/>
    <w:rsid w:val="00117783"/>
    <w:rsid w:val="00130EC0"/>
    <w:rsid w:val="00130FA2"/>
    <w:rsid w:val="00140A50"/>
    <w:rsid w:val="00144D3C"/>
    <w:rsid w:val="001504BA"/>
    <w:rsid w:val="00155701"/>
    <w:rsid w:val="00155BF5"/>
    <w:rsid w:val="00163EFF"/>
    <w:rsid w:val="00171E36"/>
    <w:rsid w:val="0018479C"/>
    <w:rsid w:val="00190932"/>
    <w:rsid w:val="00192131"/>
    <w:rsid w:val="001931FB"/>
    <w:rsid w:val="001A2D0E"/>
    <w:rsid w:val="001B046D"/>
    <w:rsid w:val="001B5C06"/>
    <w:rsid w:val="001C0088"/>
    <w:rsid w:val="001C0F13"/>
    <w:rsid w:val="001C5109"/>
    <w:rsid w:val="001D0277"/>
    <w:rsid w:val="001E46F1"/>
    <w:rsid w:val="001E4907"/>
    <w:rsid w:val="001F0D16"/>
    <w:rsid w:val="001F1FBC"/>
    <w:rsid w:val="001F2CDA"/>
    <w:rsid w:val="001F62FD"/>
    <w:rsid w:val="002000C2"/>
    <w:rsid w:val="00203223"/>
    <w:rsid w:val="00211357"/>
    <w:rsid w:val="00212A18"/>
    <w:rsid w:val="00214A15"/>
    <w:rsid w:val="0021777E"/>
    <w:rsid w:val="00224C59"/>
    <w:rsid w:val="00230160"/>
    <w:rsid w:val="0023051D"/>
    <w:rsid w:val="0023202A"/>
    <w:rsid w:val="00232EA6"/>
    <w:rsid w:val="00243154"/>
    <w:rsid w:val="00244F9B"/>
    <w:rsid w:val="002460A6"/>
    <w:rsid w:val="00254A31"/>
    <w:rsid w:val="0025652A"/>
    <w:rsid w:val="00257862"/>
    <w:rsid w:val="002662ED"/>
    <w:rsid w:val="0027008C"/>
    <w:rsid w:val="002721B4"/>
    <w:rsid w:val="002758F7"/>
    <w:rsid w:val="00276C03"/>
    <w:rsid w:val="00282189"/>
    <w:rsid w:val="0028273E"/>
    <w:rsid w:val="00287A88"/>
    <w:rsid w:val="00290EDD"/>
    <w:rsid w:val="002934C0"/>
    <w:rsid w:val="00297568"/>
    <w:rsid w:val="002A0164"/>
    <w:rsid w:val="002A0456"/>
    <w:rsid w:val="002A3133"/>
    <w:rsid w:val="002A3D56"/>
    <w:rsid w:val="002A737E"/>
    <w:rsid w:val="002B1135"/>
    <w:rsid w:val="002B48A8"/>
    <w:rsid w:val="002B7578"/>
    <w:rsid w:val="002C2DC3"/>
    <w:rsid w:val="002C489C"/>
    <w:rsid w:val="002C7BD3"/>
    <w:rsid w:val="002F1C01"/>
    <w:rsid w:val="002F3190"/>
    <w:rsid w:val="002F33F6"/>
    <w:rsid w:val="002F4488"/>
    <w:rsid w:val="002F59D2"/>
    <w:rsid w:val="002F6510"/>
    <w:rsid w:val="003019B0"/>
    <w:rsid w:val="00305BA7"/>
    <w:rsid w:val="00311923"/>
    <w:rsid w:val="0031200C"/>
    <w:rsid w:val="00322D4F"/>
    <w:rsid w:val="0032605B"/>
    <w:rsid w:val="00333479"/>
    <w:rsid w:val="00337695"/>
    <w:rsid w:val="00337CB8"/>
    <w:rsid w:val="00342202"/>
    <w:rsid w:val="003446C7"/>
    <w:rsid w:val="00346934"/>
    <w:rsid w:val="00347028"/>
    <w:rsid w:val="00362827"/>
    <w:rsid w:val="00362EED"/>
    <w:rsid w:val="00363B6D"/>
    <w:rsid w:val="0036462C"/>
    <w:rsid w:val="0037706F"/>
    <w:rsid w:val="0038326B"/>
    <w:rsid w:val="003842F1"/>
    <w:rsid w:val="00385500"/>
    <w:rsid w:val="00387AC5"/>
    <w:rsid w:val="00390CA8"/>
    <w:rsid w:val="00390F95"/>
    <w:rsid w:val="0039110B"/>
    <w:rsid w:val="003962D6"/>
    <w:rsid w:val="003A0C97"/>
    <w:rsid w:val="003A2BD1"/>
    <w:rsid w:val="003A4985"/>
    <w:rsid w:val="003A4C0C"/>
    <w:rsid w:val="003A4EEE"/>
    <w:rsid w:val="003A5033"/>
    <w:rsid w:val="003B0DAD"/>
    <w:rsid w:val="003B1C78"/>
    <w:rsid w:val="003C0768"/>
    <w:rsid w:val="003C0C96"/>
    <w:rsid w:val="003C24AE"/>
    <w:rsid w:val="003C3380"/>
    <w:rsid w:val="003C651E"/>
    <w:rsid w:val="003C7049"/>
    <w:rsid w:val="003D3B6F"/>
    <w:rsid w:val="003D63A4"/>
    <w:rsid w:val="003E27D1"/>
    <w:rsid w:val="003E7B49"/>
    <w:rsid w:val="003F00CA"/>
    <w:rsid w:val="003F1852"/>
    <w:rsid w:val="003F2AE7"/>
    <w:rsid w:val="003F2F40"/>
    <w:rsid w:val="003F310D"/>
    <w:rsid w:val="003F787C"/>
    <w:rsid w:val="004022E2"/>
    <w:rsid w:val="00406BBA"/>
    <w:rsid w:val="00410170"/>
    <w:rsid w:val="004118DC"/>
    <w:rsid w:val="0041328C"/>
    <w:rsid w:val="0041662D"/>
    <w:rsid w:val="0042448A"/>
    <w:rsid w:val="00425BB1"/>
    <w:rsid w:val="00427C8E"/>
    <w:rsid w:val="00434578"/>
    <w:rsid w:val="00434B8B"/>
    <w:rsid w:val="0046100B"/>
    <w:rsid w:val="004616BD"/>
    <w:rsid w:val="00463AC1"/>
    <w:rsid w:val="00470D59"/>
    <w:rsid w:val="00477287"/>
    <w:rsid w:val="004802BF"/>
    <w:rsid w:val="00483DCA"/>
    <w:rsid w:val="00483EA0"/>
    <w:rsid w:val="00486157"/>
    <w:rsid w:val="00492A43"/>
    <w:rsid w:val="004952A8"/>
    <w:rsid w:val="00497B68"/>
    <w:rsid w:val="004A08E0"/>
    <w:rsid w:val="004A22B5"/>
    <w:rsid w:val="004A2C73"/>
    <w:rsid w:val="004D0FB9"/>
    <w:rsid w:val="004E01B1"/>
    <w:rsid w:val="004E4EBA"/>
    <w:rsid w:val="004E4FCC"/>
    <w:rsid w:val="004E75F9"/>
    <w:rsid w:val="004F0D02"/>
    <w:rsid w:val="004F37B5"/>
    <w:rsid w:val="004F650F"/>
    <w:rsid w:val="004F6D68"/>
    <w:rsid w:val="0050169F"/>
    <w:rsid w:val="00510E39"/>
    <w:rsid w:val="005156EF"/>
    <w:rsid w:val="00521C82"/>
    <w:rsid w:val="00523791"/>
    <w:rsid w:val="00525D77"/>
    <w:rsid w:val="00526BA6"/>
    <w:rsid w:val="0052719E"/>
    <w:rsid w:val="005413E3"/>
    <w:rsid w:val="0055548B"/>
    <w:rsid w:val="005612A6"/>
    <w:rsid w:val="00563954"/>
    <w:rsid w:val="00565AE1"/>
    <w:rsid w:val="00576590"/>
    <w:rsid w:val="00576B3B"/>
    <w:rsid w:val="00581075"/>
    <w:rsid w:val="005828E0"/>
    <w:rsid w:val="00583E5E"/>
    <w:rsid w:val="00584C97"/>
    <w:rsid w:val="00586356"/>
    <w:rsid w:val="00586C71"/>
    <w:rsid w:val="005872BA"/>
    <w:rsid w:val="005A324F"/>
    <w:rsid w:val="005A5005"/>
    <w:rsid w:val="005A6585"/>
    <w:rsid w:val="005B107A"/>
    <w:rsid w:val="005B476F"/>
    <w:rsid w:val="005C16CC"/>
    <w:rsid w:val="005C1E50"/>
    <w:rsid w:val="005C369B"/>
    <w:rsid w:val="005C44A6"/>
    <w:rsid w:val="005C5EF5"/>
    <w:rsid w:val="005C7727"/>
    <w:rsid w:val="005C79F5"/>
    <w:rsid w:val="005D2E5A"/>
    <w:rsid w:val="005D3B1B"/>
    <w:rsid w:val="005D4A89"/>
    <w:rsid w:val="005F4EED"/>
    <w:rsid w:val="00605DAC"/>
    <w:rsid w:val="0061177F"/>
    <w:rsid w:val="006200A9"/>
    <w:rsid w:val="00623941"/>
    <w:rsid w:val="0062493D"/>
    <w:rsid w:val="006257EB"/>
    <w:rsid w:val="00630EA9"/>
    <w:rsid w:val="00635470"/>
    <w:rsid w:val="00646D83"/>
    <w:rsid w:val="00654F88"/>
    <w:rsid w:val="00657680"/>
    <w:rsid w:val="0066463B"/>
    <w:rsid w:val="006646B7"/>
    <w:rsid w:val="006660B9"/>
    <w:rsid w:val="006740C2"/>
    <w:rsid w:val="00677E64"/>
    <w:rsid w:val="00677EBD"/>
    <w:rsid w:val="006830D8"/>
    <w:rsid w:val="006973E6"/>
    <w:rsid w:val="006A164E"/>
    <w:rsid w:val="006A442D"/>
    <w:rsid w:val="006A7E76"/>
    <w:rsid w:val="006B0421"/>
    <w:rsid w:val="006B042C"/>
    <w:rsid w:val="006B42C9"/>
    <w:rsid w:val="006C388E"/>
    <w:rsid w:val="006C7B37"/>
    <w:rsid w:val="006D22BF"/>
    <w:rsid w:val="006D379E"/>
    <w:rsid w:val="006D414F"/>
    <w:rsid w:val="006E0514"/>
    <w:rsid w:val="006E2702"/>
    <w:rsid w:val="006E4B5C"/>
    <w:rsid w:val="006E652C"/>
    <w:rsid w:val="006F1563"/>
    <w:rsid w:val="006F3003"/>
    <w:rsid w:val="006F44E2"/>
    <w:rsid w:val="0070732B"/>
    <w:rsid w:val="00707B4A"/>
    <w:rsid w:val="00713D22"/>
    <w:rsid w:val="0071799A"/>
    <w:rsid w:val="0072673D"/>
    <w:rsid w:val="00733037"/>
    <w:rsid w:val="00752940"/>
    <w:rsid w:val="00752CFC"/>
    <w:rsid w:val="007552B5"/>
    <w:rsid w:val="0076314D"/>
    <w:rsid w:val="00765A6C"/>
    <w:rsid w:val="00774745"/>
    <w:rsid w:val="00776589"/>
    <w:rsid w:val="00780153"/>
    <w:rsid w:val="00785AAC"/>
    <w:rsid w:val="007879FA"/>
    <w:rsid w:val="00787EF1"/>
    <w:rsid w:val="00790DCF"/>
    <w:rsid w:val="00790E03"/>
    <w:rsid w:val="00796024"/>
    <w:rsid w:val="007A3A75"/>
    <w:rsid w:val="007B10C8"/>
    <w:rsid w:val="007C1A5A"/>
    <w:rsid w:val="007D056F"/>
    <w:rsid w:val="007D48A2"/>
    <w:rsid w:val="007D4CAF"/>
    <w:rsid w:val="007D7B20"/>
    <w:rsid w:val="007E5F82"/>
    <w:rsid w:val="007E6D14"/>
    <w:rsid w:val="007F1312"/>
    <w:rsid w:val="00800018"/>
    <w:rsid w:val="00803928"/>
    <w:rsid w:val="008052CB"/>
    <w:rsid w:val="00806048"/>
    <w:rsid w:val="00806BEB"/>
    <w:rsid w:val="00807414"/>
    <w:rsid w:val="008148A5"/>
    <w:rsid w:val="00823193"/>
    <w:rsid w:val="00824B2E"/>
    <w:rsid w:val="008252D5"/>
    <w:rsid w:val="00827A8B"/>
    <w:rsid w:val="008365A1"/>
    <w:rsid w:val="00837095"/>
    <w:rsid w:val="008423F0"/>
    <w:rsid w:val="00845C6B"/>
    <w:rsid w:val="00857270"/>
    <w:rsid w:val="0085788E"/>
    <w:rsid w:val="008631BE"/>
    <w:rsid w:val="008706AE"/>
    <w:rsid w:val="00873011"/>
    <w:rsid w:val="00885BE5"/>
    <w:rsid w:val="00892243"/>
    <w:rsid w:val="00893997"/>
    <w:rsid w:val="008958F0"/>
    <w:rsid w:val="008A46B3"/>
    <w:rsid w:val="008A4767"/>
    <w:rsid w:val="008A6A59"/>
    <w:rsid w:val="008B18E9"/>
    <w:rsid w:val="008B3814"/>
    <w:rsid w:val="008B4D38"/>
    <w:rsid w:val="008B7314"/>
    <w:rsid w:val="008B7915"/>
    <w:rsid w:val="008C2F55"/>
    <w:rsid w:val="008D1A0D"/>
    <w:rsid w:val="008E17A6"/>
    <w:rsid w:val="008E6A94"/>
    <w:rsid w:val="008E6BD3"/>
    <w:rsid w:val="008E7248"/>
    <w:rsid w:val="008F02C0"/>
    <w:rsid w:val="008F02D0"/>
    <w:rsid w:val="008F39A6"/>
    <w:rsid w:val="00900C45"/>
    <w:rsid w:val="00901987"/>
    <w:rsid w:val="009022A9"/>
    <w:rsid w:val="00903F2C"/>
    <w:rsid w:val="0090463B"/>
    <w:rsid w:val="009051BF"/>
    <w:rsid w:val="009217BE"/>
    <w:rsid w:val="009267AD"/>
    <w:rsid w:val="0093193C"/>
    <w:rsid w:val="0093420A"/>
    <w:rsid w:val="00937440"/>
    <w:rsid w:val="00940F74"/>
    <w:rsid w:val="0094568C"/>
    <w:rsid w:val="00946310"/>
    <w:rsid w:val="009464CA"/>
    <w:rsid w:val="0094685B"/>
    <w:rsid w:val="00953838"/>
    <w:rsid w:val="00963633"/>
    <w:rsid w:val="00965A29"/>
    <w:rsid w:val="00966105"/>
    <w:rsid w:val="00972926"/>
    <w:rsid w:val="00981544"/>
    <w:rsid w:val="00985625"/>
    <w:rsid w:val="00987CED"/>
    <w:rsid w:val="00990054"/>
    <w:rsid w:val="009957C5"/>
    <w:rsid w:val="009A53DA"/>
    <w:rsid w:val="009A5764"/>
    <w:rsid w:val="009A596F"/>
    <w:rsid w:val="009B5B31"/>
    <w:rsid w:val="009C24D6"/>
    <w:rsid w:val="009D2F9C"/>
    <w:rsid w:val="009E14F8"/>
    <w:rsid w:val="009F2CE9"/>
    <w:rsid w:val="00A011C8"/>
    <w:rsid w:val="00A02170"/>
    <w:rsid w:val="00A02457"/>
    <w:rsid w:val="00A135B7"/>
    <w:rsid w:val="00A13A7B"/>
    <w:rsid w:val="00A2138F"/>
    <w:rsid w:val="00A311AA"/>
    <w:rsid w:val="00A31BA6"/>
    <w:rsid w:val="00A33D9C"/>
    <w:rsid w:val="00A34852"/>
    <w:rsid w:val="00A47881"/>
    <w:rsid w:val="00A55F2C"/>
    <w:rsid w:val="00A62330"/>
    <w:rsid w:val="00A66607"/>
    <w:rsid w:val="00A66731"/>
    <w:rsid w:val="00A7415A"/>
    <w:rsid w:val="00A742A1"/>
    <w:rsid w:val="00A7673D"/>
    <w:rsid w:val="00A821C2"/>
    <w:rsid w:val="00A827E3"/>
    <w:rsid w:val="00A84920"/>
    <w:rsid w:val="00A9312F"/>
    <w:rsid w:val="00A941E8"/>
    <w:rsid w:val="00A94708"/>
    <w:rsid w:val="00A95E69"/>
    <w:rsid w:val="00A963C3"/>
    <w:rsid w:val="00AA057A"/>
    <w:rsid w:val="00AA0723"/>
    <w:rsid w:val="00AA7821"/>
    <w:rsid w:val="00AA7BF5"/>
    <w:rsid w:val="00AB3EEA"/>
    <w:rsid w:val="00AB4F46"/>
    <w:rsid w:val="00AC0036"/>
    <w:rsid w:val="00AC1C09"/>
    <w:rsid w:val="00AC50DA"/>
    <w:rsid w:val="00AD058C"/>
    <w:rsid w:val="00AD773D"/>
    <w:rsid w:val="00AE3B02"/>
    <w:rsid w:val="00AE3F19"/>
    <w:rsid w:val="00AF21A4"/>
    <w:rsid w:val="00AF2DD8"/>
    <w:rsid w:val="00AF62CA"/>
    <w:rsid w:val="00AF6382"/>
    <w:rsid w:val="00AF747B"/>
    <w:rsid w:val="00B023E6"/>
    <w:rsid w:val="00B049CB"/>
    <w:rsid w:val="00B06731"/>
    <w:rsid w:val="00B1311B"/>
    <w:rsid w:val="00B22C04"/>
    <w:rsid w:val="00B23BF2"/>
    <w:rsid w:val="00B245FD"/>
    <w:rsid w:val="00B257F4"/>
    <w:rsid w:val="00B41771"/>
    <w:rsid w:val="00B448ED"/>
    <w:rsid w:val="00B55ED6"/>
    <w:rsid w:val="00B6031B"/>
    <w:rsid w:val="00B66A7E"/>
    <w:rsid w:val="00B72DE3"/>
    <w:rsid w:val="00B75486"/>
    <w:rsid w:val="00B76BDA"/>
    <w:rsid w:val="00B76C8D"/>
    <w:rsid w:val="00B87FF2"/>
    <w:rsid w:val="00B944BB"/>
    <w:rsid w:val="00B94A9E"/>
    <w:rsid w:val="00BA1B8E"/>
    <w:rsid w:val="00BB1740"/>
    <w:rsid w:val="00BB414E"/>
    <w:rsid w:val="00BB66E0"/>
    <w:rsid w:val="00BC7DDA"/>
    <w:rsid w:val="00BD0316"/>
    <w:rsid w:val="00BD0B46"/>
    <w:rsid w:val="00BE03CA"/>
    <w:rsid w:val="00BE1FAC"/>
    <w:rsid w:val="00BE2A62"/>
    <w:rsid w:val="00BE3A93"/>
    <w:rsid w:val="00BE4E64"/>
    <w:rsid w:val="00BE58A1"/>
    <w:rsid w:val="00BF0063"/>
    <w:rsid w:val="00BF1834"/>
    <w:rsid w:val="00BF313F"/>
    <w:rsid w:val="00C04D17"/>
    <w:rsid w:val="00C100B3"/>
    <w:rsid w:val="00C16546"/>
    <w:rsid w:val="00C16650"/>
    <w:rsid w:val="00C22A84"/>
    <w:rsid w:val="00C2460A"/>
    <w:rsid w:val="00C265C3"/>
    <w:rsid w:val="00C30880"/>
    <w:rsid w:val="00C31D7E"/>
    <w:rsid w:val="00C31D85"/>
    <w:rsid w:val="00C32199"/>
    <w:rsid w:val="00C34ED2"/>
    <w:rsid w:val="00C362A9"/>
    <w:rsid w:val="00C45F70"/>
    <w:rsid w:val="00C56C7A"/>
    <w:rsid w:val="00C60063"/>
    <w:rsid w:val="00C634A3"/>
    <w:rsid w:val="00C802CF"/>
    <w:rsid w:val="00C81292"/>
    <w:rsid w:val="00C95138"/>
    <w:rsid w:val="00C96C6F"/>
    <w:rsid w:val="00CA00C4"/>
    <w:rsid w:val="00CA0D3F"/>
    <w:rsid w:val="00CA18BE"/>
    <w:rsid w:val="00CB065E"/>
    <w:rsid w:val="00CB26AA"/>
    <w:rsid w:val="00CB3AB4"/>
    <w:rsid w:val="00CB4D03"/>
    <w:rsid w:val="00CB5A42"/>
    <w:rsid w:val="00CB6FA2"/>
    <w:rsid w:val="00CC0D14"/>
    <w:rsid w:val="00CC480B"/>
    <w:rsid w:val="00CC7ED3"/>
    <w:rsid w:val="00CD065B"/>
    <w:rsid w:val="00CD2199"/>
    <w:rsid w:val="00CD59C5"/>
    <w:rsid w:val="00CD6086"/>
    <w:rsid w:val="00CE7FFB"/>
    <w:rsid w:val="00CF18B9"/>
    <w:rsid w:val="00CF42E0"/>
    <w:rsid w:val="00D00498"/>
    <w:rsid w:val="00D00C52"/>
    <w:rsid w:val="00D069E6"/>
    <w:rsid w:val="00D10DE9"/>
    <w:rsid w:val="00D16679"/>
    <w:rsid w:val="00D21095"/>
    <w:rsid w:val="00D2271B"/>
    <w:rsid w:val="00D317B6"/>
    <w:rsid w:val="00D32943"/>
    <w:rsid w:val="00D34714"/>
    <w:rsid w:val="00D34801"/>
    <w:rsid w:val="00D34C1E"/>
    <w:rsid w:val="00D368E0"/>
    <w:rsid w:val="00D44F69"/>
    <w:rsid w:val="00D461A9"/>
    <w:rsid w:val="00D46DA7"/>
    <w:rsid w:val="00D4745D"/>
    <w:rsid w:val="00D52720"/>
    <w:rsid w:val="00D53A0D"/>
    <w:rsid w:val="00D53D8E"/>
    <w:rsid w:val="00D556B7"/>
    <w:rsid w:val="00D61C6E"/>
    <w:rsid w:val="00D62689"/>
    <w:rsid w:val="00D62952"/>
    <w:rsid w:val="00D66C8F"/>
    <w:rsid w:val="00D70602"/>
    <w:rsid w:val="00D73F55"/>
    <w:rsid w:val="00DA30BB"/>
    <w:rsid w:val="00DA5D1D"/>
    <w:rsid w:val="00DB20D6"/>
    <w:rsid w:val="00DB6225"/>
    <w:rsid w:val="00DB6DBE"/>
    <w:rsid w:val="00DB7E1B"/>
    <w:rsid w:val="00DD1EB1"/>
    <w:rsid w:val="00DD3B7B"/>
    <w:rsid w:val="00DD7DD0"/>
    <w:rsid w:val="00DE0124"/>
    <w:rsid w:val="00DF0920"/>
    <w:rsid w:val="00DF596F"/>
    <w:rsid w:val="00DF73F4"/>
    <w:rsid w:val="00E0238D"/>
    <w:rsid w:val="00E0602A"/>
    <w:rsid w:val="00E0629A"/>
    <w:rsid w:val="00E14F5C"/>
    <w:rsid w:val="00E43593"/>
    <w:rsid w:val="00E47EB4"/>
    <w:rsid w:val="00E56A55"/>
    <w:rsid w:val="00E64115"/>
    <w:rsid w:val="00E65F8E"/>
    <w:rsid w:val="00E70B56"/>
    <w:rsid w:val="00E71D9B"/>
    <w:rsid w:val="00E77570"/>
    <w:rsid w:val="00E802DB"/>
    <w:rsid w:val="00E914B2"/>
    <w:rsid w:val="00E91E0F"/>
    <w:rsid w:val="00E93FC8"/>
    <w:rsid w:val="00E9633E"/>
    <w:rsid w:val="00E9736C"/>
    <w:rsid w:val="00EA3FE2"/>
    <w:rsid w:val="00EA748E"/>
    <w:rsid w:val="00EA78A4"/>
    <w:rsid w:val="00EB04A5"/>
    <w:rsid w:val="00EB33F2"/>
    <w:rsid w:val="00EB5D85"/>
    <w:rsid w:val="00EB712E"/>
    <w:rsid w:val="00EC26B1"/>
    <w:rsid w:val="00EC39F2"/>
    <w:rsid w:val="00EC3BFC"/>
    <w:rsid w:val="00ED31BF"/>
    <w:rsid w:val="00EF323F"/>
    <w:rsid w:val="00EF63DB"/>
    <w:rsid w:val="00EF6803"/>
    <w:rsid w:val="00F17551"/>
    <w:rsid w:val="00F21C7F"/>
    <w:rsid w:val="00F410D2"/>
    <w:rsid w:val="00F455EA"/>
    <w:rsid w:val="00F62672"/>
    <w:rsid w:val="00F64A0A"/>
    <w:rsid w:val="00F65131"/>
    <w:rsid w:val="00F657A4"/>
    <w:rsid w:val="00F66146"/>
    <w:rsid w:val="00F67A49"/>
    <w:rsid w:val="00F726FE"/>
    <w:rsid w:val="00F72D8A"/>
    <w:rsid w:val="00F739C3"/>
    <w:rsid w:val="00F73FC2"/>
    <w:rsid w:val="00F744D1"/>
    <w:rsid w:val="00F74844"/>
    <w:rsid w:val="00F75DA0"/>
    <w:rsid w:val="00F76BA3"/>
    <w:rsid w:val="00F8197B"/>
    <w:rsid w:val="00F81E50"/>
    <w:rsid w:val="00F82A9F"/>
    <w:rsid w:val="00F84BC9"/>
    <w:rsid w:val="00F857CE"/>
    <w:rsid w:val="00F86C56"/>
    <w:rsid w:val="00F909C3"/>
    <w:rsid w:val="00F91AAD"/>
    <w:rsid w:val="00F93AF4"/>
    <w:rsid w:val="00F93F94"/>
    <w:rsid w:val="00FB206F"/>
    <w:rsid w:val="00FC6951"/>
    <w:rsid w:val="00FC6AD2"/>
    <w:rsid w:val="00FD1241"/>
    <w:rsid w:val="00FD4E08"/>
    <w:rsid w:val="00FD50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6F2E92"/>
  <w15:chartTrackingRefBased/>
  <w15:docId w15:val="{0DE185EA-AD50-4B05-8B98-DD8011B52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CAF"/>
    <w:pPr>
      <w:keepNext/>
      <w:keepLines/>
      <w:spacing w:before="240" w:after="0"/>
      <w:outlineLvl w:val="0"/>
    </w:pPr>
    <w:rPr>
      <w:rFonts w:asciiTheme="majorHAnsi" w:eastAsiaTheme="majorEastAsia" w:hAnsiTheme="majorHAnsi" w:cstheme="majorBidi"/>
      <w:color w:val="BFBFBF" w:themeColor="accent1" w:themeShade="BF"/>
      <w:sz w:val="32"/>
      <w:szCs w:val="32"/>
    </w:rPr>
  </w:style>
  <w:style w:type="paragraph" w:styleId="Heading2">
    <w:name w:val="heading 2"/>
    <w:basedOn w:val="Normal"/>
    <w:next w:val="Normal"/>
    <w:link w:val="Heading2Char"/>
    <w:qFormat/>
    <w:rsid w:val="00F21C7F"/>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79C"/>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Default">
    <w:name w:val="Default"/>
    <w:rsid w:val="0018479C"/>
    <w:pPr>
      <w:autoSpaceDE w:val="0"/>
      <w:autoSpaceDN w:val="0"/>
      <w:adjustRightInd w:val="0"/>
      <w:spacing w:after="0" w:line="240" w:lineRule="auto"/>
    </w:pPr>
    <w:rPr>
      <w:rFonts w:ascii="Arial" w:eastAsia="Times New Roman" w:hAnsi="Arial" w:cs="Arial"/>
      <w:color w:val="000000"/>
      <w:sz w:val="24"/>
      <w:szCs w:val="24"/>
      <w:lang w:val="en-US" w:eastAsia="en-US"/>
    </w:rPr>
  </w:style>
  <w:style w:type="paragraph" w:styleId="NormalWeb">
    <w:name w:val="Normal (Web)"/>
    <w:basedOn w:val="Normal"/>
    <w:uiPriority w:val="99"/>
    <w:unhideWhenUsed/>
    <w:rsid w:val="006A442D"/>
    <w:rPr>
      <w:rFonts w:ascii="Times New Roman" w:hAnsi="Times New Roman" w:cs="Times New Roman"/>
      <w:sz w:val="24"/>
      <w:szCs w:val="24"/>
    </w:rPr>
  </w:style>
  <w:style w:type="paragraph" w:styleId="Header">
    <w:name w:val="header"/>
    <w:basedOn w:val="Normal"/>
    <w:link w:val="HeaderChar"/>
    <w:uiPriority w:val="99"/>
    <w:unhideWhenUsed/>
    <w:rsid w:val="00713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D22"/>
  </w:style>
  <w:style w:type="paragraph" w:styleId="Footer">
    <w:name w:val="footer"/>
    <w:basedOn w:val="Normal"/>
    <w:link w:val="FooterChar"/>
    <w:uiPriority w:val="99"/>
    <w:unhideWhenUsed/>
    <w:rsid w:val="00713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D22"/>
  </w:style>
  <w:style w:type="character" w:customStyle="1" w:styleId="Heading2Char">
    <w:name w:val="Heading 2 Char"/>
    <w:basedOn w:val="DefaultParagraphFont"/>
    <w:link w:val="Heading2"/>
    <w:rsid w:val="00F21C7F"/>
    <w:rPr>
      <w:rFonts w:ascii="Times New Roman" w:eastAsia="Times New Roman" w:hAnsi="Times New Roman" w:cs="Times New Roman"/>
      <w:b/>
      <w:sz w:val="24"/>
      <w:szCs w:val="20"/>
      <w:lang w:eastAsia="en-GB"/>
    </w:rPr>
  </w:style>
  <w:style w:type="paragraph" w:customStyle="1" w:styleId="bullet">
    <w:name w:val="bullet"/>
    <w:link w:val="bulletChar"/>
    <w:rsid w:val="00F21C7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F21C7F"/>
    <w:rPr>
      <w:rFonts w:ascii="Times New Roman" w:eastAsia="Times New Roman" w:hAnsi="Times New Roman" w:cs="Times New Roman"/>
      <w:sz w:val="24"/>
      <w:szCs w:val="20"/>
      <w:lang w:eastAsia="en-GB"/>
    </w:rPr>
  </w:style>
  <w:style w:type="table" w:styleId="TableGrid">
    <w:name w:val="Table Grid"/>
    <w:basedOn w:val="TableNormal"/>
    <w:uiPriority w:val="39"/>
    <w:rsid w:val="00427C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D4CAF"/>
    <w:rPr>
      <w:rFonts w:asciiTheme="majorHAnsi" w:eastAsiaTheme="majorEastAsia" w:hAnsiTheme="majorHAnsi" w:cstheme="majorBidi"/>
      <w:color w:val="BFBFBF" w:themeColor="accent1" w:themeShade="BF"/>
      <w:sz w:val="32"/>
      <w:szCs w:val="32"/>
    </w:rPr>
  </w:style>
  <w:style w:type="paragraph" w:styleId="TOCHeading">
    <w:name w:val="TOC Heading"/>
    <w:basedOn w:val="Heading1"/>
    <w:next w:val="Normal"/>
    <w:uiPriority w:val="39"/>
    <w:unhideWhenUsed/>
    <w:qFormat/>
    <w:rsid w:val="00A827E3"/>
    <w:pPr>
      <w:outlineLvl w:val="9"/>
    </w:pPr>
    <w:rPr>
      <w:lang w:val="en-US" w:eastAsia="en-US"/>
    </w:rPr>
  </w:style>
  <w:style w:type="paragraph" w:styleId="TOC1">
    <w:name w:val="toc 1"/>
    <w:basedOn w:val="Normal"/>
    <w:next w:val="Normal"/>
    <w:autoRedefine/>
    <w:uiPriority w:val="39"/>
    <w:unhideWhenUsed/>
    <w:rsid w:val="00276C03"/>
    <w:pPr>
      <w:tabs>
        <w:tab w:val="right" w:leader="dot" w:pos="9016"/>
      </w:tabs>
      <w:spacing w:after="100"/>
    </w:pPr>
  </w:style>
  <w:style w:type="character" w:styleId="Hyperlink">
    <w:name w:val="Hyperlink"/>
    <w:basedOn w:val="DefaultParagraphFont"/>
    <w:uiPriority w:val="99"/>
    <w:unhideWhenUsed/>
    <w:rsid w:val="00A827E3"/>
    <w:rPr>
      <w:color w:val="D8D8D8" w:themeColor="hyperlink"/>
      <w:u w:val="single"/>
    </w:rPr>
  </w:style>
  <w:style w:type="paragraph" w:styleId="TOC2">
    <w:name w:val="toc 2"/>
    <w:basedOn w:val="Normal"/>
    <w:next w:val="Normal"/>
    <w:autoRedefine/>
    <w:uiPriority w:val="39"/>
    <w:unhideWhenUsed/>
    <w:rsid w:val="00276C03"/>
    <w:pPr>
      <w:tabs>
        <w:tab w:val="right" w:leader="dot" w:pos="9016"/>
      </w:tabs>
      <w:spacing w:after="100"/>
    </w:pPr>
  </w:style>
  <w:style w:type="character" w:styleId="HTMLCite">
    <w:name w:val="HTML Cite"/>
    <w:basedOn w:val="DefaultParagraphFont"/>
    <w:uiPriority w:val="99"/>
    <w:semiHidden/>
    <w:unhideWhenUsed/>
    <w:rsid w:val="007A3A75"/>
    <w:rPr>
      <w:i/>
      <w:iCs/>
    </w:rPr>
  </w:style>
  <w:style w:type="character" w:styleId="UnresolvedMention">
    <w:name w:val="Unresolved Mention"/>
    <w:basedOn w:val="DefaultParagraphFont"/>
    <w:uiPriority w:val="99"/>
    <w:semiHidden/>
    <w:unhideWhenUsed/>
    <w:rsid w:val="00140A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7141">
      <w:bodyDiv w:val="1"/>
      <w:marLeft w:val="0"/>
      <w:marRight w:val="0"/>
      <w:marTop w:val="0"/>
      <w:marBottom w:val="0"/>
      <w:divBdr>
        <w:top w:val="none" w:sz="0" w:space="0" w:color="auto"/>
        <w:left w:val="none" w:sz="0" w:space="0" w:color="auto"/>
        <w:bottom w:val="none" w:sz="0" w:space="0" w:color="auto"/>
        <w:right w:val="none" w:sz="0" w:space="0" w:color="auto"/>
      </w:divBdr>
    </w:div>
    <w:div w:id="16393039">
      <w:bodyDiv w:val="1"/>
      <w:marLeft w:val="0"/>
      <w:marRight w:val="0"/>
      <w:marTop w:val="0"/>
      <w:marBottom w:val="0"/>
      <w:divBdr>
        <w:top w:val="none" w:sz="0" w:space="0" w:color="auto"/>
        <w:left w:val="none" w:sz="0" w:space="0" w:color="auto"/>
        <w:bottom w:val="none" w:sz="0" w:space="0" w:color="auto"/>
        <w:right w:val="none" w:sz="0" w:space="0" w:color="auto"/>
      </w:divBdr>
    </w:div>
    <w:div w:id="22900786">
      <w:bodyDiv w:val="1"/>
      <w:marLeft w:val="0"/>
      <w:marRight w:val="0"/>
      <w:marTop w:val="0"/>
      <w:marBottom w:val="0"/>
      <w:divBdr>
        <w:top w:val="none" w:sz="0" w:space="0" w:color="auto"/>
        <w:left w:val="none" w:sz="0" w:space="0" w:color="auto"/>
        <w:bottom w:val="none" w:sz="0" w:space="0" w:color="auto"/>
        <w:right w:val="none" w:sz="0" w:space="0" w:color="auto"/>
      </w:divBdr>
      <w:divsChild>
        <w:div w:id="410085077">
          <w:marLeft w:val="0"/>
          <w:marRight w:val="0"/>
          <w:marTop w:val="0"/>
          <w:marBottom w:val="0"/>
          <w:divBdr>
            <w:top w:val="none" w:sz="0" w:space="0" w:color="auto"/>
            <w:left w:val="none" w:sz="0" w:space="0" w:color="DDDDDD"/>
            <w:bottom w:val="none" w:sz="0" w:space="8" w:color="DDDDDD"/>
            <w:right w:val="none" w:sz="0" w:space="0" w:color="DDDDDD"/>
          </w:divBdr>
          <w:divsChild>
            <w:div w:id="528033515">
              <w:marLeft w:val="0"/>
              <w:marRight w:val="240"/>
              <w:marTop w:val="0"/>
              <w:marBottom w:val="0"/>
              <w:divBdr>
                <w:top w:val="none" w:sz="0" w:space="0" w:color="auto"/>
                <w:left w:val="none" w:sz="0" w:space="0" w:color="auto"/>
                <w:bottom w:val="none" w:sz="0" w:space="0" w:color="auto"/>
                <w:right w:val="none" w:sz="0" w:space="0" w:color="auto"/>
              </w:divBdr>
            </w:div>
          </w:divsChild>
        </w:div>
        <w:div w:id="2132745124">
          <w:marLeft w:val="0"/>
          <w:marRight w:val="0"/>
          <w:marTop w:val="0"/>
          <w:marBottom w:val="0"/>
          <w:divBdr>
            <w:top w:val="none" w:sz="0" w:space="0" w:color="auto"/>
            <w:left w:val="none" w:sz="0" w:space="0" w:color="auto"/>
            <w:bottom w:val="none" w:sz="0" w:space="0" w:color="auto"/>
            <w:right w:val="none" w:sz="0" w:space="0" w:color="auto"/>
          </w:divBdr>
          <w:divsChild>
            <w:div w:id="2133478348">
              <w:marLeft w:val="0"/>
              <w:marRight w:val="0"/>
              <w:marTop w:val="0"/>
              <w:marBottom w:val="0"/>
              <w:divBdr>
                <w:top w:val="none" w:sz="0" w:space="0" w:color="auto"/>
                <w:left w:val="none" w:sz="0" w:space="0" w:color="auto"/>
                <w:bottom w:val="none" w:sz="0" w:space="0" w:color="auto"/>
                <w:right w:val="none" w:sz="0" w:space="0" w:color="auto"/>
              </w:divBdr>
              <w:divsChild>
                <w:div w:id="872813746">
                  <w:marLeft w:val="0"/>
                  <w:marRight w:val="0"/>
                  <w:marTop w:val="0"/>
                  <w:marBottom w:val="0"/>
                  <w:divBdr>
                    <w:top w:val="none" w:sz="0" w:space="0" w:color="auto"/>
                    <w:left w:val="none" w:sz="0" w:space="0" w:color="auto"/>
                    <w:bottom w:val="none" w:sz="0" w:space="0" w:color="auto"/>
                    <w:right w:val="none" w:sz="0" w:space="0" w:color="auto"/>
                  </w:divBdr>
                  <w:divsChild>
                    <w:div w:id="121315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10533">
      <w:bodyDiv w:val="1"/>
      <w:marLeft w:val="0"/>
      <w:marRight w:val="0"/>
      <w:marTop w:val="0"/>
      <w:marBottom w:val="0"/>
      <w:divBdr>
        <w:top w:val="none" w:sz="0" w:space="0" w:color="auto"/>
        <w:left w:val="none" w:sz="0" w:space="0" w:color="auto"/>
        <w:bottom w:val="none" w:sz="0" w:space="0" w:color="auto"/>
        <w:right w:val="none" w:sz="0" w:space="0" w:color="auto"/>
      </w:divBdr>
    </w:div>
    <w:div w:id="225383582">
      <w:bodyDiv w:val="1"/>
      <w:marLeft w:val="0"/>
      <w:marRight w:val="0"/>
      <w:marTop w:val="0"/>
      <w:marBottom w:val="0"/>
      <w:divBdr>
        <w:top w:val="none" w:sz="0" w:space="0" w:color="auto"/>
        <w:left w:val="none" w:sz="0" w:space="0" w:color="auto"/>
        <w:bottom w:val="none" w:sz="0" w:space="0" w:color="auto"/>
        <w:right w:val="none" w:sz="0" w:space="0" w:color="auto"/>
      </w:divBdr>
    </w:div>
    <w:div w:id="394010784">
      <w:bodyDiv w:val="1"/>
      <w:marLeft w:val="0"/>
      <w:marRight w:val="0"/>
      <w:marTop w:val="0"/>
      <w:marBottom w:val="0"/>
      <w:divBdr>
        <w:top w:val="none" w:sz="0" w:space="0" w:color="auto"/>
        <w:left w:val="none" w:sz="0" w:space="0" w:color="auto"/>
        <w:bottom w:val="none" w:sz="0" w:space="0" w:color="auto"/>
        <w:right w:val="none" w:sz="0" w:space="0" w:color="auto"/>
      </w:divBdr>
    </w:div>
    <w:div w:id="419645826">
      <w:bodyDiv w:val="1"/>
      <w:marLeft w:val="0"/>
      <w:marRight w:val="0"/>
      <w:marTop w:val="0"/>
      <w:marBottom w:val="0"/>
      <w:divBdr>
        <w:top w:val="none" w:sz="0" w:space="0" w:color="auto"/>
        <w:left w:val="none" w:sz="0" w:space="0" w:color="auto"/>
        <w:bottom w:val="none" w:sz="0" w:space="0" w:color="auto"/>
        <w:right w:val="none" w:sz="0" w:space="0" w:color="auto"/>
      </w:divBdr>
    </w:div>
    <w:div w:id="511724560">
      <w:bodyDiv w:val="1"/>
      <w:marLeft w:val="0"/>
      <w:marRight w:val="0"/>
      <w:marTop w:val="0"/>
      <w:marBottom w:val="0"/>
      <w:divBdr>
        <w:top w:val="none" w:sz="0" w:space="0" w:color="auto"/>
        <w:left w:val="none" w:sz="0" w:space="0" w:color="auto"/>
        <w:bottom w:val="none" w:sz="0" w:space="0" w:color="auto"/>
        <w:right w:val="none" w:sz="0" w:space="0" w:color="auto"/>
      </w:divBdr>
      <w:divsChild>
        <w:div w:id="982001857">
          <w:marLeft w:val="0"/>
          <w:marRight w:val="0"/>
          <w:marTop w:val="450"/>
          <w:marBottom w:val="300"/>
          <w:divBdr>
            <w:top w:val="none" w:sz="0" w:space="0" w:color="auto"/>
            <w:left w:val="none" w:sz="0" w:space="0" w:color="auto"/>
            <w:bottom w:val="single" w:sz="6" w:space="8" w:color="E8E8E8"/>
            <w:right w:val="none" w:sz="0" w:space="0" w:color="auto"/>
          </w:divBdr>
        </w:div>
        <w:div w:id="1983464006">
          <w:marLeft w:val="0"/>
          <w:marRight w:val="0"/>
          <w:marTop w:val="0"/>
          <w:marBottom w:val="0"/>
          <w:divBdr>
            <w:top w:val="none" w:sz="0" w:space="0" w:color="auto"/>
            <w:left w:val="none" w:sz="0" w:space="0" w:color="auto"/>
            <w:bottom w:val="none" w:sz="0" w:space="0" w:color="auto"/>
            <w:right w:val="none" w:sz="0" w:space="0" w:color="auto"/>
          </w:divBdr>
          <w:divsChild>
            <w:div w:id="33727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85439">
      <w:bodyDiv w:val="1"/>
      <w:marLeft w:val="0"/>
      <w:marRight w:val="0"/>
      <w:marTop w:val="0"/>
      <w:marBottom w:val="0"/>
      <w:divBdr>
        <w:top w:val="none" w:sz="0" w:space="0" w:color="auto"/>
        <w:left w:val="none" w:sz="0" w:space="0" w:color="auto"/>
        <w:bottom w:val="none" w:sz="0" w:space="0" w:color="auto"/>
        <w:right w:val="none" w:sz="0" w:space="0" w:color="auto"/>
      </w:divBdr>
    </w:div>
    <w:div w:id="745878195">
      <w:bodyDiv w:val="1"/>
      <w:marLeft w:val="0"/>
      <w:marRight w:val="0"/>
      <w:marTop w:val="0"/>
      <w:marBottom w:val="0"/>
      <w:divBdr>
        <w:top w:val="none" w:sz="0" w:space="0" w:color="auto"/>
        <w:left w:val="none" w:sz="0" w:space="0" w:color="auto"/>
        <w:bottom w:val="none" w:sz="0" w:space="0" w:color="auto"/>
        <w:right w:val="none" w:sz="0" w:space="0" w:color="auto"/>
      </w:divBdr>
      <w:divsChild>
        <w:div w:id="1472135821">
          <w:marLeft w:val="0"/>
          <w:marRight w:val="0"/>
          <w:marTop w:val="0"/>
          <w:marBottom w:val="0"/>
          <w:divBdr>
            <w:top w:val="none" w:sz="0" w:space="0" w:color="auto"/>
            <w:left w:val="none" w:sz="0" w:space="0" w:color="DDDDDD"/>
            <w:bottom w:val="none" w:sz="0" w:space="8" w:color="DDDDDD"/>
            <w:right w:val="none" w:sz="0" w:space="0" w:color="DDDDDD"/>
          </w:divBdr>
          <w:divsChild>
            <w:div w:id="541525608">
              <w:marLeft w:val="0"/>
              <w:marRight w:val="240"/>
              <w:marTop w:val="0"/>
              <w:marBottom w:val="0"/>
              <w:divBdr>
                <w:top w:val="none" w:sz="0" w:space="0" w:color="auto"/>
                <w:left w:val="none" w:sz="0" w:space="0" w:color="auto"/>
                <w:bottom w:val="none" w:sz="0" w:space="0" w:color="auto"/>
                <w:right w:val="none" w:sz="0" w:space="0" w:color="auto"/>
              </w:divBdr>
            </w:div>
          </w:divsChild>
        </w:div>
        <w:div w:id="1309700505">
          <w:marLeft w:val="0"/>
          <w:marRight w:val="0"/>
          <w:marTop w:val="0"/>
          <w:marBottom w:val="0"/>
          <w:divBdr>
            <w:top w:val="none" w:sz="0" w:space="0" w:color="auto"/>
            <w:left w:val="none" w:sz="0" w:space="0" w:color="auto"/>
            <w:bottom w:val="none" w:sz="0" w:space="0" w:color="auto"/>
            <w:right w:val="none" w:sz="0" w:space="0" w:color="auto"/>
          </w:divBdr>
          <w:divsChild>
            <w:div w:id="750009851">
              <w:marLeft w:val="0"/>
              <w:marRight w:val="0"/>
              <w:marTop w:val="0"/>
              <w:marBottom w:val="0"/>
              <w:divBdr>
                <w:top w:val="none" w:sz="0" w:space="0" w:color="auto"/>
                <w:left w:val="none" w:sz="0" w:space="0" w:color="auto"/>
                <w:bottom w:val="none" w:sz="0" w:space="0" w:color="auto"/>
                <w:right w:val="none" w:sz="0" w:space="0" w:color="auto"/>
              </w:divBdr>
              <w:divsChild>
                <w:div w:id="1517234493">
                  <w:marLeft w:val="0"/>
                  <w:marRight w:val="0"/>
                  <w:marTop w:val="0"/>
                  <w:marBottom w:val="0"/>
                  <w:divBdr>
                    <w:top w:val="none" w:sz="0" w:space="0" w:color="auto"/>
                    <w:left w:val="none" w:sz="0" w:space="0" w:color="auto"/>
                    <w:bottom w:val="none" w:sz="0" w:space="0" w:color="auto"/>
                    <w:right w:val="none" w:sz="0" w:space="0" w:color="auto"/>
                  </w:divBdr>
                  <w:divsChild>
                    <w:div w:id="147189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884217">
      <w:bodyDiv w:val="1"/>
      <w:marLeft w:val="0"/>
      <w:marRight w:val="0"/>
      <w:marTop w:val="0"/>
      <w:marBottom w:val="0"/>
      <w:divBdr>
        <w:top w:val="none" w:sz="0" w:space="0" w:color="auto"/>
        <w:left w:val="none" w:sz="0" w:space="0" w:color="auto"/>
        <w:bottom w:val="none" w:sz="0" w:space="0" w:color="auto"/>
        <w:right w:val="none" w:sz="0" w:space="0" w:color="auto"/>
      </w:divBdr>
    </w:div>
    <w:div w:id="1160150128">
      <w:bodyDiv w:val="1"/>
      <w:marLeft w:val="0"/>
      <w:marRight w:val="0"/>
      <w:marTop w:val="0"/>
      <w:marBottom w:val="0"/>
      <w:divBdr>
        <w:top w:val="none" w:sz="0" w:space="0" w:color="auto"/>
        <w:left w:val="none" w:sz="0" w:space="0" w:color="auto"/>
        <w:bottom w:val="none" w:sz="0" w:space="0" w:color="auto"/>
        <w:right w:val="none" w:sz="0" w:space="0" w:color="auto"/>
      </w:divBdr>
    </w:div>
    <w:div w:id="1282761139">
      <w:bodyDiv w:val="1"/>
      <w:marLeft w:val="0"/>
      <w:marRight w:val="0"/>
      <w:marTop w:val="0"/>
      <w:marBottom w:val="0"/>
      <w:divBdr>
        <w:top w:val="none" w:sz="0" w:space="0" w:color="auto"/>
        <w:left w:val="none" w:sz="0" w:space="0" w:color="auto"/>
        <w:bottom w:val="none" w:sz="0" w:space="0" w:color="auto"/>
        <w:right w:val="none" w:sz="0" w:space="0" w:color="auto"/>
      </w:divBdr>
    </w:div>
    <w:div w:id="1402799141">
      <w:bodyDiv w:val="1"/>
      <w:marLeft w:val="0"/>
      <w:marRight w:val="0"/>
      <w:marTop w:val="0"/>
      <w:marBottom w:val="0"/>
      <w:divBdr>
        <w:top w:val="none" w:sz="0" w:space="0" w:color="auto"/>
        <w:left w:val="none" w:sz="0" w:space="0" w:color="auto"/>
        <w:bottom w:val="none" w:sz="0" w:space="0" w:color="auto"/>
        <w:right w:val="none" w:sz="0" w:space="0" w:color="auto"/>
      </w:divBdr>
    </w:div>
    <w:div w:id="1460296343">
      <w:bodyDiv w:val="1"/>
      <w:marLeft w:val="0"/>
      <w:marRight w:val="0"/>
      <w:marTop w:val="0"/>
      <w:marBottom w:val="0"/>
      <w:divBdr>
        <w:top w:val="none" w:sz="0" w:space="0" w:color="auto"/>
        <w:left w:val="none" w:sz="0" w:space="0" w:color="auto"/>
        <w:bottom w:val="none" w:sz="0" w:space="0" w:color="auto"/>
        <w:right w:val="none" w:sz="0" w:space="0" w:color="auto"/>
      </w:divBdr>
    </w:div>
    <w:div w:id="1463571067">
      <w:bodyDiv w:val="1"/>
      <w:marLeft w:val="0"/>
      <w:marRight w:val="0"/>
      <w:marTop w:val="0"/>
      <w:marBottom w:val="0"/>
      <w:divBdr>
        <w:top w:val="none" w:sz="0" w:space="0" w:color="auto"/>
        <w:left w:val="none" w:sz="0" w:space="0" w:color="auto"/>
        <w:bottom w:val="none" w:sz="0" w:space="0" w:color="auto"/>
        <w:right w:val="none" w:sz="0" w:space="0" w:color="auto"/>
      </w:divBdr>
    </w:div>
    <w:div w:id="1522932194">
      <w:bodyDiv w:val="1"/>
      <w:marLeft w:val="0"/>
      <w:marRight w:val="0"/>
      <w:marTop w:val="0"/>
      <w:marBottom w:val="0"/>
      <w:divBdr>
        <w:top w:val="none" w:sz="0" w:space="0" w:color="auto"/>
        <w:left w:val="none" w:sz="0" w:space="0" w:color="auto"/>
        <w:bottom w:val="none" w:sz="0" w:space="0" w:color="auto"/>
        <w:right w:val="none" w:sz="0" w:space="0" w:color="auto"/>
      </w:divBdr>
      <w:divsChild>
        <w:div w:id="1639645485">
          <w:marLeft w:val="0"/>
          <w:marRight w:val="0"/>
          <w:marTop w:val="0"/>
          <w:marBottom w:val="0"/>
          <w:divBdr>
            <w:top w:val="none" w:sz="0" w:space="0" w:color="auto"/>
            <w:left w:val="none" w:sz="0" w:space="0" w:color="DDDDDD"/>
            <w:bottom w:val="none" w:sz="0" w:space="8" w:color="DDDDDD"/>
            <w:right w:val="none" w:sz="0" w:space="0" w:color="DDDDDD"/>
          </w:divBdr>
          <w:divsChild>
            <w:div w:id="1989703140">
              <w:marLeft w:val="0"/>
              <w:marRight w:val="240"/>
              <w:marTop w:val="0"/>
              <w:marBottom w:val="0"/>
              <w:divBdr>
                <w:top w:val="none" w:sz="0" w:space="0" w:color="auto"/>
                <w:left w:val="none" w:sz="0" w:space="0" w:color="auto"/>
                <w:bottom w:val="none" w:sz="0" w:space="0" w:color="auto"/>
                <w:right w:val="none" w:sz="0" w:space="0" w:color="auto"/>
              </w:divBdr>
            </w:div>
          </w:divsChild>
        </w:div>
        <w:div w:id="1851095358">
          <w:marLeft w:val="0"/>
          <w:marRight w:val="0"/>
          <w:marTop w:val="0"/>
          <w:marBottom w:val="0"/>
          <w:divBdr>
            <w:top w:val="none" w:sz="0" w:space="0" w:color="auto"/>
            <w:left w:val="none" w:sz="0" w:space="0" w:color="auto"/>
            <w:bottom w:val="none" w:sz="0" w:space="0" w:color="auto"/>
            <w:right w:val="none" w:sz="0" w:space="0" w:color="auto"/>
          </w:divBdr>
          <w:divsChild>
            <w:div w:id="1184629546">
              <w:marLeft w:val="0"/>
              <w:marRight w:val="0"/>
              <w:marTop w:val="0"/>
              <w:marBottom w:val="0"/>
              <w:divBdr>
                <w:top w:val="none" w:sz="0" w:space="0" w:color="auto"/>
                <w:left w:val="none" w:sz="0" w:space="0" w:color="auto"/>
                <w:bottom w:val="none" w:sz="0" w:space="0" w:color="auto"/>
                <w:right w:val="none" w:sz="0" w:space="0" w:color="auto"/>
              </w:divBdr>
              <w:divsChild>
                <w:div w:id="1049187336">
                  <w:marLeft w:val="0"/>
                  <w:marRight w:val="0"/>
                  <w:marTop w:val="0"/>
                  <w:marBottom w:val="0"/>
                  <w:divBdr>
                    <w:top w:val="none" w:sz="0" w:space="0" w:color="auto"/>
                    <w:left w:val="none" w:sz="0" w:space="0" w:color="auto"/>
                    <w:bottom w:val="none" w:sz="0" w:space="0" w:color="auto"/>
                    <w:right w:val="none" w:sz="0" w:space="0" w:color="auto"/>
                  </w:divBdr>
                  <w:divsChild>
                    <w:div w:id="105146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783046">
      <w:bodyDiv w:val="1"/>
      <w:marLeft w:val="0"/>
      <w:marRight w:val="0"/>
      <w:marTop w:val="0"/>
      <w:marBottom w:val="0"/>
      <w:divBdr>
        <w:top w:val="none" w:sz="0" w:space="0" w:color="auto"/>
        <w:left w:val="none" w:sz="0" w:space="0" w:color="auto"/>
        <w:bottom w:val="none" w:sz="0" w:space="0" w:color="auto"/>
        <w:right w:val="none" w:sz="0" w:space="0" w:color="auto"/>
      </w:divBdr>
      <w:divsChild>
        <w:div w:id="1760827324">
          <w:marLeft w:val="0"/>
          <w:marRight w:val="0"/>
          <w:marTop w:val="0"/>
          <w:marBottom w:val="0"/>
          <w:divBdr>
            <w:top w:val="none" w:sz="0" w:space="0" w:color="auto"/>
            <w:left w:val="none" w:sz="0" w:space="0" w:color="auto"/>
            <w:bottom w:val="single" w:sz="12" w:space="0" w:color="F5F5F5"/>
            <w:right w:val="none" w:sz="0" w:space="0" w:color="auto"/>
          </w:divBdr>
        </w:div>
        <w:div w:id="327952596">
          <w:marLeft w:val="0"/>
          <w:marRight w:val="0"/>
          <w:marTop w:val="0"/>
          <w:marBottom w:val="0"/>
          <w:divBdr>
            <w:top w:val="none" w:sz="0" w:space="0" w:color="auto"/>
            <w:left w:val="none" w:sz="0" w:space="0" w:color="auto"/>
            <w:bottom w:val="none" w:sz="0" w:space="0" w:color="auto"/>
            <w:right w:val="none" w:sz="0" w:space="0" w:color="auto"/>
          </w:divBdr>
        </w:div>
      </w:divsChild>
    </w:div>
    <w:div w:id="2071952939">
      <w:bodyDiv w:val="1"/>
      <w:marLeft w:val="0"/>
      <w:marRight w:val="0"/>
      <w:marTop w:val="0"/>
      <w:marBottom w:val="0"/>
      <w:divBdr>
        <w:top w:val="none" w:sz="0" w:space="0" w:color="auto"/>
        <w:left w:val="none" w:sz="0" w:space="0" w:color="auto"/>
        <w:bottom w:val="none" w:sz="0" w:space="0" w:color="auto"/>
        <w:right w:val="none" w:sz="0" w:space="0" w:color="auto"/>
      </w:divBdr>
    </w:div>
    <w:div w:id="2133598561">
      <w:bodyDiv w:val="1"/>
      <w:marLeft w:val="0"/>
      <w:marRight w:val="0"/>
      <w:marTop w:val="0"/>
      <w:marBottom w:val="0"/>
      <w:divBdr>
        <w:top w:val="none" w:sz="0" w:space="0" w:color="auto"/>
        <w:left w:val="none" w:sz="0" w:space="0" w:color="auto"/>
        <w:bottom w:val="none" w:sz="0" w:space="0" w:color="auto"/>
        <w:right w:val="none" w:sz="0" w:space="0" w:color="auto"/>
      </w:divBdr>
      <w:divsChild>
        <w:div w:id="578371350">
          <w:marLeft w:val="0"/>
          <w:marRight w:val="0"/>
          <w:marTop w:val="0"/>
          <w:marBottom w:val="0"/>
          <w:divBdr>
            <w:top w:val="none" w:sz="0" w:space="0" w:color="auto"/>
            <w:left w:val="none" w:sz="0" w:space="0" w:color="auto"/>
            <w:bottom w:val="none" w:sz="0" w:space="0" w:color="auto"/>
            <w:right w:val="none" w:sz="0" w:space="0" w:color="auto"/>
          </w:divBdr>
          <w:divsChild>
            <w:div w:id="218176835">
              <w:marLeft w:val="0"/>
              <w:marRight w:val="0"/>
              <w:marTop w:val="180"/>
              <w:marBottom w:val="180"/>
              <w:divBdr>
                <w:top w:val="none" w:sz="0" w:space="0" w:color="auto"/>
                <w:left w:val="none" w:sz="0" w:space="0" w:color="auto"/>
                <w:bottom w:val="none" w:sz="0" w:space="0" w:color="auto"/>
                <w:right w:val="none" w:sz="0" w:space="0" w:color="auto"/>
              </w:divBdr>
            </w:div>
          </w:divsChild>
        </w:div>
        <w:div w:id="90129019">
          <w:marLeft w:val="0"/>
          <w:marRight w:val="0"/>
          <w:marTop w:val="0"/>
          <w:marBottom w:val="0"/>
          <w:divBdr>
            <w:top w:val="none" w:sz="0" w:space="0" w:color="auto"/>
            <w:left w:val="none" w:sz="0" w:space="0" w:color="auto"/>
            <w:bottom w:val="none" w:sz="0" w:space="0" w:color="auto"/>
            <w:right w:val="none" w:sz="0" w:space="0" w:color="auto"/>
          </w:divBdr>
          <w:divsChild>
            <w:div w:id="2016493622">
              <w:marLeft w:val="0"/>
              <w:marRight w:val="0"/>
              <w:marTop w:val="0"/>
              <w:marBottom w:val="0"/>
              <w:divBdr>
                <w:top w:val="none" w:sz="0" w:space="0" w:color="auto"/>
                <w:left w:val="none" w:sz="0" w:space="0" w:color="auto"/>
                <w:bottom w:val="none" w:sz="0" w:space="0" w:color="auto"/>
                <w:right w:val="none" w:sz="0" w:space="0" w:color="auto"/>
              </w:divBdr>
              <w:divsChild>
                <w:div w:id="705721102">
                  <w:marLeft w:val="0"/>
                  <w:marRight w:val="0"/>
                  <w:marTop w:val="0"/>
                  <w:marBottom w:val="0"/>
                  <w:divBdr>
                    <w:top w:val="none" w:sz="0" w:space="0" w:color="auto"/>
                    <w:left w:val="none" w:sz="0" w:space="0" w:color="auto"/>
                    <w:bottom w:val="none" w:sz="0" w:space="0" w:color="auto"/>
                    <w:right w:val="none" w:sz="0" w:space="0" w:color="auto"/>
                  </w:divBdr>
                  <w:divsChild>
                    <w:div w:id="375468210">
                      <w:marLeft w:val="0"/>
                      <w:marRight w:val="0"/>
                      <w:marTop w:val="0"/>
                      <w:marBottom w:val="0"/>
                      <w:divBdr>
                        <w:top w:val="none" w:sz="0" w:space="0" w:color="auto"/>
                        <w:left w:val="none" w:sz="0" w:space="0" w:color="auto"/>
                        <w:bottom w:val="none" w:sz="0" w:space="0" w:color="auto"/>
                        <w:right w:val="none" w:sz="0" w:space="0" w:color="auto"/>
                      </w:divBdr>
                      <w:divsChild>
                        <w:div w:id="1365793445">
                          <w:marLeft w:val="0"/>
                          <w:marRight w:val="0"/>
                          <w:marTop w:val="0"/>
                          <w:marBottom w:val="0"/>
                          <w:divBdr>
                            <w:top w:val="none" w:sz="0" w:space="0" w:color="auto"/>
                            <w:left w:val="none" w:sz="0" w:space="0" w:color="auto"/>
                            <w:bottom w:val="none" w:sz="0" w:space="0" w:color="auto"/>
                            <w:right w:val="none" w:sz="0" w:space="0" w:color="auto"/>
                          </w:divBdr>
                          <w:divsChild>
                            <w:div w:id="12077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inforn" TargetMode="External"/><Relationship Id="rId13" Type="http://schemas.openxmlformats.org/officeDocument/2006/relationships/hyperlink" Target="https://www.nhsinform.scot/.../infections-and-poisoning/TB-t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topics/medicine-and-dentistry/global-disease-burd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blood-tes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hs.uk/conditions/x-ray/" TargetMode="External"/><Relationship Id="rId4" Type="http://schemas.openxmlformats.org/officeDocument/2006/relationships/settings" Target="settings.xml"/><Relationship Id="rId9" Type="http://schemas.openxmlformats.org/officeDocument/2006/relationships/hyperlink" Target="https://www.nhs.uk/conditions/vaccinations/bcg-tuberculosis-tb-vaccine/" TargetMode="External"/><Relationship Id="rId14" Type="http://schemas.openxmlformats.org/officeDocument/2006/relationships/hyperlink" Target="https://www.bing.com/search?FORM=WRK2MN&amp;q=to%20www.nhsinform.scot%3Etuberculosis" TargetMode="External"/></Relationships>
</file>

<file path=word/theme/theme1.xml><?xml version="1.0" encoding="utf-8"?>
<a:theme xmlns:a="http://schemas.openxmlformats.org/drawingml/2006/main" name="Office Theme">
  <a:themeElements>
    <a:clrScheme name="Custom 3">
      <a:dk1>
        <a:srgbClr val="FFFFFF"/>
      </a:dk1>
      <a:lt1>
        <a:srgbClr val="FFFFFF"/>
      </a:lt1>
      <a:dk2>
        <a:srgbClr val="FFFFFF"/>
      </a:dk2>
      <a:lt2>
        <a:srgbClr val="FFFFFF"/>
      </a:lt2>
      <a:accent1>
        <a:srgbClr val="FFFFFF"/>
      </a:accent1>
      <a:accent2>
        <a:srgbClr val="FFFFFF"/>
      </a:accent2>
      <a:accent3>
        <a:srgbClr val="FFFFFF"/>
      </a:accent3>
      <a:accent4>
        <a:srgbClr val="D8D8D8"/>
      </a:accent4>
      <a:accent5>
        <a:srgbClr val="D8D8D8"/>
      </a:accent5>
      <a:accent6>
        <a:srgbClr val="FFFFFF"/>
      </a:accent6>
      <a:hlink>
        <a:srgbClr val="D8D8D8"/>
      </a:hlink>
      <a:folHlink>
        <a:srgbClr val="F2F2F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D5EB96-FA6C-4515-8C75-B6C7D099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2834</Words>
  <Characters>15761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Nomathemba Socikwa (2128581)</dc:creator>
  <cp:keywords/>
  <dc:description/>
  <cp:lastModifiedBy>Nomathemba Socikwa (2128581)</cp:lastModifiedBy>
  <cp:revision>2</cp:revision>
  <dcterms:created xsi:type="dcterms:W3CDTF">2022-11-23T08:55:00Z</dcterms:created>
  <dcterms:modified xsi:type="dcterms:W3CDTF">2022-11-23T08:55:00Z</dcterms:modified>
</cp:coreProperties>
</file>