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3A271" w14:textId="77777777" w:rsidR="00DA590B" w:rsidRDefault="00DA590B"/>
    <w:p w14:paraId="228B88E4" w14:textId="77777777" w:rsidR="00DA590B" w:rsidRDefault="00DA590B"/>
    <w:p w14:paraId="5E0F6360" w14:textId="77777777" w:rsidR="00DA590B" w:rsidRDefault="00DA590B"/>
    <w:p w14:paraId="0F643DD5" w14:textId="77777777" w:rsidR="00DA590B" w:rsidRDefault="00DA590B">
      <w:r w:rsidRPr="00A406E5">
        <w:rPr>
          <w:rFonts w:ascii="Arial" w:hAnsi="Arial" w:cs="Arial"/>
          <w:noProof/>
        </w:rPr>
        <w:drawing>
          <wp:anchor distT="0" distB="0" distL="114300" distR="114300" simplePos="0" relativeHeight="251659264" behindDoc="0" locked="0" layoutInCell="1" allowOverlap="1" wp14:anchorId="53F52A03" wp14:editId="7F599944">
            <wp:simplePos x="0" y="0"/>
            <wp:positionH relativeFrom="margin">
              <wp:align>center</wp:align>
            </wp:positionH>
            <wp:positionV relativeFrom="paragraph">
              <wp:posOffset>9304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3A4D3B2" w14:textId="77777777" w:rsidR="00DA590B" w:rsidRDefault="00DA590B"/>
    <w:p w14:paraId="355A19CC" w14:textId="77777777" w:rsidR="00DA590B" w:rsidRDefault="00DA590B"/>
    <w:tbl>
      <w:tblPr>
        <w:tblpPr w:leftFromText="180" w:rightFromText="180" w:horzAnchor="margin" w:tblpY="276"/>
        <w:tblW w:w="9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791"/>
      </w:tblGrid>
      <w:tr w:rsidR="00DA590B" w:rsidRPr="00A406E5" w14:paraId="48E4F4FB" w14:textId="77777777" w:rsidTr="00851C19">
        <w:tc>
          <w:tcPr>
            <w:tcW w:w="2093" w:type="dxa"/>
            <w:shd w:val="pct15" w:color="auto" w:fill="auto"/>
          </w:tcPr>
          <w:p w14:paraId="5C9C818C" w14:textId="77777777" w:rsidR="00DA590B" w:rsidRPr="00A406E5" w:rsidRDefault="00DA590B" w:rsidP="00851C19">
            <w:pPr>
              <w:spacing w:before="120" w:after="120"/>
              <w:jc w:val="both"/>
              <w:rPr>
                <w:rFonts w:ascii="Arial" w:hAnsi="Arial" w:cs="Arial"/>
                <w:b/>
              </w:rPr>
            </w:pPr>
            <w:r w:rsidRPr="00A406E5">
              <w:rPr>
                <w:rFonts w:ascii="Arial" w:hAnsi="Arial" w:cs="Arial"/>
                <w:b/>
              </w:rPr>
              <w:t>Student name:</w:t>
            </w:r>
          </w:p>
        </w:tc>
        <w:tc>
          <w:tcPr>
            <w:tcW w:w="3293" w:type="dxa"/>
          </w:tcPr>
          <w:p w14:paraId="7B22BAE9" w14:textId="4D901F11" w:rsidR="00DA590B" w:rsidRPr="00A406E5" w:rsidRDefault="00B77813" w:rsidP="00851C19">
            <w:pPr>
              <w:spacing w:before="120" w:after="120"/>
              <w:jc w:val="both"/>
              <w:rPr>
                <w:rFonts w:ascii="Arial" w:hAnsi="Arial" w:cs="Arial"/>
                <w:b/>
              </w:rPr>
            </w:pPr>
            <w:r>
              <w:rPr>
                <w:rFonts w:ascii="Arial" w:hAnsi="Arial" w:cs="Arial"/>
                <w:b/>
              </w:rPr>
              <w:t xml:space="preserve">Ismail Ali </w:t>
            </w:r>
          </w:p>
        </w:tc>
        <w:tc>
          <w:tcPr>
            <w:tcW w:w="2268" w:type="dxa"/>
            <w:shd w:val="clear" w:color="auto" w:fill="D9D9D9"/>
          </w:tcPr>
          <w:p w14:paraId="7E6981CA" w14:textId="77777777" w:rsidR="00DA590B" w:rsidRPr="00A406E5" w:rsidRDefault="00DA590B" w:rsidP="00851C19">
            <w:pPr>
              <w:spacing w:before="120" w:after="120"/>
              <w:jc w:val="both"/>
              <w:rPr>
                <w:rFonts w:ascii="Arial" w:hAnsi="Arial" w:cs="Arial"/>
                <w:b/>
              </w:rPr>
            </w:pPr>
            <w:r w:rsidRPr="00A406E5">
              <w:rPr>
                <w:rFonts w:ascii="Arial" w:hAnsi="Arial" w:cs="Arial"/>
                <w:b/>
              </w:rPr>
              <w:t>Student ID number:</w:t>
            </w:r>
          </w:p>
        </w:tc>
        <w:tc>
          <w:tcPr>
            <w:tcW w:w="1791" w:type="dxa"/>
          </w:tcPr>
          <w:p w14:paraId="30A51A0B" w14:textId="7C57E2A0" w:rsidR="00DA590B" w:rsidRPr="00A406E5" w:rsidRDefault="001028A9" w:rsidP="00851C19">
            <w:pPr>
              <w:spacing w:before="120" w:after="120"/>
              <w:jc w:val="both"/>
              <w:rPr>
                <w:rFonts w:ascii="Arial" w:hAnsi="Arial" w:cs="Arial"/>
                <w:b/>
              </w:rPr>
            </w:pPr>
            <w:r>
              <w:rPr>
                <w:rFonts w:ascii="Arial" w:hAnsi="Arial" w:cs="Arial"/>
                <w:b/>
              </w:rPr>
              <w:t>2506872</w:t>
            </w:r>
          </w:p>
        </w:tc>
      </w:tr>
      <w:tr w:rsidR="00DA590B" w:rsidRPr="00FC2075" w14:paraId="057C4D4D" w14:textId="77777777" w:rsidTr="00851C19">
        <w:tc>
          <w:tcPr>
            <w:tcW w:w="2093" w:type="dxa"/>
            <w:shd w:val="pct15" w:color="auto" w:fill="auto"/>
          </w:tcPr>
          <w:p w14:paraId="12972AFC" w14:textId="77777777" w:rsidR="00DA590B" w:rsidRPr="00A406E5" w:rsidRDefault="00DA590B" w:rsidP="00851C19">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352" w:type="dxa"/>
            <w:gridSpan w:val="3"/>
          </w:tcPr>
          <w:p w14:paraId="4C58CB4E" w14:textId="77777777" w:rsidR="00DA590B" w:rsidRPr="00FC2075" w:rsidRDefault="00DA590B" w:rsidP="00851C19">
            <w:pPr>
              <w:spacing w:before="120" w:after="120"/>
              <w:jc w:val="both"/>
              <w:rPr>
                <w:rFonts w:ascii="Arial" w:hAnsi="Arial" w:cs="Arial"/>
                <w:b/>
              </w:rPr>
            </w:pPr>
            <w:r w:rsidRPr="00FC2075">
              <w:rPr>
                <w:rFonts w:ascii="Arial" w:hAnsi="Arial" w:cs="Arial"/>
                <w:b/>
                <w:bCs/>
                <w:sz w:val="24"/>
              </w:rPr>
              <w:t>Certificate</w:t>
            </w:r>
            <w:r w:rsidRPr="00FC2075">
              <w:rPr>
                <w:rFonts w:ascii="Arial" w:hAnsi="Arial" w:cs="Arial"/>
                <w:b/>
                <w:bCs/>
                <w:spacing w:val="-5"/>
                <w:sz w:val="24"/>
              </w:rPr>
              <w:t xml:space="preserve"> </w:t>
            </w:r>
            <w:r w:rsidRPr="00FC2075">
              <w:rPr>
                <w:rFonts w:ascii="Arial" w:hAnsi="Arial" w:cs="Arial"/>
                <w:b/>
                <w:bCs/>
                <w:sz w:val="24"/>
              </w:rPr>
              <w:t>of</w:t>
            </w:r>
            <w:r w:rsidRPr="00FC2075">
              <w:rPr>
                <w:rFonts w:ascii="Arial" w:hAnsi="Arial" w:cs="Arial"/>
                <w:b/>
                <w:bCs/>
                <w:spacing w:val="-8"/>
                <w:sz w:val="24"/>
              </w:rPr>
              <w:t xml:space="preserve"> </w:t>
            </w:r>
            <w:r w:rsidRPr="00FC2075">
              <w:rPr>
                <w:rFonts w:ascii="Arial" w:hAnsi="Arial" w:cs="Arial"/>
                <w:b/>
                <w:bCs/>
                <w:sz w:val="24"/>
              </w:rPr>
              <w:t>Higher</w:t>
            </w:r>
            <w:r w:rsidRPr="00FC2075">
              <w:rPr>
                <w:rFonts w:ascii="Arial" w:hAnsi="Arial" w:cs="Arial"/>
                <w:b/>
                <w:bCs/>
                <w:spacing w:val="-6"/>
                <w:sz w:val="24"/>
              </w:rPr>
              <w:t xml:space="preserve"> </w:t>
            </w:r>
            <w:r w:rsidRPr="00FC2075">
              <w:rPr>
                <w:rFonts w:ascii="Arial" w:hAnsi="Arial" w:cs="Arial"/>
                <w:b/>
                <w:bCs/>
                <w:sz w:val="24"/>
              </w:rPr>
              <w:t>Education</w:t>
            </w:r>
            <w:r w:rsidRPr="00FC2075">
              <w:rPr>
                <w:rFonts w:ascii="Arial" w:hAnsi="Arial" w:cs="Arial"/>
                <w:b/>
                <w:bCs/>
                <w:spacing w:val="-4"/>
                <w:sz w:val="24"/>
              </w:rPr>
              <w:t xml:space="preserve"> </w:t>
            </w:r>
            <w:r w:rsidRPr="00FC2075">
              <w:rPr>
                <w:rFonts w:ascii="Arial" w:hAnsi="Arial" w:cs="Arial"/>
                <w:b/>
                <w:bCs/>
                <w:sz w:val="24"/>
              </w:rPr>
              <w:t>Skills</w:t>
            </w:r>
            <w:r w:rsidRPr="00FC2075">
              <w:rPr>
                <w:rFonts w:ascii="Arial" w:hAnsi="Arial" w:cs="Arial"/>
                <w:b/>
                <w:bCs/>
                <w:spacing w:val="-7"/>
                <w:sz w:val="24"/>
              </w:rPr>
              <w:t xml:space="preserve"> </w:t>
            </w:r>
            <w:r w:rsidRPr="00FC2075">
              <w:rPr>
                <w:rFonts w:ascii="Arial" w:hAnsi="Arial" w:cs="Arial"/>
                <w:b/>
                <w:bCs/>
                <w:sz w:val="24"/>
              </w:rPr>
              <w:t>for</w:t>
            </w:r>
            <w:r w:rsidRPr="00FC2075">
              <w:rPr>
                <w:rFonts w:ascii="Arial" w:hAnsi="Arial" w:cs="Arial"/>
                <w:b/>
                <w:bCs/>
                <w:spacing w:val="-7"/>
                <w:sz w:val="24"/>
              </w:rPr>
              <w:t xml:space="preserve"> </w:t>
            </w:r>
            <w:r w:rsidRPr="00FC2075">
              <w:rPr>
                <w:rFonts w:ascii="Arial" w:hAnsi="Arial" w:cs="Arial"/>
                <w:b/>
                <w:bCs/>
                <w:sz w:val="24"/>
              </w:rPr>
              <w:t>the</w:t>
            </w:r>
            <w:r w:rsidRPr="00FC2075">
              <w:rPr>
                <w:rFonts w:ascii="Arial" w:hAnsi="Arial" w:cs="Arial"/>
                <w:b/>
                <w:bCs/>
                <w:spacing w:val="-9"/>
                <w:sz w:val="24"/>
              </w:rPr>
              <w:t xml:space="preserve"> </w:t>
            </w:r>
            <w:r w:rsidRPr="00FC2075">
              <w:rPr>
                <w:rFonts w:ascii="Arial" w:hAnsi="Arial" w:cs="Arial"/>
                <w:b/>
                <w:bCs/>
                <w:sz w:val="24"/>
              </w:rPr>
              <w:t>Workplace</w:t>
            </w:r>
            <w:r w:rsidRPr="00FC2075">
              <w:rPr>
                <w:rFonts w:ascii="Arial" w:hAnsi="Arial" w:cs="Arial"/>
                <w:b/>
                <w:bCs/>
                <w:spacing w:val="-4"/>
                <w:sz w:val="24"/>
              </w:rPr>
              <w:t xml:space="preserve"> </w:t>
            </w:r>
            <w:r w:rsidRPr="00FC2075">
              <w:rPr>
                <w:rFonts w:ascii="Arial" w:hAnsi="Arial" w:cs="Arial"/>
                <w:b/>
                <w:bCs/>
                <w:sz w:val="24"/>
              </w:rPr>
              <w:t>(Health</w:t>
            </w:r>
            <w:r w:rsidRPr="00FC2075">
              <w:rPr>
                <w:rFonts w:ascii="Arial" w:hAnsi="Arial" w:cs="Arial"/>
                <w:b/>
                <w:bCs/>
                <w:spacing w:val="-9"/>
                <w:sz w:val="24"/>
              </w:rPr>
              <w:t xml:space="preserve"> </w:t>
            </w:r>
            <w:r w:rsidRPr="00FC2075">
              <w:rPr>
                <w:rFonts w:ascii="Arial" w:hAnsi="Arial" w:cs="Arial"/>
                <w:b/>
                <w:bCs/>
                <w:sz w:val="24"/>
              </w:rPr>
              <w:t>and Social Care)</w:t>
            </w:r>
          </w:p>
        </w:tc>
      </w:tr>
      <w:tr w:rsidR="00DA590B" w:rsidRPr="00A406E5" w14:paraId="2C420CA2" w14:textId="77777777" w:rsidTr="00851C19">
        <w:tc>
          <w:tcPr>
            <w:tcW w:w="2093" w:type="dxa"/>
            <w:shd w:val="pct15" w:color="auto" w:fill="auto"/>
          </w:tcPr>
          <w:p w14:paraId="0CAE2DE9" w14:textId="77777777" w:rsidR="00DA590B" w:rsidRPr="00A406E5" w:rsidRDefault="00DA590B" w:rsidP="00851C19">
            <w:pPr>
              <w:spacing w:before="120" w:after="120"/>
              <w:jc w:val="both"/>
              <w:rPr>
                <w:rFonts w:ascii="Arial" w:hAnsi="Arial" w:cs="Arial"/>
                <w:b/>
              </w:rPr>
            </w:pPr>
            <w:r w:rsidRPr="00A406E5">
              <w:rPr>
                <w:rFonts w:ascii="Arial" w:hAnsi="Arial" w:cs="Arial"/>
                <w:b/>
              </w:rPr>
              <w:t>Module:</w:t>
            </w:r>
          </w:p>
        </w:tc>
        <w:tc>
          <w:tcPr>
            <w:tcW w:w="7352" w:type="dxa"/>
            <w:gridSpan w:val="3"/>
          </w:tcPr>
          <w:p w14:paraId="1123FA32" w14:textId="77777777" w:rsidR="00DA590B" w:rsidRPr="00A406E5" w:rsidRDefault="00DA590B" w:rsidP="00851C19">
            <w:pPr>
              <w:spacing w:before="120" w:after="120"/>
              <w:jc w:val="both"/>
              <w:rPr>
                <w:rFonts w:ascii="Arial" w:hAnsi="Arial" w:cs="Arial"/>
                <w:b/>
              </w:rPr>
            </w:pPr>
            <w:r>
              <w:rPr>
                <w:rFonts w:ascii="Arial" w:hAnsi="Arial" w:cs="Arial"/>
                <w:b/>
              </w:rPr>
              <w:t>Introduction to Public Health</w:t>
            </w:r>
          </w:p>
        </w:tc>
      </w:tr>
      <w:tr w:rsidR="00DA590B" w:rsidRPr="00A406E5" w14:paraId="4CD66A5E" w14:textId="77777777" w:rsidTr="00851C19">
        <w:tc>
          <w:tcPr>
            <w:tcW w:w="2093" w:type="dxa"/>
            <w:shd w:val="pct15" w:color="auto" w:fill="auto"/>
          </w:tcPr>
          <w:p w14:paraId="7CEB6CBA" w14:textId="77777777" w:rsidR="00DA590B" w:rsidRPr="00A406E5" w:rsidRDefault="00DA590B" w:rsidP="00851C19">
            <w:pPr>
              <w:spacing w:before="120" w:after="120"/>
              <w:jc w:val="both"/>
              <w:rPr>
                <w:rFonts w:ascii="Arial" w:hAnsi="Arial" w:cs="Arial"/>
                <w:b/>
              </w:rPr>
            </w:pPr>
            <w:r w:rsidRPr="00A406E5">
              <w:rPr>
                <w:rFonts w:ascii="Arial" w:hAnsi="Arial" w:cs="Arial"/>
                <w:b/>
              </w:rPr>
              <w:t>Module code:</w:t>
            </w:r>
          </w:p>
        </w:tc>
        <w:tc>
          <w:tcPr>
            <w:tcW w:w="3293" w:type="dxa"/>
          </w:tcPr>
          <w:p w14:paraId="6EB71F84" w14:textId="77777777" w:rsidR="00DA590B" w:rsidRPr="00A406E5" w:rsidRDefault="00DA590B" w:rsidP="00851C19">
            <w:pPr>
              <w:spacing w:before="120" w:after="120"/>
              <w:jc w:val="both"/>
              <w:rPr>
                <w:rFonts w:ascii="Arial" w:hAnsi="Arial" w:cs="Arial"/>
                <w:b/>
              </w:rPr>
            </w:pPr>
            <w:r>
              <w:rPr>
                <w:rFonts w:ascii="Arial" w:hAnsi="Arial" w:cs="Arial"/>
                <w:b/>
              </w:rPr>
              <w:t>LCHS 4008</w:t>
            </w:r>
          </w:p>
        </w:tc>
        <w:tc>
          <w:tcPr>
            <w:tcW w:w="2268" w:type="dxa"/>
            <w:shd w:val="clear" w:color="auto" w:fill="D9D9D9"/>
          </w:tcPr>
          <w:p w14:paraId="02410637" w14:textId="77777777" w:rsidR="00DA590B" w:rsidRPr="004D5E9B" w:rsidRDefault="00DA590B" w:rsidP="00851C19">
            <w:pPr>
              <w:pStyle w:val="Heading2"/>
              <w:rPr>
                <w:rFonts w:ascii="Arial" w:hAnsi="Arial" w:cs="Arial"/>
                <w:sz w:val="22"/>
                <w:szCs w:val="22"/>
              </w:rPr>
            </w:pPr>
            <w:r w:rsidRPr="00A406E5">
              <w:rPr>
                <w:rFonts w:ascii="Arial" w:hAnsi="Arial" w:cs="Arial"/>
                <w:sz w:val="22"/>
                <w:szCs w:val="22"/>
              </w:rPr>
              <w:t>Contribution to Overall Module Assessment (%):</w:t>
            </w:r>
          </w:p>
        </w:tc>
        <w:tc>
          <w:tcPr>
            <w:tcW w:w="1791" w:type="dxa"/>
          </w:tcPr>
          <w:p w14:paraId="139817D1" w14:textId="77777777" w:rsidR="00DA590B" w:rsidRPr="00A406E5" w:rsidRDefault="00DA590B" w:rsidP="00851C19">
            <w:pPr>
              <w:spacing w:before="120" w:after="120"/>
              <w:jc w:val="both"/>
              <w:rPr>
                <w:rFonts w:ascii="Arial" w:hAnsi="Arial" w:cs="Arial"/>
                <w:b/>
              </w:rPr>
            </w:pPr>
            <w:r>
              <w:rPr>
                <w:rFonts w:ascii="Arial" w:hAnsi="Arial" w:cs="Arial"/>
                <w:b/>
              </w:rPr>
              <w:t>50%</w:t>
            </w:r>
          </w:p>
        </w:tc>
      </w:tr>
      <w:tr w:rsidR="00DA590B" w:rsidRPr="00A406E5" w14:paraId="2BA3E133" w14:textId="77777777" w:rsidTr="00851C19">
        <w:tc>
          <w:tcPr>
            <w:tcW w:w="2093" w:type="dxa"/>
            <w:shd w:val="pct15" w:color="auto" w:fill="auto"/>
          </w:tcPr>
          <w:p w14:paraId="58BB86E4" w14:textId="77777777" w:rsidR="00DA590B" w:rsidRPr="00A406E5" w:rsidRDefault="00DA590B" w:rsidP="00851C19">
            <w:pPr>
              <w:spacing w:before="120" w:after="120"/>
              <w:jc w:val="both"/>
              <w:rPr>
                <w:rFonts w:ascii="Arial" w:hAnsi="Arial" w:cs="Arial"/>
                <w:b/>
              </w:rPr>
            </w:pPr>
            <w:r w:rsidRPr="00A406E5">
              <w:rPr>
                <w:rFonts w:ascii="Arial" w:hAnsi="Arial" w:cs="Arial"/>
                <w:b/>
              </w:rPr>
              <w:t>Lecturer:</w:t>
            </w:r>
          </w:p>
        </w:tc>
        <w:tc>
          <w:tcPr>
            <w:tcW w:w="3293" w:type="dxa"/>
          </w:tcPr>
          <w:p w14:paraId="2D32C480" w14:textId="77777777" w:rsidR="00DA590B" w:rsidRPr="00A406E5" w:rsidRDefault="00DA590B" w:rsidP="00851C19">
            <w:pPr>
              <w:spacing w:before="120" w:after="120"/>
              <w:jc w:val="both"/>
              <w:rPr>
                <w:rFonts w:ascii="Arial" w:hAnsi="Arial" w:cs="Arial"/>
                <w:b/>
              </w:rPr>
            </w:pPr>
            <w:r>
              <w:rPr>
                <w:rFonts w:ascii="Arial" w:hAnsi="Arial" w:cs="Arial"/>
                <w:b/>
              </w:rPr>
              <w:t>Gillian Weaver (Module Lead)</w:t>
            </w:r>
          </w:p>
        </w:tc>
        <w:tc>
          <w:tcPr>
            <w:tcW w:w="2268" w:type="dxa"/>
            <w:shd w:val="clear" w:color="auto" w:fill="D9D9D9"/>
          </w:tcPr>
          <w:p w14:paraId="0FA93D04" w14:textId="77777777" w:rsidR="00DA590B" w:rsidRPr="00A406E5" w:rsidRDefault="00DA590B" w:rsidP="00851C19">
            <w:pPr>
              <w:spacing w:before="120" w:after="120"/>
              <w:jc w:val="both"/>
              <w:rPr>
                <w:rFonts w:ascii="Arial" w:hAnsi="Arial" w:cs="Arial"/>
                <w:b/>
              </w:rPr>
            </w:pPr>
            <w:r w:rsidRPr="00A406E5">
              <w:rPr>
                <w:rFonts w:ascii="Arial" w:hAnsi="Arial" w:cs="Arial"/>
                <w:b/>
              </w:rPr>
              <w:t>Internal Verifier:</w:t>
            </w:r>
          </w:p>
        </w:tc>
        <w:tc>
          <w:tcPr>
            <w:tcW w:w="1791" w:type="dxa"/>
          </w:tcPr>
          <w:p w14:paraId="6A96861C" w14:textId="77777777" w:rsidR="00DA590B" w:rsidRPr="00A406E5" w:rsidRDefault="00DA590B" w:rsidP="00851C19">
            <w:pPr>
              <w:spacing w:before="120" w:after="120"/>
              <w:jc w:val="both"/>
              <w:rPr>
                <w:rFonts w:ascii="Arial" w:hAnsi="Arial" w:cs="Arial"/>
                <w:b/>
              </w:rPr>
            </w:pPr>
            <w:r>
              <w:rPr>
                <w:rFonts w:ascii="Arial" w:hAnsi="Arial" w:cs="Arial"/>
                <w:b/>
              </w:rPr>
              <w:t xml:space="preserve">Dr </w:t>
            </w:r>
            <w:proofErr w:type="spellStart"/>
            <w:r>
              <w:rPr>
                <w:rFonts w:ascii="Arial" w:hAnsi="Arial" w:cs="Arial"/>
                <w:b/>
              </w:rPr>
              <w:t>Besty</w:t>
            </w:r>
            <w:proofErr w:type="spellEnd"/>
            <w:r>
              <w:rPr>
                <w:rFonts w:ascii="Arial" w:hAnsi="Arial" w:cs="Arial"/>
                <w:b/>
              </w:rPr>
              <w:t xml:space="preserve"> Jose</w:t>
            </w:r>
          </w:p>
        </w:tc>
      </w:tr>
      <w:tr w:rsidR="00DA590B" w:rsidRPr="00A406E5" w14:paraId="70E63351" w14:textId="77777777" w:rsidTr="00851C19">
        <w:tc>
          <w:tcPr>
            <w:tcW w:w="2093" w:type="dxa"/>
            <w:shd w:val="pct15" w:color="auto" w:fill="auto"/>
          </w:tcPr>
          <w:p w14:paraId="49033320" w14:textId="77777777" w:rsidR="00DA590B" w:rsidRPr="00A406E5" w:rsidRDefault="00DA590B" w:rsidP="00851C19">
            <w:pPr>
              <w:spacing w:before="120" w:after="120"/>
              <w:jc w:val="both"/>
              <w:rPr>
                <w:rFonts w:ascii="Arial" w:hAnsi="Arial" w:cs="Arial"/>
                <w:b/>
              </w:rPr>
            </w:pPr>
            <w:r w:rsidRPr="00A406E5">
              <w:rPr>
                <w:rFonts w:ascii="Arial" w:hAnsi="Arial" w:cs="Arial"/>
                <w:b/>
              </w:rPr>
              <w:t>Assignment Title:</w:t>
            </w:r>
          </w:p>
        </w:tc>
        <w:tc>
          <w:tcPr>
            <w:tcW w:w="3293" w:type="dxa"/>
          </w:tcPr>
          <w:p w14:paraId="1ACD250C" w14:textId="77777777" w:rsidR="00DA590B" w:rsidRPr="00FC2075" w:rsidRDefault="00DA590B" w:rsidP="00851C19">
            <w:pPr>
              <w:pStyle w:val="TableParagraph"/>
              <w:spacing w:line="252" w:lineRule="exact"/>
              <w:ind w:left="40"/>
              <w:rPr>
                <w:b/>
                <w:bCs/>
              </w:rPr>
            </w:pPr>
            <w:r w:rsidRPr="00FC2075">
              <w:rPr>
                <w:b/>
                <w:bCs/>
              </w:rPr>
              <w:t>Assessment</w:t>
            </w:r>
            <w:r w:rsidRPr="00FC2075">
              <w:rPr>
                <w:b/>
                <w:bCs/>
                <w:spacing w:val="-9"/>
              </w:rPr>
              <w:t xml:space="preserve"> </w:t>
            </w:r>
            <w:r w:rsidRPr="00FC2075">
              <w:rPr>
                <w:b/>
                <w:bCs/>
              </w:rPr>
              <w:t>2</w:t>
            </w:r>
            <w:r w:rsidRPr="00FC2075">
              <w:rPr>
                <w:b/>
                <w:bCs/>
                <w:spacing w:val="-11"/>
              </w:rPr>
              <w:t xml:space="preserve"> </w:t>
            </w:r>
            <w:r w:rsidRPr="00FC2075">
              <w:rPr>
                <w:b/>
                <w:bCs/>
                <w:spacing w:val="-10"/>
              </w:rPr>
              <w:t>-</w:t>
            </w:r>
          </w:p>
          <w:p w14:paraId="4B130FB5" w14:textId="77777777" w:rsidR="00DA590B" w:rsidRPr="007A279B" w:rsidRDefault="00DA590B" w:rsidP="00851C19">
            <w:pPr>
              <w:spacing w:before="120" w:after="120"/>
              <w:jc w:val="both"/>
              <w:rPr>
                <w:rFonts w:ascii="Arial" w:hAnsi="Arial" w:cs="Arial"/>
                <w:b/>
              </w:rPr>
            </w:pPr>
            <w:r w:rsidRPr="007A279B">
              <w:rPr>
                <w:rFonts w:ascii="Arial" w:hAnsi="Arial" w:cs="Arial"/>
                <w:b/>
                <w:bCs/>
                <w:spacing w:val="-2"/>
              </w:rPr>
              <w:t>Report on a Health Issue</w:t>
            </w:r>
          </w:p>
        </w:tc>
        <w:tc>
          <w:tcPr>
            <w:tcW w:w="2268" w:type="dxa"/>
            <w:shd w:val="pct15" w:color="auto" w:fill="auto"/>
          </w:tcPr>
          <w:p w14:paraId="354E5E22" w14:textId="77777777" w:rsidR="00DA590B" w:rsidRPr="00A406E5" w:rsidRDefault="00DA590B" w:rsidP="00851C19">
            <w:pPr>
              <w:spacing w:before="120" w:after="120"/>
              <w:jc w:val="both"/>
              <w:rPr>
                <w:rFonts w:ascii="Arial" w:hAnsi="Arial" w:cs="Arial"/>
                <w:b/>
              </w:rPr>
            </w:pPr>
            <w:r>
              <w:rPr>
                <w:rFonts w:ascii="Arial" w:hAnsi="Arial" w:cs="Arial"/>
                <w:b/>
              </w:rPr>
              <w:t>Word count (or equivalent):</w:t>
            </w:r>
          </w:p>
        </w:tc>
        <w:tc>
          <w:tcPr>
            <w:tcW w:w="1791" w:type="dxa"/>
          </w:tcPr>
          <w:p w14:paraId="1A7E0DDA" w14:textId="77777777" w:rsidR="00DA590B" w:rsidRPr="00A406E5" w:rsidRDefault="00DA590B" w:rsidP="00851C19">
            <w:pPr>
              <w:spacing w:before="120" w:after="120"/>
              <w:jc w:val="both"/>
              <w:rPr>
                <w:rFonts w:ascii="Arial" w:hAnsi="Arial" w:cs="Arial"/>
                <w:b/>
              </w:rPr>
            </w:pPr>
            <w:r>
              <w:rPr>
                <w:rFonts w:ascii="Arial" w:hAnsi="Arial" w:cs="Arial"/>
                <w:b/>
              </w:rPr>
              <w:t>Report 1500 words</w:t>
            </w:r>
          </w:p>
        </w:tc>
      </w:tr>
      <w:tr w:rsidR="00DA590B" w:rsidRPr="00A406E5" w14:paraId="7D5CEFEA" w14:textId="77777777" w:rsidTr="00851C19">
        <w:tc>
          <w:tcPr>
            <w:tcW w:w="2093" w:type="dxa"/>
            <w:shd w:val="pct15" w:color="auto" w:fill="auto"/>
          </w:tcPr>
          <w:p w14:paraId="4A4BA36F" w14:textId="77777777" w:rsidR="00DA590B" w:rsidRPr="00A406E5" w:rsidRDefault="00DA590B" w:rsidP="00851C19">
            <w:pPr>
              <w:spacing w:before="120" w:after="120"/>
              <w:jc w:val="both"/>
              <w:rPr>
                <w:rFonts w:ascii="Arial" w:hAnsi="Arial" w:cs="Arial"/>
                <w:b/>
              </w:rPr>
            </w:pPr>
            <w:r w:rsidRPr="00A406E5">
              <w:rPr>
                <w:rFonts w:ascii="Arial" w:hAnsi="Arial" w:cs="Arial"/>
                <w:b/>
              </w:rPr>
              <w:t>Submission deadline:</w:t>
            </w:r>
          </w:p>
        </w:tc>
        <w:tc>
          <w:tcPr>
            <w:tcW w:w="3293" w:type="dxa"/>
          </w:tcPr>
          <w:p w14:paraId="52C9C0A6" w14:textId="77777777" w:rsidR="00DA590B" w:rsidRPr="00A406E5" w:rsidRDefault="00DA590B" w:rsidP="00851C19">
            <w:pPr>
              <w:spacing w:before="120" w:after="120"/>
              <w:jc w:val="both"/>
              <w:rPr>
                <w:rFonts w:ascii="Arial" w:hAnsi="Arial" w:cs="Arial"/>
                <w:b/>
              </w:rPr>
            </w:pPr>
            <w:r>
              <w:rPr>
                <w:rFonts w:ascii="Arial" w:hAnsi="Arial" w:cs="Arial"/>
                <w:b/>
              </w:rPr>
              <w:t xml:space="preserve">To be submitted via </w:t>
            </w:r>
            <w:proofErr w:type="spellStart"/>
            <w:r>
              <w:rPr>
                <w:rFonts w:ascii="Arial" w:hAnsi="Arial" w:cs="Arial"/>
                <w:b/>
              </w:rPr>
              <w:t>Turnitin</w:t>
            </w:r>
            <w:proofErr w:type="spellEnd"/>
            <w:r>
              <w:rPr>
                <w:rFonts w:ascii="Arial" w:hAnsi="Arial" w:cs="Arial"/>
                <w:b/>
              </w:rPr>
              <w:t xml:space="preserve"> by </w:t>
            </w:r>
            <w:r w:rsidRPr="00000277">
              <w:rPr>
                <w:rFonts w:ascii="Arial" w:hAnsi="Arial" w:cs="Arial"/>
                <w:b/>
                <w:color w:val="FF0000"/>
              </w:rPr>
              <w:t>Tuesday</w:t>
            </w:r>
            <w:r>
              <w:rPr>
                <w:rFonts w:ascii="Arial" w:hAnsi="Arial" w:cs="Arial"/>
                <w:b/>
                <w:color w:val="FF0000"/>
              </w:rPr>
              <w:t>,</w:t>
            </w:r>
            <w:r w:rsidRPr="00000277">
              <w:rPr>
                <w:rFonts w:ascii="Arial" w:hAnsi="Arial" w:cs="Arial"/>
                <w:b/>
                <w:color w:val="FF0000"/>
              </w:rPr>
              <w:t xml:space="preserve"> 24th March 2026, 10 am</w:t>
            </w:r>
          </w:p>
        </w:tc>
        <w:tc>
          <w:tcPr>
            <w:tcW w:w="2268" w:type="dxa"/>
            <w:shd w:val="pct15" w:color="auto" w:fill="auto"/>
          </w:tcPr>
          <w:p w14:paraId="20F08CA7" w14:textId="77777777" w:rsidR="00DA590B" w:rsidRPr="00A406E5" w:rsidRDefault="00DA590B" w:rsidP="00851C19">
            <w:pPr>
              <w:spacing w:before="120" w:after="120"/>
              <w:jc w:val="both"/>
              <w:rPr>
                <w:rFonts w:ascii="Arial" w:hAnsi="Arial" w:cs="Arial"/>
                <w:b/>
              </w:rPr>
            </w:pPr>
            <w:r w:rsidRPr="00A406E5">
              <w:rPr>
                <w:rFonts w:ascii="Arial" w:hAnsi="Arial" w:cs="Arial"/>
                <w:b/>
              </w:rPr>
              <w:t>Return date of provisional marks &amp; written feedback:</w:t>
            </w:r>
          </w:p>
        </w:tc>
        <w:tc>
          <w:tcPr>
            <w:tcW w:w="1791" w:type="dxa"/>
          </w:tcPr>
          <w:p w14:paraId="4750AF2B" w14:textId="77777777" w:rsidR="00DA590B" w:rsidRPr="00A406E5" w:rsidRDefault="00DA590B" w:rsidP="00851C19">
            <w:pPr>
              <w:spacing w:before="120" w:after="120"/>
              <w:jc w:val="both"/>
              <w:rPr>
                <w:rFonts w:ascii="Arial" w:hAnsi="Arial" w:cs="Arial"/>
                <w:b/>
              </w:rPr>
            </w:pPr>
            <w:r w:rsidRPr="00000277">
              <w:rPr>
                <w:rFonts w:ascii="Arial" w:hAnsi="Arial" w:cs="Arial"/>
                <w:b/>
              </w:rPr>
              <w:t>27th April 2026</w:t>
            </w:r>
          </w:p>
        </w:tc>
      </w:tr>
    </w:tbl>
    <w:p w14:paraId="716CE867" w14:textId="77777777" w:rsidR="00273D9F" w:rsidRDefault="00273D9F">
      <w:pPr>
        <w:rPr>
          <w:b/>
          <w:bCs/>
          <w:sz w:val="28"/>
          <w:szCs w:val="26"/>
        </w:rPr>
      </w:pPr>
      <w:r>
        <w:br w:type="page"/>
      </w:r>
    </w:p>
    <w:sdt>
      <w:sdtPr>
        <w:rPr>
          <w:rFonts w:ascii="Times New Roman" w:eastAsiaTheme="minorHAnsi" w:hAnsi="Times New Roman" w:cstheme="minorBidi"/>
          <w:b/>
          <w:bCs/>
          <w:color w:val="auto"/>
          <w:sz w:val="22"/>
          <w:szCs w:val="22"/>
          <w:lang w:bidi="hi-IN"/>
        </w:rPr>
        <w:id w:val="-786811625"/>
        <w:docPartObj>
          <w:docPartGallery w:val="Table of Contents"/>
          <w:docPartUnique/>
        </w:docPartObj>
      </w:sdtPr>
      <w:sdtEndPr>
        <w:rPr>
          <w:noProof/>
        </w:rPr>
      </w:sdtEndPr>
      <w:sdtContent>
        <w:p w14:paraId="7A1CB61E" w14:textId="77777777" w:rsidR="00273D9F" w:rsidRPr="00273D9F" w:rsidRDefault="00273D9F" w:rsidP="00273D9F">
          <w:pPr>
            <w:pStyle w:val="TOCHeading"/>
            <w:spacing w:line="360" w:lineRule="auto"/>
            <w:jc w:val="center"/>
            <w:rPr>
              <w:rFonts w:ascii="Times New Roman" w:hAnsi="Times New Roman" w:cs="Times New Roman"/>
              <w:b/>
              <w:bCs/>
              <w:color w:val="auto"/>
            </w:rPr>
          </w:pPr>
          <w:r w:rsidRPr="00273D9F">
            <w:rPr>
              <w:rFonts w:ascii="Times New Roman" w:hAnsi="Times New Roman" w:cs="Times New Roman"/>
              <w:b/>
              <w:bCs/>
              <w:color w:val="auto"/>
            </w:rPr>
            <w:t>Table of Contents</w:t>
          </w:r>
        </w:p>
        <w:p w14:paraId="3A83A318" w14:textId="77777777" w:rsidR="00273D9F" w:rsidRPr="00273D9F" w:rsidRDefault="00273D9F" w:rsidP="00273D9F">
          <w:pPr>
            <w:pStyle w:val="TOC1"/>
            <w:tabs>
              <w:tab w:val="right" w:leader="dot" w:pos="9350"/>
            </w:tabs>
            <w:spacing w:line="360" w:lineRule="auto"/>
            <w:jc w:val="both"/>
            <w:rPr>
              <w:rFonts w:cs="Times New Roman"/>
              <w:noProof/>
            </w:rPr>
          </w:pPr>
          <w:r w:rsidRPr="00273D9F">
            <w:rPr>
              <w:rFonts w:cs="Times New Roman"/>
              <w:b/>
              <w:bCs/>
              <w:noProof/>
            </w:rPr>
            <w:fldChar w:fldCharType="begin"/>
          </w:r>
          <w:r w:rsidRPr="00273D9F">
            <w:rPr>
              <w:rFonts w:cs="Times New Roman"/>
              <w:b/>
              <w:bCs/>
              <w:noProof/>
            </w:rPr>
            <w:instrText xml:space="preserve"> TOC \o "1-3" \h \z \u </w:instrText>
          </w:r>
          <w:r w:rsidRPr="00273D9F">
            <w:rPr>
              <w:rFonts w:cs="Times New Roman"/>
              <w:b/>
              <w:bCs/>
              <w:noProof/>
            </w:rPr>
            <w:fldChar w:fldCharType="separate"/>
          </w:r>
          <w:hyperlink w:anchor="_Toc223448362" w:history="1">
            <w:r w:rsidRPr="00273D9F">
              <w:rPr>
                <w:rStyle w:val="Hyperlink"/>
                <w:rFonts w:cs="Times New Roman"/>
                <w:noProof/>
              </w:rPr>
              <w:t>INTRODUCTION</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_Toc223448362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3</w:t>
            </w:r>
            <w:r w:rsidRPr="00273D9F">
              <w:rPr>
                <w:rFonts w:cs="Times New Roman"/>
                <w:noProof/>
                <w:webHidden/>
              </w:rPr>
              <w:fldChar w:fldCharType="end"/>
            </w:r>
          </w:hyperlink>
        </w:p>
        <w:p w14:paraId="6714B5D8" w14:textId="77777777" w:rsidR="00273D9F" w:rsidRPr="00273D9F" w:rsidRDefault="00273D9F" w:rsidP="00273D9F">
          <w:pPr>
            <w:pStyle w:val="TOC1"/>
            <w:tabs>
              <w:tab w:val="right" w:leader="dot" w:pos="9350"/>
            </w:tabs>
            <w:spacing w:line="360" w:lineRule="auto"/>
            <w:jc w:val="both"/>
            <w:rPr>
              <w:rFonts w:cs="Times New Roman"/>
              <w:noProof/>
            </w:rPr>
          </w:pPr>
          <w:hyperlink w:anchor="_Toc223448363" w:history="1">
            <w:r w:rsidRPr="00273D9F">
              <w:rPr>
                <w:rStyle w:val="Hyperlink"/>
                <w:rFonts w:cs="Times New Roman"/>
                <w:noProof/>
              </w:rPr>
              <w:t>MAIN BODY</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_Toc223448363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3</w:t>
            </w:r>
            <w:r w:rsidRPr="00273D9F">
              <w:rPr>
                <w:rFonts w:cs="Times New Roman"/>
                <w:noProof/>
                <w:webHidden/>
              </w:rPr>
              <w:fldChar w:fldCharType="end"/>
            </w:r>
          </w:hyperlink>
        </w:p>
        <w:p w14:paraId="20910F6A" w14:textId="77777777" w:rsidR="00273D9F" w:rsidRPr="00273D9F" w:rsidRDefault="00273D9F" w:rsidP="00273D9F">
          <w:pPr>
            <w:pStyle w:val="TOC2"/>
            <w:tabs>
              <w:tab w:val="right" w:leader="dot" w:pos="9350"/>
            </w:tabs>
            <w:spacing w:line="360" w:lineRule="auto"/>
            <w:jc w:val="both"/>
            <w:rPr>
              <w:rFonts w:cs="Times New Roman"/>
              <w:noProof/>
            </w:rPr>
          </w:pPr>
          <w:hyperlink w:anchor="_Toc223448364" w:history="1">
            <w:r w:rsidRPr="00273D9F">
              <w:rPr>
                <w:rStyle w:val="Hyperlink"/>
                <w:rFonts w:cs="Times New Roman"/>
                <w:noProof/>
              </w:rPr>
              <w:t>2.1 Approaches Used to Measure and Monitor Tuberculosis</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_Toc223448364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3</w:t>
            </w:r>
            <w:r w:rsidRPr="00273D9F">
              <w:rPr>
                <w:rFonts w:cs="Times New Roman"/>
                <w:noProof/>
                <w:webHidden/>
              </w:rPr>
              <w:fldChar w:fldCharType="end"/>
            </w:r>
          </w:hyperlink>
        </w:p>
        <w:p w14:paraId="78091738" w14:textId="77777777" w:rsidR="00273D9F" w:rsidRPr="00273D9F" w:rsidRDefault="00273D9F" w:rsidP="00273D9F">
          <w:pPr>
            <w:pStyle w:val="TOC2"/>
            <w:tabs>
              <w:tab w:val="right" w:leader="dot" w:pos="9350"/>
            </w:tabs>
            <w:spacing w:line="360" w:lineRule="auto"/>
            <w:jc w:val="both"/>
            <w:rPr>
              <w:rFonts w:cs="Times New Roman"/>
              <w:noProof/>
            </w:rPr>
          </w:pPr>
          <w:hyperlink w:anchor="_Toc223448365" w:history="1">
            <w:r w:rsidRPr="00273D9F">
              <w:rPr>
                <w:rStyle w:val="Hyperlink"/>
                <w:rFonts w:cs="Times New Roman"/>
                <w:noProof/>
              </w:rPr>
              <w:t>2.2 How Tuberculosis is controlled</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_Toc223448365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4</w:t>
            </w:r>
            <w:r w:rsidRPr="00273D9F">
              <w:rPr>
                <w:rFonts w:cs="Times New Roman"/>
                <w:noProof/>
                <w:webHidden/>
              </w:rPr>
              <w:fldChar w:fldCharType="end"/>
            </w:r>
          </w:hyperlink>
        </w:p>
        <w:p w14:paraId="0FCCA4A6" w14:textId="77777777" w:rsidR="00273D9F" w:rsidRPr="00273D9F" w:rsidRDefault="00273D9F" w:rsidP="00273D9F">
          <w:pPr>
            <w:pStyle w:val="TOC2"/>
            <w:tabs>
              <w:tab w:val="right" w:leader="dot" w:pos="9350"/>
            </w:tabs>
            <w:spacing w:line="360" w:lineRule="auto"/>
            <w:jc w:val="both"/>
            <w:rPr>
              <w:rFonts w:cs="Times New Roman"/>
              <w:noProof/>
            </w:rPr>
          </w:pPr>
          <w:hyperlink w:anchor="_Toc223448366" w:history="1">
            <w:r w:rsidRPr="00273D9F">
              <w:rPr>
                <w:rStyle w:val="Hyperlink"/>
                <w:rFonts w:cs="Times New Roman"/>
                <w:noProof/>
              </w:rPr>
              <w:t>2.3 Consequences of TB on Individuals and Communities</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_Toc223448366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5</w:t>
            </w:r>
            <w:r w:rsidRPr="00273D9F">
              <w:rPr>
                <w:rFonts w:cs="Times New Roman"/>
                <w:noProof/>
                <w:webHidden/>
              </w:rPr>
              <w:fldChar w:fldCharType="end"/>
            </w:r>
          </w:hyperlink>
        </w:p>
        <w:p w14:paraId="38D53DF6" w14:textId="77777777" w:rsidR="00273D9F" w:rsidRPr="00273D9F" w:rsidRDefault="00273D9F" w:rsidP="00273D9F">
          <w:pPr>
            <w:pStyle w:val="TOC2"/>
            <w:tabs>
              <w:tab w:val="right" w:leader="dot" w:pos="9350"/>
            </w:tabs>
            <w:spacing w:line="360" w:lineRule="auto"/>
            <w:jc w:val="both"/>
            <w:rPr>
              <w:rFonts w:cs="Times New Roman"/>
              <w:noProof/>
            </w:rPr>
          </w:pPr>
          <w:hyperlink w:anchor="_Toc223448367" w:history="1">
            <w:r w:rsidRPr="00273D9F">
              <w:rPr>
                <w:rStyle w:val="Hyperlink"/>
                <w:rFonts w:cs="Times New Roman"/>
                <w:noProof/>
              </w:rPr>
              <w:t>2.4 Health and Social Care Support Services Required</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_Toc223448367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5</w:t>
            </w:r>
            <w:r w:rsidRPr="00273D9F">
              <w:rPr>
                <w:rFonts w:cs="Times New Roman"/>
                <w:noProof/>
                <w:webHidden/>
              </w:rPr>
              <w:fldChar w:fldCharType="end"/>
            </w:r>
          </w:hyperlink>
        </w:p>
        <w:p w14:paraId="67B6CF0C" w14:textId="77777777" w:rsidR="00273D9F" w:rsidRPr="00273D9F" w:rsidRDefault="00273D9F" w:rsidP="00273D9F">
          <w:pPr>
            <w:pStyle w:val="TOC1"/>
            <w:tabs>
              <w:tab w:val="right" w:leader="dot" w:pos="9350"/>
            </w:tabs>
            <w:spacing w:line="360" w:lineRule="auto"/>
            <w:jc w:val="both"/>
            <w:rPr>
              <w:rFonts w:cs="Times New Roman"/>
              <w:noProof/>
            </w:rPr>
          </w:pPr>
          <w:hyperlink w:anchor="_Toc223448368" w:history="1">
            <w:r w:rsidRPr="00273D9F">
              <w:rPr>
                <w:rStyle w:val="Hyperlink"/>
                <w:rFonts w:cs="Times New Roman"/>
                <w:noProof/>
              </w:rPr>
              <w:t>CONCLUSION</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_Toc223448368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6</w:t>
            </w:r>
            <w:r w:rsidRPr="00273D9F">
              <w:rPr>
                <w:rFonts w:cs="Times New Roman"/>
                <w:noProof/>
                <w:webHidden/>
              </w:rPr>
              <w:fldChar w:fldCharType="end"/>
            </w:r>
          </w:hyperlink>
        </w:p>
        <w:p w14:paraId="6B31E08A" w14:textId="77777777" w:rsidR="00273D9F" w:rsidRDefault="00273D9F" w:rsidP="00273D9F">
          <w:pPr>
            <w:spacing w:line="360" w:lineRule="auto"/>
            <w:jc w:val="both"/>
          </w:pPr>
          <w:r w:rsidRPr="00273D9F">
            <w:rPr>
              <w:rFonts w:cs="Times New Roman"/>
              <w:b/>
              <w:bCs/>
              <w:noProof/>
            </w:rPr>
            <w:fldChar w:fldCharType="end"/>
          </w:r>
        </w:p>
      </w:sdtContent>
    </w:sdt>
    <w:p w14:paraId="737FFE86" w14:textId="77777777" w:rsidR="00273D9F" w:rsidRDefault="00273D9F">
      <w:pPr>
        <w:rPr>
          <w:b/>
          <w:bCs/>
          <w:sz w:val="28"/>
          <w:szCs w:val="26"/>
        </w:rPr>
      </w:pPr>
      <w:r>
        <w:br w:type="page"/>
      </w:r>
    </w:p>
    <w:p w14:paraId="10544634" w14:textId="77777777" w:rsidR="00896127" w:rsidRPr="00A524A9" w:rsidRDefault="00A524A9" w:rsidP="00A524A9">
      <w:pPr>
        <w:pStyle w:val="Heading1"/>
      </w:pPr>
      <w:bookmarkStart w:id="0" w:name="_Toc223448362"/>
      <w:r w:rsidRPr="00A524A9">
        <w:t>INTRODUCTION</w:t>
      </w:r>
      <w:bookmarkEnd w:id="0"/>
      <w:r w:rsidRPr="00A524A9">
        <w:t xml:space="preserve"> </w:t>
      </w:r>
    </w:p>
    <w:p w14:paraId="0C16058C" w14:textId="77777777" w:rsidR="007203ED" w:rsidRDefault="00B35D15" w:rsidP="00896127">
      <w:pPr>
        <w:spacing w:line="360" w:lineRule="auto"/>
        <w:jc w:val="both"/>
        <w:rPr>
          <w:rFonts w:cs="Times New Roman"/>
          <w:sz w:val="24"/>
          <w:szCs w:val="24"/>
        </w:rPr>
      </w:pPr>
      <w:r w:rsidRPr="00B35D15">
        <w:rPr>
          <w:rFonts w:cs="Times New Roman"/>
          <w:sz w:val="24"/>
          <w:szCs w:val="24"/>
        </w:rPr>
        <w:t xml:space="preserve">Mycobacterium tuberculosis is the cause of Tuberculosis (TB) that is a contagious infectious disease and may affect various organs (lungs or pulmonary TB), or other organs (lymph nodes, bones and central nervous system or extra-pulmonary TB) (World Health Organization, 2023). TB is transmitted because whenever an infected individual sneezes or coughs, the droplets of airborne sputum are released. </w:t>
      </w:r>
    </w:p>
    <w:p w14:paraId="43DF785E" w14:textId="77777777" w:rsidR="007203ED" w:rsidRDefault="007203ED" w:rsidP="007203ED">
      <w:pPr>
        <w:spacing w:line="360" w:lineRule="auto"/>
        <w:jc w:val="center"/>
        <w:rPr>
          <w:rFonts w:cs="Times New Roman"/>
          <w:sz w:val="24"/>
          <w:szCs w:val="24"/>
        </w:rPr>
      </w:pPr>
      <w:r w:rsidRPr="007203ED">
        <w:rPr>
          <w:rFonts w:cs="Times New Roman"/>
          <w:noProof/>
          <w:sz w:val="24"/>
          <w:szCs w:val="24"/>
        </w:rPr>
        <w:drawing>
          <wp:inline distT="0" distB="0" distL="0" distR="0" wp14:anchorId="13702C9C" wp14:editId="6C560AFF">
            <wp:extent cx="4579951" cy="2592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92669" cy="2599569"/>
                    </a:xfrm>
                    <a:prstGeom prst="rect">
                      <a:avLst/>
                    </a:prstGeom>
                  </pic:spPr>
                </pic:pic>
              </a:graphicData>
            </a:graphic>
          </wp:inline>
        </w:drawing>
      </w:r>
    </w:p>
    <w:p w14:paraId="6F1983F0" w14:textId="77777777" w:rsidR="007203ED" w:rsidRPr="007203ED" w:rsidRDefault="007203ED" w:rsidP="007203ED">
      <w:pPr>
        <w:spacing w:line="360" w:lineRule="auto"/>
        <w:jc w:val="center"/>
        <w:rPr>
          <w:rFonts w:cs="Times New Roman"/>
          <w:b/>
          <w:bCs/>
          <w:sz w:val="24"/>
          <w:szCs w:val="24"/>
        </w:rPr>
      </w:pPr>
      <w:r w:rsidRPr="007203ED">
        <w:rPr>
          <w:rFonts w:cs="Times New Roman"/>
          <w:b/>
          <w:bCs/>
          <w:sz w:val="24"/>
          <w:szCs w:val="24"/>
        </w:rPr>
        <w:t>Figure 1: Tuberculosis: Causes and How It Spreads</w:t>
      </w:r>
    </w:p>
    <w:p w14:paraId="40E78D91" w14:textId="77777777" w:rsidR="007203ED" w:rsidRDefault="007203ED" w:rsidP="007203ED">
      <w:pPr>
        <w:spacing w:line="360" w:lineRule="auto"/>
        <w:jc w:val="center"/>
        <w:rPr>
          <w:rFonts w:cs="Times New Roman"/>
          <w:sz w:val="24"/>
          <w:szCs w:val="24"/>
        </w:rPr>
      </w:pPr>
      <w:r>
        <w:rPr>
          <w:rFonts w:cs="Times New Roman"/>
          <w:sz w:val="24"/>
          <w:szCs w:val="24"/>
        </w:rPr>
        <w:t xml:space="preserve">(Source: </w:t>
      </w:r>
      <w:hyperlink r:id="rId11" w:history="1">
        <w:r w:rsidRPr="001F6234">
          <w:rPr>
            <w:rStyle w:val="Hyperlink"/>
            <w:rFonts w:cs="Times New Roman"/>
            <w:sz w:val="24"/>
            <w:szCs w:val="24"/>
          </w:rPr>
          <w:t>https://www.cdc.gov/tb/causes/index.html</w:t>
        </w:r>
      </w:hyperlink>
      <w:r>
        <w:rPr>
          <w:rFonts w:cs="Times New Roman"/>
          <w:sz w:val="24"/>
          <w:szCs w:val="24"/>
        </w:rPr>
        <w:t>)</w:t>
      </w:r>
    </w:p>
    <w:p w14:paraId="0E2EC56D" w14:textId="77777777" w:rsidR="00896127" w:rsidRPr="00896127" w:rsidRDefault="00B35D15" w:rsidP="00896127">
      <w:pPr>
        <w:spacing w:line="360" w:lineRule="auto"/>
        <w:jc w:val="both"/>
        <w:rPr>
          <w:rFonts w:cs="Times New Roman"/>
          <w:sz w:val="24"/>
          <w:szCs w:val="24"/>
        </w:rPr>
      </w:pPr>
      <w:r w:rsidRPr="00B35D15">
        <w:rPr>
          <w:rFonts w:cs="Times New Roman"/>
          <w:sz w:val="24"/>
          <w:szCs w:val="24"/>
        </w:rPr>
        <w:t xml:space="preserve">The most prevalent ones are persistent cough (more than three weeks), chest discomfort, </w:t>
      </w:r>
      <w:proofErr w:type="spellStart"/>
      <w:r w:rsidRPr="00B35D15">
        <w:rPr>
          <w:rFonts w:cs="Times New Roman"/>
          <w:sz w:val="24"/>
          <w:szCs w:val="24"/>
        </w:rPr>
        <w:t>haemoptysis</w:t>
      </w:r>
      <w:proofErr w:type="spellEnd"/>
      <w:r w:rsidRPr="00B35D15">
        <w:rPr>
          <w:rFonts w:cs="Times New Roman"/>
          <w:sz w:val="24"/>
          <w:szCs w:val="24"/>
        </w:rPr>
        <w:t xml:space="preserve"> (blood in the cough), fever, night sweats, and loss of weight and fatigue (NHS, 2023). Extra-pulmonary TB has varied symptoms depending on the organ involved, thus making it harder to detect. On the global stage, TB is one of the most significant public health problems and more than 10.6 million new infections and 1.3 million deaths were reported in 2022 (World Health Organization, 2023). In England, 4,850 cases were reported in 2023 with greater incidence in populations and migrants socially deprived (UKHSA, 2024). Such incidence and mortality rates indicate persistenc</w:t>
      </w:r>
      <w:r>
        <w:rPr>
          <w:rFonts w:cs="Times New Roman"/>
          <w:sz w:val="24"/>
          <w:szCs w:val="24"/>
        </w:rPr>
        <w:t>e of TB globally and nationally</w:t>
      </w:r>
      <w:r w:rsidR="00896127" w:rsidRPr="00896127">
        <w:rPr>
          <w:rFonts w:cs="Times New Roman"/>
          <w:sz w:val="24"/>
          <w:szCs w:val="24"/>
        </w:rPr>
        <w:t>.</w:t>
      </w:r>
    </w:p>
    <w:p w14:paraId="3358A098" w14:textId="77777777" w:rsidR="00896127" w:rsidRPr="00896127" w:rsidRDefault="00A524A9" w:rsidP="00A524A9">
      <w:pPr>
        <w:pStyle w:val="Heading1"/>
      </w:pPr>
      <w:bookmarkStart w:id="1" w:name="_Toc223448363"/>
      <w:r w:rsidRPr="00896127">
        <w:t>MAIN BODY</w:t>
      </w:r>
      <w:bookmarkEnd w:id="1"/>
      <w:r w:rsidRPr="00896127">
        <w:t xml:space="preserve"> </w:t>
      </w:r>
    </w:p>
    <w:p w14:paraId="6A15B152" w14:textId="77777777" w:rsidR="00896127" w:rsidRPr="00A524A9" w:rsidRDefault="00896127" w:rsidP="00A524A9">
      <w:pPr>
        <w:pStyle w:val="Heading2"/>
      </w:pPr>
      <w:bookmarkStart w:id="2" w:name="_Toc223448364"/>
      <w:r w:rsidRPr="00A524A9">
        <w:t>2.1 Approaches Used to Measure and Monitor Tuberculosis</w:t>
      </w:r>
      <w:bookmarkEnd w:id="2"/>
      <w:r w:rsidRPr="00A524A9">
        <w:t xml:space="preserve"> </w:t>
      </w:r>
    </w:p>
    <w:p w14:paraId="5D408947" w14:textId="77777777" w:rsidR="00B35D15" w:rsidRPr="00B35D15" w:rsidRDefault="00B35D15" w:rsidP="00B35D15">
      <w:pPr>
        <w:spacing w:line="360" w:lineRule="auto"/>
        <w:jc w:val="both"/>
        <w:rPr>
          <w:sz w:val="24"/>
          <w:szCs w:val="24"/>
        </w:rPr>
      </w:pPr>
      <w:r w:rsidRPr="00B35D15">
        <w:rPr>
          <w:sz w:val="24"/>
          <w:szCs w:val="24"/>
        </w:rPr>
        <w:t>Tuberculosis (TB) measurement and monitoring are fundamental sections of the public health surveillance, and control of the health condition. In England, TB constitutes a statutorily notifiable disease, i.e., healthcare workers are obliged by law to report cases diagnosed of TB to public health officers. Enhanced Tuberculosis Surveillance (ETS) is a system run by the UK Health Security Agency (UKHSA) that gathers detailed demographic, clinical and microbiological data to track the incidence trend and highlight the outbreak (UKHSA, 2023). Contact tracing is also done regularly to tell those who were exposed to infected cases hence reducing the transmission further.</w:t>
      </w:r>
    </w:p>
    <w:p w14:paraId="0FDF579D" w14:textId="77777777" w:rsidR="00B35D15" w:rsidRPr="00B35D15" w:rsidRDefault="00B35D15" w:rsidP="00B35D15">
      <w:pPr>
        <w:spacing w:line="360" w:lineRule="auto"/>
        <w:jc w:val="both"/>
        <w:rPr>
          <w:sz w:val="24"/>
          <w:szCs w:val="24"/>
        </w:rPr>
      </w:pPr>
      <w:r w:rsidRPr="00B35D15">
        <w:rPr>
          <w:sz w:val="24"/>
          <w:szCs w:val="24"/>
        </w:rPr>
        <w:t xml:space="preserve">The incidence rates per 100,000 population are used to </w:t>
      </w:r>
      <w:proofErr w:type="spellStart"/>
      <w:r w:rsidRPr="00B35D15">
        <w:rPr>
          <w:sz w:val="24"/>
          <w:szCs w:val="24"/>
        </w:rPr>
        <w:t>analyse</w:t>
      </w:r>
      <w:proofErr w:type="spellEnd"/>
      <w:r w:rsidRPr="00B35D15">
        <w:rPr>
          <w:sz w:val="24"/>
          <w:szCs w:val="24"/>
        </w:rPr>
        <w:t xml:space="preserve"> the epidemiological data enabling comparison across regions and population groups. The age, ethnicity and geographical distribution monitoring assists in revealing the high-risk populations such as homeless individuals, migrants and persons in custodial facilities. This is due to the fact that such stratified data facilitate targeted interventions and resource allocation.</w:t>
      </w:r>
    </w:p>
    <w:p w14:paraId="0630EE51" w14:textId="77777777" w:rsidR="000C1B12" w:rsidRDefault="00B35D15" w:rsidP="00B35D15">
      <w:pPr>
        <w:spacing w:line="360" w:lineRule="auto"/>
        <w:jc w:val="both"/>
        <w:rPr>
          <w:sz w:val="24"/>
          <w:szCs w:val="24"/>
        </w:rPr>
      </w:pPr>
      <w:r w:rsidRPr="00B35D15">
        <w:rPr>
          <w:sz w:val="24"/>
          <w:szCs w:val="24"/>
        </w:rPr>
        <w:t xml:space="preserve">Surveillance is also enhanced by screening </w:t>
      </w:r>
      <w:proofErr w:type="spellStart"/>
      <w:r w:rsidRPr="00B35D15">
        <w:rPr>
          <w:sz w:val="24"/>
          <w:szCs w:val="24"/>
        </w:rPr>
        <w:t>programmes</w:t>
      </w:r>
      <w:proofErr w:type="spellEnd"/>
      <w:r w:rsidRPr="00B35D15">
        <w:rPr>
          <w:sz w:val="24"/>
          <w:szCs w:val="24"/>
        </w:rPr>
        <w:t xml:space="preserve">. In England, the service of screening of latent TB infection (LTBI) is available to recent migrants to high-incidence countries in order to prevent the development of active disease. The BGC vaccination is also tracked down especially in the high-risk communities among the infants. On an international scale, the monitoring is organized by the World Health Organization (WHO) in its Global TB </w:t>
      </w:r>
      <w:proofErr w:type="spellStart"/>
      <w:r w:rsidRPr="00B35D15">
        <w:rPr>
          <w:sz w:val="24"/>
          <w:szCs w:val="24"/>
        </w:rPr>
        <w:t>Programme</w:t>
      </w:r>
      <w:proofErr w:type="spellEnd"/>
      <w:r w:rsidRPr="00B35D15">
        <w:rPr>
          <w:sz w:val="24"/>
          <w:szCs w:val="24"/>
        </w:rPr>
        <w:t xml:space="preserve"> that tracks the progress against the goals of the End TB Strategy in line with the Sustainable Development Goals (WHO, 2023a).</w:t>
      </w:r>
      <w:r w:rsidR="00A524A9">
        <w:rPr>
          <w:sz w:val="24"/>
          <w:szCs w:val="24"/>
        </w:rPr>
        <w:t xml:space="preserve"> </w:t>
      </w:r>
      <w:r w:rsidRPr="00B35D15">
        <w:rPr>
          <w:sz w:val="24"/>
          <w:szCs w:val="24"/>
        </w:rPr>
        <w:t>Surveillance plays an essential role in the early detection of outbreaks, detection of drug-resistant strains, and making evidence-based policies. In the absence of data collection systematically, healthcare resources could not be distributed effectively, and the effectiveness of the implemented methods of pr</w:t>
      </w:r>
      <w:r>
        <w:rPr>
          <w:sz w:val="24"/>
          <w:szCs w:val="24"/>
        </w:rPr>
        <w:t>evention could not be evaluated</w:t>
      </w:r>
      <w:r w:rsidR="000C1B12" w:rsidRPr="000C1B12">
        <w:rPr>
          <w:sz w:val="24"/>
          <w:szCs w:val="24"/>
        </w:rPr>
        <w:t>.</w:t>
      </w:r>
    </w:p>
    <w:p w14:paraId="1E334975" w14:textId="77777777" w:rsidR="00896127" w:rsidRPr="00896127" w:rsidRDefault="00896127" w:rsidP="00A524A9">
      <w:pPr>
        <w:pStyle w:val="Heading2"/>
      </w:pPr>
      <w:bookmarkStart w:id="3" w:name="_Toc223448365"/>
      <w:r w:rsidRPr="00896127">
        <w:t xml:space="preserve">2.2 How Tuberculosis is </w:t>
      </w:r>
      <w:r w:rsidR="00B35D15" w:rsidRPr="00896127">
        <w:t>controlled</w:t>
      </w:r>
      <w:bookmarkEnd w:id="3"/>
      <w:r w:rsidRPr="00896127">
        <w:t xml:space="preserve"> </w:t>
      </w:r>
    </w:p>
    <w:p w14:paraId="3095D18A" w14:textId="77777777" w:rsidR="00F97C01" w:rsidRPr="00F97C01" w:rsidRDefault="00F97C01" w:rsidP="00F97C01">
      <w:pPr>
        <w:spacing w:line="360" w:lineRule="auto"/>
        <w:jc w:val="both"/>
        <w:rPr>
          <w:sz w:val="24"/>
          <w:szCs w:val="24"/>
        </w:rPr>
      </w:pPr>
      <w:r w:rsidRPr="00F97C01">
        <w:rPr>
          <w:sz w:val="24"/>
          <w:szCs w:val="24"/>
        </w:rPr>
        <w:t xml:space="preserve">The control measures of tuberculosis do form at a primary, secondary and tertiary levels of prevention. The primary prevention is aimed at the minimization of the risk of infection. To prevent serious cases of TB, the Bacillus </w:t>
      </w:r>
      <w:proofErr w:type="spellStart"/>
      <w:r w:rsidRPr="00F97C01">
        <w:rPr>
          <w:sz w:val="24"/>
          <w:szCs w:val="24"/>
        </w:rPr>
        <w:t>Calmette-Guerin</w:t>
      </w:r>
      <w:proofErr w:type="spellEnd"/>
      <w:r w:rsidRPr="00F97C01">
        <w:rPr>
          <w:sz w:val="24"/>
          <w:szCs w:val="24"/>
        </w:rPr>
        <w:t xml:space="preserve"> (BCG) vaccine is being provided to list babies and groups at risk. Raising awareness on symptoms and paths of transmission should happen via public health campaigns, whereas other social determinants affecting TB transmission should be addressed by broader social interventions including providing better housing structure, lessen congestion and poverty should occur (Public Health England, 2019). The issue of inequality is especially relevant and needs attention since TB has the greatest impact on socially disadvantaged populations.</w:t>
      </w:r>
    </w:p>
    <w:p w14:paraId="7E947245" w14:textId="77777777" w:rsidR="00F97C01" w:rsidRPr="00F97C01" w:rsidRDefault="00F97C01" w:rsidP="00F97C01">
      <w:pPr>
        <w:spacing w:line="360" w:lineRule="auto"/>
        <w:jc w:val="both"/>
        <w:rPr>
          <w:sz w:val="24"/>
          <w:szCs w:val="24"/>
        </w:rPr>
      </w:pPr>
      <w:r w:rsidRPr="00F97C01">
        <w:rPr>
          <w:sz w:val="24"/>
          <w:szCs w:val="24"/>
        </w:rPr>
        <w:t>The focus of secondary prevention is early detection and immediate treatment. Identification of the latent TB infection in high-risk groups (migrants of the high-incidence country included) prior to active disease development is possible through the screening of high-risk populations. Such diagnostic tools as chest X-rays, sputum smear microscopy and molecular testing help to diagnose in a timely manner. At a tender age, it minimizes household and community spreads.</w:t>
      </w:r>
    </w:p>
    <w:p w14:paraId="1FF0CAC9" w14:textId="77777777" w:rsidR="00F97C01" w:rsidRPr="00F97C01" w:rsidRDefault="00F97C01" w:rsidP="00F97C01">
      <w:pPr>
        <w:spacing w:line="360" w:lineRule="auto"/>
        <w:jc w:val="both"/>
        <w:rPr>
          <w:sz w:val="24"/>
          <w:szCs w:val="24"/>
        </w:rPr>
      </w:pPr>
      <w:r w:rsidRPr="00F97C01">
        <w:rPr>
          <w:sz w:val="24"/>
          <w:szCs w:val="24"/>
        </w:rPr>
        <w:t>Tertiary prevention is the effective prevention of complications and its further dissemination through proper treatment and management. Normal therapy is a 6 months course of multiple antibiotics. Directly Observed Therapy (DOT) can be employed in order to guarantee compliance, specifically with vulnerable populations. A critical issue that affects the world is the multidrug-resistant TB (MDR-TB), which has extended, more complicated, and more expensive treatment plans (WHO, 2023b). Wrongful or unsuccessful use of antibiotics is another factor that causes resistance and therefore, effective treatment oversight is crucial.</w:t>
      </w:r>
    </w:p>
    <w:p w14:paraId="73A05550" w14:textId="77777777" w:rsidR="000C1B12" w:rsidRDefault="00F97C01" w:rsidP="00F97C01">
      <w:pPr>
        <w:spacing w:line="360" w:lineRule="auto"/>
        <w:jc w:val="both"/>
        <w:rPr>
          <w:sz w:val="24"/>
          <w:szCs w:val="24"/>
        </w:rPr>
      </w:pPr>
      <w:r w:rsidRPr="00F97C01">
        <w:rPr>
          <w:sz w:val="24"/>
          <w:szCs w:val="24"/>
        </w:rPr>
        <w:t xml:space="preserve">These interventions rely on the public health policy. The WHO End TB Strategy provides international goals to decrease TB disease and mortality rates, whereas the practice in the UK is directed by infectious disease guidelines and TB action plans. Combined together, these multi-level strategies are used to help </w:t>
      </w:r>
      <w:proofErr w:type="spellStart"/>
      <w:r w:rsidRPr="00F97C01">
        <w:rPr>
          <w:sz w:val="24"/>
          <w:szCs w:val="24"/>
        </w:rPr>
        <w:t>minimise</w:t>
      </w:r>
      <w:proofErr w:type="spellEnd"/>
      <w:r w:rsidRPr="00F97C01">
        <w:rPr>
          <w:sz w:val="24"/>
          <w:szCs w:val="24"/>
        </w:rPr>
        <w:t xml:space="preserve"> transmission, prevent resistance and finally eradicate TB as a he</w:t>
      </w:r>
      <w:r>
        <w:rPr>
          <w:sz w:val="24"/>
          <w:szCs w:val="24"/>
        </w:rPr>
        <w:t>alth mass threat</w:t>
      </w:r>
      <w:r w:rsidR="000C1B12" w:rsidRPr="000C1B12">
        <w:rPr>
          <w:sz w:val="24"/>
          <w:szCs w:val="24"/>
        </w:rPr>
        <w:t>.</w:t>
      </w:r>
    </w:p>
    <w:p w14:paraId="68F5C529" w14:textId="77777777" w:rsidR="00896127" w:rsidRPr="00896127" w:rsidRDefault="00896127" w:rsidP="00A524A9">
      <w:pPr>
        <w:pStyle w:val="Heading2"/>
      </w:pPr>
      <w:bookmarkStart w:id="4" w:name="_Toc223448366"/>
      <w:r w:rsidRPr="00896127">
        <w:t>2.3 Consequences of TB on Individuals and Communities</w:t>
      </w:r>
      <w:bookmarkEnd w:id="4"/>
      <w:r w:rsidRPr="00896127">
        <w:t xml:space="preserve"> </w:t>
      </w:r>
    </w:p>
    <w:p w14:paraId="3799B3B3" w14:textId="77777777" w:rsidR="00F97C01" w:rsidRPr="00F97C01" w:rsidRDefault="00F97C01" w:rsidP="00F97C01">
      <w:pPr>
        <w:spacing w:line="360" w:lineRule="auto"/>
        <w:jc w:val="both"/>
        <w:rPr>
          <w:sz w:val="24"/>
          <w:szCs w:val="24"/>
        </w:rPr>
      </w:pPr>
      <w:r w:rsidRPr="00F97C01">
        <w:rPr>
          <w:sz w:val="24"/>
          <w:szCs w:val="24"/>
        </w:rPr>
        <w:t>Tuberculosis (TB) is associated with serious physical, psychological, social and economic impacts on the people and society at large. Pulmonary TB may also lead to permanent damage in an individual, diminished respiratory capability and chronic respiratory difficulties even after treatment has been administered. Left unaddressed it can cause serious complications such as respiratory failure and death (World Health Organization, 2024). Morbidity is long-term and it continues to strain individuals as well as health care systems.</w:t>
      </w:r>
    </w:p>
    <w:p w14:paraId="1E8FB2E5" w14:textId="77777777" w:rsidR="00F97C01" w:rsidRPr="00F97C01" w:rsidRDefault="00F97C01" w:rsidP="00F97C01">
      <w:pPr>
        <w:spacing w:line="360" w:lineRule="auto"/>
        <w:jc w:val="both"/>
        <w:rPr>
          <w:sz w:val="24"/>
          <w:szCs w:val="24"/>
        </w:rPr>
      </w:pPr>
      <w:r w:rsidRPr="00F97C01">
        <w:rPr>
          <w:sz w:val="24"/>
          <w:szCs w:val="24"/>
        </w:rPr>
        <w:t xml:space="preserve">On the psychological part, TB often goes hand in hand with stigma because it is an infectious disease and in the past it has been synonymous with poverty and </w:t>
      </w:r>
      <w:proofErr w:type="spellStart"/>
      <w:r w:rsidRPr="00F97C01">
        <w:rPr>
          <w:sz w:val="24"/>
          <w:szCs w:val="24"/>
        </w:rPr>
        <w:t>marginalisation</w:t>
      </w:r>
      <w:proofErr w:type="spellEnd"/>
      <w:r w:rsidRPr="00F97C01">
        <w:rPr>
          <w:sz w:val="24"/>
          <w:szCs w:val="24"/>
        </w:rPr>
        <w:t xml:space="preserve">. Social isolation, anxiety and depression may be a part of the reality of individuals especially when the treatment is long-term. Emotional distress can also be further enhanced by fear of spreading the disease to family members. Studies indicate that TB-related stigma are capable of postponing the help-seeking </w:t>
      </w:r>
      <w:proofErr w:type="spellStart"/>
      <w:r w:rsidRPr="00F97C01">
        <w:rPr>
          <w:sz w:val="24"/>
          <w:szCs w:val="24"/>
        </w:rPr>
        <w:t>behaviour</w:t>
      </w:r>
      <w:proofErr w:type="spellEnd"/>
      <w:r w:rsidRPr="00F97C01">
        <w:rPr>
          <w:sz w:val="24"/>
          <w:szCs w:val="24"/>
        </w:rPr>
        <w:t>, which creates more risks in opening up the community to transmission (</w:t>
      </w:r>
      <w:proofErr w:type="spellStart"/>
      <w:r w:rsidRPr="00F97C01">
        <w:rPr>
          <w:sz w:val="24"/>
          <w:szCs w:val="24"/>
        </w:rPr>
        <w:t>Tadesse</w:t>
      </w:r>
      <w:proofErr w:type="spellEnd"/>
      <w:r w:rsidRPr="00F97C01">
        <w:rPr>
          <w:sz w:val="24"/>
          <w:szCs w:val="24"/>
        </w:rPr>
        <w:t xml:space="preserve">, </w:t>
      </w:r>
      <w:proofErr w:type="spellStart"/>
      <w:r w:rsidRPr="00F97C01">
        <w:rPr>
          <w:sz w:val="24"/>
          <w:szCs w:val="24"/>
        </w:rPr>
        <w:t>Gebrewahd</w:t>
      </w:r>
      <w:proofErr w:type="spellEnd"/>
      <w:r w:rsidRPr="00F97C01">
        <w:rPr>
          <w:sz w:val="24"/>
          <w:szCs w:val="24"/>
        </w:rPr>
        <w:t xml:space="preserve"> and </w:t>
      </w:r>
      <w:proofErr w:type="spellStart"/>
      <w:r w:rsidRPr="00F97C01">
        <w:rPr>
          <w:sz w:val="24"/>
          <w:szCs w:val="24"/>
        </w:rPr>
        <w:t>Demoz</w:t>
      </w:r>
      <w:proofErr w:type="spellEnd"/>
      <w:r w:rsidRPr="00F97C01">
        <w:rPr>
          <w:sz w:val="24"/>
          <w:szCs w:val="24"/>
        </w:rPr>
        <w:t>, 2020).</w:t>
      </w:r>
      <w:r w:rsidR="005A5068">
        <w:rPr>
          <w:sz w:val="24"/>
          <w:szCs w:val="24"/>
        </w:rPr>
        <w:t xml:space="preserve"> </w:t>
      </w:r>
      <w:r w:rsidRPr="00F97C01">
        <w:rPr>
          <w:sz w:val="24"/>
          <w:szCs w:val="24"/>
        </w:rPr>
        <w:t>TB incurs direct treatment costs and indirect costs to the NHS in terms of lost productivity and quality investment in the health of the people.</w:t>
      </w:r>
    </w:p>
    <w:p w14:paraId="09CEBF01" w14:textId="77777777" w:rsidR="007203ED" w:rsidRDefault="007203ED" w:rsidP="00F97C01">
      <w:pPr>
        <w:spacing w:line="360" w:lineRule="auto"/>
        <w:jc w:val="both"/>
        <w:rPr>
          <w:sz w:val="24"/>
          <w:szCs w:val="24"/>
        </w:rPr>
      </w:pPr>
    </w:p>
    <w:p w14:paraId="5B824B99" w14:textId="77777777" w:rsidR="007203ED" w:rsidRDefault="007203ED" w:rsidP="007203ED">
      <w:pPr>
        <w:spacing w:line="360" w:lineRule="auto"/>
        <w:jc w:val="center"/>
        <w:rPr>
          <w:sz w:val="24"/>
          <w:szCs w:val="24"/>
        </w:rPr>
      </w:pPr>
      <w:r>
        <w:rPr>
          <w:noProof/>
        </w:rPr>
        <w:drawing>
          <wp:inline distT="0" distB="0" distL="0" distR="0" wp14:anchorId="24343973" wp14:editId="028CB232">
            <wp:extent cx="4554473" cy="5224007"/>
            <wp:effectExtent l="0" t="0" r="0" b="0"/>
            <wp:docPr id="3" name="Picture 3" descr="Tuberculosis: Pathogenesis, Current Treatment Regimens and New Drug Targ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descr="Tuberculosis: Pathogenesis, Current Treatment Regimens and New Drug Targe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57679" cy="5227684"/>
                    </a:xfrm>
                    <a:prstGeom prst="rect">
                      <a:avLst/>
                    </a:prstGeom>
                    <a:noFill/>
                    <a:ln>
                      <a:noFill/>
                    </a:ln>
                  </pic:spPr>
                </pic:pic>
              </a:graphicData>
            </a:graphic>
          </wp:inline>
        </w:drawing>
      </w:r>
    </w:p>
    <w:p w14:paraId="309B1C4D" w14:textId="77777777" w:rsidR="007203ED" w:rsidRPr="007203ED" w:rsidRDefault="007203ED" w:rsidP="007203ED">
      <w:pPr>
        <w:spacing w:line="360" w:lineRule="auto"/>
        <w:jc w:val="center"/>
        <w:rPr>
          <w:b/>
          <w:bCs/>
          <w:sz w:val="24"/>
          <w:szCs w:val="24"/>
        </w:rPr>
      </w:pPr>
      <w:r w:rsidRPr="007203ED">
        <w:rPr>
          <w:b/>
          <w:bCs/>
          <w:sz w:val="24"/>
          <w:szCs w:val="24"/>
        </w:rPr>
        <w:t>Figure 2: Consequences of TB on Individuals and Communities</w:t>
      </w:r>
    </w:p>
    <w:p w14:paraId="49998925" w14:textId="77777777" w:rsidR="007203ED" w:rsidRDefault="007203ED" w:rsidP="007203ED">
      <w:pPr>
        <w:spacing w:line="360" w:lineRule="auto"/>
        <w:jc w:val="center"/>
        <w:rPr>
          <w:sz w:val="24"/>
          <w:szCs w:val="24"/>
        </w:rPr>
      </w:pPr>
      <w:r>
        <w:rPr>
          <w:sz w:val="24"/>
          <w:szCs w:val="24"/>
        </w:rPr>
        <w:t xml:space="preserve">(Source: </w:t>
      </w:r>
      <w:hyperlink r:id="rId13" w:history="1">
        <w:r w:rsidRPr="001F6234">
          <w:rPr>
            <w:rStyle w:val="Hyperlink"/>
            <w:sz w:val="24"/>
            <w:szCs w:val="24"/>
          </w:rPr>
          <w:t>https://www.mdpi.com/1422-0067/24/6/5202</w:t>
        </w:r>
      </w:hyperlink>
      <w:r>
        <w:rPr>
          <w:sz w:val="24"/>
          <w:szCs w:val="24"/>
        </w:rPr>
        <w:t xml:space="preserve">) </w:t>
      </w:r>
    </w:p>
    <w:p w14:paraId="222F1BBF" w14:textId="77777777" w:rsidR="000C1B12" w:rsidRDefault="00F97C01" w:rsidP="00F97C01">
      <w:pPr>
        <w:spacing w:line="360" w:lineRule="auto"/>
        <w:jc w:val="both"/>
        <w:rPr>
          <w:sz w:val="24"/>
          <w:szCs w:val="24"/>
        </w:rPr>
      </w:pPr>
      <w:r w:rsidRPr="00F97C01">
        <w:rPr>
          <w:sz w:val="24"/>
          <w:szCs w:val="24"/>
        </w:rPr>
        <w:t>Notably, TB is a manifes</w:t>
      </w:r>
      <w:r w:rsidR="007203ED">
        <w:rPr>
          <w:sz w:val="24"/>
          <w:szCs w:val="24"/>
        </w:rPr>
        <w:t>tation of health inequalities as t</w:t>
      </w:r>
      <w:r w:rsidRPr="00F97C01">
        <w:rPr>
          <w:sz w:val="24"/>
          <w:szCs w:val="24"/>
        </w:rPr>
        <w:t>he incidence rate is higher among migrants of high-burden countries, among people housing less fortunate, in prison, and living with HIV in England (UK Health Security Agency, 2024). All these trends prove that the impact of social determinants of health such as poverty, overcrowding, malnutrition and poor access to health care can affect them. Accordingly, TB is both a medical as well as a social justice problem that infrastructural in</w:t>
      </w:r>
      <w:r>
        <w:rPr>
          <w:sz w:val="24"/>
          <w:szCs w:val="24"/>
        </w:rPr>
        <w:t>tervention is needed to resolve</w:t>
      </w:r>
      <w:r w:rsidR="000C1B12" w:rsidRPr="000C1B12">
        <w:rPr>
          <w:sz w:val="24"/>
          <w:szCs w:val="24"/>
        </w:rPr>
        <w:t>.</w:t>
      </w:r>
    </w:p>
    <w:p w14:paraId="044836EC" w14:textId="77777777" w:rsidR="00896127" w:rsidRPr="00896127" w:rsidRDefault="00896127" w:rsidP="00A524A9">
      <w:pPr>
        <w:pStyle w:val="Heading2"/>
      </w:pPr>
      <w:bookmarkStart w:id="5" w:name="_Toc223448367"/>
      <w:r w:rsidRPr="00896127">
        <w:t>2.4 Health and Social Care Support Services Required</w:t>
      </w:r>
      <w:bookmarkEnd w:id="5"/>
      <w:r w:rsidRPr="00896127">
        <w:t xml:space="preserve"> </w:t>
      </w:r>
    </w:p>
    <w:p w14:paraId="616FA89D" w14:textId="77777777" w:rsidR="00F97C01" w:rsidRPr="00F97C01" w:rsidRDefault="00F97C01" w:rsidP="00F97C01">
      <w:pPr>
        <w:spacing w:line="360" w:lineRule="auto"/>
        <w:jc w:val="both"/>
        <w:rPr>
          <w:sz w:val="24"/>
          <w:szCs w:val="24"/>
        </w:rPr>
      </w:pPr>
      <w:r w:rsidRPr="00F97C01">
        <w:rPr>
          <w:sz w:val="24"/>
          <w:szCs w:val="24"/>
        </w:rPr>
        <w:t>TB management involves the use of both health and social care services. Primary care is also important in primary diagnosis and General Practitioners (GPs) have the task of identifying the symptoms, bringing investigations and sending suspected patients to TB specialist units. Constant observation would be used to ensure compliance with treatment and management of adverse effects.</w:t>
      </w:r>
    </w:p>
    <w:p w14:paraId="13A487AC" w14:textId="77777777" w:rsidR="00F97C01" w:rsidRPr="00F97C01" w:rsidRDefault="00F97C01" w:rsidP="00F97C01">
      <w:pPr>
        <w:spacing w:line="360" w:lineRule="auto"/>
        <w:jc w:val="both"/>
        <w:rPr>
          <w:sz w:val="24"/>
          <w:szCs w:val="24"/>
        </w:rPr>
      </w:pPr>
      <w:r w:rsidRPr="00F97C01">
        <w:rPr>
          <w:sz w:val="24"/>
          <w:szCs w:val="24"/>
        </w:rPr>
        <w:t>The diagnostic confirmation is offered in specialistic TB services, such as respiratory and infectious disease clinics, where the treatment plans are monitored. Isolation units in hospitals may be needed in some cases of active pulmonary TB to ensure that it does not spread onwards. Community TB nurses are crucial in the administration of Directly Observed Therapy (DOT) which helps in aiding patients to stick to medication intake and also perform home visits to establish the progress of the patient (NICE, 2022). This decreases default in treatment and development of drug resistance.</w:t>
      </w:r>
    </w:p>
    <w:p w14:paraId="29F595E5" w14:textId="77777777" w:rsidR="00F97C01" w:rsidRPr="00F97C01" w:rsidRDefault="00F97C01" w:rsidP="00F97C01">
      <w:pPr>
        <w:spacing w:line="360" w:lineRule="auto"/>
        <w:jc w:val="both"/>
        <w:rPr>
          <w:sz w:val="24"/>
          <w:szCs w:val="24"/>
        </w:rPr>
      </w:pPr>
      <w:r w:rsidRPr="00F97C01">
        <w:rPr>
          <w:sz w:val="24"/>
          <w:szCs w:val="24"/>
        </w:rPr>
        <w:t xml:space="preserve">The work of TB control requires the use of a multi-disciplinary team (MDT). Working together with doctors, nurses, social workers and the public health officer makes sure that there will be </w:t>
      </w:r>
      <w:proofErr w:type="spellStart"/>
      <w:r w:rsidRPr="00F97C01">
        <w:rPr>
          <w:sz w:val="24"/>
          <w:szCs w:val="24"/>
        </w:rPr>
        <w:t>person-centred</w:t>
      </w:r>
      <w:proofErr w:type="spellEnd"/>
      <w:r w:rsidRPr="00F97C01">
        <w:rPr>
          <w:sz w:val="24"/>
          <w:szCs w:val="24"/>
        </w:rPr>
        <w:t xml:space="preserve"> care based on the needs of individuals. Further transmission can be controlled by infection control measures, such contact tracing and patient education. The NHS Long Term Plan highlights the importance of integrated care and focusing on underserved groups in outreach to provide necessary care and bolster the role of coordinated care in bringing down inequalities (NHS England, 2019).</w:t>
      </w:r>
    </w:p>
    <w:p w14:paraId="4D8445D0" w14:textId="77777777" w:rsidR="00896127" w:rsidRPr="00896127" w:rsidRDefault="00A524A9" w:rsidP="00A524A9">
      <w:pPr>
        <w:pStyle w:val="Heading1"/>
      </w:pPr>
      <w:bookmarkStart w:id="6" w:name="_Toc223448368"/>
      <w:r w:rsidRPr="00896127">
        <w:t>CONCLUSION</w:t>
      </w:r>
      <w:bookmarkEnd w:id="6"/>
      <w:r w:rsidRPr="00896127">
        <w:t xml:space="preserve"> </w:t>
      </w:r>
    </w:p>
    <w:p w14:paraId="66770B4F" w14:textId="77777777" w:rsidR="00F97C01" w:rsidRDefault="00F97C01" w:rsidP="00F97C01">
      <w:pPr>
        <w:spacing w:line="360" w:lineRule="auto"/>
        <w:jc w:val="both"/>
        <w:rPr>
          <w:sz w:val="24"/>
          <w:szCs w:val="24"/>
        </w:rPr>
      </w:pPr>
      <w:r w:rsidRPr="00F97C01">
        <w:rPr>
          <w:sz w:val="24"/>
          <w:szCs w:val="24"/>
        </w:rPr>
        <w:t xml:space="preserve">Tuberculosis (TB) is a communicable infectious disease that is caused by Mycobacterium tuberculosis which can infect mainly the lungs although in other cases can also infect other organs. Regardless of modern advances in the diagnosis and treatment of TB, the disease is a major and central socio-economic health issue in both the global and the UK regions given its high occurrence, mortality rates and status as a disease affecting vulnerable groups. </w:t>
      </w:r>
    </w:p>
    <w:p w14:paraId="7FF9D23A" w14:textId="77777777" w:rsidR="00AF2359" w:rsidRDefault="00F97C01" w:rsidP="00896127">
      <w:pPr>
        <w:spacing w:line="360" w:lineRule="auto"/>
        <w:jc w:val="both"/>
        <w:rPr>
          <w:sz w:val="24"/>
          <w:szCs w:val="24"/>
        </w:rPr>
      </w:pPr>
      <w:r w:rsidRPr="00F97C01">
        <w:rPr>
          <w:sz w:val="24"/>
          <w:szCs w:val="24"/>
        </w:rPr>
        <w:t xml:space="preserve">Good surveillance measures such as national notification and global monitoring </w:t>
      </w:r>
      <w:proofErr w:type="spellStart"/>
      <w:r w:rsidRPr="00F97C01">
        <w:rPr>
          <w:sz w:val="24"/>
          <w:szCs w:val="24"/>
        </w:rPr>
        <w:t>programmes</w:t>
      </w:r>
      <w:proofErr w:type="spellEnd"/>
      <w:r w:rsidRPr="00F97C01">
        <w:rPr>
          <w:sz w:val="24"/>
          <w:szCs w:val="24"/>
        </w:rPr>
        <w:t xml:space="preserve"> are needed to monitor the trends, to detect outbreaks and inform evidence-based policy-making to minimize the transmission.</w:t>
      </w:r>
      <w:r>
        <w:rPr>
          <w:sz w:val="24"/>
          <w:szCs w:val="24"/>
        </w:rPr>
        <w:t xml:space="preserve"> </w:t>
      </w:r>
      <w:r w:rsidRPr="00F97C01">
        <w:rPr>
          <w:sz w:val="24"/>
          <w:szCs w:val="24"/>
        </w:rPr>
        <w:t xml:space="preserve">There is a need to control TB through preventing the disease, early detection and correct treatment because it helps to limit the complications of the disease, including drug resistance. Health and social care services have an important role in ensuring that the services are person </w:t>
      </w:r>
      <w:proofErr w:type="spellStart"/>
      <w:r w:rsidRPr="00F97C01">
        <w:rPr>
          <w:sz w:val="24"/>
          <w:szCs w:val="24"/>
        </w:rPr>
        <w:t>centred</w:t>
      </w:r>
      <w:proofErr w:type="spellEnd"/>
      <w:r w:rsidRPr="00F97C01">
        <w:rPr>
          <w:sz w:val="24"/>
          <w:szCs w:val="24"/>
        </w:rPr>
        <w:t xml:space="preserve"> and multidisciplinary in order to cater to the medical and social needs. By means of specific interventions and enhanced living conditions, the reduction of health disparities is paramount to the realization of long-term </w:t>
      </w:r>
      <w:r w:rsidR="00AF2359">
        <w:rPr>
          <w:sz w:val="24"/>
          <w:szCs w:val="24"/>
        </w:rPr>
        <w:t>control.</w:t>
      </w:r>
    </w:p>
    <w:p w14:paraId="2E02F6EE" w14:textId="77777777" w:rsidR="00AF2359" w:rsidRDefault="00AF2359">
      <w:pPr>
        <w:rPr>
          <w:sz w:val="24"/>
          <w:szCs w:val="24"/>
        </w:rPr>
      </w:pPr>
      <w:r>
        <w:rPr>
          <w:sz w:val="24"/>
          <w:szCs w:val="24"/>
        </w:rPr>
        <w:br w:type="page"/>
      </w:r>
    </w:p>
    <w:p w14:paraId="42C7C5AD" w14:textId="77777777" w:rsidR="002D7745" w:rsidRDefault="00AF2359" w:rsidP="00AF2359">
      <w:pPr>
        <w:pStyle w:val="Heading1"/>
      </w:pPr>
      <w:r>
        <w:t xml:space="preserve">Reference List </w:t>
      </w:r>
    </w:p>
    <w:p w14:paraId="04F7670D" w14:textId="77777777" w:rsidR="00AF2359" w:rsidRDefault="00AF2359" w:rsidP="00AF2359">
      <w:pPr>
        <w:pStyle w:val="NormalWeb"/>
        <w:jc w:val="both"/>
      </w:pPr>
      <w:r>
        <w:t xml:space="preserve">NHS (2023) </w:t>
      </w:r>
      <w:r>
        <w:rPr>
          <w:rStyle w:val="Emphasis"/>
        </w:rPr>
        <w:t>Tuberculosis (TB)</w:t>
      </w:r>
      <w:r>
        <w:t xml:space="preserve">. Available at: </w:t>
      </w:r>
      <w:hyperlink r:id="rId14" w:tgtFrame="_new" w:history="1">
        <w:r>
          <w:rPr>
            <w:rStyle w:val="Hyperlink"/>
          </w:rPr>
          <w:t>https://www.nhs.uk/conditions/tuberculosis-tb/</w:t>
        </w:r>
      </w:hyperlink>
      <w:r>
        <w:t xml:space="preserve"> (Accessed: 3 March 2026).</w:t>
      </w:r>
    </w:p>
    <w:p w14:paraId="2239121A" w14:textId="77777777" w:rsidR="00AF2359" w:rsidRDefault="00AF2359" w:rsidP="00AF2359">
      <w:pPr>
        <w:pStyle w:val="NormalWeb"/>
        <w:jc w:val="both"/>
      </w:pPr>
      <w:r>
        <w:t xml:space="preserve">NHS England (2019) </w:t>
      </w:r>
      <w:r>
        <w:rPr>
          <w:rStyle w:val="Emphasis"/>
        </w:rPr>
        <w:t>The NHS Long Term Plan</w:t>
      </w:r>
      <w:r>
        <w:t xml:space="preserve">. Available at: </w:t>
      </w:r>
      <w:hyperlink r:id="rId15" w:tgtFrame="_new" w:history="1">
        <w:r>
          <w:rPr>
            <w:rStyle w:val="Hyperlink"/>
          </w:rPr>
          <w:t>https://www.longtermplan.nhs.uk/publication/nhs-long-term-plan/</w:t>
        </w:r>
      </w:hyperlink>
      <w:r>
        <w:t xml:space="preserve"> (Accessed: 3 March 2026).</w:t>
      </w:r>
    </w:p>
    <w:p w14:paraId="027821A7" w14:textId="77777777" w:rsidR="00AF2359" w:rsidRDefault="00AF2359" w:rsidP="00AF2359">
      <w:pPr>
        <w:pStyle w:val="NormalWeb"/>
        <w:jc w:val="both"/>
      </w:pPr>
      <w:r>
        <w:t xml:space="preserve">NICE (2022) </w:t>
      </w:r>
      <w:r>
        <w:rPr>
          <w:rStyle w:val="Emphasis"/>
        </w:rPr>
        <w:t>Tuberculosis (NG33) – Updated recommendations</w:t>
      </w:r>
      <w:r>
        <w:t xml:space="preserve">. Available at: </w:t>
      </w:r>
      <w:hyperlink r:id="rId16" w:tgtFrame="_new" w:history="1">
        <w:r>
          <w:rPr>
            <w:rStyle w:val="Hyperlink"/>
          </w:rPr>
          <w:t>https://www.nice.org.uk/guidance/ng33</w:t>
        </w:r>
      </w:hyperlink>
      <w:r>
        <w:t xml:space="preserve"> (Accessed: 3 March 2026).</w:t>
      </w:r>
    </w:p>
    <w:p w14:paraId="55AFAB9B" w14:textId="77777777" w:rsidR="00AF2359" w:rsidRDefault="00AF2359" w:rsidP="00AF2359">
      <w:pPr>
        <w:pStyle w:val="NormalWeb"/>
        <w:jc w:val="both"/>
      </w:pPr>
      <w:r>
        <w:t xml:space="preserve">NICE (2022) </w:t>
      </w:r>
      <w:r>
        <w:rPr>
          <w:rStyle w:val="Emphasis"/>
        </w:rPr>
        <w:t>Tuberculosis (NG33)</w:t>
      </w:r>
      <w:r>
        <w:t xml:space="preserve">. Available at: </w:t>
      </w:r>
      <w:hyperlink r:id="rId17" w:tgtFrame="_new" w:history="1">
        <w:r>
          <w:rPr>
            <w:rStyle w:val="Hyperlink"/>
          </w:rPr>
          <w:t>https://www.nice.org.uk/guidance/ng33</w:t>
        </w:r>
      </w:hyperlink>
      <w:r>
        <w:t xml:space="preserve"> (Accessed: 3 March 2026).</w:t>
      </w:r>
    </w:p>
    <w:p w14:paraId="4F572C08" w14:textId="77777777" w:rsidR="00AF2359" w:rsidRDefault="00AF2359" w:rsidP="00AF2359">
      <w:pPr>
        <w:pStyle w:val="NormalWeb"/>
        <w:jc w:val="both"/>
      </w:pPr>
      <w:proofErr w:type="spellStart"/>
      <w:r>
        <w:t>Pai</w:t>
      </w:r>
      <w:proofErr w:type="spellEnd"/>
      <w:r>
        <w:t xml:space="preserve">, M., </w:t>
      </w:r>
      <w:proofErr w:type="spellStart"/>
      <w:r>
        <w:t>Kasaeva</w:t>
      </w:r>
      <w:proofErr w:type="spellEnd"/>
      <w:r>
        <w:t xml:space="preserve">, T. and </w:t>
      </w:r>
      <w:proofErr w:type="spellStart"/>
      <w:r>
        <w:t>Swaminathan</w:t>
      </w:r>
      <w:proofErr w:type="spellEnd"/>
      <w:r>
        <w:t xml:space="preserve">, S. (2022) ‘Tuberculosis’, </w:t>
      </w:r>
      <w:r>
        <w:rPr>
          <w:rStyle w:val="Emphasis"/>
        </w:rPr>
        <w:t>Nature Reviews Disease Primers</w:t>
      </w:r>
      <w:r>
        <w:t xml:space="preserve">, 8(1), pp. 1–23. Available at: </w:t>
      </w:r>
      <w:hyperlink r:id="rId18" w:history="1">
        <w:r w:rsidRPr="001F6234">
          <w:rPr>
            <w:rStyle w:val="Hyperlink"/>
          </w:rPr>
          <w:t>https://www.nature.com/articles/s41572-022-00372-5</w:t>
        </w:r>
      </w:hyperlink>
      <w:r>
        <w:t xml:space="preserve"> (Accessed: 3 March 2026).</w:t>
      </w:r>
    </w:p>
    <w:p w14:paraId="5E410DC4" w14:textId="77777777" w:rsidR="00AF2359" w:rsidRDefault="00AF2359" w:rsidP="00AF2359">
      <w:pPr>
        <w:pStyle w:val="NormalWeb"/>
        <w:jc w:val="both"/>
      </w:pPr>
      <w:r>
        <w:t xml:space="preserve">Public Health England (2019) </w:t>
      </w:r>
      <w:r>
        <w:rPr>
          <w:rStyle w:val="Emphasis"/>
        </w:rPr>
        <w:t>Collaborative tuberculosis strategy for England 2015 to 2020</w:t>
      </w:r>
      <w:r>
        <w:t xml:space="preserve">. Available at: </w:t>
      </w:r>
      <w:hyperlink r:id="rId19" w:tgtFrame="_new" w:history="1">
        <w:r>
          <w:rPr>
            <w:rStyle w:val="Hyperlink"/>
          </w:rPr>
          <w:t>https://www.gov.uk/government/publications/collaborative-tuberculosis-strategy-for-england</w:t>
        </w:r>
      </w:hyperlink>
      <w:r>
        <w:t xml:space="preserve"> (Accessed: 3 March 2026).</w:t>
      </w:r>
    </w:p>
    <w:p w14:paraId="00B9F066" w14:textId="77777777" w:rsidR="00AF2359" w:rsidRDefault="00AF2359" w:rsidP="00AF2359">
      <w:pPr>
        <w:pStyle w:val="NormalWeb"/>
        <w:jc w:val="both"/>
      </w:pPr>
      <w:proofErr w:type="spellStart"/>
      <w:r>
        <w:t>Tadesse</w:t>
      </w:r>
      <w:proofErr w:type="spellEnd"/>
      <w:r>
        <w:t xml:space="preserve">, S., </w:t>
      </w:r>
      <w:proofErr w:type="spellStart"/>
      <w:r>
        <w:t>Gebrewahd</w:t>
      </w:r>
      <w:proofErr w:type="spellEnd"/>
      <w:r>
        <w:t xml:space="preserve">, G. and </w:t>
      </w:r>
      <w:proofErr w:type="spellStart"/>
      <w:r>
        <w:t>Demoz</w:t>
      </w:r>
      <w:proofErr w:type="spellEnd"/>
      <w:r>
        <w:t xml:space="preserve">, G. (2020) ‘Stigma towards tuberculosis patients in low- and middle-income countries: a systematic review’, </w:t>
      </w:r>
      <w:r>
        <w:rPr>
          <w:rStyle w:val="Emphasis"/>
        </w:rPr>
        <w:t>BMC Public Health</w:t>
      </w:r>
      <w:r>
        <w:t xml:space="preserve">, 20, 190. Available at: </w:t>
      </w:r>
      <w:hyperlink r:id="rId20" w:history="1">
        <w:r w:rsidRPr="001F6234">
          <w:rPr>
            <w:rStyle w:val="Hyperlink"/>
          </w:rPr>
          <w:t>https://bmcpublichealth.biomedcentral.com/articles/10.1186/s12889-020-8270-0</w:t>
        </w:r>
      </w:hyperlink>
      <w:r>
        <w:t xml:space="preserve"> (Accessed: 3 March 2026).</w:t>
      </w:r>
    </w:p>
    <w:p w14:paraId="78482483" w14:textId="77777777" w:rsidR="00AF2359" w:rsidRDefault="00AF2359" w:rsidP="00AF2359">
      <w:pPr>
        <w:pStyle w:val="NormalWeb"/>
        <w:jc w:val="both"/>
      </w:pPr>
      <w:r>
        <w:t xml:space="preserve">UK Health Security Agency (2024) </w:t>
      </w:r>
      <w:r>
        <w:rPr>
          <w:rStyle w:val="Emphasis"/>
        </w:rPr>
        <w:t>Tuberculosis in England: 2024 report (presenting data to end of 2023)</w:t>
      </w:r>
      <w:r>
        <w:t xml:space="preserve">. Available at: </w:t>
      </w:r>
      <w:hyperlink r:id="rId21" w:tgtFrame="_new" w:history="1">
        <w:r>
          <w:rPr>
            <w:rStyle w:val="Hyperlink"/>
          </w:rPr>
          <w:t>https://www.gov.uk/government/publications/tuberculosis-in-england-annual-report</w:t>
        </w:r>
      </w:hyperlink>
      <w:r>
        <w:t xml:space="preserve"> (Accessed: 3 March 2026).</w:t>
      </w:r>
    </w:p>
    <w:p w14:paraId="02AD9CEC" w14:textId="77777777" w:rsidR="00AF2359" w:rsidRDefault="00AF2359" w:rsidP="00AF2359">
      <w:pPr>
        <w:pStyle w:val="NormalWeb"/>
        <w:jc w:val="both"/>
      </w:pPr>
      <w:r>
        <w:t xml:space="preserve">UK Health Security Agency (UKHSA) (2023) </w:t>
      </w:r>
      <w:r>
        <w:rPr>
          <w:rStyle w:val="Emphasis"/>
        </w:rPr>
        <w:t>Tuberculosis in England: 2023 report (presenting data to end of 2022)</w:t>
      </w:r>
      <w:r>
        <w:t xml:space="preserve">. Available at: </w:t>
      </w:r>
      <w:hyperlink r:id="rId22" w:tgtFrame="_new" w:history="1">
        <w:r>
          <w:rPr>
            <w:rStyle w:val="Hyperlink"/>
          </w:rPr>
          <w:t>https://www.gov.uk/government/publications/tuberculosis-in-england-annual-report</w:t>
        </w:r>
      </w:hyperlink>
      <w:r>
        <w:t xml:space="preserve"> (Accessed: 3 March 2026).</w:t>
      </w:r>
    </w:p>
    <w:p w14:paraId="5969B4D1" w14:textId="77777777" w:rsidR="00AF2359" w:rsidRDefault="00AF2359" w:rsidP="00AF2359">
      <w:pPr>
        <w:pStyle w:val="NormalWeb"/>
        <w:jc w:val="both"/>
      </w:pPr>
      <w:r>
        <w:t xml:space="preserve">UK Health Security Agency (UKHSA) (2024) </w:t>
      </w:r>
      <w:r>
        <w:rPr>
          <w:rStyle w:val="Emphasis"/>
        </w:rPr>
        <w:t>Tuberculosis in England: 2024 report (presenting data to end of 2023)</w:t>
      </w:r>
      <w:r>
        <w:t xml:space="preserve">. Available at: </w:t>
      </w:r>
      <w:hyperlink r:id="rId23" w:tgtFrame="_new" w:history="1">
        <w:r>
          <w:rPr>
            <w:rStyle w:val="Hyperlink"/>
          </w:rPr>
          <w:t>https://www.gov.uk/government/publications/tuberculosis-in-england-annual-report</w:t>
        </w:r>
      </w:hyperlink>
      <w:r>
        <w:t xml:space="preserve"> (Accessed: 3 March 2026).</w:t>
      </w:r>
    </w:p>
    <w:p w14:paraId="474AA0C7" w14:textId="77777777" w:rsidR="00AF2359" w:rsidRDefault="00AF2359" w:rsidP="00AF2359">
      <w:pPr>
        <w:pStyle w:val="NormalWeb"/>
        <w:jc w:val="both"/>
      </w:pPr>
      <w:r>
        <w:t xml:space="preserve">World Health Organization (2023) </w:t>
      </w:r>
      <w:r>
        <w:rPr>
          <w:rStyle w:val="Emphasis"/>
        </w:rPr>
        <w:t>Global tuberculosis report 2023</w:t>
      </w:r>
      <w:r>
        <w:t xml:space="preserve">. Geneva: WHO. Available at: </w:t>
      </w:r>
      <w:hyperlink r:id="rId24" w:tgtFrame="_new" w:history="1">
        <w:r>
          <w:rPr>
            <w:rStyle w:val="Hyperlink"/>
          </w:rPr>
          <w:t>https://www.who.int/publications/i/item/9789240083851</w:t>
        </w:r>
      </w:hyperlink>
      <w:r>
        <w:t xml:space="preserve"> (Accessed: 3 March 2026).</w:t>
      </w:r>
    </w:p>
    <w:p w14:paraId="1506BD86" w14:textId="77777777" w:rsidR="00AF2359" w:rsidRDefault="00AF2359" w:rsidP="00AF2359">
      <w:pPr>
        <w:pStyle w:val="NormalWeb"/>
        <w:jc w:val="both"/>
      </w:pPr>
      <w:r>
        <w:t xml:space="preserve">World Health Organization (2023a) </w:t>
      </w:r>
      <w:r>
        <w:rPr>
          <w:rStyle w:val="Emphasis"/>
        </w:rPr>
        <w:t>Global tuberculosis report 2023</w:t>
      </w:r>
      <w:r>
        <w:t xml:space="preserve">. Geneva: WHO. Available at: </w:t>
      </w:r>
      <w:hyperlink r:id="rId25" w:tgtFrame="_new" w:history="1">
        <w:r>
          <w:rPr>
            <w:rStyle w:val="Hyperlink"/>
          </w:rPr>
          <w:t>https://www.who.int/publications/i/item/9789240083851</w:t>
        </w:r>
      </w:hyperlink>
      <w:r>
        <w:t xml:space="preserve"> (Accessed: 3 March 2026).</w:t>
      </w:r>
    </w:p>
    <w:p w14:paraId="3EA17F3E" w14:textId="77777777" w:rsidR="00AF2359" w:rsidRDefault="00AF2359" w:rsidP="00AF2359">
      <w:pPr>
        <w:pStyle w:val="NormalWeb"/>
        <w:jc w:val="both"/>
      </w:pPr>
      <w:r>
        <w:t xml:space="preserve">World Health Organization (2023b) </w:t>
      </w:r>
      <w:r>
        <w:rPr>
          <w:rStyle w:val="Emphasis"/>
        </w:rPr>
        <w:t>WHO consolidated guidelines on tuberculosis: module 4: treatment – drug-resistant tuberculosis treatment</w:t>
      </w:r>
      <w:r>
        <w:t xml:space="preserve">. Available at: </w:t>
      </w:r>
      <w:hyperlink r:id="rId26" w:tgtFrame="_new" w:history="1">
        <w:r>
          <w:rPr>
            <w:rStyle w:val="Hyperlink"/>
          </w:rPr>
          <w:t>https://www.who.int/publications/i/item/9789240063129</w:t>
        </w:r>
      </w:hyperlink>
      <w:r>
        <w:t xml:space="preserve"> (Accessed: 3 March 2026).</w:t>
      </w:r>
    </w:p>
    <w:p w14:paraId="549B44E4" w14:textId="77777777" w:rsidR="00AF2359" w:rsidRDefault="00AF2359" w:rsidP="00AF2359">
      <w:pPr>
        <w:pStyle w:val="NormalWeb"/>
        <w:jc w:val="both"/>
      </w:pPr>
      <w:r>
        <w:t xml:space="preserve">World Health Organization (2024) </w:t>
      </w:r>
      <w:r>
        <w:rPr>
          <w:rStyle w:val="Emphasis"/>
        </w:rPr>
        <w:t>Global tuberculosis report 2024</w:t>
      </w:r>
      <w:r>
        <w:t xml:space="preserve">. Available at: </w:t>
      </w:r>
      <w:hyperlink r:id="rId27" w:history="1">
        <w:r w:rsidRPr="001F6234">
          <w:rPr>
            <w:rStyle w:val="Hyperlink"/>
          </w:rPr>
          <w:t>https://www.who.int/publications/i/item/9789240091580</w:t>
        </w:r>
      </w:hyperlink>
      <w:r>
        <w:t xml:space="preserve"> (Accessed: 3 March 2026).</w:t>
      </w:r>
    </w:p>
    <w:p w14:paraId="63AEB0B9" w14:textId="77777777" w:rsidR="00AF2359" w:rsidRDefault="00AF2359" w:rsidP="00AF2359">
      <w:pPr>
        <w:pStyle w:val="NormalWeb"/>
      </w:pPr>
    </w:p>
    <w:p w14:paraId="3FBE9780" w14:textId="77777777" w:rsidR="00AF2359" w:rsidRDefault="00AF2359" w:rsidP="00AF2359">
      <w:pPr>
        <w:pStyle w:val="NormalWeb"/>
      </w:pPr>
    </w:p>
    <w:p w14:paraId="0DC6F1BB" w14:textId="77777777" w:rsidR="00AF2359" w:rsidRPr="002B423C" w:rsidRDefault="00AF2359" w:rsidP="00896127">
      <w:pPr>
        <w:spacing w:line="360" w:lineRule="auto"/>
        <w:jc w:val="both"/>
        <w:rPr>
          <w:sz w:val="24"/>
          <w:szCs w:val="24"/>
        </w:rPr>
      </w:pPr>
    </w:p>
    <w:sectPr w:rsidR="00AF2359" w:rsidRPr="002B423C" w:rsidSect="00273D9F">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F9FB7" w14:textId="77777777" w:rsidR="00A74BBB" w:rsidRDefault="00A74BBB" w:rsidP="00273D9F">
      <w:r>
        <w:separator/>
      </w:r>
    </w:p>
  </w:endnote>
  <w:endnote w:type="continuationSeparator" w:id="0">
    <w:p w14:paraId="5099076D" w14:textId="77777777" w:rsidR="00A74BBB" w:rsidRDefault="00A74BBB" w:rsidP="00273D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8097457"/>
      <w:docPartObj>
        <w:docPartGallery w:val="Page Numbers (Bottom of Page)"/>
        <w:docPartUnique/>
      </w:docPartObj>
    </w:sdtPr>
    <w:sdtEndPr>
      <w:rPr>
        <w:noProof/>
      </w:rPr>
    </w:sdtEndPr>
    <w:sdtContent>
      <w:p w14:paraId="488CA39F" w14:textId="77777777" w:rsidR="00273D9F" w:rsidRDefault="00273D9F">
        <w:pPr>
          <w:pStyle w:val="Footer"/>
          <w:jc w:val="right"/>
        </w:pPr>
        <w:r>
          <w:fldChar w:fldCharType="begin"/>
        </w:r>
        <w:r>
          <w:instrText xml:space="preserve"> PAGE   \* MERGEFORMAT </w:instrText>
        </w:r>
        <w:r>
          <w:fldChar w:fldCharType="separate"/>
        </w:r>
        <w:r w:rsidR="00AF2359">
          <w:rPr>
            <w:noProof/>
          </w:rPr>
          <w:t>9</w:t>
        </w:r>
        <w:r>
          <w:rPr>
            <w:noProof/>
          </w:rPr>
          <w:fldChar w:fldCharType="end"/>
        </w:r>
      </w:p>
    </w:sdtContent>
  </w:sdt>
  <w:p w14:paraId="566DEA5F" w14:textId="77777777" w:rsidR="00273D9F" w:rsidRDefault="00273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49597" w14:textId="77777777" w:rsidR="00A74BBB" w:rsidRDefault="00A74BBB" w:rsidP="00273D9F">
      <w:r>
        <w:separator/>
      </w:r>
    </w:p>
  </w:footnote>
  <w:footnote w:type="continuationSeparator" w:id="0">
    <w:p w14:paraId="001B5A37" w14:textId="77777777" w:rsidR="00A74BBB" w:rsidRDefault="00A74BBB" w:rsidP="00273D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07435"/>
    <w:multiLevelType w:val="multilevel"/>
    <w:tmpl w:val="BA6C3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22496"/>
    <w:multiLevelType w:val="multilevel"/>
    <w:tmpl w:val="84AC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501F6"/>
    <w:multiLevelType w:val="multilevel"/>
    <w:tmpl w:val="D596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F7216C"/>
    <w:multiLevelType w:val="multilevel"/>
    <w:tmpl w:val="D21C2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D26D87"/>
    <w:multiLevelType w:val="multilevel"/>
    <w:tmpl w:val="2E20C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803CE4"/>
    <w:multiLevelType w:val="multilevel"/>
    <w:tmpl w:val="83D28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B87A6E"/>
    <w:multiLevelType w:val="multilevel"/>
    <w:tmpl w:val="546AF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E7368"/>
    <w:multiLevelType w:val="multilevel"/>
    <w:tmpl w:val="6D3C0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C04A39"/>
    <w:multiLevelType w:val="multilevel"/>
    <w:tmpl w:val="779C2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DB55AE"/>
    <w:multiLevelType w:val="multilevel"/>
    <w:tmpl w:val="702A6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5335B7"/>
    <w:multiLevelType w:val="multilevel"/>
    <w:tmpl w:val="D8108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5E7517"/>
    <w:multiLevelType w:val="multilevel"/>
    <w:tmpl w:val="7088A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E5632F"/>
    <w:multiLevelType w:val="multilevel"/>
    <w:tmpl w:val="B40E2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057CF0"/>
    <w:multiLevelType w:val="multilevel"/>
    <w:tmpl w:val="90268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B96F8A"/>
    <w:multiLevelType w:val="multilevel"/>
    <w:tmpl w:val="B8C28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BA0B35"/>
    <w:multiLevelType w:val="multilevel"/>
    <w:tmpl w:val="5A447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4523B5"/>
    <w:multiLevelType w:val="multilevel"/>
    <w:tmpl w:val="24009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9B529C"/>
    <w:multiLevelType w:val="multilevel"/>
    <w:tmpl w:val="07802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CF24D4"/>
    <w:multiLevelType w:val="multilevel"/>
    <w:tmpl w:val="2780D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5F664C"/>
    <w:multiLevelType w:val="multilevel"/>
    <w:tmpl w:val="81EA9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C648AE"/>
    <w:multiLevelType w:val="multilevel"/>
    <w:tmpl w:val="026C5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D07896"/>
    <w:multiLevelType w:val="multilevel"/>
    <w:tmpl w:val="ACAA9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160EA4"/>
    <w:multiLevelType w:val="multilevel"/>
    <w:tmpl w:val="99C46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4D419C"/>
    <w:multiLevelType w:val="multilevel"/>
    <w:tmpl w:val="6BAAD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06563F"/>
    <w:multiLevelType w:val="multilevel"/>
    <w:tmpl w:val="FC666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F65EFC"/>
    <w:multiLevelType w:val="multilevel"/>
    <w:tmpl w:val="58C4C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7C59BE"/>
    <w:multiLevelType w:val="multilevel"/>
    <w:tmpl w:val="1C540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2E7CE9"/>
    <w:multiLevelType w:val="multilevel"/>
    <w:tmpl w:val="AEB28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6B5E3B"/>
    <w:multiLevelType w:val="multilevel"/>
    <w:tmpl w:val="7DA21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F75253"/>
    <w:multiLevelType w:val="multilevel"/>
    <w:tmpl w:val="1B3E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A35ACE"/>
    <w:multiLevelType w:val="multilevel"/>
    <w:tmpl w:val="95068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2B55E0"/>
    <w:multiLevelType w:val="multilevel"/>
    <w:tmpl w:val="7F46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3D1990"/>
    <w:multiLevelType w:val="multilevel"/>
    <w:tmpl w:val="B5841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3A073F"/>
    <w:multiLevelType w:val="multilevel"/>
    <w:tmpl w:val="3746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C55CBA"/>
    <w:multiLevelType w:val="multilevel"/>
    <w:tmpl w:val="2B582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0D615D"/>
    <w:multiLevelType w:val="multilevel"/>
    <w:tmpl w:val="FFA02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8B6494"/>
    <w:multiLevelType w:val="multilevel"/>
    <w:tmpl w:val="BF106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6924BB7"/>
    <w:multiLevelType w:val="multilevel"/>
    <w:tmpl w:val="E89A1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352C2C"/>
    <w:multiLevelType w:val="multilevel"/>
    <w:tmpl w:val="89646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F15D99"/>
    <w:multiLevelType w:val="multilevel"/>
    <w:tmpl w:val="09A69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A70716"/>
    <w:multiLevelType w:val="multilevel"/>
    <w:tmpl w:val="F5B84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113848"/>
    <w:multiLevelType w:val="multilevel"/>
    <w:tmpl w:val="BD864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142243">
    <w:abstractNumId w:val="3"/>
  </w:num>
  <w:num w:numId="2" w16cid:durableId="2128351693">
    <w:abstractNumId w:val="38"/>
  </w:num>
  <w:num w:numId="3" w16cid:durableId="2033997434">
    <w:abstractNumId w:val="6"/>
  </w:num>
  <w:num w:numId="4" w16cid:durableId="1253465805">
    <w:abstractNumId w:val="7"/>
  </w:num>
  <w:num w:numId="5" w16cid:durableId="809859643">
    <w:abstractNumId w:val="39"/>
  </w:num>
  <w:num w:numId="6" w16cid:durableId="1437409820">
    <w:abstractNumId w:val="40"/>
  </w:num>
  <w:num w:numId="7" w16cid:durableId="293676683">
    <w:abstractNumId w:val="4"/>
  </w:num>
  <w:num w:numId="8" w16cid:durableId="741177482">
    <w:abstractNumId w:val="1"/>
  </w:num>
  <w:num w:numId="9" w16cid:durableId="416945194">
    <w:abstractNumId w:val="24"/>
  </w:num>
  <w:num w:numId="10" w16cid:durableId="512257965">
    <w:abstractNumId w:val="20"/>
  </w:num>
  <w:num w:numId="11" w16cid:durableId="1216939551">
    <w:abstractNumId w:val="31"/>
  </w:num>
  <w:num w:numId="12" w16cid:durableId="504249754">
    <w:abstractNumId w:val="37"/>
  </w:num>
  <w:num w:numId="13" w16cid:durableId="183057644">
    <w:abstractNumId w:val="29"/>
  </w:num>
  <w:num w:numId="14" w16cid:durableId="905266764">
    <w:abstractNumId w:val="26"/>
  </w:num>
  <w:num w:numId="15" w16cid:durableId="144863090">
    <w:abstractNumId w:val="15"/>
  </w:num>
  <w:num w:numId="16" w16cid:durableId="1898738336">
    <w:abstractNumId w:val="18"/>
  </w:num>
  <w:num w:numId="17" w16cid:durableId="454715519">
    <w:abstractNumId w:val="16"/>
  </w:num>
  <w:num w:numId="18" w16cid:durableId="999696710">
    <w:abstractNumId w:val="17"/>
  </w:num>
  <w:num w:numId="19" w16cid:durableId="887183422">
    <w:abstractNumId w:val="2"/>
  </w:num>
  <w:num w:numId="20" w16cid:durableId="1112822420">
    <w:abstractNumId w:val="35"/>
  </w:num>
  <w:num w:numId="21" w16cid:durableId="39521101">
    <w:abstractNumId w:val="23"/>
  </w:num>
  <w:num w:numId="22" w16cid:durableId="1698433419">
    <w:abstractNumId w:val="36"/>
  </w:num>
  <w:num w:numId="23" w16cid:durableId="391779734">
    <w:abstractNumId w:val="0"/>
  </w:num>
  <w:num w:numId="24" w16cid:durableId="421997524">
    <w:abstractNumId w:val="9"/>
  </w:num>
  <w:num w:numId="25" w16cid:durableId="2033257923">
    <w:abstractNumId w:val="14"/>
  </w:num>
  <w:num w:numId="26" w16cid:durableId="899748429">
    <w:abstractNumId w:val="28"/>
  </w:num>
  <w:num w:numId="27" w16cid:durableId="422723879">
    <w:abstractNumId w:val="22"/>
  </w:num>
  <w:num w:numId="28" w16cid:durableId="890850884">
    <w:abstractNumId w:val="30"/>
  </w:num>
  <w:num w:numId="29" w16cid:durableId="1193616560">
    <w:abstractNumId w:val="19"/>
  </w:num>
  <w:num w:numId="30" w16cid:durableId="192234423">
    <w:abstractNumId w:val="32"/>
  </w:num>
  <w:num w:numId="31" w16cid:durableId="1972780592">
    <w:abstractNumId w:val="8"/>
  </w:num>
  <w:num w:numId="32" w16cid:durableId="1534656638">
    <w:abstractNumId w:val="11"/>
  </w:num>
  <w:num w:numId="33" w16cid:durableId="1210536383">
    <w:abstractNumId w:val="33"/>
  </w:num>
  <w:num w:numId="34" w16cid:durableId="269095972">
    <w:abstractNumId w:val="5"/>
  </w:num>
  <w:num w:numId="35" w16cid:durableId="1068766737">
    <w:abstractNumId w:val="13"/>
  </w:num>
  <w:num w:numId="36" w16cid:durableId="934745655">
    <w:abstractNumId w:val="21"/>
  </w:num>
  <w:num w:numId="37" w16cid:durableId="791437151">
    <w:abstractNumId w:val="34"/>
  </w:num>
  <w:num w:numId="38" w16cid:durableId="945968485">
    <w:abstractNumId w:val="12"/>
  </w:num>
  <w:num w:numId="39" w16cid:durableId="1449275362">
    <w:abstractNumId w:val="27"/>
  </w:num>
  <w:num w:numId="40" w16cid:durableId="1348680926">
    <w:abstractNumId w:val="25"/>
  </w:num>
  <w:num w:numId="41" w16cid:durableId="1332609483">
    <w:abstractNumId w:val="41"/>
  </w:num>
  <w:num w:numId="42" w16cid:durableId="20703548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47EC"/>
    <w:rsid w:val="000C1B12"/>
    <w:rsid w:val="001028A9"/>
    <w:rsid w:val="001D47EC"/>
    <w:rsid w:val="00273D9F"/>
    <w:rsid w:val="002B423C"/>
    <w:rsid w:val="002C2363"/>
    <w:rsid w:val="002D7745"/>
    <w:rsid w:val="003B2FE3"/>
    <w:rsid w:val="004B2A78"/>
    <w:rsid w:val="005A5068"/>
    <w:rsid w:val="0068075A"/>
    <w:rsid w:val="007203ED"/>
    <w:rsid w:val="00896127"/>
    <w:rsid w:val="00A524A9"/>
    <w:rsid w:val="00A74BBB"/>
    <w:rsid w:val="00AF2359"/>
    <w:rsid w:val="00B20589"/>
    <w:rsid w:val="00B35D15"/>
    <w:rsid w:val="00B376B8"/>
    <w:rsid w:val="00B77813"/>
    <w:rsid w:val="00C01139"/>
    <w:rsid w:val="00D1539A"/>
    <w:rsid w:val="00D627D6"/>
    <w:rsid w:val="00DA590B"/>
    <w:rsid w:val="00EC3C0B"/>
    <w:rsid w:val="00F76F07"/>
    <w:rsid w:val="00F97C0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B5E2E"/>
  <w15:chartTrackingRefBased/>
  <w15:docId w15:val="{B0307194-4CDA-4C42-A063-41E0DC8C2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20589"/>
    <w:rPr>
      <w:rFonts w:ascii="Times New Roman" w:hAnsi="Times New Roman"/>
      <w:lang w:bidi="hi-IN"/>
    </w:rPr>
  </w:style>
  <w:style w:type="paragraph" w:styleId="Heading1">
    <w:name w:val="heading 1"/>
    <w:basedOn w:val="Normal"/>
    <w:link w:val="Heading1Char"/>
    <w:uiPriority w:val="1"/>
    <w:qFormat/>
    <w:rsid w:val="00A524A9"/>
    <w:pPr>
      <w:spacing w:line="360" w:lineRule="auto"/>
      <w:jc w:val="both"/>
      <w:outlineLvl w:val="0"/>
    </w:pPr>
    <w:rPr>
      <w:b/>
      <w:bCs/>
      <w:sz w:val="28"/>
      <w:szCs w:val="26"/>
    </w:rPr>
  </w:style>
  <w:style w:type="paragraph" w:styleId="Heading2">
    <w:name w:val="heading 2"/>
    <w:basedOn w:val="Normal"/>
    <w:link w:val="Heading2Char"/>
    <w:uiPriority w:val="1"/>
    <w:qFormat/>
    <w:rsid w:val="00A524A9"/>
    <w:pPr>
      <w:spacing w:line="360" w:lineRule="auto"/>
      <w:jc w:val="both"/>
      <w:outlineLvl w:val="1"/>
    </w:pPr>
    <w:rPr>
      <w:b/>
      <w:bCs/>
      <w:sz w:val="24"/>
      <w:szCs w:val="24"/>
    </w:rPr>
  </w:style>
  <w:style w:type="paragraph" w:styleId="Heading3">
    <w:name w:val="heading 3"/>
    <w:basedOn w:val="Normal"/>
    <w:link w:val="Heading3Char"/>
    <w:uiPriority w:val="1"/>
    <w:qFormat/>
    <w:rsid w:val="00B20589"/>
    <w:pPr>
      <w:ind w:left="2551" w:hanging="390"/>
      <w:outlineLvl w:val="2"/>
    </w:pPr>
    <w:rPr>
      <w:rFonts w:eastAsia="Times New Roman" w:cs="Times New Roman"/>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B20589"/>
    <w:rPr>
      <w:rFonts w:eastAsia="Times New Roman" w:cs="Times New Roman"/>
    </w:rPr>
  </w:style>
  <w:style w:type="character" w:customStyle="1" w:styleId="Heading1Char">
    <w:name w:val="Heading 1 Char"/>
    <w:basedOn w:val="DefaultParagraphFont"/>
    <w:link w:val="Heading1"/>
    <w:uiPriority w:val="1"/>
    <w:rsid w:val="00A524A9"/>
    <w:rPr>
      <w:rFonts w:ascii="Times New Roman" w:hAnsi="Times New Roman"/>
      <w:b/>
      <w:bCs/>
      <w:sz w:val="28"/>
      <w:szCs w:val="26"/>
      <w:lang w:bidi="hi-IN"/>
    </w:rPr>
  </w:style>
  <w:style w:type="character" w:customStyle="1" w:styleId="Heading2Char">
    <w:name w:val="Heading 2 Char"/>
    <w:basedOn w:val="DefaultParagraphFont"/>
    <w:link w:val="Heading2"/>
    <w:uiPriority w:val="1"/>
    <w:rsid w:val="00A524A9"/>
    <w:rPr>
      <w:rFonts w:ascii="Times New Roman" w:hAnsi="Times New Roman"/>
      <w:b/>
      <w:bCs/>
      <w:sz w:val="24"/>
      <w:szCs w:val="24"/>
      <w:lang w:bidi="hi-IN"/>
    </w:rPr>
  </w:style>
  <w:style w:type="character" w:customStyle="1" w:styleId="Heading3Char">
    <w:name w:val="Heading 3 Char"/>
    <w:basedOn w:val="DefaultParagraphFont"/>
    <w:link w:val="Heading3"/>
    <w:uiPriority w:val="1"/>
    <w:rsid w:val="00B20589"/>
    <w:rPr>
      <w:rFonts w:ascii="Times New Roman" w:eastAsia="Times New Roman" w:hAnsi="Times New Roman" w:cs="Times New Roman"/>
      <w:b/>
      <w:bCs/>
      <w:sz w:val="26"/>
      <w:szCs w:val="26"/>
    </w:rPr>
  </w:style>
  <w:style w:type="paragraph" w:styleId="Title">
    <w:name w:val="Title"/>
    <w:basedOn w:val="Normal"/>
    <w:link w:val="TitleChar"/>
    <w:uiPriority w:val="1"/>
    <w:qFormat/>
    <w:rsid w:val="00B20589"/>
    <w:pPr>
      <w:ind w:left="1111"/>
    </w:pPr>
    <w:rPr>
      <w:rFonts w:eastAsia="Times New Roman" w:cs="Times New Roman"/>
      <w:b/>
      <w:bCs/>
      <w:sz w:val="40"/>
      <w:szCs w:val="40"/>
    </w:rPr>
  </w:style>
  <w:style w:type="character" w:customStyle="1" w:styleId="TitleChar">
    <w:name w:val="Title Char"/>
    <w:basedOn w:val="DefaultParagraphFont"/>
    <w:link w:val="Title"/>
    <w:uiPriority w:val="1"/>
    <w:rsid w:val="00B20589"/>
    <w:rPr>
      <w:rFonts w:ascii="Times New Roman" w:eastAsia="Times New Roman" w:hAnsi="Times New Roman" w:cs="Times New Roman"/>
      <w:b/>
      <w:bCs/>
      <w:sz w:val="40"/>
      <w:szCs w:val="40"/>
    </w:rPr>
  </w:style>
  <w:style w:type="paragraph" w:styleId="BodyText">
    <w:name w:val="Body Text"/>
    <w:basedOn w:val="Normal"/>
    <w:link w:val="BodyTextChar"/>
    <w:uiPriority w:val="1"/>
    <w:qFormat/>
    <w:rsid w:val="00B20589"/>
    <w:rPr>
      <w:rFonts w:eastAsia="Times New Roman" w:cs="Times New Roman"/>
      <w:sz w:val="24"/>
      <w:szCs w:val="24"/>
    </w:rPr>
  </w:style>
  <w:style w:type="character" w:customStyle="1" w:styleId="BodyTextChar">
    <w:name w:val="Body Text Char"/>
    <w:basedOn w:val="DefaultParagraphFont"/>
    <w:link w:val="BodyText"/>
    <w:uiPriority w:val="1"/>
    <w:rsid w:val="00B20589"/>
    <w:rPr>
      <w:rFonts w:ascii="Times New Roman" w:eastAsia="Times New Roman" w:hAnsi="Times New Roman" w:cs="Times New Roman"/>
      <w:sz w:val="24"/>
      <w:szCs w:val="24"/>
    </w:rPr>
  </w:style>
  <w:style w:type="paragraph" w:styleId="ListParagraph">
    <w:name w:val="List Paragraph"/>
    <w:basedOn w:val="Normal"/>
    <w:uiPriority w:val="1"/>
    <w:qFormat/>
    <w:rsid w:val="00B20589"/>
    <w:pPr>
      <w:ind w:left="2521" w:hanging="360"/>
    </w:pPr>
    <w:rPr>
      <w:rFonts w:eastAsia="Times New Roman" w:cs="Times New Roman"/>
    </w:rPr>
  </w:style>
  <w:style w:type="paragraph" w:styleId="Header">
    <w:name w:val="header"/>
    <w:basedOn w:val="Normal"/>
    <w:link w:val="HeaderChar"/>
    <w:uiPriority w:val="99"/>
    <w:unhideWhenUsed/>
    <w:rsid w:val="00273D9F"/>
    <w:pPr>
      <w:tabs>
        <w:tab w:val="center" w:pos="4680"/>
        <w:tab w:val="right" w:pos="9360"/>
      </w:tabs>
    </w:pPr>
    <w:rPr>
      <w:szCs w:val="20"/>
    </w:rPr>
  </w:style>
  <w:style w:type="character" w:customStyle="1" w:styleId="HeaderChar">
    <w:name w:val="Header Char"/>
    <w:basedOn w:val="DefaultParagraphFont"/>
    <w:link w:val="Header"/>
    <w:uiPriority w:val="99"/>
    <w:rsid w:val="00273D9F"/>
    <w:rPr>
      <w:rFonts w:ascii="Times New Roman" w:hAnsi="Times New Roman"/>
      <w:szCs w:val="20"/>
      <w:lang w:bidi="hi-IN"/>
    </w:rPr>
  </w:style>
  <w:style w:type="paragraph" w:styleId="Footer">
    <w:name w:val="footer"/>
    <w:basedOn w:val="Normal"/>
    <w:link w:val="FooterChar"/>
    <w:uiPriority w:val="99"/>
    <w:unhideWhenUsed/>
    <w:rsid w:val="00273D9F"/>
    <w:pPr>
      <w:tabs>
        <w:tab w:val="center" w:pos="4680"/>
        <w:tab w:val="right" w:pos="9360"/>
      </w:tabs>
    </w:pPr>
    <w:rPr>
      <w:szCs w:val="20"/>
    </w:rPr>
  </w:style>
  <w:style w:type="character" w:customStyle="1" w:styleId="FooterChar">
    <w:name w:val="Footer Char"/>
    <w:basedOn w:val="DefaultParagraphFont"/>
    <w:link w:val="Footer"/>
    <w:uiPriority w:val="99"/>
    <w:rsid w:val="00273D9F"/>
    <w:rPr>
      <w:rFonts w:ascii="Times New Roman" w:hAnsi="Times New Roman"/>
      <w:szCs w:val="20"/>
      <w:lang w:bidi="hi-IN"/>
    </w:rPr>
  </w:style>
  <w:style w:type="paragraph" w:styleId="TOCHeading">
    <w:name w:val="TOC Heading"/>
    <w:basedOn w:val="Heading1"/>
    <w:next w:val="Normal"/>
    <w:uiPriority w:val="39"/>
    <w:unhideWhenUsed/>
    <w:qFormat/>
    <w:rsid w:val="00273D9F"/>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bidi="ar-SA"/>
    </w:rPr>
  </w:style>
  <w:style w:type="paragraph" w:styleId="TOC1">
    <w:name w:val="toc 1"/>
    <w:basedOn w:val="Normal"/>
    <w:next w:val="Normal"/>
    <w:autoRedefine/>
    <w:uiPriority w:val="39"/>
    <w:unhideWhenUsed/>
    <w:rsid w:val="00273D9F"/>
    <w:pPr>
      <w:spacing w:after="100"/>
    </w:pPr>
    <w:rPr>
      <w:szCs w:val="20"/>
    </w:rPr>
  </w:style>
  <w:style w:type="paragraph" w:styleId="TOC2">
    <w:name w:val="toc 2"/>
    <w:basedOn w:val="Normal"/>
    <w:next w:val="Normal"/>
    <w:autoRedefine/>
    <w:uiPriority w:val="39"/>
    <w:unhideWhenUsed/>
    <w:rsid w:val="00273D9F"/>
    <w:pPr>
      <w:spacing w:after="100"/>
      <w:ind w:left="220"/>
    </w:pPr>
    <w:rPr>
      <w:szCs w:val="20"/>
    </w:rPr>
  </w:style>
  <w:style w:type="character" w:styleId="Hyperlink">
    <w:name w:val="Hyperlink"/>
    <w:basedOn w:val="DefaultParagraphFont"/>
    <w:uiPriority w:val="99"/>
    <w:unhideWhenUsed/>
    <w:rsid w:val="00273D9F"/>
    <w:rPr>
      <w:color w:val="0000FF" w:themeColor="hyperlink"/>
      <w:u w:val="single"/>
    </w:rPr>
  </w:style>
  <w:style w:type="paragraph" w:styleId="NormalWeb">
    <w:name w:val="Normal (Web)"/>
    <w:basedOn w:val="Normal"/>
    <w:uiPriority w:val="99"/>
    <w:semiHidden/>
    <w:unhideWhenUsed/>
    <w:rsid w:val="00AF2359"/>
    <w:pPr>
      <w:widowControl/>
      <w:autoSpaceDE/>
      <w:autoSpaceDN/>
      <w:spacing w:before="100" w:beforeAutospacing="1" w:after="100" w:afterAutospacing="1"/>
    </w:pPr>
    <w:rPr>
      <w:rFonts w:eastAsia="Times New Roman" w:cs="Times New Roman"/>
      <w:sz w:val="24"/>
      <w:szCs w:val="24"/>
    </w:rPr>
  </w:style>
  <w:style w:type="character" w:styleId="Emphasis">
    <w:name w:val="Emphasis"/>
    <w:basedOn w:val="DefaultParagraphFont"/>
    <w:uiPriority w:val="20"/>
    <w:qFormat/>
    <w:rsid w:val="00AF235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48152">
      <w:bodyDiv w:val="1"/>
      <w:marLeft w:val="0"/>
      <w:marRight w:val="0"/>
      <w:marTop w:val="0"/>
      <w:marBottom w:val="0"/>
      <w:divBdr>
        <w:top w:val="none" w:sz="0" w:space="0" w:color="auto"/>
        <w:left w:val="none" w:sz="0" w:space="0" w:color="auto"/>
        <w:bottom w:val="none" w:sz="0" w:space="0" w:color="auto"/>
        <w:right w:val="none" w:sz="0" w:space="0" w:color="auto"/>
      </w:divBdr>
    </w:div>
    <w:div w:id="310793541">
      <w:bodyDiv w:val="1"/>
      <w:marLeft w:val="0"/>
      <w:marRight w:val="0"/>
      <w:marTop w:val="0"/>
      <w:marBottom w:val="0"/>
      <w:divBdr>
        <w:top w:val="none" w:sz="0" w:space="0" w:color="auto"/>
        <w:left w:val="none" w:sz="0" w:space="0" w:color="auto"/>
        <w:bottom w:val="none" w:sz="0" w:space="0" w:color="auto"/>
        <w:right w:val="none" w:sz="0" w:space="0" w:color="auto"/>
      </w:divBdr>
    </w:div>
    <w:div w:id="356780775">
      <w:bodyDiv w:val="1"/>
      <w:marLeft w:val="0"/>
      <w:marRight w:val="0"/>
      <w:marTop w:val="0"/>
      <w:marBottom w:val="0"/>
      <w:divBdr>
        <w:top w:val="none" w:sz="0" w:space="0" w:color="auto"/>
        <w:left w:val="none" w:sz="0" w:space="0" w:color="auto"/>
        <w:bottom w:val="none" w:sz="0" w:space="0" w:color="auto"/>
        <w:right w:val="none" w:sz="0" w:space="0" w:color="auto"/>
      </w:divBdr>
    </w:div>
    <w:div w:id="398556926">
      <w:bodyDiv w:val="1"/>
      <w:marLeft w:val="0"/>
      <w:marRight w:val="0"/>
      <w:marTop w:val="0"/>
      <w:marBottom w:val="0"/>
      <w:divBdr>
        <w:top w:val="none" w:sz="0" w:space="0" w:color="auto"/>
        <w:left w:val="none" w:sz="0" w:space="0" w:color="auto"/>
        <w:bottom w:val="none" w:sz="0" w:space="0" w:color="auto"/>
        <w:right w:val="none" w:sz="0" w:space="0" w:color="auto"/>
      </w:divBdr>
    </w:div>
    <w:div w:id="435058734">
      <w:bodyDiv w:val="1"/>
      <w:marLeft w:val="0"/>
      <w:marRight w:val="0"/>
      <w:marTop w:val="0"/>
      <w:marBottom w:val="0"/>
      <w:divBdr>
        <w:top w:val="none" w:sz="0" w:space="0" w:color="auto"/>
        <w:left w:val="none" w:sz="0" w:space="0" w:color="auto"/>
        <w:bottom w:val="none" w:sz="0" w:space="0" w:color="auto"/>
        <w:right w:val="none" w:sz="0" w:space="0" w:color="auto"/>
      </w:divBdr>
    </w:div>
    <w:div w:id="455874016">
      <w:bodyDiv w:val="1"/>
      <w:marLeft w:val="0"/>
      <w:marRight w:val="0"/>
      <w:marTop w:val="0"/>
      <w:marBottom w:val="0"/>
      <w:divBdr>
        <w:top w:val="none" w:sz="0" w:space="0" w:color="auto"/>
        <w:left w:val="none" w:sz="0" w:space="0" w:color="auto"/>
        <w:bottom w:val="none" w:sz="0" w:space="0" w:color="auto"/>
        <w:right w:val="none" w:sz="0" w:space="0" w:color="auto"/>
      </w:divBdr>
    </w:div>
    <w:div w:id="648704681">
      <w:bodyDiv w:val="1"/>
      <w:marLeft w:val="0"/>
      <w:marRight w:val="0"/>
      <w:marTop w:val="0"/>
      <w:marBottom w:val="0"/>
      <w:divBdr>
        <w:top w:val="none" w:sz="0" w:space="0" w:color="auto"/>
        <w:left w:val="none" w:sz="0" w:space="0" w:color="auto"/>
        <w:bottom w:val="none" w:sz="0" w:space="0" w:color="auto"/>
        <w:right w:val="none" w:sz="0" w:space="0" w:color="auto"/>
      </w:divBdr>
    </w:div>
    <w:div w:id="694233410">
      <w:bodyDiv w:val="1"/>
      <w:marLeft w:val="0"/>
      <w:marRight w:val="0"/>
      <w:marTop w:val="0"/>
      <w:marBottom w:val="0"/>
      <w:divBdr>
        <w:top w:val="none" w:sz="0" w:space="0" w:color="auto"/>
        <w:left w:val="none" w:sz="0" w:space="0" w:color="auto"/>
        <w:bottom w:val="none" w:sz="0" w:space="0" w:color="auto"/>
        <w:right w:val="none" w:sz="0" w:space="0" w:color="auto"/>
      </w:divBdr>
    </w:div>
    <w:div w:id="699673171">
      <w:bodyDiv w:val="1"/>
      <w:marLeft w:val="0"/>
      <w:marRight w:val="0"/>
      <w:marTop w:val="0"/>
      <w:marBottom w:val="0"/>
      <w:divBdr>
        <w:top w:val="none" w:sz="0" w:space="0" w:color="auto"/>
        <w:left w:val="none" w:sz="0" w:space="0" w:color="auto"/>
        <w:bottom w:val="none" w:sz="0" w:space="0" w:color="auto"/>
        <w:right w:val="none" w:sz="0" w:space="0" w:color="auto"/>
      </w:divBdr>
    </w:div>
    <w:div w:id="728503131">
      <w:bodyDiv w:val="1"/>
      <w:marLeft w:val="0"/>
      <w:marRight w:val="0"/>
      <w:marTop w:val="0"/>
      <w:marBottom w:val="0"/>
      <w:divBdr>
        <w:top w:val="none" w:sz="0" w:space="0" w:color="auto"/>
        <w:left w:val="none" w:sz="0" w:space="0" w:color="auto"/>
        <w:bottom w:val="none" w:sz="0" w:space="0" w:color="auto"/>
        <w:right w:val="none" w:sz="0" w:space="0" w:color="auto"/>
      </w:divBdr>
      <w:divsChild>
        <w:div w:id="378672456">
          <w:marLeft w:val="0"/>
          <w:marRight w:val="0"/>
          <w:marTop w:val="0"/>
          <w:marBottom w:val="0"/>
          <w:divBdr>
            <w:top w:val="none" w:sz="0" w:space="0" w:color="auto"/>
            <w:left w:val="none" w:sz="0" w:space="0" w:color="auto"/>
            <w:bottom w:val="none" w:sz="0" w:space="0" w:color="auto"/>
            <w:right w:val="none" w:sz="0" w:space="0" w:color="auto"/>
          </w:divBdr>
        </w:div>
      </w:divsChild>
    </w:div>
    <w:div w:id="1052536185">
      <w:bodyDiv w:val="1"/>
      <w:marLeft w:val="0"/>
      <w:marRight w:val="0"/>
      <w:marTop w:val="0"/>
      <w:marBottom w:val="0"/>
      <w:divBdr>
        <w:top w:val="none" w:sz="0" w:space="0" w:color="auto"/>
        <w:left w:val="none" w:sz="0" w:space="0" w:color="auto"/>
        <w:bottom w:val="none" w:sz="0" w:space="0" w:color="auto"/>
        <w:right w:val="none" w:sz="0" w:space="0" w:color="auto"/>
      </w:divBdr>
      <w:divsChild>
        <w:div w:id="192231580">
          <w:marLeft w:val="0"/>
          <w:marRight w:val="0"/>
          <w:marTop w:val="0"/>
          <w:marBottom w:val="0"/>
          <w:divBdr>
            <w:top w:val="none" w:sz="0" w:space="0" w:color="auto"/>
            <w:left w:val="none" w:sz="0" w:space="0" w:color="auto"/>
            <w:bottom w:val="none" w:sz="0" w:space="0" w:color="auto"/>
            <w:right w:val="none" w:sz="0" w:space="0" w:color="auto"/>
          </w:divBdr>
        </w:div>
      </w:divsChild>
    </w:div>
    <w:div w:id="1134179997">
      <w:bodyDiv w:val="1"/>
      <w:marLeft w:val="0"/>
      <w:marRight w:val="0"/>
      <w:marTop w:val="0"/>
      <w:marBottom w:val="0"/>
      <w:divBdr>
        <w:top w:val="none" w:sz="0" w:space="0" w:color="auto"/>
        <w:left w:val="none" w:sz="0" w:space="0" w:color="auto"/>
        <w:bottom w:val="none" w:sz="0" w:space="0" w:color="auto"/>
        <w:right w:val="none" w:sz="0" w:space="0" w:color="auto"/>
      </w:divBdr>
    </w:div>
    <w:div w:id="1186140765">
      <w:bodyDiv w:val="1"/>
      <w:marLeft w:val="0"/>
      <w:marRight w:val="0"/>
      <w:marTop w:val="0"/>
      <w:marBottom w:val="0"/>
      <w:divBdr>
        <w:top w:val="none" w:sz="0" w:space="0" w:color="auto"/>
        <w:left w:val="none" w:sz="0" w:space="0" w:color="auto"/>
        <w:bottom w:val="none" w:sz="0" w:space="0" w:color="auto"/>
        <w:right w:val="none" w:sz="0" w:space="0" w:color="auto"/>
      </w:divBdr>
    </w:div>
    <w:div w:id="1209806109">
      <w:bodyDiv w:val="1"/>
      <w:marLeft w:val="0"/>
      <w:marRight w:val="0"/>
      <w:marTop w:val="0"/>
      <w:marBottom w:val="0"/>
      <w:divBdr>
        <w:top w:val="none" w:sz="0" w:space="0" w:color="auto"/>
        <w:left w:val="none" w:sz="0" w:space="0" w:color="auto"/>
        <w:bottom w:val="none" w:sz="0" w:space="0" w:color="auto"/>
        <w:right w:val="none" w:sz="0" w:space="0" w:color="auto"/>
      </w:divBdr>
    </w:div>
    <w:div w:id="1410226958">
      <w:bodyDiv w:val="1"/>
      <w:marLeft w:val="0"/>
      <w:marRight w:val="0"/>
      <w:marTop w:val="0"/>
      <w:marBottom w:val="0"/>
      <w:divBdr>
        <w:top w:val="none" w:sz="0" w:space="0" w:color="auto"/>
        <w:left w:val="none" w:sz="0" w:space="0" w:color="auto"/>
        <w:bottom w:val="none" w:sz="0" w:space="0" w:color="auto"/>
        <w:right w:val="none" w:sz="0" w:space="0" w:color="auto"/>
      </w:divBdr>
    </w:div>
    <w:div w:id="1473984791">
      <w:bodyDiv w:val="1"/>
      <w:marLeft w:val="0"/>
      <w:marRight w:val="0"/>
      <w:marTop w:val="0"/>
      <w:marBottom w:val="0"/>
      <w:divBdr>
        <w:top w:val="none" w:sz="0" w:space="0" w:color="auto"/>
        <w:left w:val="none" w:sz="0" w:space="0" w:color="auto"/>
        <w:bottom w:val="none" w:sz="0" w:space="0" w:color="auto"/>
        <w:right w:val="none" w:sz="0" w:space="0" w:color="auto"/>
      </w:divBdr>
    </w:div>
    <w:div w:id="1477256948">
      <w:bodyDiv w:val="1"/>
      <w:marLeft w:val="0"/>
      <w:marRight w:val="0"/>
      <w:marTop w:val="0"/>
      <w:marBottom w:val="0"/>
      <w:divBdr>
        <w:top w:val="none" w:sz="0" w:space="0" w:color="auto"/>
        <w:left w:val="none" w:sz="0" w:space="0" w:color="auto"/>
        <w:bottom w:val="none" w:sz="0" w:space="0" w:color="auto"/>
        <w:right w:val="none" w:sz="0" w:space="0" w:color="auto"/>
      </w:divBdr>
      <w:divsChild>
        <w:div w:id="395860927">
          <w:marLeft w:val="0"/>
          <w:marRight w:val="0"/>
          <w:marTop w:val="0"/>
          <w:marBottom w:val="0"/>
          <w:divBdr>
            <w:top w:val="none" w:sz="0" w:space="0" w:color="auto"/>
            <w:left w:val="none" w:sz="0" w:space="0" w:color="auto"/>
            <w:bottom w:val="none" w:sz="0" w:space="0" w:color="auto"/>
            <w:right w:val="none" w:sz="0" w:space="0" w:color="auto"/>
          </w:divBdr>
        </w:div>
      </w:divsChild>
    </w:div>
    <w:div w:id="1719931099">
      <w:bodyDiv w:val="1"/>
      <w:marLeft w:val="0"/>
      <w:marRight w:val="0"/>
      <w:marTop w:val="0"/>
      <w:marBottom w:val="0"/>
      <w:divBdr>
        <w:top w:val="none" w:sz="0" w:space="0" w:color="auto"/>
        <w:left w:val="none" w:sz="0" w:space="0" w:color="auto"/>
        <w:bottom w:val="none" w:sz="0" w:space="0" w:color="auto"/>
        <w:right w:val="none" w:sz="0" w:space="0" w:color="auto"/>
      </w:divBdr>
    </w:div>
    <w:div w:id="1722174521">
      <w:bodyDiv w:val="1"/>
      <w:marLeft w:val="0"/>
      <w:marRight w:val="0"/>
      <w:marTop w:val="0"/>
      <w:marBottom w:val="0"/>
      <w:divBdr>
        <w:top w:val="none" w:sz="0" w:space="0" w:color="auto"/>
        <w:left w:val="none" w:sz="0" w:space="0" w:color="auto"/>
        <w:bottom w:val="none" w:sz="0" w:space="0" w:color="auto"/>
        <w:right w:val="none" w:sz="0" w:space="0" w:color="auto"/>
      </w:divBdr>
    </w:div>
    <w:div w:id="1954283965">
      <w:bodyDiv w:val="1"/>
      <w:marLeft w:val="0"/>
      <w:marRight w:val="0"/>
      <w:marTop w:val="0"/>
      <w:marBottom w:val="0"/>
      <w:divBdr>
        <w:top w:val="none" w:sz="0" w:space="0" w:color="auto"/>
        <w:left w:val="none" w:sz="0" w:space="0" w:color="auto"/>
        <w:bottom w:val="none" w:sz="0" w:space="0" w:color="auto"/>
        <w:right w:val="none" w:sz="0" w:space="0" w:color="auto"/>
      </w:divBdr>
    </w:div>
    <w:div w:id="1958372863">
      <w:bodyDiv w:val="1"/>
      <w:marLeft w:val="0"/>
      <w:marRight w:val="0"/>
      <w:marTop w:val="0"/>
      <w:marBottom w:val="0"/>
      <w:divBdr>
        <w:top w:val="none" w:sz="0" w:space="0" w:color="auto"/>
        <w:left w:val="none" w:sz="0" w:space="0" w:color="auto"/>
        <w:bottom w:val="none" w:sz="0" w:space="0" w:color="auto"/>
        <w:right w:val="none" w:sz="0" w:space="0" w:color="auto"/>
      </w:divBdr>
    </w:div>
    <w:div w:id="1976645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1422-0067/24/6/5202" TargetMode="External"/><Relationship Id="rId18" Type="http://schemas.openxmlformats.org/officeDocument/2006/relationships/hyperlink" Target="https://www.nature.com/articles/s41572-022-00372-5" TargetMode="External"/><Relationship Id="rId26" Type="http://schemas.openxmlformats.org/officeDocument/2006/relationships/hyperlink" Target="https://www.who.int/publications/i/item/9789240063129" TargetMode="External"/><Relationship Id="rId3" Type="http://schemas.openxmlformats.org/officeDocument/2006/relationships/styles" Target="styles.xml"/><Relationship Id="rId21" Type="http://schemas.openxmlformats.org/officeDocument/2006/relationships/hyperlink" Target="https://www.gov.uk/government/publications/tuberculosis-in-england-annual-report"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nice.org.uk/guidance/ng33" TargetMode="External"/><Relationship Id="rId25" Type="http://schemas.openxmlformats.org/officeDocument/2006/relationships/hyperlink" Target="https://www.who.int/publications/i/item/9789240083851" TargetMode="External"/><Relationship Id="rId2" Type="http://schemas.openxmlformats.org/officeDocument/2006/relationships/numbering" Target="numbering.xml"/><Relationship Id="rId16" Type="http://schemas.openxmlformats.org/officeDocument/2006/relationships/hyperlink" Target="https://www.nice.org.uk/guidance/ng33" TargetMode="External"/><Relationship Id="rId20" Type="http://schemas.openxmlformats.org/officeDocument/2006/relationships/hyperlink" Target="https://bmcpublichealth.biomedcentral.com/articles/10.1186/s12889-020-8270-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tb/causes/index.html" TargetMode="External"/><Relationship Id="rId24" Type="http://schemas.openxmlformats.org/officeDocument/2006/relationships/hyperlink" Target="https://www.who.int/publications/i/item/9789240083851" TargetMode="External"/><Relationship Id="rId5" Type="http://schemas.openxmlformats.org/officeDocument/2006/relationships/webSettings" Target="webSettings.xml"/><Relationship Id="rId15" Type="http://schemas.openxmlformats.org/officeDocument/2006/relationships/hyperlink" Target="https://www.longtermplan.nhs.uk/publication/nhs-long-term-plan/" TargetMode="External"/><Relationship Id="rId23" Type="http://schemas.openxmlformats.org/officeDocument/2006/relationships/hyperlink" Target="https://www.gov.uk/government/publications/tuberculosis-in-england-annual-report"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gov.uk/government/publications/collaborative-tuberculosis-strategy-for-england"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hs.uk/conditions/tuberculosis-tb/" TargetMode="External"/><Relationship Id="rId22" Type="http://schemas.openxmlformats.org/officeDocument/2006/relationships/hyperlink" Target="https://www.gov.uk/government/publications/tuberculosis-in-england-annual-report" TargetMode="External"/><Relationship Id="rId27" Type="http://schemas.openxmlformats.org/officeDocument/2006/relationships/hyperlink" Target="https://www.who.int/publications/i/item/978924009158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6197E-9A27-4A5F-A63F-6AF5FA19DD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2353</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Ismail Ali (2506872)</cp:lastModifiedBy>
  <cp:revision>2</cp:revision>
  <dcterms:created xsi:type="dcterms:W3CDTF">2026-03-21T01:31:00Z</dcterms:created>
  <dcterms:modified xsi:type="dcterms:W3CDTF">2026-03-21T01:31:00Z</dcterms:modified>
</cp:coreProperties>
</file>