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331904" w14:textId="62DADC0C" w:rsidR="00057F6B" w:rsidRDefault="00336B23" w:rsidP="00FB41B1">
      <w:r>
        <w:rPr>
          <w:noProof/>
        </w:rPr>
        <w:drawing>
          <wp:anchor distT="0" distB="0" distL="114300" distR="114300" simplePos="0" relativeHeight="251658240" behindDoc="0" locked="0" layoutInCell="1" allowOverlap="1" wp14:anchorId="0598A6A5" wp14:editId="013890B4">
            <wp:simplePos x="0" y="0"/>
            <wp:positionH relativeFrom="margin">
              <wp:align>center</wp:align>
            </wp:positionH>
            <wp:positionV relativeFrom="paragraph">
              <wp:posOffset>259080</wp:posOffset>
            </wp:positionV>
            <wp:extent cx="1908175" cy="1908175"/>
            <wp:effectExtent l="0" t="0" r="0" b="0"/>
            <wp:wrapSquare wrapText="bothSides"/>
            <wp:docPr id="4271337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8175" cy="1908175"/>
                    </a:xfrm>
                    <a:prstGeom prst="rect">
                      <a:avLst/>
                    </a:prstGeom>
                    <a:noFill/>
                  </pic:spPr>
                </pic:pic>
              </a:graphicData>
            </a:graphic>
          </wp:anchor>
        </w:drawing>
      </w:r>
    </w:p>
    <w:p w14:paraId="6C3E644B" w14:textId="6528A1FA" w:rsidR="00057F6B" w:rsidRDefault="00057F6B" w:rsidP="00FB41B1"/>
    <w:p w14:paraId="32079A57" w14:textId="77777777" w:rsidR="00057F6B" w:rsidRDefault="00057F6B" w:rsidP="00FB41B1"/>
    <w:p w14:paraId="138E42DC" w14:textId="77777777" w:rsidR="00057F6B" w:rsidRDefault="00057F6B" w:rsidP="00FB41B1"/>
    <w:p w14:paraId="62CB9CDA" w14:textId="77777777" w:rsidR="00057F6B" w:rsidRDefault="00057F6B" w:rsidP="00FB41B1"/>
    <w:p w14:paraId="08052DEA" w14:textId="77777777" w:rsidR="00057F6B" w:rsidRDefault="00057F6B" w:rsidP="00FB41B1"/>
    <w:p w14:paraId="444B0AAD" w14:textId="77777777" w:rsidR="00057F6B" w:rsidRDefault="00057F6B" w:rsidP="00FB41B1"/>
    <w:p w14:paraId="33C5E6EE" w14:textId="77777777" w:rsidR="00057F6B" w:rsidRDefault="00057F6B" w:rsidP="00FB41B1"/>
    <w:p w14:paraId="0ACD8228" w14:textId="77777777" w:rsidR="00057F6B" w:rsidRDefault="00057F6B" w:rsidP="00FB41B1"/>
    <w:p w14:paraId="2D47CA92" w14:textId="7B636A3E" w:rsidR="005F4EC3" w:rsidRPr="00363723" w:rsidRDefault="00363723" w:rsidP="00363723">
      <w:pPr>
        <w:jc w:val="both"/>
        <w:rPr>
          <w:sz w:val="32"/>
          <w:szCs w:val="32"/>
        </w:rPr>
      </w:pPr>
      <w:r w:rsidRPr="005B618B">
        <w:rPr>
          <w:rStyle w:val="Heading1Char"/>
        </w:rPr>
        <w:t xml:space="preserve">                         </w:t>
      </w:r>
      <w:bookmarkStart w:id="0" w:name="_Toc223216237"/>
      <w:r w:rsidR="005F4EC3" w:rsidRPr="007F5BB1">
        <w:rPr>
          <w:rStyle w:val="Heading1Char"/>
          <w:color w:val="auto"/>
          <w:sz w:val="36"/>
          <w:szCs w:val="36"/>
        </w:rPr>
        <w:t>Student name</w:t>
      </w:r>
      <w:bookmarkEnd w:id="0"/>
      <w:r w:rsidR="005F4EC3" w:rsidRPr="007F5BB1">
        <w:rPr>
          <w:rFonts w:ascii="Arial" w:hAnsi="Arial" w:cs="Arial"/>
          <w:sz w:val="36"/>
          <w:szCs w:val="36"/>
        </w:rPr>
        <w:t>:</w:t>
      </w:r>
      <w:r w:rsidR="005F4EC3" w:rsidRPr="007F5BB1">
        <w:rPr>
          <w:rFonts w:ascii="Arial" w:hAnsi="Arial" w:cs="Arial"/>
          <w:sz w:val="32"/>
          <w:szCs w:val="32"/>
        </w:rPr>
        <w:t xml:space="preserve"> </w:t>
      </w:r>
      <w:r w:rsidR="005F4EC3" w:rsidRPr="00363723">
        <w:rPr>
          <w:rFonts w:ascii="Arial" w:hAnsi="Arial" w:cs="Arial"/>
          <w:color w:val="EE0000"/>
          <w:sz w:val="32"/>
          <w:szCs w:val="32"/>
        </w:rPr>
        <w:t>AMINA NOOR</w:t>
      </w:r>
    </w:p>
    <w:p w14:paraId="363314C9" w14:textId="3BB7AEEE" w:rsidR="005F4EC3" w:rsidRPr="00363723" w:rsidRDefault="00363723" w:rsidP="00363723">
      <w:pPr>
        <w:jc w:val="both"/>
        <w:rPr>
          <w:sz w:val="32"/>
          <w:szCs w:val="32"/>
        </w:rPr>
      </w:pPr>
      <w:r>
        <w:rPr>
          <w:rFonts w:ascii="Arial" w:hAnsi="Arial" w:cs="Arial"/>
          <w:sz w:val="32"/>
          <w:szCs w:val="32"/>
        </w:rPr>
        <w:t xml:space="preserve">                      </w:t>
      </w:r>
      <w:r w:rsidR="005F4EC3" w:rsidRPr="00363723">
        <w:rPr>
          <w:rFonts w:ascii="Arial" w:hAnsi="Arial" w:cs="Arial"/>
          <w:sz w:val="32"/>
          <w:szCs w:val="32"/>
        </w:rPr>
        <w:t>Student ID:</w:t>
      </w:r>
      <w:r w:rsidR="005F4EC3" w:rsidRPr="00363723">
        <w:rPr>
          <w:rFonts w:ascii="Arial" w:hAnsi="Arial" w:cs="Arial"/>
          <w:color w:val="EE0000"/>
          <w:sz w:val="32"/>
          <w:szCs w:val="32"/>
        </w:rPr>
        <w:t>2421445</w:t>
      </w:r>
    </w:p>
    <w:p w14:paraId="60B14360" w14:textId="7F1DB7BA" w:rsidR="005F4EC3" w:rsidRPr="00363723" w:rsidRDefault="00363723" w:rsidP="00363723">
      <w:pPr>
        <w:jc w:val="both"/>
        <w:rPr>
          <w:rFonts w:ascii="Arial" w:hAnsi="Arial" w:cs="Arial"/>
          <w:color w:val="EE0000"/>
          <w:sz w:val="32"/>
          <w:szCs w:val="32"/>
        </w:rPr>
      </w:pPr>
      <w:r>
        <w:rPr>
          <w:rFonts w:ascii="Arial" w:hAnsi="Arial" w:cs="Arial"/>
          <w:sz w:val="32"/>
          <w:szCs w:val="32"/>
        </w:rPr>
        <w:t xml:space="preserve">                      </w:t>
      </w:r>
      <w:r w:rsidR="005F4EC3" w:rsidRPr="00363723">
        <w:rPr>
          <w:rFonts w:ascii="Arial" w:hAnsi="Arial" w:cs="Arial"/>
          <w:sz w:val="32"/>
          <w:szCs w:val="32"/>
        </w:rPr>
        <w:t>Module:</w:t>
      </w:r>
      <w:r w:rsidR="005F4EC3" w:rsidRPr="00363723">
        <w:rPr>
          <w:rFonts w:ascii="Arial" w:hAnsi="Arial" w:cs="Arial"/>
          <w:color w:val="EE0000"/>
          <w:sz w:val="32"/>
          <w:szCs w:val="32"/>
        </w:rPr>
        <w:t xml:space="preserve"> Introduction to Health and Social Care</w:t>
      </w:r>
    </w:p>
    <w:p w14:paraId="0B72AA59" w14:textId="321E68DC" w:rsidR="005F4EC3" w:rsidRPr="00363723" w:rsidRDefault="00363723" w:rsidP="00363723">
      <w:pPr>
        <w:jc w:val="both"/>
        <w:rPr>
          <w:rFonts w:ascii="Arial" w:hAnsi="Arial" w:cs="Arial"/>
          <w:color w:val="EE0000"/>
          <w:sz w:val="32"/>
          <w:szCs w:val="32"/>
        </w:rPr>
      </w:pPr>
      <w:r>
        <w:rPr>
          <w:rFonts w:ascii="Arial" w:hAnsi="Arial" w:cs="Arial"/>
          <w:sz w:val="32"/>
          <w:szCs w:val="32"/>
        </w:rPr>
        <w:t xml:space="preserve">                       </w:t>
      </w:r>
      <w:r w:rsidR="005F4EC3" w:rsidRPr="00363723">
        <w:rPr>
          <w:rFonts w:ascii="Arial" w:hAnsi="Arial" w:cs="Arial"/>
          <w:sz w:val="32"/>
          <w:szCs w:val="32"/>
        </w:rPr>
        <w:t>Assignment title</w:t>
      </w:r>
      <w:r w:rsidR="005F4EC3" w:rsidRPr="00363723">
        <w:rPr>
          <w:rFonts w:ascii="Arial" w:hAnsi="Arial" w:cs="Arial"/>
          <w:color w:val="EE0000"/>
          <w:sz w:val="32"/>
          <w:szCs w:val="32"/>
        </w:rPr>
        <w:t xml:space="preserve">: </w:t>
      </w:r>
      <w:r w:rsidR="00B300B9">
        <w:rPr>
          <w:rFonts w:ascii="Arial" w:hAnsi="Arial" w:cs="Arial"/>
          <w:color w:val="EE0000"/>
          <w:sz w:val="32"/>
          <w:szCs w:val="32"/>
        </w:rPr>
        <w:t>written assignment</w:t>
      </w:r>
    </w:p>
    <w:p w14:paraId="48FDBE18" w14:textId="421F0C8A" w:rsidR="005F4EC3" w:rsidRPr="00363723" w:rsidRDefault="00363723" w:rsidP="00363723">
      <w:pPr>
        <w:jc w:val="both"/>
        <w:rPr>
          <w:rFonts w:ascii="Arial" w:hAnsi="Arial" w:cs="Arial"/>
          <w:color w:val="EE0000"/>
          <w:sz w:val="32"/>
          <w:szCs w:val="32"/>
        </w:rPr>
      </w:pPr>
      <w:r>
        <w:rPr>
          <w:rFonts w:ascii="Arial" w:hAnsi="Arial" w:cs="Arial"/>
          <w:sz w:val="32"/>
          <w:szCs w:val="32"/>
        </w:rPr>
        <w:t xml:space="preserve">                       </w:t>
      </w:r>
      <w:r w:rsidR="005F4EC3" w:rsidRPr="00363723">
        <w:rPr>
          <w:rFonts w:ascii="Arial" w:hAnsi="Arial" w:cs="Arial"/>
          <w:sz w:val="32"/>
          <w:szCs w:val="32"/>
        </w:rPr>
        <w:t>Module code:</w:t>
      </w:r>
      <w:r w:rsidR="005F4EC3" w:rsidRPr="00363723">
        <w:rPr>
          <w:rFonts w:ascii="Arial" w:hAnsi="Arial" w:cs="Arial"/>
          <w:color w:val="EE0000"/>
          <w:sz w:val="32"/>
          <w:szCs w:val="32"/>
        </w:rPr>
        <w:t xml:space="preserve"> LCHS4003</w:t>
      </w:r>
    </w:p>
    <w:p w14:paraId="692FB48E" w14:textId="0E51C3A4" w:rsidR="00363723" w:rsidRPr="00363723" w:rsidRDefault="00363723" w:rsidP="00363723">
      <w:pPr>
        <w:jc w:val="both"/>
        <w:rPr>
          <w:sz w:val="32"/>
          <w:szCs w:val="32"/>
        </w:rPr>
      </w:pPr>
      <w:r>
        <w:rPr>
          <w:rFonts w:ascii="Arial" w:hAnsi="Arial" w:cs="Arial"/>
          <w:sz w:val="32"/>
          <w:szCs w:val="32"/>
        </w:rPr>
        <w:t xml:space="preserve">                       </w:t>
      </w:r>
      <w:r w:rsidRPr="00363723">
        <w:rPr>
          <w:rFonts w:ascii="Arial" w:hAnsi="Arial" w:cs="Arial"/>
          <w:sz w:val="32"/>
          <w:szCs w:val="32"/>
        </w:rPr>
        <w:t>Lecturer:</w:t>
      </w:r>
      <w:r w:rsidRPr="00363723">
        <w:rPr>
          <w:rFonts w:ascii="Arial" w:hAnsi="Arial" w:cs="Arial"/>
          <w:color w:val="EE0000"/>
          <w:sz w:val="32"/>
          <w:szCs w:val="32"/>
        </w:rPr>
        <w:t xml:space="preserve"> Mumtaz Ghoolam</w:t>
      </w:r>
    </w:p>
    <w:p w14:paraId="6A1A3494" w14:textId="77777777" w:rsidR="00057F6B" w:rsidRPr="00363723" w:rsidRDefault="00057F6B" w:rsidP="00FB41B1">
      <w:pPr>
        <w:rPr>
          <w:sz w:val="32"/>
          <w:szCs w:val="32"/>
        </w:rPr>
      </w:pPr>
    </w:p>
    <w:p w14:paraId="1DC180C4" w14:textId="77777777" w:rsidR="00057F6B" w:rsidRDefault="00057F6B" w:rsidP="00FB41B1"/>
    <w:p w14:paraId="736BADA5" w14:textId="77777777" w:rsidR="00057F6B" w:rsidRDefault="00057F6B" w:rsidP="00FB41B1"/>
    <w:p w14:paraId="3F178D43" w14:textId="77777777" w:rsidR="00057F6B" w:rsidRDefault="00057F6B" w:rsidP="00FB41B1"/>
    <w:p w14:paraId="746686D3" w14:textId="77777777" w:rsidR="00057F6B" w:rsidRDefault="00057F6B" w:rsidP="00FB41B1"/>
    <w:p w14:paraId="27D72FA8" w14:textId="77777777" w:rsidR="00057F6B" w:rsidRDefault="00057F6B" w:rsidP="00FB41B1"/>
    <w:p w14:paraId="516A0A20" w14:textId="77777777" w:rsidR="00057F6B" w:rsidRDefault="00057F6B" w:rsidP="00FB41B1"/>
    <w:p w14:paraId="3C55BEA2" w14:textId="77777777" w:rsidR="00057F6B" w:rsidRDefault="00057F6B" w:rsidP="00FB41B1"/>
    <w:p w14:paraId="68E52701" w14:textId="77777777" w:rsidR="00057F6B" w:rsidRDefault="00057F6B" w:rsidP="00FB41B1"/>
    <w:p w14:paraId="0463C370" w14:textId="77777777" w:rsidR="00057F6B" w:rsidRDefault="00057F6B" w:rsidP="00FB41B1"/>
    <w:p w14:paraId="6D98AB9D" w14:textId="77777777" w:rsidR="00057F6B" w:rsidRDefault="00057F6B" w:rsidP="00FB41B1"/>
    <w:p w14:paraId="3A51A88B" w14:textId="77777777" w:rsidR="00057F6B" w:rsidRDefault="00057F6B" w:rsidP="00FB41B1"/>
    <w:p w14:paraId="621AE9BB" w14:textId="77777777" w:rsidR="00057F6B" w:rsidRDefault="00057F6B" w:rsidP="00FB41B1"/>
    <w:p w14:paraId="485739AD" w14:textId="77777777" w:rsidR="00057F6B" w:rsidRDefault="00057F6B" w:rsidP="00FB41B1"/>
    <w:sdt>
      <w:sdtPr>
        <w:rPr>
          <w:rFonts w:asciiTheme="minorHAnsi" w:eastAsiaTheme="minorHAnsi" w:hAnsiTheme="minorHAnsi" w:cstheme="minorBidi"/>
          <w:color w:val="auto"/>
          <w:kern w:val="2"/>
          <w:sz w:val="24"/>
          <w:szCs w:val="24"/>
          <w:lang w:eastAsia="en-US"/>
          <w14:ligatures w14:val="standardContextual"/>
        </w:rPr>
        <w:id w:val="-1845779100"/>
        <w:docPartObj>
          <w:docPartGallery w:val="Table of Contents"/>
          <w:docPartUnique/>
        </w:docPartObj>
      </w:sdtPr>
      <w:sdtEndPr/>
      <w:sdtContent>
        <w:p w14:paraId="59C59D63" w14:textId="73BFCD73" w:rsidR="00FC7638" w:rsidRDefault="00FC7638">
          <w:pPr>
            <w:pStyle w:val="TOCHeading"/>
          </w:pPr>
          <w:r>
            <w:t>Table of Contents</w:t>
          </w:r>
        </w:p>
        <w:p w14:paraId="5B8DFEF9" w14:textId="5D35D4FB" w:rsidR="00803EAD" w:rsidRDefault="00FC763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717B6D99" w14:textId="64E6615A" w:rsidR="00803EAD" w:rsidRDefault="00E92934">
          <w:pPr>
            <w:pStyle w:val="TOC1"/>
            <w:tabs>
              <w:tab w:val="right" w:leader="dot" w:pos="9016"/>
            </w:tabs>
            <w:rPr>
              <w:rFonts w:eastAsiaTheme="minorEastAsia"/>
              <w:noProof/>
              <w:lang w:eastAsia="en-GB"/>
            </w:rPr>
          </w:pPr>
          <w:r>
            <w:t>1.</w:t>
          </w:r>
          <w:hyperlink w:anchor="_Toc223216238" w:history="1">
            <w:r w:rsidR="00803EAD" w:rsidRPr="00AA5F2D">
              <w:rPr>
                <w:rStyle w:val="Hyperlink"/>
                <w:noProof/>
              </w:rPr>
              <w:t>Introduction</w:t>
            </w:r>
            <w:r w:rsidR="00803EAD">
              <w:rPr>
                <w:noProof/>
                <w:webHidden/>
              </w:rPr>
              <w:tab/>
            </w:r>
            <w:r w:rsidR="00803EAD">
              <w:rPr>
                <w:noProof/>
                <w:webHidden/>
              </w:rPr>
              <w:fldChar w:fldCharType="begin"/>
            </w:r>
            <w:r w:rsidR="00803EAD">
              <w:rPr>
                <w:noProof/>
                <w:webHidden/>
              </w:rPr>
              <w:instrText xml:space="preserve"> PAGEREF _Toc223216238 \h </w:instrText>
            </w:r>
            <w:r w:rsidR="00803EAD">
              <w:rPr>
                <w:noProof/>
                <w:webHidden/>
              </w:rPr>
            </w:r>
            <w:r w:rsidR="00803EAD">
              <w:rPr>
                <w:noProof/>
                <w:webHidden/>
              </w:rPr>
              <w:fldChar w:fldCharType="separate"/>
            </w:r>
            <w:r w:rsidR="0085063D">
              <w:rPr>
                <w:noProof/>
                <w:webHidden/>
              </w:rPr>
              <w:t>3</w:t>
            </w:r>
            <w:r w:rsidR="00803EAD">
              <w:rPr>
                <w:noProof/>
                <w:webHidden/>
              </w:rPr>
              <w:fldChar w:fldCharType="end"/>
            </w:r>
          </w:hyperlink>
        </w:p>
        <w:p w14:paraId="272869F0" w14:textId="0CF25E0B" w:rsidR="00803EAD" w:rsidRDefault="00E92934">
          <w:pPr>
            <w:pStyle w:val="TOC1"/>
            <w:tabs>
              <w:tab w:val="right" w:leader="dot" w:pos="9016"/>
            </w:tabs>
            <w:rPr>
              <w:rFonts w:eastAsiaTheme="minorEastAsia"/>
              <w:noProof/>
              <w:lang w:eastAsia="en-GB"/>
            </w:rPr>
          </w:pPr>
          <w:hyperlink w:anchor="_Toc223216239" w:history="1">
            <w:r>
              <w:rPr>
                <w:rStyle w:val="Hyperlink"/>
                <w:noProof/>
              </w:rPr>
              <w:t>2</w:t>
            </w:r>
            <w:r w:rsidR="00803EAD" w:rsidRPr="00AA5F2D">
              <w:rPr>
                <w:rStyle w:val="Hyperlink"/>
                <w:noProof/>
              </w:rPr>
              <w:t>. Effective Communication</w:t>
            </w:r>
            <w:r w:rsidR="000B100B">
              <w:rPr>
                <w:noProof/>
                <w:webHidden/>
              </w:rPr>
              <w:t>…………………………………………………………………………….3,4</w:t>
            </w:r>
          </w:hyperlink>
        </w:p>
        <w:p w14:paraId="5474F0A1" w14:textId="3CA73517" w:rsidR="00803EAD" w:rsidRDefault="0078108F">
          <w:pPr>
            <w:pStyle w:val="TOC1"/>
            <w:tabs>
              <w:tab w:val="right" w:leader="dot" w:pos="9016"/>
            </w:tabs>
            <w:rPr>
              <w:rFonts w:eastAsiaTheme="minorEastAsia"/>
              <w:noProof/>
              <w:lang w:eastAsia="en-GB"/>
            </w:rPr>
          </w:pPr>
          <w:hyperlink w:anchor="_Toc223216240" w:history="1">
            <w:r>
              <w:rPr>
                <w:rStyle w:val="Hyperlink"/>
                <w:noProof/>
              </w:rPr>
              <w:t>3</w:t>
            </w:r>
            <w:r w:rsidR="00803EAD" w:rsidRPr="00AA5F2D">
              <w:rPr>
                <w:rStyle w:val="Hyperlink"/>
                <w:noProof/>
              </w:rPr>
              <w:t>. Administrative Skills &amp; Record Keeping</w:t>
            </w:r>
            <w:r w:rsidR="00954832">
              <w:rPr>
                <w:noProof/>
                <w:webHidden/>
              </w:rPr>
              <w:t>………………………………………………………..4,5,6</w:t>
            </w:r>
          </w:hyperlink>
        </w:p>
        <w:p w14:paraId="25404587" w14:textId="756CE2F5" w:rsidR="00803EAD" w:rsidRDefault="0078108F">
          <w:pPr>
            <w:pStyle w:val="TOC1"/>
            <w:tabs>
              <w:tab w:val="right" w:leader="dot" w:pos="9016"/>
            </w:tabs>
            <w:rPr>
              <w:rFonts w:eastAsiaTheme="minorEastAsia"/>
              <w:noProof/>
              <w:lang w:eastAsia="en-GB"/>
            </w:rPr>
          </w:pPr>
          <w:hyperlink w:anchor="_Toc223216241" w:history="1">
            <w:r>
              <w:rPr>
                <w:rStyle w:val="Hyperlink"/>
                <w:noProof/>
              </w:rPr>
              <w:t>4</w:t>
            </w:r>
            <w:r w:rsidR="00803EAD" w:rsidRPr="00AA5F2D">
              <w:rPr>
                <w:rStyle w:val="Hyperlink"/>
                <w:noProof/>
              </w:rPr>
              <w:t>. Collaborative Working</w:t>
            </w:r>
            <w:r w:rsidR="00803EAD">
              <w:rPr>
                <w:noProof/>
                <w:webHidden/>
              </w:rPr>
              <w:tab/>
            </w:r>
            <w:r w:rsidR="00803EAD">
              <w:rPr>
                <w:noProof/>
                <w:webHidden/>
              </w:rPr>
              <w:fldChar w:fldCharType="begin"/>
            </w:r>
            <w:r w:rsidR="00803EAD">
              <w:rPr>
                <w:noProof/>
                <w:webHidden/>
              </w:rPr>
              <w:instrText xml:space="preserve"> PAGEREF _Toc223216241 \h </w:instrText>
            </w:r>
            <w:r w:rsidR="00803EAD">
              <w:rPr>
                <w:noProof/>
                <w:webHidden/>
              </w:rPr>
            </w:r>
            <w:r w:rsidR="00803EAD">
              <w:rPr>
                <w:noProof/>
                <w:webHidden/>
              </w:rPr>
              <w:fldChar w:fldCharType="separate"/>
            </w:r>
            <w:r w:rsidR="0085063D">
              <w:rPr>
                <w:noProof/>
                <w:webHidden/>
              </w:rPr>
              <w:t>6</w:t>
            </w:r>
            <w:r w:rsidR="00803EAD">
              <w:rPr>
                <w:noProof/>
                <w:webHidden/>
              </w:rPr>
              <w:fldChar w:fldCharType="end"/>
            </w:r>
          </w:hyperlink>
        </w:p>
        <w:p w14:paraId="0AF9F324" w14:textId="535BA1ED" w:rsidR="00803EAD" w:rsidRDefault="0078108F">
          <w:pPr>
            <w:pStyle w:val="TOC1"/>
            <w:tabs>
              <w:tab w:val="right" w:leader="dot" w:pos="9016"/>
            </w:tabs>
            <w:rPr>
              <w:rFonts w:eastAsiaTheme="minorEastAsia"/>
              <w:noProof/>
              <w:lang w:eastAsia="en-GB"/>
            </w:rPr>
          </w:pPr>
          <w:r>
            <w:t>5.</w:t>
          </w:r>
          <w:hyperlink w:anchor="_Toc223216242" w:history="1">
            <w:r w:rsidR="00803EAD" w:rsidRPr="00AA5F2D">
              <w:rPr>
                <w:rStyle w:val="Hyperlink"/>
                <w:noProof/>
              </w:rPr>
              <w:t>Conclusion</w:t>
            </w:r>
            <w:r w:rsidR="002214C1">
              <w:rPr>
                <w:noProof/>
                <w:webHidden/>
              </w:rPr>
              <w:t>…………………………………………………………………………………………………6,7</w:t>
            </w:r>
          </w:hyperlink>
        </w:p>
        <w:p w14:paraId="34C33B48" w14:textId="2B38E5B0" w:rsidR="006B7E2D" w:rsidRDefault="00FC7638">
          <w:r>
            <w:rPr>
              <w:b/>
              <w:bCs/>
            </w:rPr>
            <w:fldChar w:fldCharType="end"/>
          </w:r>
          <w:r w:rsidR="0078108F">
            <w:rPr>
              <w:b/>
              <w:bCs/>
            </w:rPr>
            <w:t>6.</w:t>
          </w:r>
          <w:r w:rsidR="006B7E2D" w:rsidRPr="006B7E2D">
            <w:t>List of references</w:t>
          </w:r>
          <w:r w:rsidR="006B7E2D">
            <w:t>…………………………………………………………………………………………8,9</w:t>
          </w:r>
        </w:p>
      </w:sdtContent>
    </w:sdt>
    <w:p w14:paraId="72DB78FA" w14:textId="77777777" w:rsidR="00057F6B" w:rsidRDefault="00057F6B" w:rsidP="00FB41B1"/>
    <w:p w14:paraId="35F3A200" w14:textId="77777777" w:rsidR="00057F6B" w:rsidRDefault="00057F6B" w:rsidP="00FB41B1"/>
    <w:p w14:paraId="7131226B" w14:textId="77777777" w:rsidR="00057F6B" w:rsidRDefault="00057F6B" w:rsidP="00FB41B1"/>
    <w:p w14:paraId="47FE7D4E" w14:textId="77777777" w:rsidR="00057F6B" w:rsidRDefault="00057F6B" w:rsidP="00FB41B1"/>
    <w:p w14:paraId="461F59AA" w14:textId="77777777" w:rsidR="00057F6B" w:rsidRDefault="00057F6B" w:rsidP="00FB41B1"/>
    <w:p w14:paraId="406C4182" w14:textId="77777777" w:rsidR="00057F6B" w:rsidRDefault="00057F6B" w:rsidP="00FB41B1"/>
    <w:p w14:paraId="413A756D" w14:textId="77777777" w:rsidR="00057F6B" w:rsidRDefault="00057F6B" w:rsidP="00FB41B1"/>
    <w:p w14:paraId="758258A4" w14:textId="77777777" w:rsidR="00057F6B" w:rsidRDefault="00057F6B" w:rsidP="00FB41B1"/>
    <w:p w14:paraId="2DC4F984" w14:textId="77777777" w:rsidR="00057F6B" w:rsidRDefault="00057F6B" w:rsidP="00FB41B1"/>
    <w:p w14:paraId="6B6914F7" w14:textId="77777777" w:rsidR="00057F6B" w:rsidRDefault="00057F6B" w:rsidP="00FB41B1"/>
    <w:p w14:paraId="3CE1BB48" w14:textId="77777777" w:rsidR="00057F6B" w:rsidRDefault="00057F6B" w:rsidP="00FB41B1"/>
    <w:p w14:paraId="6BB98FAA" w14:textId="77777777" w:rsidR="00057F6B" w:rsidRDefault="00057F6B" w:rsidP="00FB41B1"/>
    <w:p w14:paraId="6ECB34B3" w14:textId="77777777" w:rsidR="00057F6B" w:rsidRDefault="00057F6B" w:rsidP="00FB41B1"/>
    <w:p w14:paraId="2FDACF40" w14:textId="77777777" w:rsidR="00057F6B" w:rsidRDefault="00057F6B" w:rsidP="00FB41B1"/>
    <w:p w14:paraId="52A31A4C" w14:textId="77777777" w:rsidR="00057F6B" w:rsidRDefault="00057F6B" w:rsidP="00FB41B1"/>
    <w:p w14:paraId="40DC4230" w14:textId="77777777" w:rsidR="00057F6B" w:rsidRDefault="00057F6B" w:rsidP="00FB41B1"/>
    <w:p w14:paraId="675D5B22" w14:textId="77777777" w:rsidR="00803EAD" w:rsidRDefault="00803EAD" w:rsidP="00FB41B1"/>
    <w:p w14:paraId="254A052C" w14:textId="77777777" w:rsidR="005D605C" w:rsidRDefault="005D605C" w:rsidP="00FB41B1">
      <w:pPr>
        <w:rPr>
          <w:rFonts w:ascii="Arial" w:hAnsi="Arial" w:cs="Arial"/>
          <w:b/>
          <w:bCs/>
          <w:color w:val="156082" w:themeColor="accent1"/>
          <w:sz w:val="22"/>
          <w:szCs w:val="22"/>
          <w:u w:val="single"/>
        </w:rPr>
      </w:pPr>
    </w:p>
    <w:p w14:paraId="127B3FA0" w14:textId="58FA826C" w:rsidR="00AA0C95" w:rsidRPr="00AD5D24" w:rsidRDefault="00AD5D24" w:rsidP="00FB41B1">
      <w:pPr>
        <w:rPr>
          <w:color w:val="156082" w:themeColor="accent1"/>
        </w:rPr>
      </w:pPr>
      <w:r w:rsidRPr="00AD5D24">
        <w:rPr>
          <w:rFonts w:ascii="Arial" w:hAnsi="Arial" w:cs="Arial"/>
          <w:b/>
          <w:bCs/>
          <w:color w:val="156082" w:themeColor="accent1"/>
          <w:sz w:val="22"/>
          <w:szCs w:val="22"/>
          <w:u w:val="single"/>
        </w:rPr>
        <w:lastRenderedPageBreak/>
        <w:t>TASK:2</w:t>
      </w:r>
    </w:p>
    <w:p w14:paraId="3EA6CBAF" w14:textId="5AF5D2F2" w:rsidR="00FB41B1" w:rsidRPr="00803EAD" w:rsidRDefault="00962CB3" w:rsidP="00A753E6">
      <w:pPr>
        <w:pStyle w:val="Heading1"/>
        <w:rPr>
          <w:rFonts w:ascii="Arial" w:hAnsi="Arial" w:cs="Arial"/>
          <w:b/>
          <w:bCs/>
          <w:sz w:val="22"/>
          <w:szCs w:val="22"/>
          <w:u w:val="single"/>
        </w:rPr>
      </w:pPr>
      <w:bookmarkStart w:id="1" w:name="_Toc223216238"/>
      <w:r>
        <w:rPr>
          <w:rFonts w:ascii="Arial" w:hAnsi="Arial" w:cs="Arial"/>
          <w:b/>
          <w:bCs/>
          <w:sz w:val="22"/>
          <w:szCs w:val="22"/>
          <w:u w:val="single"/>
        </w:rPr>
        <w:t>1.</w:t>
      </w:r>
      <w:r w:rsidR="00304506" w:rsidRPr="00803EAD">
        <w:rPr>
          <w:rFonts w:ascii="Arial" w:hAnsi="Arial" w:cs="Arial"/>
          <w:b/>
          <w:bCs/>
          <w:sz w:val="22"/>
          <w:szCs w:val="22"/>
          <w:u w:val="single"/>
        </w:rPr>
        <w:t>Introduction</w:t>
      </w:r>
      <w:bookmarkEnd w:id="1"/>
    </w:p>
    <w:p w14:paraId="6FC76B74" w14:textId="662EBB95" w:rsidR="00304506" w:rsidRPr="00F72862" w:rsidRDefault="001B13CB" w:rsidP="00F72862">
      <w:pPr>
        <w:spacing w:line="360" w:lineRule="auto"/>
        <w:jc w:val="both"/>
        <w:rPr>
          <w:rFonts w:ascii="Arial" w:hAnsi="Arial" w:cs="Arial"/>
          <w:sz w:val="22"/>
          <w:szCs w:val="22"/>
        </w:rPr>
      </w:pPr>
      <w:r w:rsidRPr="00F72862">
        <w:rPr>
          <w:rFonts w:ascii="Arial" w:hAnsi="Arial" w:cs="Arial"/>
          <w:sz w:val="22"/>
          <w:szCs w:val="22"/>
        </w:rPr>
        <w:t>Mr.</w:t>
      </w:r>
      <w:r w:rsidR="0054591D" w:rsidRPr="00F72862">
        <w:rPr>
          <w:rFonts w:ascii="Arial" w:hAnsi="Arial" w:cs="Arial"/>
          <w:sz w:val="22"/>
          <w:szCs w:val="22"/>
        </w:rPr>
        <w:t xml:space="preserve"> Ahmed, a 68-year-old man, was just discharged from the hospital after a stroke. He receives domiciliary care three times each day to assist with personal hygiene, medication administration, and food preparation. His primary language is Bengali, and while he can speak some English, he suffers </w:t>
      </w:r>
      <w:r w:rsidR="00E621B7" w:rsidRPr="00F72862">
        <w:rPr>
          <w:rFonts w:ascii="Arial" w:hAnsi="Arial" w:cs="Arial"/>
          <w:sz w:val="22"/>
          <w:szCs w:val="22"/>
        </w:rPr>
        <w:t>from</w:t>
      </w:r>
      <w:r w:rsidR="0054591D" w:rsidRPr="00F72862">
        <w:rPr>
          <w:rFonts w:ascii="Arial" w:hAnsi="Arial" w:cs="Arial"/>
          <w:sz w:val="22"/>
          <w:szCs w:val="22"/>
        </w:rPr>
        <w:t xml:space="preserve"> complicated communication. His wife, who speaks good English, frequently engages with specialists on his behalf. His general practitioner, district nurse, and speech and language therapist (SALT) make up the multidisciplinary team (MDT). This example highlights communication hurdles due to language and stroke-related impairments, as well as a missed home visit that caused medication delays. These concerns emphasise the significance of good communication, precise recordkeeping, and collaborative working.</w:t>
      </w:r>
      <w:r w:rsidR="00F1149A" w:rsidRPr="00F72862">
        <w:rPr>
          <w:rFonts w:ascii="Arial" w:hAnsi="Arial" w:cs="Arial"/>
          <w:sz w:val="22"/>
          <w:szCs w:val="22"/>
        </w:rPr>
        <w:t xml:space="preserve"> This task uses the Shannon–Weaver communication model to look at problems with communication and how laws like the Equality Act 2010, </w:t>
      </w:r>
      <w:r w:rsidRPr="00F72862">
        <w:rPr>
          <w:rFonts w:ascii="Arial" w:hAnsi="Arial" w:cs="Arial"/>
          <w:sz w:val="22"/>
          <w:szCs w:val="22"/>
        </w:rPr>
        <w:t>the Care</w:t>
      </w:r>
      <w:r w:rsidR="00F1149A" w:rsidRPr="00F72862">
        <w:rPr>
          <w:rFonts w:ascii="Arial" w:hAnsi="Arial" w:cs="Arial"/>
          <w:sz w:val="22"/>
          <w:szCs w:val="22"/>
        </w:rPr>
        <w:t xml:space="preserve"> Act 2014, </w:t>
      </w:r>
      <w:r w:rsidRPr="00F72862">
        <w:rPr>
          <w:rFonts w:ascii="Arial" w:hAnsi="Arial" w:cs="Arial"/>
          <w:sz w:val="22"/>
          <w:szCs w:val="22"/>
        </w:rPr>
        <w:t>the Data</w:t>
      </w:r>
      <w:r w:rsidR="00F1149A" w:rsidRPr="00F72862">
        <w:rPr>
          <w:rFonts w:ascii="Arial" w:hAnsi="Arial" w:cs="Arial"/>
          <w:sz w:val="22"/>
          <w:szCs w:val="22"/>
        </w:rPr>
        <w:t xml:space="preserve"> Protection Act 2018, and </w:t>
      </w:r>
      <w:r w:rsidRPr="00F72862">
        <w:rPr>
          <w:rFonts w:ascii="Arial" w:hAnsi="Arial" w:cs="Arial"/>
          <w:sz w:val="22"/>
          <w:szCs w:val="22"/>
        </w:rPr>
        <w:t>the Health</w:t>
      </w:r>
      <w:r w:rsidR="00F1149A" w:rsidRPr="00F72862">
        <w:rPr>
          <w:rFonts w:ascii="Arial" w:hAnsi="Arial" w:cs="Arial"/>
          <w:sz w:val="22"/>
          <w:szCs w:val="22"/>
        </w:rPr>
        <w:t xml:space="preserve"> and Care Act 2022 help with safe, person-centred practice.</w:t>
      </w:r>
    </w:p>
    <w:p w14:paraId="282E4E04" w14:textId="5EED3FA8" w:rsidR="007F1243" w:rsidRPr="004D309D" w:rsidRDefault="00962CB3" w:rsidP="00803EAD">
      <w:pPr>
        <w:pStyle w:val="Heading1"/>
        <w:rPr>
          <w:rFonts w:ascii="Arial" w:hAnsi="Arial" w:cs="Arial"/>
          <w:b/>
          <w:bCs/>
          <w:sz w:val="22"/>
          <w:szCs w:val="22"/>
          <w:u w:val="single"/>
        </w:rPr>
      </w:pPr>
      <w:bookmarkStart w:id="2" w:name="_Toc223216239"/>
      <w:r>
        <w:rPr>
          <w:rFonts w:ascii="Arial" w:hAnsi="Arial" w:cs="Arial"/>
          <w:b/>
          <w:bCs/>
          <w:sz w:val="22"/>
          <w:szCs w:val="22"/>
          <w:u w:val="single"/>
        </w:rPr>
        <w:t>2</w:t>
      </w:r>
      <w:r w:rsidR="001409D8" w:rsidRPr="004D309D">
        <w:rPr>
          <w:rFonts w:ascii="Arial" w:hAnsi="Arial" w:cs="Arial"/>
          <w:b/>
          <w:bCs/>
          <w:sz w:val="22"/>
          <w:szCs w:val="22"/>
          <w:u w:val="single"/>
        </w:rPr>
        <w:t>.</w:t>
      </w:r>
      <w:r w:rsidR="00C17FDE" w:rsidRPr="004D309D">
        <w:rPr>
          <w:rFonts w:ascii="Arial" w:hAnsi="Arial" w:cs="Arial"/>
          <w:b/>
          <w:bCs/>
          <w:sz w:val="22"/>
          <w:szCs w:val="22"/>
          <w:u w:val="single"/>
        </w:rPr>
        <w:t xml:space="preserve"> Effective Communication</w:t>
      </w:r>
      <w:bookmarkEnd w:id="2"/>
      <w:r w:rsidR="007F1243" w:rsidRPr="004D309D">
        <w:rPr>
          <w:rFonts w:ascii="Arial" w:hAnsi="Arial" w:cs="Arial"/>
          <w:b/>
          <w:bCs/>
          <w:sz w:val="22"/>
          <w:szCs w:val="22"/>
          <w:u w:val="single"/>
        </w:rPr>
        <w:t xml:space="preserve"> </w:t>
      </w:r>
    </w:p>
    <w:p w14:paraId="5F67BC44" w14:textId="5952F40A" w:rsidR="001409D8" w:rsidRPr="00F72862" w:rsidRDefault="00FD2718" w:rsidP="00F72862">
      <w:pPr>
        <w:spacing w:line="360" w:lineRule="auto"/>
        <w:jc w:val="both"/>
        <w:rPr>
          <w:rFonts w:ascii="Arial" w:hAnsi="Arial" w:cs="Arial"/>
          <w:sz w:val="22"/>
          <w:szCs w:val="22"/>
        </w:rPr>
      </w:pPr>
      <w:r w:rsidRPr="00F72862">
        <w:rPr>
          <w:rFonts w:ascii="Arial" w:hAnsi="Arial" w:cs="Arial"/>
          <w:sz w:val="22"/>
          <w:szCs w:val="22"/>
        </w:rPr>
        <w:t>Effective communication is important to providing safe, person-centred care. Mr Ahmed's communication is impacted by two factors: little knowledge of English and stroke-related communication difficulties. These obstacles can lead to misunderstandings, diminished engagement in decision-making, and poor care quality. The Equality Act of 2010 mandates appropriate accommodations for persons with linguistic or disability-related requirements to promote fair access to information and care (Equality Act, 2010).</w:t>
      </w:r>
    </w:p>
    <w:p w14:paraId="6195F872" w14:textId="3C6044E5" w:rsidR="00FD2718" w:rsidRPr="00F72862" w:rsidRDefault="00C17FDE" w:rsidP="00F72862">
      <w:pPr>
        <w:spacing w:line="360" w:lineRule="auto"/>
        <w:jc w:val="both"/>
        <w:rPr>
          <w:rFonts w:ascii="Arial" w:hAnsi="Arial" w:cs="Arial"/>
          <w:sz w:val="22"/>
          <w:szCs w:val="22"/>
        </w:rPr>
      </w:pPr>
      <w:r w:rsidRPr="00F72862">
        <w:rPr>
          <w:rFonts w:ascii="Arial" w:hAnsi="Arial" w:cs="Arial"/>
          <w:sz w:val="22"/>
          <w:szCs w:val="22"/>
        </w:rPr>
        <w:t xml:space="preserve">The Shannon-Weaver communication model (1949) explains how communication breaks down. The model consists of a sender, message, channel, receiver, and noise. In Mr Ahmed's case, "noise" refers to language obstacles, medical terminology, and stroke-related speech </w:t>
      </w:r>
      <w:r w:rsidR="00AA6DD8" w:rsidRPr="00F72862">
        <w:rPr>
          <w:rFonts w:ascii="Arial" w:hAnsi="Arial" w:cs="Arial"/>
          <w:sz w:val="22"/>
          <w:szCs w:val="22"/>
        </w:rPr>
        <w:t>impairments</w:t>
      </w:r>
      <w:r w:rsidR="00AA6DD8">
        <w:rPr>
          <w:rFonts w:ascii="Arial" w:hAnsi="Arial" w:cs="Arial"/>
          <w:sz w:val="22"/>
          <w:szCs w:val="22"/>
        </w:rPr>
        <w:t xml:space="preserve"> (</w:t>
      </w:r>
      <w:r w:rsidR="00D84AB7">
        <w:rPr>
          <w:rFonts w:ascii="Arial" w:hAnsi="Arial" w:cs="Arial"/>
          <w:sz w:val="22"/>
          <w:szCs w:val="22"/>
        </w:rPr>
        <w:t xml:space="preserve">Shannon </w:t>
      </w:r>
      <w:r w:rsidR="005858E8">
        <w:rPr>
          <w:rFonts w:ascii="Arial" w:hAnsi="Arial" w:cs="Arial"/>
          <w:sz w:val="22"/>
          <w:szCs w:val="22"/>
        </w:rPr>
        <w:t>&amp;weaver,1949)</w:t>
      </w:r>
      <w:r w:rsidRPr="00F72862">
        <w:rPr>
          <w:rFonts w:ascii="Arial" w:hAnsi="Arial" w:cs="Arial"/>
          <w:sz w:val="22"/>
          <w:szCs w:val="22"/>
        </w:rPr>
        <w:t>. For example, if a care provider delivers prescription instructions, Mr Ahmed may misinterpret the information owing to linguistic or cognitive "noise". This can cause anxiety, decreased autonomy, and mistakes in self-</w:t>
      </w:r>
      <w:r w:rsidR="00AA6DD8" w:rsidRPr="00F72862">
        <w:rPr>
          <w:rFonts w:ascii="Arial" w:hAnsi="Arial" w:cs="Arial"/>
          <w:sz w:val="22"/>
          <w:szCs w:val="22"/>
        </w:rPr>
        <w:t>care</w:t>
      </w:r>
      <w:r w:rsidR="00AA6DD8" w:rsidRPr="00AA6DD8">
        <w:rPr>
          <w:rFonts w:ascii="Arial" w:hAnsi="Arial" w:cs="Arial"/>
          <w:sz w:val="22"/>
          <w:szCs w:val="22"/>
        </w:rPr>
        <w:t xml:space="preserve"> (Stroke Association, 2023)</w:t>
      </w:r>
      <w:r w:rsidRPr="00F72862">
        <w:rPr>
          <w:rFonts w:ascii="Arial" w:hAnsi="Arial" w:cs="Arial"/>
          <w:sz w:val="22"/>
          <w:szCs w:val="22"/>
        </w:rPr>
        <w:t>.</w:t>
      </w:r>
    </w:p>
    <w:p w14:paraId="2958A0AE" w14:textId="461FDE33" w:rsidR="003D619D" w:rsidRPr="00F72862" w:rsidRDefault="003D619D" w:rsidP="00F72862">
      <w:pPr>
        <w:spacing w:line="360" w:lineRule="auto"/>
        <w:jc w:val="both"/>
        <w:rPr>
          <w:rFonts w:ascii="Arial" w:hAnsi="Arial" w:cs="Arial"/>
          <w:sz w:val="22"/>
          <w:szCs w:val="22"/>
        </w:rPr>
      </w:pPr>
      <w:r w:rsidRPr="00F72862">
        <w:rPr>
          <w:rFonts w:ascii="Arial" w:hAnsi="Arial" w:cs="Arial"/>
          <w:sz w:val="22"/>
          <w:szCs w:val="22"/>
        </w:rPr>
        <w:t xml:space="preserve">His wife may be of use by serving as an informal interpreter. However, it could affect Mr. Ahmed's independence and privacy. NICE recommendations encourage using qualified translators to maintain accuracy and dignity (NICE, 2022). SALT is also useful since it assesses Mr. Ahmed's communication abilities and employs techniques such as plain </w:t>
      </w:r>
      <w:r w:rsidRPr="00F72862">
        <w:rPr>
          <w:rFonts w:ascii="Arial" w:hAnsi="Arial" w:cs="Arial"/>
          <w:sz w:val="22"/>
          <w:szCs w:val="22"/>
        </w:rPr>
        <w:lastRenderedPageBreak/>
        <w:t>language, visual aids, and repetition</w:t>
      </w:r>
      <w:r w:rsidR="00EC056D">
        <w:rPr>
          <w:rFonts w:ascii="Arial" w:hAnsi="Arial" w:cs="Arial"/>
          <w:sz w:val="22"/>
          <w:szCs w:val="22"/>
        </w:rPr>
        <w:t xml:space="preserve"> </w:t>
      </w:r>
      <w:r w:rsidR="00EC056D" w:rsidRPr="00EC056D">
        <w:rPr>
          <w:rFonts w:ascii="Arial" w:hAnsi="Arial" w:cs="Arial"/>
          <w:sz w:val="22"/>
          <w:szCs w:val="22"/>
        </w:rPr>
        <w:t>(RCSLT, 2020)</w:t>
      </w:r>
      <w:r w:rsidRPr="00F72862">
        <w:rPr>
          <w:rFonts w:ascii="Arial" w:hAnsi="Arial" w:cs="Arial"/>
          <w:sz w:val="22"/>
          <w:szCs w:val="22"/>
        </w:rPr>
        <w:t>. It eliminates uncertainty and clarifies the message, which aligns with the Shannon-Weaver model.</w:t>
      </w:r>
    </w:p>
    <w:p w14:paraId="4E63EDA3" w14:textId="7E575739" w:rsidR="000425D8" w:rsidRPr="00F72862" w:rsidRDefault="000425D8" w:rsidP="00F72862">
      <w:pPr>
        <w:spacing w:line="360" w:lineRule="auto"/>
        <w:jc w:val="both"/>
        <w:rPr>
          <w:rFonts w:ascii="Arial" w:hAnsi="Arial" w:cs="Arial"/>
          <w:sz w:val="22"/>
          <w:szCs w:val="22"/>
        </w:rPr>
      </w:pPr>
      <w:r w:rsidRPr="00F72862">
        <w:rPr>
          <w:rFonts w:ascii="Arial" w:hAnsi="Arial" w:cs="Arial"/>
          <w:sz w:val="22"/>
          <w:szCs w:val="22"/>
        </w:rPr>
        <w:t xml:space="preserve">Communication breakdowns contributed to the missing house visit. If schedule changes or staff absences were not successfully communicated inside the care agency, the message may have missed the care worker. This illustrates how poor corporate communication may lead to safety problems. The Health and </w:t>
      </w:r>
      <w:r w:rsidR="007B6B53" w:rsidRPr="00F72862">
        <w:rPr>
          <w:rFonts w:ascii="Arial" w:hAnsi="Arial" w:cs="Arial"/>
          <w:sz w:val="22"/>
          <w:szCs w:val="22"/>
        </w:rPr>
        <w:t>Treatment</w:t>
      </w:r>
      <w:r w:rsidRPr="00F72862">
        <w:rPr>
          <w:rFonts w:ascii="Arial" w:hAnsi="Arial" w:cs="Arial"/>
          <w:sz w:val="22"/>
          <w:szCs w:val="22"/>
        </w:rPr>
        <w:t xml:space="preserve"> Act of 2022 </w:t>
      </w:r>
      <w:r w:rsidR="001B47B2" w:rsidRPr="00F72862">
        <w:rPr>
          <w:rFonts w:ascii="Arial" w:hAnsi="Arial" w:cs="Arial"/>
          <w:sz w:val="22"/>
          <w:szCs w:val="22"/>
        </w:rPr>
        <w:t>promote</w:t>
      </w:r>
      <w:r w:rsidR="007B6B53" w:rsidRPr="00F72862">
        <w:rPr>
          <w:rFonts w:ascii="Arial" w:hAnsi="Arial" w:cs="Arial"/>
          <w:sz w:val="22"/>
          <w:szCs w:val="22"/>
        </w:rPr>
        <w:t xml:space="preserve"> integrated</w:t>
      </w:r>
      <w:r w:rsidRPr="00F72862">
        <w:rPr>
          <w:rFonts w:ascii="Arial" w:hAnsi="Arial" w:cs="Arial"/>
          <w:sz w:val="22"/>
          <w:szCs w:val="22"/>
        </w:rPr>
        <w:t xml:space="preserve"> communication systems across services to prevent such risks and improve treatment </w:t>
      </w:r>
      <w:r w:rsidR="007B6B53" w:rsidRPr="00F72862">
        <w:rPr>
          <w:rFonts w:ascii="Arial" w:hAnsi="Arial" w:cs="Arial"/>
          <w:sz w:val="22"/>
          <w:szCs w:val="22"/>
        </w:rPr>
        <w:t>continuity (Department of Health and Social Care, 2022).</w:t>
      </w:r>
    </w:p>
    <w:p w14:paraId="2FE37239" w14:textId="1EBBA06C" w:rsidR="00464C98" w:rsidRPr="00F72862" w:rsidRDefault="00464C98" w:rsidP="00F72862">
      <w:pPr>
        <w:spacing w:line="360" w:lineRule="auto"/>
        <w:jc w:val="both"/>
        <w:rPr>
          <w:rFonts w:ascii="Arial" w:hAnsi="Arial" w:cs="Arial"/>
          <w:sz w:val="22"/>
          <w:szCs w:val="22"/>
        </w:rPr>
      </w:pPr>
      <w:r w:rsidRPr="00F72862">
        <w:rPr>
          <w:rFonts w:ascii="Arial" w:hAnsi="Arial" w:cs="Arial"/>
          <w:sz w:val="22"/>
          <w:szCs w:val="22"/>
        </w:rPr>
        <w:t>Additionally, cultural competency is crucial. Language challenges can exacerbate health disparities, especially for older persons from minority ethnic origins, according to Public Health England (2020). Providing Mr. Ahmed with information in a culturally relevant manner promotes person-centred care and is consistent with the wellbeing concept of the Care Act 2014 (Care Act, 2014).</w:t>
      </w:r>
    </w:p>
    <w:p w14:paraId="1B9A05B5" w14:textId="451F9DFB" w:rsidR="00451387" w:rsidRPr="00F72862" w:rsidRDefault="00451387" w:rsidP="00F72862">
      <w:pPr>
        <w:spacing w:line="360" w:lineRule="auto"/>
        <w:jc w:val="both"/>
        <w:rPr>
          <w:rFonts w:ascii="Arial" w:hAnsi="Arial" w:cs="Arial"/>
          <w:sz w:val="22"/>
          <w:szCs w:val="22"/>
        </w:rPr>
      </w:pPr>
      <w:r w:rsidRPr="00F72862">
        <w:rPr>
          <w:rFonts w:ascii="Arial" w:hAnsi="Arial" w:cs="Arial"/>
          <w:sz w:val="22"/>
          <w:szCs w:val="22"/>
        </w:rPr>
        <w:t>Nonverbal communication helps those with stroke-related communication impairments. Gestures, facial expressions, and visual aids can improve comprehension when verbal communication is restricted (SCIE, 2020). Care professionals who assist Mr Ahmed should utilise slower speech, open body language, and visual signals to reinforce communications. This is consistent with the NMC Code, which encourages professionals to communicate properly and ensure comprehension (NMC, 2018).</w:t>
      </w:r>
    </w:p>
    <w:p w14:paraId="1A3489AE" w14:textId="1AE7B9CB" w:rsidR="00AF0A58" w:rsidRPr="00F72862" w:rsidRDefault="00AF0A58" w:rsidP="00F72862">
      <w:pPr>
        <w:spacing w:line="360" w:lineRule="auto"/>
        <w:jc w:val="both"/>
        <w:rPr>
          <w:rFonts w:ascii="Arial" w:hAnsi="Arial" w:cs="Arial"/>
          <w:sz w:val="22"/>
          <w:szCs w:val="22"/>
        </w:rPr>
      </w:pPr>
      <w:r w:rsidRPr="00F72862">
        <w:rPr>
          <w:rFonts w:ascii="Arial" w:hAnsi="Arial" w:cs="Arial"/>
          <w:sz w:val="22"/>
          <w:szCs w:val="22"/>
        </w:rPr>
        <w:t>Another key consideration is environmental noise. Background noise, hasty visits, and diversions can all impede Mr Ahmed's capacity to comprehend information. According to Skills for Care (2021), care professionals should establish peaceful, quiet situations that promote good communication. This is especially crucial when addressing medicine, safety concerns, or treatment plans</w:t>
      </w:r>
      <w:r w:rsidR="0073596B">
        <w:rPr>
          <w:rFonts w:ascii="Arial" w:hAnsi="Arial" w:cs="Arial"/>
          <w:sz w:val="22"/>
          <w:szCs w:val="22"/>
        </w:rPr>
        <w:t xml:space="preserve"> </w:t>
      </w:r>
      <w:r w:rsidR="0073596B" w:rsidRPr="0073596B">
        <w:rPr>
          <w:rFonts w:ascii="Arial" w:hAnsi="Arial" w:cs="Arial"/>
          <w:sz w:val="22"/>
          <w:szCs w:val="22"/>
        </w:rPr>
        <w:t>(Skills for Care, 2021)</w:t>
      </w:r>
      <w:r w:rsidRPr="00F72862">
        <w:rPr>
          <w:rFonts w:ascii="Arial" w:hAnsi="Arial" w:cs="Arial"/>
          <w:sz w:val="22"/>
          <w:szCs w:val="22"/>
        </w:rPr>
        <w:t>.</w:t>
      </w:r>
    </w:p>
    <w:p w14:paraId="00EBAD49" w14:textId="77777777" w:rsidR="00307EC6" w:rsidRDefault="000014F2" w:rsidP="004D309D">
      <w:pPr>
        <w:spacing w:line="360" w:lineRule="auto"/>
        <w:jc w:val="both"/>
        <w:rPr>
          <w:rFonts w:ascii="Arial" w:hAnsi="Arial" w:cs="Arial"/>
          <w:sz w:val="22"/>
          <w:szCs w:val="22"/>
        </w:rPr>
      </w:pPr>
      <w:r w:rsidRPr="00F72862">
        <w:rPr>
          <w:rFonts w:ascii="Arial" w:hAnsi="Arial" w:cs="Arial"/>
          <w:sz w:val="22"/>
          <w:szCs w:val="22"/>
        </w:rPr>
        <w:t>Finally, empowerment and involvement are key principles of person</w:t>
      </w:r>
      <w:r w:rsidRPr="00F72862">
        <w:rPr>
          <w:rFonts w:ascii="Cambria Math" w:hAnsi="Cambria Math" w:cs="Cambria Math"/>
          <w:sz w:val="22"/>
          <w:szCs w:val="22"/>
        </w:rPr>
        <w:t>‑</w:t>
      </w:r>
      <w:r w:rsidRPr="00F72862">
        <w:rPr>
          <w:rFonts w:ascii="Arial" w:hAnsi="Arial" w:cs="Arial"/>
          <w:sz w:val="22"/>
          <w:szCs w:val="22"/>
        </w:rPr>
        <w:t xml:space="preserve">centred communication. </w:t>
      </w:r>
      <w:r w:rsidR="008C1DF8">
        <w:rPr>
          <w:rFonts w:ascii="Arial" w:hAnsi="Arial" w:cs="Arial"/>
          <w:sz w:val="22"/>
          <w:szCs w:val="22"/>
        </w:rPr>
        <w:t>I</w:t>
      </w:r>
      <w:r w:rsidRPr="00F72862">
        <w:rPr>
          <w:rFonts w:ascii="Arial" w:hAnsi="Arial" w:cs="Arial"/>
          <w:sz w:val="22"/>
          <w:szCs w:val="22"/>
        </w:rPr>
        <w:t xml:space="preserve">ndividuals recovering from stroke often feel frustrated or excluded when communication is not adapted to their </w:t>
      </w:r>
      <w:r w:rsidR="00470A99" w:rsidRPr="00F72862">
        <w:rPr>
          <w:rFonts w:ascii="Arial" w:hAnsi="Arial" w:cs="Arial"/>
          <w:sz w:val="22"/>
          <w:szCs w:val="22"/>
        </w:rPr>
        <w:t>needs</w:t>
      </w:r>
      <w:r w:rsidR="00470A99" w:rsidRPr="00470A99">
        <w:rPr>
          <w:rFonts w:ascii="Arial" w:hAnsi="Arial" w:cs="Arial"/>
          <w:sz w:val="22"/>
          <w:szCs w:val="22"/>
        </w:rPr>
        <w:t xml:space="preserve"> (Stroke Association, 2023)</w:t>
      </w:r>
      <w:r w:rsidRPr="00F72862">
        <w:rPr>
          <w:rFonts w:ascii="Arial" w:hAnsi="Arial" w:cs="Arial"/>
          <w:sz w:val="22"/>
          <w:szCs w:val="22"/>
        </w:rPr>
        <w:t>. Ensuring that Mr Ahmed is given time to respond, opportunities to ask questions and accessible information supports his dignity and autonomy.</w:t>
      </w:r>
      <w:bookmarkStart w:id="3" w:name="_Toc223216240"/>
    </w:p>
    <w:p w14:paraId="7D4FFBF8" w14:textId="11BFC3BB" w:rsidR="004D309D" w:rsidRDefault="00307EC6" w:rsidP="004D309D">
      <w:pPr>
        <w:spacing w:line="360" w:lineRule="auto"/>
        <w:jc w:val="both"/>
        <w:rPr>
          <w:rFonts w:ascii="Arial" w:hAnsi="Arial" w:cs="Arial"/>
          <w:sz w:val="22"/>
          <w:szCs w:val="22"/>
        </w:rPr>
      </w:pPr>
      <w:r w:rsidRPr="00307EC6">
        <w:t xml:space="preserve"> </w:t>
      </w:r>
      <w:r w:rsidRPr="00307EC6">
        <w:rPr>
          <w:rFonts w:ascii="Arial" w:hAnsi="Arial" w:cs="Arial"/>
          <w:sz w:val="22"/>
          <w:szCs w:val="22"/>
        </w:rPr>
        <w:t xml:space="preserve">Assessment is essential for good, person-centred communication. Before providing treatment, a thorough evaluation is used to evaluate an individual's needs, risks, abilities, and preferences. </w:t>
      </w:r>
      <w:r w:rsidR="00F07A5B">
        <w:rPr>
          <w:rFonts w:ascii="Arial" w:hAnsi="Arial" w:cs="Arial"/>
          <w:sz w:val="22"/>
          <w:szCs w:val="22"/>
        </w:rPr>
        <w:t>Lo</w:t>
      </w:r>
      <w:r w:rsidRPr="00307EC6">
        <w:rPr>
          <w:rFonts w:ascii="Arial" w:hAnsi="Arial" w:cs="Arial"/>
          <w:sz w:val="22"/>
          <w:szCs w:val="22"/>
        </w:rPr>
        <w:t>cal governments must conduct a needs assessment to determine what support a person requires and how their well-being might be improved</w:t>
      </w:r>
      <w:r w:rsidR="00CC1E10" w:rsidRPr="00CC1E10">
        <w:t xml:space="preserve"> </w:t>
      </w:r>
      <w:r w:rsidR="00CC1E10">
        <w:t>(</w:t>
      </w:r>
      <w:r w:rsidR="00CC1E10" w:rsidRPr="00CC1E10">
        <w:rPr>
          <w:rFonts w:ascii="Arial" w:hAnsi="Arial" w:cs="Arial"/>
          <w:sz w:val="22"/>
          <w:szCs w:val="22"/>
        </w:rPr>
        <w:t>Care Act of 2014</w:t>
      </w:r>
      <w:r w:rsidR="00CC1E10">
        <w:rPr>
          <w:rFonts w:ascii="Arial" w:hAnsi="Arial" w:cs="Arial"/>
          <w:sz w:val="22"/>
          <w:szCs w:val="22"/>
        </w:rPr>
        <w:t>)</w:t>
      </w:r>
      <w:r w:rsidRPr="00307EC6">
        <w:rPr>
          <w:rFonts w:ascii="Arial" w:hAnsi="Arial" w:cs="Arial"/>
          <w:sz w:val="22"/>
          <w:szCs w:val="22"/>
        </w:rPr>
        <w:t xml:space="preserve">. Mr Ahmed believes that assessment is critical to understanding his communication challenges, </w:t>
      </w:r>
      <w:r w:rsidRPr="00307EC6">
        <w:rPr>
          <w:rFonts w:ascii="Arial" w:hAnsi="Arial" w:cs="Arial"/>
          <w:sz w:val="22"/>
          <w:szCs w:val="22"/>
        </w:rPr>
        <w:lastRenderedPageBreak/>
        <w:t>cultural needs, medication requirements, and the impact of his stroke on everyday life. A clear evaluation ensures that care plans are accurate, risks such as missing medicine are eliminated, and the MDT can work together efficiently. Without proper assessment, key needs may be neglected, resulting in hazardous or ineffective care.</w:t>
      </w:r>
    </w:p>
    <w:p w14:paraId="2FC82D49" w14:textId="77777777" w:rsidR="00307EC6" w:rsidRDefault="00307EC6" w:rsidP="004D309D">
      <w:pPr>
        <w:spacing w:line="360" w:lineRule="auto"/>
        <w:jc w:val="both"/>
        <w:rPr>
          <w:rFonts w:ascii="Arial" w:hAnsi="Arial" w:cs="Arial"/>
          <w:sz w:val="22"/>
          <w:szCs w:val="22"/>
        </w:rPr>
      </w:pPr>
    </w:p>
    <w:p w14:paraId="7FA4E058" w14:textId="526EAAD9" w:rsidR="007D17D4" w:rsidRPr="004D309D" w:rsidRDefault="00962CB3" w:rsidP="004D309D">
      <w:pPr>
        <w:spacing w:line="360" w:lineRule="auto"/>
        <w:jc w:val="both"/>
        <w:rPr>
          <w:rFonts w:ascii="Arial" w:hAnsi="Arial" w:cs="Arial"/>
          <w:color w:val="156082" w:themeColor="accent1"/>
          <w:sz w:val="22"/>
          <w:szCs w:val="22"/>
        </w:rPr>
      </w:pPr>
      <w:r>
        <w:rPr>
          <w:rFonts w:ascii="Arial" w:hAnsi="Arial" w:cs="Arial"/>
          <w:b/>
          <w:bCs/>
          <w:color w:val="156082" w:themeColor="accent1"/>
          <w:sz w:val="22"/>
          <w:szCs w:val="22"/>
          <w:u w:val="single"/>
        </w:rPr>
        <w:t>3</w:t>
      </w:r>
      <w:r w:rsidR="007D17D4" w:rsidRPr="004D309D">
        <w:rPr>
          <w:rFonts w:ascii="Arial" w:hAnsi="Arial" w:cs="Arial"/>
          <w:b/>
          <w:bCs/>
          <w:color w:val="156082" w:themeColor="accent1"/>
          <w:sz w:val="22"/>
          <w:szCs w:val="22"/>
          <w:u w:val="single"/>
        </w:rPr>
        <w:t>. Administrative Skills &amp; Record Keeping</w:t>
      </w:r>
      <w:bookmarkEnd w:id="3"/>
    </w:p>
    <w:p w14:paraId="6B25BABB" w14:textId="3AEBAAB1" w:rsidR="007D17D4" w:rsidRPr="00F72862" w:rsidRDefault="00DB791E" w:rsidP="00F72862">
      <w:pPr>
        <w:spacing w:line="360" w:lineRule="auto"/>
        <w:jc w:val="both"/>
        <w:rPr>
          <w:rFonts w:ascii="Arial" w:hAnsi="Arial" w:cs="Arial"/>
          <w:sz w:val="22"/>
          <w:szCs w:val="22"/>
        </w:rPr>
      </w:pPr>
      <w:r w:rsidRPr="00F72862">
        <w:rPr>
          <w:rFonts w:ascii="Arial" w:hAnsi="Arial" w:cs="Arial"/>
          <w:sz w:val="22"/>
          <w:szCs w:val="22"/>
        </w:rPr>
        <w:t>Accurate record-keeping is vital for providing safe, responsible, and coordinated care. Mr Ahmed's missing house visit exemplifies the implications of bad administrative practice. If the visit was not properly noted or the rota was not updated, it could result in medication errors, safeguarding issues, and a breach of duty of care. The Care Act 2014 mandates providers to offer safe, high-quality care, including dependable mechanisms for tracking visits and responding to missed appointments (Care Act, 2014).</w:t>
      </w:r>
    </w:p>
    <w:p w14:paraId="3073C1C4" w14:textId="41F368B1" w:rsidR="00B939F7" w:rsidRPr="00F72862" w:rsidRDefault="00B939F7" w:rsidP="00F72862">
      <w:pPr>
        <w:spacing w:line="360" w:lineRule="auto"/>
        <w:jc w:val="both"/>
        <w:rPr>
          <w:rFonts w:ascii="Arial" w:hAnsi="Arial" w:cs="Arial"/>
          <w:sz w:val="22"/>
          <w:szCs w:val="22"/>
        </w:rPr>
      </w:pPr>
      <w:r w:rsidRPr="00F72862">
        <w:rPr>
          <w:rFonts w:ascii="Arial" w:hAnsi="Arial" w:cs="Arial"/>
          <w:sz w:val="22"/>
          <w:szCs w:val="22"/>
        </w:rPr>
        <w:t xml:space="preserve">According to the Data Protection Act of 2018 and the UK GDPR, Mr Ahmed's personal information, such as care notes, prescription records, and communication needs, must be retained securely, shared carefully, and kept </w:t>
      </w:r>
      <w:r w:rsidR="00C8103B" w:rsidRPr="00F72862">
        <w:rPr>
          <w:rFonts w:ascii="Arial" w:hAnsi="Arial" w:cs="Arial"/>
          <w:sz w:val="22"/>
          <w:szCs w:val="22"/>
        </w:rPr>
        <w:t>correct (UK Government, 2018)</w:t>
      </w:r>
      <w:r w:rsidRPr="00F72862">
        <w:rPr>
          <w:rFonts w:ascii="Arial" w:hAnsi="Arial" w:cs="Arial"/>
          <w:sz w:val="22"/>
          <w:szCs w:val="22"/>
        </w:rPr>
        <w:t xml:space="preserve">. Care professionals must document each visit, the interventions delivered, and any concerns raised. Failure to appropriately document the missing visit might jeopardise the inquiry and impede organisational </w:t>
      </w:r>
      <w:r w:rsidR="001F2745" w:rsidRPr="00F72862">
        <w:rPr>
          <w:rFonts w:ascii="Arial" w:hAnsi="Arial" w:cs="Arial"/>
          <w:sz w:val="22"/>
          <w:szCs w:val="22"/>
        </w:rPr>
        <w:t>learning</w:t>
      </w:r>
      <w:r w:rsidR="001F2745" w:rsidRPr="001F2745">
        <w:rPr>
          <w:rFonts w:ascii="Arial" w:hAnsi="Arial" w:cs="Arial"/>
          <w:sz w:val="22"/>
          <w:szCs w:val="22"/>
        </w:rPr>
        <w:t xml:space="preserve"> (CQC, 2022)</w:t>
      </w:r>
      <w:r w:rsidRPr="00F72862">
        <w:rPr>
          <w:rFonts w:ascii="Arial" w:hAnsi="Arial" w:cs="Arial"/>
          <w:sz w:val="22"/>
          <w:szCs w:val="22"/>
        </w:rPr>
        <w:t>.</w:t>
      </w:r>
    </w:p>
    <w:p w14:paraId="342D4C9B" w14:textId="7F22A4BA" w:rsidR="00343030" w:rsidRPr="00F72862" w:rsidRDefault="00343030" w:rsidP="00F72862">
      <w:pPr>
        <w:spacing w:line="360" w:lineRule="auto"/>
        <w:jc w:val="both"/>
        <w:rPr>
          <w:rFonts w:ascii="Arial" w:hAnsi="Arial" w:cs="Arial"/>
          <w:sz w:val="22"/>
          <w:szCs w:val="22"/>
        </w:rPr>
      </w:pPr>
      <w:r w:rsidRPr="00F72862">
        <w:rPr>
          <w:rFonts w:ascii="Arial" w:hAnsi="Arial" w:cs="Arial"/>
          <w:sz w:val="22"/>
          <w:szCs w:val="22"/>
        </w:rPr>
        <w:t xml:space="preserve">The Caldicott </w:t>
      </w:r>
      <w:r w:rsidR="00125A31" w:rsidRPr="00F72862">
        <w:rPr>
          <w:rFonts w:ascii="Arial" w:hAnsi="Arial" w:cs="Arial"/>
          <w:sz w:val="22"/>
          <w:szCs w:val="22"/>
        </w:rPr>
        <w:t>Principles state that</w:t>
      </w:r>
      <w:r w:rsidRPr="00F72862">
        <w:rPr>
          <w:rFonts w:ascii="Arial" w:hAnsi="Arial" w:cs="Arial"/>
          <w:sz w:val="22"/>
          <w:szCs w:val="22"/>
        </w:rPr>
        <w:t xml:space="preserve"> information should only be shared with those who need it, utilised legally, and in the best interests of the patient (Caldicott Review, 2013). In Mr Ahmed's instance, exchanging information between the care agency, GP, district nurse, and SALT is critical to ensuring continuity of treatment, but it must also conform to legal and ethical guidelines.</w:t>
      </w:r>
    </w:p>
    <w:p w14:paraId="3BABEAF7" w14:textId="748D3EC3" w:rsidR="005C7079" w:rsidRPr="00F72862" w:rsidRDefault="005C7079" w:rsidP="00F72862">
      <w:pPr>
        <w:spacing w:line="360" w:lineRule="auto"/>
        <w:jc w:val="both"/>
        <w:rPr>
          <w:rFonts w:ascii="Arial" w:hAnsi="Arial" w:cs="Arial"/>
          <w:sz w:val="22"/>
          <w:szCs w:val="22"/>
        </w:rPr>
      </w:pPr>
      <w:r w:rsidRPr="00F72862">
        <w:rPr>
          <w:rFonts w:ascii="Arial" w:hAnsi="Arial" w:cs="Arial"/>
          <w:sz w:val="22"/>
          <w:szCs w:val="22"/>
        </w:rPr>
        <w:t xml:space="preserve">Administrative skills also involve reporting incidents using systems like HQIP. These systems help with quality improvement and organisational learning (HQIP, 2021). The Health and Care Act 2022 </w:t>
      </w:r>
      <w:r w:rsidR="00EF4863" w:rsidRPr="00F72862">
        <w:rPr>
          <w:rFonts w:ascii="Arial" w:hAnsi="Arial" w:cs="Arial"/>
          <w:sz w:val="22"/>
          <w:szCs w:val="22"/>
        </w:rPr>
        <w:t>emphasise</w:t>
      </w:r>
      <w:r w:rsidRPr="00F72862">
        <w:rPr>
          <w:rFonts w:ascii="Arial" w:hAnsi="Arial" w:cs="Arial"/>
          <w:sz w:val="22"/>
          <w:szCs w:val="22"/>
        </w:rPr>
        <w:t xml:space="preserve"> the need for quality governance and integrated digital records to enhance safety and accountability (Department of Health and Social Care, 2022).</w:t>
      </w:r>
    </w:p>
    <w:p w14:paraId="07E0E6C0" w14:textId="79474DFD" w:rsidR="00CE3093" w:rsidRPr="00F72862" w:rsidRDefault="00CE3093" w:rsidP="00F72862">
      <w:pPr>
        <w:spacing w:line="360" w:lineRule="auto"/>
        <w:jc w:val="both"/>
        <w:rPr>
          <w:rFonts w:ascii="Arial" w:hAnsi="Arial" w:cs="Arial"/>
          <w:sz w:val="22"/>
          <w:szCs w:val="22"/>
        </w:rPr>
      </w:pPr>
      <w:r w:rsidRPr="00F72862">
        <w:rPr>
          <w:rFonts w:ascii="Arial" w:hAnsi="Arial" w:cs="Arial"/>
          <w:sz w:val="22"/>
          <w:szCs w:val="22"/>
        </w:rPr>
        <w:t xml:space="preserve">Good record keeping facilitates communication. For example, recording Mr Ahmed's communication requirements ensures that all experts employ suitable tactics. Recording SALT recommendations, interpreter requirements, and medication timings helps to ensure uniformity throughout the </w:t>
      </w:r>
      <w:r w:rsidR="009A5B9D" w:rsidRPr="00F72862">
        <w:rPr>
          <w:rFonts w:ascii="Arial" w:hAnsi="Arial" w:cs="Arial"/>
          <w:sz w:val="22"/>
          <w:szCs w:val="22"/>
        </w:rPr>
        <w:t>MDT</w:t>
      </w:r>
      <w:r w:rsidR="009A5B9D" w:rsidRPr="00184718">
        <w:rPr>
          <w:rFonts w:ascii="Arial" w:hAnsi="Arial" w:cs="Arial"/>
          <w:sz w:val="22"/>
          <w:szCs w:val="22"/>
        </w:rPr>
        <w:t xml:space="preserve"> (</w:t>
      </w:r>
      <w:r w:rsidR="00184718" w:rsidRPr="00184718">
        <w:rPr>
          <w:rFonts w:ascii="Arial" w:hAnsi="Arial" w:cs="Arial"/>
          <w:sz w:val="22"/>
          <w:szCs w:val="22"/>
        </w:rPr>
        <w:t>NHS England, 2021)</w:t>
      </w:r>
      <w:r w:rsidRPr="00F72862">
        <w:rPr>
          <w:rFonts w:ascii="Arial" w:hAnsi="Arial" w:cs="Arial"/>
          <w:sz w:val="22"/>
          <w:szCs w:val="22"/>
        </w:rPr>
        <w:t xml:space="preserve">. The CQC emphasises that excellent governance is dependent on accurate, timely, and accessible </w:t>
      </w:r>
      <w:r w:rsidR="009A5B9D" w:rsidRPr="00F72862">
        <w:rPr>
          <w:rFonts w:ascii="Arial" w:hAnsi="Arial" w:cs="Arial"/>
          <w:sz w:val="22"/>
          <w:szCs w:val="22"/>
        </w:rPr>
        <w:t>data</w:t>
      </w:r>
      <w:r w:rsidR="009A5B9D" w:rsidRPr="009A5B9D">
        <w:rPr>
          <w:rFonts w:ascii="Arial" w:hAnsi="Arial" w:cs="Arial"/>
          <w:sz w:val="22"/>
          <w:szCs w:val="22"/>
        </w:rPr>
        <w:t xml:space="preserve"> (CQC, 2022)</w:t>
      </w:r>
      <w:r w:rsidRPr="00F72862">
        <w:rPr>
          <w:rFonts w:ascii="Arial" w:hAnsi="Arial" w:cs="Arial"/>
          <w:sz w:val="22"/>
          <w:szCs w:val="22"/>
        </w:rPr>
        <w:t>.</w:t>
      </w:r>
    </w:p>
    <w:p w14:paraId="0B4E5A49" w14:textId="6A7B67E4" w:rsidR="00C456A7" w:rsidRPr="00F72862" w:rsidRDefault="00C456A7" w:rsidP="00F72862">
      <w:pPr>
        <w:spacing w:line="360" w:lineRule="auto"/>
        <w:jc w:val="both"/>
        <w:rPr>
          <w:rFonts w:ascii="Arial" w:hAnsi="Arial" w:cs="Arial"/>
          <w:sz w:val="22"/>
          <w:szCs w:val="22"/>
        </w:rPr>
      </w:pPr>
      <w:r w:rsidRPr="00F72862">
        <w:rPr>
          <w:rFonts w:ascii="Arial" w:hAnsi="Arial" w:cs="Arial"/>
          <w:sz w:val="22"/>
          <w:szCs w:val="22"/>
        </w:rPr>
        <w:lastRenderedPageBreak/>
        <w:t xml:space="preserve">Electronic health records are increasingly being utilised to increase accuracy and minimise mistakes. </w:t>
      </w:r>
      <w:r w:rsidR="004C3545">
        <w:rPr>
          <w:rFonts w:ascii="Arial" w:hAnsi="Arial" w:cs="Arial"/>
          <w:sz w:val="22"/>
          <w:szCs w:val="22"/>
        </w:rPr>
        <w:t>D</w:t>
      </w:r>
      <w:r w:rsidRPr="00F72862">
        <w:rPr>
          <w:rFonts w:ascii="Arial" w:hAnsi="Arial" w:cs="Arial"/>
          <w:sz w:val="22"/>
          <w:szCs w:val="22"/>
        </w:rPr>
        <w:t>igital systems enable timely updates, decrease duplication, and promote safer decision-</w:t>
      </w:r>
      <w:r w:rsidR="00B63B62" w:rsidRPr="00F72862">
        <w:rPr>
          <w:rFonts w:ascii="Arial" w:hAnsi="Arial" w:cs="Arial"/>
          <w:sz w:val="22"/>
          <w:szCs w:val="22"/>
        </w:rPr>
        <w:t>making</w:t>
      </w:r>
      <w:r w:rsidR="00B63B62" w:rsidRPr="00B63B62">
        <w:rPr>
          <w:rFonts w:ascii="Arial" w:hAnsi="Arial" w:cs="Arial"/>
          <w:sz w:val="22"/>
          <w:szCs w:val="22"/>
        </w:rPr>
        <w:t xml:space="preserve"> (NHS Digital, 2021)</w:t>
      </w:r>
      <w:r w:rsidRPr="00F72862">
        <w:rPr>
          <w:rFonts w:ascii="Arial" w:hAnsi="Arial" w:cs="Arial"/>
          <w:sz w:val="22"/>
          <w:szCs w:val="22"/>
        </w:rPr>
        <w:t>. If the care agency had employed an integrated digital rota system, the missed visit may have been identified earlier, avoiding the medication delay.</w:t>
      </w:r>
    </w:p>
    <w:p w14:paraId="4CF9938C" w14:textId="534D72E4" w:rsidR="00EA559D" w:rsidRPr="00F72862" w:rsidRDefault="000C39A5" w:rsidP="00F72862">
      <w:pPr>
        <w:spacing w:line="360" w:lineRule="auto"/>
        <w:jc w:val="both"/>
        <w:rPr>
          <w:rFonts w:ascii="Arial" w:hAnsi="Arial" w:cs="Arial"/>
          <w:sz w:val="22"/>
          <w:szCs w:val="22"/>
        </w:rPr>
      </w:pPr>
      <w:r w:rsidRPr="00F72862">
        <w:rPr>
          <w:rFonts w:ascii="Arial" w:hAnsi="Arial" w:cs="Arial"/>
          <w:sz w:val="22"/>
          <w:szCs w:val="22"/>
        </w:rPr>
        <w:t xml:space="preserve">Medication recordkeeping is an important administrative obligation. Medication delivery errors can cause substantial injury, particularly for stroke patients who rely on time-sensitive </w:t>
      </w:r>
      <w:r w:rsidR="001F4FB4" w:rsidRPr="00F72862">
        <w:rPr>
          <w:rFonts w:ascii="Arial" w:hAnsi="Arial" w:cs="Arial"/>
          <w:sz w:val="22"/>
          <w:szCs w:val="22"/>
        </w:rPr>
        <w:t>medications</w:t>
      </w:r>
      <w:r w:rsidR="001F4FB4" w:rsidRPr="00B67DEC">
        <w:rPr>
          <w:rFonts w:ascii="Arial" w:hAnsi="Arial" w:cs="Arial"/>
          <w:sz w:val="22"/>
          <w:szCs w:val="22"/>
        </w:rPr>
        <w:t>.</w:t>
      </w:r>
      <w:r w:rsidR="001F4FB4" w:rsidRPr="001F4FB4">
        <w:rPr>
          <w:rFonts w:ascii="Arial" w:hAnsi="Arial" w:cs="Arial"/>
          <w:sz w:val="22"/>
          <w:szCs w:val="22"/>
        </w:rPr>
        <w:t xml:space="preserve"> NICE underlines that medication records must be full, legible, and updated immediately upon administration to ensure safe and correct practice</w:t>
      </w:r>
      <w:r w:rsidR="001F4FB4">
        <w:rPr>
          <w:rFonts w:ascii="Arial" w:hAnsi="Arial" w:cs="Arial"/>
          <w:sz w:val="22"/>
          <w:szCs w:val="22"/>
        </w:rPr>
        <w:t xml:space="preserve"> </w:t>
      </w:r>
      <w:r w:rsidR="001F4FB4" w:rsidRPr="001F4FB4">
        <w:rPr>
          <w:rFonts w:ascii="Arial" w:hAnsi="Arial" w:cs="Arial"/>
          <w:sz w:val="22"/>
          <w:szCs w:val="22"/>
        </w:rPr>
        <w:t>(NICE, 2022).</w:t>
      </w:r>
    </w:p>
    <w:p w14:paraId="57F95399" w14:textId="380C8C69" w:rsidR="003B46DC" w:rsidRPr="00F72862" w:rsidRDefault="003B46DC" w:rsidP="00F72862">
      <w:pPr>
        <w:spacing w:line="360" w:lineRule="auto"/>
        <w:jc w:val="both"/>
        <w:rPr>
          <w:rFonts w:ascii="Arial" w:hAnsi="Arial" w:cs="Arial"/>
          <w:sz w:val="22"/>
          <w:szCs w:val="22"/>
        </w:rPr>
      </w:pPr>
      <w:r w:rsidRPr="00F72862">
        <w:rPr>
          <w:rFonts w:ascii="Arial" w:hAnsi="Arial" w:cs="Arial"/>
          <w:sz w:val="22"/>
          <w:szCs w:val="22"/>
        </w:rPr>
        <w:t xml:space="preserve">Auditing and monitoring procedures also have a </w:t>
      </w:r>
      <w:r w:rsidR="00DF3483" w:rsidRPr="00F72862">
        <w:rPr>
          <w:rFonts w:ascii="Arial" w:hAnsi="Arial" w:cs="Arial"/>
          <w:sz w:val="22"/>
          <w:szCs w:val="22"/>
        </w:rPr>
        <w:t>role.</w:t>
      </w:r>
      <w:r w:rsidR="00DF3483">
        <w:rPr>
          <w:rFonts w:ascii="Arial" w:hAnsi="Arial" w:cs="Arial"/>
          <w:sz w:val="22"/>
          <w:szCs w:val="22"/>
        </w:rPr>
        <w:t xml:space="preserve"> </w:t>
      </w:r>
      <w:r w:rsidR="00DF3483" w:rsidRPr="00F72862">
        <w:rPr>
          <w:rFonts w:ascii="Arial" w:hAnsi="Arial" w:cs="Arial"/>
          <w:sz w:val="22"/>
          <w:szCs w:val="22"/>
        </w:rPr>
        <w:t>Frequent</w:t>
      </w:r>
      <w:r w:rsidRPr="00F72862">
        <w:rPr>
          <w:rFonts w:ascii="Arial" w:hAnsi="Arial" w:cs="Arial"/>
          <w:sz w:val="22"/>
          <w:szCs w:val="22"/>
        </w:rPr>
        <w:t xml:space="preserve"> audits of care logs, visit schedules, and incident reports can assist uncover trends of missing visits or inadequate documentation. This promotes ongoing development and lowers </w:t>
      </w:r>
      <w:r w:rsidR="00DF3483" w:rsidRPr="00F72862">
        <w:rPr>
          <w:rFonts w:ascii="Arial" w:hAnsi="Arial" w:cs="Arial"/>
          <w:sz w:val="22"/>
          <w:szCs w:val="22"/>
        </w:rPr>
        <w:t>risk</w:t>
      </w:r>
      <w:r w:rsidR="00DF3483" w:rsidRPr="00DF3483">
        <w:rPr>
          <w:rFonts w:ascii="Arial" w:hAnsi="Arial" w:cs="Arial"/>
          <w:sz w:val="22"/>
          <w:szCs w:val="22"/>
        </w:rPr>
        <w:t xml:space="preserve"> (Skills for Care, 2021)</w:t>
      </w:r>
      <w:r w:rsidRPr="00F72862">
        <w:rPr>
          <w:rFonts w:ascii="Arial" w:hAnsi="Arial" w:cs="Arial"/>
          <w:sz w:val="22"/>
          <w:szCs w:val="22"/>
        </w:rPr>
        <w:t>.</w:t>
      </w:r>
    </w:p>
    <w:p w14:paraId="1D43ABE2" w14:textId="18E0B9B5" w:rsidR="004D309D" w:rsidRDefault="009C1C12" w:rsidP="004D309D">
      <w:pPr>
        <w:spacing w:line="360" w:lineRule="auto"/>
        <w:jc w:val="both"/>
        <w:rPr>
          <w:rFonts w:ascii="Arial" w:hAnsi="Arial" w:cs="Arial"/>
          <w:sz w:val="22"/>
          <w:szCs w:val="22"/>
        </w:rPr>
      </w:pPr>
      <w:r w:rsidRPr="00F72862">
        <w:rPr>
          <w:rFonts w:ascii="Arial" w:hAnsi="Arial" w:cs="Arial"/>
          <w:sz w:val="22"/>
          <w:szCs w:val="22"/>
        </w:rPr>
        <w:t xml:space="preserve">Finally, clear communication between agencies is essential for effective record keeping. </w:t>
      </w:r>
      <w:r w:rsidR="000A1EB3">
        <w:rPr>
          <w:rFonts w:ascii="Arial" w:hAnsi="Arial" w:cs="Arial"/>
          <w:sz w:val="22"/>
          <w:szCs w:val="22"/>
        </w:rPr>
        <w:t>F</w:t>
      </w:r>
      <w:r w:rsidRPr="00F72862">
        <w:rPr>
          <w:rFonts w:ascii="Arial" w:hAnsi="Arial" w:cs="Arial"/>
          <w:sz w:val="22"/>
          <w:szCs w:val="22"/>
        </w:rPr>
        <w:t>ragmented systems lead to gaps in information, duplication and safety risks. Ensuring that all professionals involved in Mr Ahmed’s care have access to accurate, up</w:t>
      </w:r>
      <w:r w:rsidRPr="00F72862">
        <w:rPr>
          <w:rFonts w:ascii="Cambria Math" w:hAnsi="Cambria Math" w:cs="Cambria Math"/>
          <w:sz w:val="22"/>
          <w:szCs w:val="22"/>
        </w:rPr>
        <w:t>‑</w:t>
      </w:r>
      <w:r w:rsidRPr="00F72862">
        <w:rPr>
          <w:rFonts w:ascii="Arial" w:hAnsi="Arial" w:cs="Arial"/>
          <w:sz w:val="22"/>
          <w:szCs w:val="22"/>
        </w:rPr>
        <w:t>to</w:t>
      </w:r>
      <w:r w:rsidRPr="00F72862">
        <w:rPr>
          <w:rFonts w:ascii="Cambria Math" w:hAnsi="Cambria Math" w:cs="Cambria Math"/>
          <w:sz w:val="22"/>
          <w:szCs w:val="22"/>
        </w:rPr>
        <w:t>‑</w:t>
      </w:r>
      <w:r w:rsidRPr="00F72862">
        <w:rPr>
          <w:rFonts w:ascii="Arial" w:hAnsi="Arial" w:cs="Arial"/>
          <w:sz w:val="22"/>
          <w:szCs w:val="22"/>
        </w:rPr>
        <w:t xml:space="preserve">date records supports safer, more coordinated </w:t>
      </w:r>
      <w:r w:rsidR="000A1EB3" w:rsidRPr="00F72862">
        <w:rPr>
          <w:rFonts w:ascii="Arial" w:hAnsi="Arial" w:cs="Arial"/>
          <w:sz w:val="22"/>
          <w:szCs w:val="22"/>
        </w:rPr>
        <w:t>care</w:t>
      </w:r>
      <w:r w:rsidR="000A1EB3" w:rsidRPr="000A1EB3">
        <w:rPr>
          <w:rFonts w:ascii="Arial" w:hAnsi="Arial" w:cs="Arial"/>
          <w:sz w:val="22"/>
          <w:szCs w:val="22"/>
        </w:rPr>
        <w:t xml:space="preserve"> (The King’s Fund, 2022)</w:t>
      </w:r>
      <w:r w:rsidRPr="00F72862">
        <w:rPr>
          <w:rFonts w:ascii="Arial" w:hAnsi="Arial" w:cs="Arial"/>
          <w:sz w:val="22"/>
          <w:szCs w:val="22"/>
        </w:rPr>
        <w:t>.</w:t>
      </w:r>
      <w:bookmarkStart w:id="4" w:name="_Toc223216241"/>
    </w:p>
    <w:p w14:paraId="64D82DBD" w14:textId="7B84DAED" w:rsidR="004D309D" w:rsidRDefault="00962CB3" w:rsidP="00F72862">
      <w:pPr>
        <w:spacing w:line="360" w:lineRule="auto"/>
        <w:jc w:val="both"/>
        <w:rPr>
          <w:rFonts w:ascii="Arial" w:hAnsi="Arial" w:cs="Arial"/>
          <w:color w:val="156082" w:themeColor="accent1"/>
          <w:sz w:val="22"/>
          <w:szCs w:val="22"/>
        </w:rPr>
      </w:pPr>
      <w:r>
        <w:rPr>
          <w:rFonts w:ascii="Arial" w:hAnsi="Arial" w:cs="Arial"/>
          <w:b/>
          <w:bCs/>
          <w:color w:val="156082" w:themeColor="accent1"/>
          <w:sz w:val="22"/>
          <w:szCs w:val="22"/>
          <w:u w:val="single"/>
        </w:rPr>
        <w:t>4</w:t>
      </w:r>
      <w:r w:rsidR="00A44F95" w:rsidRPr="004D309D">
        <w:rPr>
          <w:rFonts w:ascii="Arial" w:hAnsi="Arial" w:cs="Arial"/>
          <w:b/>
          <w:bCs/>
          <w:color w:val="156082" w:themeColor="accent1"/>
          <w:sz w:val="22"/>
          <w:szCs w:val="22"/>
          <w:u w:val="single"/>
        </w:rPr>
        <w:t>. Collaborative Working</w:t>
      </w:r>
      <w:bookmarkEnd w:id="4"/>
    </w:p>
    <w:p w14:paraId="7F0EA003" w14:textId="2E073064" w:rsidR="00A44F95" w:rsidRPr="004D309D" w:rsidRDefault="00090C46" w:rsidP="00F72862">
      <w:pPr>
        <w:spacing w:line="360" w:lineRule="auto"/>
        <w:jc w:val="both"/>
        <w:rPr>
          <w:rFonts w:ascii="Arial" w:hAnsi="Arial" w:cs="Arial"/>
          <w:color w:val="156082" w:themeColor="accent1"/>
          <w:sz w:val="22"/>
          <w:szCs w:val="22"/>
        </w:rPr>
      </w:pPr>
      <w:r w:rsidRPr="00F72862">
        <w:rPr>
          <w:rFonts w:ascii="Arial" w:hAnsi="Arial" w:cs="Arial"/>
          <w:sz w:val="22"/>
          <w:szCs w:val="22"/>
        </w:rPr>
        <w:t>Collaboration is critical in complex cases like Mr Ahmed's, where numerous clinicians contribute to his treatment. The MDT consists of the GP, district nurse, SALT, care workers, and Mr Ahmed's wife. Effective teamwork necessitates open communication, common goals, and coordinated preparation. The Care Act of 2014 promotes multi-agency collaboration to enhance wellness, minimise harm, and provide person-centred care (Care Act, 2014).</w:t>
      </w:r>
    </w:p>
    <w:p w14:paraId="13C9A3B6" w14:textId="14C8E2FF" w:rsidR="00275B17" w:rsidRPr="00F72862" w:rsidRDefault="00275B17" w:rsidP="00F72862">
      <w:pPr>
        <w:spacing w:line="360" w:lineRule="auto"/>
        <w:jc w:val="both"/>
        <w:rPr>
          <w:rFonts w:ascii="Arial" w:hAnsi="Arial" w:cs="Arial"/>
          <w:sz w:val="22"/>
          <w:szCs w:val="22"/>
        </w:rPr>
      </w:pPr>
      <w:r w:rsidRPr="00F72862">
        <w:rPr>
          <w:rFonts w:ascii="Arial" w:hAnsi="Arial" w:cs="Arial"/>
          <w:sz w:val="22"/>
          <w:szCs w:val="22"/>
        </w:rPr>
        <w:t>The missing home visit emphasises collaborative problems. If the care agency does not swiftly notify the GP or district nurse about the occurrence, actions might be delayed and risks increased. Integrated Care Systems (ICS) seek to increase communication among agencies and eliminate fragmentation (NHS England, 2022).</w:t>
      </w:r>
    </w:p>
    <w:p w14:paraId="31FC514E" w14:textId="1960A4EB" w:rsidR="00275B17" w:rsidRPr="00F72862" w:rsidRDefault="00681064" w:rsidP="00F72862">
      <w:pPr>
        <w:spacing w:line="360" w:lineRule="auto"/>
        <w:jc w:val="both"/>
        <w:rPr>
          <w:rFonts w:ascii="Arial" w:hAnsi="Arial" w:cs="Arial"/>
          <w:sz w:val="22"/>
          <w:szCs w:val="22"/>
        </w:rPr>
      </w:pPr>
      <w:r w:rsidRPr="00F72862">
        <w:rPr>
          <w:rFonts w:ascii="Arial" w:hAnsi="Arial" w:cs="Arial"/>
          <w:sz w:val="22"/>
          <w:szCs w:val="22"/>
        </w:rPr>
        <w:t xml:space="preserve">The SALT's engagement displays beneficial teamwork because communication techniques must be shared with carers and family </w:t>
      </w:r>
      <w:r w:rsidR="00AE275C" w:rsidRPr="00F72862">
        <w:rPr>
          <w:rFonts w:ascii="Arial" w:hAnsi="Arial" w:cs="Arial"/>
          <w:sz w:val="22"/>
          <w:szCs w:val="22"/>
        </w:rPr>
        <w:t>members</w:t>
      </w:r>
      <w:r w:rsidR="00AE275C" w:rsidRPr="00AE275C">
        <w:rPr>
          <w:rFonts w:ascii="Arial" w:hAnsi="Arial" w:cs="Arial"/>
          <w:sz w:val="22"/>
          <w:szCs w:val="22"/>
        </w:rPr>
        <w:t xml:space="preserve"> (RCSLT, 2020)</w:t>
      </w:r>
      <w:r w:rsidRPr="00F72862">
        <w:rPr>
          <w:rFonts w:ascii="Arial" w:hAnsi="Arial" w:cs="Arial"/>
          <w:sz w:val="22"/>
          <w:szCs w:val="22"/>
        </w:rPr>
        <w:t>. The district nurse also needs correct information on drug delivery and Mr Ahmed's health. When communication is successful, the MDT can respond to concerns promptly, modify treatment plans, and aid in recovery.</w:t>
      </w:r>
    </w:p>
    <w:p w14:paraId="6010E0EF" w14:textId="4E2B4889" w:rsidR="00294168" w:rsidRPr="00F72862" w:rsidRDefault="00294168" w:rsidP="00F72862">
      <w:pPr>
        <w:spacing w:line="360" w:lineRule="auto"/>
        <w:jc w:val="both"/>
        <w:rPr>
          <w:rFonts w:ascii="Arial" w:hAnsi="Arial" w:cs="Arial"/>
          <w:sz w:val="22"/>
          <w:szCs w:val="22"/>
        </w:rPr>
      </w:pPr>
      <w:r w:rsidRPr="00F72862">
        <w:rPr>
          <w:rFonts w:ascii="Arial" w:hAnsi="Arial" w:cs="Arial"/>
          <w:sz w:val="22"/>
          <w:szCs w:val="22"/>
        </w:rPr>
        <w:t xml:space="preserve">However, obstacles such as unclear responsibilities, unreliable record keeping, and organisational limits may restrict working together. </w:t>
      </w:r>
      <w:r w:rsidR="00445862">
        <w:rPr>
          <w:rFonts w:ascii="Arial" w:hAnsi="Arial" w:cs="Arial"/>
          <w:sz w:val="22"/>
          <w:szCs w:val="22"/>
        </w:rPr>
        <w:t>S</w:t>
      </w:r>
      <w:r w:rsidRPr="00F72862">
        <w:rPr>
          <w:rFonts w:ascii="Arial" w:hAnsi="Arial" w:cs="Arial"/>
          <w:sz w:val="22"/>
          <w:szCs w:val="22"/>
        </w:rPr>
        <w:t xml:space="preserve">trong leadership, common digital </w:t>
      </w:r>
      <w:r w:rsidRPr="00F72862">
        <w:rPr>
          <w:rFonts w:ascii="Arial" w:hAnsi="Arial" w:cs="Arial"/>
          <w:sz w:val="22"/>
          <w:szCs w:val="22"/>
        </w:rPr>
        <w:lastRenderedPageBreak/>
        <w:t>systems, and frequent communication all contribute to better collaboration</w:t>
      </w:r>
      <w:r w:rsidR="00296A47">
        <w:rPr>
          <w:rFonts w:ascii="Arial" w:hAnsi="Arial" w:cs="Arial"/>
          <w:sz w:val="22"/>
          <w:szCs w:val="22"/>
        </w:rPr>
        <w:t xml:space="preserve"> </w:t>
      </w:r>
      <w:r w:rsidR="00296A47" w:rsidRPr="00296A47">
        <w:rPr>
          <w:rFonts w:ascii="Arial" w:hAnsi="Arial" w:cs="Arial"/>
          <w:sz w:val="22"/>
          <w:szCs w:val="22"/>
        </w:rPr>
        <w:t>(The King’s Fund, 2022)</w:t>
      </w:r>
      <w:r w:rsidRPr="00F72862">
        <w:rPr>
          <w:rFonts w:ascii="Arial" w:hAnsi="Arial" w:cs="Arial"/>
          <w:sz w:val="22"/>
          <w:szCs w:val="22"/>
        </w:rPr>
        <w:t>.</w:t>
      </w:r>
    </w:p>
    <w:p w14:paraId="7B60ED8D" w14:textId="77777777" w:rsidR="00031364" w:rsidRDefault="00D86DB2" w:rsidP="00F72862">
      <w:pPr>
        <w:spacing w:line="360" w:lineRule="auto"/>
        <w:jc w:val="both"/>
      </w:pPr>
      <w:r w:rsidRPr="00F72862">
        <w:rPr>
          <w:rFonts w:ascii="Arial" w:hAnsi="Arial" w:cs="Arial"/>
          <w:sz w:val="22"/>
          <w:szCs w:val="22"/>
        </w:rPr>
        <w:t xml:space="preserve">Reflecting on the current situation reveals that teamwork boosts safety, lowers redundancy, and assures comprehensive treatment. Increasing communication channels, using shared digital documents, and incorporating Mr Ahmed in decision-making can all help to improve collaborative </w:t>
      </w:r>
      <w:r w:rsidR="008926FF" w:rsidRPr="00F72862">
        <w:rPr>
          <w:rFonts w:ascii="Arial" w:hAnsi="Arial" w:cs="Arial"/>
          <w:sz w:val="22"/>
          <w:szCs w:val="22"/>
        </w:rPr>
        <w:t>practice</w:t>
      </w:r>
      <w:r w:rsidR="008926FF" w:rsidRPr="008926FF">
        <w:rPr>
          <w:rFonts w:ascii="Arial" w:hAnsi="Arial" w:cs="Arial"/>
          <w:sz w:val="22"/>
          <w:szCs w:val="22"/>
        </w:rPr>
        <w:t xml:space="preserve"> (NHS England, 2022)</w:t>
      </w:r>
      <w:r w:rsidRPr="00F72862">
        <w:rPr>
          <w:rFonts w:ascii="Arial" w:hAnsi="Arial" w:cs="Arial"/>
          <w:sz w:val="22"/>
          <w:szCs w:val="22"/>
        </w:rPr>
        <w:t>.</w:t>
      </w:r>
      <w:r w:rsidR="00031364" w:rsidRPr="00031364">
        <w:t xml:space="preserve"> </w:t>
      </w:r>
    </w:p>
    <w:p w14:paraId="5A452A1A" w14:textId="68896E7F" w:rsidR="00D86DB2" w:rsidRPr="00F72862" w:rsidRDefault="00031364" w:rsidP="00F72862">
      <w:pPr>
        <w:spacing w:line="360" w:lineRule="auto"/>
        <w:jc w:val="both"/>
        <w:rPr>
          <w:rFonts w:ascii="Arial" w:hAnsi="Arial" w:cs="Arial"/>
          <w:sz w:val="22"/>
          <w:szCs w:val="22"/>
        </w:rPr>
      </w:pPr>
      <w:r w:rsidRPr="00031364">
        <w:rPr>
          <w:rFonts w:ascii="Arial" w:hAnsi="Arial" w:cs="Arial"/>
          <w:sz w:val="22"/>
          <w:szCs w:val="22"/>
        </w:rPr>
        <w:t>The Care Act of 2014 also established six safeguarding principles to govern safe and ethical practice: empowerment, prevention, proportionality, protection, partnership, and accountability (Care Act, 2014). These concepts apply specifically to Mr Ahmed's situation. Empowerment entails modifying communication so that he may participate in decisions. To prevent missed visits, ensure correct rotas are in place. Proportionality ensures that reactions reflect the level of risk. Protecting patients from pharmaceutical errors, demonstrating partnership through MDT collaboration, and ensuring accurate record-keeping and clear communication between providers are all essential components of accountability. Applying these principles promotes safe, coordinated, and person-centred care.</w:t>
      </w:r>
    </w:p>
    <w:p w14:paraId="6086C466" w14:textId="7BE869D0" w:rsidR="00D86DB2" w:rsidRPr="004D309D" w:rsidRDefault="00105498" w:rsidP="00803EAD">
      <w:pPr>
        <w:pStyle w:val="Heading1"/>
        <w:rPr>
          <w:rFonts w:ascii="Arial" w:hAnsi="Arial" w:cs="Arial"/>
          <w:b/>
          <w:bCs/>
          <w:sz w:val="22"/>
          <w:szCs w:val="22"/>
          <w:u w:val="single"/>
        </w:rPr>
      </w:pPr>
      <w:bookmarkStart w:id="5" w:name="_Toc223216242"/>
      <w:r>
        <w:rPr>
          <w:rFonts w:ascii="Arial" w:hAnsi="Arial" w:cs="Arial"/>
          <w:b/>
          <w:bCs/>
          <w:sz w:val="22"/>
          <w:szCs w:val="22"/>
          <w:u w:val="single"/>
        </w:rPr>
        <w:t>5.</w:t>
      </w:r>
      <w:r w:rsidR="009F72BC" w:rsidRPr="004D309D">
        <w:rPr>
          <w:rFonts w:ascii="Arial" w:hAnsi="Arial" w:cs="Arial"/>
          <w:b/>
          <w:bCs/>
          <w:sz w:val="22"/>
          <w:szCs w:val="22"/>
          <w:u w:val="single"/>
        </w:rPr>
        <w:t>Conclusion</w:t>
      </w:r>
      <w:bookmarkEnd w:id="5"/>
    </w:p>
    <w:p w14:paraId="2C7F08CE" w14:textId="23C077DF" w:rsidR="00681064" w:rsidRPr="00F72862" w:rsidRDefault="00F62CEA" w:rsidP="00F72862">
      <w:pPr>
        <w:spacing w:line="360" w:lineRule="auto"/>
        <w:jc w:val="both"/>
        <w:rPr>
          <w:rFonts w:ascii="Arial" w:hAnsi="Arial" w:cs="Arial"/>
          <w:sz w:val="22"/>
          <w:szCs w:val="22"/>
        </w:rPr>
      </w:pPr>
      <w:r w:rsidRPr="00F72862">
        <w:rPr>
          <w:rFonts w:ascii="Arial" w:hAnsi="Arial" w:cs="Arial"/>
          <w:sz w:val="22"/>
          <w:szCs w:val="22"/>
        </w:rPr>
        <w:t>Mr Ahmed's scenario demonstrates the value of excellent communication, precise record-keeping, and collaborative working in health and social care. Language and stroke-related communication challenges can lead to misunderstandings, and delayed home visits highlight the impact of administrative mistakes on safety. Using the Shannon-Weaver model helps determine where communication breaks down and how "noise" like language hurdles may be decreased through interpreters, SALT tactics, and clear message.</w:t>
      </w:r>
      <w:r w:rsidR="00B03F6F" w:rsidRPr="00F72862">
        <w:rPr>
          <w:rFonts w:ascii="Arial" w:hAnsi="Arial" w:cs="Arial"/>
          <w:sz w:val="22"/>
          <w:szCs w:val="22"/>
        </w:rPr>
        <w:t xml:space="preserve"> Legal frameworks such as the Equality Act 2010, Care Act 2014, Data Protection Act 2018, and Health and Care Act 2022 ensure safe, person-centred practice. Collaboration throughout the MDT is critical to ensuring continuity of treatment and preventing mishaps. Reflecting on this issue highlights the importance of culturally competent communication, robust administrative procedures, and integrated collaboration to support Mr Ahmed's well-being and recovery.</w:t>
      </w:r>
    </w:p>
    <w:p w14:paraId="10D7EA48" w14:textId="77777777" w:rsidR="00F72862" w:rsidRDefault="00F72862" w:rsidP="00F72862">
      <w:pPr>
        <w:jc w:val="both"/>
        <w:rPr>
          <w:rFonts w:ascii="Arial" w:hAnsi="Arial" w:cs="Arial"/>
          <w:sz w:val="22"/>
          <w:szCs w:val="22"/>
        </w:rPr>
      </w:pPr>
    </w:p>
    <w:p w14:paraId="28FF7EF2" w14:textId="77777777" w:rsidR="00F72862" w:rsidRDefault="00F72862" w:rsidP="00F72862">
      <w:pPr>
        <w:jc w:val="both"/>
        <w:rPr>
          <w:rFonts w:ascii="Arial" w:hAnsi="Arial" w:cs="Arial"/>
          <w:sz w:val="22"/>
          <w:szCs w:val="22"/>
        </w:rPr>
      </w:pPr>
    </w:p>
    <w:p w14:paraId="149C8694" w14:textId="77777777" w:rsidR="00F72862" w:rsidRDefault="00F72862" w:rsidP="00F72862">
      <w:pPr>
        <w:jc w:val="both"/>
        <w:rPr>
          <w:rFonts w:ascii="Arial" w:hAnsi="Arial" w:cs="Arial"/>
          <w:sz w:val="22"/>
          <w:szCs w:val="22"/>
        </w:rPr>
      </w:pPr>
    </w:p>
    <w:p w14:paraId="5DFAB82C" w14:textId="77777777" w:rsidR="00F72862" w:rsidRDefault="00F72862" w:rsidP="00F72862">
      <w:pPr>
        <w:jc w:val="both"/>
        <w:rPr>
          <w:rFonts w:ascii="Arial" w:hAnsi="Arial" w:cs="Arial"/>
          <w:sz w:val="22"/>
          <w:szCs w:val="22"/>
        </w:rPr>
      </w:pPr>
    </w:p>
    <w:p w14:paraId="17A6CC48" w14:textId="3E694305" w:rsidR="008D7FCA" w:rsidRPr="003764B2" w:rsidRDefault="00105498" w:rsidP="004E4B1D">
      <w:pPr>
        <w:pStyle w:val="Heading1"/>
        <w:rPr>
          <w:rFonts w:ascii="Arial" w:hAnsi="Arial" w:cs="Arial"/>
          <w:b/>
          <w:bCs/>
          <w:sz w:val="22"/>
          <w:szCs w:val="22"/>
          <w:u w:val="single"/>
        </w:rPr>
      </w:pPr>
      <w:r>
        <w:rPr>
          <w:rFonts w:ascii="Arial" w:hAnsi="Arial" w:cs="Arial"/>
          <w:b/>
          <w:bCs/>
          <w:sz w:val="22"/>
          <w:szCs w:val="22"/>
          <w:u w:val="single"/>
        </w:rPr>
        <w:lastRenderedPageBreak/>
        <w:t>6.</w:t>
      </w:r>
      <w:r w:rsidR="008D7FCA" w:rsidRPr="003764B2">
        <w:rPr>
          <w:rFonts w:ascii="Arial" w:hAnsi="Arial" w:cs="Arial"/>
          <w:b/>
          <w:bCs/>
          <w:sz w:val="22"/>
          <w:szCs w:val="22"/>
          <w:u w:val="single"/>
        </w:rPr>
        <w:t>List of references</w:t>
      </w:r>
    </w:p>
    <w:p w14:paraId="00A9385F" w14:textId="59201080" w:rsidR="008D7FCA" w:rsidRPr="008D7FCA" w:rsidRDefault="008D7FCA" w:rsidP="008D7FCA">
      <w:pPr>
        <w:rPr>
          <w:rFonts w:ascii="Arial" w:hAnsi="Arial" w:cs="Arial"/>
          <w:sz w:val="22"/>
          <w:szCs w:val="22"/>
        </w:rPr>
      </w:pPr>
      <w:r w:rsidRPr="008D7FCA">
        <w:rPr>
          <w:rFonts w:ascii="Arial" w:hAnsi="Arial" w:cs="Arial"/>
          <w:sz w:val="22"/>
          <w:szCs w:val="22"/>
        </w:rPr>
        <w:t xml:space="preserve">Caldicott Review (2013) Information governance review. Department of Health. Available at: </w:t>
      </w:r>
      <w:hyperlink r:id="rId9" w:history="1">
        <w:r w:rsidRPr="000344FD">
          <w:rPr>
            <w:rStyle w:val="Hyperlink"/>
            <w:rFonts w:ascii="Arial" w:hAnsi="Arial" w:cs="Arial"/>
            <w:sz w:val="22"/>
            <w:szCs w:val="22"/>
          </w:rPr>
          <w:t>https://www.gov.uk/government/publications/the-information-governance-review</w:t>
        </w:r>
      </w:hyperlink>
      <w:r w:rsidRPr="008D7FCA">
        <w:rPr>
          <w:rFonts w:ascii="Arial" w:hAnsi="Arial" w:cs="Arial"/>
          <w:sz w:val="22"/>
          <w:szCs w:val="22"/>
        </w:rPr>
        <w:t>(Accessed: 28 February 2026).</w:t>
      </w:r>
    </w:p>
    <w:p w14:paraId="7802267C" w14:textId="4DF8490D" w:rsidR="00F72862" w:rsidRPr="00F72862" w:rsidRDefault="00F72862" w:rsidP="008D7FCA">
      <w:pPr>
        <w:rPr>
          <w:rFonts w:ascii="Arial" w:hAnsi="Arial" w:cs="Arial"/>
          <w:sz w:val="22"/>
          <w:szCs w:val="22"/>
        </w:rPr>
      </w:pPr>
      <w:r w:rsidRPr="00F72862">
        <w:rPr>
          <w:rFonts w:ascii="Arial" w:hAnsi="Arial" w:cs="Arial"/>
          <w:sz w:val="22"/>
          <w:szCs w:val="22"/>
        </w:rPr>
        <w:t xml:space="preserve">Care Act 2014 (2014) </w:t>
      </w:r>
      <w:r w:rsidRPr="00F72862">
        <w:rPr>
          <w:rFonts w:ascii="Arial" w:hAnsi="Arial" w:cs="Arial"/>
          <w:i/>
          <w:iCs/>
          <w:sz w:val="22"/>
          <w:szCs w:val="22"/>
        </w:rPr>
        <w:t>Care and support statutory guidance. Department of Health and Social Care</w:t>
      </w:r>
      <w:r w:rsidRPr="00F72862">
        <w:rPr>
          <w:rFonts w:ascii="Arial" w:hAnsi="Arial" w:cs="Arial"/>
          <w:sz w:val="22"/>
          <w:szCs w:val="22"/>
        </w:rPr>
        <w:t xml:space="preserve">. Available at: </w:t>
      </w:r>
      <w:hyperlink r:id="rId10" w:history="1">
        <w:r w:rsidRPr="00F72862">
          <w:rPr>
            <w:rStyle w:val="Hyperlink"/>
            <w:rFonts w:ascii="Arial" w:hAnsi="Arial" w:cs="Arial"/>
            <w:sz w:val="22"/>
            <w:szCs w:val="22"/>
          </w:rPr>
          <w:t>https://www.gov.uk/government/publications/care-act-statutory-guidance</w:t>
        </w:r>
      </w:hyperlink>
      <w:r w:rsidRPr="00F72862">
        <w:rPr>
          <w:rFonts w:ascii="Arial" w:hAnsi="Arial" w:cs="Arial"/>
          <w:sz w:val="22"/>
          <w:szCs w:val="22"/>
        </w:rPr>
        <w:t xml:space="preserve"> (Accessed: 28 February 2026).</w:t>
      </w:r>
    </w:p>
    <w:p w14:paraId="058B6E0B"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Care Quality Commission (CQC) (2022) </w:t>
      </w:r>
      <w:r w:rsidRPr="00F72862">
        <w:rPr>
          <w:rFonts w:ascii="Arial" w:hAnsi="Arial" w:cs="Arial"/>
          <w:i/>
          <w:iCs/>
          <w:sz w:val="22"/>
          <w:szCs w:val="22"/>
        </w:rPr>
        <w:t>Regulation 17: Good governance</w:t>
      </w:r>
      <w:r w:rsidRPr="00F72862">
        <w:rPr>
          <w:rFonts w:ascii="Arial" w:hAnsi="Arial" w:cs="Arial"/>
          <w:sz w:val="22"/>
          <w:szCs w:val="22"/>
        </w:rPr>
        <w:t xml:space="preserve">. Available at: </w:t>
      </w:r>
      <w:hyperlink r:id="rId11" w:history="1">
        <w:r w:rsidRPr="00F72862">
          <w:rPr>
            <w:rStyle w:val="Hyperlink"/>
            <w:rFonts w:ascii="Arial" w:hAnsi="Arial" w:cs="Arial"/>
            <w:sz w:val="22"/>
            <w:szCs w:val="22"/>
          </w:rPr>
          <w:t>https://www.cqc.org.uk/guidance-providers/regulations-enforcement/regulation-17-good-governance</w:t>
        </w:r>
      </w:hyperlink>
      <w:r w:rsidRPr="00F72862">
        <w:rPr>
          <w:rFonts w:ascii="Arial" w:hAnsi="Arial" w:cs="Arial"/>
          <w:sz w:val="22"/>
          <w:szCs w:val="22"/>
        </w:rPr>
        <w:t xml:space="preserve"> (Accessed: 28 February 2026).</w:t>
      </w:r>
    </w:p>
    <w:p w14:paraId="51094D60"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Data Protection Act 2018 (2018) Available at: </w:t>
      </w:r>
      <w:hyperlink r:id="rId12" w:history="1">
        <w:r w:rsidRPr="00F72862">
          <w:rPr>
            <w:rStyle w:val="Hyperlink"/>
            <w:rFonts w:ascii="Arial" w:hAnsi="Arial" w:cs="Arial"/>
            <w:sz w:val="22"/>
            <w:szCs w:val="22"/>
          </w:rPr>
          <w:t>https://www.legislation.gov.uk/ukpga/2018/12/contents</w:t>
        </w:r>
      </w:hyperlink>
      <w:r w:rsidRPr="00F72862">
        <w:rPr>
          <w:rFonts w:ascii="Arial" w:hAnsi="Arial" w:cs="Arial"/>
          <w:sz w:val="22"/>
          <w:szCs w:val="22"/>
        </w:rPr>
        <w:t xml:space="preserve"> (Accessed: 28 February 2026).</w:t>
      </w:r>
    </w:p>
    <w:p w14:paraId="6CEA2A3F"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Department of Health and Social Care (2022) </w:t>
      </w:r>
      <w:r w:rsidRPr="00F72862">
        <w:rPr>
          <w:rFonts w:ascii="Arial" w:hAnsi="Arial" w:cs="Arial"/>
          <w:i/>
          <w:iCs/>
          <w:sz w:val="22"/>
          <w:szCs w:val="22"/>
        </w:rPr>
        <w:t>Health and Care Act 2022</w:t>
      </w:r>
      <w:r w:rsidRPr="00F72862">
        <w:rPr>
          <w:rFonts w:ascii="Arial" w:hAnsi="Arial" w:cs="Arial"/>
          <w:sz w:val="22"/>
          <w:szCs w:val="22"/>
        </w:rPr>
        <w:t xml:space="preserve">. Available at: </w:t>
      </w:r>
      <w:hyperlink r:id="rId13" w:history="1">
        <w:r w:rsidRPr="00F72862">
          <w:rPr>
            <w:rStyle w:val="Hyperlink"/>
            <w:rFonts w:ascii="Arial" w:hAnsi="Arial" w:cs="Arial"/>
            <w:sz w:val="22"/>
            <w:szCs w:val="22"/>
          </w:rPr>
          <w:t>https://www.legislation.gov.uk/ukpga/2022/31/contents</w:t>
        </w:r>
      </w:hyperlink>
      <w:r w:rsidRPr="00F72862">
        <w:rPr>
          <w:rFonts w:ascii="Arial" w:hAnsi="Arial" w:cs="Arial"/>
          <w:sz w:val="22"/>
          <w:szCs w:val="22"/>
        </w:rPr>
        <w:t xml:space="preserve"> (Accessed: 28 February 2026).</w:t>
      </w:r>
    </w:p>
    <w:p w14:paraId="6E63B2F0" w14:textId="77777777" w:rsidR="00F72862" w:rsidRPr="00F72862" w:rsidRDefault="00F72862" w:rsidP="008D7FCA">
      <w:pPr>
        <w:rPr>
          <w:rFonts w:ascii="Arial" w:hAnsi="Arial" w:cs="Arial"/>
          <w:sz w:val="22"/>
          <w:szCs w:val="22"/>
        </w:rPr>
      </w:pPr>
      <w:r w:rsidRPr="00F72862">
        <w:rPr>
          <w:rFonts w:ascii="Arial" w:hAnsi="Arial" w:cs="Arial"/>
          <w:sz w:val="22"/>
          <w:szCs w:val="22"/>
        </w:rPr>
        <w:t>Equality Act 2010 (2010</w:t>
      </w:r>
      <w:r w:rsidRPr="00F72862">
        <w:rPr>
          <w:rFonts w:ascii="Arial" w:hAnsi="Arial" w:cs="Arial"/>
          <w:i/>
          <w:iCs/>
          <w:sz w:val="22"/>
          <w:szCs w:val="22"/>
        </w:rPr>
        <w:t>) Equality Act 2010: Guidance. UK Government</w:t>
      </w:r>
      <w:r w:rsidRPr="00F72862">
        <w:rPr>
          <w:rFonts w:ascii="Arial" w:hAnsi="Arial" w:cs="Arial"/>
          <w:sz w:val="22"/>
          <w:szCs w:val="22"/>
        </w:rPr>
        <w:t xml:space="preserve">. Available at: </w:t>
      </w:r>
      <w:hyperlink r:id="rId14" w:history="1">
        <w:r w:rsidRPr="00F72862">
          <w:rPr>
            <w:rStyle w:val="Hyperlink"/>
            <w:rFonts w:ascii="Arial" w:hAnsi="Arial" w:cs="Arial"/>
            <w:sz w:val="22"/>
            <w:szCs w:val="22"/>
          </w:rPr>
          <w:t>https://www.gov.uk/guidance/equality-act-2010-guidance</w:t>
        </w:r>
      </w:hyperlink>
      <w:r w:rsidRPr="00F72862">
        <w:rPr>
          <w:rFonts w:ascii="Arial" w:hAnsi="Arial" w:cs="Arial"/>
          <w:sz w:val="22"/>
          <w:szCs w:val="22"/>
        </w:rPr>
        <w:t xml:space="preserve"> (Accessed: 28 February 2026).</w:t>
      </w:r>
    </w:p>
    <w:p w14:paraId="01D48B5D"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Healthcare Quality Improvement Partnership (HQIP) (2021) </w:t>
      </w:r>
      <w:r w:rsidRPr="00F72862">
        <w:rPr>
          <w:rFonts w:ascii="Arial" w:hAnsi="Arial" w:cs="Arial"/>
          <w:i/>
          <w:iCs/>
          <w:sz w:val="22"/>
          <w:szCs w:val="22"/>
        </w:rPr>
        <w:t>Guide to quality improvement in health and social care</w:t>
      </w:r>
      <w:r w:rsidRPr="00F72862">
        <w:rPr>
          <w:rFonts w:ascii="Arial" w:hAnsi="Arial" w:cs="Arial"/>
          <w:sz w:val="22"/>
          <w:szCs w:val="22"/>
        </w:rPr>
        <w:t xml:space="preserve">. Available at: </w:t>
      </w:r>
      <w:hyperlink r:id="rId15" w:history="1">
        <w:r w:rsidRPr="00F72862">
          <w:rPr>
            <w:rStyle w:val="Hyperlink"/>
            <w:rFonts w:ascii="Arial" w:hAnsi="Arial" w:cs="Arial"/>
            <w:sz w:val="22"/>
            <w:szCs w:val="22"/>
          </w:rPr>
          <w:t>https://www.hqip.org.uk/resource/guide-to-quality-improvement</w:t>
        </w:r>
      </w:hyperlink>
      <w:r w:rsidRPr="00F72862">
        <w:rPr>
          <w:rFonts w:ascii="Arial" w:hAnsi="Arial" w:cs="Arial"/>
          <w:sz w:val="22"/>
          <w:szCs w:val="22"/>
        </w:rPr>
        <w:t>(Accessed: 28 February 2026).</w:t>
      </w:r>
    </w:p>
    <w:p w14:paraId="51F33119"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National Institute for Health and Care Excellence (NICE) (2022) </w:t>
      </w:r>
      <w:r w:rsidRPr="00F72862">
        <w:rPr>
          <w:rFonts w:ascii="Arial" w:hAnsi="Arial" w:cs="Arial"/>
          <w:i/>
          <w:iCs/>
          <w:sz w:val="22"/>
          <w:szCs w:val="22"/>
        </w:rPr>
        <w:t>Patient experience in adult NHS services (CG138)</w:t>
      </w:r>
      <w:r w:rsidRPr="00F72862">
        <w:rPr>
          <w:rFonts w:ascii="Arial" w:hAnsi="Arial" w:cs="Arial"/>
          <w:sz w:val="22"/>
          <w:szCs w:val="22"/>
        </w:rPr>
        <w:t xml:space="preserve">. Available at: </w:t>
      </w:r>
      <w:hyperlink r:id="rId16" w:history="1">
        <w:r w:rsidRPr="00F72862">
          <w:rPr>
            <w:rStyle w:val="Hyperlink"/>
            <w:rFonts w:ascii="Arial" w:hAnsi="Arial" w:cs="Arial"/>
            <w:sz w:val="22"/>
            <w:szCs w:val="22"/>
          </w:rPr>
          <w:t>https://www.nice.org.uk/guidance/cg138</w:t>
        </w:r>
      </w:hyperlink>
      <w:r w:rsidRPr="00F72862">
        <w:rPr>
          <w:rFonts w:ascii="Arial" w:hAnsi="Arial" w:cs="Arial"/>
          <w:sz w:val="22"/>
          <w:szCs w:val="22"/>
        </w:rPr>
        <w:t xml:space="preserve"> (Accessed: 28 February 2026).</w:t>
      </w:r>
    </w:p>
    <w:p w14:paraId="79AF5C68"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NHS Digital (2021) </w:t>
      </w:r>
      <w:r w:rsidRPr="00F72862">
        <w:rPr>
          <w:rFonts w:ascii="Arial" w:hAnsi="Arial" w:cs="Arial"/>
          <w:i/>
          <w:iCs/>
          <w:sz w:val="22"/>
          <w:szCs w:val="22"/>
        </w:rPr>
        <w:t>Data security and protection toolkit</w:t>
      </w:r>
      <w:r w:rsidRPr="00F72862">
        <w:rPr>
          <w:rFonts w:ascii="Arial" w:hAnsi="Arial" w:cs="Arial"/>
          <w:sz w:val="22"/>
          <w:szCs w:val="22"/>
        </w:rPr>
        <w:t xml:space="preserve">. Available at: </w:t>
      </w:r>
      <w:hyperlink r:id="rId17" w:history="1">
        <w:r w:rsidRPr="00F72862">
          <w:rPr>
            <w:rStyle w:val="Hyperlink"/>
            <w:rFonts w:ascii="Arial" w:hAnsi="Arial" w:cs="Arial"/>
            <w:sz w:val="22"/>
            <w:szCs w:val="22"/>
          </w:rPr>
          <w:t>https://www.dsptoolkit.nhs.uk</w:t>
        </w:r>
      </w:hyperlink>
      <w:r w:rsidRPr="00F72862">
        <w:rPr>
          <w:rFonts w:ascii="Arial" w:hAnsi="Arial" w:cs="Arial"/>
          <w:sz w:val="22"/>
          <w:szCs w:val="22"/>
        </w:rPr>
        <w:t xml:space="preserve"> (Accessed: 28 February 2026).</w:t>
      </w:r>
    </w:p>
    <w:p w14:paraId="5778E7D5"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NHS England (2021) </w:t>
      </w:r>
      <w:r w:rsidRPr="00F72862">
        <w:rPr>
          <w:rFonts w:ascii="Arial" w:hAnsi="Arial" w:cs="Arial"/>
          <w:i/>
          <w:iCs/>
          <w:sz w:val="22"/>
          <w:szCs w:val="22"/>
        </w:rPr>
        <w:t>Domiciliary care workforce report</w:t>
      </w:r>
      <w:r w:rsidRPr="00F72862">
        <w:rPr>
          <w:rFonts w:ascii="Arial" w:hAnsi="Arial" w:cs="Arial"/>
          <w:sz w:val="22"/>
          <w:szCs w:val="22"/>
        </w:rPr>
        <w:t xml:space="preserve">. Available at: </w:t>
      </w:r>
      <w:hyperlink r:id="rId18" w:history="1">
        <w:r w:rsidRPr="00F72862">
          <w:rPr>
            <w:rStyle w:val="Hyperlink"/>
            <w:rFonts w:ascii="Arial" w:hAnsi="Arial" w:cs="Arial"/>
            <w:sz w:val="22"/>
            <w:szCs w:val="22"/>
          </w:rPr>
          <w:t>https://www.england.nhs.uk/publication/domiciliary-care-workforce</w:t>
        </w:r>
      </w:hyperlink>
      <w:r w:rsidRPr="00F72862">
        <w:rPr>
          <w:rFonts w:ascii="Arial" w:hAnsi="Arial" w:cs="Arial"/>
          <w:sz w:val="22"/>
          <w:szCs w:val="22"/>
        </w:rPr>
        <w:t xml:space="preserve"> (Accessed: 28 February 2026).</w:t>
      </w:r>
    </w:p>
    <w:p w14:paraId="5462BF81" w14:textId="77777777" w:rsidR="00F72862" w:rsidRPr="00F72862" w:rsidRDefault="00F72862" w:rsidP="008D7FCA">
      <w:pPr>
        <w:rPr>
          <w:rFonts w:ascii="Arial" w:hAnsi="Arial" w:cs="Arial"/>
          <w:sz w:val="22"/>
          <w:szCs w:val="22"/>
        </w:rPr>
      </w:pPr>
      <w:r w:rsidRPr="00F72862">
        <w:rPr>
          <w:rFonts w:ascii="Arial" w:hAnsi="Arial" w:cs="Arial"/>
          <w:sz w:val="22"/>
          <w:szCs w:val="22"/>
        </w:rPr>
        <w:t>NHS England (2022</w:t>
      </w:r>
      <w:r w:rsidRPr="00F72862">
        <w:rPr>
          <w:rFonts w:ascii="Arial" w:hAnsi="Arial" w:cs="Arial"/>
          <w:i/>
          <w:iCs/>
          <w:sz w:val="22"/>
          <w:szCs w:val="22"/>
        </w:rPr>
        <w:t>) Integrated care systems: Design framework</w:t>
      </w:r>
      <w:r w:rsidRPr="00F72862">
        <w:rPr>
          <w:rFonts w:ascii="Arial" w:hAnsi="Arial" w:cs="Arial"/>
          <w:sz w:val="22"/>
          <w:szCs w:val="22"/>
        </w:rPr>
        <w:t xml:space="preserve">. Available at: </w:t>
      </w:r>
      <w:hyperlink r:id="rId19" w:history="1">
        <w:r w:rsidRPr="00F72862">
          <w:rPr>
            <w:rStyle w:val="Hyperlink"/>
            <w:rFonts w:ascii="Arial" w:hAnsi="Arial" w:cs="Arial"/>
            <w:sz w:val="22"/>
            <w:szCs w:val="22"/>
          </w:rPr>
          <w:t>https://www.england.nhs.uk/integratedcare</w:t>
        </w:r>
      </w:hyperlink>
      <w:r w:rsidRPr="00F72862">
        <w:rPr>
          <w:rFonts w:ascii="Arial" w:hAnsi="Arial" w:cs="Arial"/>
          <w:sz w:val="22"/>
          <w:szCs w:val="22"/>
        </w:rPr>
        <w:t xml:space="preserve"> (Accessed: 28 February 2026).</w:t>
      </w:r>
    </w:p>
    <w:p w14:paraId="6B598BA1"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Nursing and Midwifery Council (NMC) (2018) </w:t>
      </w:r>
      <w:r w:rsidRPr="00F72862">
        <w:rPr>
          <w:rFonts w:ascii="Arial" w:hAnsi="Arial" w:cs="Arial"/>
          <w:i/>
          <w:iCs/>
          <w:sz w:val="22"/>
          <w:szCs w:val="22"/>
        </w:rPr>
        <w:t>The code: Professional standards of practice and behaviour for nurses, midwives and nursing associates</w:t>
      </w:r>
      <w:r w:rsidRPr="00F72862">
        <w:rPr>
          <w:rFonts w:ascii="Arial" w:hAnsi="Arial" w:cs="Arial"/>
          <w:sz w:val="22"/>
          <w:szCs w:val="22"/>
        </w:rPr>
        <w:t xml:space="preserve">. Available at: </w:t>
      </w:r>
      <w:hyperlink r:id="rId20" w:history="1">
        <w:r w:rsidRPr="00F72862">
          <w:rPr>
            <w:rStyle w:val="Hyperlink"/>
            <w:rFonts w:ascii="Arial" w:hAnsi="Arial" w:cs="Arial"/>
            <w:sz w:val="22"/>
            <w:szCs w:val="22"/>
          </w:rPr>
          <w:t>https://www.nmc.org.uk/standards/code</w:t>
        </w:r>
      </w:hyperlink>
      <w:r w:rsidRPr="00F72862">
        <w:rPr>
          <w:rFonts w:ascii="Arial" w:hAnsi="Arial" w:cs="Arial"/>
          <w:sz w:val="22"/>
          <w:szCs w:val="22"/>
        </w:rPr>
        <w:t xml:space="preserve"> (Accessed: 28 February 2026).</w:t>
      </w:r>
    </w:p>
    <w:p w14:paraId="654EA289"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Public Health England (2020) </w:t>
      </w:r>
      <w:r w:rsidRPr="00F72862">
        <w:rPr>
          <w:rFonts w:ascii="Arial" w:hAnsi="Arial" w:cs="Arial"/>
          <w:i/>
          <w:iCs/>
          <w:sz w:val="22"/>
          <w:szCs w:val="22"/>
        </w:rPr>
        <w:t>Health inequalities and language barriers</w:t>
      </w:r>
      <w:r w:rsidRPr="00F72862">
        <w:rPr>
          <w:rFonts w:ascii="Arial" w:hAnsi="Arial" w:cs="Arial"/>
          <w:sz w:val="22"/>
          <w:szCs w:val="22"/>
        </w:rPr>
        <w:t xml:space="preserve">. Available at: </w:t>
      </w:r>
      <w:hyperlink r:id="rId21" w:history="1">
        <w:r w:rsidRPr="00F72862">
          <w:rPr>
            <w:rStyle w:val="Hyperlink"/>
            <w:rFonts w:ascii="Arial" w:hAnsi="Arial" w:cs="Arial"/>
            <w:sz w:val="22"/>
            <w:szCs w:val="22"/>
          </w:rPr>
          <w:t>https://www.gov.uk/government/publications/health-inequalities-language-barriers</w:t>
        </w:r>
      </w:hyperlink>
      <w:r w:rsidRPr="00F72862">
        <w:rPr>
          <w:rFonts w:ascii="Arial" w:hAnsi="Arial" w:cs="Arial"/>
          <w:sz w:val="22"/>
          <w:szCs w:val="22"/>
        </w:rPr>
        <w:t xml:space="preserve"> (Accessed: 28 February 2026).</w:t>
      </w:r>
    </w:p>
    <w:p w14:paraId="3AF8E7DA" w14:textId="77777777" w:rsidR="00BB5033" w:rsidRDefault="00F72862" w:rsidP="008D7FCA">
      <w:r w:rsidRPr="00F72862">
        <w:rPr>
          <w:rFonts w:ascii="Arial" w:hAnsi="Arial" w:cs="Arial"/>
          <w:sz w:val="22"/>
          <w:szCs w:val="22"/>
        </w:rPr>
        <w:t>Royal College of Speech and Language Therapists (RCSLT) (2020</w:t>
      </w:r>
      <w:r w:rsidRPr="00F72862">
        <w:rPr>
          <w:rFonts w:ascii="Arial" w:hAnsi="Arial" w:cs="Arial"/>
          <w:i/>
          <w:iCs/>
          <w:sz w:val="22"/>
          <w:szCs w:val="22"/>
        </w:rPr>
        <w:t>) Supporting communication after stroke.</w:t>
      </w:r>
      <w:r w:rsidRPr="00F72862">
        <w:rPr>
          <w:rFonts w:ascii="Arial" w:hAnsi="Arial" w:cs="Arial"/>
          <w:sz w:val="22"/>
          <w:szCs w:val="22"/>
        </w:rPr>
        <w:t xml:space="preserve"> Available at: </w:t>
      </w:r>
      <w:hyperlink r:id="rId22" w:history="1">
        <w:r w:rsidRPr="00F72862">
          <w:rPr>
            <w:rStyle w:val="Hyperlink"/>
            <w:rFonts w:ascii="Arial" w:hAnsi="Arial" w:cs="Arial"/>
            <w:sz w:val="22"/>
            <w:szCs w:val="22"/>
          </w:rPr>
          <w:t>https://www.rcslt.org</w:t>
        </w:r>
      </w:hyperlink>
      <w:r w:rsidRPr="00F72862">
        <w:rPr>
          <w:rFonts w:ascii="Arial" w:hAnsi="Arial" w:cs="Arial"/>
          <w:sz w:val="22"/>
          <w:szCs w:val="22"/>
        </w:rPr>
        <w:t xml:space="preserve"> (Accessed: 28 February 2026).</w:t>
      </w:r>
      <w:r w:rsidR="00BB5033" w:rsidRPr="00BB5033">
        <w:t xml:space="preserve"> </w:t>
      </w:r>
    </w:p>
    <w:p w14:paraId="14BE5623" w14:textId="78DC6AC4" w:rsidR="00F72862" w:rsidRPr="00F72862" w:rsidRDefault="00BB5033" w:rsidP="008D7FCA">
      <w:pPr>
        <w:rPr>
          <w:rFonts w:ascii="Arial" w:hAnsi="Arial" w:cs="Arial"/>
          <w:sz w:val="22"/>
          <w:szCs w:val="22"/>
        </w:rPr>
      </w:pPr>
      <w:r w:rsidRPr="00BB5033">
        <w:rPr>
          <w:rFonts w:ascii="Arial" w:hAnsi="Arial" w:cs="Arial"/>
          <w:sz w:val="22"/>
          <w:szCs w:val="22"/>
        </w:rPr>
        <w:lastRenderedPageBreak/>
        <w:t>Shannon, C.E. and Weaver, W., 1949</w:t>
      </w:r>
      <w:r w:rsidRPr="00BB5033">
        <w:rPr>
          <w:rFonts w:ascii="Arial" w:hAnsi="Arial" w:cs="Arial"/>
          <w:i/>
          <w:iCs/>
          <w:sz w:val="22"/>
          <w:szCs w:val="22"/>
        </w:rPr>
        <w:t>. A mathematical model of communication</w:t>
      </w:r>
      <w:r w:rsidRPr="00BB5033">
        <w:rPr>
          <w:rFonts w:ascii="Arial" w:hAnsi="Arial" w:cs="Arial"/>
          <w:sz w:val="22"/>
          <w:szCs w:val="22"/>
        </w:rPr>
        <w:t>. Urbana, IL: University of Illinois Press, 11, pp.11-20.</w:t>
      </w:r>
    </w:p>
    <w:p w14:paraId="64FB338F"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Skills for Care (2021) </w:t>
      </w:r>
      <w:r w:rsidRPr="00F72862">
        <w:rPr>
          <w:rFonts w:ascii="Arial" w:hAnsi="Arial" w:cs="Arial"/>
          <w:i/>
          <w:iCs/>
          <w:sz w:val="22"/>
          <w:szCs w:val="22"/>
        </w:rPr>
        <w:t>Effective communication in care settings</w:t>
      </w:r>
      <w:r w:rsidRPr="00F72862">
        <w:rPr>
          <w:rFonts w:ascii="Arial" w:hAnsi="Arial" w:cs="Arial"/>
          <w:sz w:val="22"/>
          <w:szCs w:val="22"/>
        </w:rPr>
        <w:t xml:space="preserve">. Available at: </w:t>
      </w:r>
      <w:hyperlink r:id="rId23" w:history="1">
        <w:r w:rsidRPr="00F72862">
          <w:rPr>
            <w:rStyle w:val="Hyperlink"/>
            <w:rFonts w:ascii="Arial" w:hAnsi="Arial" w:cs="Arial"/>
            <w:sz w:val="22"/>
            <w:szCs w:val="22"/>
          </w:rPr>
          <w:t>https://www.skillsforcare.org.uk</w:t>
        </w:r>
      </w:hyperlink>
      <w:r w:rsidRPr="00F72862">
        <w:rPr>
          <w:rFonts w:ascii="Arial" w:hAnsi="Arial" w:cs="Arial"/>
          <w:sz w:val="22"/>
          <w:szCs w:val="22"/>
        </w:rPr>
        <w:t>(Accessed: 28 February 2026).</w:t>
      </w:r>
    </w:p>
    <w:p w14:paraId="13F5F3A8" w14:textId="77777777" w:rsidR="00F72862" w:rsidRPr="00F72862" w:rsidRDefault="00F72862" w:rsidP="008D7FCA">
      <w:pPr>
        <w:rPr>
          <w:rFonts w:ascii="Arial" w:hAnsi="Arial" w:cs="Arial"/>
          <w:sz w:val="22"/>
          <w:szCs w:val="22"/>
        </w:rPr>
      </w:pPr>
      <w:r w:rsidRPr="00F72862">
        <w:rPr>
          <w:rFonts w:ascii="Arial" w:hAnsi="Arial" w:cs="Arial"/>
          <w:sz w:val="22"/>
          <w:szCs w:val="22"/>
        </w:rPr>
        <w:t>Social Care Institute for Excellence (SCIE) (2020</w:t>
      </w:r>
      <w:r w:rsidRPr="00F72862">
        <w:rPr>
          <w:rFonts w:ascii="Arial" w:hAnsi="Arial" w:cs="Arial"/>
          <w:i/>
          <w:iCs/>
          <w:sz w:val="22"/>
          <w:szCs w:val="22"/>
        </w:rPr>
        <w:t>) Person-centred care and communication</w:t>
      </w:r>
      <w:r w:rsidRPr="00F72862">
        <w:rPr>
          <w:rFonts w:ascii="Arial" w:hAnsi="Arial" w:cs="Arial"/>
          <w:sz w:val="22"/>
          <w:szCs w:val="22"/>
        </w:rPr>
        <w:t xml:space="preserve">. Available at: </w:t>
      </w:r>
      <w:hyperlink r:id="rId24" w:history="1">
        <w:r w:rsidRPr="00F72862">
          <w:rPr>
            <w:rStyle w:val="Hyperlink"/>
            <w:rFonts w:ascii="Arial" w:hAnsi="Arial" w:cs="Arial"/>
            <w:sz w:val="22"/>
            <w:szCs w:val="22"/>
          </w:rPr>
          <w:t>https://www.scie.org.uk/person-centred-care/communication</w:t>
        </w:r>
      </w:hyperlink>
      <w:r w:rsidRPr="00F72862">
        <w:rPr>
          <w:rFonts w:ascii="Arial" w:hAnsi="Arial" w:cs="Arial"/>
          <w:sz w:val="22"/>
          <w:szCs w:val="22"/>
        </w:rPr>
        <w:t xml:space="preserve"> (Accessed: 28 February 2026).</w:t>
      </w:r>
    </w:p>
    <w:p w14:paraId="5D912D6D"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Stroke Association (2023) </w:t>
      </w:r>
      <w:r w:rsidRPr="00F72862">
        <w:rPr>
          <w:rFonts w:ascii="Arial" w:hAnsi="Arial" w:cs="Arial"/>
          <w:i/>
          <w:iCs/>
          <w:sz w:val="22"/>
          <w:szCs w:val="22"/>
        </w:rPr>
        <w:t>Communication problems after stroke</w:t>
      </w:r>
      <w:r w:rsidRPr="00F72862">
        <w:rPr>
          <w:rFonts w:ascii="Arial" w:hAnsi="Arial" w:cs="Arial"/>
          <w:sz w:val="22"/>
          <w:szCs w:val="22"/>
        </w:rPr>
        <w:t xml:space="preserve">. Available at: </w:t>
      </w:r>
      <w:hyperlink r:id="rId25" w:history="1">
        <w:r w:rsidRPr="00F72862">
          <w:rPr>
            <w:rStyle w:val="Hyperlink"/>
            <w:rFonts w:ascii="Arial" w:hAnsi="Arial" w:cs="Arial"/>
            <w:sz w:val="22"/>
            <w:szCs w:val="22"/>
          </w:rPr>
          <w:t>https://www.stroke.org.uk/what-is-stroke/communication-problems</w:t>
        </w:r>
      </w:hyperlink>
      <w:r w:rsidRPr="00F72862">
        <w:rPr>
          <w:rFonts w:ascii="Arial" w:hAnsi="Arial" w:cs="Arial"/>
          <w:sz w:val="22"/>
          <w:szCs w:val="22"/>
        </w:rPr>
        <w:t xml:space="preserve"> (Accessed: 28 February 2026).</w:t>
      </w:r>
    </w:p>
    <w:p w14:paraId="25888DAF" w14:textId="77777777" w:rsidR="00F72862" w:rsidRPr="00F72862" w:rsidRDefault="00F72862" w:rsidP="008D7FCA">
      <w:pPr>
        <w:rPr>
          <w:rFonts w:ascii="Arial" w:hAnsi="Arial" w:cs="Arial"/>
          <w:sz w:val="22"/>
          <w:szCs w:val="22"/>
        </w:rPr>
      </w:pPr>
      <w:r w:rsidRPr="00F72862">
        <w:rPr>
          <w:rFonts w:ascii="Arial" w:hAnsi="Arial" w:cs="Arial"/>
          <w:sz w:val="22"/>
          <w:szCs w:val="22"/>
        </w:rPr>
        <w:t xml:space="preserve">The King’s Fund (2022) </w:t>
      </w:r>
      <w:r w:rsidRPr="00F72862">
        <w:rPr>
          <w:rFonts w:ascii="Arial" w:hAnsi="Arial" w:cs="Arial"/>
          <w:i/>
          <w:iCs/>
          <w:sz w:val="22"/>
          <w:szCs w:val="22"/>
        </w:rPr>
        <w:t>Integrated care systems explained</w:t>
      </w:r>
      <w:r w:rsidRPr="00F72862">
        <w:rPr>
          <w:rFonts w:ascii="Arial" w:hAnsi="Arial" w:cs="Arial"/>
          <w:sz w:val="22"/>
          <w:szCs w:val="22"/>
        </w:rPr>
        <w:t xml:space="preserve">. Available at: </w:t>
      </w:r>
      <w:hyperlink r:id="rId26" w:history="1">
        <w:r w:rsidRPr="00F72862">
          <w:rPr>
            <w:rStyle w:val="Hyperlink"/>
            <w:rFonts w:ascii="Arial" w:hAnsi="Arial" w:cs="Arial"/>
            <w:sz w:val="22"/>
            <w:szCs w:val="22"/>
          </w:rPr>
          <w:t>https://www.kingsfund.org.uk/publications/integrated-care-systems-explained</w:t>
        </w:r>
      </w:hyperlink>
      <w:r w:rsidRPr="00F72862">
        <w:rPr>
          <w:rFonts w:ascii="Arial" w:hAnsi="Arial" w:cs="Arial"/>
          <w:sz w:val="22"/>
          <w:szCs w:val="22"/>
        </w:rPr>
        <w:t xml:space="preserve"> (Accessed: 28 February 2026).</w:t>
      </w:r>
    </w:p>
    <w:sectPr w:rsidR="00F72862" w:rsidRPr="00F72862" w:rsidSect="0078108F">
      <w:footerReference w:type="default" r:id="rId2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46142D" w14:textId="77777777" w:rsidR="00435E4D" w:rsidRDefault="00435E4D" w:rsidP="00500EFF">
      <w:pPr>
        <w:spacing w:after="0" w:line="240" w:lineRule="auto"/>
      </w:pPr>
      <w:r>
        <w:separator/>
      </w:r>
    </w:p>
  </w:endnote>
  <w:endnote w:type="continuationSeparator" w:id="0">
    <w:p w14:paraId="09D1C58F" w14:textId="77777777" w:rsidR="00435E4D" w:rsidRDefault="00435E4D" w:rsidP="00500E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3925623"/>
      <w:docPartObj>
        <w:docPartGallery w:val="Page Numbers (Bottom of Page)"/>
        <w:docPartUnique/>
      </w:docPartObj>
    </w:sdtPr>
    <w:sdtEndPr/>
    <w:sdtContent>
      <w:p w14:paraId="6AE1D594" w14:textId="673DB1ED" w:rsidR="00500EFF" w:rsidRDefault="00500EFF">
        <w:pPr>
          <w:pStyle w:val="Footer"/>
        </w:pPr>
        <w:r>
          <w:fldChar w:fldCharType="begin"/>
        </w:r>
        <w:r>
          <w:instrText>PAGE   \* MERGEFORMAT</w:instrText>
        </w:r>
        <w:r>
          <w:fldChar w:fldCharType="separate"/>
        </w:r>
        <w:r>
          <w:t>2</w:t>
        </w:r>
        <w:r>
          <w:fldChar w:fldCharType="end"/>
        </w:r>
      </w:p>
    </w:sdtContent>
  </w:sdt>
  <w:p w14:paraId="29AA4C3E" w14:textId="77777777" w:rsidR="00500EFF" w:rsidRDefault="00500E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88BB4A" w14:textId="77777777" w:rsidR="00435E4D" w:rsidRDefault="00435E4D" w:rsidP="00500EFF">
      <w:pPr>
        <w:spacing w:after="0" w:line="240" w:lineRule="auto"/>
      </w:pPr>
      <w:r>
        <w:separator/>
      </w:r>
    </w:p>
  </w:footnote>
  <w:footnote w:type="continuationSeparator" w:id="0">
    <w:p w14:paraId="787110AB" w14:textId="77777777" w:rsidR="00435E4D" w:rsidRDefault="00435E4D" w:rsidP="00500EF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FA5FBE"/>
    <w:multiLevelType w:val="hybridMultilevel"/>
    <w:tmpl w:val="874E5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15501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C95"/>
    <w:rsid w:val="000014F2"/>
    <w:rsid w:val="00031364"/>
    <w:rsid w:val="000425D8"/>
    <w:rsid w:val="00057F6B"/>
    <w:rsid w:val="00090C46"/>
    <w:rsid w:val="000A1EB3"/>
    <w:rsid w:val="000B100B"/>
    <w:rsid w:val="000C39A5"/>
    <w:rsid w:val="000E217F"/>
    <w:rsid w:val="00105498"/>
    <w:rsid w:val="00125A31"/>
    <w:rsid w:val="001409D8"/>
    <w:rsid w:val="001768E3"/>
    <w:rsid w:val="00184718"/>
    <w:rsid w:val="001B13CB"/>
    <w:rsid w:val="001B47B2"/>
    <w:rsid w:val="001E05F3"/>
    <w:rsid w:val="001E76E2"/>
    <w:rsid w:val="001F2745"/>
    <w:rsid w:val="001F4FB4"/>
    <w:rsid w:val="002214C1"/>
    <w:rsid w:val="00254788"/>
    <w:rsid w:val="002606D1"/>
    <w:rsid w:val="00275B17"/>
    <w:rsid w:val="00294168"/>
    <w:rsid w:val="00296A47"/>
    <w:rsid w:val="002C313E"/>
    <w:rsid w:val="002C3E90"/>
    <w:rsid w:val="00303836"/>
    <w:rsid w:val="00304506"/>
    <w:rsid w:val="003053E6"/>
    <w:rsid w:val="00307EC6"/>
    <w:rsid w:val="00336B23"/>
    <w:rsid w:val="00343030"/>
    <w:rsid w:val="00363723"/>
    <w:rsid w:val="003764B2"/>
    <w:rsid w:val="00395FA1"/>
    <w:rsid w:val="003B46DC"/>
    <w:rsid w:val="003D619D"/>
    <w:rsid w:val="003F4CCC"/>
    <w:rsid w:val="00435E4D"/>
    <w:rsid w:val="00445862"/>
    <w:rsid w:val="00451387"/>
    <w:rsid w:val="00464C98"/>
    <w:rsid w:val="00470A99"/>
    <w:rsid w:val="004A03B8"/>
    <w:rsid w:val="004C3545"/>
    <w:rsid w:val="004D309D"/>
    <w:rsid w:val="004E232B"/>
    <w:rsid w:val="004E4B1D"/>
    <w:rsid w:val="00500EFF"/>
    <w:rsid w:val="00507864"/>
    <w:rsid w:val="0054591D"/>
    <w:rsid w:val="00572CE1"/>
    <w:rsid w:val="005851D2"/>
    <w:rsid w:val="005858E8"/>
    <w:rsid w:val="005A292F"/>
    <w:rsid w:val="005B618B"/>
    <w:rsid w:val="005C3D98"/>
    <w:rsid w:val="005C7079"/>
    <w:rsid w:val="005D605C"/>
    <w:rsid w:val="005F4EC3"/>
    <w:rsid w:val="00655C7B"/>
    <w:rsid w:val="0066412A"/>
    <w:rsid w:val="00681064"/>
    <w:rsid w:val="006B7E2D"/>
    <w:rsid w:val="00715527"/>
    <w:rsid w:val="0073596B"/>
    <w:rsid w:val="0078108F"/>
    <w:rsid w:val="007B5D4D"/>
    <w:rsid w:val="007B6B53"/>
    <w:rsid w:val="007D17D4"/>
    <w:rsid w:val="007D2348"/>
    <w:rsid w:val="007F1243"/>
    <w:rsid w:val="007F5BB1"/>
    <w:rsid w:val="00803EAD"/>
    <w:rsid w:val="0085063D"/>
    <w:rsid w:val="00851247"/>
    <w:rsid w:val="00856050"/>
    <w:rsid w:val="008926FF"/>
    <w:rsid w:val="008C1DF8"/>
    <w:rsid w:val="008D2498"/>
    <w:rsid w:val="008D7FCA"/>
    <w:rsid w:val="00954832"/>
    <w:rsid w:val="00962CB3"/>
    <w:rsid w:val="00963C05"/>
    <w:rsid w:val="009A5B9D"/>
    <w:rsid w:val="009C1C12"/>
    <w:rsid w:val="009F72BC"/>
    <w:rsid w:val="00A44F95"/>
    <w:rsid w:val="00A753E6"/>
    <w:rsid w:val="00AA0C95"/>
    <w:rsid w:val="00AA6DD8"/>
    <w:rsid w:val="00AD5D24"/>
    <w:rsid w:val="00AE275C"/>
    <w:rsid w:val="00AF0A58"/>
    <w:rsid w:val="00B0040E"/>
    <w:rsid w:val="00B03F6F"/>
    <w:rsid w:val="00B13025"/>
    <w:rsid w:val="00B300B9"/>
    <w:rsid w:val="00B3150D"/>
    <w:rsid w:val="00B63B62"/>
    <w:rsid w:val="00B67DEC"/>
    <w:rsid w:val="00B80D8F"/>
    <w:rsid w:val="00B939F7"/>
    <w:rsid w:val="00BB5033"/>
    <w:rsid w:val="00BC144C"/>
    <w:rsid w:val="00BC5694"/>
    <w:rsid w:val="00C01331"/>
    <w:rsid w:val="00C15D27"/>
    <w:rsid w:val="00C17FDE"/>
    <w:rsid w:val="00C22E66"/>
    <w:rsid w:val="00C456A7"/>
    <w:rsid w:val="00C8103B"/>
    <w:rsid w:val="00C90A92"/>
    <w:rsid w:val="00C9720A"/>
    <w:rsid w:val="00CC1E10"/>
    <w:rsid w:val="00CE3093"/>
    <w:rsid w:val="00CF62A7"/>
    <w:rsid w:val="00D84AB7"/>
    <w:rsid w:val="00D86DB2"/>
    <w:rsid w:val="00DB791E"/>
    <w:rsid w:val="00DF3483"/>
    <w:rsid w:val="00E20D02"/>
    <w:rsid w:val="00E621B7"/>
    <w:rsid w:val="00E80FAF"/>
    <w:rsid w:val="00E92934"/>
    <w:rsid w:val="00EA559D"/>
    <w:rsid w:val="00EB1F02"/>
    <w:rsid w:val="00EC056D"/>
    <w:rsid w:val="00EF4863"/>
    <w:rsid w:val="00F021ED"/>
    <w:rsid w:val="00F07A5B"/>
    <w:rsid w:val="00F1149A"/>
    <w:rsid w:val="00F3543B"/>
    <w:rsid w:val="00F365BE"/>
    <w:rsid w:val="00F41EE5"/>
    <w:rsid w:val="00F62CEA"/>
    <w:rsid w:val="00F72862"/>
    <w:rsid w:val="00F916A6"/>
    <w:rsid w:val="00FB41B1"/>
    <w:rsid w:val="00FC0288"/>
    <w:rsid w:val="00FC7638"/>
    <w:rsid w:val="00FD2718"/>
    <w:rsid w:val="00FD49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1BEA0A"/>
  <w15:chartTrackingRefBased/>
  <w15:docId w15:val="{4DC1638D-8176-41D9-89C2-114821B1E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0C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0C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0C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0C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0C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0C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0C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0C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0C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0C9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0C9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0C9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0C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0C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0C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0C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0C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0C95"/>
    <w:rPr>
      <w:rFonts w:eastAsiaTheme="majorEastAsia" w:cstheme="majorBidi"/>
      <w:color w:val="272727" w:themeColor="text1" w:themeTint="D8"/>
    </w:rPr>
  </w:style>
  <w:style w:type="paragraph" w:styleId="Title">
    <w:name w:val="Title"/>
    <w:basedOn w:val="Normal"/>
    <w:next w:val="Normal"/>
    <w:link w:val="TitleChar"/>
    <w:uiPriority w:val="10"/>
    <w:qFormat/>
    <w:rsid w:val="00AA0C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0C9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0C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0C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0C95"/>
    <w:pPr>
      <w:spacing w:before="160"/>
      <w:jc w:val="center"/>
    </w:pPr>
    <w:rPr>
      <w:i/>
      <w:iCs/>
      <w:color w:val="404040" w:themeColor="text1" w:themeTint="BF"/>
    </w:rPr>
  </w:style>
  <w:style w:type="character" w:customStyle="1" w:styleId="QuoteChar">
    <w:name w:val="Quote Char"/>
    <w:basedOn w:val="DefaultParagraphFont"/>
    <w:link w:val="Quote"/>
    <w:uiPriority w:val="29"/>
    <w:rsid w:val="00AA0C95"/>
    <w:rPr>
      <w:i/>
      <w:iCs/>
      <w:color w:val="404040" w:themeColor="text1" w:themeTint="BF"/>
    </w:rPr>
  </w:style>
  <w:style w:type="paragraph" w:styleId="ListParagraph">
    <w:name w:val="List Paragraph"/>
    <w:basedOn w:val="Normal"/>
    <w:uiPriority w:val="34"/>
    <w:qFormat/>
    <w:rsid w:val="00AA0C95"/>
    <w:pPr>
      <w:ind w:left="720"/>
      <w:contextualSpacing/>
    </w:pPr>
  </w:style>
  <w:style w:type="character" w:styleId="IntenseEmphasis">
    <w:name w:val="Intense Emphasis"/>
    <w:basedOn w:val="DefaultParagraphFont"/>
    <w:uiPriority w:val="21"/>
    <w:qFormat/>
    <w:rsid w:val="00AA0C95"/>
    <w:rPr>
      <w:i/>
      <w:iCs/>
      <w:color w:val="0F4761" w:themeColor="accent1" w:themeShade="BF"/>
    </w:rPr>
  </w:style>
  <w:style w:type="paragraph" w:styleId="IntenseQuote">
    <w:name w:val="Intense Quote"/>
    <w:basedOn w:val="Normal"/>
    <w:next w:val="Normal"/>
    <w:link w:val="IntenseQuoteChar"/>
    <w:uiPriority w:val="30"/>
    <w:qFormat/>
    <w:rsid w:val="00AA0C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0C95"/>
    <w:rPr>
      <w:i/>
      <w:iCs/>
      <w:color w:val="0F4761" w:themeColor="accent1" w:themeShade="BF"/>
    </w:rPr>
  </w:style>
  <w:style w:type="character" w:styleId="IntenseReference">
    <w:name w:val="Intense Reference"/>
    <w:basedOn w:val="DefaultParagraphFont"/>
    <w:uiPriority w:val="32"/>
    <w:qFormat/>
    <w:rsid w:val="00AA0C95"/>
    <w:rPr>
      <w:b/>
      <w:bCs/>
      <w:smallCaps/>
      <w:color w:val="0F4761" w:themeColor="accent1" w:themeShade="BF"/>
      <w:spacing w:val="5"/>
    </w:rPr>
  </w:style>
  <w:style w:type="character" w:styleId="Hyperlink">
    <w:name w:val="Hyperlink"/>
    <w:basedOn w:val="DefaultParagraphFont"/>
    <w:uiPriority w:val="99"/>
    <w:unhideWhenUsed/>
    <w:rsid w:val="005851D2"/>
    <w:rPr>
      <w:color w:val="467886" w:themeColor="hyperlink"/>
      <w:u w:val="single"/>
    </w:rPr>
  </w:style>
  <w:style w:type="character" w:styleId="UnresolvedMention">
    <w:name w:val="Unresolved Mention"/>
    <w:basedOn w:val="DefaultParagraphFont"/>
    <w:uiPriority w:val="99"/>
    <w:semiHidden/>
    <w:unhideWhenUsed/>
    <w:rsid w:val="005851D2"/>
    <w:rPr>
      <w:color w:val="605E5C"/>
      <w:shd w:val="clear" w:color="auto" w:fill="E1DFDD"/>
    </w:rPr>
  </w:style>
  <w:style w:type="paragraph" w:styleId="Header">
    <w:name w:val="header"/>
    <w:basedOn w:val="Normal"/>
    <w:link w:val="HeaderChar"/>
    <w:uiPriority w:val="99"/>
    <w:unhideWhenUsed/>
    <w:rsid w:val="00500E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EFF"/>
  </w:style>
  <w:style w:type="paragraph" w:styleId="Footer">
    <w:name w:val="footer"/>
    <w:basedOn w:val="Normal"/>
    <w:link w:val="FooterChar"/>
    <w:uiPriority w:val="99"/>
    <w:unhideWhenUsed/>
    <w:rsid w:val="00500E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EFF"/>
  </w:style>
  <w:style w:type="paragraph" w:styleId="TOCHeading">
    <w:name w:val="TOC Heading"/>
    <w:basedOn w:val="Heading1"/>
    <w:next w:val="Normal"/>
    <w:uiPriority w:val="39"/>
    <w:unhideWhenUsed/>
    <w:qFormat/>
    <w:rsid w:val="00FC7638"/>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5B618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egislation.gov.uk/ukpga/2022/31/contents" TargetMode="External"/><Relationship Id="rId18" Type="http://schemas.openxmlformats.org/officeDocument/2006/relationships/hyperlink" Target="https://www.england.nhs.uk/publication/domiciliary-care-workforce" TargetMode="External"/><Relationship Id="rId26" Type="http://schemas.openxmlformats.org/officeDocument/2006/relationships/hyperlink" Target="https://www.kingsfund.org.uk/publications/integrated-care-systems-explained" TargetMode="External"/><Relationship Id="rId3" Type="http://schemas.openxmlformats.org/officeDocument/2006/relationships/styles" Target="styles.xml"/><Relationship Id="rId21" Type="http://schemas.openxmlformats.org/officeDocument/2006/relationships/hyperlink" Target="https://www.gov.uk/government/publications/health-inequalities-language-barriers" TargetMode="External"/><Relationship Id="rId7" Type="http://schemas.openxmlformats.org/officeDocument/2006/relationships/endnotes" Target="endnotes.xml"/><Relationship Id="rId12" Type="http://schemas.openxmlformats.org/officeDocument/2006/relationships/hyperlink" Target="https://www.legislation.gov.uk/ukpga/2018/12/contents" TargetMode="External"/><Relationship Id="rId17" Type="http://schemas.openxmlformats.org/officeDocument/2006/relationships/hyperlink" Target="https://www.dsptoolkit.nhs.uk" TargetMode="External"/><Relationship Id="rId25" Type="http://schemas.openxmlformats.org/officeDocument/2006/relationships/hyperlink" Target="https://www.stroke.org.uk/what-is-stroke/communication-problems" TargetMode="External"/><Relationship Id="rId2" Type="http://schemas.openxmlformats.org/officeDocument/2006/relationships/numbering" Target="numbering.xml"/><Relationship Id="rId16" Type="http://schemas.openxmlformats.org/officeDocument/2006/relationships/hyperlink" Target="https://www.nice.org.uk/guidance/cg138" TargetMode="External"/><Relationship Id="rId20" Type="http://schemas.openxmlformats.org/officeDocument/2006/relationships/hyperlink" Target="https://www.nmc.org.uk/standards/cod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qc.org.uk/guidance-providers/regulations-enforcement/regulation-17-good-governance" TargetMode="External"/><Relationship Id="rId24" Type="http://schemas.openxmlformats.org/officeDocument/2006/relationships/hyperlink" Target="https://www.scie.org.uk/person-centred-care/communication" TargetMode="External"/><Relationship Id="rId5" Type="http://schemas.openxmlformats.org/officeDocument/2006/relationships/webSettings" Target="webSettings.xml"/><Relationship Id="rId15" Type="http://schemas.openxmlformats.org/officeDocument/2006/relationships/hyperlink" Target="https://www.hqip.org.uk/resource/guide-to-quality-improvement" TargetMode="External"/><Relationship Id="rId23" Type="http://schemas.openxmlformats.org/officeDocument/2006/relationships/hyperlink" Target="https://www.skillsforcare.org.uk" TargetMode="External"/><Relationship Id="rId28" Type="http://schemas.openxmlformats.org/officeDocument/2006/relationships/fontTable" Target="fontTable.xml"/><Relationship Id="rId10" Type="http://schemas.openxmlformats.org/officeDocument/2006/relationships/hyperlink" Target="https://www.gov.uk/government/publications/care-act-statutory-guidance" TargetMode="External"/><Relationship Id="rId19" Type="http://schemas.openxmlformats.org/officeDocument/2006/relationships/hyperlink" Target="https://www.england.nhs.uk/integratedcare" TargetMode="External"/><Relationship Id="rId4" Type="http://schemas.openxmlformats.org/officeDocument/2006/relationships/settings" Target="settings.xml"/><Relationship Id="rId9" Type="http://schemas.openxmlformats.org/officeDocument/2006/relationships/hyperlink" Target="https://www.gov.uk/government/publications/the-information-governance-review" TargetMode="External"/><Relationship Id="rId14" Type="http://schemas.openxmlformats.org/officeDocument/2006/relationships/hyperlink" Target="https://www.gov.uk/guidance/equality-act-2010-guidance" TargetMode="External"/><Relationship Id="rId22" Type="http://schemas.openxmlformats.org/officeDocument/2006/relationships/hyperlink" Target="https://www.rcslt.org"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4BAA066-98C7-4CB1-83AC-505484EBBA41}">
  <we:reference id="wa200000368" version="1.0.0.0" store="en-US" storeType="OMEX"/>
  <we:alternateReferences>
    <we:reference id="wa200000368" version="1.0.0.0" store="en-US" storeType="OMEX"/>
  </we:alternateReferences>
  <we:properties>
    <we:property name="documentId" value="&quot;d3263a6c23ef7234&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27A9BB-D3DD-4924-905C-990DCEA9A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107</TotalTime>
  <Pages>9</Pages>
  <Words>2706</Words>
  <Characters>15429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amina noor</dc:creator>
  <cp:keywords/>
  <dc:description/>
  <cp:lastModifiedBy>amina noor</cp:lastModifiedBy>
  <cp:revision>70</cp:revision>
  <dcterms:created xsi:type="dcterms:W3CDTF">2026-03-01T22:12:00Z</dcterms:created>
  <dcterms:modified xsi:type="dcterms:W3CDTF">2026-03-13T11:21:00Z</dcterms:modified>
</cp:coreProperties>
</file>