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70247" w14:textId="1572C7D4" w:rsidR="002B0260" w:rsidRDefault="002B0260" w:rsidP="002B0260">
      <w:pPr>
        <w:pStyle w:val="NormalWeb"/>
        <w:spacing w:before="0" w:beforeAutospacing="0" w:after="0" w:afterAutospacing="0"/>
        <w:ind w:left="-180" w:right="-334"/>
      </w:pPr>
      <w:bookmarkStart w:id="0" w:name="_jaxm9q799x1" w:colFirst="0" w:colLast="0"/>
      <w:bookmarkEnd w:id="0"/>
      <w:r>
        <w:rPr>
          <w:noProof/>
        </w:rPr>
        <w:drawing>
          <wp:inline distT="0" distB="0" distL="0" distR="0" wp14:anchorId="1F748174" wp14:editId="25358D2B">
            <wp:extent cx="1910080" cy="633730"/>
            <wp:effectExtent l="19050" t="19050" r="13970" b="13970"/>
            <wp:docPr id="1919724183"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724183" name="Picture 1" descr="A black and white logo&#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080" cy="633730"/>
                    </a:xfrm>
                    <a:prstGeom prst="rect">
                      <a:avLst/>
                    </a:prstGeom>
                    <a:noFill/>
                    <a:ln w="19050" cmpd="sng">
                      <a:solidFill>
                        <a:srgbClr val="000000"/>
                      </a:solidFill>
                      <a:miter lim="800000"/>
                      <a:headEnd/>
                      <a:tailEnd/>
                    </a:ln>
                    <a:effectLst/>
                  </pic:spPr>
                </pic:pic>
              </a:graphicData>
            </a:graphic>
          </wp:inline>
        </w:drawing>
      </w:r>
    </w:p>
    <w:p w14:paraId="633F2E0A" w14:textId="77777777" w:rsidR="002B0260" w:rsidRDefault="002B0260" w:rsidP="002B0260">
      <w:pPr>
        <w:pStyle w:val="NormalWeb"/>
        <w:spacing w:before="0" w:beforeAutospacing="0" w:after="0" w:afterAutospacing="0"/>
        <w:ind w:left="-180" w:right="-334"/>
      </w:pPr>
    </w:p>
    <w:p w14:paraId="09D62415" w14:textId="77777777" w:rsidR="002B0260" w:rsidRDefault="002B0260" w:rsidP="002B0260">
      <w:pPr>
        <w:pStyle w:val="NormalWeb"/>
        <w:spacing w:before="0" w:beforeAutospacing="0" w:after="0" w:afterAutospacing="0"/>
        <w:ind w:left="-180" w:right="-334"/>
      </w:pPr>
    </w:p>
    <w:p w14:paraId="7732E310" w14:textId="77777777" w:rsidR="002B0260" w:rsidRDefault="002B0260" w:rsidP="002B026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63DC7CF" w14:textId="77777777" w:rsidR="002B0260" w:rsidRDefault="002B0260" w:rsidP="002B0260">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F7DF67A" w14:textId="77777777" w:rsidR="002B0260" w:rsidRPr="00230F35" w:rsidRDefault="002B0260" w:rsidP="002B0260">
      <w:pPr>
        <w:pStyle w:val="NormalWeb"/>
        <w:spacing w:before="0" w:beforeAutospacing="0" w:after="0" w:afterAutospacing="0"/>
        <w:ind w:left="-180" w:right="-334"/>
        <w:jc w:val="center"/>
        <w:rPr>
          <w:rFonts w:ascii="Arial" w:hAnsi="Arial" w:cs="Arial"/>
          <w:b/>
          <w:sz w:val="28"/>
          <w:szCs w:val="28"/>
        </w:rPr>
      </w:pPr>
    </w:p>
    <w:p w14:paraId="2EFFE32B" w14:textId="12757999" w:rsidR="002B0260" w:rsidRPr="002B0260" w:rsidRDefault="002B0260" w:rsidP="002B0260">
      <w:pPr>
        <w:ind w:left="990" w:right="1080"/>
        <w:jc w:val="center"/>
        <w:rPr>
          <w:rFonts w:ascii="Tahoma" w:hAnsi="Tahoma" w:cs="Tahoma"/>
          <w:b/>
          <w:bCs/>
          <w:sz w:val="20"/>
          <w:szCs w:val="20"/>
          <w:lang w:val="cy-GB"/>
        </w:rPr>
      </w:pPr>
      <w:r w:rsidRPr="002B0260">
        <w:rPr>
          <w:rFonts w:ascii="Tahoma" w:hAnsi="Tahoma" w:cs="Tahoma"/>
          <w:b/>
          <w:bCs/>
          <w:sz w:val="20"/>
          <w:szCs w:val="20"/>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B0260" w:rsidRPr="00230F35" w14:paraId="79E8DB62" w14:textId="77777777" w:rsidTr="000117EC">
        <w:trPr>
          <w:trHeight w:val="614"/>
        </w:trPr>
        <w:tc>
          <w:tcPr>
            <w:tcW w:w="8856" w:type="dxa"/>
            <w:gridSpan w:val="5"/>
          </w:tcPr>
          <w:p w14:paraId="29BAAF6E" w14:textId="77777777" w:rsidR="002B0260" w:rsidRPr="00230F35"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B0260" w:rsidRPr="00230F35" w14:paraId="5C37BB41" w14:textId="77777777" w:rsidTr="00F17584">
        <w:trPr>
          <w:trHeight w:val="449"/>
        </w:trPr>
        <w:tc>
          <w:tcPr>
            <w:tcW w:w="8856" w:type="dxa"/>
            <w:gridSpan w:val="5"/>
          </w:tcPr>
          <w:p w14:paraId="1849A47B" w14:textId="25AD4390" w:rsidR="002B0260" w:rsidRPr="00230F35"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Whitney Hill</w:t>
            </w:r>
          </w:p>
        </w:tc>
      </w:tr>
      <w:tr w:rsidR="002B0260" w:rsidRPr="00230F35" w14:paraId="635FEF05" w14:textId="77777777" w:rsidTr="00F17584">
        <w:trPr>
          <w:trHeight w:val="1079"/>
        </w:trPr>
        <w:tc>
          <w:tcPr>
            <w:tcW w:w="4788" w:type="dxa"/>
          </w:tcPr>
          <w:p w14:paraId="61178BC5" w14:textId="6BA341C5" w:rsidR="002B0260" w:rsidRPr="00230F35"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HPCA7027</w:t>
            </w:r>
          </w:p>
          <w:p w14:paraId="5F59F8A1" w14:textId="77777777" w:rsidR="002B0260" w:rsidRPr="00230F35" w:rsidRDefault="002B0260" w:rsidP="000117EC">
            <w:pPr>
              <w:pStyle w:val="NormalWeb"/>
              <w:spacing w:before="0" w:beforeAutospacing="0" w:after="0" w:afterAutospacing="0"/>
              <w:ind w:right="34"/>
              <w:rPr>
                <w:rFonts w:ascii="Arial" w:hAnsi="Arial" w:cs="Arial"/>
                <w:sz w:val="22"/>
                <w:szCs w:val="22"/>
              </w:rPr>
            </w:pPr>
          </w:p>
          <w:p w14:paraId="4873BA43" w14:textId="58F51B0F" w:rsidR="002B0260"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Cosmology, Magic, and Divination</w:t>
            </w:r>
          </w:p>
          <w:p w14:paraId="1ABD7A9A" w14:textId="77777777" w:rsidR="002B0260" w:rsidRPr="00230F35" w:rsidRDefault="002B0260" w:rsidP="000117EC">
            <w:pPr>
              <w:pStyle w:val="NormalWeb"/>
              <w:spacing w:before="0" w:beforeAutospacing="0" w:after="0" w:afterAutospacing="0"/>
              <w:ind w:right="34"/>
              <w:rPr>
                <w:rFonts w:ascii="Arial" w:hAnsi="Arial" w:cs="Arial"/>
                <w:sz w:val="22"/>
                <w:szCs w:val="22"/>
              </w:rPr>
            </w:pPr>
          </w:p>
        </w:tc>
        <w:tc>
          <w:tcPr>
            <w:tcW w:w="2266" w:type="dxa"/>
            <w:gridSpan w:val="3"/>
          </w:tcPr>
          <w:p w14:paraId="0BC1776D" w14:textId="77777777" w:rsidR="002B0260"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80699E4" w14:textId="77777777" w:rsidR="00F17584" w:rsidRDefault="00F17584" w:rsidP="000117EC">
            <w:pPr>
              <w:pStyle w:val="NormalWeb"/>
              <w:spacing w:before="0" w:beforeAutospacing="0" w:after="0" w:afterAutospacing="0"/>
              <w:ind w:right="34"/>
              <w:rPr>
                <w:rFonts w:ascii="Arial" w:hAnsi="Arial" w:cs="Arial"/>
                <w:sz w:val="22"/>
                <w:szCs w:val="22"/>
              </w:rPr>
            </w:pPr>
          </w:p>
          <w:p w14:paraId="1F2BC220" w14:textId="6AF1A752" w:rsidR="002B0260" w:rsidRDefault="00F17584" w:rsidP="000117EC">
            <w:pPr>
              <w:pStyle w:val="NormalWeb"/>
              <w:spacing w:before="0" w:beforeAutospacing="0" w:after="0" w:afterAutospacing="0"/>
              <w:ind w:right="34"/>
              <w:rPr>
                <w:rFonts w:ascii="Arial" w:hAnsi="Arial" w:cs="Arial"/>
                <w:sz w:val="22"/>
                <w:szCs w:val="22"/>
              </w:rPr>
            </w:pPr>
            <w:r>
              <w:rPr>
                <w:rFonts w:ascii="Arial" w:hAnsi="Arial" w:cs="Arial"/>
                <w:sz w:val="22"/>
                <w:szCs w:val="22"/>
              </w:rPr>
              <w:t>2209673</w:t>
            </w:r>
          </w:p>
          <w:p w14:paraId="72152CC0" w14:textId="77777777" w:rsidR="002B0260" w:rsidRPr="00230F35" w:rsidRDefault="002B0260" w:rsidP="000117EC">
            <w:pPr>
              <w:pStyle w:val="NormalWeb"/>
              <w:spacing w:before="0" w:beforeAutospacing="0" w:after="0" w:afterAutospacing="0"/>
              <w:ind w:right="34"/>
              <w:rPr>
                <w:rFonts w:ascii="Arial" w:hAnsi="Arial" w:cs="Arial"/>
                <w:sz w:val="22"/>
                <w:szCs w:val="22"/>
              </w:rPr>
            </w:pPr>
          </w:p>
        </w:tc>
        <w:tc>
          <w:tcPr>
            <w:tcW w:w="1802" w:type="dxa"/>
          </w:tcPr>
          <w:p w14:paraId="3162B48B" w14:textId="77777777" w:rsidR="002B0260" w:rsidRPr="00230F35"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2B4F677" w14:textId="77777777" w:rsidR="002B0260" w:rsidRPr="00230F35"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2B0260" w:rsidRPr="00230F35" w14:paraId="72EE792F" w14:textId="77777777" w:rsidTr="00F17584">
        <w:trPr>
          <w:trHeight w:val="980"/>
        </w:trPr>
        <w:tc>
          <w:tcPr>
            <w:tcW w:w="8856" w:type="dxa"/>
            <w:gridSpan w:val="5"/>
          </w:tcPr>
          <w:p w14:paraId="72619111" w14:textId="5281338D" w:rsidR="002B0260" w:rsidRPr="00230F35" w:rsidRDefault="002B0260" w:rsidP="000117E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F17584">
              <w:rPr>
                <w:rFonts w:ascii="Arial" w:hAnsi="Arial" w:cs="Arial"/>
                <w:sz w:val="22"/>
                <w:szCs w:val="22"/>
              </w:rPr>
              <w:t xml:space="preserve"> Dr Dorian Greenbaum and Dr Dawn Collins</w:t>
            </w:r>
          </w:p>
          <w:p w14:paraId="448FEBA4" w14:textId="77777777" w:rsidR="002B0260" w:rsidRDefault="002B0260" w:rsidP="000117EC">
            <w:pPr>
              <w:pStyle w:val="NormalWeb"/>
              <w:spacing w:before="0" w:beforeAutospacing="0" w:after="0" w:afterAutospacing="0"/>
              <w:ind w:right="34"/>
              <w:rPr>
                <w:rFonts w:ascii="Arial" w:hAnsi="Arial" w:cs="Arial"/>
                <w:sz w:val="22"/>
                <w:szCs w:val="22"/>
              </w:rPr>
            </w:pPr>
          </w:p>
          <w:p w14:paraId="604FDD6D" w14:textId="29333CAF" w:rsidR="002B0260" w:rsidRPr="00230F35"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F17584">
              <w:rPr>
                <w:rFonts w:ascii="Arial" w:hAnsi="Arial" w:cs="Arial"/>
                <w:sz w:val="22"/>
                <w:szCs w:val="22"/>
              </w:rPr>
              <w:t xml:space="preserve"> 10 March 2025</w:t>
            </w:r>
          </w:p>
        </w:tc>
      </w:tr>
      <w:tr w:rsidR="002B0260" w:rsidRPr="00230F35" w14:paraId="6FC21BF9" w14:textId="77777777" w:rsidTr="000117EC">
        <w:trPr>
          <w:trHeight w:val="978"/>
        </w:trPr>
        <w:tc>
          <w:tcPr>
            <w:tcW w:w="8856" w:type="dxa"/>
            <w:gridSpan w:val="5"/>
            <w:tcBorders>
              <w:bottom w:val="single" w:sz="4" w:space="0" w:color="000000"/>
            </w:tcBorders>
          </w:tcPr>
          <w:p w14:paraId="41ABF111" w14:textId="77777777" w:rsidR="002B0260" w:rsidRDefault="002B0260" w:rsidP="000117EC">
            <w:r>
              <w:t>If your module has multiple submissions please indicate which piece of work this is.</w:t>
            </w:r>
          </w:p>
          <w:p w14:paraId="7C4BEFB7" w14:textId="77777777" w:rsidR="002B0260" w:rsidRDefault="002B0260" w:rsidP="000117EC"/>
          <w:p w14:paraId="083837D2" w14:textId="0F4BCE78" w:rsidR="002B0260" w:rsidRPr="00230F35" w:rsidRDefault="002B0260" w:rsidP="000117EC">
            <w:r w:rsidRPr="00230F35">
              <w:t>1</w:t>
            </w:r>
            <w:r w:rsidRPr="00230F35">
              <w:rPr>
                <w:vertAlign w:val="superscript"/>
              </w:rPr>
              <w:t xml:space="preserve">st </w:t>
            </w:r>
            <w:r w:rsidR="00F17584">
              <w:fldChar w:fldCharType="begin">
                <w:ffData>
                  <w:name w:val="Check13"/>
                  <w:enabled/>
                  <w:calcOnExit w:val="0"/>
                  <w:checkBox>
                    <w:sizeAuto/>
                    <w:default w:val="1"/>
                  </w:checkBox>
                </w:ffData>
              </w:fldChar>
            </w:r>
            <w:bookmarkStart w:id="1" w:name="Check13"/>
            <w:r w:rsidR="00F17584">
              <w:instrText xml:space="preserve"> FORMCHECKBOX </w:instrText>
            </w:r>
            <w:r w:rsidR="00F17584">
              <w:fldChar w:fldCharType="separate"/>
            </w:r>
            <w:r w:rsidR="00F17584">
              <w:fldChar w:fldCharType="end"/>
            </w:r>
            <w:bookmarkEnd w:id="1"/>
            <w:r w:rsidRPr="00230F35">
              <w:t xml:space="preserve">    2</w:t>
            </w:r>
            <w:r w:rsidRPr="00230F35">
              <w:rPr>
                <w:vertAlign w:val="superscript"/>
              </w:rPr>
              <w:t>nd</w:t>
            </w:r>
            <w:r w:rsidRPr="00230F35">
              <w:t xml:space="preserve">  </w:t>
            </w:r>
            <w:r w:rsidRPr="00230F35">
              <w:fldChar w:fldCharType="begin">
                <w:ffData>
                  <w:name w:val="Check14"/>
                  <w:enabled/>
                  <w:calcOnExit w:val="0"/>
                  <w:checkBox>
                    <w:sizeAuto/>
                    <w:default w:val="0"/>
                  </w:checkBox>
                </w:ffData>
              </w:fldChar>
            </w:r>
            <w:bookmarkStart w:id="2" w:name="Check14"/>
            <w:r w:rsidRPr="00230F35">
              <w:instrText xml:space="preserve"> FORMCHECKBOX </w:instrText>
            </w:r>
            <w:r w:rsidRPr="00230F35">
              <w:fldChar w:fldCharType="end"/>
            </w:r>
            <w:bookmarkEnd w:id="2"/>
            <w:r w:rsidRPr="00230F35">
              <w:t xml:space="preserve">     3</w:t>
            </w:r>
            <w:r w:rsidRPr="00230F35">
              <w:rPr>
                <w:vertAlign w:val="superscript"/>
              </w:rPr>
              <w:t>rd</w:t>
            </w:r>
            <w:r w:rsidRPr="00230F35">
              <w:t xml:space="preserve">  </w:t>
            </w:r>
            <w:r w:rsidRPr="00230F35">
              <w:fldChar w:fldCharType="begin">
                <w:ffData>
                  <w:name w:val="Check15"/>
                  <w:enabled/>
                  <w:calcOnExit w:val="0"/>
                  <w:checkBox>
                    <w:sizeAuto/>
                    <w:default w:val="0"/>
                  </w:checkBox>
                </w:ffData>
              </w:fldChar>
            </w:r>
            <w:bookmarkStart w:id="3" w:name="Check15"/>
            <w:r w:rsidRPr="00230F35">
              <w:instrText xml:space="preserve"> FORMCHECKBOX </w:instrText>
            </w:r>
            <w:r w:rsidRPr="00230F35">
              <w:fldChar w:fldCharType="end"/>
            </w:r>
            <w:bookmarkEnd w:id="3"/>
            <w:r w:rsidRPr="00230F35">
              <w:t xml:space="preserve">      4</w:t>
            </w:r>
            <w:r w:rsidRPr="00230F35">
              <w:rPr>
                <w:vertAlign w:val="superscript"/>
              </w:rPr>
              <w:t>th</w:t>
            </w:r>
            <w:r w:rsidRPr="00230F35">
              <w:t xml:space="preserve"> </w:t>
            </w:r>
            <w:r w:rsidRPr="00230F35">
              <w:fldChar w:fldCharType="begin">
                <w:ffData>
                  <w:name w:val="Check16"/>
                  <w:enabled/>
                  <w:calcOnExit w:val="0"/>
                  <w:checkBox>
                    <w:sizeAuto/>
                    <w:default w:val="0"/>
                  </w:checkBox>
                </w:ffData>
              </w:fldChar>
            </w:r>
            <w:bookmarkStart w:id="4" w:name="Check16"/>
            <w:r w:rsidRPr="00230F35">
              <w:instrText xml:space="preserve"> FORMCHECKBOX </w:instrText>
            </w:r>
            <w:r w:rsidRPr="00230F35">
              <w:fldChar w:fldCharType="end"/>
            </w:r>
            <w:bookmarkEnd w:id="4"/>
            <w:r w:rsidRPr="00230F35">
              <w:t xml:space="preserve">      5</w:t>
            </w:r>
            <w:r w:rsidRPr="00230F35">
              <w:rPr>
                <w:vertAlign w:val="superscript"/>
              </w:rPr>
              <w:t>th</w:t>
            </w:r>
            <w:r w:rsidRPr="00230F35">
              <w:t xml:space="preserve"> </w:t>
            </w:r>
            <w:r w:rsidRPr="00230F35">
              <w:fldChar w:fldCharType="begin">
                <w:ffData>
                  <w:name w:val="Check17"/>
                  <w:enabled/>
                  <w:calcOnExit w:val="0"/>
                  <w:checkBox>
                    <w:sizeAuto/>
                    <w:default w:val="0"/>
                  </w:checkBox>
                </w:ffData>
              </w:fldChar>
            </w:r>
            <w:bookmarkStart w:id="5" w:name="Check17"/>
            <w:r w:rsidRPr="00230F35">
              <w:instrText xml:space="preserve"> FORMCHECKBOX </w:instrText>
            </w:r>
            <w:r w:rsidRPr="00230F35">
              <w:fldChar w:fldCharType="end"/>
            </w:r>
            <w:bookmarkEnd w:id="5"/>
            <w:r w:rsidRPr="00230F35">
              <w:t xml:space="preserve">      6</w:t>
            </w:r>
            <w:r w:rsidRPr="00230F35">
              <w:rPr>
                <w:vertAlign w:val="superscript"/>
              </w:rPr>
              <w:t>th</w:t>
            </w:r>
            <w:r w:rsidRPr="00230F35">
              <w:t xml:space="preserve"> </w:t>
            </w:r>
            <w:r w:rsidRPr="00230F35">
              <w:fldChar w:fldCharType="begin">
                <w:ffData>
                  <w:name w:val="Check18"/>
                  <w:enabled/>
                  <w:calcOnExit w:val="0"/>
                  <w:checkBox>
                    <w:sizeAuto/>
                    <w:default w:val="0"/>
                  </w:checkBox>
                </w:ffData>
              </w:fldChar>
            </w:r>
            <w:bookmarkStart w:id="6" w:name="Check18"/>
            <w:r w:rsidRPr="00230F35">
              <w:instrText xml:space="preserve"> FORMCHECKBOX </w:instrText>
            </w:r>
            <w:r w:rsidRPr="00230F35">
              <w:fldChar w:fldCharType="end"/>
            </w:r>
            <w:bookmarkEnd w:id="6"/>
          </w:p>
        </w:tc>
      </w:tr>
      <w:tr w:rsidR="002B0260" w:rsidRPr="00230F35" w14:paraId="52DCC669" w14:textId="77777777" w:rsidTr="000117EC">
        <w:trPr>
          <w:trHeight w:val="978"/>
        </w:trPr>
        <w:tc>
          <w:tcPr>
            <w:tcW w:w="8856" w:type="dxa"/>
            <w:gridSpan w:val="5"/>
            <w:shd w:val="clear" w:color="auto" w:fill="D9D9D9"/>
          </w:tcPr>
          <w:p w14:paraId="04B81180" w14:textId="77777777" w:rsidR="002B0260" w:rsidRPr="00230F35"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48420A9" w14:textId="1F64A4B6" w:rsidR="002B0260" w:rsidRDefault="002B0260" w:rsidP="000117E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F17584" w:rsidRPr="00F17584">
              <w:rPr>
                <w:rFonts w:ascii="Kalam" w:hAnsi="Kalam" w:cs="Kalam"/>
                <w:sz w:val="22"/>
                <w:szCs w:val="22"/>
              </w:rPr>
              <w:t>Whitney Hill</w:t>
            </w:r>
            <w:r w:rsidRPr="00230F35">
              <w:rPr>
                <w:rFonts w:ascii="Arial" w:hAnsi="Arial" w:cs="Arial"/>
                <w:sz w:val="22"/>
                <w:szCs w:val="22"/>
              </w:rPr>
              <w:t>……………</w:t>
            </w:r>
          </w:p>
          <w:p w14:paraId="7BE5BFF8" w14:textId="77777777" w:rsidR="002B0260" w:rsidRDefault="002B0260" w:rsidP="000117EC">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38027F5C" w14:textId="77777777" w:rsidR="002B0260" w:rsidRPr="00230F35" w:rsidRDefault="002B0260" w:rsidP="000117EC">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2B0260" w:rsidRPr="00230F35" w14:paraId="37655FF2" w14:textId="77777777" w:rsidTr="000117EC">
        <w:trPr>
          <w:trHeight w:val="3972"/>
        </w:trPr>
        <w:tc>
          <w:tcPr>
            <w:tcW w:w="8856" w:type="dxa"/>
            <w:gridSpan w:val="5"/>
          </w:tcPr>
          <w:p w14:paraId="7AB489C0" w14:textId="77777777" w:rsidR="002B0260" w:rsidRDefault="002B0260" w:rsidP="000117EC">
            <w:pPr>
              <w:rPr>
                <w:b/>
              </w:rPr>
            </w:pPr>
          </w:p>
          <w:p w14:paraId="7B158242" w14:textId="77777777" w:rsidR="002B0260" w:rsidRPr="00116CE6" w:rsidRDefault="002B0260" w:rsidP="000117EC">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B0260" w:rsidRPr="00116CE6" w14:paraId="71042631" w14:textId="77777777" w:rsidTr="000117EC">
              <w:tc>
                <w:tcPr>
                  <w:tcW w:w="6970" w:type="dxa"/>
                </w:tcPr>
                <w:p w14:paraId="03331365" w14:textId="77777777" w:rsidR="002B0260" w:rsidRPr="00116CE6" w:rsidRDefault="002B0260" w:rsidP="000117EC">
                  <w:pPr>
                    <w:rPr>
                      <w:sz w:val="20"/>
                      <w:szCs w:val="20"/>
                    </w:rPr>
                  </w:pPr>
                </w:p>
                <w:p w14:paraId="597BAF14" w14:textId="77777777" w:rsidR="002B0260" w:rsidRPr="00116CE6" w:rsidRDefault="002B0260" w:rsidP="000117EC">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14:paraId="78F8849B" w14:textId="77777777" w:rsidR="002B0260" w:rsidRPr="00116CE6" w:rsidRDefault="002B0260" w:rsidP="000117EC">
                  <w:pPr>
                    <w:rPr>
                      <w:sz w:val="20"/>
                      <w:szCs w:val="20"/>
                    </w:rPr>
                  </w:pPr>
                </w:p>
              </w:tc>
            </w:tr>
            <w:tr w:rsidR="002B0260" w:rsidRPr="00116CE6" w14:paraId="7BDE0493" w14:textId="77777777" w:rsidTr="000117EC">
              <w:tc>
                <w:tcPr>
                  <w:tcW w:w="6970" w:type="dxa"/>
                </w:tcPr>
                <w:p w14:paraId="473A179E" w14:textId="77777777" w:rsidR="002B0260" w:rsidRPr="00116CE6" w:rsidRDefault="002B0260" w:rsidP="000117EC">
                  <w:pPr>
                    <w:rPr>
                      <w:sz w:val="20"/>
                      <w:szCs w:val="20"/>
                    </w:rPr>
                  </w:pPr>
                </w:p>
                <w:p w14:paraId="1AA8DEF1" w14:textId="77777777" w:rsidR="002B0260" w:rsidRPr="00116CE6" w:rsidRDefault="002B0260" w:rsidP="000117EC">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14:paraId="5B7D9585" w14:textId="77777777" w:rsidR="002B0260" w:rsidRPr="00116CE6" w:rsidRDefault="002B0260" w:rsidP="000117EC">
                  <w:pPr>
                    <w:rPr>
                      <w:sz w:val="20"/>
                      <w:szCs w:val="20"/>
                    </w:rPr>
                  </w:pPr>
                </w:p>
              </w:tc>
            </w:tr>
            <w:tr w:rsidR="002B0260" w:rsidRPr="00116CE6" w14:paraId="7C42A967" w14:textId="77777777" w:rsidTr="000117EC">
              <w:tc>
                <w:tcPr>
                  <w:tcW w:w="6970" w:type="dxa"/>
                </w:tcPr>
                <w:p w14:paraId="0F6285E0" w14:textId="77777777" w:rsidR="002B0260" w:rsidRPr="006367FD" w:rsidRDefault="002B0260" w:rsidP="000117EC">
                  <w:pPr>
                    <w:rPr>
                      <w:color w:val="000000"/>
                      <w:sz w:val="20"/>
                      <w:szCs w:val="20"/>
                    </w:rPr>
                  </w:pPr>
                  <w:r w:rsidRPr="006367FD">
                    <w:rPr>
                      <w:color w:val="000000"/>
                      <w:sz w:val="20"/>
                      <w:szCs w:val="20"/>
                    </w:rPr>
                    <w:t xml:space="preserve">Agreed Internal Mark: </w:t>
                  </w:r>
                </w:p>
                <w:p w14:paraId="51B68943" w14:textId="77777777" w:rsidR="002B0260" w:rsidRPr="00E14D2E" w:rsidRDefault="002B0260" w:rsidP="000117EC">
                  <w:pPr>
                    <w:rPr>
                      <w:sz w:val="20"/>
                      <w:szCs w:val="20"/>
                      <w:highlight w:val="yellow"/>
                    </w:rPr>
                  </w:pPr>
                </w:p>
              </w:tc>
              <w:tc>
                <w:tcPr>
                  <w:tcW w:w="1660" w:type="dxa"/>
                </w:tcPr>
                <w:p w14:paraId="62BCB398" w14:textId="77777777" w:rsidR="002B0260" w:rsidRPr="00E14D2E" w:rsidRDefault="002B0260" w:rsidP="000117EC">
                  <w:pPr>
                    <w:rPr>
                      <w:sz w:val="20"/>
                      <w:szCs w:val="20"/>
                      <w:highlight w:val="yellow"/>
                    </w:rPr>
                  </w:pPr>
                </w:p>
              </w:tc>
            </w:tr>
            <w:tr w:rsidR="002B0260" w:rsidRPr="00116CE6" w14:paraId="4D0CB096" w14:textId="77777777" w:rsidTr="000117EC">
              <w:tc>
                <w:tcPr>
                  <w:tcW w:w="6970" w:type="dxa"/>
                </w:tcPr>
                <w:p w14:paraId="2469D6CC" w14:textId="77777777" w:rsidR="002B0260" w:rsidRPr="00116CE6" w:rsidRDefault="002B0260" w:rsidP="000117EC">
                  <w:pPr>
                    <w:rPr>
                      <w:sz w:val="20"/>
                      <w:szCs w:val="20"/>
                    </w:rPr>
                  </w:pPr>
                </w:p>
                <w:p w14:paraId="0B6205B0" w14:textId="77777777" w:rsidR="002B0260" w:rsidRPr="00116CE6" w:rsidRDefault="002B0260" w:rsidP="000117EC">
                  <w:pPr>
                    <w:rPr>
                      <w:sz w:val="20"/>
                      <w:szCs w:val="20"/>
                    </w:rPr>
                  </w:pPr>
                  <w:r w:rsidRPr="00116CE6">
                    <w:rPr>
                      <w:sz w:val="20"/>
                      <w:szCs w:val="20"/>
                    </w:rPr>
                    <w:t>External Examiner’s mark</w:t>
                  </w:r>
                  <w:r>
                    <w:rPr>
                      <w:sz w:val="20"/>
                      <w:szCs w:val="20"/>
                    </w:rPr>
                    <w:t xml:space="preserve"> (if relevant)</w:t>
                  </w:r>
                </w:p>
              </w:tc>
              <w:tc>
                <w:tcPr>
                  <w:tcW w:w="1660" w:type="dxa"/>
                </w:tcPr>
                <w:p w14:paraId="4A80DF8B" w14:textId="77777777" w:rsidR="002B0260" w:rsidRPr="00116CE6" w:rsidRDefault="002B0260" w:rsidP="000117EC">
                  <w:pPr>
                    <w:rPr>
                      <w:sz w:val="20"/>
                      <w:szCs w:val="20"/>
                    </w:rPr>
                  </w:pPr>
                </w:p>
              </w:tc>
            </w:tr>
            <w:tr w:rsidR="002B0260" w:rsidRPr="00116CE6" w14:paraId="7D131672" w14:textId="77777777" w:rsidTr="000117EC">
              <w:tc>
                <w:tcPr>
                  <w:tcW w:w="6970" w:type="dxa"/>
                </w:tcPr>
                <w:p w14:paraId="7ADF4334" w14:textId="77777777" w:rsidR="002B0260" w:rsidRDefault="002B0260" w:rsidP="000117EC">
                  <w:pPr>
                    <w:rPr>
                      <w:sz w:val="20"/>
                      <w:szCs w:val="20"/>
                    </w:rPr>
                  </w:pPr>
                </w:p>
                <w:p w14:paraId="6222247D" w14:textId="77777777" w:rsidR="002B0260" w:rsidRPr="00022345" w:rsidRDefault="002B0260" w:rsidP="000117EC">
                  <w:pPr>
                    <w:rPr>
                      <w:b/>
                      <w:sz w:val="20"/>
                      <w:szCs w:val="20"/>
                    </w:rPr>
                  </w:pPr>
                  <w:r w:rsidRPr="00022345">
                    <w:rPr>
                      <w:b/>
                      <w:sz w:val="20"/>
                      <w:szCs w:val="20"/>
                    </w:rPr>
                    <w:t>Final Mark</w:t>
                  </w:r>
                </w:p>
                <w:p w14:paraId="52DEC054" w14:textId="77777777" w:rsidR="002B0260" w:rsidRPr="00116CE6" w:rsidRDefault="002B0260" w:rsidP="000117EC">
                  <w:pPr>
                    <w:rPr>
                      <w:sz w:val="20"/>
                      <w:szCs w:val="20"/>
                    </w:rPr>
                  </w:pPr>
                </w:p>
              </w:tc>
              <w:tc>
                <w:tcPr>
                  <w:tcW w:w="1660" w:type="dxa"/>
                </w:tcPr>
                <w:p w14:paraId="46852617" w14:textId="77777777" w:rsidR="002B0260" w:rsidRPr="00116CE6" w:rsidRDefault="002B0260" w:rsidP="000117EC">
                  <w:pPr>
                    <w:rPr>
                      <w:sz w:val="20"/>
                      <w:szCs w:val="20"/>
                    </w:rPr>
                  </w:pPr>
                </w:p>
              </w:tc>
            </w:tr>
          </w:tbl>
          <w:p w14:paraId="6051084D" w14:textId="77777777" w:rsidR="002B0260" w:rsidRDefault="002B0260" w:rsidP="000117EC">
            <w:pPr>
              <w:pStyle w:val="NormalWeb"/>
              <w:spacing w:before="0" w:beforeAutospacing="0" w:after="0" w:afterAutospacing="0"/>
              <w:ind w:left="142" w:right="34"/>
              <w:rPr>
                <w:rFonts w:ascii="Arial" w:hAnsi="Arial" w:cs="Arial"/>
                <w:b/>
                <w:sz w:val="22"/>
                <w:szCs w:val="22"/>
              </w:rPr>
            </w:pPr>
          </w:p>
          <w:p w14:paraId="1FB8599A" w14:textId="77777777" w:rsidR="002B0260" w:rsidRPr="00230F35" w:rsidRDefault="002B0260" w:rsidP="000117E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1E88F47" w14:textId="77777777" w:rsidR="002B0260" w:rsidRDefault="002B0260" w:rsidP="000117EC">
            <w:pPr>
              <w:pStyle w:val="NormalWeb"/>
              <w:spacing w:before="0" w:beforeAutospacing="0" w:after="0" w:afterAutospacing="0"/>
              <w:rPr>
                <w:rFonts w:ascii="Arial" w:hAnsi="Arial" w:cs="Arial"/>
                <w:b/>
                <w:sz w:val="22"/>
                <w:szCs w:val="22"/>
              </w:rPr>
            </w:pPr>
          </w:p>
          <w:p w14:paraId="61CD653E" w14:textId="6A917DEC" w:rsidR="002B0260" w:rsidRPr="00230F35" w:rsidRDefault="002B0260" w:rsidP="000117E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1FB1DC2F" w14:textId="77777777" w:rsidR="002B0260" w:rsidRDefault="002B0260" w:rsidP="000117E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558B6B1" w14:textId="77777777" w:rsidR="002B0260" w:rsidRPr="00001C3B" w:rsidRDefault="002B0260" w:rsidP="000117EC">
            <w:pPr>
              <w:pStyle w:val="NormalWeb"/>
              <w:rPr>
                <w:rFonts w:ascii="Arial" w:hAnsi="Arial" w:cs="Arial"/>
                <w:sz w:val="22"/>
                <w:szCs w:val="22"/>
              </w:rPr>
            </w:pPr>
          </w:p>
        </w:tc>
      </w:tr>
      <w:tr w:rsidR="002B0260" w:rsidRPr="00230F35" w14:paraId="2C3E9097" w14:textId="77777777" w:rsidTr="000117EC">
        <w:trPr>
          <w:trHeight w:val="492"/>
        </w:trPr>
        <w:tc>
          <w:tcPr>
            <w:tcW w:w="6768" w:type="dxa"/>
            <w:gridSpan w:val="3"/>
          </w:tcPr>
          <w:p w14:paraId="471E90DE" w14:textId="77777777" w:rsidR="002B0260" w:rsidRPr="00230F35" w:rsidRDefault="002B0260" w:rsidP="000117EC">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AA87933" w14:textId="77777777" w:rsidR="002B0260" w:rsidRPr="00230F35" w:rsidRDefault="002B0260" w:rsidP="000117EC">
            <w:pPr>
              <w:pStyle w:val="NormalWeb"/>
              <w:spacing w:after="0"/>
              <w:ind w:left="142" w:right="34"/>
              <w:rPr>
                <w:rFonts w:ascii="Arial" w:hAnsi="Arial" w:cs="Arial"/>
                <w:sz w:val="22"/>
                <w:szCs w:val="22"/>
              </w:rPr>
            </w:pPr>
            <w:r w:rsidRPr="00230F35">
              <w:rPr>
                <w:rFonts w:ascii="Arial" w:hAnsi="Arial" w:cs="Arial"/>
                <w:sz w:val="22"/>
                <w:szCs w:val="22"/>
              </w:rPr>
              <w:t>Date:</w:t>
            </w:r>
          </w:p>
        </w:tc>
      </w:tr>
      <w:tr w:rsidR="002B0260" w:rsidRPr="002F467C" w14:paraId="5F850506" w14:textId="77777777" w:rsidTr="000117EC">
        <w:tc>
          <w:tcPr>
            <w:tcW w:w="8856" w:type="dxa"/>
            <w:gridSpan w:val="5"/>
          </w:tcPr>
          <w:p w14:paraId="773DBC74" w14:textId="77777777" w:rsidR="002B0260" w:rsidRPr="00230F35" w:rsidRDefault="002B0260" w:rsidP="000117EC">
            <w:pPr>
              <w:pStyle w:val="NormalWeb"/>
              <w:spacing w:before="0" w:beforeAutospacing="0" w:after="0" w:afterAutospacing="0"/>
              <w:ind w:right="-334"/>
              <w:rPr>
                <w:rFonts w:ascii="Arial" w:hAnsi="Arial" w:cs="Arial"/>
                <w:bCs/>
                <w:i/>
                <w:sz w:val="22"/>
                <w:szCs w:val="22"/>
              </w:rPr>
            </w:pPr>
          </w:p>
          <w:p w14:paraId="1673B8E9" w14:textId="77777777" w:rsidR="002B0260" w:rsidRPr="00230F35" w:rsidRDefault="002B0260" w:rsidP="000117E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0898567" w14:textId="77777777" w:rsidR="002B0260" w:rsidRPr="00230F35" w:rsidRDefault="002B0260" w:rsidP="000117EC">
            <w:pPr>
              <w:pStyle w:val="NormalWeb"/>
              <w:spacing w:before="0" w:beforeAutospacing="0" w:after="0" w:afterAutospacing="0"/>
              <w:ind w:right="-334"/>
              <w:rPr>
                <w:rFonts w:ascii="Arial" w:hAnsi="Arial" w:cs="Arial"/>
                <w:b/>
                <w:bCs/>
                <w:sz w:val="22"/>
                <w:szCs w:val="22"/>
              </w:rPr>
            </w:pPr>
          </w:p>
          <w:p w14:paraId="66CFBA8D" w14:textId="77777777" w:rsidR="002B0260" w:rsidRPr="00230F35" w:rsidRDefault="002B0260" w:rsidP="000117E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A34900F" w14:textId="77777777" w:rsidR="002B0260" w:rsidRPr="00230F35" w:rsidRDefault="002B0260" w:rsidP="000117EC">
            <w:pPr>
              <w:pStyle w:val="NormalWeb"/>
              <w:spacing w:before="0" w:beforeAutospacing="0" w:after="0" w:afterAutospacing="0"/>
              <w:ind w:right="-334"/>
              <w:rPr>
                <w:rFonts w:ascii="Arial" w:hAnsi="Arial" w:cs="Arial"/>
                <w:bCs/>
                <w:sz w:val="22"/>
                <w:szCs w:val="22"/>
              </w:rPr>
            </w:pPr>
          </w:p>
          <w:p w14:paraId="5D876B4F" w14:textId="77777777" w:rsidR="002B0260" w:rsidRPr="00230F35" w:rsidRDefault="002B0260" w:rsidP="000117EC">
            <w:pPr>
              <w:pStyle w:val="NormalWeb"/>
              <w:spacing w:before="0" w:beforeAutospacing="0" w:after="0" w:afterAutospacing="0"/>
              <w:ind w:right="-334"/>
              <w:rPr>
                <w:rFonts w:ascii="Arial" w:hAnsi="Arial" w:cs="Arial"/>
                <w:bCs/>
                <w:sz w:val="22"/>
                <w:szCs w:val="22"/>
              </w:rPr>
            </w:pPr>
          </w:p>
          <w:p w14:paraId="2F2CAA10" w14:textId="77777777" w:rsidR="002B0260" w:rsidRPr="00230F35" w:rsidRDefault="002B0260" w:rsidP="000117EC">
            <w:pPr>
              <w:pStyle w:val="NormalWeb"/>
              <w:spacing w:before="0" w:beforeAutospacing="0" w:after="0" w:afterAutospacing="0"/>
              <w:ind w:right="-334"/>
              <w:rPr>
                <w:rFonts w:ascii="Arial" w:hAnsi="Arial" w:cs="Arial"/>
                <w:bCs/>
                <w:sz w:val="22"/>
                <w:szCs w:val="22"/>
              </w:rPr>
            </w:pPr>
          </w:p>
        </w:tc>
      </w:tr>
      <w:tr w:rsidR="002B0260" w:rsidRPr="002F467C" w14:paraId="621FD4FC" w14:textId="77777777" w:rsidTr="000117EC">
        <w:trPr>
          <w:trHeight w:val="720"/>
        </w:trPr>
        <w:tc>
          <w:tcPr>
            <w:tcW w:w="5211" w:type="dxa"/>
            <w:gridSpan w:val="2"/>
          </w:tcPr>
          <w:p w14:paraId="0D1E8F86" w14:textId="77777777" w:rsidR="002B0260" w:rsidRPr="00230F35" w:rsidRDefault="002B0260" w:rsidP="000117E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874C113" w14:textId="77777777" w:rsidR="002B0260" w:rsidRPr="00230F35" w:rsidRDefault="002B0260" w:rsidP="000117E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B0260" w:rsidRPr="002F467C" w14:paraId="5C0DBED4" w14:textId="77777777" w:rsidTr="000117EC">
        <w:trPr>
          <w:trHeight w:val="720"/>
        </w:trPr>
        <w:tc>
          <w:tcPr>
            <w:tcW w:w="8856" w:type="dxa"/>
            <w:gridSpan w:val="5"/>
          </w:tcPr>
          <w:p w14:paraId="7A3AB4A4" w14:textId="77777777" w:rsidR="002B0260" w:rsidRPr="006367FD" w:rsidRDefault="002B0260" w:rsidP="000117EC">
            <w:pPr>
              <w:rPr>
                <w:b/>
              </w:rPr>
            </w:pPr>
            <w:r w:rsidRPr="006367FD">
              <w:rPr>
                <w:b/>
              </w:rPr>
              <w:t>AGREED INTERNAL MARK (where necessary):</w:t>
            </w:r>
          </w:p>
          <w:p w14:paraId="3930E367" w14:textId="77777777" w:rsidR="002B0260" w:rsidRPr="006367FD" w:rsidRDefault="002B0260" w:rsidP="000117EC">
            <w:pPr>
              <w:rPr>
                <w:b/>
              </w:rPr>
            </w:pPr>
          </w:p>
          <w:p w14:paraId="2390A895" w14:textId="77777777" w:rsidR="002B0260" w:rsidRDefault="002B0260" w:rsidP="000117EC">
            <w:pPr>
              <w:rPr>
                <w:b/>
              </w:rPr>
            </w:pPr>
            <w:r w:rsidRPr="006367FD">
              <w:rPr>
                <w:b/>
              </w:rPr>
              <w:t xml:space="preserve">Comment on </w:t>
            </w:r>
            <w:proofErr w:type="gramStart"/>
            <w:r w:rsidRPr="006367FD">
              <w:rPr>
                <w:b/>
              </w:rPr>
              <w:t>process</w:t>
            </w:r>
            <w:proofErr w:type="gramEnd"/>
            <w:r w:rsidRPr="006367FD">
              <w:rPr>
                <w:b/>
              </w:rPr>
              <w:t xml:space="preserve"> of arriving at agreed mark:</w:t>
            </w:r>
          </w:p>
          <w:p w14:paraId="7FA01E83" w14:textId="77777777" w:rsidR="002B0260" w:rsidRDefault="002B0260" w:rsidP="000117EC">
            <w:pPr>
              <w:rPr>
                <w:b/>
              </w:rPr>
            </w:pPr>
          </w:p>
          <w:p w14:paraId="3CBF853F" w14:textId="77777777" w:rsidR="002B0260" w:rsidRDefault="002B0260" w:rsidP="000117EC">
            <w:pPr>
              <w:rPr>
                <w:b/>
              </w:rPr>
            </w:pPr>
          </w:p>
          <w:p w14:paraId="026BB47E" w14:textId="77777777" w:rsidR="002B0260" w:rsidRDefault="002B0260" w:rsidP="000117EC">
            <w:pPr>
              <w:rPr>
                <w:b/>
              </w:rPr>
            </w:pPr>
          </w:p>
          <w:p w14:paraId="78F7F8B9" w14:textId="77777777" w:rsidR="002B0260" w:rsidRPr="00B34964" w:rsidRDefault="002B0260" w:rsidP="000117EC">
            <w:pPr>
              <w:rPr>
                <w:b/>
              </w:rPr>
            </w:pPr>
          </w:p>
        </w:tc>
      </w:tr>
      <w:tr w:rsidR="002B0260" w:rsidRPr="002F467C" w14:paraId="175D15B3" w14:textId="77777777" w:rsidTr="000117EC">
        <w:trPr>
          <w:trHeight w:val="720"/>
        </w:trPr>
        <w:tc>
          <w:tcPr>
            <w:tcW w:w="8856" w:type="dxa"/>
            <w:gridSpan w:val="5"/>
          </w:tcPr>
          <w:p w14:paraId="165EB1E5" w14:textId="77777777" w:rsidR="002B0260" w:rsidRPr="00B34964" w:rsidRDefault="002B0260" w:rsidP="000117EC">
            <w:pPr>
              <w:rPr>
                <w:b/>
              </w:rPr>
            </w:pPr>
            <w:r w:rsidRPr="00B34964">
              <w:rPr>
                <w:b/>
              </w:rPr>
              <w:t>External Examiner’s comments (if relevant)</w:t>
            </w:r>
          </w:p>
          <w:p w14:paraId="49DB60BA" w14:textId="77777777" w:rsidR="002B0260" w:rsidRDefault="002B0260" w:rsidP="000117EC">
            <w:pPr>
              <w:pStyle w:val="NormalWeb"/>
              <w:spacing w:before="0" w:beforeAutospacing="0" w:after="0" w:afterAutospacing="0"/>
              <w:ind w:right="-334"/>
              <w:rPr>
                <w:rFonts w:ascii="Arial" w:hAnsi="Arial" w:cs="Arial"/>
                <w:bCs/>
                <w:sz w:val="22"/>
                <w:szCs w:val="22"/>
              </w:rPr>
            </w:pPr>
          </w:p>
          <w:p w14:paraId="0A1F64B3" w14:textId="77777777" w:rsidR="002B0260" w:rsidRDefault="002B0260" w:rsidP="000117EC">
            <w:pPr>
              <w:pStyle w:val="NormalWeb"/>
              <w:spacing w:before="0" w:beforeAutospacing="0" w:after="0" w:afterAutospacing="0"/>
              <w:ind w:right="-334"/>
              <w:rPr>
                <w:rFonts w:ascii="Arial" w:hAnsi="Arial" w:cs="Arial"/>
                <w:bCs/>
                <w:sz w:val="22"/>
                <w:szCs w:val="22"/>
              </w:rPr>
            </w:pPr>
          </w:p>
          <w:p w14:paraId="150BDBB6" w14:textId="77777777" w:rsidR="002B0260" w:rsidRPr="00230F35" w:rsidRDefault="002B0260" w:rsidP="000117EC">
            <w:pPr>
              <w:pStyle w:val="NormalWeb"/>
              <w:spacing w:before="0" w:beforeAutospacing="0" w:after="0" w:afterAutospacing="0"/>
              <w:ind w:right="-334"/>
              <w:rPr>
                <w:rFonts w:ascii="Arial" w:hAnsi="Arial" w:cs="Arial"/>
                <w:bCs/>
                <w:sz w:val="22"/>
                <w:szCs w:val="22"/>
              </w:rPr>
            </w:pPr>
          </w:p>
          <w:p w14:paraId="02F8A19F" w14:textId="77777777" w:rsidR="002B0260" w:rsidRPr="00230F35" w:rsidRDefault="002B0260" w:rsidP="000117EC">
            <w:pPr>
              <w:pStyle w:val="NormalWeb"/>
              <w:spacing w:before="0" w:beforeAutospacing="0" w:after="0" w:afterAutospacing="0"/>
              <w:ind w:right="-334"/>
              <w:rPr>
                <w:rFonts w:ascii="Arial" w:hAnsi="Arial" w:cs="Arial"/>
                <w:bCs/>
                <w:sz w:val="22"/>
                <w:szCs w:val="22"/>
              </w:rPr>
            </w:pPr>
          </w:p>
        </w:tc>
      </w:tr>
      <w:tr w:rsidR="002B0260" w:rsidRPr="002F467C" w14:paraId="547C7055" w14:textId="77777777" w:rsidTr="000117EC">
        <w:trPr>
          <w:trHeight w:val="720"/>
        </w:trPr>
        <w:tc>
          <w:tcPr>
            <w:tcW w:w="5211" w:type="dxa"/>
            <w:gridSpan w:val="2"/>
          </w:tcPr>
          <w:p w14:paraId="69162BB3" w14:textId="77777777" w:rsidR="002B0260" w:rsidRPr="00230F35" w:rsidRDefault="002B0260" w:rsidP="000117EC">
            <w:r w:rsidRPr="00230F35">
              <w:t>External Examiner’s Signature:</w:t>
            </w:r>
          </w:p>
        </w:tc>
        <w:tc>
          <w:tcPr>
            <w:tcW w:w="3645" w:type="dxa"/>
            <w:gridSpan w:val="3"/>
          </w:tcPr>
          <w:p w14:paraId="1297614D" w14:textId="77777777" w:rsidR="002B0260" w:rsidRPr="00230F35" w:rsidRDefault="002B0260" w:rsidP="000117EC">
            <w:r w:rsidRPr="00230F35">
              <w:t>Date:</w:t>
            </w:r>
          </w:p>
        </w:tc>
      </w:tr>
    </w:tbl>
    <w:p w14:paraId="75D70EAF" w14:textId="77777777" w:rsidR="00955F1A" w:rsidRPr="00955F1A" w:rsidRDefault="00955F1A" w:rsidP="00955F1A">
      <w:pPr>
        <w:sectPr w:rsidR="00955F1A" w:rsidRPr="00955F1A" w:rsidSect="00241F6D">
          <w:headerReference w:type="default" r:id="rId8"/>
          <w:footerReference w:type="default" r:id="rId9"/>
          <w:headerReference w:type="first" r:id="rId10"/>
          <w:footerReference w:type="first" r:id="rId11"/>
          <w:pgSz w:w="12240" w:h="15840"/>
          <w:pgMar w:top="1440" w:right="1440" w:bottom="1440" w:left="1440" w:header="720" w:footer="720" w:gutter="0"/>
          <w:pgNumType w:start="0"/>
          <w:cols w:space="720"/>
          <w:titlePg/>
          <w:docGrid w:linePitch="299"/>
        </w:sectPr>
      </w:pPr>
    </w:p>
    <w:p w14:paraId="00000001" w14:textId="5BC12349" w:rsidR="003F26BF" w:rsidRDefault="00000000">
      <w:pPr>
        <w:pStyle w:val="Title"/>
        <w:spacing w:line="360" w:lineRule="auto"/>
        <w:rPr>
          <w:i/>
        </w:rPr>
      </w:pPr>
      <w:r>
        <w:lastRenderedPageBreak/>
        <w:t xml:space="preserve">A Critical Review of Cicero’s Arguments against Divination in </w:t>
      </w:r>
      <w:r>
        <w:rPr>
          <w:i/>
        </w:rPr>
        <w:t xml:space="preserve">De </w:t>
      </w:r>
      <w:proofErr w:type="spellStart"/>
      <w:r>
        <w:rPr>
          <w:i/>
        </w:rPr>
        <w:t>Divinatione</w:t>
      </w:r>
      <w:proofErr w:type="spellEnd"/>
    </w:p>
    <w:p w14:paraId="00000002" w14:textId="77777777" w:rsidR="003F26BF" w:rsidRDefault="00000000">
      <w:pPr>
        <w:spacing w:line="360" w:lineRule="auto"/>
        <w:rPr>
          <w:b/>
        </w:rPr>
      </w:pPr>
      <w:r>
        <w:rPr>
          <w:b/>
        </w:rPr>
        <w:t>Introduction</w:t>
      </w:r>
    </w:p>
    <w:p w14:paraId="00000003" w14:textId="38A4489A" w:rsidR="003F26BF" w:rsidRDefault="00000000">
      <w:pPr>
        <w:spacing w:line="360" w:lineRule="auto"/>
        <w:ind w:firstLine="720"/>
      </w:pPr>
      <w:r>
        <w:t xml:space="preserve">This essay critically reviews the arguments against divination in Marcus Cicero’s philosophical work </w:t>
      </w:r>
      <w:r>
        <w:rPr>
          <w:i/>
        </w:rPr>
        <w:t xml:space="preserve">De </w:t>
      </w:r>
      <w:proofErr w:type="spellStart"/>
      <w:r>
        <w:rPr>
          <w:i/>
        </w:rPr>
        <w:t>Divinatione</w:t>
      </w:r>
      <w:proofErr w:type="spellEnd"/>
      <w:r>
        <w:t>, as translated by W.A. Falconer in 1923.</w:t>
      </w:r>
      <w:r>
        <w:rPr>
          <w:vertAlign w:val="superscript"/>
        </w:rPr>
        <w:footnoteReference w:id="1"/>
      </w:r>
      <w:r>
        <w:t xml:space="preserve"> </w:t>
      </w:r>
      <w:r>
        <w:rPr>
          <w:i/>
        </w:rPr>
        <w:t xml:space="preserve">De </w:t>
      </w:r>
      <w:proofErr w:type="spellStart"/>
      <w:r>
        <w:rPr>
          <w:i/>
        </w:rPr>
        <w:t>Divinatione</w:t>
      </w:r>
      <w:proofErr w:type="spellEnd"/>
      <w:r>
        <w:rPr>
          <w:i/>
        </w:rPr>
        <w:t xml:space="preserve"> </w:t>
      </w:r>
      <w:r>
        <w:t>was written in about 44 BCE a</w:t>
      </w:r>
      <w:r w:rsidR="00C15CB3">
        <w:t>s</w:t>
      </w:r>
      <w:r>
        <w:t xml:space="preserve"> a set of two books </w:t>
      </w:r>
      <w:r w:rsidR="00C15CB3">
        <w:t>with</w:t>
      </w:r>
      <w:r>
        <w:t xml:space="preserve"> first an argument for the existence or validity of divination, then an argument against it</w:t>
      </w:r>
      <w:r w:rsidR="001515D3">
        <w:t>,</w:t>
      </w:r>
      <w:r>
        <w:t xml:space="preserve"> presented as a dialogue between Cicero and his brother, Quintus</w:t>
      </w:r>
      <w:r w:rsidR="001515D3">
        <w:t xml:space="preserve">. </w:t>
      </w:r>
      <w:r>
        <w:t>Quintus present</w:t>
      </w:r>
      <w:r w:rsidR="001515D3">
        <w:t>s</w:t>
      </w:r>
      <w:r>
        <w:t xml:space="preserve"> the pro-divination argument and Marcus the counterarguments against divination.</w:t>
      </w:r>
    </w:p>
    <w:p w14:paraId="00000004" w14:textId="4C85A2ED" w:rsidR="003F26BF" w:rsidRDefault="00000000">
      <w:pPr>
        <w:spacing w:line="360" w:lineRule="auto"/>
        <w:ind w:firstLine="720"/>
      </w:pPr>
      <w:r>
        <w:t>Cicero was a Roman philosopher and politician who wrote philosophical works on a range of topics including the philosophic system of the Academics, ‘the distinction between good and evil’, living a happy life, the nature of the gods, and fate.</w:t>
      </w:r>
      <w:r>
        <w:rPr>
          <w:vertAlign w:val="superscript"/>
        </w:rPr>
        <w:footnoteReference w:id="2"/>
      </w:r>
      <w:r>
        <w:t xml:space="preserve"> These and other of Cicero’s works were, in the author’s words, intended as a service to the commonwealth in instructing young Roman men</w:t>
      </w:r>
      <w:r w:rsidR="001515D3">
        <w:t>—and more specifically, those of the elite classes—</w:t>
      </w:r>
      <w:r>
        <w:t>in the ‘right way’</w:t>
      </w:r>
      <w:r>
        <w:rPr>
          <w:vertAlign w:val="superscript"/>
        </w:rPr>
        <w:footnoteReference w:id="3"/>
      </w:r>
      <w:r w:rsidR="001515D3">
        <w:t xml:space="preserve"> </w:t>
      </w:r>
      <w:r w:rsidR="001515D3">
        <w:t>of things</w:t>
      </w:r>
      <w:r w:rsidR="001515D3">
        <w:t>.</w:t>
      </w:r>
      <w:r>
        <w:t xml:space="preserve"> </w:t>
      </w:r>
    </w:p>
    <w:p w14:paraId="00000005" w14:textId="44EDE063" w:rsidR="003F26BF" w:rsidRDefault="00000000">
      <w:pPr>
        <w:spacing w:line="360" w:lineRule="auto"/>
        <w:ind w:firstLine="720"/>
      </w:pPr>
      <w:r>
        <w:t>In writing on the formation of Latin discourse using Greek sources and methods, Mary Beard calls Cicero a ‘philosophical innovator’</w:t>
      </w:r>
      <w:r>
        <w:rPr>
          <w:vertAlign w:val="superscript"/>
        </w:rPr>
        <w:footnoteReference w:id="4"/>
      </w:r>
      <w:r>
        <w:t xml:space="preserve"> for his efforts toward ‘an active integration between Greek philosophy and traditional Roman practice and thought.’</w:t>
      </w:r>
      <w:r>
        <w:rPr>
          <w:vertAlign w:val="superscript"/>
        </w:rPr>
        <w:footnoteReference w:id="5"/>
      </w:r>
      <w:r>
        <w:t xml:space="preserve"> He was also, she notes, an augur</w:t>
      </w:r>
      <w:r>
        <w:rPr>
          <w:vertAlign w:val="superscript"/>
        </w:rPr>
        <w:footnoteReference w:id="6"/>
      </w:r>
      <w:r>
        <w:t xml:space="preserve"> and priest</w:t>
      </w:r>
      <w:r>
        <w:rPr>
          <w:vertAlign w:val="superscript"/>
        </w:rPr>
        <w:footnoteReference w:id="7"/>
      </w:r>
      <w:r>
        <w:t xml:space="preserve"> himself. These roles </w:t>
      </w:r>
      <w:r w:rsidR="001216D9">
        <w:t>play a part in Cicero’s arguments</w:t>
      </w:r>
      <w:r>
        <w:t>.</w:t>
      </w:r>
    </w:p>
    <w:p w14:paraId="00000006" w14:textId="77777777" w:rsidR="003F26BF" w:rsidRDefault="003F26BF">
      <w:pPr>
        <w:spacing w:line="360" w:lineRule="auto"/>
        <w:ind w:firstLine="720"/>
      </w:pPr>
    </w:p>
    <w:p w14:paraId="00000007" w14:textId="77777777" w:rsidR="003F26BF" w:rsidRDefault="00000000">
      <w:pPr>
        <w:spacing w:line="360" w:lineRule="auto"/>
        <w:rPr>
          <w:b/>
        </w:rPr>
      </w:pPr>
      <w:r>
        <w:rPr>
          <w:b/>
        </w:rPr>
        <w:t>Analysis</w:t>
      </w:r>
    </w:p>
    <w:p w14:paraId="00000008" w14:textId="77777777" w:rsidR="003F26BF" w:rsidRDefault="00000000">
      <w:pPr>
        <w:spacing w:line="360" w:lineRule="auto"/>
      </w:pPr>
      <w:r>
        <w:rPr>
          <w:i/>
        </w:rPr>
        <w:t xml:space="preserve">Key Concepts </w:t>
      </w:r>
    </w:p>
    <w:p w14:paraId="00000009" w14:textId="497BDB7B" w:rsidR="003F26BF" w:rsidRDefault="00000000">
      <w:pPr>
        <w:spacing w:line="360" w:lineRule="auto"/>
        <w:ind w:firstLine="720"/>
      </w:pPr>
      <w:r>
        <w:t>The key concept for this work is divination, which is defined by Quintus-as-character as ‘foreseeing and foretelling of events considered as happening by chance’</w:t>
      </w:r>
      <w:r>
        <w:rPr>
          <w:vertAlign w:val="superscript"/>
        </w:rPr>
        <w:footnoteReference w:id="8"/>
      </w:r>
      <w:r>
        <w:t xml:space="preserve"> </w:t>
      </w:r>
      <w:r w:rsidR="001216D9">
        <w:t>and</w:t>
      </w:r>
      <w:r>
        <w:t xml:space="preserve"> having three </w:t>
      </w:r>
      <w:r>
        <w:lastRenderedPageBreak/>
        <w:t xml:space="preserve">‘vital </w:t>
      </w:r>
      <w:proofErr w:type="gramStart"/>
      <w:r>
        <w:t>principles’</w:t>
      </w:r>
      <w:proofErr w:type="gramEnd"/>
      <w:r>
        <w:t xml:space="preserve"> or sources: God, Fate, and Nature.</w:t>
      </w:r>
      <w:r>
        <w:rPr>
          <w:vertAlign w:val="superscript"/>
        </w:rPr>
        <w:footnoteReference w:id="9"/>
      </w:r>
      <w:r>
        <w:t xml:space="preserve"> Defining divination as the foresight of future events makes sense. However, the ‘happening by chance’ part introduces a separate element not necessarily covered by God, Fate, or Nature: luck. It is possible the idea of ‘chance’ here was intended to be something closer to </w:t>
      </w:r>
      <w:r w:rsidR="005D3B9B">
        <w:t xml:space="preserve">what </w:t>
      </w:r>
      <w:r>
        <w:t xml:space="preserve">Lisa </w:t>
      </w:r>
      <w:proofErr w:type="spellStart"/>
      <w:r>
        <w:t>Raphals</w:t>
      </w:r>
      <w:proofErr w:type="spellEnd"/>
      <w:r>
        <w:t xml:space="preserve"> </w:t>
      </w:r>
      <w:r w:rsidR="00356007">
        <w:t>defines</w:t>
      </w:r>
      <w:r>
        <w:t xml:space="preserve"> in the Greek concept of moira as ‘sudden reversals and situations that threaten the order of the gods’</w:t>
      </w:r>
      <w:r>
        <w:rPr>
          <w:vertAlign w:val="superscript"/>
        </w:rPr>
        <w:footnoteReference w:id="10"/>
      </w:r>
      <w:r>
        <w:t xml:space="preserve"> rather than </w:t>
      </w:r>
      <w:r w:rsidR="00356007">
        <w:t>‘</w:t>
      </w:r>
      <w:r>
        <w:t>chancy luck’ as defined by Neil Levy, i.e. an event that is significant for the person it occurs to, who did not have control in it, and for whom it is generally unlikely to have occurred.</w:t>
      </w:r>
      <w:r>
        <w:rPr>
          <w:vertAlign w:val="superscript"/>
        </w:rPr>
        <w:footnoteReference w:id="11"/>
      </w:r>
      <w:r>
        <w:t xml:space="preserve"> Depending on the intent, </w:t>
      </w:r>
      <w:r w:rsidR="00356007">
        <w:t xml:space="preserve">this definition of divination </w:t>
      </w:r>
      <w:r>
        <w:t xml:space="preserve">could also enlist either </w:t>
      </w:r>
      <w:r w:rsidR="00356007">
        <w:t xml:space="preserve">definition of chance </w:t>
      </w:r>
      <w:r>
        <w:t>if the ‘happening by chance’ part is taken to be from the perspective of the witness, i.e., an individual saw a random event and interpreted it as an omen foretelling some further event. The ambiguousness of the definition makes it easier to mount arguments against it, which may have been Cicero’s intention.</w:t>
      </w:r>
    </w:p>
    <w:p w14:paraId="0000000A" w14:textId="1EBDEF67" w:rsidR="003F26BF" w:rsidRDefault="00000000">
      <w:pPr>
        <w:spacing w:line="360" w:lineRule="auto"/>
        <w:ind w:firstLine="720"/>
      </w:pPr>
      <w:r>
        <w:t xml:space="preserve">Limiting the definition of divination to predictions of the future also excludes other uses for divination, </w:t>
      </w:r>
      <w:r w:rsidR="00356007">
        <w:t>such as</w:t>
      </w:r>
      <w:r>
        <w:t xml:space="preserve"> gaining understanding about unexplained past events, correct social or religious action, hidden things, or making choices.</w:t>
      </w:r>
      <w:r>
        <w:rPr>
          <w:vertAlign w:val="superscript"/>
        </w:rPr>
        <w:footnoteReference w:id="12"/>
      </w:r>
      <w:r>
        <w:t xml:space="preserve"> The narrow scope used for divination in this discussion allows for arguments against some uses of it, such as medical prognosis.</w:t>
      </w:r>
    </w:p>
    <w:p w14:paraId="0000000B" w14:textId="77777777" w:rsidR="003F26BF" w:rsidRDefault="003F26BF">
      <w:pPr>
        <w:spacing w:line="360" w:lineRule="auto"/>
        <w:ind w:firstLine="720"/>
        <w:rPr>
          <w:i/>
        </w:rPr>
      </w:pPr>
    </w:p>
    <w:p w14:paraId="0000000C" w14:textId="77777777" w:rsidR="003F26BF" w:rsidRDefault="00000000">
      <w:pPr>
        <w:spacing w:line="360" w:lineRule="auto"/>
      </w:pPr>
      <w:r>
        <w:rPr>
          <w:i/>
        </w:rPr>
        <w:t>Style</w:t>
      </w:r>
    </w:p>
    <w:p w14:paraId="0000000E" w14:textId="397A7BEE" w:rsidR="003F26BF" w:rsidRDefault="00DC0815" w:rsidP="000A7835">
      <w:pPr>
        <w:spacing w:line="360" w:lineRule="auto"/>
        <w:ind w:firstLine="720"/>
      </w:pPr>
      <w:r>
        <w:t>The</w:t>
      </w:r>
      <w:r w:rsidR="00000000">
        <w:t xml:space="preserve"> </w:t>
      </w:r>
      <w:r w:rsidR="0044286F">
        <w:t xml:space="preserve">two-person dialogue </w:t>
      </w:r>
      <w:r w:rsidR="00000000">
        <w:t>format lends itself to a balanced, point-for-point examination of the topic. Beard writes that presenting the arguments as a dialogue ‘could be used (though was not always) as a depersonalizing, distancing device, which obviated the need for Cicero, as author, to identify with any one expressed opinion.’</w:t>
      </w:r>
      <w:r w:rsidR="00000000">
        <w:rPr>
          <w:vertAlign w:val="superscript"/>
        </w:rPr>
        <w:footnoteReference w:id="13"/>
      </w:r>
      <w:r w:rsidR="00000000">
        <w:t xml:space="preserve"> In not needing to identify with an opinion, it could be that the format allows Cicero, as priest and augur, to present the argument against divination regardless of whether he actually agrees with what he says in it—in other words, an effort to present the topic more neutrally and remove the bias or the obligations of his public roles. This may be further supported by Beard’s position that choosing two brothers of high social status as the characters is intended to both add weight to the arguments and</w:t>
      </w:r>
      <w:r w:rsidR="00C57C70">
        <w:t xml:space="preserve"> to</w:t>
      </w:r>
      <w:r w:rsidR="00000000">
        <w:t xml:space="preserve"> equalize </w:t>
      </w:r>
      <w:r w:rsidR="00C57C70">
        <w:lastRenderedPageBreak/>
        <w:t>them</w:t>
      </w:r>
      <w:r w:rsidR="00000000">
        <w:t>.</w:t>
      </w:r>
      <w:r w:rsidR="00000000">
        <w:rPr>
          <w:vertAlign w:val="superscript"/>
        </w:rPr>
        <w:footnoteReference w:id="14"/>
      </w:r>
      <w:r w:rsidR="00000000">
        <w:t xml:space="preserve"> This </w:t>
      </w:r>
      <w:r w:rsidR="00C57C70">
        <w:t>more</w:t>
      </w:r>
      <w:r w:rsidR="00000000">
        <w:t xml:space="preserve"> neutral</w:t>
      </w:r>
      <w:r w:rsidR="00C57C70">
        <w:t xml:space="preserve"> approach may encourage readers to </w:t>
      </w:r>
      <w:r w:rsidR="00000000">
        <w:t>come to their own conclusion, which is Cicero’s stated goal,</w:t>
      </w:r>
      <w:r w:rsidR="00000000">
        <w:rPr>
          <w:vertAlign w:val="superscript"/>
        </w:rPr>
        <w:footnoteReference w:id="15"/>
      </w:r>
      <w:r w:rsidR="00000000">
        <w:t xml:space="preserve"> rather than feeling taught or lectured.</w:t>
      </w:r>
    </w:p>
    <w:p w14:paraId="0000000F" w14:textId="77777777" w:rsidR="003F26BF" w:rsidRDefault="003F26BF">
      <w:pPr>
        <w:spacing w:line="360" w:lineRule="auto"/>
        <w:ind w:firstLine="720"/>
      </w:pPr>
    </w:p>
    <w:p w14:paraId="00000010" w14:textId="77777777" w:rsidR="003F26BF" w:rsidRDefault="00000000">
      <w:pPr>
        <w:spacing w:line="360" w:lineRule="auto"/>
      </w:pPr>
      <w:r>
        <w:rPr>
          <w:i/>
        </w:rPr>
        <w:t>Methodological Approach and Philosophy</w:t>
      </w:r>
    </w:p>
    <w:p w14:paraId="1306931A" w14:textId="3F074593" w:rsidR="000A7835" w:rsidRDefault="000A7835" w:rsidP="000A7835">
      <w:pPr>
        <w:spacing w:line="360" w:lineRule="auto"/>
        <w:ind w:firstLine="720"/>
      </w:pPr>
      <w:r>
        <w:t>A</w:t>
      </w:r>
      <w:r>
        <w:t xml:space="preserve">side from the voice of </w:t>
      </w:r>
      <w:r w:rsidR="00CC0F1A">
        <w:t>Marcus</w:t>
      </w:r>
      <w:r>
        <w:t xml:space="preserve">-as-character, Martin Schofield notes that ‘at the end of Book II Cicero appears to speak also as </w:t>
      </w:r>
      <w:proofErr w:type="gramStart"/>
      <w:r>
        <w:t>author</w:t>
      </w:r>
      <w:proofErr w:type="gramEnd"/>
      <w:r>
        <w:t>’,</w:t>
      </w:r>
      <w:r>
        <w:rPr>
          <w:vertAlign w:val="superscript"/>
        </w:rPr>
        <w:footnoteReference w:id="16"/>
      </w:r>
      <w:r>
        <w:t xml:space="preserve"> and this section’s tone change comes with direct statements that suggest Cicero is not as neutral as he may first appear. For example, he writes, ‘I thought that I should be rendering a great service both to myself and to my countrymen if I could tear this superstition up by the roots’ and that ‘the destruction of superstition does not mean the destruction of religion.’</w:t>
      </w:r>
      <w:r>
        <w:rPr>
          <w:vertAlign w:val="superscript"/>
        </w:rPr>
        <w:footnoteReference w:id="17"/>
      </w:r>
      <w:r>
        <w:t xml:space="preserve"> In these statements, the reader may ascertain that perhaps the argument isn’t against divination at all, but against the </w:t>
      </w:r>
      <w:r w:rsidRPr="00CC0F1A">
        <w:rPr>
          <w:i/>
          <w:iCs/>
        </w:rPr>
        <w:t>superstition</w:t>
      </w:r>
      <w:r>
        <w:t xml:space="preserve"> Cicero feels is a part of these practices. Robert Goar notes that, ‘As a public man, he [Cicero] was far too aware of the political usefulness of augury and </w:t>
      </w:r>
      <w:proofErr w:type="spellStart"/>
      <w:r>
        <w:t>haruspicine</w:t>
      </w:r>
      <w:proofErr w:type="spellEnd"/>
      <w:r>
        <w:t xml:space="preserve"> to wish the masses to be enlightened on this subject.’</w:t>
      </w:r>
      <w:r>
        <w:rPr>
          <w:vertAlign w:val="superscript"/>
        </w:rPr>
        <w:footnoteReference w:id="18"/>
      </w:r>
      <w:r>
        <w:t xml:space="preserve"> </w:t>
      </w:r>
      <w:r w:rsidR="00CC0F1A">
        <w:t>The</w:t>
      </w:r>
      <w:r>
        <w:t xml:space="preserve"> argument against superstition </w:t>
      </w:r>
      <w:r w:rsidR="00CC0F1A">
        <w:t>may</w:t>
      </w:r>
      <w:r>
        <w:t xml:space="preserve"> really only </w:t>
      </w:r>
      <w:r w:rsidR="00CC0F1A">
        <w:t xml:space="preserve">be </w:t>
      </w:r>
      <w:r>
        <w:t xml:space="preserve">against superstitious beliefs </w:t>
      </w:r>
      <w:r w:rsidRPr="00CC0F1A">
        <w:rPr>
          <w:iCs/>
        </w:rPr>
        <w:t>for the elite and ruling classes</w:t>
      </w:r>
      <w:r>
        <w:t xml:space="preserve">, with rationality to be used as a tool of control. Alternatively, </w:t>
      </w:r>
      <w:r>
        <w:t xml:space="preserve">if divination and superstition are seen as the same thing, then Cicero’s goal may have been to differentiate </w:t>
      </w:r>
      <w:r w:rsidR="000811EC">
        <w:t>any</w:t>
      </w:r>
      <w:r>
        <w:t xml:space="preserve"> folk practices of the common people from state religion.</w:t>
      </w:r>
    </w:p>
    <w:p w14:paraId="00000012" w14:textId="47A91031" w:rsidR="003F26BF" w:rsidRDefault="00000000">
      <w:pPr>
        <w:spacing w:line="360" w:lineRule="auto"/>
        <w:ind w:firstLine="720"/>
      </w:pPr>
      <w:r>
        <w:t>Schofield proposes that the goal of Book II is indeed to separate superstition from religion which includes, for Cicero, ‘belief in a divine being’.</w:t>
      </w:r>
      <w:r>
        <w:rPr>
          <w:vertAlign w:val="superscript"/>
        </w:rPr>
        <w:footnoteReference w:id="19"/>
      </w:r>
      <w:r>
        <w:t xml:space="preserve"> This would allow Cicero to reconcile his roles as augur, </w:t>
      </w:r>
      <w:r w:rsidR="002F38B7">
        <w:t xml:space="preserve">priest, </w:t>
      </w:r>
      <w:r>
        <w:t xml:space="preserve">statesman, and philosopher, keeping him aligned with what supports the state while also presenting himself as a man of reason and good education. It might even be fully in alignment with Cicero’s role as an augur </w:t>
      </w:r>
      <w:r>
        <w:rPr>
          <w:i/>
        </w:rPr>
        <w:t>not</w:t>
      </w:r>
      <w:r>
        <w:t xml:space="preserve"> to believe in divination, </w:t>
      </w:r>
      <w:r w:rsidR="000A7835">
        <w:t>given</w:t>
      </w:r>
      <w:r>
        <w:t xml:space="preserve"> he says, ‘For we Roman augurs are not the sort who foretell the future by observing the flights of birds and other signs.’</w:t>
      </w:r>
      <w:r>
        <w:rPr>
          <w:vertAlign w:val="superscript"/>
        </w:rPr>
        <w:footnoteReference w:id="20"/>
      </w:r>
      <w:r>
        <w:t xml:space="preserve"> If Cicero truly sees Roman augury as different from </w:t>
      </w:r>
      <w:r w:rsidR="002F38B7">
        <w:t>other</w:t>
      </w:r>
      <w:r>
        <w:t xml:space="preserve"> divinatory methods, then there is no disconnect because the concern is superstition—which Schofield defines as a ‘baseless fear of the gods’</w:t>
      </w:r>
      <w:r>
        <w:rPr>
          <w:vertAlign w:val="superscript"/>
        </w:rPr>
        <w:footnoteReference w:id="21"/>
      </w:r>
      <w:r>
        <w:t>—rather than augury</w:t>
      </w:r>
      <w:r w:rsidR="00A77143">
        <w:t>.</w:t>
      </w:r>
      <w:r>
        <w:t xml:space="preserve"> </w:t>
      </w:r>
      <w:r w:rsidR="000A7835">
        <w:t xml:space="preserve">Brian </w:t>
      </w:r>
      <w:proofErr w:type="spellStart"/>
      <w:r w:rsidR="000A7835">
        <w:t>Krostenko</w:t>
      </w:r>
      <w:proofErr w:type="spellEnd"/>
      <w:r w:rsidR="000A7835">
        <w:t xml:space="preserve"> notes how </w:t>
      </w:r>
      <w:r w:rsidR="000A7835">
        <w:lastRenderedPageBreak/>
        <w:t>Cicero ‘stresses the strictly approbative, rather than predictive, role of Roman augurs’</w:t>
      </w:r>
      <w:r w:rsidR="00FC253E">
        <w:t>,</w:t>
      </w:r>
      <w:r w:rsidR="000A7835">
        <w:rPr>
          <w:rStyle w:val="FootnoteReference"/>
        </w:rPr>
        <w:footnoteReference w:id="22"/>
      </w:r>
      <w:r w:rsidR="00FC253E">
        <w:t xml:space="preserve"> so philosophically speaking there </w:t>
      </w:r>
      <w:r w:rsidR="008C3D60">
        <w:t>would</w:t>
      </w:r>
      <w:r w:rsidR="00FC253E">
        <w:t xml:space="preserve"> be no conflict between Cicero’s role as an augur and his attacks on divination. Divination as a predictive practice is, to him, superstition, and therefore not to be encouraged.</w:t>
      </w:r>
    </w:p>
    <w:p w14:paraId="00000013" w14:textId="4A3A4B90" w:rsidR="003F26BF" w:rsidRDefault="00000000">
      <w:pPr>
        <w:spacing w:line="360" w:lineRule="auto"/>
        <w:ind w:firstLine="720"/>
      </w:pPr>
      <w:r>
        <w:t>That being said, it is apparently not enough for Cicero to argue against divination as superstition in a way that follows the Academic format. He argues strongly against the Stoic philosophers in particular, and at times is outright derisive: ‘But, for some inexplicable cause, those superstitious and half-cracked [Stoic] philosophers of yours would rather appear absurd than anything else in the world.’</w:t>
      </w:r>
      <w:r>
        <w:rPr>
          <w:vertAlign w:val="superscript"/>
        </w:rPr>
        <w:footnoteReference w:id="23"/>
      </w:r>
      <w:r>
        <w:t xml:space="preserve"> The argument could have been made without the ad hominem attacks, and their use weakens it by making the argument personal. This seems to be an example of the dynamic observed </w:t>
      </w:r>
      <w:r w:rsidR="00BA0A71">
        <w:t xml:space="preserve">with regard to astrology </w:t>
      </w:r>
      <w:r>
        <w:t>by Tamsyn Barton whereby those objecting to astrology on philosophical grounds—as Cicero does, although the focus of the above passage was Stoic beliefs about the Delphic oracles—are really arguing more against rival schools than astrology itself.</w:t>
      </w:r>
      <w:r>
        <w:rPr>
          <w:vertAlign w:val="superscript"/>
        </w:rPr>
        <w:footnoteReference w:id="24"/>
      </w:r>
      <w:r>
        <w:t xml:space="preserve"> Given the Stoics were inclined to take astrology seriously,</w:t>
      </w:r>
      <w:r>
        <w:rPr>
          <w:vertAlign w:val="superscript"/>
        </w:rPr>
        <w:footnoteReference w:id="25"/>
      </w:r>
      <w:r>
        <w:t xml:space="preserve"> disdaining them and their other ‘superstitions’ would perhaps incline philosophers like Cicero to reject astrology or other practices without ever really examining them, a weakness discussed further in the next section.</w:t>
      </w:r>
    </w:p>
    <w:p w14:paraId="00000016" w14:textId="77777777" w:rsidR="003F26BF" w:rsidRDefault="003F26BF">
      <w:pPr>
        <w:spacing w:line="360" w:lineRule="auto"/>
        <w:ind w:firstLine="720"/>
      </w:pPr>
    </w:p>
    <w:p w14:paraId="00000017" w14:textId="77777777" w:rsidR="003F26BF" w:rsidRDefault="00000000">
      <w:pPr>
        <w:spacing w:line="360" w:lineRule="auto"/>
        <w:rPr>
          <w:i/>
        </w:rPr>
      </w:pPr>
      <w:r>
        <w:rPr>
          <w:i/>
        </w:rPr>
        <w:t xml:space="preserve">Strengths and Weaknesses </w:t>
      </w:r>
    </w:p>
    <w:p w14:paraId="00000018" w14:textId="6AD88B66" w:rsidR="003F26BF" w:rsidRDefault="00000000">
      <w:pPr>
        <w:spacing w:line="360" w:lineRule="auto"/>
        <w:ind w:firstLine="720"/>
      </w:pPr>
      <w:r>
        <w:t>The argument</w:t>
      </w:r>
      <w:r w:rsidR="00434D0D">
        <w:t>s</w:t>
      </w:r>
      <w:r>
        <w:t xml:space="preserve"> presented in Book I offer a number of examples presented as proof of divination</w:t>
      </w:r>
      <w:r w:rsidR="00301A26">
        <w:t xml:space="preserve"> including</w:t>
      </w:r>
      <w:r>
        <w:t xml:space="preserve"> dreams, the relating of prophecies that are said to have come to pass, and indications that Cicero himself believes in divination via the quotation of a poem he wrote. However, as Cicero points out in Book II, a number of these examples are fictitious or mythological. Fictional stories are made up by definition; they </w:t>
      </w:r>
      <w:r w:rsidR="00434D0D">
        <w:t>may not</w:t>
      </w:r>
      <w:r>
        <w:t xml:space="preserve"> serve as proof of anything</w:t>
      </w:r>
      <w:r w:rsidR="00434D0D">
        <w:t xml:space="preserve"> other than imagination</w:t>
      </w:r>
      <w:r>
        <w:t xml:space="preserve">. As for mythology, Joseph Baumgartner, G. </w:t>
      </w:r>
      <w:proofErr w:type="spellStart"/>
      <w:r>
        <w:t>Lanczowski</w:t>
      </w:r>
      <w:proofErr w:type="spellEnd"/>
      <w:r>
        <w:t>, J. B. and H. Fries write that ‘Myth never looks for proof nor does it ever proceed in apologetic fashion’ and further, that myth is presupposed to be real.</w:t>
      </w:r>
      <w:r>
        <w:rPr>
          <w:vertAlign w:val="superscript"/>
        </w:rPr>
        <w:footnoteReference w:id="26"/>
      </w:r>
      <w:r>
        <w:t xml:space="preserve"> This lack of proof and presupposition of </w:t>
      </w:r>
      <w:r>
        <w:lastRenderedPageBreak/>
        <w:t xml:space="preserve">reality do not lend themselves to </w:t>
      </w:r>
      <w:r w:rsidR="00074102">
        <w:t xml:space="preserve">rational </w:t>
      </w:r>
      <w:r>
        <w:t>credibility, strength</w:t>
      </w:r>
      <w:r w:rsidR="00074102">
        <w:t>ening</w:t>
      </w:r>
      <w:r>
        <w:t xml:space="preserve"> the argument against divination</w:t>
      </w:r>
      <w:r w:rsidR="008D4D3B">
        <w:t xml:space="preserve"> from a Roman perspective</w:t>
      </w:r>
      <w:r>
        <w:t>.</w:t>
      </w:r>
    </w:p>
    <w:p w14:paraId="00000019" w14:textId="77777777" w:rsidR="003F26BF" w:rsidRDefault="00000000">
      <w:pPr>
        <w:spacing w:line="360" w:lineRule="auto"/>
        <w:ind w:firstLine="720"/>
      </w:pPr>
      <w:r>
        <w:t>Another strength is in calling out the retroactive application of portents when an event or outcome has already occurred.</w:t>
      </w:r>
      <w:r>
        <w:rPr>
          <w:vertAlign w:val="superscript"/>
        </w:rPr>
        <w:footnoteReference w:id="27"/>
      </w:r>
      <w:r>
        <w:t xml:space="preserve"> It is quite easy to look for coincidental events and, after something remarkably good, bad, or notable has happened, turn around and say that a horse stumbling or snakes gathering before a fireplace was a portent. For something to be divination as defined by Quintus, there must be an element of prediction to it, otherwise it is just crafting a good story—or myth.</w:t>
      </w:r>
    </w:p>
    <w:p w14:paraId="0000001A" w14:textId="63B42C68" w:rsidR="003F26BF" w:rsidRDefault="00000000">
      <w:pPr>
        <w:spacing w:line="360" w:lineRule="auto"/>
        <w:ind w:firstLine="720"/>
      </w:pPr>
      <w:r>
        <w:t xml:space="preserve">Additionally, there are places where Cicero is willing to concede arguments, demonstrating that he is not </w:t>
      </w:r>
      <w:r w:rsidR="00932D73">
        <w:t>always</w:t>
      </w:r>
      <w:r>
        <w:t xml:space="preserve"> ignoring the arguments for divination out of hand. For example, he says that, ‘Innumerable instances…may be given to prove that some natural </w:t>
      </w:r>
      <w:proofErr w:type="spellStart"/>
      <w:r>
        <w:t>connexion</w:t>
      </w:r>
      <w:proofErr w:type="spellEnd"/>
      <w:r>
        <w:t xml:space="preserve"> does exist between objects apparently unrelated.’</w:t>
      </w:r>
      <w:r>
        <w:rPr>
          <w:vertAlign w:val="superscript"/>
        </w:rPr>
        <w:footnoteReference w:id="28"/>
      </w:r>
      <w:r>
        <w:t xml:space="preserve"> This </w:t>
      </w:r>
      <w:r w:rsidR="00831469">
        <w:t>strength</w:t>
      </w:r>
      <w:r>
        <w:t xml:space="preserve"> does not extend throughout his arguments, however.</w:t>
      </w:r>
    </w:p>
    <w:p w14:paraId="0000001B" w14:textId="41E13C84" w:rsidR="003F26BF" w:rsidRDefault="00000000">
      <w:pPr>
        <w:spacing w:line="360" w:lineRule="auto"/>
        <w:ind w:firstLine="720"/>
      </w:pPr>
      <w:r>
        <w:t>For example, the argument against astrology</w:t>
      </w:r>
      <w:r>
        <w:rPr>
          <w:vertAlign w:val="superscript"/>
        </w:rPr>
        <w:footnoteReference w:id="29"/>
      </w:r>
      <w:r>
        <w:t xml:space="preserve"> is made in broad </w:t>
      </w:r>
      <w:proofErr w:type="spellStart"/>
      <w:r>
        <w:t>generalisations</w:t>
      </w:r>
      <w:proofErr w:type="spellEnd"/>
      <w:r>
        <w:t xml:space="preserve"> betraying </w:t>
      </w:r>
      <w:r w:rsidR="004205CC">
        <w:t>some</w:t>
      </w:r>
      <w:r>
        <w:t xml:space="preserve"> ignorance of the topic while giving the appearance of knowledgeable specificity in breaking points down one at a time. It is also inconsistent with an earlier argument</w:t>
      </w:r>
      <w:r w:rsidR="004205CC">
        <w:t>; i</w:t>
      </w:r>
      <w:r>
        <w:t>n arguing against astrology as divination, Cicero writes that one’s birthplace has more influence than the stars</w:t>
      </w:r>
      <w:r>
        <w:rPr>
          <w:vertAlign w:val="superscript"/>
        </w:rPr>
        <w:footnoteReference w:id="30"/>
      </w:r>
      <w:r>
        <w:t xml:space="preserve"> and yet earlier in Book II declares that all auspices should share the same answer across different places,</w:t>
      </w:r>
      <w:r>
        <w:rPr>
          <w:vertAlign w:val="superscript"/>
        </w:rPr>
        <w:footnoteReference w:id="31"/>
      </w:r>
      <w:r>
        <w:t xml:space="preserve"> which would seem to negate the influence of place in favor of the power of the auspices. The reader is left wondering whether place does or should have influence in divinatory practice or delineation, or not. Inconsistencies like this weaken the argument against divination and give the appearance of mere contrariness.</w:t>
      </w:r>
    </w:p>
    <w:p w14:paraId="0000001E" w14:textId="73FD9856" w:rsidR="003F26BF" w:rsidRDefault="00000000" w:rsidP="00626D0F">
      <w:pPr>
        <w:spacing w:line="360" w:lineRule="auto"/>
        <w:ind w:firstLine="720"/>
      </w:pPr>
      <w:r>
        <w:t>This is not the only point of inconsistency. In one statement Cicero dismisses the forefathers of Rome as ancients with ‘erroneous views on many subjects’ with auspices as the named subject, and then three sentences later, declares that more contemporaneous persons who acted against the auspices ‘were deserving of capital punishment’ because they ‘should not have treated the customs of their forefathers with such shameless disdain.’</w:t>
      </w:r>
      <w:r>
        <w:rPr>
          <w:vertAlign w:val="superscript"/>
        </w:rPr>
        <w:footnoteReference w:id="32"/>
      </w:r>
      <w:r>
        <w:t xml:space="preserve"> Again, the reader gains the impression that Cicero is being contrary for the sake of it, does not actually believe what he is arguing</w:t>
      </w:r>
      <w:r w:rsidR="007D7945">
        <w:t>, or has ulterior motives</w:t>
      </w:r>
      <w:r>
        <w:t xml:space="preserve">. </w:t>
      </w:r>
      <w:r w:rsidR="007D7945">
        <w:t>I</w:t>
      </w:r>
      <w:r>
        <w:t xml:space="preserve">f Goar’s perspective is drawn upon again, it may be </w:t>
      </w:r>
      <w:r>
        <w:lastRenderedPageBreak/>
        <w:t xml:space="preserve">that this is less an example of inconsistency, and more an example of where augury upholds the state—and prominent persons ignoring the auspices undermines the state. In other words, </w:t>
      </w:r>
      <w:r w:rsidR="007D7945">
        <w:t>Cicero’s</w:t>
      </w:r>
      <w:r>
        <w:t xml:space="preserve"> support is for state religion, perhaps as a control mechanism, rather than for augury on its own merits.</w:t>
      </w:r>
    </w:p>
    <w:p w14:paraId="34EEC1D1" w14:textId="10B8E19B" w:rsidR="00626D0F" w:rsidRDefault="00626D0F" w:rsidP="007D7945">
      <w:pPr>
        <w:spacing w:line="360" w:lineRule="auto"/>
        <w:ind w:firstLine="720"/>
      </w:pPr>
      <w:r>
        <w:t xml:space="preserve">The idea of augury as upholding the state while other </w:t>
      </w:r>
      <w:r w:rsidR="008D6598">
        <w:t>divinatory methods</w:t>
      </w:r>
      <w:r>
        <w:t xml:space="preserve"> undermine it </w:t>
      </w:r>
      <w:r w:rsidR="008D6598">
        <w:t>makes more sense</w:t>
      </w:r>
      <w:r>
        <w:t xml:space="preserve"> </w:t>
      </w:r>
      <w:r w:rsidR="008D6598">
        <w:t>in</w:t>
      </w:r>
      <w:r>
        <w:t xml:space="preserve"> </w:t>
      </w:r>
      <w:r w:rsidR="008D6598">
        <w:t>the context of</w:t>
      </w:r>
      <w:r>
        <w:t xml:space="preserve"> the assassination of Julius Caesar in 44 BCE. Cicero describes this time as ‘grievous’</w:t>
      </w:r>
      <w:r>
        <w:rPr>
          <w:rStyle w:val="FootnoteReference"/>
        </w:rPr>
        <w:footnoteReference w:id="33"/>
      </w:r>
      <w:r>
        <w:t xml:space="preserve"> and</w:t>
      </w:r>
      <w:r w:rsidR="008D6598">
        <w:t xml:space="preserve"> may have been influenced by the political disruption to </w:t>
      </w:r>
      <w:r w:rsidR="00301A26">
        <w:t>argue for</w:t>
      </w:r>
      <w:r w:rsidR="008D6598">
        <w:t xml:space="preserve"> methods </w:t>
      </w:r>
      <w:r w:rsidR="00301A26">
        <w:t>of</w:t>
      </w:r>
      <w:r w:rsidR="008D6598">
        <w:t xml:space="preserve"> control. As </w:t>
      </w:r>
      <w:proofErr w:type="spellStart"/>
      <w:r w:rsidR="008D6598">
        <w:t>Krostenko</w:t>
      </w:r>
      <w:proofErr w:type="spellEnd"/>
      <w:r w:rsidR="008D6598">
        <w:t xml:space="preserve"> writes, ‘the idea that divine messages should only come from authorized venues’ </w:t>
      </w:r>
      <w:r w:rsidR="00FB3D80">
        <w:t>—</w:t>
      </w:r>
      <w:r w:rsidR="008D6598">
        <w:t>like augurs</w:t>
      </w:r>
      <w:r w:rsidR="00FB3D80">
        <w:t>—</w:t>
      </w:r>
      <w:r w:rsidR="008D6598">
        <w:t xml:space="preserve"> ‘was an important principle of Roman religious practice’.</w:t>
      </w:r>
      <w:r w:rsidR="008D6598">
        <w:rPr>
          <w:rStyle w:val="FootnoteReference"/>
        </w:rPr>
        <w:footnoteReference w:id="34"/>
      </w:r>
      <w:r w:rsidR="008D6598">
        <w:t xml:space="preserve"> </w:t>
      </w:r>
      <w:r w:rsidR="007D7945">
        <w:t>Supporting this, Patrick Kragelund notes that Rome’s state religion was ‘characterized by mutual and collective control’ meaning that the personal experience of dreams or visions had no place.</w:t>
      </w:r>
      <w:r w:rsidR="007D7945">
        <w:rPr>
          <w:rStyle w:val="FootnoteReference"/>
        </w:rPr>
        <w:footnoteReference w:id="35"/>
      </w:r>
      <w:r w:rsidR="007D7945">
        <w:t xml:space="preserve"> </w:t>
      </w:r>
      <w:r w:rsidR="008D6598">
        <w:t>Divination as a practice of the common people then becomes a threat both to Cicero’s role as an augur as well as to the stability and control of a state rocked by the recent assassination of its leader. If the people are denied their own ways of foretelling, then they do not have the info</w:t>
      </w:r>
      <w:r w:rsidR="00E82862">
        <w:t>rmation</w:t>
      </w:r>
      <w:r w:rsidR="008D6598">
        <w:t xml:space="preserve"> to act against the upper classes toward further destabilization or redistribution of power.</w:t>
      </w:r>
      <w:r w:rsidR="007D7945">
        <w:t xml:space="preserve"> </w:t>
      </w:r>
      <w:r w:rsidR="00E82862">
        <w:t>Elite s</w:t>
      </w:r>
      <w:r w:rsidR="007D7945">
        <w:t xml:space="preserve">ociopolitical anxieties about controlling the public being compounded by Caesar’s death lend themselves to an even greater need to </w:t>
      </w:r>
      <w:r w:rsidR="00204DA5">
        <w:t>discredit</w:t>
      </w:r>
      <w:r w:rsidR="007D7945">
        <w:t xml:space="preserve"> uncontrollable or public sources of divination like dreams.</w:t>
      </w:r>
    </w:p>
    <w:p w14:paraId="0000001F" w14:textId="61581E03" w:rsidR="003F26BF" w:rsidRDefault="001D5E92">
      <w:pPr>
        <w:spacing w:line="360" w:lineRule="auto"/>
        <w:ind w:firstLine="720"/>
      </w:pPr>
      <w:r>
        <w:t>This dismissal is often presented as</w:t>
      </w:r>
      <w:r w:rsidR="00000000">
        <w:t xml:space="preserve"> </w:t>
      </w:r>
      <w:proofErr w:type="gramStart"/>
      <w:r w:rsidR="00000000">
        <w:t>incredulity—that is</w:t>
      </w:r>
      <w:proofErr w:type="gramEnd"/>
      <w:r w:rsidR="00000000">
        <w:t xml:space="preserve">, because </w:t>
      </w:r>
      <w:r w:rsidR="00216EDC">
        <w:t>Cicero</w:t>
      </w:r>
      <w:r w:rsidR="00000000">
        <w:t xml:space="preserve"> cannot see how divination can be real</w:t>
      </w:r>
      <w:r w:rsidR="0076333E">
        <w:t xml:space="preserve">, </w:t>
      </w:r>
      <w:r w:rsidR="00000000">
        <w:t>it must</w:t>
      </w:r>
      <w:r w:rsidR="0076333E">
        <w:t xml:space="preserve"> </w:t>
      </w:r>
      <w:r w:rsidR="0076333E">
        <w:t>therefore</w:t>
      </w:r>
      <w:r w:rsidR="00000000">
        <w:t xml:space="preserve"> be false. One such argument is that because divination is not broadly applicable to </w:t>
      </w:r>
      <w:r w:rsidR="0076333E">
        <w:t>such a range of topics as medicine, music, literature, physics, or politics</w:t>
      </w:r>
      <w:r w:rsidR="00000000">
        <w:t>,</w:t>
      </w:r>
      <w:r w:rsidR="0076333E">
        <w:rPr>
          <w:rStyle w:val="FootnoteReference"/>
        </w:rPr>
        <w:footnoteReference w:id="36"/>
      </w:r>
      <w:r w:rsidR="00000000">
        <w:t xml:space="preserve"> it does not exist. However, this </w:t>
      </w:r>
      <w:r w:rsidR="003D20D6">
        <w:t>demand</w:t>
      </w:r>
      <w:r w:rsidR="00000000">
        <w:t xml:space="preserve"> is not made of </w:t>
      </w:r>
      <w:r w:rsidR="0076333E">
        <w:t>these same</w:t>
      </w:r>
      <w:r w:rsidR="00000000">
        <w:t xml:space="preserve"> practices</w:t>
      </w:r>
      <w:r>
        <w:t xml:space="preserve"> or arts</w:t>
      </w:r>
      <w:r w:rsidR="00000000">
        <w:t xml:space="preserve">. </w:t>
      </w:r>
      <w:r w:rsidR="0076333E">
        <w:t>None</w:t>
      </w:r>
      <w:r w:rsidR="00000000">
        <w:t xml:space="preserve"> of </w:t>
      </w:r>
      <w:r w:rsidR="0076333E">
        <w:t>them</w:t>
      </w:r>
      <w:r w:rsidR="00000000">
        <w:t xml:space="preserve"> has a practical application in all other areas; one does not use political theory to diagnose an illness, for example. The reason for divination’s special requirement of this level of ubiquity is not given, only Cicero’s incredulity. This failure to recognize or concede that many practices have their particular use cases, and are not necessarily suited or appropriate for other cases, is a significant weakness.</w:t>
      </w:r>
    </w:p>
    <w:p w14:paraId="00000020" w14:textId="5249A01C" w:rsidR="003F26BF" w:rsidRDefault="00000000">
      <w:pPr>
        <w:spacing w:line="360" w:lineRule="auto"/>
        <w:ind w:firstLine="720"/>
      </w:pPr>
      <w:r>
        <w:t xml:space="preserve">With this in mind, one could equally make the counterargument that of course divination is real, because how could it not be? If the disbeliever lacks the knowledge or experience to </w:t>
      </w:r>
      <w:r>
        <w:lastRenderedPageBreak/>
        <w:t>interpret signs</w:t>
      </w:r>
      <w:r w:rsidR="0076333E">
        <w:t>, dreams,</w:t>
      </w:r>
      <w:r>
        <w:t xml:space="preserve"> or omens currently, then that is a skill issue, not evidence that divination does not exist. It is a similar standard of argument: full of self-importance and </w:t>
      </w:r>
      <w:r w:rsidR="0076333E">
        <w:t>based on the arguer’s personal convictions</w:t>
      </w:r>
      <w:r>
        <w:t xml:space="preserve">. It also assumes a world in which divination is taken as a matter of fact, with only the foolish disbelieving it, much as Cicero’s arguments against divination take the contrary stance (i.e. that rationalism is the default, with divinatory practitioners the </w:t>
      </w:r>
      <w:r w:rsidR="009673D9">
        <w:t xml:space="preserve">superstitious </w:t>
      </w:r>
      <w:r>
        <w:t xml:space="preserve">fools). The matter of superstition could be dealt with as well, </w:t>
      </w:r>
      <w:r w:rsidR="0076333E">
        <w:t>in that those conducting divination should approach it with the proper mindset, not out of fear</w:t>
      </w:r>
      <w:r>
        <w:t>.</w:t>
      </w:r>
    </w:p>
    <w:p w14:paraId="00000021" w14:textId="77777777" w:rsidR="003F26BF" w:rsidRDefault="003F26BF">
      <w:pPr>
        <w:spacing w:line="360" w:lineRule="auto"/>
        <w:ind w:firstLine="720"/>
      </w:pPr>
    </w:p>
    <w:p w14:paraId="00000022" w14:textId="77777777" w:rsidR="003F26BF" w:rsidRDefault="00000000">
      <w:pPr>
        <w:spacing w:line="360" w:lineRule="auto"/>
        <w:rPr>
          <w:i/>
        </w:rPr>
      </w:pPr>
      <w:r>
        <w:rPr>
          <w:i/>
        </w:rPr>
        <w:t xml:space="preserve">Cicero’s Conclusions </w:t>
      </w:r>
    </w:p>
    <w:p w14:paraId="00000023" w14:textId="121CC52B" w:rsidR="003F26BF" w:rsidRDefault="00A53EF9">
      <w:pPr>
        <w:spacing w:line="360" w:lineRule="auto"/>
        <w:ind w:firstLine="720"/>
      </w:pPr>
      <w:r>
        <w:t xml:space="preserve">Cicero declares himself a </w:t>
      </w:r>
      <w:proofErr w:type="gramStart"/>
      <w:r>
        <w:t>follower</w:t>
      </w:r>
      <w:proofErr w:type="gramEnd"/>
      <w:r>
        <w:t xml:space="preserve"> the Academic school of philosophy, which involves offering only arguments (not conclusions) and leaving the judgment in the hands of the inquirer,</w:t>
      </w:r>
      <w:r>
        <w:rPr>
          <w:vertAlign w:val="superscript"/>
        </w:rPr>
        <w:footnoteReference w:id="37"/>
      </w:r>
      <w:r>
        <w:t xml:space="preserve"> although Schofield also identifies an Epicurean approach to the tone of the arguments.</w:t>
      </w:r>
      <w:r>
        <w:rPr>
          <w:vertAlign w:val="superscript"/>
        </w:rPr>
        <w:footnoteReference w:id="38"/>
      </w:r>
      <w:r>
        <w:t xml:space="preserve"> As such, Cicero spends Book II refuting the arguments made on behalf of divination in Book I without presenting any evidence for what he does believe</w:t>
      </w:r>
      <w:r>
        <w:t xml:space="preserve"> and</w:t>
      </w:r>
      <w:r w:rsidR="00000000">
        <w:t xml:space="preserve"> not leav</w:t>
      </w:r>
      <w:r>
        <w:t>ing</w:t>
      </w:r>
      <w:r w:rsidR="00000000">
        <w:t xml:space="preserve"> the reader with a clear conclusion, intending that the presentation of both sides of the argument serve to allow the reader to draw their own conclusion based on the argument they find stronger.</w:t>
      </w:r>
    </w:p>
    <w:p w14:paraId="00000026" w14:textId="77777777" w:rsidR="003F26BF" w:rsidRDefault="003F26BF">
      <w:pPr>
        <w:spacing w:line="360" w:lineRule="auto"/>
        <w:ind w:firstLine="720"/>
      </w:pPr>
    </w:p>
    <w:p w14:paraId="00000027" w14:textId="77777777" w:rsidR="003F26BF" w:rsidRDefault="00000000">
      <w:pPr>
        <w:spacing w:line="360" w:lineRule="auto"/>
        <w:rPr>
          <w:b/>
        </w:rPr>
      </w:pPr>
      <w:r>
        <w:rPr>
          <w:b/>
        </w:rPr>
        <w:t xml:space="preserve">Conclusion </w:t>
      </w:r>
    </w:p>
    <w:p w14:paraId="3D90A072" w14:textId="52AFEF5F" w:rsidR="006D0BAB" w:rsidRDefault="00000000" w:rsidP="006D0BAB">
      <w:pPr>
        <w:spacing w:line="360" w:lineRule="auto"/>
        <w:ind w:firstLine="720"/>
      </w:pPr>
      <w:r>
        <w:t xml:space="preserve">Cicero’s arguments against divination </w:t>
      </w:r>
      <w:r w:rsidR="002D45B6">
        <w:t>fail to convince</w:t>
      </w:r>
      <w:r w:rsidR="000F2A68">
        <w:t xml:space="preserve"> and generally come off as an effort to uphold state religious practices as a method of control over the public</w:t>
      </w:r>
      <w:r>
        <w:t>.</w:t>
      </w:r>
      <w:r w:rsidR="006D0BAB">
        <w:t xml:space="preserve"> </w:t>
      </w:r>
      <w:r w:rsidR="006D0BAB">
        <w:t>Aside from his social status and roles</w:t>
      </w:r>
      <w:r w:rsidR="006D5C8B">
        <w:t>—</w:t>
      </w:r>
      <w:r w:rsidR="006D0BAB">
        <w:t>which might make it political suicide to speak too strongly against augury</w:t>
      </w:r>
      <w:r w:rsidR="001C75FC">
        <w:t xml:space="preserve"> </w:t>
      </w:r>
      <w:r w:rsidR="006D0BAB">
        <w:t>as a state-</w:t>
      </w:r>
      <w:r w:rsidR="009B393C">
        <w:t>sponsored</w:t>
      </w:r>
      <w:r w:rsidR="006D0BAB">
        <w:t xml:space="preserve"> religious activity</w:t>
      </w:r>
      <w:r w:rsidR="001C75FC">
        <w:t>—</w:t>
      </w:r>
      <w:r w:rsidR="006D0BAB">
        <w:t>the wide range of philosophical topics and</w:t>
      </w:r>
      <w:r w:rsidR="00CE7137">
        <w:t xml:space="preserve"> </w:t>
      </w:r>
      <w:r w:rsidR="006D0BAB">
        <w:t>number of works he cites himself as author of in the beginning of Book II would suggest that he knows better than to present such flawed reasoning. It may be a characteristic of the Academic school to present skeptical arguments without real conclusions, but in this work Cicero’s arguments are reminiscent of a modern-day social media reply-guy or bad-faith bro; that is, he responds to someone else’s position or profession of belief with incredulous and personal attacks</w:t>
      </w:r>
      <w:r w:rsidR="00343907">
        <w:t>, and</w:t>
      </w:r>
      <w:r w:rsidR="006D0BAB">
        <w:t xml:space="preserve"> without offering much in the way of real substance in his counterarguments, all the while saying he just wants to have a dialogue.</w:t>
      </w:r>
    </w:p>
    <w:p w14:paraId="706818C4" w14:textId="39D34455" w:rsidR="006D0BAB" w:rsidRDefault="006D0BAB" w:rsidP="006D0BAB">
      <w:pPr>
        <w:spacing w:line="360" w:lineRule="auto"/>
        <w:ind w:firstLine="720"/>
      </w:pPr>
      <w:r w:rsidRPr="009B393C">
        <w:t xml:space="preserve">Alternatively, the weakness of the arguments against divination could be a factor </w:t>
      </w:r>
      <w:proofErr w:type="gramStart"/>
      <w:r w:rsidRPr="009B393C">
        <w:t>of</w:t>
      </w:r>
      <w:proofErr w:type="gramEnd"/>
      <w:r w:rsidRPr="009B393C">
        <w:t xml:space="preserve"> trying to combine Hellenistic philosophy with Roman practices, or—if we consider the </w:t>
      </w:r>
      <w:r w:rsidRPr="009B393C">
        <w:lastRenderedPageBreak/>
        <w:t>sociopolitical factors and historical events</w:t>
      </w:r>
      <w:r w:rsidRPr="009B393C">
        <w:t xml:space="preserve">—a factor of not </w:t>
      </w:r>
      <w:r w:rsidRPr="009B393C">
        <w:rPr>
          <w:i/>
        </w:rPr>
        <w:t>needing</w:t>
      </w:r>
      <w:r w:rsidRPr="009B393C">
        <w:t xml:space="preserve"> to be stronger. </w:t>
      </w:r>
      <w:r w:rsidRPr="009B393C">
        <w:t>Cicero wrote for peers who had a vested interest in maintaining state religion</w:t>
      </w:r>
      <w:r w:rsidRPr="009B393C">
        <w:t>,</w:t>
      </w:r>
      <w:r w:rsidRPr="009B393C">
        <w:t xml:space="preserve"> so</w:t>
      </w:r>
      <w:r w:rsidRPr="009B393C">
        <w:t xml:space="preserve"> the entire work may simply have served as a</w:t>
      </w:r>
      <w:r w:rsidR="005D3B9B">
        <w:t xml:space="preserve"> </w:t>
      </w:r>
      <w:r w:rsidR="005D3B9B" w:rsidRPr="009B393C">
        <w:t>how-to guide</w:t>
      </w:r>
      <w:r w:rsidR="005D3B9B" w:rsidRPr="009B393C">
        <w:t xml:space="preserve"> </w:t>
      </w:r>
      <w:r w:rsidRPr="009B393C">
        <w:t>to mak</w:t>
      </w:r>
      <w:r w:rsidR="005D3B9B">
        <w:t>ing</w:t>
      </w:r>
      <w:r w:rsidRPr="009B393C">
        <w:t xml:space="preserve"> philosophical arguments. In other words, the weaknesses and failure to convince are a matter of form or function rather than validity.</w:t>
      </w:r>
    </w:p>
    <w:p w14:paraId="0000002D" w14:textId="77777777" w:rsidR="003F26BF" w:rsidRDefault="003F26BF">
      <w:pPr>
        <w:spacing w:line="360" w:lineRule="auto"/>
        <w:ind w:firstLine="720"/>
      </w:pPr>
    </w:p>
    <w:p w14:paraId="0000002E" w14:textId="77777777" w:rsidR="003F26BF" w:rsidRDefault="00000000">
      <w:pPr>
        <w:pStyle w:val="Heading2"/>
        <w:spacing w:line="360" w:lineRule="auto"/>
      </w:pPr>
      <w:bookmarkStart w:id="7" w:name="_jcjf4mjiz43m" w:colFirst="0" w:colLast="0"/>
      <w:bookmarkEnd w:id="7"/>
      <w:r>
        <w:t xml:space="preserve">Bibliography </w:t>
      </w:r>
    </w:p>
    <w:p w14:paraId="0000002F" w14:textId="77777777" w:rsidR="003F26BF" w:rsidRPr="00356007" w:rsidRDefault="00000000" w:rsidP="008D6598">
      <w:pPr>
        <w:spacing w:line="240" w:lineRule="auto"/>
      </w:pPr>
      <w:r w:rsidRPr="00356007">
        <w:t xml:space="preserve">Barton, Tamsyn S., </w:t>
      </w:r>
      <w:r w:rsidRPr="00356007">
        <w:rPr>
          <w:i/>
        </w:rPr>
        <w:t xml:space="preserve">Power and Knowledge: Astrology, Physiognomics, and Medicine under the Roman Empire </w:t>
      </w:r>
      <w:r w:rsidRPr="00356007">
        <w:t>(Ann Arbor: The University of Michigan Press, 2002)</w:t>
      </w:r>
    </w:p>
    <w:p w14:paraId="00000030" w14:textId="77777777" w:rsidR="003F26BF" w:rsidRPr="00356007" w:rsidRDefault="003F26BF" w:rsidP="008D6598">
      <w:pPr>
        <w:spacing w:line="240" w:lineRule="auto"/>
      </w:pPr>
    </w:p>
    <w:p w14:paraId="00000031" w14:textId="77777777" w:rsidR="003F26BF" w:rsidRPr="00356007" w:rsidRDefault="00000000" w:rsidP="008D6598">
      <w:pPr>
        <w:spacing w:line="240" w:lineRule="auto"/>
      </w:pPr>
      <w:r w:rsidRPr="00356007">
        <w:t xml:space="preserve">Baumgartner, Joseph, G. </w:t>
      </w:r>
      <w:proofErr w:type="spellStart"/>
      <w:r w:rsidRPr="00356007">
        <w:t>Lanczowski</w:t>
      </w:r>
      <w:proofErr w:type="spellEnd"/>
      <w:r w:rsidRPr="00356007">
        <w:t xml:space="preserve">, J. B. and H. Fries, ‘Myth and Mythology’, </w:t>
      </w:r>
      <w:r w:rsidRPr="00356007">
        <w:rPr>
          <w:i/>
        </w:rPr>
        <w:t>Philippine Quarterly of Culture and Society</w:t>
      </w:r>
      <w:r w:rsidRPr="00356007">
        <w:t xml:space="preserve"> vol. 2, no. 4 (1974), 195–200, &lt;http://www.jstor.org/stable/29791159&gt; [accessed 7 February 2025]</w:t>
      </w:r>
    </w:p>
    <w:p w14:paraId="00000032" w14:textId="77777777" w:rsidR="003F26BF" w:rsidRPr="00356007" w:rsidRDefault="003F26BF" w:rsidP="008D6598">
      <w:pPr>
        <w:spacing w:line="240" w:lineRule="auto"/>
      </w:pPr>
    </w:p>
    <w:p w14:paraId="00000033" w14:textId="77777777" w:rsidR="003F26BF" w:rsidRPr="00356007" w:rsidRDefault="00000000" w:rsidP="008D6598">
      <w:pPr>
        <w:spacing w:line="240" w:lineRule="auto"/>
      </w:pPr>
      <w:r w:rsidRPr="00356007">
        <w:t xml:space="preserve">Beard, Mary, ‘Cicero and Divination: The Formation of a Latin Discourse’, </w:t>
      </w:r>
      <w:r w:rsidRPr="00356007">
        <w:rPr>
          <w:i/>
        </w:rPr>
        <w:t>The Journal of Roman Studies</w:t>
      </w:r>
      <w:r w:rsidRPr="00356007">
        <w:t>, vol. 76 (1986), pp. 33-46, &lt;https://www.jstor.org/stable/300364&gt; [Accessed 7 Feb 2025]</w:t>
      </w:r>
    </w:p>
    <w:p w14:paraId="00000034" w14:textId="77777777" w:rsidR="003F26BF" w:rsidRPr="00356007" w:rsidRDefault="003F26BF" w:rsidP="008D6598">
      <w:pPr>
        <w:spacing w:line="240" w:lineRule="auto"/>
      </w:pPr>
    </w:p>
    <w:p w14:paraId="00000035" w14:textId="5BBD6E8A" w:rsidR="003F26BF" w:rsidRPr="00356007" w:rsidRDefault="00000000" w:rsidP="008D6598">
      <w:pPr>
        <w:spacing w:line="240" w:lineRule="auto"/>
      </w:pPr>
      <w:r w:rsidRPr="00356007">
        <w:t xml:space="preserve">Cicero, </w:t>
      </w:r>
      <w:r w:rsidRPr="00356007">
        <w:rPr>
          <w:i/>
        </w:rPr>
        <w:t xml:space="preserve">On Divination (De </w:t>
      </w:r>
      <w:proofErr w:type="spellStart"/>
      <w:r w:rsidRPr="00356007">
        <w:rPr>
          <w:i/>
        </w:rPr>
        <w:t>Divinatione</w:t>
      </w:r>
      <w:proofErr w:type="spellEnd"/>
      <w:r w:rsidRPr="00356007">
        <w:rPr>
          <w:i/>
        </w:rPr>
        <w:t>)</w:t>
      </w:r>
      <w:r w:rsidRPr="00356007">
        <w:t xml:space="preserve">, W. A. Falconer (ed. and trans.), Loeb Classical Library, vol. XX (Cambridge, MA: Harvard University Press 1923), </w:t>
      </w:r>
      <w:r w:rsidR="00930981">
        <w:t xml:space="preserve">I-II, </w:t>
      </w:r>
      <w:r w:rsidRPr="00356007">
        <w:t>pp. 223-539</w:t>
      </w:r>
    </w:p>
    <w:p w14:paraId="00000036" w14:textId="77777777" w:rsidR="003F26BF" w:rsidRPr="00356007" w:rsidRDefault="003F26BF" w:rsidP="008D6598">
      <w:pPr>
        <w:spacing w:line="240" w:lineRule="auto"/>
      </w:pPr>
    </w:p>
    <w:p w14:paraId="00000037" w14:textId="77777777" w:rsidR="003F26BF" w:rsidRPr="00356007" w:rsidRDefault="00000000" w:rsidP="008D6598">
      <w:pPr>
        <w:spacing w:line="240" w:lineRule="auto"/>
      </w:pPr>
      <w:r w:rsidRPr="00356007">
        <w:t xml:space="preserve">Goar, Robert J., ‘The Purpose of De </w:t>
      </w:r>
      <w:proofErr w:type="spellStart"/>
      <w:r w:rsidRPr="00356007">
        <w:t>Divinatione</w:t>
      </w:r>
      <w:proofErr w:type="spellEnd"/>
      <w:r w:rsidRPr="00356007">
        <w:t xml:space="preserve">’, </w:t>
      </w:r>
      <w:r w:rsidRPr="00356007">
        <w:rPr>
          <w:i/>
        </w:rPr>
        <w:t>Transactions of the Proceedings of the American Philological Association</w:t>
      </w:r>
      <w:r w:rsidRPr="00356007">
        <w:t>, vol. 99 (1968), pp. 241-248 &lt;https://www.jstor.org/stable/2935842&gt; [Accessed 14 February 2025]</w:t>
      </w:r>
    </w:p>
    <w:p w14:paraId="679B347C" w14:textId="77777777" w:rsidR="007D7945" w:rsidRPr="00356007" w:rsidRDefault="007D7945" w:rsidP="008D6598">
      <w:pPr>
        <w:spacing w:line="240" w:lineRule="auto"/>
      </w:pPr>
    </w:p>
    <w:p w14:paraId="5BCB8D83" w14:textId="3E04D76A" w:rsidR="007D7945" w:rsidRPr="00356007" w:rsidRDefault="007D7945" w:rsidP="008D6598">
      <w:pPr>
        <w:spacing w:line="240" w:lineRule="auto"/>
      </w:pPr>
      <w:r w:rsidRPr="00356007">
        <w:rPr>
          <w:lang w:val="en-US"/>
        </w:rPr>
        <w:t>Kragelund</w:t>
      </w:r>
      <w:r w:rsidRPr="00356007">
        <w:rPr>
          <w:lang w:val="en-US"/>
        </w:rPr>
        <w:t xml:space="preserve">, </w:t>
      </w:r>
      <w:r w:rsidRPr="00356007">
        <w:rPr>
          <w:lang w:val="en-US"/>
        </w:rPr>
        <w:t xml:space="preserve">Patrick, ‘Dreams, Religion, and Politics in Republican Rome’, </w:t>
      </w:r>
      <w:r w:rsidRPr="00356007">
        <w:rPr>
          <w:i/>
          <w:iCs/>
          <w:lang w:val="en-US"/>
        </w:rPr>
        <w:t xml:space="preserve">Historia: </w:t>
      </w:r>
      <w:proofErr w:type="spellStart"/>
      <w:r w:rsidRPr="00356007">
        <w:rPr>
          <w:i/>
          <w:iCs/>
          <w:lang w:val="en-US"/>
        </w:rPr>
        <w:t>Zeitschrift</w:t>
      </w:r>
      <w:proofErr w:type="spellEnd"/>
      <w:r w:rsidRPr="00356007">
        <w:rPr>
          <w:i/>
          <w:iCs/>
          <w:lang w:val="en-US"/>
        </w:rPr>
        <w:t xml:space="preserve"> für Alte </w:t>
      </w:r>
      <w:proofErr w:type="spellStart"/>
      <w:r w:rsidRPr="00356007">
        <w:rPr>
          <w:i/>
          <w:iCs/>
          <w:lang w:val="en-US"/>
        </w:rPr>
        <w:t>Geschichte</w:t>
      </w:r>
      <w:proofErr w:type="spellEnd"/>
      <w:r w:rsidRPr="00356007">
        <w:rPr>
          <w:lang w:val="en-US"/>
        </w:rPr>
        <w:t>, 1</w:t>
      </w:r>
      <w:r w:rsidRPr="00356007">
        <w:rPr>
          <w:vertAlign w:val="superscript"/>
          <w:lang w:val="en-US"/>
        </w:rPr>
        <w:t>st</w:t>
      </w:r>
      <w:r w:rsidRPr="00356007">
        <w:rPr>
          <w:lang w:val="en-US"/>
        </w:rPr>
        <w:t xml:space="preserve"> </w:t>
      </w:r>
      <w:proofErr w:type="spellStart"/>
      <w:r w:rsidRPr="00356007">
        <w:rPr>
          <w:lang w:val="en-US"/>
        </w:rPr>
        <w:t>Qtr</w:t>
      </w:r>
      <w:proofErr w:type="spellEnd"/>
      <w:r w:rsidRPr="00356007">
        <w:rPr>
          <w:lang w:val="en-US"/>
        </w:rPr>
        <w:t>, Bd. 50 (2001), pp. 53-95 &lt;https://www.jstor.org/stable/4436603&gt; [Accessed 14 February 2025].</w:t>
      </w:r>
    </w:p>
    <w:p w14:paraId="2FF32CEC" w14:textId="77777777" w:rsidR="008D6598" w:rsidRPr="00356007" w:rsidRDefault="008D6598" w:rsidP="008D6598">
      <w:pPr>
        <w:spacing w:line="240" w:lineRule="auto"/>
      </w:pPr>
    </w:p>
    <w:p w14:paraId="25E11893" w14:textId="2A8381CF" w:rsidR="008D6598" w:rsidRPr="00356007" w:rsidRDefault="008D6598" w:rsidP="008D6598">
      <w:pPr>
        <w:spacing w:line="240" w:lineRule="auto"/>
      </w:pPr>
      <w:proofErr w:type="spellStart"/>
      <w:r w:rsidRPr="00356007">
        <w:t>Krostenko</w:t>
      </w:r>
      <w:proofErr w:type="spellEnd"/>
      <w:r w:rsidR="007D7945" w:rsidRPr="00356007">
        <w:t xml:space="preserve">, </w:t>
      </w:r>
      <w:r w:rsidR="007D7945" w:rsidRPr="00356007">
        <w:t>Brian A.</w:t>
      </w:r>
      <w:r w:rsidRPr="00356007">
        <w:t xml:space="preserve">, ‘Beyond (Dis)belief: Rhetorical Form and Religious Symbol in Cicero’s de </w:t>
      </w:r>
      <w:proofErr w:type="spellStart"/>
      <w:r w:rsidRPr="00356007">
        <w:t>Divinatione</w:t>
      </w:r>
      <w:proofErr w:type="spellEnd"/>
      <w:r w:rsidRPr="00356007">
        <w:t xml:space="preserve">’, </w:t>
      </w:r>
      <w:r w:rsidRPr="00356007">
        <w:rPr>
          <w:i/>
          <w:iCs/>
        </w:rPr>
        <w:t>Transactions of the American Philological Association</w:t>
      </w:r>
      <w:r w:rsidRPr="00356007">
        <w:t>, vol. 130 (2000), pp. 353-391 &lt;https://www.jstor.org/stable/284315&gt; [Accessed 14 February 2025]</w:t>
      </w:r>
    </w:p>
    <w:p w14:paraId="00000038" w14:textId="77777777" w:rsidR="003F26BF" w:rsidRPr="00356007" w:rsidRDefault="003F26BF" w:rsidP="008D6598">
      <w:pPr>
        <w:spacing w:line="240" w:lineRule="auto"/>
      </w:pPr>
    </w:p>
    <w:p w14:paraId="00000039" w14:textId="77777777" w:rsidR="003F26BF" w:rsidRPr="00356007" w:rsidRDefault="00000000" w:rsidP="008D6598">
      <w:pPr>
        <w:spacing w:line="240" w:lineRule="auto"/>
      </w:pPr>
      <w:r w:rsidRPr="00356007">
        <w:t xml:space="preserve">Levy, Neil </w:t>
      </w:r>
      <w:r w:rsidRPr="00356007">
        <w:rPr>
          <w:i/>
        </w:rPr>
        <w:t>Hard Luck: How Luck Undermines Free Will and Moral Responsibility</w:t>
      </w:r>
      <w:r w:rsidRPr="00356007">
        <w:t xml:space="preserve"> (Oxford: Oxford University Press, 2011) &lt;https://doi.org/10.1093/acprof:oso/9780199601387.003.0002&gt; [Accessed 2 November 2024]</w:t>
      </w:r>
    </w:p>
    <w:p w14:paraId="0000003A" w14:textId="77777777" w:rsidR="003F26BF" w:rsidRPr="00356007" w:rsidRDefault="003F26BF" w:rsidP="008D6598">
      <w:pPr>
        <w:spacing w:line="240" w:lineRule="auto"/>
      </w:pPr>
    </w:p>
    <w:p w14:paraId="0000003C" w14:textId="3757B5B4" w:rsidR="003F26BF" w:rsidRPr="00356007" w:rsidRDefault="00000000" w:rsidP="008D6598">
      <w:pPr>
        <w:spacing w:line="240" w:lineRule="auto"/>
      </w:pPr>
      <w:r w:rsidRPr="00356007">
        <w:t xml:space="preserve">Loewe, Michael </w:t>
      </w:r>
      <w:r w:rsidR="00356007" w:rsidRPr="00356007">
        <w:t xml:space="preserve">and Carmen Blacker, </w:t>
      </w:r>
      <w:r w:rsidR="00356007" w:rsidRPr="00356007">
        <w:rPr>
          <w:i/>
          <w:iCs/>
        </w:rPr>
        <w:t>Divination and Oracles</w:t>
      </w:r>
      <w:r w:rsidR="00356007" w:rsidRPr="00356007">
        <w:t>, reprint edition (New York: Routledge, 2021)</w:t>
      </w:r>
    </w:p>
    <w:p w14:paraId="21D067EF" w14:textId="77777777" w:rsidR="00356007" w:rsidRPr="00356007" w:rsidRDefault="00356007" w:rsidP="008D6598">
      <w:pPr>
        <w:spacing w:line="240" w:lineRule="auto"/>
      </w:pPr>
    </w:p>
    <w:p w14:paraId="0000003D" w14:textId="77777777" w:rsidR="003F26BF" w:rsidRPr="00356007" w:rsidRDefault="00000000" w:rsidP="008D6598">
      <w:pPr>
        <w:spacing w:line="240" w:lineRule="auto"/>
      </w:pPr>
      <w:proofErr w:type="spellStart"/>
      <w:r w:rsidRPr="00356007">
        <w:t>Raphals</w:t>
      </w:r>
      <w:proofErr w:type="spellEnd"/>
      <w:r w:rsidRPr="00356007">
        <w:t xml:space="preserve">, Lisa, ‘Fate, Fortune, Chance, and Luck in Chinese and Greek: A Comparative Semantic History’, </w:t>
      </w:r>
      <w:r w:rsidRPr="00356007">
        <w:rPr>
          <w:i/>
        </w:rPr>
        <w:t>Philosophy East and West</w:t>
      </w:r>
      <w:r w:rsidRPr="00356007">
        <w:t>, vol. 53 no. 4 (Oct 2003), pp. 537-574 &lt;https://www.jstor.org/stable/1399982&gt; [Accessed 20 December 2024]</w:t>
      </w:r>
    </w:p>
    <w:p w14:paraId="0000003E" w14:textId="77777777" w:rsidR="003F26BF" w:rsidRPr="00356007" w:rsidRDefault="003F26BF" w:rsidP="008D6598">
      <w:pPr>
        <w:spacing w:line="240" w:lineRule="auto"/>
      </w:pPr>
    </w:p>
    <w:p w14:paraId="00000040" w14:textId="77C4602E" w:rsidR="003F26BF" w:rsidRDefault="00000000" w:rsidP="009F202C">
      <w:pPr>
        <w:spacing w:line="240" w:lineRule="auto"/>
      </w:pPr>
      <w:r w:rsidRPr="00356007">
        <w:t xml:space="preserve">Schofield, Malcolm, ‘Cicero for and Against Divination’, </w:t>
      </w:r>
      <w:r w:rsidRPr="00356007">
        <w:rPr>
          <w:i/>
        </w:rPr>
        <w:t>The Journal of Roman Studies</w:t>
      </w:r>
      <w:r w:rsidRPr="00356007">
        <w:t>, vol. 76 (1986), pp. 47-65 &lt;https://www.jstor.org/stable/300365&gt; [Accessed 10 February 2025]</w:t>
      </w:r>
    </w:p>
    <w:sectPr w:rsidR="003F26BF" w:rsidSect="00955F1A">
      <w:footerReference w:type="first" r:id="rId12"/>
      <w:type w:val="continuous"/>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B1A894" w14:textId="77777777" w:rsidR="00BF62FF" w:rsidRDefault="00BF62FF">
      <w:pPr>
        <w:spacing w:line="240" w:lineRule="auto"/>
      </w:pPr>
      <w:r>
        <w:separator/>
      </w:r>
    </w:p>
  </w:endnote>
  <w:endnote w:type="continuationSeparator" w:id="0">
    <w:p w14:paraId="2C2C93CA" w14:textId="77777777" w:rsidR="00BF62FF" w:rsidRDefault="00BF62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Kalam">
    <w:panose1 w:val="02000000000000000000"/>
    <w:charset w:val="00"/>
    <w:family w:val="auto"/>
    <w:pitch w:val="variable"/>
    <w:sig w:usb0="00008007" w:usb1="00000000" w:usb2="00000000" w:usb3="00000000" w:csb0="00000093"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3559208"/>
      <w:docPartObj>
        <w:docPartGallery w:val="Page Numbers (Bottom of Page)"/>
        <w:docPartUnique/>
      </w:docPartObj>
    </w:sdtPr>
    <w:sdtEndPr>
      <w:rPr>
        <w:noProof/>
      </w:rPr>
    </w:sdtEndPr>
    <w:sdtContent>
      <w:p w14:paraId="7F66B7F6" w14:textId="7CB5E9D0" w:rsidR="0043157C" w:rsidRDefault="004315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516364" w14:textId="77777777" w:rsidR="00E45A9F" w:rsidRDefault="00E45A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28F72" w14:textId="57C3B9AD" w:rsidR="00955F1A" w:rsidRDefault="00955F1A">
    <w:pPr>
      <w:pStyle w:val="Footer"/>
      <w:jc w:val="center"/>
    </w:pPr>
  </w:p>
  <w:p w14:paraId="18B6B901" w14:textId="77777777" w:rsidR="00955F1A" w:rsidRDefault="00955F1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2497878"/>
      <w:docPartObj>
        <w:docPartGallery w:val="Page Numbers (Bottom of Page)"/>
        <w:docPartUnique/>
      </w:docPartObj>
    </w:sdtPr>
    <w:sdtEndPr>
      <w:rPr>
        <w:noProof/>
      </w:rPr>
    </w:sdtEndPr>
    <w:sdtContent>
      <w:p w14:paraId="190B44AD" w14:textId="1880A927" w:rsidR="00477F74" w:rsidRDefault="00477F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DD5EB0" w14:textId="77777777" w:rsidR="00477F74" w:rsidRDefault="00477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7841DE" w14:textId="77777777" w:rsidR="00BF62FF" w:rsidRDefault="00BF62FF">
      <w:pPr>
        <w:spacing w:line="240" w:lineRule="auto"/>
      </w:pPr>
      <w:r>
        <w:separator/>
      </w:r>
    </w:p>
  </w:footnote>
  <w:footnote w:type="continuationSeparator" w:id="0">
    <w:p w14:paraId="3C7D3EED" w14:textId="77777777" w:rsidR="00BF62FF" w:rsidRDefault="00BF62FF">
      <w:pPr>
        <w:spacing w:line="240" w:lineRule="auto"/>
      </w:pPr>
      <w:r>
        <w:continuationSeparator/>
      </w:r>
    </w:p>
  </w:footnote>
  <w:footnote w:id="1">
    <w:p w14:paraId="00000041" w14:textId="777DDDC0" w:rsidR="003F26BF" w:rsidRDefault="00000000">
      <w:pPr>
        <w:spacing w:line="240" w:lineRule="auto"/>
        <w:rPr>
          <w:sz w:val="20"/>
          <w:szCs w:val="20"/>
        </w:rPr>
      </w:pPr>
      <w:r>
        <w:rPr>
          <w:vertAlign w:val="superscript"/>
        </w:rPr>
        <w:footnoteRef/>
      </w:r>
      <w:r>
        <w:rPr>
          <w:sz w:val="20"/>
          <w:szCs w:val="20"/>
        </w:rPr>
        <w:t xml:space="preserve"> Marcus Tullius Cicero, </w:t>
      </w:r>
      <w:r>
        <w:rPr>
          <w:i/>
          <w:sz w:val="20"/>
          <w:szCs w:val="20"/>
        </w:rPr>
        <w:t xml:space="preserve">On Divination (De </w:t>
      </w:r>
      <w:proofErr w:type="spellStart"/>
      <w:r>
        <w:rPr>
          <w:i/>
          <w:sz w:val="20"/>
          <w:szCs w:val="20"/>
        </w:rPr>
        <w:t>Divinatione</w:t>
      </w:r>
      <w:proofErr w:type="spellEnd"/>
      <w:r>
        <w:rPr>
          <w:i/>
          <w:sz w:val="20"/>
          <w:szCs w:val="20"/>
        </w:rPr>
        <w:t>)</w:t>
      </w:r>
      <w:r>
        <w:rPr>
          <w:sz w:val="20"/>
          <w:szCs w:val="20"/>
        </w:rPr>
        <w:t>, W. A. Falconer (ed. and trans.), Loeb Classical Library, vol. XX (Cambridge, MA: Harvard University Press 1923),</w:t>
      </w:r>
      <w:r w:rsidR="00930981">
        <w:rPr>
          <w:sz w:val="20"/>
          <w:szCs w:val="20"/>
        </w:rPr>
        <w:t xml:space="preserve"> I-II,</w:t>
      </w:r>
      <w:r>
        <w:rPr>
          <w:sz w:val="20"/>
          <w:szCs w:val="20"/>
        </w:rPr>
        <w:t xml:space="preserve"> pp. 223-539.</w:t>
      </w:r>
    </w:p>
  </w:footnote>
  <w:footnote w:id="2">
    <w:p w14:paraId="00000052" w14:textId="4635F2FE"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 xml:space="preserve">De </w:t>
      </w:r>
      <w:proofErr w:type="spellStart"/>
      <w:r>
        <w:rPr>
          <w:i/>
          <w:sz w:val="20"/>
          <w:szCs w:val="20"/>
        </w:rPr>
        <w:t>Divinatione</w:t>
      </w:r>
      <w:proofErr w:type="spellEnd"/>
      <w:r>
        <w:rPr>
          <w:sz w:val="20"/>
          <w:szCs w:val="20"/>
        </w:rPr>
        <w:t xml:space="preserve">, </w:t>
      </w:r>
      <w:r w:rsidR="00930981">
        <w:rPr>
          <w:sz w:val="20"/>
          <w:szCs w:val="20"/>
        </w:rPr>
        <w:t xml:space="preserve">II, </w:t>
      </w:r>
      <w:r>
        <w:rPr>
          <w:sz w:val="20"/>
          <w:szCs w:val="20"/>
        </w:rPr>
        <w:t>p. 371-373.</w:t>
      </w:r>
    </w:p>
  </w:footnote>
  <w:footnote w:id="3">
    <w:p w14:paraId="00000062" w14:textId="56F91937"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 xml:space="preserve">De </w:t>
      </w:r>
      <w:proofErr w:type="spellStart"/>
      <w:r>
        <w:rPr>
          <w:i/>
          <w:sz w:val="20"/>
          <w:szCs w:val="20"/>
        </w:rPr>
        <w:t>Divinatione</w:t>
      </w:r>
      <w:proofErr w:type="spellEnd"/>
      <w:r>
        <w:rPr>
          <w:sz w:val="20"/>
          <w:szCs w:val="20"/>
        </w:rPr>
        <w:t xml:space="preserve">, </w:t>
      </w:r>
      <w:r w:rsidR="00930981">
        <w:rPr>
          <w:sz w:val="20"/>
          <w:szCs w:val="20"/>
        </w:rPr>
        <w:t xml:space="preserve">II, </w:t>
      </w:r>
      <w:r>
        <w:rPr>
          <w:sz w:val="20"/>
          <w:szCs w:val="20"/>
        </w:rPr>
        <w:t>p. 375.</w:t>
      </w:r>
    </w:p>
  </w:footnote>
  <w:footnote w:id="4">
    <w:p w14:paraId="00000045" w14:textId="77777777" w:rsidR="003F26BF" w:rsidRDefault="00000000">
      <w:pPr>
        <w:spacing w:line="240" w:lineRule="auto"/>
        <w:rPr>
          <w:sz w:val="20"/>
          <w:szCs w:val="20"/>
        </w:rPr>
      </w:pPr>
      <w:r>
        <w:rPr>
          <w:vertAlign w:val="superscript"/>
        </w:rPr>
        <w:footnoteRef/>
      </w:r>
      <w:r>
        <w:rPr>
          <w:sz w:val="20"/>
          <w:szCs w:val="20"/>
        </w:rPr>
        <w:t xml:space="preserve"> Mary Beard, ‘Cicero and Divination: The Formation of a Latin Discourse’, </w:t>
      </w:r>
      <w:r>
        <w:rPr>
          <w:i/>
          <w:sz w:val="20"/>
          <w:szCs w:val="20"/>
        </w:rPr>
        <w:t>The Journal of Roman Studies</w:t>
      </w:r>
      <w:r>
        <w:rPr>
          <w:sz w:val="20"/>
          <w:szCs w:val="20"/>
        </w:rPr>
        <w:t>, vol. 76 (1986), pp. 33-46 (p. 40), &lt;https://www.jstor.org/stable/300364&gt; [Accessed 7 Feb 2025].</w:t>
      </w:r>
    </w:p>
  </w:footnote>
  <w:footnote w:id="5">
    <w:p w14:paraId="00000047" w14:textId="77777777" w:rsidR="003F26BF" w:rsidRDefault="00000000">
      <w:pPr>
        <w:spacing w:line="240" w:lineRule="auto"/>
        <w:rPr>
          <w:sz w:val="20"/>
          <w:szCs w:val="20"/>
        </w:rPr>
      </w:pPr>
      <w:r>
        <w:rPr>
          <w:vertAlign w:val="superscript"/>
        </w:rPr>
        <w:footnoteRef/>
      </w:r>
      <w:r>
        <w:rPr>
          <w:sz w:val="20"/>
          <w:szCs w:val="20"/>
        </w:rPr>
        <w:t xml:space="preserve"> Beard, ‘Cicero and Divination’, p. 36.</w:t>
      </w:r>
    </w:p>
  </w:footnote>
  <w:footnote w:id="6">
    <w:p w14:paraId="00000048" w14:textId="77777777" w:rsidR="003F26BF" w:rsidRDefault="00000000">
      <w:pPr>
        <w:spacing w:line="240" w:lineRule="auto"/>
        <w:rPr>
          <w:sz w:val="20"/>
          <w:szCs w:val="20"/>
        </w:rPr>
      </w:pPr>
      <w:r>
        <w:rPr>
          <w:vertAlign w:val="superscript"/>
        </w:rPr>
        <w:footnoteRef/>
      </w:r>
      <w:r>
        <w:rPr>
          <w:sz w:val="20"/>
          <w:szCs w:val="20"/>
        </w:rPr>
        <w:t xml:space="preserve"> Beard, ‘Cicero and Divination’, p. 43.</w:t>
      </w:r>
    </w:p>
  </w:footnote>
  <w:footnote w:id="7">
    <w:p w14:paraId="00000049" w14:textId="77777777" w:rsidR="003F26BF" w:rsidRDefault="00000000">
      <w:pPr>
        <w:spacing w:line="240" w:lineRule="auto"/>
        <w:rPr>
          <w:sz w:val="20"/>
          <w:szCs w:val="20"/>
        </w:rPr>
      </w:pPr>
      <w:r>
        <w:rPr>
          <w:vertAlign w:val="superscript"/>
        </w:rPr>
        <w:footnoteRef/>
      </w:r>
      <w:r>
        <w:rPr>
          <w:sz w:val="20"/>
          <w:szCs w:val="20"/>
        </w:rPr>
        <w:t xml:space="preserve"> Beard, ‘Cicero and Divination’, p. 45</w:t>
      </w:r>
    </w:p>
  </w:footnote>
  <w:footnote w:id="8">
    <w:p w14:paraId="00000043" w14:textId="3565A841"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On Divination</w:t>
      </w:r>
      <w:r>
        <w:rPr>
          <w:sz w:val="20"/>
          <w:szCs w:val="20"/>
        </w:rPr>
        <w:t xml:space="preserve">, </w:t>
      </w:r>
      <w:r w:rsidR="00930981">
        <w:rPr>
          <w:sz w:val="20"/>
          <w:szCs w:val="20"/>
        </w:rPr>
        <w:t xml:space="preserve">I, </w:t>
      </w:r>
      <w:r>
        <w:rPr>
          <w:sz w:val="20"/>
          <w:szCs w:val="20"/>
        </w:rPr>
        <w:t>p. 233.</w:t>
      </w:r>
    </w:p>
  </w:footnote>
  <w:footnote w:id="9">
    <w:p w14:paraId="00000044" w14:textId="50C45054" w:rsidR="003F26BF" w:rsidRDefault="00000000">
      <w:pPr>
        <w:spacing w:line="240" w:lineRule="auto"/>
        <w:rPr>
          <w:sz w:val="20"/>
          <w:szCs w:val="20"/>
        </w:rPr>
      </w:pPr>
      <w:r>
        <w:rPr>
          <w:vertAlign w:val="superscript"/>
        </w:rPr>
        <w:footnoteRef/>
      </w:r>
      <w:r>
        <w:rPr>
          <w:sz w:val="20"/>
          <w:szCs w:val="20"/>
        </w:rPr>
        <w:t xml:space="preserve"> </w:t>
      </w:r>
      <w:r w:rsidR="00A47DC3">
        <w:rPr>
          <w:sz w:val="20"/>
          <w:szCs w:val="20"/>
        </w:rPr>
        <w:t xml:space="preserve">Cicero, </w:t>
      </w:r>
      <w:r w:rsidR="00A47DC3">
        <w:rPr>
          <w:i/>
          <w:sz w:val="20"/>
          <w:szCs w:val="20"/>
        </w:rPr>
        <w:t>On Divination</w:t>
      </w:r>
      <w:r w:rsidR="00A47DC3">
        <w:rPr>
          <w:sz w:val="20"/>
          <w:szCs w:val="20"/>
        </w:rPr>
        <w:t xml:space="preserve">, </w:t>
      </w:r>
      <w:r w:rsidR="00930981">
        <w:rPr>
          <w:sz w:val="20"/>
          <w:szCs w:val="20"/>
        </w:rPr>
        <w:t xml:space="preserve">I, </w:t>
      </w:r>
      <w:r w:rsidR="00A47DC3">
        <w:rPr>
          <w:sz w:val="20"/>
          <w:szCs w:val="20"/>
        </w:rPr>
        <w:t xml:space="preserve">p. </w:t>
      </w:r>
      <w:r w:rsidR="00A47DC3">
        <w:rPr>
          <w:sz w:val="20"/>
          <w:szCs w:val="20"/>
        </w:rPr>
        <w:t>361.</w:t>
      </w:r>
    </w:p>
  </w:footnote>
  <w:footnote w:id="10">
    <w:p w14:paraId="00000060" w14:textId="77777777" w:rsidR="003F26BF" w:rsidRDefault="00000000">
      <w:pPr>
        <w:spacing w:line="240" w:lineRule="auto"/>
        <w:rPr>
          <w:sz w:val="20"/>
          <w:szCs w:val="20"/>
        </w:rPr>
      </w:pPr>
      <w:r>
        <w:rPr>
          <w:vertAlign w:val="superscript"/>
        </w:rPr>
        <w:footnoteRef/>
      </w:r>
      <w:r>
        <w:rPr>
          <w:sz w:val="20"/>
          <w:szCs w:val="20"/>
        </w:rPr>
        <w:t xml:space="preserve"> Lisa </w:t>
      </w:r>
      <w:proofErr w:type="spellStart"/>
      <w:r>
        <w:rPr>
          <w:sz w:val="20"/>
          <w:szCs w:val="20"/>
        </w:rPr>
        <w:t>Raphals</w:t>
      </w:r>
      <w:proofErr w:type="spellEnd"/>
      <w:r>
        <w:rPr>
          <w:sz w:val="20"/>
          <w:szCs w:val="20"/>
        </w:rPr>
        <w:t xml:space="preserve">, ‘Fate, Fortune, Chance, and Luck in Chinese and Greek: A Comparative Semantic History’, </w:t>
      </w:r>
      <w:r>
        <w:rPr>
          <w:i/>
          <w:sz w:val="20"/>
          <w:szCs w:val="20"/>
        </w:rPr>
        <w:t>Philosophy East and West</w:t>
      </w:r>
      <w:r>
        <w:rPr>
          <w:sz w:val="20"/>
          <w:szCs w:val="20"/>
        </w:rPr>
        <w:t>, vol. 53 no. 4 (Oct 2003), pp. 537-574 (p.555) &lt;https://www.jstor.org/stable/1399982&gt; [Accessed 20 December 2024].</w:t>
      </w:r>
    </w:p>
  </w:footnote>
  <w:footnote w:id="11">
    <w:p w14:paraId="00000061" w14:textId="77777777" w:rsidR="003F26BF" w:rsidRDefault="00000000">
      <w:pPr>
        <w:spacing w:line="240" w:lineRule="auto"/>
        <w:rPr>
          <w:sz w:val="20"/>
          <w:szCs w:val="20"/>
        </w:rPr>
      </w:pPr>
      <w:r>
        <w:rPr>
          <w:vertAlign w:val="superscript"/>
        </w:rPr>
        <w:footnoteRef/>
      </w:r>
      <w:r>
        <w:rPr>
          <w:sz w:val="20"/>
          <w:szCs w:val="20"/>
        </w:rPr>
        <w:t xml:space="preserve"> Neil Levy, </w:t>
      </w:r>
      <w:r>
        <w:rPr>
          <w:i/>
          <w:sz w:val="20"/>
          <w:szCs w:val="20"/>
        </w:rPr>
        <w:t>Hard Luck: How Luck Undermines Free Will and Moral Responsibility</w:t>
      </w:r>
      <w:r>
        <w:rPr>
          <w:sz w:val="20"/>
          <w:szCs w:val="20"/>
        </w:rPr>
        <w:t xml:space="preserve"> (Oxford: Oxford University Press, 2011), p. 36 &lt;https://doi.org/10.1093/acprof:oso/9780199601387.003.0002&gt; [Accessed 2 November 2024]</w:t>
      </w:r>
    </w:p>
  </w:footnote>
  <w:footnote w:id="12">
    <w:p w14:paraId="00000054" w14:textId="7E888AC6" w:rsidR="003F26BF" w:rsidRPr="00356007" w:rsidRDefault="00000000">
      <w:pPr>
        <w:spacing w:line="240" w:lineRule="auto"/>
        <w:rPr>
          <w:sz w:val="20"/>
          <w:szCs w:val="20"/>
        </w:rPr>
      </w:pPr>
      <w:r>
        <w:rPr>
          <w:vertAlign w:val="superscript"/>
        </w:rPr>
        <w:footnoteRef/>
      </w:r>
      <w:r>
        <w:rPr>
          <w:sz w:val="20"/>
          <w:szCs w:val="20"/>
        </w:rPr>
        <w:t xml:space="preserve"> </w:t>
      </w:r>
      <w:r w:rsidR="00356007">
        <w:rPr>
          <w:sz w:val="20"/>
          <w:szCs w:val="20"/>
        </w:rPr>
        <w:t xml:space="preserve">Michael Lowe and Carmen Blacker, </w:t>
      </w:r>
      <w:r w:rsidR="00356007">
        <w:rPr>
          <w:i/>
          <w:iCs/>
          <w:sz w:val="20"/>
          <w:szCs w:val="20"/>
        </w:rPr>
        <w:t>Divination and Oracles</w:t>
      </w:r>
      <w:r w:rsidR="00356007">
        <w:rPr>
          <w:sz w:val="20"/>
          <w:szCs w:val="20"/>
        </w:rPr>
        <w:t>, reprint edition (New York: Routledge, 2021), p. 1.</w:t>
      </w:r>
    </w:p>
  </w:footnote>
  <w:footnote w:id="13">
    <w:p w14:paraId="00000055" w14:textId="4E5B0926" w:rsidR="003F26BF" w:rsidRDefault="00000000">
      <w:pPr>
        <w:spacing w:line="240" w:lineRule="auto"/>
        <w:rPr>
          <w:sz w:val="20"/>
          <w:szCs w:val="20"/>
        </w:rPr>
      </w:pPr>
      <w:r>
        <w:rPr>
          <w:vertAlign w:val="superscript"/>
        </w:rPr>
        <w:footnoteRef/>
      </w:r>
      <w:r>
        <w:rPr>
          <w:sz w:val="20"/>
          <w:szCs w:val="20"/>
        </w:rPr>
        <w:t xml:space="preserve"> Beard, </w:t>
      </w:r>
      <w:r w:rsidR="00930981">
        <w:rPr>
          <w:sz w:val="20"/>
          <w:szCs w:val="20"/>
        </w:rPr>
        <w:t>‘</w:t>
      </w:r>
      <w:r>
        <w:rPr>
          <w:sz w:val="20"/>
          <w:szCs w:val="20"/>
        </w:rPr>
        <w:t>Cicero and Divination’, p. 43.</w:t>
      </w:r>
    </w:p>
  </w:footnote>
  <w:footnote w:id="14">
    <w:p w14:paraId="00000056" w14:textId="77777777" w:rsidR="003F26BF" w:rsidRDefault="00000000">
      <w:pPr>
        <w:spacing w:line="240" w:lineRule="auto"/>
        <w:rPr>
          <w:sz w:val="20"/>
          <w:szCs w:val="20"/>
        </w:rPr>
      </w:pPr>
      <w:r>
        <w:rPr>
          <w:vertAlign w:val="superscript"/>
        </w:rPr>
        <w:footnoteRef/>
      </w:r>
      <w:r>
        <w:rPr>
          <w:sz w:val="20"/>
          <w:szCs w:val="20"/>
        </w:rPr>
        <w:t xml:space="preserve"> Beard, Cicero and Divination’, p. 44.</w:t>
      </w:r>
    </w:p>
  </w:footnote>
  <w:footnote w:id="15">
    <w:p w14:paraId="00000057" w14:textId="30D9E197"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 xml:space="preserve">De </w:t>
      </w:r>
      <w:proofErr w:type="spellStart"/>
      <w:r>
        <w:rPr>
          <w:i/>
          <w:sz w:val="20"/>
          <w:szCs w:val="20"/>
        </w:rPr>
        <w:t>Divinatione</w:t>
      </w:r>
      <w:proofErr w:type="spellEnd"/>
      <w:r>
        <w:rPr>
          <w:sz w:val="20"/>
          <w:szCs w:val="20"/>
        </w:rPr>
        <w:t xml:space="preserve">, </w:t>
      </w:r>
      <w:r w:rsidR="000B1BC1">
        <w:rPr>
          <w:sz w:val="20"/>
          <w:szCs w:val="20"/>
        </w:rPr>
        <w:t xml:space="preserve">II, </w:t>
      </w:r>
      <w:r>
        <w:rPr>
          <w:sz w:val="20"/>
          <w:szCs w:val="20"/>
        </w:rPr>
        <w:t>p. 539.</w:t>
      </w:r>
    </w:p>
  </w:footnote>
  <w:footnote w:id="16">
    <w:p w14:paraId="7E460D8E" w14:textId="77777777" w:rsidR="000A7835" w:rsidRDefault="000A7835" w:rsidP="000A7835">
      <w:pPr>
        <w:spacing w:line="240" w:lineRule="auto"/>
        <w:rPr>
          <w:sz w:val="20"/>
          <w:szCs w:val="20"/>
        </w:rPr>
      </w:pPr>
      <w:r>
        <w:rPr>
          <w:vertAlign w:val="superscript"/>
        </w:rPr>
        <w:footnoteRef/>
      </w:r>
      <w:r>
        <w:rPr>
          <w:sz w:val="20"/>
          <w:szCs w:val="20"/>
        </w:rPr>
        <w:t xml:space="preserve"> Malcolm Schofield, ‘Cicero for and Against Divination’, </w:t>
      </w:r>
      <w:r>
        <w:rPr>
          <w:i/>
          <w:sz w:val="20"/>
          <w:szCs w:val="20"/>
        </w:rPr>
        <w:t>The Journal of Roman Studies</w:t>
      </w:r>
      <w:r>
        <w:rPr>
          <w:sz w:val="20"/>
          <w:szCs w:val="20"/>
        </w:rPr>
        <w:t>, vol. 76 (1986), pp. 47-65 (p. 59) &lt;https://www.jstor.org/stable/300365&gt; [Accessed 10 February 2025]</w:t>
      </w:r>
    </w:p>
  </w:footnote>
  <w:footnote w:id="17">
    <w:p w14:paraId="6082FADE" w14:textId="64427577" w:rsidR="000A7835" w:rsidRDefault="000A7835" w:rsidP="000A7835">
      <w:pPr>
        <w:spacing w:line="240" w:lineRule="auto"/>
        <w:rPr>
          <w:sz w:val="20"/>
          <w:szCs w:val="20"/>
        </w:rPr>
      </w:pPr>
      <w:r>
        <w:rPr>
          <w:vertAlign w:val="superscript"/>
        </w:rPr>
        <w:footnoteRef/>
      </w:r>
      <w:r>
        <w:rPr>
          <w:sz w:val="20"/>
          <w:szCs w:val="20"/>
        </w:rPr>
        <w:t xml:space="preserve"> Cicero, </w:t>
      </w:r>
      <w:r>
        <w:rPr>
          <w:i/>
          <w:sz w:val="20"/>
          <w:szCs w:val="20"/>
        </w:rPr>
        <w:t xml:space="preserve">De </w:t>
      </w:r>
      <w:proofErr w:type="spellStart"/>
      <w:r>
        <w:rPr>
          <w:i/>
          <w:sz w:val="20"/>
          <w:szCs w:val="20"/>
        </w:rPr>
        <w:t>Divinatione</w:t>
      </w:r>
      <w:proofErr w:type="spellEnd"/>
      <w:r>
        <w:rPr>
          <w:sz w:val="20"/>
          <w:szCs w:val="20"/>
        </w:rPr>
        <w:t>,</w:t>
      </w:r>
      <w:r w:rsidR="000B1BC1">
        <w:rPr>
          <w:sz w:val="20"/>
          <w:szCs w:val="20"/>
        </w:rPr>
        <w:t xml:space="preserve"> II,</w:t>
      </w:r>
      <w:r>
        <w:rPr>
          <w:sz w:val="20"/>
          <w:szCs w:val="20"/>
        </w:rPr>
        <w:t xml:space="preserve"> p. 537.</w:t>
      </w:r>
    </w:p>
  </w:footnote>
  <w:footnote w:id="18">
    <w:p w14:paraId="1BDF0146" w14:textId="77777777" w:rsidR="000A7835" w:rsidRDefault="000A7835" w:rsidP="000A7835">
      <w:pPr>
        <w:spacing w:line="240" w:lineRule="auto"/>
        <w:rPr>
          <w:sz w:val="20"/>
          <w:szCs w:val="20"/>
        </w:rPr>
      </w:pPr>
      <w:r>
        <w:rPr>
          <w:vertAlign w:val="superscript"/>
        </w:rPr>
        <w:footnoteRef/>
      </w:r>
      <w:r>
        <w:rPr>
          <w:sz w:val="20"/>
          <w:szCs w:val="20"/>
        </w:rPr>
        <w:t xml:space="preserve"> Robert J. Goar, ‘The Purpose of De </w:t>
      </w:r>
      <w:proofErr w:type="spellStart"/>
      <w:r>
        <w:rPr>
          <w:sz w:val="20"/>
          <w:szCs w:val="20"/>
        </w:rPr>
        <w:t>Divinatione</w:t>
      </w:r>
      <w:proofErr w:type="spellEnd"/>
      <w:r>
        <w:rPr>
          <w:sz w:val="20"/>
          <w:szCs w:val="20"/>
        </w:rPr>
        <w:t xml:space="preserve">’, </w:t>
      </w:r>
      <w:r>
        <w:rPr>
          <w:i/>
          <w:sz w:val="20"/>
          <w:szCs w:val="20"/>
        </w:rPr>
        <w:t>Transactions of the Proceedings of the American Philological Association</w:t>
      </w:r>
      <w:r>
        <w:rPr>
          <w:sz w:val="20"/>
          <w:szCs w:val="20"/>
        </w:rPr>
        <w:t>, vol. 99 (1968), pp. 241-248 (p. 248) &lt;https://www.jstor.org/stable/2935842&gt; [Accessed 14 February 2025].</w:t>
      </w:r>
    </w:p>
  </w:footnote>
  <w:footnote w:id="19">
    <w:p w14:paraId="0000005A" w14:textId="77777777" w:rsidR="003F26BF" w:rsidRDefault="00000000">
      <w:pPr>
        <w:spacing w:line="240" w:lineRule="auto"/>
        <w:rPr>
          <w:sz w:val="20"/>
          <w:szCs w:val="20"/>
        </w:rPr>
      </w:pPr>
      <w:r>
        <w:rPr>
          <w:vertAlign w:val="superscript"/>
        </w:rPr>
        <w:footnoteRef/>
      </w:r>
      <w:r>
        <w:rPr>
          <w:sz w:val="20"/>
          <w:szCs w:val="20"/>
        </w:rPr>
        <w:t xml:space="preserve"> Schofield, ‘Cicero for and against Divination’, p. 57.</w:t>
      </w:r>
    </w:p>
  </w:footnote>
  <w:footnote w:id="20">
    <w:p w14:paraId="0000005C" w14:textId="281C11ED"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 xml:space="preserve">De </w:t>
      </w:r>
      <w:proofErr w:type="spellStart"/>
      <w:r>
        <w:rPr>
          <w:i/>
          <w:sz w:val="20"/>
          <w:szCs w:val="20"/>
        </w:rPr>
        <w:t>Divinatione</w:t>
      </w:r>
      <w:proofErr w:type="spellEnd"/>
      <w:r>
        <w:rPr>
          <w:sz w:val="20"/>
          <w:szCs w:val="20"/>
        </w:rPr>
        <w:t xml:space="preserve">, </w:t>
      </w:r>
      <w:r w:rsidR="000B1BC1">
        <w:rPr>
          <w:sz w:val="20"/>
          <w:szCs w:val="20"/>
        </w:rPr>
        <w:t xml:space="preserve">II, </w:t>
      </w:r>
      <w:r>
        <w:rPr>
          <w:sz w:val="20"/>
          <w:szCs w:val="20"/>
        </w:rPr>
        <w:t>p. 451.</w:t>
      </w:r>
    </w:p>
  </w:footnote>
  <w:footnote w:id="21">
    <w:p w14:paraId="0000005D" w14:textId="77777777" w:rsidR="003F26BF" w:rsidRDefault="00000000">
      <w:pPr>
        <w:spacing w:line="240" w:lineRule="auto"/>
        <w:rPr>
          <w:sz w:val="20"/>
          <w:szCs w:val="20"/>
        </w:rPr>
      </w:pPr>
      <w:r>
        <w:rPr>
          <w:vertAlign w:val="superscript"/>
        </w:rPr>
        <w:footnoteRef/>
      </w:r>
      <w:r>
        <w:rPr>
          <w:sz w:val="20"/>
          <w:szCs w:val="20"/>
        </w:rPr>
        <w:t xml:space="preserve"> Schofield, ‘Cicero for and against Divination’, p. 59.</w:t>
      </w:r>
    </w:p>
  </w:footnote>
  <w:footnote w:id="22">
    <w:p w14:paraId="29F15A78" w14:textId="7CB38E99" w:rsidR="000A7835" w:rsidRPr="000A7835" w:rsidRDefault="000A7835">
      <w:pPr>
        <w:pStyle w:val="FootnoteText"/>
        <w:rPr>
          <w:lang w:val="en-US"/>
        </w:rPr>
      </w:pPr>
      <w:r>
        <w:rPr>
          <w:rStyle w:val="FootnoteReference"/>
        </w:rPr>
        <w:footnoteRef/>
      </w:r>
      <w:r>
        <w:t xml:space="preserve"> </w:t>
      </w:r>
      <w:r>
        <w:t xml:space="preserve">Brian A. </w:t>
      </w:r>
      <w:proofErr w:type="spellStart"/>
      <w:r>
        <w:t>Krostenko</w:t>
      </w:r>
      <w:proofErr w:type="spellEnd"/>
      <w:r>
        <w:t xml:space="preserve">, ‘Beyond (Dis)belief: Rhetorical Form and Religious Symbol in Cicero’s de </w:t>
      </w:r>
      <w:proofErr w:type="spellStart"/>
      <w:r>
        <w:t>Divinatione</w:t>
      </w:r>
      <w:proofErr w:type="spellEnd"/>
      <w:r>
        <w:t xml:space="preserve">’, </w:t>
      </w:r>
      <w:r>
        <w:rPr>
          <w:i/>
          <w:iCs/>
        </w:rPr>
        <w:t>Transactions of the American Philological Association</w:t>
      </w:r>
      <w:r>
        <w:t>, vol. 130 (2000), pp. 353-391 (p. 3</w:t>
      </w:r>
      <w:r>
        <w:t>65</w:t>
      </w:r>
      <w:r>
        <w:t>) &lt;https://www.jstor.org/stable/284315&gt; [Accessed 14 February 2025].</w:t>
      </w:r>
    </w:p>
  </w:footnote>
  <w:footnote w:id="23">
    <w:p w14:paraId="0000004A" w14:textId="2AEF7E39"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 xml:space="preserve">De </w:t>
      </w:r>
      <w:proofErr w:type="spellStart"/>
      <w:r>
        <w:rPr>
          <w:i/>
          <w:sz w:val="20"/>
          <w:szCs w:val="20"/>
        </w:rPr>
        <w:t>Divinatione</w:t>
      </w:r>
      <w:proofErr w:type="spellEnd"/>
      <w:r>
        <w:rPr>
          <w:sz w:val="20"/>
          <w:szCs w:val="20"/>
        </w:rPr>
        <w:t xml:space="preserve">, </w:t>
      </w:r>
      <w:r w:rsidR="00B16FB0">
        <w:rPr>
          <w:sz w:val="20"/>
          <w:szCs w:val="20"/>
        </w:rPr>
        <w:t xml:space="preserve">II, </w:t>
      </w:r>
      <w:r>
        <w:rPr>
          <w:sz w:val="20"/>
          <w:szCs w:val="20"/>
        </w:rPr>
        <w:t>p. 505.</w:t>
      </w:r>
    </w:p>
  </w:footnote>
  <w:footnote w:id="24">
    <w:p w14:paraId="00000058" w14:textId="77777777" w:rsidR="003F26BF" w:rsidRDefault="00000000">
      <w:pPr>
        <w:spacing w:line="240" w:lineRule="auto"/>
        <w:rPr>
          <w:sz w:val="20"/>
          <w:szCs w:val="20"/>
        </w:rPr>
      </w:pPr>
      <w:r>
        <w:rPr>
          <w:vertAlign w:val="superscript"/>
        </w:rPr>
        <w:footnoteRef/>
      </w:r>
      <w:r>
        <w:rPr>
          <w:sz w:val="20"/>
          <w:szCs w:val="20"/>
        </w:rPr>
        <w:t xml:space="preserve"> Tamsyn S. Barton, </w:t>
      </w:r>
      <w:r>
        <w:rPr>
          <w:i/>
          <w:sz w:val="20"/>
          <w:szCs w:val="20"/>
        </w:rPr>
        <w:t xml:space="preserve">Power and Knowledge: Astrology, Physiognomics, and Medicine under the Roman Empire </w:t>
      </w:r>
      <w:r>
        <w:rPr>
          <w:sz w:val="20"/>
          <w:szCs w:val="20"/>
        </w:rPr>
        <w:t>(Ann Arbor: The University of Michigan Press, 2002), p. 50.</w:t>
      </w:r>
    </w:p>
  </w:footnote>
  <w:footnote w:id="25">
    <w:p w14:paraId="00000059" w14:textId="77777777" w:rsidR="003F26BF" w:rsidRDefault="00000000">
      <w:pPr>
        <w:spacing w:line="240" w:lineRule="auto"/>
        <w:rPr>
          <w:sz w:val="20"/>
          <w:szCs w:val="20"/>
        </w:rPr>
      </w:pPr>
      <w:r>
        <w:rPr>
          <w:vertAlign w:val="superscript"/>
        </w:rPr>
        <w:footnoteRef/>
      </w:r>
      <w:r>
        <w:rPr>
          <w:sz w:val="20"/>
          <w:szCs w:val="20"/>
        </w:rPr>
        <w:t xml:space="preserve"> Barton, </w:t>
      </w:r>
      <w:r>
        <w:rPr>
          <w:i/>
          <w:sz w:val="20"/>
          <w:szCs w:val="20"/>
        </w:rPr>
        <w:t xml:space="preserve">Power and Knowledge, </w:t>
      </w:r>
      <w:r>
        <w:rPr>
          <w:sz w:val="20"/>
          <w:szCs w:val="20"/>
        </w:rPr>
        <w:t>p. 47.</w:t>
      </w:r>
    </w:p>
  </w:footnote>
  <w:footnote w:id="26">
    <w:p w14:paraId="00000042" w14:textId="77777777" w:rsidR="003F26BF" w:rsidRDefault="00000000">
      <w:pPr>
        <w:spacing w:line="240" w:lineRule="auto"/>
        <w:rPr>
          <w:sz w:val="20"/>
          <w:szCs w:val="20"/>
        </w:rPr>
      </w:pPr>
      <w:r>
        <w:rPr>
          <w:vertAlign w:val="superscript"/>
        </w:rPr>
        <w:footnoteRef/>
      </w:r>
      <w:r>
        <w:rPr>
          <w:sz w:val="20"/>
          <w:szCs w:val="20"/>
        </w:rPr>
        <w:t xml:space="preserve"> Joseph Baumgartner, G. </w:t>
      </w:r>
      <w:proofErr w:type="spellStart"/>
      <w:r>
        <w:rPr>
          <w:sz w:val="20"/>
          <w:szCs w:val="20"/>
        </w:rPr>
        <w:t>Lanczowski</w:t>
      </w:r>
      <w:proofErr w:type="spellEnd"/>
      <w:r>
        <w:rPr>
          <w:sz w:val="20"/>
          <w:szCs w:val="20"/>
        </w:rPr>
        <w:t xml:space="preserve">, J. B. and H. Fries, ‘Myth and Mythology’, </w:t>
      </w:r>
      <w:r>
        <w:rPr>
          <w:i/>
          <w:sz w:val="20"/>
          <w:szCs w:val="20"/>
        </w:rPr>
        <w:t>Philippine Quarterly of Culture and Society</w:t>
      </w:r>
      <w:r>
        <w:rPr>
          <w:sz w:val="20"/>
          <w:szCs w:val="20"/>
        </w:rPr>
        <w:t xml:space="preserve"> vol. 2, no. 4 (1974), 195–200 (p. 195), &lt;http://www.jstor.org/stable/29791159&gt; [accessed 7 February 2025].</w:t>
      </w:r>
    </w:p>
  </w:footnote>
  <w:footnote w:id="27">
    <w:p w14:paraId="00000053" w14:textId="05D66B51"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 xml:space="preserve">De </w:t>
      </w:r>
      <w:proofErr w:type="spellStart"/>
      <w:r>
        <w:rPr>
          <w:i/>
          <w:sz w:val="20"/>
          <w:szCs w:val="20"/>
        </w:rPr>
        <w:t>Divinatione</w:t>
      </w:r>
      <w:proofErr w:type="spellEnd"/>
      <w:r>
        <w:rPr>
          <w:sz w:val="20"/>
          <w:szCs w:val="20"/>
        </w:rPr>
        <w:t xml:space="preserve">, </w:t>
      </w:r>
      <w:r w:rsidR="00B16FB0">
        <w:rPr>
          <w:sz w:val="20"/>
          <w:szCs w:val="20"/>
        </w:rPr>
        <w:t xml:space="preserve">II, </w:t>
      </w:r>
      <w:r>
        <w:rPr>
          <w:sz w:val="20"/>
          <w:szCs w:val="20"/>
        </w:rPr>
        <w:t>pp. 447-449</w:t>
      </w:r>
    </w:p>
  </w:footnote>
  <w:footnote w:id="28">
    <w:p w14:paraId="0000004D" w14:textId="6333F332"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 xml:space="preserve">De </w:t>
      </w:r>
      <w:proofErr w:type="spellStart"/>
      <w:r>
        <w:rPr>
          <w:i/>
          <w:sz w:val="20"/>
          <w:szCs w:val="20"/>
        </w:rPr>
        <w:t>Divinatione</w:t>
      </w:r>
      <w:proofErr w:type="spellEnd"/>
      <w:r>
        <w:rPr>
          <w:sz w:val="20"/>
          <w:szCs w:val="20"/>
        </w:rPr>
        <w:t xml:space="preserve">, </w:t>
      </w:r>
      <w:r w:rsidR="00B16FB0">
        <w:rPr>
          <w:sz w:val="20"/>
          <w:szCs w:val="20"/>
        </w:rPr>
        <w:t xml:space="preserve">II, </w:t>
      </w:r>
      <w:r>
        <w:rPr>
          <w:sz w:val="20"/>
          <w:szCs w:val="20"/>
        </w:rPr>
        <w:t>p. 407.</w:t>
      </w:r>
    </w:p>
  </w:footnote>
  <w:footnote w:id="29">
    <w:p w14:paraId="0000004E" w14:textId="71695568"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 xml:space="preserve">De </w:t>
      </w:r>
      <w:proofErr w:type="spellStart"/>
      <w:r>
        <w:rPr>
          <w:i/>
          <w:sz w:val="20"/>
          <w:szCs w:val="20"/>
        </w:rPr>
        <w:t>Divinatione</w:t>
      </w:r>
      <w:proofErr w:type="spellEnd"/>
      <w:r>
        <w:rPr>
          <w:sz w:val="20"/>
          <w:szCs w:val="20"/>
        </w:rPr>
        <w:t xml:space="preserve">, </w:t>
      </w:r>
      <w:r w:rsidR="00B16FB0">
        <w:rPr>
          <w:sz w:val="20"/>
          <w:szCs w:val="20"/>
        </w:rPr>
        <w:t xml:space="preserve">II, </w:t>
      </w:r>
      <w:r>
        <w:rPr>
          <w:sz w:val="20"/>
          <w:szCs w:val="20"/>
        </w:rPr>
        <w:t>pp. 477-483.</w:t>
      </w:r>
    </w:p>
  </w:footnote>
  <w:footnote w:id="30">
    <w:p w14:paraId="0000004F" w14:textId="5171FF3E"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 xml:space="preserve">De </w:t>
      </w:r>
      <w:proofErr w:type="spellStart"/>
      <w:r>
        <w:rPr>
          <w:i/>
          <w:sz w:val="20"/>
          <w:szCs w:val="20"/>
        </w:rPr>
        <w:t>Divinatione</w:t>
      </w:r>
      <w:proofErr w:type="spellEnd"/>
      <w:r>
        <w:rPr>
          <w:sz w:val="20"/>
          <w:szCs w:val="20"/>
        </w:rPr>
        <w:t xml:space="preserve">, </w:t>
      </w:r>
      <w:r w:rsidR="00B16FB0">
        <w:rPr>
          <w:sz w:val="20"/>
          <w:szCs w:val="20"/>
        </w:rPr>
        <w:t xml:space="preserve">II, </w:t>
      </w:r>
      <w:r>
        <w:rPr>
          <w:sz w:val="20"/>
          <w:szCs w:val="20"/>
        </w:rPr>
        <w:t>p. 479.</w:t>
      </w:r>
    </w:p>
  </w:footnote>
  <w:footnote w:id="31">
    <w:p w14:paraId="00000050" w14:textId="58A4D226"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 xml:space="preserve">De </w:t>
      </w:r>
      <w:proofErr w:type="spellStart"/>
      <w:r>
        <w:rPr>
          <w:i/>
          <w:sz w:val="20"/>
          <w:szCs w:val="20"/>
        </w:rPr>
        <w:t>Divinatione</w:t>
      </w:r>
      <w:proofErr w:type="spellEnd"/>
      <w:r>
        <w:rPr>
          <w:sz w:val="20"/>
          <w:szCs w:val="20"/>
        </w:rPr>
        <w:t xml:space="preserve">, </w:t>
      </w:r>
      <w:r w:rsidR="00B16FB0">
        <w:rPr>
          <w:sz w:val="20"/>
          <w:szCs w:val="20"/>
        </w:rPr>
        <w:t xml:space="preserve">II, </w:t>
      </w:r>
      <w:r>
        <w:rPr>
          <w:sz w:val="20"/>
          <w:szCs w:val="20"/>
        </w:rPr>
        <w:t>p. 403.</w:t>
      </w:r>
    </w:p>
  </w:footnote>
  <w:footnote w:id="32">
    <w:p w14:paraId="00000051" w14:textId="1D43A759" w:rsidR="003F26BF" w:rsidRDefault="00000000">
      <w:pPr>
        <w:spacing w:line="240" w:lineRule="auto"/>
        <w:rPr>
          <w:sz w:val="20"/>
          <w:szCs w:val="20"/>
        </w:rPr>
      </w:pPr>
      <w:r>
        <w:rPr>
          <w:vertAlign w:val="superscript"/>
        </w:rPr>
        <w:footnoteRef/>
      </w:r>
      <w:r>
        <w:rPr>
          <w:sz w:val="20"/>
          <w:szCs w:val="20"/>
        </w:rPr>
        <w:t xml:space="preserve"> Cicero, </w:t>
      </w:r>
      <w:r>
        <w:rPr>
          <w:i/>
          <w:sz w:val="20"/>
          <w:szCs w:val="20"/>
        </w:rPr>
        <w:t xml:space="preserve">De </w:t>
      </w:r>
      <w:proofErr w:type="spellStart"/>
      <w:r>
        <w:rPr>
          <w:i/>
          <w:sz w:val="20"/>
          <w:szCs w:val="20"/>
        </w:rPr>
        <w:t>Divinatione</w:t>
      </w:r>
      <w:proofErr w:type="spellEnd"/>
      <w:r>
        <w:rPr>
          <w:sz w:val="20"/>
          <w:szCs w:val="20"/>
        </w:rPr>
        <w:t xml:space="preserve">, </w:t>
      </w:r>
      <w:r w:rsidR="00B16FB0">
        <w:rPr>
          <w:sz w:val="20"/>
          <w:szCs w:val="20"/>
        </w:rPr>
        <w:t xml:space="preserve">II, </w:t>
      </w:r>
      <w:r>
        <w:rPr>
          <w:sz w:val="20"/>
          <w:szCs w:val="20"/>
        </w:rPr>
        <w:t>p. 451.</w:t>
      </w:r>
    </w:p>
  </w:footnote>
  <w:footnote w:id="33">
    <w:p w14:paraId="726F22F4" w14:textId="3E120D64" w:rsidR="00626D0F" w:rsidRPr="00626D0F" w:rsidRDefault="00626D0F">
      <w:pPr>
        <w:pStyle w:val="FootnoteText"/>
        <w:rPr>
          <w:lang w:val="en-US"/>
        </w:rPr>
      </w:pPr>
      <w:r>
        <w:rPr>
          <w:rStyle w:val="FootnoteReference"/>
        </w:rPr>
        <w:footnoteRef/>
      </w:r>
      <w:r>
        <w:t xml:space="preserve"> </w:t>
      </w:r>
      <w:r>
        <w:t xml:space="preserve">Cicero, </w:t>
      </w:r>
      <w:r>
        <w:rPr>
          <w:i/>
        </w:rPr>
        <w:t xml:space="preserve">De </w:t>
      </w:r>
      <w:proofErr w:type="spellStart"/>
      <w:r>
        <w:rPr>
          <w:i/>
        </w:rPr>
        <w:t>Divinatione</w:t>
      </w:r>
      <w:proofErr w:type="spellEnd"/>
      <w:r>
        <w:t xml:space="preserve">, </w:t>
      </w:r>
      <w:r w:rsidR="001E513F">
        <w:t xml:space="preserve">II, </w:t>
      </w:r>
      <w:r>
        <w:t xml:space="preserve">p. </w:t>
      </w:r>
      <w:r>
        <w:t>373</w:t>
      </w:r>
      <w:r>
        <w:t>.</w:t>
      </w:r>
    </w:p>
  </w:footnote>
  <w:footnote w:id="34">
    <w:p w14:paraId="64F1A299" w14:textId="5881EC52" w:rsidR="008D6598" w:rsidRPr="008D6598" w:rsidRDefault="008D6598">
      <w:pPr>
        <w:pStyle w:val="FootnoteText"/>
        <w:rPr>
          <w:lang w:val="en-US"/>
        </w:rPr>
      </w:pPr>
      <w:r>
        <w:rPr>
          <w:rStyle w:val="FootnoteReference"/>
        </w:rPr>
        <w:footnoteRef/>
      </w:r>
      <w:r>
        <w:t xml:space="preserve"> </w:t>
      </w:r>
      <w:proofErr w:type="spellStart"/>
      <w:r>
        <w:t>Krostenko</w:t>
      </w:r>
      <w:proofErr w:type="spellEnd"/>
      <w:r>
        <w:t>, ‘Beyond (Dis)belief</w:t>
      </w:r>
      <w:r w:rsidR="00AC7DEF">
        <w:t>’</w:t>
      </w:r>
      <w:r>
        <w:t>, p. 359.</w:t>
      </w:r>
    </w:p>
  </w:footnote>
  <w:footnote w:id="35">
    <w:p w14:paraId="20F338AB" w14:textId="166B72B8" w:rsidR="007D7945" w:rsidRPr="007D7945" w:rsidRDefault="007D7945">
      <w:pPr>
        <w:pStyle w:val="FootnoteText"/>
        <w:rPr>
          <w:lang w:val="en-US"/>
        </w:rPr>
      </w:pPr>
      <w:r>
        <w:rPr>
          <w:rStyle w:val="FootnoteReference"/>
        </w:rPr>
        <w:footnoteRef/>
      </w:r>
      <w:r>
        <w:t xml:space="preserve"> </w:t>
      </w:r>
      <w:r>
        <w:rPr>
          <w:lang w:val="en-US"/>
        </w:rPr>
        <w:t xml:space="preserve">Patrick Kragelund, ‘Dreams, Religion, and Politics in Republican Rome’, </w:t>
      </w:r>
      <w:r>
        <w:rPr>
          <w:i/>
          <w:iCs/>
          <w:lang w:val="en-US"/>
        </w:rPr>
        <w:t xml:space="preserve">Historia: </w:t>
      </w:r>
      <w:proofErr w:type="spellStart"/>
      <w:r>
        <w:rPr>
          <w:i/>
          <w:iCs/>
          <w:lang w:val="en-US"/>
        </w:rPr>
        <w:t>Zeitschrift</w:t>
      </w:r>
      <w:proofErr w:type="spellEnd"/>
      <w:r>
        <w:rPr>
          <w:i/>
          <w:iCs/>
          <w:lang w:val="en-US"/>
        </w:rPr>
        <w:t xml:space="preserve"> für Alte </w:t>
      </w:r>
      <w:proofErr w:type="spellStart"/>
      <w:r>
        <w:rPr>
          <w:i/>
          <w:iCs/>
          <w:lang w:val="en-US"/>
        </w:rPr>
        <w:t>Geschichte</w:t>
      </w:r>
      <w:proofErr w:type="spellEnd"/>
      <w:r>
        <w:rPr>
          <w:lang w:val="en-US"/>
        </w:rPr>
        <w:t>, 1</w:t>
      </w:r>
      <w:r w:rsidRPr="007D7945">
        <w:rPr>
          <w:vertAlign w:val="superscript"/>
          <w:lang w:val="en-US"/>
        </w:rPr>
        <w:t>st</w:t>
      </w:r>
      <w:r>
        <w:rPr>
          <w:lang w:val="en-US"/>
        </w:rPr>
        <w:t xml:space="preserve"> </w:t>
      </w:r>
      <w:proofErr w:type="spellStart"/>
      <w:r>
        <w:rPr>
          <w:lang w:val="en-US"/>
        </w:rPr>
        <w:t>Qtr</w:t>
      </w:r>
      <w:proofErr w:type="spellEnd"/>
      <w:r>
        <w:rPr>
          <w:lang w:val="en-US"/>
        </w:rPr>
        <w:t>, Bd. 50 (2001), pp. 53-95 (p. 77) &lt;https://www.jstor.org/stable/4436603&gt; [Accessed 14 February 2025].</w:t>
      </w:r>
    </w:p>
  </w:footnote>
  <w:footnote w:id="36">
    <w:p w14:paraId="681582C1" w14:textId="78941C28" w:rsidR="0076333E" w:rsidRPr="0076333E" w:rsidRDefault="0076333E">
      <w:pPr>
        <w:pStyle w:val="FootnoteText"/>
        <w:rPr>
          <w:lang w:val="en-US"/>
        </w:rPr>
      </w:pPr>
      <w:r>
        <w:rPr>
          <w:rStyle w:val="FootnoteReference"/>
        </w:rPr>
        <w:footnoteRef/>
      </w:r>
      <w:r>
        <w:t xml:space="preserve"> </w:t>
      </w:r>
      <w:r>
        <w:t xml:space="preserve">Cicero, </w:t>
      </w:r>
      <w:r>
        <w:rPr>
          <w:i/>
        </w:rPr>
        <w:t xml:space="preserve">De </w:t>
      </w:r>
      <w:proofErr w:type="spellStart"/>
      <w:r>
        <w:rPr>
          <w:i/>
        </w:rPr>
        <w:t>Divinatione</w:t>
      </w:r>
      <w:proofErr w:type="spellEnd"/>
      <w:r>
        <w:t xml:space="preserve">, </w:t>
      </w:r>
      <w:r w:rsidR="001E513F">
        <w:t xml:space="preserve">II, </w:t>
      </w:r>
      <w:r>
        <w:t>p</w:t>
      </w:r>
      <w:r>
        <w:t>p. 379-385</w:t>
      </w:r>
      <w:r>
        <w:t>.</w:t>
      </w:r>
    </w:p>
  </w:footnote>
  <w:footnote w:id="37">
    <w:p w14:paraId="12512BD0" w14:textId="6EEFF506" w:rsidR="00A53EF9" w:rsidRDefault="00A53EF9" w:rsidP="00A53EF9">
      <w:pPr>
        <w:spacing w:line="240" w:lineRule="auto"/>
        <w:rPr>
          <w:sz w:val="20"/>
          <w:szCs w:val="20"/>
        </w:rPr>
      </w:pPr>
      <w:r>
        <w:rPr>
          <w:vertAlign w:val="superscript"/>
        </w:rPr>
        <w:footnoteRef/>
      </w:r>
      <w:r>
        <w:rPr>
          <w:sz w:val="20"/>
          <w:szCs w:val="20"/>
        </w:rPr>
        <w:t xml:space="preserve"> Cicero, </w:t>
      </w:r>
      <w:r>
        <w:rPr>
          <w:i/>
          <w:sz w:val="20"/>
          <w:szCs w:val="20"/>
        </w:rPr>
        <w:t xml:space="preserve">De </w:t>
      </w:r>
      <w:proofErr w:type="spellStart"/>
      <w:r>
        <w:rPr>
          <w:i/>
          <w:sz w:val="20"/>
          <w:szCs w:val="20"/>
        </w:rPr>
        <w:t>Divinatione</w:t>
      </w:r>
      <w:proofErr w:type="spellEnd"/>
      <w:r>
        <w:rPr>
          <w:sz w:val="20"/>
          <w:szCs w:val="20"/>
        </w:rPr>
        <w:t xml:space="preserve">, </w:t>
      </w:r>
      <w:r w:rsidR="00F31062">
        <w:rPr>
          <w:sz w:val="20"/>
          <w:szCs w:val="20"/>
        </w:rPr>
        <w:t xml:space="preserve">II, </w:t>
      </w:r>
      <w:r>
        <w:rPr>
          <w:sz w:val="20"/>
          <w:szCs w:val="20"/>
        </w:rPr>
        <w:t>p. 539.</w:t>
      </w:r>
    </w:p>
  </w:footnote>
  <w:footnote w:id="38">
    <w:p w14:paraId="4F0A7412" w14:textId="77777777" w:rsidR="00A53EF9" w:rsidRDefault="00A53EF9" w:rsidP="00A53EF9">
      <w:pPr>
        <w:spacing w:line="240" w:lineRule="auto"/>
        <w:rPr>
          <w:sz w:val="20"/>
          <w:szCs w:val="20"/>
        </w:rPr>
      </w:pPr>
      <w:r>
        <w:rPr>
          <w:vertAlign w:val="superscript"/>
        </w:rPr>
        <w:footnoteRef/>
      </w:r>
      <w:r>
        <w:rPr>
          <w:sz w:val="20"/>
          <w:szCs w:val="20"/>
        </w:rPr>
        <w:t xml:space="preserve"> Schofield, ‘Cicero for and against Divination’, p. 59.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9B5B21" w14:textId="7A685E22" w:rsidR="00E45A9F" w:rsidRPr="00E45A9F" w:rsidRDefault="00E45A9F" w:rsidP="00E45A9F">
    <w:pPr>
      <w:pStyle w:val="Header"/>
      <w:jc w:val="right"/>
      <w:rPr>
        <w:lang w:val="en-US"/>
      </w:rPr>
    </w:pPr>
    <w:r>
      <w:rPr>
        <w:lang w:val="en-US"/>
      </w:rPr>
      <w:t xml:space="preserve">Whitney Hill </w:t>
    </w:r>
    <w:r>
      <w:rPr>
        <w:lang w:val="en-US"/>
      </w:rPr>
      <w:sym w:font="Symbol" w:char="F02D"/>
    </w:r>
    <w:r>
      <w:rPr>
        <w:lang w:val="en-US"/>
      </w:rPr>
      <w:t xml:space="preserve"> HPCA7027 </w:t>
    </w:r>
    <w:r>
      <w:rPr>
        <w:lang w:val="en-US"/>
      </w:rPr>
      <w:sym w:font="Symbol" w:char="F02D"/>
    </w:r>
    <w:r>
      <w:rPr>
        <w:lang w:val="en-US"/>
      </w:rPr>
      <w:t xml:space="preserve"> Essay 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487F64" w14:textId="77777777" w:rsidR="00955F1A" w:rsidRPr="00E45A9F" w:rsidRDefault="00955F1A" w:rsidP="00955F1A">
    <w:pPr>
      <w:pStyle w:val="Header"/>
      <w:jc w:val="right"/>
      <w:rPr>
        <w:lang w:val="en-US"/>
      </w:rPr>
    </w:pPr>
    <w:r>
      <w:rPr>
        <w:lang w:val="en-US"/>
      </w:rPr>
      <w:t xml:space="preserve">Whitney Hill </w:t>
    </w:r>
    <w:r>
      <w:rPr>
        <w:lang w:val="en-US"/>
      </w:rPr>
      <w:sym w:font="Symbol" w:char="F02D"/>
    </w:r>
    <w:r>
      <w:rPr>
        <w:lang w:val="en-US"/>
      </w:rPr>
      <w:t xml:space="preserve"> HPCA7027 </w:t>
    </w:r>
    <w:r>
      <w:rPr>
        <w:lang w:val="en-US"/>
      </w:rPr>
      <w:sym w:font="Symbol" w:char="F02D"/>
    </w:r>
    <w:r>
      <w:rPr>
        <w:lang w:val="en-US"/>
      </w:rPr>
      <w:t xml:space="preserve"> Essay 1</w:t>
    </w:r>
  </w:p>
  <w:p w14:paraId="43944E30" w14:textId="77777777" w:rsidR="00955F1A" w:rsidRDefault="00955F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4D7F64"/>
    <w:multiLevelType w:val="multilevel"/>
    <w:tmpl w:val="EB3C17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29301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6BF"/>
    <w:rsid w:val="00074102"/>
    <w:rsid w:val="000811EC"/>
    <w:rsid w:val="000A7835"/>
    <w:rsid w:val="000B1BC1"/>
    <w:rsid w:val="000F2A68"/>
    <w:rsid w:val="0010255C"/>
    <w:rsid w:val="00120E15"/>
    <w:rsid w:val="001216D9"/>
    <w:rsid w:val="001515D3"/>
    <w:rsid w:val="001C75FC"/>
    <w:rsid w:val="001D5E92"/>
    <w:rsid w:val="001E513F"/>
    <w:rsid w:val="00204DA5"/>
    <w:rsid w:val="00216EDC"/>
    <w:rsid w:val="00241F6D"/>
    <w:rsid w:val="002A3A29"/>
    <w:rsid w:val="002B0260"/>
    <w:rsid w:val="002D45B6"/>
    <w:rsid w:val="002F38B7"/>
    <w:rsid w:val="00301A26"/>
    <w:rsid w:val="00312F38"/>
    <w:rsid w:val="00343907"/>
    <w:rsid w:val="00356007"/>
    <w:rsid w:val="00361CF6"/>
    <w:rsid w:val="0039637E"/>
    <w:rsid w:val="003D20D6"/>
    <w:rsid w:val="003F26BF"/>
    <w:rsid w:val="004205CC"/>
    <w:rsid w:val="00422ECC"/>
    <w:rsid w:val="0043157C"/>
    <w:rsid w:val="00434D0D"/>
    <w:rsid w:val="0044286F"/>
    <w:rsid w:val="00477F74"/>
    <w:rsid w:val="00530D16"/>
    <w:rsid w:val="005D3B9B"/>
    <w:rsid w:val="00626D0F"/>
    <w:rsid w:val="00654C31"/>
    <w:rsid w:val="006955C8"/>
    <w:rsid w:val="006C5413"/>
    <w:rsid w:val="006D0BAB"/>
    <w:rsid w:val="006D5C8B"/>
    <w:rsid w:val="0076333E"/>
    <w:rsid w:val="007D7945"/>
    <w:rsid w:val="00831469"/>
    <w:rsid w:val="008C3D60"/>
    <w:rsid w:val="008D4D3B"/>
    <w:rsid w:val="008D6598"/>
    <w:rsid w:val="008D67D5"/>
    <w:rsid w:val="00902EB1"/>
    <w:rsid w:val="00930981"/>
    <w:rsid w:val="00932D73"/>
    <w:rsid w:val="00955F1A"/>
    <w:rsid w:val="009673D9"/>
    <w:rsid w:val="009B393C"/>
    <w:rsid w:val="009F202C"/>
    <w:rsid w:val="00A01FB0"/>
    <w:rsid w:val="00A47DC3"/>
    <w:rsid w:val="00A53EF9"/>
    <w:rsid w:val="00A77143"/>
    <w:rsid w:val="00AA2A63"/>
    <w:rsid w:val="00AC7DEF"/>
    <w:rsid w:val="00B16FB0"/>
    <w:rsid w:val="00BA0A71"/>
    <w:rsid w:val="00BA7BD1"/>
    <w:rsid w:val="00BF62FF"/>
    <w:rsid w:val="00C15CB3"/>
    <w:rsid w:val="00C33AE6"/>
    <w:rsid w:val="00C57C70"/>
    <w:rsid w:val="00CC0F1A"/>
    <w:rsid w:val="00CE7137"/>
    <w:rsid w:val="00DC0815"/>
    <w:rsid w:val="00E45A9F"/>
    <w:rsid w:val="00E82862"/>
    <w:rsid w:val="00F17584"/>
    <w:rsid w:val="00F31062"/>
    <w:rsid w:val="00FB3D80"/>
    <w:rsid w:val="00FC25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9ABA56"/>
  <w15:docId w15:val="{8D753FFA-8150-4A52-A1AD-11427BC8D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FootnoteText">
    <w:name w:val="footnote text"/>
    <w:basedOn w:val="Normal"/>
    <w:link w:val="FootnoteTextChar"/>
    <w:uiPriority w:val="99"/>
    <w:semiHidden/>
    <w:unhideWhenUsed/>
    <w:rsid w:val="0076333E"/>
    <w:pPr>
      <w:spacing w:line="240" w:lineRule="auto"/>
    </w:pPr>
    <w:rPr>
      <w:sz w:val="20"/>
      <w:szCs w:val="20"/>
    </w:rPr>
  </w:style>
  <w:style w:type="character" w:customStyle="1" w:styleId="FootnoteTextChar">
    <w:name w:val="Footnote Text Char"/>
    <w:basedOn w:val="DefaultParagraphFont"/>
    <w:link w:val="FootnoteText"/>
    <w:uiPriority w:val="99"/>
    <w:semiHidden/>
    <w:rsid w:val="0076333E"/>
    <w:rPr>
      <w:sz w:val="20"/>
      <w:szCs w:val="20"/>
    </w:rPr>
  </w:style>
  <w:style w:type="character" w:styleId="FootnoteReference">
    <w:name w:val="footnote reference"/>
    <w:basedOn w:val="DefaultParagraphFont"/>
    <w:uiPriority w:val="99"/>
    <w:semiHidden/>
    <w:unhideWhenUsed/>
    <w:rsid w:val="0076333E"/>
    <w:rPr>
      <w:vertAlign w:val="superscript"/>
    </w:rPr>
  </w:style>
  <w:style w:type="character" w:styleId="Hyperlink">
    <w:name w:val="Hyperlink"/>
    <w:basedOn w:val="DefaultParagraphFont"/>
    <w:uiPriority w:val="99"/>
    <w:unhideWhenUsed/>
    <w:rsid w:val="008D6598"/>
    <w:rPr>
      <w:color w:val="0000FF" w:themeColor="hyperlink"/>
      <w:u w:val="single"/>
    </w:rPr>
  </w:style>
  <w:style w:type="character" w:styleId="UnresolvedMention">
    <w:name w:val="Unresolved Mention"/>
    <w:basedOn w:val="DefaultParagraphFont"/>
    <w:uiPriority w:val="99"/>
    <w:semiHidden/>
    <w:unhideWhenUsed/>
    <w:rsid w:val="008D6598"/>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5D3B9B"/>
    <w:rPr>
      <w:b/>
      <w:bCs/>
    </w:rPr>
  </w:style>
  <w:style w:type="character" w:customStyle="1" w:styleId="CommentSubjectChar">
    <w:name w:val="Comment Subject Char"/>
    <w:basedOn w:val="CommentTextChar"/>
    <w:link w:val="CommentSubject"/>
    <w:uiPriority w:val="99"/>
    <w:semiHidden/>
    <w:rsid w:val="005D3B9B"/>
    <w:rPr>
      <w:b/>
      <w:bCs/>
      <w:sz w:val="20"/>
      <w:szCs w:val="20"/>
    </w:rPr>
  </w:style>
  <w:style w:type="paragraph" w:styleId="Header">
    <w:name w:val="header"/>
    <w:basedOn w:val="Normal"/>
    <w:link w:val="HeaderChar"/>
    <w:uiPriority w:val="99"/>
    <w:unhideWhenUsed/>
    <w:rsid w:val="00E45A9F"/>
    <w:pPr>
      <w:tabs>
        <w:tab w:val="center" w:pos="4680"/>
        <w:tab w:val="right" w:pos="9360"/>
      </w:tabs>
      <w:spacing w:line="240" w:lineRule="auto"/>
    </w:pPr>
  </w:style>
  <w:style w:type="character" w:customStyle="1" w:styleId="HeaderChar">
    <w:name w:val="Header Char"/>
    <w:basedOn w:val="DefaultParagraphFont"/>
    <w:link w:val="Header"/>
    <w:uiPriority w:val="99"/>
    <w:rsid w:val="00E45A9F"/>
  </w:style>
  <w:style w:type="paragraph" w:styleId="Footer">
    <w:name w:val="footer"/>
    <w:basedOn w:val="Normal"/>
    <w:link w:val="FooterChar"/>
    <w:uiPriority w:val="99"/>
    <w:unhideWhenUsed/>
    <w:rsid w:val="00E45A9F"/>
    <w:pPr>
      <w:tabs>
        <w:tab w:val="center" w:pos="4680"/>
        <w:tab w:val="right" w:pos="9360"/>
      </w:tabs>
      <w:spacing w:line="240" w:lineRule="auto"/>
    </w:pPr>
  </w:style>
  <w:style w:type="character" w:customStyle="1" w:styleId="FooterChar">
    <w:name w:val="Footer Char"/>
    <w:basedOn w:val="DefaultParagraphFont"/>
    <w:link w:val="Footer"/>
    <w:uiPriority w:val="99"/>
    <w:rsid w:val="00E45A9F"/>
  </w:style>
  <w:style w:type="paragraph" w:styleId="NormalWeb">
    <w:name w:val="Normal (Web)"/>
    <w:basedOn w:val="Normal"/>
    <w:rsid w:val="002B0260"/>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5628</TotalTime>
  <Pages>10</Pages>
  <Words>2980</Words>
  <Characters>16986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Whitney Hill (2209673)</cp:lastModifiedBy>
  <cp:revision>79</cp:revision>
  <dcterms:created xsi:type="dcterms:W3CDTF">2025-02-22T19:00:00Z</dcterms:created>
  <dcterms:modified xsi:type="dcterms:W3CDTF">2025-03-01T15:45:00Z</dcterms:modified>
</cp:coreProperties>
</file>