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359F9A" w14:textId="77777777" w:rsidR="001A1F2F" w:rsidRPr="001A1F2F" w:rsidRDefault="001A1F2F" w:rsidP="001A1F2F">
      <w:pPr>
        <w:spacing w:line="360" w:lineRule="auto"/>
        <w:jc w:val="center"/>
        <w:rPr>
          <w:rFonts w:ascii="Arial" w:hAnsi="Arial" w:cs="Arial"/>
          <w:b/>
          <w:bCs/>
          <w:sz w:val="28"/>
          <w:szCs w:val="28"/>
        </w:rPr>
      </w:pPr>
      <w:r w:rsidRPr="001A1F2F">
        <w:rPr>
          <w:rFonts w:ascii="Arial" w:hAnsi="Arial" w:cs="Arial"/>
          <w:b/>
          <w:bCs/>
          <w:sz w:val="28"/>
          <w:szCs w:val="28"/>
        </w:rPr>
        <w:t>Personnel Resourcing and Development</w:t>
      </w:r>
    </w:p>
    <w:p w14:paraId="22389EA7" w14:textId="77777777" w:rsidR="001A1F2F" w:rsidRPr="001A1F2F" w:rsidRDefault="001A1F2F" w:rsidP="001A1F2F">
      <w:pPr>
        <w:spacing w:line="360" w:lineRule="auto"/>
        <w:jc w:val="center"/>
        <w:rPr>
          <w:rFonts w:ascii="Arial" w:hAnsi="Arial" w:cs="Arial"/>
          <w:b/>
          <w:bCs/>
          <w:sz w:val="28"/>
          <w:szCs w:val="28"/>
        </w:rPr>
      </w:pPr>
      <w:r w:rsidRPr="001A1F2F">
        <w:rPr>
          <w:rFonts w:ascii="Arial" w:hAnsi="Arial" w:cs="Arial"/>
          <w:b/>
          <w:bCs/>
          <w:sz w:val="28"/>
          <w:szCs w:val="28"/>
        </w:rPr>
        <w:t>BMIH5005</w:t>
      </w:r>
    </w:p>
    <w:p w14:paraId="7BBCF6B0" w14:textId="77777777" w:rsidR="001A1F2F" w:rsidRDefault="001A1F2F" w:rsidP="001A1F2F">
      <w:pPr>
        <w:spacing w:line="360" w:lineRule="auto"/>
        <w:jc w:val="center"/>
        <w:rPr>
          <w:rFonts w:ascii="Arial" w:hAnsi="Arial" w:cs="Arial"/>
          <w:b/>
          <w:bCs/>
          <w:sz w:val="24"/>
          <w:szCs w:val="24"/>
        </w:rPr>
      </w:pPr>
    </w:p>
    <w:p w14:paraId="0264CACC" w14:textId="77777777" w:rsidR="001A1F2F" w:rsidRDefault="001A1F2F" w:rsidP="001A1F2F">
      <w:pPr>
        <w:spacing w:line="360" w:lineRule="auto"/>
        <w:jc w:val="center"/>
        <w:rPr>
          <w:rFonts w:ascii="Arial" w:hAnsi="Arial" w:cs="Arial"/>
          <w:b/>
          <w:bCs/>
          <w:sz w:val="24"/>
          <w:szCs w:val="24"/>
        </w:rPr>
      </w:pPr>
    </w:p>
    <w:p w14:paraId="712B3FFC" w14:textId="77777777" w:rsidR="001A1F2F" w:rsidRDefault="001A1F2F" w:rsidP="001A1F2F">
      <w:pPr>
        <w:spacing w:line="360" w:lineRule="auto"/>
        <w:jc w:val="center"/>
        <w:rPr>
          <w:rFonts w:ascii="Arial" w:hAnsi="Arial" w:cs="Arial"/>
          <w:sz w:val="24"/>
          <w:szCs w:val="24"/>
        </w:rPr>
      </w:pPr>
      <w:r>
        <w:rPr>
          <w:rFonts w:ascii="Arial" w:hAnsi="Arial" w:cs="Arial"/>
          <w:sz w:val="24"/>
          <w:szCs w:val="24"/>
        </w:rPr>
        <w:t xml:space="preserve">Essay: Discuss how the evolution of HRM facilitates the strategic development of an international hotel brand through workforce planning, </w:t>
      </w:r>
      <w:proofErr w:type="gramStart"/>
      <w:r>
        <w:rPr>
          <w:rFonts w:ascii="Arial" w:hAnsi="Arial" w:cs="Arial"/>
          <w:sz w:val="24"/>
          <w:szCs w:val="24"/>
        </w:rPr>
        <w:t>recruitment</w:t>
      </w:r>
      <w:proofErr w:type="gramEnd"/>
      <w:r>
        <w:rPr>
          <w:rFonts w:ascii="Arial" w:hAnsi="Arial" w:cs="Arial"/>
          <w:sz w:val="24"/>
          <w:szCs w:val="24"/>
        </w:rPr>
        <w:t xml:space="preserve"> and selection</w:t>
      </w:r>
    </w:p>
    <w:p w14:paraId="2342A627" w14:textId="77777777" w:rsidR="001A1F2F" w:rsidRDefault="001A1F2F" w:rsidP="001A1F2F">
      <w:pPr>
        <w:spacing w:line="360" w:lineRule="auto"/>
        <w:jc w:val="center"/>
        <w:rPr>
          <w:rFonts w:ascii="Arial" w:hAnsi="Arial" w:cs="Arial"/>
          <w:sz w:val="24"/>
          <w:szCs w:val="24"/>
        </w:rPr>
      </w:pPr>
    </w:p>
    <w:p w14:paraId="4EECE688" w14:textId="77777777" w:rsidR="001A1F2F" w:rsidRDefault="001A1F2F" w:rsidP="001A1F2F">
      <w:pPr>
        <w:spacing w:line="360" w:lineRule="auto"/>
        <w:jc w:val="center"/>
        <w:rPr>
          <w:rFonts w:ascii="Arial" w:hAnsi="Arial" w:cs="Arial"/>
          <w:sz w:val="24"/>
          <w:szCs w:val="24"/>
        </w:rPr>
      </w:pPr>
    </w:p>
    <w:p w14:paraId="7154CA5E" w14:textId="77777777" w:rsidR="001A1F2F" w:rsidRDefault="001A1F2F" w:rsidP="001A1F2F">
      <w:pPr>
        <w:spacing w:line="360" w:lineRule="auto"/>
        <w:jc w:val="center"/>
        <w:rPr>
          <w:rFonts w:ascii="Arial" w:hAnsi="Arial" w:cs="Arial"/>
          <w:sz w:val="24"/>
          <w:szCs w:val="24"/>
        </w:rPr>
      </w:pPr>
    </w:p>
    <w:p w14:paraId="5CE4659E" w14:textId="77777777" w:rsidR="001A1F2F" w:rsidRDefault="001A1F2F" w:rsidP="001A1F2F">
      <w:pPr>
        <w:spacing w:line="360" w:lineRule="auto"/>
        <w:jc w:val="center"/>
        <w:rPr>
          <w:rFonts w:ascii="Arial" w:hAnsi="Arial" w:cs="Arial"/>
          <w:sz w:val="24"/>
          <w:szCs w:val="24"/>
        </w:rPr>
      </w:pPr>
    </w:p>
    <w:p w14:paraId="411B46C6" w14:textId="77777777" w:rsidR="001A1F2F" w:rsidRDefault="001A1F2F" w:rsidP="001A1F2F">
      <w:pPr>
        <w:spacing w:line="360" w:lineRule="auto"/>
        <w:jc w:val="center"/>
        <w:rPr>
          <w:rFonts w:ascii="Arial" w:hAnsi="Arial" w:cs="Arial"/>
          <w:sz w:val="24"/>
          <w:szCs w:val="24"/>
        </w:rPr>
      </w:pPr>
    </w:p>
    <w:p w14:paraId="4E76F4BE" w14:textId="77777777" w:rsidR="001A1F2F" w:rsidRDefault="001A1F2F" w:rsidP="001A1F2F">
      <w:pPr>
        <w:spacing w:line="360" w:lineRule="auto"/>
        <w:jc w:val="center"/>
        <w:rPr>
          <w:rFonts w:ascii="Arial" w:hAnsi="Arial" w:cs="Arial"/>
          <w:sz w:val="24"/>
          <w:szCs w:val="24"/>
        </w:rPr>
      </w:pPr>
    </w:p>
    <w:p w14:paraId="4497FC8F" w14:textId="57FF8FFF" w:rsidR="001A1F2F" w:rsidRDefault="001A1F2F" w:rsidP="001A1F2F">
      <w:pPr>
        <w:spacing w:line="360" w:lineRule="auto"/>
        <w:jc w:val="center"/>
        <w:rPr>
          <w:rFonts w:ascii="Arial" w:hAnsi="Arial" w:cs="Arial"/>
          <w:sz w:val="24"/>
          <w:szCs w:val="24"/>
        </w:rPr>
      </w:pPr>
      <w:r>
        <w:rPr>
          <w:rFonts w:ascii="Arial" w:hAnsi="Arial" w:cs="Arial"/>
          <w:sz w:val="24"/>
          <w:szCs w:val="24"/>
        </w:rPr>
        <w:t xml:space="preserve">Student name: </w:t>
      </w:r>
      <w:r>
        <w:rPr>
          <w:rFonts w:ascii="Arial" w:hAnsi="Arial" w:cs="Arial"/>
          <w:sz w:val="24"/>
          <w:szCs w:val="24"/>
        </w:rPr>
        <w:t>Gabriela Iuliana Matei</w:t>
      </w:r>
    </w:p>
    <w:p w14:paraId="15C0C422" w14:textId="67469D23" w:rsidR="001A1F2F" w:rsidRDefault="001A1F2F" w:rsidP="001A1F2F">
      <w:pPr>
        <w:spacing w:line="360" w:lineRule="auto"/>
        <w:jc w:val="center"/>
        <w:rPr>
          <w:rFonts w:ascii="Arial" w:hAnsi="Arial" w:cs="Arial"/>
          <w:sz w:val="24"/>
          <w:szCs w:val="24"/>
        </w:rPr>
      </w:pPr>
      <w:r>
        <w:rPr>
          <w:rFonts w:ascii="Arial" w:hAnsi="Arial" w:cs="Arial"/>
          <w:sz w:val="24"/>
          <w:szCs w:val="24"/>
        </w:rPr>
        <w:t xml:space="preserve">Student id: </w:t>
      </w:r>
      <w:r w:rsidRPr="001A1F2F">
        <w:rPr>
          <w:rFonts w:ascii="Arial" w:hAnsi="Arial" w:cs="Arial"/>
          <w:sz w:val="24"/>
          <w:szCs w:val="24"/>
        </w:rPr>
        <w:t>2126974</w:t>
      </w:r>
    </w:p>
    <w:p w14:paraId="1F30F916" w14:textId="77777777" w:rsidR="001A1F2F" w:rsidRDefault="001A1F2F" w:rsidP="001A1F2F">
      <w:pPr>
        <w:spacing w:line="360" w:lineRule="auto"/>
        <w:jc w:val="center"/>
        <w:rPr>
          <w:rFonts w:ascii="Arial" w:hAnsi="Arial" w:cs="Arial"/>
          <w:sz w:val="24"/>
          <w:szCs w:val="24"/>
        </w:rPr>
      </w:pPr>
      <w:r>
        <w:rPr>
          <w:rFonts w:ascii="Arial" w:hAnsi="Arial" w:cs="Arial"/>
          <w:sz w:val="24"/>
          <w:szCs w:val="24"/>
        </w:rPr>
        <w:t>Lecturer: Scott James</w:t>
      </w:r>
    </w:p>
    <w:p w14:paraId="34D08554" w14:textId="2F002DE0" w:rsidR="001A1F2F" w:rsidRDefault="001A1F2F" w:rsidP="001A1F2F">
      <w:pPr>
        <w:spacing w:line="360" w:lineRule="auto"/>
        <w:jc w:val="center"/>
        <w:rPr>
          <w:rFonts w:ascii="Arial" w:hAnsi="Arial" w:cs="Arial"/>
          <w:sz w:val="24"/>
          <w:szCs w:val="24"/>
        </w:rPr>
      </w:pPr>
      <w:r>
        <w:rPr>
          <w:rFonts w:ascii="Arial" w:hAnsi="Arial" w:cs="Arial"/>
          <w:sz w:val="24"/>
          <w:szCs w:val="24"/>
        </w:rPr>
        <w:t xml:space="preserve">Word count: </w:t>
      </w:r>
      <w:r w:rsidR="009028F0">
        <w:rPr>
          <w:rFonts w:ascii="Arial" w:hAnsi="Arial" w:cs="Arial"/>
          <w:sz w:val="24"/>
          <w:szCs w:val="24"/>
        </w:rPr>
        <w:t>2083</w:t>
      </w:r>
    </w:p>
    <w:p w14:paraId="079020A6" w14:textId="77777777" w:rsidR="00590946" w:rsidRDefault="00590946" w:rsidP="001A1F2F">
      <w:pPr>
        <w:spacing w:line="360" w:lineRule="auto"/>
        <w:jc w:val="center"/>
        <w:rPr>
          <w:rFonts w:ascii="Arial" w:hAnsi="Arial" w:cs="Arial"/>
          <w:sz w:val="24"/>
          <w:szCs w:val="24"/>
        </w:rPr>
      </w:pPr>
    </w:p>
    <w:p w14:paraId="4554FB58" w14:textId="77777777" w:rsidR="00590946" w:rsidRDefault="00590946" w:rsidP="001A1F2F">
      <w:pPr>
        <w:spacing w:line="360" w:lineRule="auto"/>
        <w:jc w:val="center"/>
        <w:rPr>
          <w:rFonts w:ascii="Arial" w:hAnsi="Arial" w:cs="Arial"/>
          <w:sz w:val="24"/>
          <w:szCs w:val="24"/>
        </w:rPr>
      </w:pPr>
    </w:p>
    <w:p w14:paraId="416CC0FA" w14:textId="77777777" w:rsidR="00590946" w:rsidRDefault="00590946" w:rsidP="001A1F2F">
      <w:pPr>
        <w:spacing w:line="360" w:lineRule="auto"/>
        <w:jc w:val="center"/>
        <w:rPr>
          <w:rFonts w:ascii="Arial" w:hAnsi="Arial" w:cs="Arial"/>
          <w:sz w:val="24"/>
          <w:szCs w:val="24"/>
        </w:rPr>
      </w:pPr>
    </w:p>
    <w:p w14:paraId="5C983341" w14:textId="77777777" w:rsidR="00590946" w:rsidRDefault="00590946" w:rsidP="001A1F2F">
      <w:pPr>
        <w:spacing w:line="360" w:lineRule="auto"/>
        <w:jc w:val="center"/>
        <w:rPr>
          <w:rFonts w:ascii="Arial" w:hAnsi="Arial" w:cs="Arial"/>
          <w:sz w:val="24"/>
          <w:szCs w:val="24"/>
        </w:rPr>
      </w:pPr>
    </w:p>
    <w:p w14:paraId="6DACF9BD" w14:textId="77777777" w:rsidR="00590946" w:rsidRDefault="00590946" w:rsidP="001A1F2F">
      <w:pPr>
        <w:spacing w:line="360" w:lineRule="auto"/>
        <w:jc w:val="center"/>
        <w:rPr>
          <w:rFonts w:ascii="Arial" w:hAnsi="Arial" w:cs="Arial"/>
          <w:sz w:val="24"/>
          <w:szCs w:val="24"/>
        </w:rPr>
      </w:pPr>
    </w:p>
    <w:p w14:paraId="353439A7" w14:textId="77777777" w:rsidR="00590946" w:rsidRDefault="00590946" w:rsidP="001A1F2F">
      <w:pPr>
        <w:spacing w:line="360" w:lineRule="auto"/>
        <w:jc w:val="center"/>
        <w:rPr>
          <w:rFonts w:ascii="Arial" w:hAnsi="Arial" w:cs="Arial"/>
          <w:sz w:val="24"/>
          <w:szCs w:val="24"/>
        </w:rPr>
      </w:pPr>
    </w:p>
    <w:p w14:paraId="6F4FEF64" w14:textId="77777777" w:rsidR="00590946" w:rsidRDefault="00590946" w:rsidP="001A1F2F">
      <w:pPr>
        <w:spacing w:line="360" w:lineRule="auto"/>
        <w:jc w:val="center"/>
        <w:rPr>
          <w:rFonts w:ascii="Arial" w:hAnsi="Arial" w:cs="Arial"/>
          <w:sz w:val="24"/>
          <w:szCs w:val="24"/>
        </w:rPr>
      </w:pPr>
    </w:p>
    <w:p w14:paraId="506F0A35" w14:textId="77777777" w:rsidR="00590946" w:rsidRDefault="00590946" w:rsidP="001A1F2F">
      <w:pPr>
        <w:spacing w:line="360" w:lineRule="auto"/>
        <w:jc w:val="center"/>
        <w:rPr>
          <w:rFonts w:ascii="Arial" w:hAnsi="Arial" w:cs="Arial"/>
          <w:sz w:val="24"/>
          <w:szCs w:val="24"/>
        </w:rPr>
      </w:pPr>
    </w:p>
    <w:p w14:paraId="36321695" w14:textId="77777777" w:rsidR="00B151A8" w:rsidRPr="009028F0" w:rsidRDefault="00B151A8" w:rsidP="009028F0">
      <w:pPr>
        <w:spacing w:line="360" w:lineRule="auto"/>
        <w:jc w:val="both"/>
        <w:rPr>
          <w:rFonts w:ascii="Arial" w:hAnsi="Arial" w:cs="Arial"/>
          <w:sz w:val="24"/>
          <w:szCs w:val="24"/>
        </w:rPr>
      </w:pPr>
    </w:p>
    <w:p w14:paraId="22929DE3" w14:textId="77777777" w:rsidR="00590946" w:rsidRPr="009028F0" w:rsidRDefault="00590946" w:rsidP="009028F0">
      <w:pPr>
        <w:spacing w:line="360" w:lineRule="auto"/>
        <w:jc w:val="both"/>
        <w:rPr>
          <w:rFonts w:ascii="Arial" w:hAnsi="Arial" w:cs="Arial"/>
          <w:sz w:val="24"/>
          <w:szCs w:val="24"/>
        </w:rPr>
      </w:pPr>
    </w:p>
    <w:p w14:paraId="0C5F1089" w14:textId="648B2197" w:rsidR="00590946" w:rsidRPr="009028F0" w:rsidRDefault="00590946" w:rsidP="009028F0">
      <w:pPr>
        <w:spacing w:line="360" w:lineRule="auto"/>
        <w:jc w:val="both"/>
        <w:rPr>
          <w:rFonts w:ascii="Arial" w:eastAsia="Times New Roman" w:hAnsi="Arial" w:cs="Arial"/>
          <w:kern w:val="0"/>
          <w:sz w:val="24"/>
          <w:szCs w:val="24"/>
          <w:lang w:eastAsia="en-GB"/>
          <w14:ligatures w14:val="none"/>
        </w:rPr>
      </w:pPr>
      <w:r w:rsidRPr="00590946">
        <w:rPr>
          <w:rFonts w:ascii="Arial" w:eastAsia="Times New Roman" w:hAnsi="Arial" w:cs="Arial"/>
          <w:kern w:val="0"/>
          <w:sz w:val="24"/>
          <w:szCs w:val="24"/>
          <w:lang w:eastAsia="en-GB"/>
          <w14:ligatures w14:val="none"/>
        </w:rPr>
        <w:t>This paper looks at how a top international hotel brand handles its human resource management</w:t>
      </w:r>
      <w:r w:rsidR="005100B0" w:rsidRPr="009028F0">
        <w:rPr>
          <w:rFonts w:ascii="Arial" w:eastAsia="Times New Roman" w:hAnsi="Arial" w:cs="Arial"/>
          <w:kern w:val="0"/>
          <w:sz w:val="24"/>
          <w:szCs w:val="24"/>
          <w:lang w:eastAsia="en-GB"/>
          <w14:ligatures w14:val="none"/>
        </w:rPr>
        <w:t xml:space="preserve"> </w:t>
      </w:r>
      <w:r w:rsidRPr="00590946">
        <w:rPr>
          <w:rFonts w:ascii="Arial" w:eastAsia="Times New Roman" w:hAnsi="Arial" w:cs="Arial"/>
          <w:kern w:val="0"/>
          <w:sz w:val="24"/>
          <w:szCs w:val="24"/>
          <w:lang w:eastAsia="en-GB"/>
          <w14:ligatures w14:val="none"/>
        </w:rPr>
        <w:t>procedures and how they are designed to handle the difficulties presented by a varied worldwide workforce.</w:t>
      </w:r>
      <w:r w:rsidRPr="009028F0">
        <w:rPr>
          <w:rFonts w:ascii="Arial" w:eastAsia="Times New Roman" w:hAnsi="Arial" w:cs="Arial"/>
          <w:kern w:val="0"/>
          <w:sz w:val="24"/>
          <w:szCs w:val="24"/>
          <w:lang w:eastAsia="en-GB"/>
          <w14:ligatures w14:val="none"/>
        </w:rPr>
        <w:t xml:space="preserve"> </w:t>
      </w:r>
      <w:r w:rsidRPr="009028F0">
        <w:rPr>
          <w:rFonts w:ascii="Arial" w:eastAsia="Times New Roman" w:hAnsi="Arial" w:cs="Arial"/>
          <w:kern w:val="0"/>
          <w:sz w:val="24"/>
          <w:szCs w:val="24"/>
          <w:lang w:eastAsia="en-GB"/>
          <w14:ligatures w14:val="none"/>
        </w:rPr>
        <w:t>A comprehensive and logical method of employing and developing people is human resource management. Regarded as a philosophy about how people should be managed, HRM is supported by several ideas concerning human and organisational behaviour. It is interested in how people could be used to enhance organisational effectiveness, but it is also, or ought to be, equally interested in the ethical aspect of things</w:t>
      </w:r>
      <w:r w:rsidR="005100B0" w:rsidRPr="009028F0">
        <w:rPr>
          <w:rFonts w:ascii="Arial" w:eastAsia="Times New Roman" w:hAnsi="Arial" w:cs="Arial"/>
          <w:kern w:val="0"/>
          <w:sz w:val="24"/>
          <w:szCs w:val="24"/>
          <w:lang w:eastAsia="en-GB"/>
          <w14:ligatures w14:val="none"/>
        </w:rPr>
        <w:t xml:space="preserve">, </w:t>
      </w:r>
      <w:r w:rsidRPr="009028F0">
        <w:rPr>
          <w:rFonts w:ascii="Arial" w:eastAsia="Times New Roman" w:hAnsi="Arial" w:cs="Arial"/>
          <w:kern w:val="0"/>
          <w:sz w:val="24"/>
          <w:szCs w:val="24"/>
          <w:lang w:eastAsia="en-GB"/>
          <w14:ligatures w14:val="none"/>
        </w:rPr>
        <w:t>how people ought to be treated in line with a set of moral principles</w:t>
      </w:r>
      <w:r w:rsidR="005100B0" w:rsidRPr="009028F0">
        <w:rPr>
          <w:rFonts w:ascii="Arial" w:eastAsia="Times New Roman" w:hAnsi="Arial" w:cs="Arial"/>
          <w:kern w:val="0"/>
          <w:sz w:val="24"/>
          <w:szCs w:val="24"/>
          <w:lang w:eastAsia="en-GB"/>
          <w14:ligatures w14:val="none"/>
        </w:rPr>
        <w:t xml:space="preserve"> (Armstrong and Taylor, 2020). </w:t>
      </w:r>
      <w:r w:rsidRPr="00590946">
        <w:rPr>
          <w:rFonts w:ascii="Arial" w:eastAsia="Times New Roman" w:hAnsi="Arial" w:cs="Arial"/>
          <w:kern w:val="0"/>
          <w:sz w:val="24"/>
          <w:szCs w:val="24"/>
          <w:lang w:eastAsia="en-GB"/>
          <w14:ligatures w14:val="none"/>
        </w:rPr>
        <w:t>The hotel industry depends heavily on HRM, which affects everything from employee retention and organisational performance to visitor happiness (Boxall, 201</w:t>
      </w:r>
      <w:r w:rsidR="005100B0" w:rsidRPr="009028F0">
        <w:rPr>
          <w:rFonts w:ascii="Arial" w:eastAsia="Times New Roman" w:hAnsi="Arial" w:cs="Arial"/>
          <w:kern w:val="0"/>
          <w:sz w:val="24"/>
          <w:szCs w:val="24"/>
          <w:lang w:eastAsia="en-GB"/>
          <w14:ligatures w14:val="none"/>
        </w:rPr>
        <w:t>4</w:t>
      </w:r>
      <w:r w:rsidRPr="00590946">
        <w:rPr>
          <w:rFonts w:ascii="Arial" w:eastAsia="Times New Roman" w:hAnsi="Arial" w:cs="Arial"/>
          <w:kern w:val="0"/>
          <w:sz w:val="24"/>
          <w:szCs w:val="24"/>
          <w:lang w:eastAsia="en-GB"/>
          <w14:ligatures w14:val="none"/>
        </w:rPr>
        <w:t>). The research will concentrate especially on hiring, training, diversity, and employee welfare practices used in different cultural and legal contexts. The resource-based perspective is the theoretical foundation of this approach; it holds that human resources are important strategic assets that give a competitive advantage (Barney</w:t>
      </w:r>
      <w:r w:rsidR="00E6463E" w:rsidRPr="009028F0">
        <w:rPr>
          <w:rFonts w:ascii="Arial" w:eastAsia="Times New Roman" w:hAnsi="Arial" w:cs="Arial"/>
          <w:kern w:val="0"/>
          <w:sz w:val="24"/>
          <w:szCs w:val="24"/>
          <w:lang w:eastAsia="en-GB"/>
          <w14:ligatures w14:val="none"/>
        </w:rPr>
        <w:t xml:space="preserve"> and Mackey,</w:t>
      </w:r>
      <w:r w:rsidRPr="00590946">
        <w:rPr>
          <w:rFonts w:ascii="Arial" w:eastAsia="Times New Roman" w:hAnsi="Arial" w:cs="Arial"/>
          <w:kern w:val="0"/>
          <w:sz w:val="24"/>
          <w:szCs w:val="24"/>
          <w:lang w:eastAsia="en-GB"/>
          <w14:ligatures w14:val="none"/>
        </w:rPr>
        <w:t xml:space="preserve"> </w:t>
      </w:r>
      <w:r w:rsidR="00E6463E" w:rsidRPr="009028F0">
        <w:rPr>
          <w:rFonts w:ascii="Arial" w:eastAsia="Times New Roman" w:hAnsi="Arial" w:cs="Arial"/>
          <w:kern w:val="0"/>
          <w:sz w:val="24"/>
          <w:szCs w:val="24"/>
          <w:lang w:eastAsia="en-GB"/>
          <w14:ligatures w14:val="none"/>
        </w:rPr>
        <w:t>2016</w:t>
      </w:r>
      <w:r w:rsidRPr="00590946">
        <w:rPr>
          <w:rFonts w:ascii="Arial" w:eastAsia="Times New Roman" w:hAnsi="Arial" w:cs="Arial"/>
          <w:kern w:val="0"/>
          <w:sz w:val="24"/>
          <w:szCs w:val="24"/>
          <w:lang w:eastAsia="en-GB"/>
          <w14:ligatures w14:val="none"/>
        </w:rPr>
        <w:t xml:space="preserve">). This essay attempts to discover and evaluate the HRM tactics used Accor Group, evaluating their efficacy in promoting a productive, engaged, and motivated staff. </w:t>
      </w:r>
    </w:p>
    <w:p w14:paraId="52680439" w14:textId="3AE251D4" w:rsidR="00590946" w:rsidRPr="009028F0" w:rsidRDefault="00590946" w:rsidP="009028F0">
      <w:pPr>
        <w:spacing w:after="0" w:line="360" w:lineRule="auto"/>
        <w:jc w:val="both"/>
        <w:rPr>
          <w:rFonts w:ascii="Arial" w:eastAsia="Times New Roman" w:hAnsi="Arial" w:cs="Arial"/>
          <w:kern w:val="0"/>
          <w:sz w:val="24"/>
          <w:szCs w:val="24"/>
          <w:lang w:eastAsia="en-GB"/>
          <w14:ligatures w14:val="none"/>
        </w:rPr>
      </w:pPr>
      <w:r w:rsidRPr="00590946">
        <w:rPr>
          <w:rFonts w:ascii="Arial" w:eastAsia="Times New Roman" w:hAnsi="Arial" w:cs="Arial"/>
          <w:kern w:val="0"/>
          <w:sz w:val="24"/>
          <w:szCs w:val="24"/>
          <w:lang w:eastAsia="en-GB"/>
          <w14:ligatures w14:val="none"/>
        </w:rPr>
        <w:t>Over the decades, Human Resource Management</w:t>
      </w:r>
      <w:r w:rsidRPr="009028F0">
        <w:rPr>
          <w:rFonts w:ascii="Arial" w:eastAsia="Times New Roman" w:hAnsi="Arial" w:cs="Arial"/>
          <w:kern w:val="0"/>
          <w:sz w:val="24"/>
          <w:szCs w:val="24"/>
          <w:lang w:eastAsia="en-GB"/>
          <w14:ligatures w14:val="none"/>
        </w:rPr>
        <w:t xml:space="preserve"> </w:t>
      </w:r>
      <w:r w:rsidRPr="00590946">
        <w:rPr>
          <w:rFonts w:ascii="Arial" w:eastAsia="Times New Roman" w:hAnsi="Arial" w:cs="Arial"/>
          <w:kern w:val="0"/>
          <w:sz w:val="24"/>
          <w:szCs w:val="24"/>
          <w:lang w:eastAsia="en-GB"/>
          <w14:ligatures w14:val="none"/>
        </w:rPr>
        <w:t>has changed from being a strictly administrative job to being an important strategic partner inside the company. At first concentrated on people management, which encompassed duties like payroll and personnel records administration, HRM's function was mostly transactional and reactive. This stage frequently defined HRM as a cost centre rather than as a strategic partner (</w:t>
      </w:r>
      <w:r w:rsidR="00E6463E" w:rsidRPr="009028F0">
        <w:rPr>
          <w:rFonts w:ascii="Arial" w:eastAsia="Times New Roman" w:hAnsi="Arial" w:cs="Arial"/>
          <w:kern w:val="0"/>
          <w:sz w:val="24"/>
          <w:szCs w:val="24"/>
          <w:lang w:eastAsia="en-GB"/>
          <w14:ligatures w14:val="none"/>
        </w:rPr>
        <w:t>Marchington and Wilkinson, 2016</w:t>
      </w:r>
      <w:r w:rsidRPr="00590946">
        <w:rPr>
          <w:rFonts w:ascii="Arial" w:eastAsia="Times New Roman" w:hAnsi="Arial" w:cs="Arial"/>
          <w:kern w:val="0"/>
          <w:sz w:val="24"/>
          <w:szCs w:val="24"/>
          <w:lang w:eastAsia="en-GB"/>
          <w14:ligatures w14:val="none"/>
        </w:rPr>
        <w:t xml:space="preserve">). The paradigm changed to strategic HRM when businesses realised how important human capital is to </w:t>
      </w:r>
      <w:proofErr w:type="gramStart"/>
      <w:r w:rsidRPr="00590946">
        <w:rPr>
          <w:rFonts w:ascii="Arial" w:eastAsia="Times New Roman" w:hAnsi="Arial" w:cs="Arial"/>
          <w:kern w:val="0"/>
          <w:sz w:val="24"/>
          <w:szCs w:val="24"/>
          <w:lang w:eastAsia="en-GB"/>
          <w14:ligatures w14:val="none"/>
        </w:rPr>
        <w:t>gaining</w:t>
      </w:r>
      <w:proofErr w:type="gramEnd"/>
      <w:r w:rsidRPr="00590946">
        <w:rPr>
          <w:rFonts w:ascii="Arial" w:eastAsia="Times New Roman" w:hAnsi="Arial" w:cs="Arial"/>
          <w:kern w:val="0"/>
          <w:sz w:val="24"/>
          <w:szCs w:val="24"/>
          <w:lang w:eastAsia="en-GB"/>
          <w14:ligatures w14:val="none"/>
        </w:rPr>
        <w:t xml:space="preserve"> a competitive edge. Principal management publications, including Michael Porter's theories of competitive strategy, which stressed the need of matching all organisational resources</w:t>
      </w:r>
      <w:r w:rsidR="00E6463E" w:rsidRPr="009028F0">
        <w:rPr>
          <w:rFonts w:ascii="Arial" w:eastAsia="Times New Roman" w:hAnsi="Arial" w:cs="Arial"/>
          <w:kern w:val="0"/>
          <w:sz w:val="24"/>
          <w:szCs w:val="24"/>
          <w:lang w:eastAsia="en-GB"/>
          <w14:ligatures w14:val="none"/>
        </w:rPr>
        <w:t xml:space="preserve">, </w:t>
      </w:r>
      <w:r w:rsidRPr="00590946">
        <w:rPr>
          <w:rFonts w:ascii="Arial" w:eastAsia="Times New Roman" w:hAnsi="Arial" w:cs="Arial"/>
          <w:kern w:val="0"/>
          <w:sz w:val="24"/>
          <w:szCs w:val="24"/>
          <w:lang w:eastAsia="en-GB"/>
          <w14:ligatures w14:val="none"/>
        </w:rPr>
        <w:t>including human resources</w:t>
      </w:r>
      <w:r w:rsidR="00E6463E" w:rsidRPr="009028F0">
        <w:rPr>
          <w:rFonts w:ascii="Arial" w:eastAsia="Times New Roman" w:hAnsi="Arial" w:cs="Arial"/>
          <w:kern w:val="0"/>
          <w:sz w:val="24"/>
          <w:szCs w:val="24"/>
          <w:lang w:eastAsia="en-GB"/>
          <w14:ligatures w14:val="none"/>
        </w:rPr>
        <w:t xml:space="preserve">, </w:t>
      </w:r>
      <w:r w:rsidRPr="00590946">
        <w:rPr>
          <w:rFonts w:ascii="Arial" w:eastAsia="Times New Roman" w:hAnsi="Arial" w:cs="Arial"/>
          <w:kern w:val="0"/>
          <w:sz w:val="24"/>
          <w:szCs w:val="24"/>
          <w:lang w:eastAsia="en-GB"/>
          <w14:ligatures w14:val="none"/>
        </w:rPr>
        <w:t xml:space="preserve">with strategic business goals, had an impact on this realisation </w:t>
      </w:r>
      <w:r w:rsidR="00E6463E" w:rsidRPr="009028F0">
        <w:rPr>
          <w:rFonts w:ascii="Arial" w:hAnsi="Arial" w:cs="Arial"/>
          <w:sz w:val="24"/>
          <w:szCs w:val="24"/>
          <w:shd w:val="clear" w:color="auto" w:fill="FFFFFF"/>
        </w:rPr>
        <w:t>(Gerhart and Feng, 2021)</w:t>
      </w:r>
      <w:r w:rsidR="00E6463E" w:rsidRPr="009028F0">
        <w:rPr>
          <w:rFonts w:ascii="Arial" w:hAnsi="Arial" w:cs="Arial"/>
          <w:sz w:val="24"/>
          <w:szCs w:val="24"/>
          <w:shd w:val="clear" w:color="auto" w:fill="FFFFFF"/>
        </w:rPr>
        <w:t xml:space="preserve">. </w:t>
      </w:r>
      <w:r w:rsidRPr="00590946">
        <w:rPr>
          <w:rFonts w:ascii="Arial" w:eastAsia="Times New Roman" w:hAnsi="Arial" w:cs="Arial"/>
          <w:kern w:val="0"/>
          <w:sz w:val="24"/>
          <w:szCs w:val="24"/>
          <w:lang w:eastAsia="en-GB"/>
          <w14:ligatures w14:val="none"/>
        </w:rPr>
        <w:t xml:space="preserve">In addition, the resource-based view of the company, as elucidated by academics such as Barney </w:t>
      </w:r>
      <w:r w:rsidR="00E6463E" w:rsidRPr="009028F0">
        <w:rPr>
          <w:rFonts w:ascii="Arial" w:eastAsia="Times New Roman" w:hAnsi="Arial" w:cs="Arial"/>
          <w:kern w:val="0"/>
          <w:sz w:val="24"/>
          <w:szCs w:val="24"/>
          <w:lang w:eastAsia="en-GB"/>
          <w14:ligatures w14:val="none"/>
        </w:rPr>
        <w:t>cited in Madhani(2010)</w:t>
      </w:r>
      <w:r w:rsidRPr="00590946">
        <w:rPr>
          <w:rFonts w:ascii="Arial" w:eastAsia="Times New Roman" w:hAnsi="Arial" w:cs="Arial"/>
          <w:kern w:val="0"/>
          <w:sz w:val="24"/>
          <w:szCs w:val="24"/>
          <w:lang w:eastAsia="en-GB"/>
          <w14:ligatures w14:val="none"/>
        </w:rPr>
        <w:t xml:space="preserve">, maintained that, with careful management, human resources might provide a long-term competitive advantage, especially if they are unique, precious, scarce, and non-replaceable. </w:t>
      </w:r>
      <w:proofErr w:type="gramStart"/>
      <w:r w:rsidRPr="00590946">
        <w:rPr>
          <w:rFonts w:ascii="Arial" w:eastAsia="Times New Roman" w:hAnsi="Arial" w:cs="Arial"/>
          <w:kern w:val="0"/>
          <w:sz w:val="24"/>
          <w:szCs w:val="24"/>
          <w:lang w:eastAsia="en-GB"/>
          <w14:ligatures w14:val="none"/>
        </w:rPr>
        <w:t>In order to</w:t>
      </w:r>
      <w:proofErr w:type="gramEnd"/>
      <w:r w:rsidRPr="00590946">
        <w:rPr>
          <w:rFonts w:ascii="Arial" w:eastAsia="Times New Roman" w:hAnsi="Arial" w:cs="Arial"/>
          <w:kern w:val="0"/>
          <w:sz w:val="24"/>
          <w:szCs w:val="24"/>
          <w:lang w:eastAsia="en-GB"/>
          <w14:ligatures w14:val="none"/>
        </w:rPr>
        <w:t xml:space="preserve"> improve corporate performance, strategic HRM combines human resource policies and practices with strategic objectives. This integration includes creating HR plans that align with </w:t>
      </w:r>
      <w:proofErr w:type="gramStart"/>
      <w:r w:rsidRPr="00590946">
        <w:rPr>
          <w:rFonts w:ascii="Arial" w:eastAsia="Times New Roman" w:hAnsi="Arial" w:cs="Arial"/>
          <w:kern w:val="0"/>
          <w:sz w:val="24"/>
          <w:szCs w:val="24"/>
          <w:lang w:eastAsia="en-GB"/>
          <w14:ligatures w14:val="none"/>
        </w:rPr>
        <w:t>the overall plan</w:t>
      </w:r>
      <w:proofErr w:type="gramEnd"/>
      <w:r w:rsidRPr="00590946">
        <w:rPr>
          <w:rFonts w:ascii="Arial" w:eastAsia="Times New Roman" w:hAnsi="Arial" w:cs="Arial"/>
          <w:kern w:val="0"/>
          <w:sz w:val="24"/>
          <w:szCs w:val="24"/>
          <w:lang w:eastAsia="en-GB"/>
          <w14:ligatures w14:val="none"/>
        </w:rPr>
        <w:t xml:space="preserve"> of the company, making sure that HR procedures like hiring, training, performance management, and pay are made to further the particular strategic goals of the company</w:t>
      </w:r>
      <w:r w:rsidR="00E6463E" w:rsidRPr="009028F0">
        <w:rPr>
          <w:rFonts w:ascii="Arial" w:eastAsia="Times New Roman" w:hAnsi="Arial" w:cs="Arial"/>
          <w:kern w:val="0"/>
          <w:sz w:val="24"/>
          <w:szCs w:val="24"/>
          <w:lang w:eastAsia="en-GB"/>
          <w14:ligatures w14:val="none"/>
        </w:rPr>
        <w:t xml:space="preserve"> (Torrington et al., 2020).</w:t>
      </w:r>
      <w:r w:rsidRPr="00590946">
        <w:rPr>
          <w:rFonts w:ascii="Arial" w:eastAsia="Times New Roman" w:hAnsi="Arial" w:cs="Arial"/>
          <w:kern w:val="0"/>
          <w:sz w:val="24"/>
          <w:szCs w:val="24"/>
          <w:lang w:eastAsia="en-GB"/>
          <w14:ligatures w14:val="none"/>
        </w:rPr>
        <w:t xml:space="preserve"> When an organisation wants to innovate, for example, its HR plans could concentrate on finding creative people, encouraging an innovative culture, and putting reward schemes in place that encourage creative behaviour (</w:t>
      </w:r>
      <w:r w:rsidR="00E6463E" w:rsidRPr="009028F0">
        <w:rPr>
          <w:rFonts w:ascii="Arial" w:eastAsia="Times New Roman" w:hAnsi="Arial" w:cs="Arial"/>
          <w:kern w:val="0"/>
          <w:sz w:val="24"/>
          <w:szCs w:val="24"/>
          <w:lang w:eastAsia="en-GB"/>
          <w14:ligatures w14:val="none"/>
        </w:rPr>
        <w:t>CIPD, 2013</w:t>
      </w:r>
      <w:r w:rsidRPr="00590946">
        <w:rPr>
          <w:rFonts w:ascii="Arial" w:eastAsia="Times New Roman" w:hAnsi="Arial" w:cs="Arial"/>
          <w:kern w:val="0"/>
          <w:sz w:val="24"/>
          <w:szCs w:val="24"/>
          <w:lang w:eastAsia="en-GB"/>
          <w14:ligatures w14:val="none"/>
        </w:rPr>
        <w:t xml:space="preserve">). Moreover, as HRM has developed, the function has taken a more prominent part in directing change management projects and forming corporate culture. These days, HR directors are essential in guiding organisational changes by coordinating HR procedures with desired cultural characteristics and spearheading initiatives to successfully manage organisational transformation. This </w:t>
      </w:r>
      <w:proofErr w:type="gramStart"/>
      <w:r w:rsidRPr="00590946">
        <w:rPr>
          <w:rFonts w:ascii="Arial" w:eastAsia="Times New Roman" w:hAnsi="Arial" w:cs="Arial"/>
          <w:kern w:val="0"/>
          <w:sz w:val="24"/>
          <w:szCs w:val="24"/>
          <w:lang w:eastAsia="en-GB"/>
          <w14:ligatures w14:val="none"/>
        </w:rPr>
        <w:t>proactive</w:t>
      </w:r>
      <w:proofErr w:type="gramEnd"/>
      <w:r w:rsidRPr="00590946">
        <w:rPr>
          <w:rFonts w:ascii="Arial" w:eastAsia="Times New Roman" w:hAnsi="Arial" w:cs="Arial"/>
          <w:kern w:val="0"/>
          <w:sz w:val="24"/>
          <w:szCs w:val="24"/>
          <w:lang w:eastAsia="en-GB"/>
          <w14:ligatures w14:val="none"/>
        </w:rPr>
        <w:t xml:space="preserve"> engagement places HR as a key factor in the success of the company and goes beyond conventional HR duties</w:t>
      </w:r>
      <w:r w:rsidR="00E6463E" w:rsidRPr="009028F0">
        <w:rPr>
          <w:rFonts w:ascii="Arial" w:eastAsia="Times New Roman" w:hAnsi="Arial" w:cs="Arial"/>
          <w:kern w:val="0"/>
          <w:sz w:val="24"/>
          <w:szCs w:val="24"/>
          <w:lang w:eastAsia="en-GB"/>
          <w14:ligatures w14:val="none"/>
        </w:rPr>
        <w:t xml:space="preserve"> </w:t>
      </w:r>
      <w:r w:rsidR="00E6463E" w:rsidRPr="009028F0">
        <w:rPr>
          <w:rFonts w:ascii="Arial" w:hAnsi="Arial" w:cs="Arial"/>
          <w:sz w:val="24"/>
          <w:szCs w:val="24"/>
          <w:shd w:val="clear" w:color="auto" w:fill="FFFFFF"/>
        </w:rPr>
        <w:t>(</w:t>
      </w:r>
      <w:proofErr w:type="spellStart"/>
      <w:r w:rsidR="00E6463E" w:rsidRPr="009028F0">
        <w:rPr>
          <w:rFonts w:ascii="Arial" w:hAnsi="Arial" w:cs="Arial"/>
          <w:sz w:val="24"/>
          <w:szCs w:val="24"/>
          <w:shd w:val="clear" w:color="auto" w:fill="FFFFFF"/>
        </w:rPr>
        <w:t>Lengnick</w:t>
      </w:r>
      <w:proofErr w:type="spellEnd"/>
      <w:r w:rsidR="00E6463E" w:rsidRPr="009028F0">
        <w:rPr>
          <w:rFonts w:ascii="Arial" w:hAnsi="Arial" w:cs="Arial"/>
          <w:sz w:val="24"/>
          <w:szCs w:val="24"/>
          <w:shd w:val="clear" w:color="auto" w:fill="FFFFFF"/>
        </w:rPr>
        <w:t>-Hall et al., 2009)</w:t>
      </w:r>
      <w:r w:rsidR="00E6463E" w:rsidRPr="009028F0">
        <w:rPr>
          <w:rFonts w:ascii="Arial" w:hAnsi="Arial" w:cs="Arial"/>
          <w:sz w:val="24"/>
          <w:szCs w:val="24"/>
          <w:shd w:val="clear" w:color="auto" w:fill="FFFFFF"/>
        </w:rPr>
        <w:t>.</w:t>
      </w:r>
    </w:p>
    <w:p w14:paraId="52BCE08E" w14:textId="77777777" w:rsidR="00060D49" w:rsidRPr="009028F0" w:rsidRDefault="00060D49" w:rsidP="009028F0">
      <w:pPr>
        <w:spacing w:after="0" w:line="360" w:lineRule="auto"/>
        <w:jc w:val="both"/>
        <w:rPr>
          <w:rFonts w:ascii="Arial" w:eastAsia="Times New Roman" w:hAnsi="Arial" w:cs="Arial"/>
          <w:kern w:val="0"/>
          <w:sz w:val="24"/>
          <w:szCs w:val="24"/>
          <w:lang w:eastAsia="en-GB"/>
          <w14:ligatures w14:val="none"/>
        </w:rPr>
      </w:pPr>
    </w:p>
    <w:p w14:paraId="113A4012" w14:textId="0B444837" w:rsidR="00060D49" w:rsidRPr="009028F0" w:rsidRDefault="00060D49" w:rsidP="009028F0">
      <w:pPr>
        <w:spacing w:line="360" w:lineRule="auto"/>
        <w:jc w:val="both"/>
        <w:rPr>
          <w:rFonts w:ascii="Arial" w:eastAsia="Times New Roman" w:hAnsi="Arial" w:cs="Arial"/>
          <w:kern w:val="0"/>
          <w:sz w:val="24"/>
          <w:szCs w:val="24"/>
          <w:lang w:eastAsia="en-GB"/>
          <w14:ligatures w14:val="none"/>
        </w:rPr>
      </w:pPr>
      <w:r w:rsidRPr="00060D49">
        <w:rPr>
          <w:rFonts w:ascii="Arial" w:eastAsia="Times New Roman" w:hAnsi="Arial" w:cs="Arial"/>
          <w:kern w:val="0"/>
          <w:sz w:val="24"/>
          <w:szCs w:val="24"/>
          <w:lang w:eastAsia="en-GB"/>
          <w14:ligatures w14:val="none"/>
        </w:rPr>
        <w:t>A key element of human resource management, strategic HR planning links HR objectives with general organisational objectives. Ensuring that the personnel can successfully satisfy current and future company expectations depends on this procedure. Firstly, forecasting labour demand and supply entails estimating the future quantity and quality of the workforce requirements</w:t>
      </w:r>
      <w:r w:rsidR="00430355" w:rsidRPr="009028F0">
        <w:rPr>
          <w:rFonts w:ascii="Arial" w:eastAsia="Times New Roman" w:hAnsi="Arial" w:cs="Arial"/>
          <w:kern w:val="0"/>
          <w:sz w:val="24"/>
          <w:szCs w:val="24"/>
          <w:lang w:eastAsia="en-GB"/>
          <w14:ligatures w14:val="none"/>
        </w:rPr>
        <w:t xml:space="preserve"> </w:t>
      </w:r>
      <w:r w:rsidR="00430355" w:rsidRPr="009028F0">
        <w:rPr>
          <w:rFonts w:ascii="Arial" w:hAnsi="Arial" w:cs="Arial"/>
          <w:sz w:val="24"/>
          <w:szCs w:val="24"/>
          <w:shd w:val="clear" w:color="auto" w:fill="FFFFFF"/>
        </w:rPr>
        <w:t>(</w:t>
      </w:r>
      <w:proofErr w:type="spellStart"/>
      <w:r w:rsidR="00430355" w:rsidRPr="009028F0">
        <w:rPr>
          <w:rFonts w:ascii="Arial" w:hAnsi="Arial" w:cs="Arial"/>
          <w:sz w:val="24"/>
          <w:szCs w:val="24"/>
          <w:shd w:val="clear" w:color="auto" w:fill="FFFFFF"/>
        </w:rPr>
        <w:t>Sulej</w:t>
      </w:r>
      <w:proofErr w:type="spellEnd"/>
      <w:r w:rsidR="00430355" w:rsidRPr="009028F0">
        <w:rPr>
          <w:rFonts w:ascii="Arial" w:hAnsi="Arial" w:cs="Arial"/>
          <w:sz w:val="24"/>
          <w:szCs w:val="24"/>
          <w:shd w:val="clear" w:color="auto" w:fill="FFFFFF"/>
        </w:rPr>
        <w:t>, 2021)</w:t>
      </w:r>
      <w:r w:rsidR="00430355" w:rsidRPr="009028F0">
        <w:rPr>
          <w:rFonts w:ascii="Arial" w:hAnsi="Arial" w:cs="Arial"/>
          <w:sz w:val="24"/>
          <w:szCs w:val="24"/>
          <w:shd w:val="clear" w:color="auto" w:fill="FFFFFF"/>
        </w:rPr>
        <w:t xml:space="preserve">. </w:t>
      </w:r>
      <w:r w:rsidRPr="00060D49">
        <w:rPr>
          <w:rFonts w:ascii="Arial" w:eastAsia="Times New Roman" w:hAnsi="Arial" w:cs="Arial"/>
          <w:kern w:val="0"/>
          <w:sz w:val="24"/>
          <w:szCs w:val="24"/>
          <w:lang w:eastAsia="en-GB"/>
          <w14:ligatures w14:val="none"/>
        </w:rPr>
        <w:t xml:space="preserve">Among the often employed techniques are trend analysis, which looks at past data to predict future needs; scenario planning, which </w:t>
      </w:r>
      <w:proofErr w:type="gramStart"/>
      <w:r w:rsidRPr="00060D49">
        <w:rPr>
          <w:rFonts w:ascii="Arial" w:eastAsia="Times New Roman" w:hAnsi="Arial" w:cs="Arial"/>
          <w:kern w:val="0"/>
          <w:sz w:val="24"/>
          <w:szCs w:val="24"/>
          <w:lang w:eastAsia="en-GB"/>
          <w14:ligatures w14:val="none"/>
        </w:rPr>
        <w:t>takes into account</w:t>
      </w:r>
      <w:proofErr w:type="gramEnd"/>
      <w:r w:rsidRPr="00060D49">
        <w:rPr>
          <w:rFonts w:ascii="Arial" w:eastAsia="Times New Roman" w:hAnsi="Arial" w:cs="Arial"/>
          <w:kern w:val="0"/>
          <w:sz w:val="24"/>
          <w:szCs w:val="24"/>
          <w:lang w:eastAsia="en-GB"/>
          <w14:ligatures w14:val="none"/>
        </w:rPr>
        <w:t xml:space="preserve"> different future states of the company and outside world; and the Delphi technique, which gathers expert opinions to predict long-term results</w:t>
      </w:r>
      <w:r w:rsidR="00430355" w:rsidRPr="009028F0">
        <w:rPr>
          <w:rFonts w:ascii="Arial" w:eastAsia="Times New Roman" w:hAnsi="Arial" w:cs="Arial"/>
          <w:kern w:val="0"/>
          <w:sz w:val="24"/>
          <w:szCs w:val="24"/>
          <w:lang w:eastAsia="en-GB"/>
          <w14:ligatures w14:val="none"/>
        </w:rPr>
        <w:t xml:space="preserve"> </w:t>
      </w:r>
      <w:r w:rsidR="00430355" w:rsidRPr="009028F0">
        <w:rPr>
          <w:rFonts w:ascii="Arial" w:hAnsi="Arial" w:cs="Arial"/>
          <w:sz w:val="24"/>
          <w:szCs w:val="24"/>
          <w:shd w:val="clear" w:color="auto" w:fill="FFFFFF"/>
        </w:rPr>
        <w:t xml:space="preserve">(Cordova-Pozo and </w:t>
      </w:r>
      <w:proofErr w:type="spellStart"/>
      <w:r w:rsidR="00430355" w:rsidRPr="009028F0">
        <w:rPr>
          <w:rFonts w:ascii="Arial" w:hAnsi="Arial" w:cs="Arial"/>
          <w:sz w:val="24"/>
          <w:szCs w:val="24"/>
          <w:shd w:val="clear" w:color="auto" w:fill="FFFFFF"/>
        </w:rPr>
        <w:t>Rouwette</w:t>
      </w:r>
      <w:proofErr w:type="spellEnd"/>
      <w:r w:rsidR="00430355" w:rsidRPr="009028F0">
        <w:rPr>
          <w:rFonts w:ascii="Arial" w:hAnsi="Arial" w:cs="Arial"/>
          <w:sz w:val="24"/>
          <w:szCs w:val="24"/>
          <w:shd w:val="clear" w:color="auto" w:fill="FFFFFF"/>
        </w:rPr>
        <w:t>, 2023)</w:t>
      </w:r>
      <w:r w:rsidR="00430355" w:rsidRPr="009028F0">
        <w:rPr>
          <w:rFonts w:ascii="Arial" w:hAnsi="Arial" w:cs="Arial"/>
          <w:sz w:val="24"/>
          <w:szCs w:val="24"/>
          <w:shd w:val="clear" w:color="auto" w:fill="FFFFFF"/>
        </w:rPr>
        <w:t>.</w:t>
      </w:r>
      <w:r w:rsidRPr="00060D49">
        <w:rPr>
          <w:rFonts w:ascii="Arial" w:eastAsia="Times New Roman" w:hAnsi="Arial" w:cs="Arial"/>
          <w:kern w:val="0"/>
          <w:sz w:val="24"/>
          <w:szCs w:val="24"/>
          <w:lang w:eastAsia="en-GB"/>
          <w14:ligatures w14:val="none"/>
        </w:rPr>
        <w:t xml:space="preserve"> Through the provision of a variety of potential future scenarios rather than a single result, these techniques enable flexibility in planning and assist organisations adapt to the changing demands of a global business. During the goal setting and strategic planning stage, HR goals are methodically matched with the strategic goals of the company. Senior management and HR leaders work together to create this alignment most of the time. Finding the HR priorities that assist the strategic objectives of the company comes first in the process. Then, certain HR goals are defined, including raising workforce diversity, fostering leadership abilities, or improving employee engagement, all of which directly support the strategic goals of the company</w:t>
      </w:r>
      <w:r w:rsidR="00430355" w:rsidRPr="009028F0">
        <w:rPr>
          <w:rFonts w:ascii="Arial" w:eastAsia="Times New Roman" w:hAnsi="Arial" w:cs="Arial"/>
          <w:kern w:val="0"/>
          <w:sz w:val="24"/>
          <w:szCs w:val="24"/>
          <w:lang w:eastAsia="en-GB"/>
          <w14:ligatures w14:val="none"/>
        </w:rPr>
        <w:t xml:space="preserve"> (Greer, 2021).</w:t>
      </w:r>
      <w:r w:rsidRPr="00060D49">
        <w:rPr>
          <w:rFonts w:ascii="Arial" w:eastAsia="Times New Roman" w:hAnsi="Arial" w:cs="Arial"/>
          <w:kern w:val="0"/>
          <w:sz w:val="24"/>
          <w:szCs w:val="24"/>
          <w:lang w:eastAsia="en-GB"/>
          <w14:ligatures w14:val="none"/>
        </w:rPr>
        <w:t> After the strategic HR objectives are established, the related programmes are carried out. Programmes for leadership development, performance management systems, or workforce planning tools are examples of such projects. Through measures including productivity indicators, staff satisfaction surveys, and employee turnover rates, the efficacy of these programmes is continuously assessed</w:t>
      </w:r>
      <w:r w:rsidR="008B61C9" w:rsidRPr="009028F0">
        <w:rPr>
          <w:rFonts w:ascii="Arial" w:eastAsia="Times New Roman" w:hAnsi="Arial" w:cs="Arial"/>
          <w:kern w:val="0"/>
          <w:sz w:val="24"/>
          <w:szCs w:val="24"/>
          <w:lang w:eastAsia="en-GB"/>
          <w14:ligatures w14:val="none"/>
        </w:rPr>
        <w:t xml:space="preserve"> (Gallagher, 2016).</w:t>
      </w:r>
      <w:r w:rsidRPr="00060D49">
        <w:rPr>
          <w:rFonts w:ascii="Arial" w:eastAsia="Times New Roman" w:hAnsi="Arial" w:cs="Arial"/>
          <w:kern w:val="0"/>
          <w:sz w:val="24"/>
          <w:szCs w:val="24"/>
          <w:lang w:eastAsia="en-GB"/>
          <w14:ligatures w14:val="none"/>
        </w:rPr>
        <w:t xml:space="preserve"> Here feedback loops are crucial as they let HR managers evaluate the effectiveness of HR programmes and make necessary changes. This assessing stage makes sure that HR procedures continue to support organisational performance and are in line with strategic objectives</w:t>
      </w:r>
      <w:r w:rsidR="008B61C9" w:rsidRPr="009028F0">
        <w:rPr>
          <w:rFonts w:ascii="Arial" w:eastAsia="Times New Roman" w:hAnsi="Arial" w:cs="Arial"/>
          <w:kern w:val="0"/>
          <w:sz w:val="24"/>
          <w:szCs w:val="24"/>
          <w:lang w:eastAsia="en-GB"/>
          <w14:ligatures w14:val="none"/>
        </w:rPr>
        <w:t xml:space="preserve"> (Friedman, 2012). </w:t>
      </w:r>
      <w:r w:rsidRPr="009028F0">
        <w:rPr>
          <w:rFonts w:ascii="Arial" w:eastAsia="Times New Roman" w:hAnsi="Arial" w:cs="Arial"/>
          <w:kern w:val="0"/>
          <w:sz w:val="24"/>
          <w:szCs w:val="24"/>
          <w:lang w:eastAsia="en-GB"/>
          <w14:ligatures w14:val="none"/>
        </w:rPr>
        <w:t>One excellent example of a strong integration of these elements is the strategic HR planning strategy of Accor Group. As to their sustainability plan, Accor has taken the initiative to include Environmental, Social, and Governance criteria into their financing plan, demonstrating a deliberate alignment of HR objectives with more general organisational goals focused on sustainability and social responsibility</w:t>
      </w:r>
      <w:r w:rsidR="008B61C9" w:rsidRPr="009028F0">
        <w:rPr>
          <w:rFonts w:ascii="Arial" w:eastAsia="Times New Roman" w:hAnsi="Arial" w:cs="Arial"/>
          <w:kern w:val="0"/>
          <w:sz w:val="24"/>
          <w:szCs w:val="24"/>
          <w:lang w:eastAsia="en-GB"/>
          <w14:ligatures w14:val="none"/>
        </w:rPr>
        <w:t xml:space="preserve"> (Accor Group, n.d.).</w:t>
      </w:r>
      <w:r w:rsidRPr="009028F0">
        <w:rPr>
          <w:rFonts w:ascii="Arial" w:eastAsia="Times New Roman" w:hAnsi="Arial" w:cs="Arial"/>
          <w:kern w:val="0"/>
          <w:sz w:val="24"/>
          <w:szCs w:val="24"/>
          <w:lang w:eastAsia="en-GB"/>
          <w14:ligatures w14:val="none"/>
        </w:rPr>
        <w:t xml:space="preserve"> Accor is dedicated to these objectives, as seen by their thorough reporting and tools that monitor the development of different sustainability projects and offer precise assessment indicators. Their </w:t>
      </w:r>
      <w:r w:rsidRPr="009028F0">
        <w:rPr>
          <w:rFonts w:ascii="Arial" w:eastAsia="Times New Roman" w:hAnsi="Arial" w:cs="Arial"/>
          <w:kern w:val="0"/>
          <w:sz w:val="24"/>
          <w:szCs w:val="24"/>
          <w:lang w:eastAsia="en-GB"/>
          <w14:ligatures w14:val="none"/>
        </w:rPr>
        <w:t>initiative-taking</w:t>
      </w:r>
      <w:r w:rsidRPr="009028F0">
        <w:rPr>
          <w:rFonts w:ascii="Arial" w:eastAsia="Times New Roman" w:hAnsi="Arial" w:cs="Arial"/>
          <w:kern w:val="0"/>
          <w:sz w:val="24"/>
          <w:szCs w:val="24"/>
          <w:lang w:eastAsia="en-GB"/>
          <w14:ligatures w14:val="none"/>
        </w:rPr>
        <w:t xml:space="preserve"> approach to encouraging diversity and lowering carbon emissions, for example, harmonises HR procedures with their strategic goal of sustainability and responsible governance. The feedback tools used, like stakeholder surveys and sustainability reports, enable Accor to assess the results of its HR initiatives and make the required changes to guarantee ongoing development and alignment with strategic objectives</w:t>
      </w:r>
      <w:r w:rsidR="008B61C9" w:rsidRPr="009028F0">
        <w:rPr>
          <w:rFonts w:ascii="Arial" w:eastAsia="Times New Roman" w:hAnsi="Arial" w:cs="Arial"/>
          <w:kern w:val="0"/>
          <w:sz w:val="24"/>
          <w:szCs w:val="24"/>
          <w:lang w:eastAsia="en-GB"/>
          <w14:ligatures w14:val="none"/>
        </w:rPr>
        <w:t xml:space="preserve"> (Accor, n.d.). </w:t>
      </w:r>
    </w:p>
    <w:p w14:paraId="21CDCAB4" w14:textId="49712225" w:rsidR="00060D49" w:rsidRPr="009028F0" w:rsidRDefault="00060D49" w:rsidP="009028F0">
      <w:pPr>
        <w:spacing w:after="0" w:line="360" w:lineRule="auto"/>
        <w:jc w:val="both"/>
        <w:rPr>
          <w:rFonts w:ascii="Arial" w:eastAsia="Times New Roman" w:hAnsi="Arial" w:cs="Arial"/>
          <w:kern w:val="0"/>
          <w:sz w:val="24"/>
          <w:szCs w:val="24"/>
          <w:lang w:eastAsia="en-GB"/>
          <w14:ligatures w14:val="none"/>
        </w:rPr>
      </w:pPr>
      <w:r w:rsidRPr="00060D49">
        <w:rPr>
          <w:rFonts w:ascii="Arial" w:eastAsia="Times New Roman" w:hAnsi="Arial" w:cs="Arial"/>
          <w:kern w:val="0"/>
          <w:sz w:val="24"/>
          <w:szCs w:val="24"/>
          <w:lang w:eastAsia="en-GB"/>
          <w14:ligatures w14:val="none"/>
        </w:rPr>
        <w:t>Strategic human resource management depends critically on the recruiting and selection process to guarantee that the appropriate people are employed to achieve company objectives. The foundation of creating job descriptions and person requirements is usually job analysis, a methodical investigation of the duties, responsibilities, and abilities needed for a particular position</w:t>
      </w:r>
      <w:r w:rsidR="008B61C9" w:rsidRPr="009028F0">
        <w:rPr>
          <w:rFonts w:ascii="Arial" w:eastAsia="Times New Roman" w:hAnsi="Arial" w:cs="Arial"/>
          <w:kern w:val="0"/>
          <w:sz w:val="24"/>
          <w:szCs w:val="24"/>
          <w:lang w:eastAsia="en-GB"/>
          <w14:ligatures w14:val="none"/>
        </w:rPr>
        <w:t xml:space="preserve"> (Armstrong and Taylor, 2020). </w:t>
      </w:r>
      <w:r w:rsidRPr="00060D49">
        <w:rPr>
          <w:rFonts w:ascii="Arial" w:eastAsia="Times New Roman" w:hAnsi="Arial" w:cs="Arial"/>
          <w:kern w:val="0"/>
          <w:sz w:val="24"/>
          <w:szCs w:val="24"/>
          <w:lang w:eastAsia="en-GB"/>
          <w14:ligatures w14:val="none"/>
        </w:rPr>
        <w:t xml:space="preserve">Recruiting then requires finding applicants, which might differ </w:t>
      </w:r>
      <w:proofErr w:type="gramStart"/>
      <w:r w:rsidRPr="00060D49">
        <w:rPr>
          <w:rFonts w:ascii="Arial" w:eastAsia="Times New Roman" w:hAnsi="Arial" w:cs="Arial"/>
          <w:kern w:val="0"/>
          <w:sz w:val="24"/>
          <w:szCs w:val="24"/>
          <w:lang w:eastAsia="en-GB"/>
          <w14:ligatures w14:val="none"/>
        </w:rPr>
        <w:t>greatly in</w:t>
      </w:r>
      <w:proofErr w:type="gramEnd"/>
      <w:r w:rsidRPr="00060D49">
        <w:rPr>
          <w:rFonts w:ascii="Arial" w:eastAsia="Times New Roman" w:hAnsi="Arial" w:cs="Arial"/>
          <w:kern w:val="0"/>
          <w:sz w:val="24"/>
          <w:szCs w:val="24"/>
          <w:lang w:eastAsia="en-GB"/>
          <w14:ligatures w14:val="none"/>
        </w:rPr>
        <w:t xml:space="preserve"> various foreign markets. To recruit a varied talent pool, organisations frequently combine conventional media, professional networking sites like LinkedIn, and online job portals with job fair attendance and collaborations with educational institutions. </w:t>
      </w:r>
      <w:r w:rsidRPr="009028F0">
        <w:rPr>
          <w:rFonts w:ascii="Arial" w:eastAsia="Times New Roman" w:hAnsi="Arial" w:cs="Arial"/>
          <w:kern w:val="0"/>
          <w:sz w:val="24"/>
          <w:szCs w:val="24"/>
          <w:lang w:eastAsia="en-GB"/>
          <w14:ligatures w14:val="none"/>
        </w:rPr>
        <w:t xml:space="preserve"> </w:t>
      </w:r>
      <w:r w:rsidRPr="00060D49">
        <w:rPr>
          <w:rFonts w:ascii="Arial" w:eastAsia="Times New Roman" w:hAnsi="Arial" w:cs="Arial"/>
          <w:kern w:val="0"/>
          <w:sz w:val="24"/>
          <w:szCs w:val="24"/>
          <w:lang w:eastAsia="en-GB"/>
          <w14:ligatures w14:val="none"/>
        </w:rPr>
        <w:t>Once applications are received, the selection process</w:t>
      </w:r>
      <w:r w:rsidR="008B61C9" w:rsidRPr="009028F0">
        <w:rPr>
          <w:rFonts w:ascii="Arial" w:eastAsia="Times New Roman" w:hAnsi="Arial" w:cs="Arial"/>
          <w:kern w:val="0"/>
          <w:sz w:val="24"/>
          <w:szCs w:val="24"/>
          <w:lang w:eastAsia="en-GB"/>
          <w14:ligatures w14:val="none"/>
        </w:rPr>
        <w:t xml:space="preserve">, </w:t>
      </w:r>
      <w:r w:rsidRPr="00060D49">
        <w:rPr>
          <w:rFonts w:ascii="Arial" w:eastAsia="Times New Roman" w:hAnsi="Arial" w:cs="Arial"/>
          <w:kern w:val="0"/>
          <w:sz w:val="24"/>
          <w:szCs w:val="24"/>
          <w:lang w:eastAsia="en-GB"/>
          <w14:ligatures w14:val="none"/>
        </w:rPr>
        <w:t>which could involve first screening calls, in-depth interviews, and other kinds of testing (such as technical and psychometric tests)—begins to determine whether the applicants are a good fit for the position and company culture</w:t>
      </w:r>
      <w:r w:rsidR="008B61C9" w:rsidRPr="009028F0">
        <w:rPr>
          <w:rFonts w:ascii="Arial" w:eastAsia="Times New Roman" w:hAnsi="Arial" w:cs="Arial"/>
          <w:kern w:val="0"/>
          <w:sz w:val="24"/>
          <w:szCs w:val="24"/>
          <w:lang w:eastAsia="en-GB"/>
          <w14:ligatures w14:val="none"/>
        </w:rPr>
        <w:t xml:space="preserve"> (Murton, Inman, and O’Sullivan, 2010). </w:t>
      </w:r>
      <w:r w:rsidRPr="00060D49">
        <w:rPr>
          <w:rFonts w:ascii="Arial" w:eastAsia="Times New Roman" w:hAnsi="Arial" w:cs="Arial"/>
          <w:kern w:val="0"/>
          <w:sz w:val="24"/>
          <w:szCs w:val="24"/>
          <w:lang w:eastAsia="en-GB"/>
          <w14:ligatures w14:val="none"/>
        </w:rPr>
        <w:t>Panel discussions and competency-based interviews are two sophisticated methods that aid in evaluating the practical abilities and potential for long-term value to the organisation of the applicants. examination centres that replicate work responsibilities may also be utilised for positions requiring certain technical skills or leadership traits, offering a thorough examination of each candidate's ability. At each of these phases, strategic alignment is essential to make sure that the hiring and selection procedures not only cover the open positions but also complement more general corporate goals like innovation, market expansion, or digital revolution</w:t>
      </w:r>
      <w:r w:rsidR="008B61C9" w:rsidRPr="009028F0">
        <w:rPr>
          <w:rFonts w:ascii="Arial" w:eastAsia="Times New Roman" w:hAnsi="Arial" w:cs="Arial"/>
          <w:kern w:val="0"/>
          <w:sz w:val="24"/>
          <w:szCs w:val="24"/>
          <w:lang w:eastAsia="en-GB"/>
          <w14:ligatures w14:val="none"/>
        </w:rPr>
        <w:t xml:space="preserve"> </w:t>
      </w:r>
      <w:r w:rsidR="008B61C9" w:rsidRPr="009028F0">
        <w:rPr>
          <w:rFonts w:ascii="Arial" w:hAnsi="Arial" w:cs="Arial"/>
          <w:sz w:val="24"/>
          <w:szCs w:val="24"/>
          <w:shd w:val="clear" w:color="auto" w:fill="FFFFFF"/>
        </w:rPr>
        <w:t> (Swain, 2021)</w:t>
      </w:r>
      <w:r w:rsidR="008B61C9" w:rsidRPr="009028F0">
        <w:rPr>
          <w:rFonts w:ascii="Arial" w:hAnsi="Arial" w:cs="Arial"/>
          <w:sz w:val="24"/>
          <w:szCs w:val="24"/>
          <w:shd w:val="clear" w:color="auto" w:fill="FFFFFF"/>
        </w:rPr>
        <w:t xml:space="preserve">. </w:t>
      </w:r>
      <w:r w:rsidRPr="00060D49">
        <w:rPr>
          <w:rFonts w:ascii="Arial" w:eastAsia="Times New Roman" w:hAnsi="Arial" w:cs="Arial"/>
          <w:kern w:val="0"/>
          <w:sz w:val="24"/>
          <w:szCs w:val="24"/>
          <w:lang w:eastAsia="en-GB"/>
          <w14:ligatures w14:val="none"/>
        </w:rPr>
        <w:t xml:space="preserve"> In foreign markets where companies </w:t>
      </w:r>
      <w:proofErr w:type="gramStart"/>
      <w:r w:rsidRPr="00060D49">
        <w:rPr>
          <w:rFonts w:ascii="Arial" w:eastAsia="Times New Roman" w:hAnsi="Arial" w:cs="Arial"/>
          <w:kern w:val="0"/>
          <w:sz w:val="24"/>
          <w:szCs w:val="24"/>
          <w:lang w:eastAsia="en-GB"/>
          <w14:ligatures w14:val="none"/>
        </w:rPr>
        <w:t>have to</w:t>
      </w:r>
      <w:proofErr w:type="gramEnd"/>
      <w:r w:rsidRPr="00060D49">
        <w:rPr>
          <w:rFonts w:ascii="Arial" w:eastAsia="Times New Roman" w:hAnsi="Arial" w:cs="Arial"/>
          <w:kern w:val="0"/>
          <w:sz w:val="24"/>
          <w:szCs w:val="24"/>
          <w:lang w:eastAsia="en-GB"/>
          <w14:ligatures w14:val="none"/>
        </w:rPr>
        <w:t xml:space="preserve"> modify their procedures to local cultural norms, legal regulations, and labour market realities, this strategic alignment is especially crucial. Multinational corporations may, for example, localise some parts of their hiring procedure to comply with the employment practices and expectations of the local market while standardising others to preserve brand consistency</w:t>
      </w:r>
      <w:r w:rsidR="009A7C84" w:rsidRPr="009028F0">
        <w:rPr>
          <w:rFonts w:ascii="Arial" w:eastAsia="Times New Roman" w:hAnsi="Arial" w:cs="Arial"/>
          <w:kern w:val="0"/>
          <w:sz w:val="24"/>
          <w:szCs w:val="24"/>
          <w:lang w:eastAsia="en-GB"/>
          <w14:ligatures w14:val="none"/>
        </w:rPr>
        <w:t xml:space="preserve"> </w:t>
      </w:r>
      <w:r w:rsidR="009A7C84" w:rsidRPr="009028F0">
        <w:rPr>
          <w:rFonts w:ascii="Arial" w:hAnsi="Arial" w:cs="Arial"/>
          <w:sz w:val="24"/>
          <w:szCs w:val="24"/>
          <w:shd w:val="clear" w:color="auto" w:fill="FFFFFF"/>
        </w:rPr>
        <w:t>(Brewster et al., 2016)</w:t>
      </w:r>
      <w:r w:rsidR="009A7C84" w:rsidRPr="009028F0">
        <w:rPr>
          <w:rFonts w:ascii="Arial" w:hAnsi="Arial" w:cs="Arial"/>
          <w:sz w:val="24"/>
          <w:szCs w:val="24"/>
          <w:shd w:val="clear" w:color="auto" w:fill="FFFFFF"/>
        </w:rPr>
        <w:t>.</w:t>
      </w:r>
      <w:r w:rsidRPr="00060D49">
        <w:rPr>
          <w:rFonts w:ascii="Arial" w:eastAsia="Times New Roman" w:hAnsi="Arial" w:cs="Arial"/>
          <w:kern w:val="0"/>
          <w:sz w:val="24"/>
          <w:szCs w:val="24"/>
          <w:lang w:eastAsia="en-GB"/>
          <w14:ligatures w14:val="none"/>
        </w:rPr>
        <w:t xml:space="preserve"> For the Accor Group, diversity and sustainability are key factors in the hiring and selection process, which supports their strategic goals of social responsibility and international inclusion. Considering their worldwide presence in hospitality, their strategy entails incorporating local market knowledge and honouring cultural diversity, which are essential in their field. According to their sustainability strategy materials, Accor seeks and chooses applicants who are not only qualified but also share their dedication to making a good social effect and minimising their environmental impact</w:t>
      </w:r>
      <w:r w:rsidR="009A7C84" w:rsidRPr="009028F0">
        <w:rPr>
          <w:rFonts w:ascii="Arial" w:eastAsia="Times New Roman" w:hAnsi="Arial" w:cs="Arial"/>
          <w:kern w:val="0"/>
          <w:sz w:val="24"/>
          <w:szCs w:val="24"/>
          <w:lang w:eastAsia="en-GB"/>
          <w14:ligatures w14:val="none"/>
        </w:rPr>
        <w:t xml:space="preserve"> (Accor Group, n.d.). </w:t>
      </w:r>
    </w:p>
    <w:p w14:paraId="3CA3C1F6" w14:textId="77777777" w:rsidR="00060D49" w:rsidRPr="009028F0" w:rsidRDefault="00060D49" w:rsidP="009028F0">
      <w:pPr>
        <w:spacing w:after="0" w:line="360" w:lineRule="auto"/>
        <w:jc w:val="both"/>
        <w:rPr>
          <w:rFonts w:ascii="Arial" w:eastAsia="Times New Roman" w:hAnsi="Arial" w:cs="Arial"/>
          <w:kern w:val="0"/>
          <w:sz w:val="24"/>
          <w:szCs w:val="24"/>
          <w:lang w:eastAsia="en-GB"/>
          <w14:ligatures w14:val="none"/>
        </w:rPr>
      </w:pPr>
    </w:p>
    <w:p w14:paraId="76F86DD1" w14:textId="7AFD7C85" w:rsidR="005100B0" w:rsidRPr="009028F0" w:rsidRDefault="00060D49" w:rsidP="009028F0">
      <w:pPr>
        <w:spacing w:line="360" w:lineRule="auto"/>
        <w:jc w:val="both"/>
        <w:rPr>
          <w:rFonts w:ascii="Arial" w:eastAsia="Times New Roman" w:hAnsi="Arial" w:cs="Arial"/>
          <w:kern w:val="0"/>
          <w:sz w:val="24"/>
          <w:szCs w:val="24"/>
          <w:lang w:eastAsia="en-GB"/>
          <w14:ligatures w14:val="none"/>
        </w:rPr>
      </w:pPr>
      <w:r w:rsidRPr="00060D49">
        <w:rPr>
          <w:rFonts w:ascii="Arial" w:eastAsia="Times New Roman" w:hAnsi="Arial" w:cs="Arial"/>
          <w:kern w:val="0"/>
          <w:sz w:val="24"/>
          <w:szCs w:val="24"/>
          <w:lang w:eastAsia="en-GB"/>
          <w14:ligatures w14:val="none"/>
        </w:rPr>
        <w:t>The Accor Group develops its business divisions and supports its worldwide strategy by efficiently using HR planning, recruiting, and selection procedures. As seen by its membership to the United Nations Global Compact and the adoption of an international Group recruitment Charter, Accor makes sure that its workforce management is in line with its larger organisational goals, which emphasise sustainability and diversity</w:t>
      </w:r>
      <w:r w:rsidR="009A7C84" w:rsidRPr="009028F0">
        <w:rPr>
          <w:rFonts w:ascii="Arial" w:eastAsia="Times New Roman" w:hAnsi="Arial" w:cs="Arial"/>
          <w:kern w:val="0"/>
          <w:sz w:val="24"/>
          <w:szCs w:val="24"/>
          <w:lang w:eastAsia="en-GB"/>
          <w14:ligatures w14:val="none"/>
        </w:rPr>
        <w:t xml:space="preserve"> </w:t>
      </w:r>
      <w:r w:rsidR="009A7C84" w:rsidRPr="009028F0">
        <w:rPr>
          <w:rFonts w:ascii="Arial" w:hAnsi="Arial" w:cs="Arial"/>
          <w:sz w:val="24"/>
          <w:szCs w:val="24"/>
          <w:shd w:val="clear" w:color="auto" w:fill="FFFFFF"/>
        </w:rPr>
        <w:t>(Accor, 2022)</w:t>
      </w:r>
      <w:r w:rsidR="009A7C84" w:rsidRPr="009028F0">
        <w:rPr>
          <w:rFonts w:ascii="Arial" w:hAnsi="Arial" w:cs="Arial"/>
          <w:sz w:val="24"/>
          <w:szCs w:val="24"/>
          <w:shd w:val="clear" w:color="auto" w:fill="FFFFFF"/>
        </w:rPr>
        <w:t>.</w:t>
      </w:r>
      <w:r w:rsidRPr="00060D49">
        <w:rPr>
          <w:rFonts w:ascii="Arial" w:eastAsia="Times New Roman" w:hAnsi="Arial" w:cs="Arial"/>
          <w:kern w:val="0"/>
          <w:sz w:val="24"/>
          <w:szCs w:val="24"/>
          <w:lang w:eastAsia="en-GB"/>
          <w14:ligatures w14:val="none"/>
        </w:rPr>
        <w:t xml:space="preserve"> This method creates an ethical standard for all activities, which is essential to preserving uniformity in a variety of foreign marketplaces. Accor uses both decentralised and centralised recruitment techniques depending on the requirements of the local market. Its recruitment strategy combines local market knowledge with international HR standards. With this hybrid strategy, Accor may maintain global best practices and operational performance while addressing local cultural and employment differences</w:t>
      </w:r>
      <w:r w:rsidR="009A7C84" w:rsidRPr="009028F0">
        <w:rPr>
          <w:rFonts w:ascii="Arial" w:eastAsia="Times New Roman" w:hAnsi="Arial" w:cs="Arial"/>
          <w:kern w:val="0"/>
          <w:sz w:val="24"/>
          <w:szCs w:val="24"/>
          <w:lang w:eastAsia="en-GB"/>
          <w14:ligatures w14:val="none"/>
        </w:rPr>
        <w:t xml:space="preserve"> (Accor, n.d.). </w:t>
      </w:r>
      <w:r w:rsidRPr="00060D49">
        <w:rPr>
          <w:rFonts w:ascii="Arial" w:eastAsia="Times New Roman" w:hAnsi="Arial" w:cs="Arial"/>
          <w:kern w:val="0"/>
          <w:sz w:val="24"/>
          <w:szCs w:val="24"/>
          <w:lang w:eastAsia="en-GB"/>
          <w14:ligatures w14:val="none"/>
        </w:rPr>
        <w:t xml:space="preserve">At Accor, applicants are chosen through stringent competence tests designed to find those who not only have the required abilities but also share the company's values of social responsibility and environmental sustainability. </w:t>
      </w:r>
      <w:r w:rsidR="005100B0" w:rsidRPr="009028F0">
        <w:rPr>
          <w:rFonts w:ascii="Arial" w:eastAsia="Times New Roman" w:hAnsi="Arial" w:cs="Arial"/>
          <w:kern w:val="0"/>
          <w:sz w:val="24"/>
          <w:szCs w:val="24"/>
          <w:lang w:eastAsia="en-GB"/>
          <w14:ligatures w14:val="none"/>
        </w:rPr>
        <w:t>It starts with advertising job openings and commercials on employment boards, the firm website, and social media. Applying online, candidates interested in these roles send their resumes and supporting documentation for evaluation</w:t>
      </w:r>
      <w:r w:rsidR="009A7C84" w:rsidRPr="009028F0">
        <w:rPr>
          <w:rFonts w:ascii="Arial" w:eastAsia="Times New Roman" w:hAnsi="Arial" w:cs="Arial"/>
          <w:kern w:val="0"/>
          <w:sz w:val="24"/>
          <w:szCs w:val="24"/>
          <w:lang w:eastAsia="en-GB"/>
          <w14:ligatures w14:val="none"/>
        </w:rPr>
        <w:t xml:space="preserve"> (Accor Group, 2024). </w:t>
      </w:r>
      <w:r w:rsidR="005100B0" w:rsidRPr="009028F0">
        <w:rPr>
          <w:rFonts w:ascii="Arial" w:eastAsia="Times New Roman" w:hAnsi="Arial" w:cs="Arial"/>
          <w:kern w:val="0"/>
          <w:sz w:val="24"/>
          <w:szCs w:val="24"/>
          <w:lang w:eastAsia="en-GB"/>
          <w14:ligatures w14:val="none"/>
        </w:rPr>
        <w:t xml:space="preserve">The HR staff next </w:t>
      </w:r>
      <w:proofErr w:type="gramStart"/>
      <w:r w:rsidR="005100B0" w:rsidRPr="009028F0">
        <w:rPr>
          <w:rFonts w:ascii="Arial" w:eastAsia="Times New Roman" w:hAnsi="Arial" w:cs="Arial"/>
          <w:kern w:val="0"/>
          <w:sz w:val="24"/>
          <w:szCs w:val="24"/>
          <w:lang w:eastAsia="en-GB"/>
          <w14:ligatures w14:val="none"/>
        </w:rPr>
        <w:t>performs</w:t>
      </w:r>
      <w:proofErr w:type="gramEnd"/>
      <w:r w:rsidR="005100B0" w:rsidRPr="009028F0">
        <w:rPr>
          <w:rFonts w:ascii="Arial" w:eastAsia="Times New Roman" w:hAnsi="Arial" w:cs="Arial"/>
          <w:kern w:val="0"/>
          <w:sz w:val="24"/>
          <w:szCs w:val="24"/>
          <w:lang w:eastAsia="en-GB"/>
          <w14:ligatures w14:val="none"/>
        </w:rPr>
        <w:t xml:space="preserve"> a rigorous screening and shortlisting procedure, assessing candidates according to their credentials, work history, and fit with the job specifications. Candidates that make the short list move on to the interview stage, when they are evaluated in person, over the phone, or via video on their motivation, cultural fit, and skill level. Depending on the position, applicants could be subjected to further exams including technical assessments or psychological testing</w:t>
      </w:r>
      <w:r w:rsidR="009028F0" w:rsidRPr="009028F0">
        <w:rPr>
          <w:rFonts w:ascii="Arial" w:eastAsia="Times New Roman" w:hAnsi="Arial" w:cs="Arial"/>
          <w:kern w:val="0"/>
          <w:sz w:val="24"/>
          <w:szCs w:val="24"/>
          <w:lang w:eastAsia="en-GB"/>
          <w14:ligatures w14:val="none"/>
        </w:rPr>
        <w:t xml:space="preserve"> (</w:t>
      </w:r>
      <w:proofErr w:type="spellStart"/>
      <w:r w:rsidR="009028F0" w:rsidRPr="009028F0">
        <w:rPr>
          <w:rFonts w:ascii="Arial" w:eastAsia="Times New Roman" w:hAnsi="Arial" w:cs="Arial"/>
          <w:kern w:val="0"/>
          <w:sz w:val="24"/>
          <w:szCs w:val="24"/>
          <w:lang w:eastAsia="en-GB"/>
          <w14:ligatures w14:val="none"/>
        </w:rPr>
        <w:t>Garavan</w:t>
      </w:r>
      <w:proofErr w:type="spellEnd"/>
      <w:r w:rsidR="009028F0" w:rsidRPr="009028F0">
        <w:rPr>
          <w:rFonts w:ascii="Arial" w:eastAsia="Times New Roman" w:hAnsi="Arial" w:cs="Arial"/>
          <w:kern w:val="0"/>
          <w:sz w:val="24"/>
          <w:szCs w:val="24"/>
          <w:lang w:eastAsia="en-GB"/>
          <w14:ligatures w14:val="none"/>
        </w:rPr>
        <w:t xml:space="preserve"> et al., 2021). </w:t>
      </w:r>
      <w:r w:rsidR="005100B0" w:rsidRPr="009028F0">
        <w:rPr>
          <w:rFonts w:ascii="Arial" w:eastAsia="Times New Roman" w:hAnsi="Arial" w:cs="Arial"/>
          <w:kern w:val="0"/>
          <w:sz w:val="24"/>
          <w:szCs w:val="24"/>
          <w:lang w:eastAsia="en-GB"/>
          <w14:ligatures w14:val="none"/>
        </w:rPr>
        <w:t xml:space="preserve"> Accor follows the ethical and procedural standards set out in its global Group Recruitment Charter and gives equity and inclusion </w:t>
      </w:r>
      <w:proofErr w:type="gramStart"/>
      <w:r w:rsidR="005100B0" w:rsidRPr="009028F0">
        <w:rPr>
          <w:rFonts w:ascii="Arial" w:eastAsia="Times New Roman" w:hAnsi="Arial" w:cs="Arial"/>
          <w:kern w:val="0"/>
          <w:sz w:val="24"/>
          <w:szCs w:val="24"/>
          <w:lang w:eastAsia="en-GB"/>
          <w14:ligatures w14:val="none"/>
        </w:rPr>
        <w:t>first priority</w:t>
      </w:r>
      <w:proofErr w:type="gramEnd"/>
      <w:r w:rsidR="005100B0" w:rsidRPr="009028F0">
        <w:rPr>
          <w:rFonts w:ascii="Arial" w:eastAsia="Times New Roman" w:hAnsi="Arial" w:cs="Arial"/>
          <w:kern w:val="0"/>
          <w:sz w:val="24"/>
          <w:szCs w:val="24"/>
          <w:lang w:eastAsia="en-GB"/>
          <w14:ligatures w14:val="none"/>
        </w:rPr>
        <w:t xml:space="preserve"> throughout the process. By working with educational institutions all around the world, the corporation also promotes talent acquisition by providing internship and student programmes to attract new hires. Candidates that are selected are extended full job offers, which start an onboarding process that includes paperwork, orientation, and teamwork and integration into the company</w:t>
      </w:r>
      <w:r w:rsidR="009028F0" w:rsidRPr="009028F0">
        <w:rPr>
          <w:rFonts w:ascii="Arial" w:eastAsia="Times New Roman" w:hAnsi="Arial" w:cs="Arial"/>
          <w:kern w:val="0"/>
          <w:sz w:val="24"/>
          <w:szCs w:val="24"/>
          <w:lang w:eastAsia="en-GB"/>
          <w14:ligatures w14:val="none"/>
        </w:rPr>
        <w:t xml:space="preserve"> (Accor, n.d.). </w:t>
      </w:r>
    </w:p>
    <w:p w14:paraId="4A368418" w14:textId="3B2D4160" w:rsidR="005100B0" w:rsidRPr="009028F0" w:rsidRDefault="005100B0"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In addition, in</w:t>
      </w:r>
      <w:r w:rsidRPr="009028F0">
        <w:rPr>
          <w:rFonts w:ascii="Arial" w:eastAsia="Times New Roman" w:hAnsi="Arial" w:cs="Arial"/>
          <w:kern w:val="0"/>
          <w:sz w:val="24"/>
          <w:szCs w:val="24"/>
          <w:lang w:eastAsia="en-GB"/>
          <w14:ligatures w14:val="none"/>
        </w:rPr>
        <w:t xml:space="preserve"> recruiting and selection, the psychological contract is the unspoken expectations and beliefs of an employer and an employee about their respective responsibilities and contributions inside the work relationship. It includes elements that affect employee attitudes, actions, and job happiness and include things like justice, trust, and keeping commitments made throughout the hiring process</w:t>
      </w:r>
      <w:r w:rsidR="009028F0" w:rsidRPr="009028F0">
        <w:rPr>
          <w:rFonts w:ascii="Arial" w:eastAsia="Times New Roman" w:hAnsi="Arial" w:cs="Arial"/>
          <w:kern w:val="0"/>
          <w:sz w:val="24"/>
          <w:szCs w:val="24"/>
          <w:lang w:eastAsia="en-GB"/>
          <w14:ligatures w14:val="none"/>
        </w:rPr>
        <w:t xml:space="preserve"> (Lee, </w:t>
      </w:r>
      <w:proofErr w:type="spellStart"/>
      <w:r w:rsidR="009028F0" w:rsidRPr="009028F0">
        <w:rPr>
          <w:rFonts w:ascii="Arial" w:eastAsia="Times New Roman" w:hAnsi="Arial" w:cs="Arial"/>
          <w:kern w:val="0"/>
          <w:sz w:val="24"/>
          <w:szCs w:val="24"/>
          <w:lang w:eastAsia="en-GB"/>
          <w14:ligatures w14:val="none"/>
        </w:rPr>
        <w:t>Wuang</w:t>
      </w:r>
      <w:proofErr w:type="spellEnd"/>
      <w:r w:rsidR="009028F0" w:rsidRPr="009028F0">
        <w:rPr>
          <w:rFonts w:ascii="Arial" w:eastAsia="Times New Roman" w:hAnsi="Arial" w:cs="Arial"/>
          <w:kern w:val="0"/>
          <w:sz w:val="24"/>
          <w:szCs w:val="24"/>
          <w:lang w:eastAsia="en-GB"/>
          <w14:ligatures w14:val="none"/>
        </w:rPr>
        <w:t xml:space="preserve">, and Beatty, 2022). </w:t>
      </w:r>
      <w:r w:rsidRPr="009028F0">
        <w:rPr>
          <w:rFonts w:ascii="Arial" w:eastAsia="Times New Roman" w:hAnsi="Arial" w:cs="Arial"/>
          <w:kern w:val="0"/>
          <w:sz w:val="24"/>
          <w:szCs w:val="24"/>
          <w:lang w:eastAsia="en-GB"/>
          <w14:ligatures w14:val="none"/>
        </w:rPr>
        <w:t xml:space="preserve"> Within the Accor Group, the psychological contract is essential to guaranteeing the effective hiring and keeping of talent. Through promoting an enjoyable and open hiring process, Accor gives prospective employees confidence and trust, matching their expectations with the principles and culture of the company. By means of transparent explanation of employment duties, obligations, and chances for professional growth, Accor lays the groundwork for a solid psychological contract right away. By stressing justice and equal chances for all applicants, Accor's dedication to diversity and inclusion further strengthens the psychological contract</w:t>
      </w:r>
      <w:r w:rsidR="009028F0" w:rsidRPr="009028F0">
        <w:rPr>
          <w:rFonts w:ascii="Arial" w:eastAsia="Times New Roman" w:hAnsi="Arial" w:cs="Arial"/>
          <w:kern w:val="0"/>
          <w:sz w:val="24"/>
          <w:szCs w:val="24"/>
          <w:lang w:eastAsia="en-GB"/>
          <w14:ligatures w14:val="none"/>
        </w:rPr>
        <w:t xml:space="preserve"> (Accor Group, n.d.). </w:t>
      </w:r>
      <w:r w:rsidRPr="009028F0">
        <w:rPr>
          <w:rFonts w:ascii="Arial" w:eastAsia="Times New Roman" w:hAnsi="Arial" w:cs="Arial"/>
          <w:kern w:val="0"/>
          <w:sz w:val="24"/>
          <w:szCs w:val="24"/>
          <w:lang w:eastAsia="en-GB"/>
          <w14:ligatures w14:val="none"/>
        </w:rPr>
        <w:t xml:space="preserve"> Through valuing variety and encouraging an inclusive work environment, Accor builds employee loyalty and trust, therefore fortifying the psychological contract and encouraging sustained involvement and dedication. Accor's focus on employee growth and well-being through training and development programmes also serves to strengthen the psychological contract by proving the company's commitment to the professional and personal development of its staff</w:t>
      </w:r>
      <w:r w:rsidR="009028F0" w:rsidRPr="009028F0">
        <w:rPr>
          <w:rFonts w:ascii="Arial" w:eastAsia="Times New Roman" w:hAnsi="Arial" w:cs="Arial"/>
          <w:kern w:val="0"/>
          <w:sz w:val="24"/>
          <w:szCs w:val="24"/>
          <w:lang w:eastAsia="en-GB"/>
          <w14:ligatures w14:val="none"/>
        </w:rPr>
        <w:t xml:space="preserve"> (Accor, n.d.).</w:t>
      </w:r>
      <w:r w:rsidRPr="009028F0">
        <w:rPr>
          <w:rFonts w:ascii="Arial" w:eastAsia="Times New Roman" w:hAnsi="Arial" w:cs="Arial"/>
          <w:kern w:val="0"/>
          <w:sz w:val="24"/>
          <w:szCs w:val="24"/>
          <w:lang w:eastAsia="en-GB"/>
          <w14:ligatures w14:val="none"/>
        </w:rPr>
        <w:t xml:space="preserve"> </w:t>
      </w:r>
      <w:proofErr w:type="gramStart"/>
      <w:r w:rsidRPr="009028F0">
        <w:rPr>
          <w:rFonts w:ascii="Arial" w:eastAsia="Times New Roman" w:hAnsi="Arial" w:cs="Arial"/>
          <w:kern w:val="0"/>
          <w:sz w:val="24"/>
          <w:szCs w:val="24"/>
          <w:lang w:eastAsia="en-GB"/>
          <w14:ligatures w14:val="none"/>
        </w:rPr>
        <w:t>All things considered</w:t>
      </w:r>
      <w:proofErr w:type="gramEnd"/>
      <w:r w:rsidRPr="009028F0">
        <w:rPr>
          <w:rFonts w:ascii="Arial" w:eastAsia="Times New Roman" w:hAnsi="Arial" w:cs="Arial"/>
          <w:kern w:val="0"/>
          <w:sz w:val="24"/>
          <w:szCs w:val="24"/>
          <w:lang w:eastAsia="en-GB"/>
          <w14:ligatures w14:val="none"/>
        </w:rPr>
        <w:t>, Accor's strategic approach to hiring and selection includes the psychological contract as a cornerstone to guarantee a happy and mutually advantageous working relationship for both the company and its staff.</w:t>
      </w:r>
    </w:p>
    <w:p w14:paraId="6D255500" w14:textId="135665D2" w:rsidR="005100B0" w:rsidRPr="009028F0" w:rsidRDefault="005100B0" w:rsidP="009028F0">
      <w:pPr>
        <w:spacing w:after="0"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To conclude</w:t>
      </w:r>
      <w:r w:rsidRPr="005100B0">
        <w:rPr>
          <w:rFonts w:ascii="Arial" w:eastAsia="Times New Roman" w:hAnsi="Arial" w:cs="Arial"/>
          <w:kern w:val="0"/>
          <w:sz w:val="24"/>
          <w:szCs w:val="24"/>
          <w:lang w:eastAsia="en-GB"/>
          <w14:ligatures w14:val="none"/>
        </w:rPr>
        <w:t xml:space="preserve">, the strategic human resource management strategies of Accor Group place a strong psychological contract, diversity, inclusion, and alignment with organisational goals. Through adherence to moral values and global norms, including the Group Recruitment Charter, Accor guarantees fairness and openness in the hiring procedures. Furthermore, it shows a dedication to sustainability and responsible governance by including governance, social, and environmental elements into HR planning. Accor recruits and selects people </w:t>
      </w:r>
      <w:proofErr w:type="gramStart"/>
      <w:r w:rsidRPr="005100B0">
        <w:rPr>
          <w:rFonts w:ascii="Arial" w:eastAsia="Times New Roman" w:hAnsi="Arial" w:cs="Arial"/>
          <w:kern w:val="0"/>
          <w:sz w:val="24"/>
          <w:szCs w:val="24"/>
          <w:lang w:eastAsia="en-GB"/>
          <w14:ligatures w14:val="none"/>
        </w:rPr>
        <w:t>based in large part on</w:t>
      </w:r>
      <w:proofErr w:type="gramEnd"/>
      <w:r w:rsidRPr="005100B0">
        <w:rPr>
          <w:rFonts w:ascii="Arial" w:eastAsia="Times New Roman" w:hAnsi="Arial" w:cs="Arial"/>
          <w:kern w:val="0"/>
          <w:sz w:val="24"/>
          <w:szCs w:val="24"/>
          <w:lang w:eastAsia="en-GB"/>
          <w14:ligatures w14:val="none"/>
        </w:rPr>
        <w:t xml:space="preserve"> the psychological contract, which promotes reciprocal commitment, fairness, and trust between the company and its workers. By means of these calculated HRM projects, Accor hopes to promote employee happiness, involvement, and eventually success of the company.</w:t>
      </w:r>
    </w:p>
    <w:p w14:paraId="5BFB117E" w14:textId="77777777" w:rsidR="005100B0" w:rsidRPr="009028F0" w:rsidRDefault="005100B0" w:rsidP="009028F0">
      <w:pPr>
        <w:spacing w:after="0" w:line="360" w:lineRule="auto"/>
        <w:jc w:val="both"/>
        <w:rPr>
          <w:rFonts w:ascii="Arial" w:eastAsia="Times New Roman" w:hAnsi="Arial" w:cs="Arial"/>
          <w:kern w:val="0"/>
          <w:sz w:val="24"/>
          <w:szCs w:val="24"/>
          <w:lang w:eastAsia="en-GB"/>
          <w14:ligatures w14:val="none"/>
        </w:rPr>
      </w:pPr>
    </w:p>
    <w:p w14:paraId="7133FD03"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70DBE6B4"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7418065D"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4F47B586"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14B26EFB"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0564477D"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5BDB393B"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2D786ECE"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236B138F"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14EEAAB4"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581E68A0"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2B804DE7"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5B21A41F" w14:textId="77777777" w:rsidR="005100B0" w:rsidRDefault="005100B0" w:rsidP="005100B0">
      <w:pPr>
        <w:spacing w:after="0" w:line="360" w:lineRule="auto"/>
        <w:jc w:val="both"/>
        <w:rPr>
          <w:rFonts w:ascii="Arial" w:eastAsia="Times New Roman" w:hAnsi="Arial" w:cs="Arial"/>
          <w:kern w:val="0"/>
          <w:sz w:val="24"/>
          <w:szCs w:val="24"/>
          <w:lang w:eastAsia="en-GB"/>
          <w14:ligatures w14:val="none"/>
        </w:rPr>
      </w:pPr>
    </w:p>
    <w:p w14:paraId="442F16F1" w14:textId="69FEDD89" w:rsidR="005100B0" w:rsidRPr="005100B0" w:rsidRDefault="005100B0" w:rsidP="009028F0">
      <w:pPr>
        <w:spacing w:after="0" w:line="360" w:lineRule="auto"/>
        <w:jc w:val="both"/>
        <w:rPr>
          <w:rFonts w:ascii="Arial" w:eastAsia="Times New Roman" w:hAnsi="Arial" w:cs="Arial"/>
          <w:b/>
          <w:bCs/>
          <w:kern w:val="0"/>
          <w:sz w:val="24"/>
          <w:szCs w:val="24"/>
          <w:lang w:eastAsia="en-GB"/>
          <w14:ligatures w14:val="none"/>
        </w:rPr>
      </w:pPr>
      <w:r w:rsidRPr="009028F0">
        <w:rPr>
          <w:rFonts w:ascii="Arial" w:eastAsia="Times New Roman" w:hAnsi="Arial" w:cs="Arial"/>
          <w:b/>
          <w:bCs/>
          <w:kern w:val="0"/>
          <w:sz w:val="24"/>
          <w:szCs w:val="24"/>
          <w:lang w:eastAsia="en-GB"/>
          <w14:ligatures w14:val="none"/>
        </w:rPr>
        <w:t xml:space="preserve">References </w:t>
      </w:r>
    </w:p>
    <w:p w14:paraId="0581B8B9" w14:textId="77777777" w:rsidR="005100B0" w:rsidRPr="009028F0" w:rsidRDefault="005100B0" w:rsidP="009028F0">
      <w:pPr>
        <w:spacing w:line="360" w:lineRule="auto"/>
        <w:jc w:val="both"/>
        <w:rPr>
          <w:rFonts w:ascii="Arial" w:eastAsia="Times New Roman" w:hAnsi="Arial" w:cs="Arial"/>
          <w:kern w:val="0"/>
          <w:sz w:val="24"/>
          <w:szCs w:val="24"/>
          <w:lang w:eastAsia="en-GB"/>
          <w14:ligatures w14:val="none"/>
        </w:rPr>
      </w:pPr>
    </w:p>
    <w:p w14:paraId="35E6D8B6" w14:textId="6526C28A" w:rsidR="009A7C84" w:rsidRPr="009028F0" w:rsidRDefault="009A7C84"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 xml:space="preserve">Accor (n.d.). </w:t>
      </w:r>
      <w:r w:rsidRPr="009028F0">
        <w:rPr>
          <w:rFonts w:ascii="Arial" w:eastAsia="Times New Roman" w:hAnsi="Arial" w:cs="Arial"/>
          <w:kern w:val="0"/>
          <w:sz w:val="24"/>
          <w:szCs w:val="24"/>
          <w:lang w:eastAsia="en-GB"/>
          <w14:ligatures w14:val="none"/>
        </w:rPr>
        <w:t>Ethics and Corporate Social Responsibility Charter</w:t>
      </w:r>
      <w:r w:rsidRPr="009028F0">
        <w:rPr>
          <w:rFonts w:ascii="Arial" w:eastAsia="Times New Roman" w:hAnsi="Arial" w:cs="Arial"/>
          <w:kern w:val="0"/>
          <w:sz w:val="24"/>
          <w:szCs w:val="24"/>
          <w:lang w:eastAsia="en-GB"/>
          <w14:ligatures w14:val="none"/>
        </w:rPr>
        <w:t xml:space="preserve"> Available at:</w:t>
      </w:r>
      <w:r w:rsidRPr="009028F0">
        <w:rPr>
          <w:rFonts w:ascii="Arial" w:hAnsi="Arial" w:cs="Arial"/>
          <w:sz w:val="24"/>
          <w:szCs w:val="24"/>
        </w:rPr>
        <w:t xml:space="preserve"> </w:t>
      </w:r>
      <w:hyperlink r:id="rId7" w:history="1">
        <w:r w:rsidRPr="009028F0">
          <w:rPr>
            <w:rStyle w:val="Hyperlink"/>
            <w:rFonts w:ascii="Arial" w:eastAsia="Times New Roman" w:hAnsi="Arial" w:cs="Arial"/>
            <w:kern w:val="0"/>
            <w:sz w:val="24"/>
            <w:szCs w:val="24"/>
            <w:lang w:eastAsia="en-GB"/>
            <w14:ligatures w14:val="none"/>
          </w:rPr>
          <w:t>https://hera.accor.com/static/media/ACCOR_Ethics_and_Corporate_Social_Responsibility_Charter_20_ENG.f98ff6ec.pdf</w:t>
        </w:r>
      </w:hyperlink>
    </w:p>
    <w:p w14:paraId="138D4B9A" w14:textId="06A3E64C" w:rsidR="009028F0" w:rsidRPr="009028F0" w:rsidRDefault="009028F0"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 xml:space="preserve">Accor (n.d.). Our commitment-Careers. Available at: </w:t>
      </w:r>
      <w:hyperlink r:id="rId8" w:history="1">
        <w:r w:rsidRPr="009028F0">
          <w:rPr>
            <w:rStyle w:val="Hyperlink"/>
            <w:rFonts w:ascii="Arial" w:eastAsia="Times New Roman" w:hAnsi="Arial" w:cs="Arial"/>
            <w:kern w:val="0"/>
            <w:sz w:val="24"/>
            <w:szCs w:val="24"/>
            <w:lang w:eastAsia="en-GB"/>
            <w14:ligatures w14:val="none"/>
          </w:rPr>
          <w:t>https://group.accor.com/en/careers/our-culture-of-inclusion/our-commitment</w:t>
        </w:r>
      </w:hyperlink>
    </w:p>
    <w:p w14:paraId="05CAD2A6" w14:textId="6516C740" w:rsidR="008B61C9" w:rsidRPr="009028F0" w:rsidRDefault="008B61C9"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 xml:space="preserve">Accor (n.d.). Tools and Reporting. Available at: </w:t>
      </w:r>
      <w:hyperlink r:id="rId9" w:history="1">
        <w:r w:rsidRPr="009028F0">
          <w:rPr>
            <w:rStyle w:val="Hyperlink"/>
            <w:rFonts w:ascii="Arial" w:eastAsia="Times New Roman" w:hAnsi="Arial" w:cs="Arial"/>
            <w:kern w:val="0"/>
            <w:sz w:val="24"/>
            <w:szCs w:val="24"/>
            <w:lang w:eastAsia="en-GB"/>
            <w14:ligatures w14:val="none"/>
          </w:rPr>
          <w:t>https://group.accor.com/en/commitment/approach/tools-reporting</w:t>
        </w:r>
      </w:hyperlink>
    </w:p>
    <w:p w14:paraId="353A5CBB" w14:textId="7163CA83" w:rsidR="009A7C84" w:rsidRPr="009028F0" w:rsidRDefault="009A7C84"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Accor (2022). </w:t>
      </w:r>
      <w:r w:rsidRPr="009028F0">
        <w:rPr>
          <w:rFonts w:ascii="Arial" w:hAnsi="Arial" w:cs="Arial"/>
          <w:i/>
          <w:iCs/>
          <w:color w:val="000000"/>
        </w:rPr>
        <w:t>The History of Accor</w:t>
      </w:r>
      <w:r w:rsidRPr="009028F0">
        <w:rPr>
          <w:rFonts w:ascii="Arial" w:hAnsi="Arial" w:cs="Arial"/>
          <w:color w:val="000000"/>
        </w:rPr>
        <w:t xml:space="preserve">. [online] Accor.com. Available at: </w:t>
      </w:r>
      <w:hyperlink r:id="rId10" w:history="1">
        <w:r w:rsidRPr="009028F0">
          <w:rPr>
            <w:rStyle w:val="Hyperlink"/>
            <w:rFonts w:ascii="Arial" w:hAnsi="Arial" w:cs="Arial"/>
          </w:rPr>
          <w:t>https://group.accor.com/en/group/who-we-are/our-history</w:t>
        </w:r>
      </w:hyperlink>
      <w:r w:rsidRPr="009028F0">
        <w:rPr>
          <w:rFonts w:ascii="Arial" w:hAnsi="Arial" w:cs="Arial"/>
          <w:color w:val="000000"/>
        </w:rPr>
        <w:t>.</w:t>
      </w:r>
    </w:p>
    <w:p w14:paraId="4B6FDE36" w14:textId="77777777" w:rsidR="009A7C84" w:rsidRPr="009028F0" w:rsidRDefault="009A7C84" w:rsidP="009028F0">
      <w:pPr>
        <w:pStyle w:val="NormalWeb"/>
        <w:spacing w:before="0" w:beforeAutospacing="0" w:after="0" w:afterAutospacing="0" w:line="360" w:lineRule="auto"/>
        <w:jc w:val="both"/>
        <w:rPr>
          <w:rFonts w:ascii="Arial" w:hAnsi="Arial" w:cs="Arial"/>
          <w:color w:val="000000"/>
        </w:rPr>
      </w:pPr>
    </w:p>
    <w:p w14:paraId="295557AE" w14:textId="794FC0DA" w:rsidR="009A7C84" w:rsidRPr="009028F0" w:rsidRDefault="009A7C84"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 xml:space="preserve">Accor Group (n.d.). Career Growth Opportunities. Available at: </w:t>
      </w:r>
      <w:r w:rsidRPr="009028F0">
        <w:rPr>
          <w:rFonts w:ascii="Arial" w:hAnsi="Arial" w:cs="Arial"/>
          <w:color w:val="000000"/>
        </w:rPr>
        <w:t>https://group.accor.com/en/careers/join-accor/career-growth-opportunities</w:t>
      </w:r>
    </w:p>
    <w:p w14:paraId="7E016343" w14:textId="77777777" w:rsidR="009A7C84" w:rsidRPr="009028F0" w:rsidRDefault="009A7C84" w:rsidP="009028F0">
      <w:pPr>
        <w:spacing w:line="360" w:lineRule="auto"/>
        <w:jc w:val="both"/>
        <w:rPr>
          <w:rFonts w:ascii="Arial" w:eastAsia="Times New Roman" w:hAnsi="Arial" w:cs="Arial"/>
          <w:kern w:val="0"/>
          <w:sz w:val="24"/>
          <w:szCs w:val="24"/>
          <w:lang w:eastAsia="en-GB"/>
          <w14:ligatures w14:val="none"/>
        </w:rPr>
      </w:pPr>
    </w:p>
    <w:p w14:paraId="39B7BE92" w14:textId="31B814C4" w:rsidR="009A7C84" w:rsidRPr="009028F0" w:rsidRDefault="009A7C84"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 xml:space="preserve">Accor Group (n.d.). Diversity and Inclusion Commitment. Available at: </w:t>
      </w:r>
      <w:r w:rsidRPr="009028F0">
        <w:rPr>
          <w:rFonts w:ascii="Arial" w:eastAsia="Times New Roman" w:hAnsi="Arial" w:cs="Arial"/>
          <w:kern w:val="0"/>
          <w:sz w:val="24"/>
          <w:szCs w:val="24"/>
          <w:lang w:eastAsia="en-GB"/>
          <w14:ligatures w14:val="none"/>
        </w:rPr>
        <w:t>https://group.accor.com/-/media/Corporate/Talent/PDF-for-pages/DIVERSITE-ET-INCLUSION/Engagement-diversite-2019-EN.pdf</w:t>
      </w:r>
    </w:p>
    <w:p w14:paraId="54ECA4DF" w14:textId="25569625" w:rsidR="008B61C9" w:rsidRPr="009028F0" w:rsidRDefault="008B61C9" w:rsidP="009028F0">
      <w:pPr>
        <w:spacing w:line="360" w:lineRule="auto"/>
        <w:jc w:val="both"/>
        <w:rPr>
          <w:rFonts w:ascii="Arial" w:eastAsia="Times New Roman" w:hAnsi="Arial" w:cs="Arial"/>
          <w:kern w:val="0"/>
          <w:sz w:val="24"/>
          <w:szCs w:val="24"/>
          <w:lang w:eastAsia="en-GB"/>
          <w14:ligatures w14:val="none"/>
        </w:rPr>
      </w:pPr>
      <w:r w:rsidRPr="009028F0">
        <w:rPr>
          <w:rFonts w:ascii="Arial" w:eastAsia="Times New Roman" w:hAnsi="Arial" w:cs="Arial"/>
          <w:kern w:val="0"/>
          <w:sz w:val="24"/>
          <w:szCs w:val="24"/>
          <w:lang w:eastAsia="en-GB"/>
          <w14:ligatures w14:val="none"/>
        </w:rPr>
        <w:t xml:space="preserve">Accor Group (n.d.). Sustainability Strategy. Available at: </w:t>
      </w:r>
      <w:r w:rsidRPr="009028F0">
        <w:rPr>
          <w:rFonts w:ascii="Arial" w:eastAsia="Times New Roman" w:hAnsi="Arial" w:cs="Arial"/>
          <w:kern w:val="0"/>
          <w:sz w:val="24"/>
          <w:szCs w:val="24"/>
          <w:lang w:eastAsia="en-GB"/>
          <w14:ligatures w14:val="none"/>
        </w:rPr>
        <w:t>https://group.accor.com/en/commitment/approach/sustainability-strategy</w:t>
      </w:r>
    </w:p>
    <w:p w14:paraId="55D88B4C" w14:textId="49B31B11" w:rsidR="005100B0" w:rsidRPr="009028F0" w:rsidRDefault="005100B0" w:rsidP="009028F0">
      <w:pPr>
        <w:spacing w:after="0" w:line="360" w:lineRule="auto"/>
        <w:jc w:val="both"/>
        <w:rPr>
          <w:rFonts w:ascii="Arial" w:hAnsi="Arial" w:cs="Arial"/>
          <w:sz w:val="24"/>
          <w:szCs w:val="24"/>
        </w:rPr>
      </w:pPr>
      <w:r w:rsidRPr="009028F0">
        <w:rPr>
          <w:rFonts w:ascii="Arial" w:hAnsi="Arial" w:cs="Arial"/>
          <w:sz w:val="24"/>
          <w:szCs w:val="24"/>
        </w:rPr>
        <w:t>Armstrong, M. and Taylor, S. (2020) Armstrong’s handbook of human resource management practice. 15th edition. London, United Kingdom</w:t>
      </w:r>
      <w:r w:rsidRPr="009028F0">
        <w:rPr>
          <w:rFonts w:ascii="Arial" w:hAnsi="Arial" w:cs="Arial"/>
          <w:sz w:val="24"/>
          <w:szCs w:val="24"/>
        </w:rPr>
        <w:t>.</w:t>
      </w:r>
      <w:r w:rsidRPr="009028F0">
        <w:rPr>
          <w:rFonts w:ascii="Arial" w:hAnsi="Arial" w:cs="Arial"/>
          <w:sz w:val="24"/>
          <w:szCs w:val="24"/>
        </w:rPr>
        <w:t xml:space="preserve"> </w:t>
      </w:r>
      <w:proofErr w:type="spellStart"/>
      <w:r w:rsidRPr="009028F0">
        <w:rPr>
          <w:rFonts w:ascii="Arial" w:hAnsi="Arial" w:cs="Arial"/>
          <w:sz w:val="24"/>
          <w:szCs w:val="24"/>
        </w:rPr>
        <w:t>KoganPage</w:t>
      </w:r>
      <w:proofErr w:type="spellEnd"/>
    </w:p>
    <w:p w14:paraId="236B6CD9" w14:textId="77777777" w:rsidR="00E6463E" w:rsidRPr="009028F0" w:rsidRDefault="00E6463E" w:rsidP="009028F0">
      <w:pPr>
        <w:spacing w:after="0" w:line="360" w:lineRule="auto"/>
        <w:jc w:val="both"/>
        <w:rPr>
          <w:rFonts w:ascii="Arial" w:hAnsi="Arial" w:cs="Arial"/>
          <w:sz w:val="24"/>
          <w:szCs w:val="24"/>
        </w:rPr>
      </w:pPr>
    </w:p>
    <w:p w14:paraId="6487B9BF" w14:textId="78F84DC5" w:rsidR="00E6463E" w:rsidRPr="009028F0" w:rsidRDefault="00E6463E"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Barney, J.B. and Mackey, A. (2016). Text and metatext in the resource-based view. </w:t>
      </w:r>
      <w:r w:rsidRPr="009028F0">
        <w:rPr>
          <w:rFonts w:ascii="Arial" w:hAnsi="Arial" w:cs="Arial"/>
          <w:i/>
          <w:iCs/>
          <w:color w:val="000000"/>
        </w:rPr>
        <w:t>Human Resource Management Journal</w:t>
      </w:r>
      <w:r w:rsidRPr="009028F0">
        <w:rPr>
          <w:rFonts w:ascii="Arial" w:hAnsi="Arial" w:cs="Arial"/>
          <w:color w:val="000000"/>
        </w:rPr>
        <w:t>, 26(4), pp.369–378.</w:t>
      </w:r>
    </w:p>
    <w:p w14:paraId="5B4B8A67" w14:textId="77777777" w:rsidR="005100B0" w:rsidRPr="009028F0" w:rsidRDefault="005100B0" w:rsidP="009028F0">
      <w:pPr>
        <w:spacing w:after="0" w:line="360" w:lineRule="auto"/>
        <w:jc w:val="both"/>
        <w:rPr>
          <w:rFonts w:ascii="Arial" w:hAnsi="Arial" w:cs="Arial"/>
          <w:sz w:val="24"/>
          <w:szCs w:val="24"/>
        </w:rPr>
      </w:pPr>
    </w:p>
    <w:p w14:paraId="1738E3D7" w14:textId="77777777" w:rsidR="005100B0" w:rsidRPr="009028F0" w:rsidRDefault="005100B0"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Boxall, P. (2014). The future of employment relations from the perspective of human resource management. </w:t>
      </w:r>
      <w:r w:rsidRPr="009028F0">
        <w:rPr>
          <w:rFonts w:ascii="Arial" w:hAnsi="Arial" w:cs="Arial"/>
          <w:i/>
          <w:iCs/>
          <w:color w:val="000000"/>
        </w:rPr>
        <w:t>Journal of Industrial Relations</w:t>
      </w:r>
      <w:r w:rsidRPr="009028F0">
        <w:rPr>
          <w:rFonts w:ascii="Arial" w:hAnsi="Arial" w:cs="Arial"/>
          <w:color w:val="000000"/>
        </w:rPr>
        <w:t xml:space="preserve">, 56(4), pp.578–593. </w:t>
      </w:r>
      <w:proofErr w:type="spellStart"/>
      <w:r w:rsidRPr="009028F0">
        <w:rPr>
          <w:rFonts w:ascii="Arial" w:hAnsi="Arial" w:cs="Arial"/>
          <w:color w:val="000000"/>
        </w:rPr>
        <w:t>doi:https</w:t>
      </w:r>
      <w:proofErr w:type="spellEnd"/>
      <w:r w:rsidRPr="009028F0">
        <w:rPr>
          <w:rFonts w:ascii="Arial" w:hAnsi="Arial" w:cs="Arial"/>
          <w:color w:val="000000"/>
        </w:rPr>
        <w:t>://doi.org/10.1177/0022185614527980.</w:t>
      </w:r>
    </w:p>
    <w:p w14:paraId="1CF14B00" w14:textId="77777777" w:rsidR="009A7C84" w:rsidRPr="009028F0" w:rsidRDefault="009A7C84" w:rsidP="009028F0">
      <w:pPr>
        <w:pStyle w:val="NormalWeb"/>
        <w:spacing w:before="0" w:beforeAutospacing="0" w:after="0" w:afterAutospacing="0" w:line="360" w:lineRule="auto"/>
        <w:jc w:val="both"/>
        <w:rPr>
          <w:rFonts w:ascii="Arial" w:hAnsi="Arial" w:cs="Arial"/>
          <w:color w:val="000000"/>
        </w:rPr>
      </w:pPr>
    </w:p>
    <w:p w14:paraId="27DB590F" w14:textId="4DB46C95" w:rsidR="009A7C84" w:rsidRPr="009028F0" w:rsidRDefault="009A7C84"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Brewster, C., Houldsworth, E., Sparrow, P. and Vernon, G. (2016). </w:t>
      </w:r>
      <w:r w:rsidRPr="009028F0">
        <w:rPr>
          <w:rFonts w:ascii="Arial" w:hAnsi="Arial" w:cs="Arial"/>
          <w:i/>
          <w:iCs/>
          <w:color w:val="000000"/>
        </w:rPr>
        <w:t>International Human Resource Management</w:t>
      </w:r>
      <w:r w:rsidRPr="009028F0">
        <w:rPr>
          <w:rFonts w:ascii="Arial" w:hAnsi="Arial" w:cs="Arial"/>
          <w:color w:val="000000"/>
        </w:rPr>
        <w:t>. [online] </w:t>
      </w:r>
      <w:r w:rsidRPr="009028F0">
        <w:rPr>
          <w:rFonts w:ascii="Arial" w:hAnsi="Arial" w:cs="Arial"/>
          <w:i/>
          <w:iCs/>
          <w:color w:val="000000"/>
        </w:rPr>
        <w:t>Google Books</w:t>
      </w:r>
      <w:r w:rsidRPr="009028F0">
        <w:rPr>
          <w:rFonts w:ascii="Arial" w:hAnsi="Arial" w:cs="Arial"/>
          <w:color w:val="000000"/>
        </w:rPr>
        <w:t>. Kogan Page Publishers. Available at: https://www.google.co.uk/books/edition/International_Human_Resource_Management/j-zcDgAAQBAJ?hl=en&amp;gbpv=1&amp;dq=international+hrm&amp;pg=PP1&amp;printsec=frontcover [Accessed 3 May 2024].</w:t>
      </w:r>
    </w:p>
    <w:p w14:paraId="746AB74B" w14:textId="77777777" w:rsidR="00E6463E" w:rsidRPr="009028F0" w:rsidRDefault="00E6463E" w:rsidP="009028F0">
      <w:pPr>
        <w:pStyle w:val="NormalWeb"/>
        <w:spacing w:before="0" w:beforeAutospacing="0" w:after="0" w:afterAutospacing="0" w:line="360" w:lineRule="auto"/>
        <w:jc w:val="both"/>
        <w:rPr>
          <w:rFonts w:ascii="Arial" w:hAnsi="Arial" w:cs="Arial"/>
          <w:color w:val="000000"/>
        </w:rPr>
      </w:pPr>
    </w:p>
    <w:p w14:paraId="466BBF1D" w14:textId="6D4DF640" w:rsidR="00E6463E" w:rsidRPr="009028F0" w:rsidRDefault="00E6463E"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 xml:space="preserve">CIPD (2013). </w:t>
      </w:r>
      <w:r w:rsidRPr="009028F0">
        <w:rPr>
          <w:rFonts w:ascii="Arial" w:hAnsi="Arial" w:cs="Arial"/>
          <w:color w:val="000000"/>
        </w:rPr>
        <w:t>HR and its role in innovation</w:t>
      </w:r>
      <w:r w:rsidRPr="009028F0">
        <w:rPr>
          <w:rFonts w:ascii="Arial" w:hAnsi="Arial" w:cs="Arial"/>
          <w:color w:val="000000"/>
        </w:rPr>
        <w:t xml:space="preserve">. Available at: </w:t>
      </w:r>
      <w:hyperlink r:id="rId11" w:history="1">
        <w:r w:rsidR="00430355" w:rsidRPr="009028F0">
          <w:rPr>
            <w:rStyle w:val="Hyperlink"/>
            <w:rFonts w:ascii="Arial" w:hAnsi="Arial" w:cs="Arial"/>
          </w:rPr>
          <w:t>https://www.cipd.org/globalassets/media/knowledge/knowledge-hub/reports/hr-and-its-role-in-innovation_2013-part-4-challenge-for-hr_tcm18-9960.pdf</w:t>
        </w:r>
      </w:hyperlink>
    </w:p>
    <w:p w14:paraId="1A60758C" w14:textId="77777777" w:rsidR="00430355" w:rsidRPr="009028F0" w:rsidRDefault="00430355" w:rsidP="009028F0">
      <w:pPr>
        <w:pStyle w:val="NormalWeb"/>
        <w:spacing w:before="0" w:beforeAutospacing="0" w:after="0" w:afterAutospacing="0" w:line="360" w:lineRule="auto"/>
        <w:jc w:val="both"/>
        <w:rPr>
          <w:rFonts w:ascii="Arial" w:hAnsi="Arial" w:cs="Arial"/>
          <w:color w:val="000000"/>
        </w:rPr>
      </w:pPr>
    </w:p>
    <w:p w14:paraId="5CCE74C8" w14:textId="7D451D68" w:rsidR="00430355" w:rsidRPr="009028F0" w:rsidRDefault="00430355"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 xml:space="preserve">Cordova-Pozo, K. and </w:t>
      </w:r>
      <w:proofErr w:type="spellStart"/>
      <w:r w:rsidRPr="009028F0">
        <w:rPr>
          <w:rFonts w:ascii="Arial" w:hAnsi="Arial" w:cs="Arial"/>
          <w:color w:val="000000"/>
        </w:rPr>
        <w:t>Rouwette</w:t>
      </w:r>
      <w:proofErr w:type="spellEnd"/>
      <w:r w:rsidRPr="009028F0">
        <w:rPr>
          <w:rFonts w:ascii="Arial" w:hAnsi="Arial" w:cs="Arial"/>
          <w:color w:val="000000"/>
        </w:rPr>
        <w:t>, E.A.J.A. (2023). Types of scenario planning and their effectiveness: A review of reviews. </w:t>
      </w:r>
      <w:r w:rsidRPr="009028F0">
        <w:rPr>
          <w:rFonts w:ascii="Arial" w:hAnsi="Arial" w:cs="Arial"/>
          <w:i/>
          <w:iCs/>
          <w:color w:val="000000"/>
        </w:rPr>
        <w:t>Futures</w:t>
      </w:r>
      <w:r w:rsidRPr="009028F0">
        <w:rPr>
          <w:rFonts w:ascii="Arial" w:hAnsi="Arial" w:cs="Arial"/>
          <w:color w:val="000000"/>
        </w:rPr>
        <w:t xml:space="preserve">, [online] 149(103153), p.103153. </w:t>
      </w:r>
      <w:proofErr w:type="spellStart"/>
      <w:r w:rsidRPr="009028F0">
        <w:rPr>
          <w:rFonts w:ascii="Arial" w:hAnsi="Arial" w:cs="Arial"/>
          <w:color w:val="000000"/>
        </w:rPr>
        <w:t>doi:https</w:t>
      </w:r>
      <w:proofErr w:type="spellEnd"/>
      <w:r w:rsidRPr="009028F0">
        <w:rPr>
          <w:rFonts w:ascii="Arial" w:hAnsi="Arial" w:cs="Arial"/>
          <w:color w:val="000000"/>
        </w:rPr>
        <w:t>://doi.org/10.1016/j.futures.2023.103153.</w:t>
      </w:r>
    </w:p>
    <w:p w14:paraId="0B7FC96D" w14:textId="77777777" w:rsidR="008B61C9" w:rsidRPr="009028F0" w:rsidRDefault="008B61C9" w:rsidP="009028F0">
      <w:pPr>
        <w:pStyle w:val="NormalWeb"/>
        <w:spacing w:before="0" w:beforeAutospacing="0" w:after="0" w:afterAutospacing="0" w:line="360" w:lineRule="auto"/>
        <w:jc w:val="both"/>
        <w:rPr>
          <w:rFonts w:ascii="Arial" w:hAnsi="Arial" w:cs="Arial"/>
          <w:color w:val="000000"/>
        </w:rPr>
      </w:pPr>
    </w:p>
    <w:p w14:paraId="1963E3CF" w14:textId="6E3B356D" w:rsidR="008B61C9" w:rsidRPr="009028F0" w:rsidRDefault="008B61C9"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rPr>
        <w:t>Friedman, A. (2012) Continuing professional development: lifelong learning of millions. London: Routledge.</w:t>
      </w:r>
    </w:p>
    <w:p w14:paraId="76AF4B85" w14:textId="77777777" w:rsidR="008B61C9" w:rsidRPr="009028F0" w:rsidRDefault="008B61C9" w:rsidP="009028F0">
      <w:pPr>
        <w:pStyle w:val="NormalWeb"/>
        <w:spacing w:before="0" w:beforeAutospacing="0" w:after="0" w:afterAutospacing="0" w:line="360" w:lineRule="auto"/>
        <w:jc w:val="both"/>
        <w:rPr>
          <w:rFonts w:ascii="Arial" w:hAnsi="Arial" w:cs="Arial"/>
          <w:color w:val="000000"/>
        </w:rPr>
      </w:pPr>
    </w:p>
    <w:p w14:paraId="66A30D8D" w14:textId="2DAAE337" w:rsidR="008B61C9" w:rsidRPr="009028F0" w:rsidRDefault="008B61C9" w:rsidP="009028F0">
      <w:pPr>
        <w:pStyle w:val="NormalWeb"/>
        <w:spacing w:before="0" w:beforeAutospacing="0" w:after="0" w:afterAutospacing="0" w:line="360" w:lineRule="auto"/>
        <w:jc w:val="both"/>
        <w:rPr>
          <w:rFonts w:ascii="Arial" w:hAnsi="Arial" w:cs="Arial"/>
        </w:rPr>
      </w:pPr>
      <w:r w:rsidRPr="009028F0">
        <w:rPr>
          <w:rFonts w:ascii="Arial" w:hAnsi="Arial" w:cs="Arial"/>
        </w:rPr>
        <w:t>Gallagher, K. (2016) Essential study and employment skills for business and management students. Oxford: Oxford University Press</w:t>
      </w:r>
    </w:p>
    <w:p w14:paraId="4AE29CEB" w14:textId="77777777" w:rsidR="009028F0" w:rsidRPr="009028F0" w:rsidRDefault="009028F0" w:rsidP="009028F0">
      <w:pPr>
        <w:pStyle w:val="NormalWeb"/>
        <w:spacing w:before="0" w:beforeAutospacing="0" w:after="0" w:afterAutospacing="0" w:line="360" w:lineRule="auto"/>
        <w:jc w:val="both"/>
        <w:rPr>
          <w:rFonts w:ascii="Arial" w:hAnsi="Arial" w:cs="Arial"/>
        </w:rPr>
      </w:pPr>
    </w:p>
    <w:p w14:paraId="1A187E94" w14:textId="20EA740D" w:rsidR="009028F0" w:rsidRPr="009028F0" w:rsidRDefault="009028F0" w:rsidP="009028F0">
      <w:pPr>
        <w:pStyle w:val="NormalWeb"/>
        <w:spacing w:before="0" w:beforeAutospacing="0" w:after="0" w:afterAutospacing="0" w:line="360" w:lineRule="auto"/>
        <w:jc w:val="both"/>
        <w:rPr>
          <w:rFonts w:ascii="Arial" w:hAnsi="Arial" w:cs="Arial"/>
          <w:color w:val="000000"/>
        </w:rPr>
      </w:pPr>
      <w:proofErr w:type="spellStart"/>
      <w:r w:rsidRPr="009028F0">
        <w:rPr>
          <w:rFonts w:ascii="Arial" w:hAnsi="Arial" w:cs="Arial"/>
          <w:color w:val="222222"/>
          <w:shd w:val="clear" w:color="auto" w:fill="FFFFFF"/>
        </w:rPr>
        <w:t>Garavan</w:t>
      </w:r>
      <w:proofErr w:type="spellEnd"/>
      <w:r w:rsidRPr="009028F0">
        <w:rPr>
          <w:rFonts w:ascii="Arial" w:hAnsi="Arial" w:cs="Arial"/>
          <w:color w:val="222222"/>
          <w:shd w:val="clear" w:color="auto" w:fill="FFFFFF"/>
        </w:rPr>
        <w:t>, T., Matthews-Smith, G., Gill, A.M. and O’Brien, F., 2021. Strategic talent management in the hospitality industry. In </w:t>
      </w:r>
      <w:r w:rsidRPr="009028F0">
        <w:rPr>
          <w:rFonts w:ascii="Arial" w:hAnsi="Arial" w:cs="Arial"/>
          <w:i/>
          <w:iCs/>
          <w:color w:val="222222"/>
          <w:shd w:val="clear" w:color="auto" w:fill="FFFFFF"/>
        </w:rPr>
        <w:t>Talent management innovations in the international hospitality industry</w:t>
      </w:r>
      <w:r w:rsidRPr="009028F0">
        <w:rPr>
          <w:rFonts w:ascii="Arial" w:hAnsi="Arial" w:cs="Arial"/>
          <w:color w:val="222222"/>
          <w:shd w:val="clear" w:color="auto" w:fill="FFFFFF"/>
        </w:rPr>
        <w:t> (pp. 9-30). Emerald Publishing Limited.</w:t>
      </w:r>
    </w:p>
    <w:p w14:paraId="57762EDF" w14:textId="77777777" w:rsidR="00E6463E" w:rsidRPr="009028F0" w:rsidRDefault="00E6463E" w:rsidP="009028F0">
      <w:pPr>
        <w:pStyle w:val="NormalWeb"/>
        <w:spacing w:before="0" w:beforeAutospacing="0" w:after="0" w:afterAutospacing="0" w:line="360" w:lineRule="auto"/>
        <w:jc w:val="both"/>
        <w:rPr>
          <w:rFonts w:ascii="Arial" w:hAnsi="Arial" w:cs="Arial"/>
          <w:color w:val="000000"/>
        </w:rPr>
      </w:pPr>
    </w:p>
    <w:p w14:paraId="1658B46E" w14:textId="1948C3E7" w:rsidR="00E6463E" w:rsidRPr="009028F0" w:rsidRDefault="00E6463E"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Gerhart, B. and Feng, J. (2021). The Resource-Based View of the Firm, Human Resources, and Human Capital: Progress and Prospects. </w:t>
      </w:r>
      <w:r w:rsidRPr="009028F0">
        <w:rPr>
          <w:rFonts w:ascii="Arial" w:hAnsi="Arial" w:cs="Arial"/>
          <w:i/>
          <w:iCs/>
          <w:color w:val="000000"/>
        </w:rPr>
        <w:t>Journal of Management</w:t>
      </w:r>
      <w:r w:rsidRPr="009028F0">
        <w:rPr>
          <w:rFonts w:ascii="Arial" w:hAnsi="Arial" w:cs="Arial"/>
          <w:color w:val="000000"/>
        </w:rPr>
        <w:t>, 47(7), p.014920632097879.</w:t>
      </w:r>
    </w:p>
    <w:p w14:paraId="67738EBF" w14:textId="77777777" w:rsidR="00430355" w:rsidRPr="009028F0" w:rsidRDefault="00430355" w:rsidP="009028F0">
      <w:pPr>
        <w:pStyle w:val="NormalWeb"/>
        <w:spacing w:before="0" w:beforeAutospacing="0" w:after="0" w:afterAutospacing="0" w:line="360" w:lineRule="auto"/>
        <w:jc w:val="both"/>
        <w:rPr>
          <w:rFonts w:ascii="Arial" w:hAnsi="Arial" w:cs="Arial"/>
          <w:color w:val="000000"/>
        </w:rPr>
      </w:pPr>
    </w:p>
    <w:p w14:paraId="1DF4A700" w14:textId="22375466" w:rsidR="00430355" w:rsidRPr="009028F0" w:rsidRDefault="00430355" w:rsidP="009028F0">
      <w:pPr>
        <w:pStyle w:val="NormalWeb"/>
        <w:spacing w:before="0" w:beforeAutospacing="0" w:after="0" w:afterAutospacing="0" w:line="360" w:lineRule="auto"/>
        <w:jc w:val="both"/>
        <w:rPr>
          <w:rFonts w:ascii="Arial" w:hAnsi="Arial" w:cs="Arial"/>
          <w:color w:val="222222"/>
          <w:shd w:val="clear" w:color="auto" w:fill="FFFFFF"/>
        </w:rPr>
      </w:pPr>
      <w:r w:rsidRPr="009028F0">
        <w:rPr>
          <w:rFonts w:ascii="Arial" w:hAnsi="Arial" w:cs="Arial"/>
          <w:color w:val="222222"/>
          <w:shd w:val="clear" w:color="auto" w:fill="FFFFFF"/>
        </w:rPr>
        <w:t>Greer, C.R., 2021. </w:t>
      </w:r>
      <w:r w:rsidRPr="009028F0">
        <w:rPr>
          <w:rFonts w:ascii="Arial" w:hAnsi="Arial" w:cs="Arial"/>
          <w:i/>
          <w:iCs/>
          <w:color w:val="222222"/>
          <w:shd w:val="clear" w:color="auto" w:fill="FFFFFF"/>
        </w:rPr>
        <w:t>Strategic human resource management</w:t>
      </w:r>
      <w:r w:rsidRPr="009028F0">
        <w:rPr>
          <w:rFonts w:ascii="Arial" w:hAnsi="Arial" w:cs="Arial"/>
          <w:color w:val="222222"/>
          <w:shd w:val="clear" w:color="auto" w:fill="FFFFFF"/>
        </w:rPr>
        <w:t>. Pearson Custom Publishing.</w:t>
      </w:r>
    </w:p>
    <w:p w14:paraId="3B5C2E0A" w14:textId="77777777" w:rsidR="009028F0" w:rsidRPr="009028F0" w:rsidRDefault="009028F0" w:rsidP="009028F0">
      <w:pPr>
        <w:pStyle w:val="NormalWeb"/>
        <w:spacing w:before="0" w:beforeAutospacing="0" w:after="0" w:afterAutospacing="0" w:line="360" w:lineRule="auto"/>
        <w:jc w:val="both"/>
        <w:rPr>
          <w:rFonts w:ascii="Arial" w:hAnsi="Arial" w:cs="Arial"/>
          <w:color w:val="222222"/>
          <w:shd w:val="clear" w:color="auto" w:fill="FFFFFF"/>
        </w:rPr>
      </w:pPr>
    </w:p>
    <w:p w14:paraId="095ABABC" w14:textId="285AAD25" w:rsidR="009028F0" w:rsidRPr="009028F0" w:rsidRDefault="009028F0"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222222"/>
          <w:shd w:val="clear" w:color="auto" w:fill="FFFFFF"/>
        </w:rPr>
        <w:t xml:space="preserve">Lee, J., </w:t>
      </w:r>
      <w:proofErr w:type="spellStart"/>
      <w:r w:rsidRPr="009028F0">
        <w:rPr>
          <w:rFonts w:ascii="Arial" w:hAnsi="Arial" w:cs="Arial"/>
          <w:color w:val="222222"/>
          <w:shd w:val="clear" w:color="auto" w:fill="FFFFFF"/>
        </w:rPr>
        <w:t>Waung</w:t>
      </w:r>
      <w:proofErr w:type="spellEnd"/>
      <w:r w:rsidRPr="009028F0">
        <w:rPr>
          <w:rFonts w:ascii="Arial" w:hAnsi="Arial" w:cs="Arial"/>
          <w:color w:val="222222"/>
          <w:shd w:val="clear" w:color="auto" w:fill="FFFFFF"/>
        </w:rPr>
        <w:t>, M. and Beatty, J.E., 2022. Internships and promises of diversity: how anticipatory psychological contracts shape employment intentions in the US. </w:t>
      </w:r>
      <w:r w:rsidRPr="009028F0">
        <w:rPr>
          <w:rFonts w:ascii="Arial" w:hAnsi="Arial" w:cs="Arial"/>
          <w:i/>
          <w:iCs/>
          <w:color w:val="222222"/>
          <w:shd w:val="clear" w:color="auto" w:fill="FFFFFF"/>
        </w:rPr>
        <w:t>The International Journal of Human Resource Management</w:t>
      </w:r>
      <w:r w:rsidRPr="009028F0">
        <w:rPr>
          <w:rFonts w:ascii="Arial" w:hAnsi="Arial" w:cs="Arial"/>
          <w:color w:val="222222"/>
          <w:shd w:val="clear" w:color="auto" w:fill="FFFFFF"/>
        </w:rPr>
        <w:t>, </w:t>
      </w:r>
      <w:r w:rsidRPr="009028F0">
        <w:rPr>
          <w:rFonts w:ascii="Arial" w:hAnsi="Arial" w:cs="Arial"/>
          <w:i/>
          <w:iCs/>
          <w:color w:val="222222"/>
          <w:shd w:val="clear" w:color="auto" w:fill="FFFFFF"/>
        </w:rPr>
        <w:t>33</w:t>
      </w:r>
      <w:r w:rsidRPr="009028F0">
        <w:rPr>
          <w:rFonts w:ascii="Arial" w:hAnsi="Arial" w:cs="Arial"/>
          <w:color w:val="222222"/>
          <w:shd w:val="clear" w:color="auto" w:fill="FFFFFF"/>
        </w:rPr>
        <w:t>(17), pp.3560-3590.</w:t>
      </w:r>
    </w:p>
    <w:p w14:paraId="5F062F9F" w14:textId="77777777" w:rsidR="00430355" w:rsidRPr="009028F0" w:rsidRDefault="00430355" w:rsidP="009028F0">
      <w:pPr>
        <w:pStyle w:val="NormalWeb"/>
        <w:spacing w:before="0" w:beforeAutospacing="0" w:after="0" w:afterAutospacing="0" w:line="360" w:lineRule="auto"/>
        <w:jc w:val="both"/>
        <w:rPr>
          <w:rFonts w:ascii="Arial" w:hAnsi="Arial" w:cs="Arial"/>
          <w:color w:val="000000"/>
        </w:rPr>
      </w:pPr>
    </w:p>
    <w:p w14:paraId="262017AE" w14:textId="5B63F406" w:rsidR="00430355" w:rsidRPr="009028F0" w:rsidRDefault="00430355" w:rsidP="009028F0">
      <w:pPr>
        <w:pStyle w:val="NormalWeb"/>
        <w:spacing w:before="0" w:beforeAutospacing="0" w:after="0" w:afterAutospacing="0" w:line="360" w:lineRule="auto"/>
        <w:jc w:val="both"/>
        <w:rPr>
          <w:rFonts w:ascii="Arial" w:hAnsi="Arial" w:cs="Arial"/>
          <w:color w:val="000000"/>
        </w:rPr>
      </w:pPr>
      <w:proofErr w:type="spellStart"/>
      <w:r w:rsidRPr="009028F0">
        <w:rPr>
          <w:rFonts w:ascii="Arial" w:hAnsi="Arial" w:cs="Arial"/>
          <w:color w:val="000000"/>
        </w:rPr>
        <w:t>Lengnick</w:t>
      </w:r>
      <w:proofErr w:type="spellEnd"/>
      <w:r w:rsidRPr="009028F0">
        <w:rPr>
          <w:rFonts w:ascii="Arial" w:hAnsi="Arial" w:cs="Arial"/>
          <w:color w:val="000000"/>
        </w:rPr>
        <w:t xml:space="preserve">-Hall, M.L., </w:t>
      </w:r>
      <w:proofErr w:type="spellStart"/>
      <w:r w:rsidRPr="009028F0">
        <w:rPr>
          <w:rFonts w:ascii="Arial" w:hAnsi="Arial" w:cs="Arial"/>
          <w:color w:val="000000"/>
        </w:rPr>
        <w:t>Lengnick</w:t>
      </w:r>
      <w:proofErr w:type="spellEnd"/>
      <w:r w:rsidRPr="009028F0">
        <w:rPr>
          <w:rFonts w:ascii="Arial" w:hAnsi="Arial" w:cs="Arial"/>
          <w:color w:val="000000"/>
        </w:rPr>
        <w:t>-Hall, C.A., Andrade, L.S. and Drake, B. (2009). Strategic human resource management: The evolution of the field. </w:t>
      </w:r>
      <w:r w:rsidRPr="009028F0">
        <w:rPr>
          <w:rFonts w:ascii="Arial" w:hAnsi="Arial" w:cs="Arial"/>
          <w:i/>
          <w:iCs/>
          <w:color w:val="000000"/>
        </w:rPr>
        <w:t>Human Resource Management Review</w:t>
      </w:r>
      <w:r w:rsidRPr="009028F0">
        <w:rPr>
          <w:rFonts w:ascii="Arial" w:hAnsi="Arial" w:cs="Arial"/>
          <w:color w:val="000000"/>
        </w:rPr>
        <w:t xml:space="preserve">, [online] 19(2), pp.64–85. </w:t>
      </w:r>
      <w:proofErr w:type="spellStart"/>
      <w:r w:rsidRPr="009028F0">
        <w:rPr>
          <w:rFonts w:ascii="Arial" w:hAnsi="Arial" w:cs="Arial"/>
          <w:color w:val="000000"/>
        </w:rPr>
        <w:t>doi:https</w:t>
      </w:r>
      <w:proofErr w:type="spellEnd"/>
      <w:r w:rsidRPr="009028F0">
        <w:rPr>
          <w:rFonts w:ascii="Arial" w:hAnsi="Arial" w:cs="Arial"/>
          <w:color w:val="000000"/>
        </w:rPr>
        <w:t>://doi.org/10.1016/j.hrmr.2009.01.002.</w:t>
      </w:r>
    </w:p>
    <w:p w14:paraId="12221006" w14:textId="77777777" w:rsidR="00E6463E" w:rsidRPr="009028F0" w:rsidRDefault="00E6463E" w:rsidP="009028F0">
      <w:pPr>
        <w:pStyle w:val="NormalWeb"/>
        <w:spacing w:before="0" w:beforeAutospacing="0" w:after="0" w:afterAutospacing="0" w:line="360" w:lineRule="auto"/>
        <w:jc w:val="both"/>
        <w:rPr>
          <w:rFonts w:ascii="Arial" w:hAnsi="Arial" w:cs="Arial"/>
          <w:color w:val="000000"/>
        </w:rPr>
      </w:pPr>
    </w:p>
    <w:p w14:paraId="4A23D81F" w14:textId="3F10818B" w:rsidR="00E6463E" w:rsidRPr="009028F0" w:rsidRDefault="00E6463E"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Madhani, P.M. (2010). </w:t>
      </w:r>
      <w:r w:rsidRPr="009028F0">
        <w:rPr>
          <w:rFonts w:ascii="Arial" w:hAnsi="Arial" w:cs="Arial"/>
          <w:i/>
          <w:iCs/>
          <w:color w:val="000000"/>
        </w:rPr>
        <w:t>Resource Based View (RBV) of Competitive Advantage: an Overview</w:t>
      </w:r>
      <w:r w:rsidRPr="009028F0">
        <w:rPr>
          <w:rFonts w:ascii="Arial" w:hAnsi="Arial" w:cs="Arial"/>
          <w:color w:val="000000"/>
        </w:rPr>
        <w:t>. [online] Ssrn.com. Available at: https://papers.ssrn.com/sol3/papers.cfm?abstract_id=1578704.</w:t>
      </w:r>
    </w:p>
    <w:p w14:paraId="69BB7348" w14:textId="77777777" w:rsidR="00E6463E" w:rsidRPr="009028F0" w:rsidRDefault="00E6463E" w:rsidP="009028F0">
      <w:pPr>
        <w:pStyle w:val="NormalWeb"/>
        <w:spacing w:before="0" w:beforeAutospacing="0" w:after="0" w:afterAutospacing="0" w:line="360" w:lineRule="auto"/>
        <w:jc w:val="both"/>
        <w:rPr>
          <w:rFonts w:ascii="Arial" w:hAnsi="Arial" w:cs="Arial"/>
          <w:color w:val="000000"/>
        </w:rPr>
      </w:pPr>
    </w:p>
    <w:p w14:paraId="2B379CFD" w14:textId="0B363868" w:rsidR="00E6463E" w:rsidRPr="009028F0" w:rsidRDefault="00E6463E" w:rsidP="009028F0">
      <w:pPr>
        <w:pStyle w:val="NormalWeb"/>
        <w:spacing w:before="0" w:beforeAutospacing="0" w:after="0" w:afterAutospacing="0" w:line="360" w:lineRule="auto"/>
        <w:jc w:val="both"/>
        <w:rPr>
          <w:rFonts w:ascii="Arial" w:hAnsi="Arial" w:cs="Arial"/>
        </w:rPr>
      </w:pPr>
      <w:r w:rsidRPr="009028F0">
        <w:rPr>
          <w:rFonts w:ascii="Arial" w:hAnsi="Arial" w:cs="Arial"/>
        </w:rPr>
        <w:t>Marchington, M. and Wilkinson, A. (2016) Human resource management at work. 6th ed. London: Chartered Institute of Personnel and Development.</w:t>
      </w:r>
    </w:p>
    <w:p w14:paraId="685E88C2" w14:textId="77777777" w:rsidR="008B61C9" w:rsidRPr="009028F0" w:rsidRDefault="008B61C9" w:rsidP="009028F0">
      <w:pPr>
        <w:pStyle w:val="NormalWeb"/>
        <w:spacing w:before="0" w:beforeAutospacing="0" w:after="0" w:afterAutospacing="0" w:line="360" w:lineRule="auto"/>
        <w:jc w:val="both"/>
        <w:rPr>
          <w:rFonts w:ascii="Arial" w:hAnsi="Arial" w:cs="Arial"/>
        </w:rPr>
      </w:pPr>
    </w:p>
    <w:p w14:paraId="68E2433D" w14:textId="5E3796F0" w:rsidR="008B61C9" w:rsidRPr="009028F0" w:rsidRDefault="008B61C9" w:rsidP="009028F0">
      <w:pPr>
        <w:pStyle w:val="NormalWeb"/>
        <w:spacing w:before="0" w:beforeAutospacing="0" w:after="0" w:afterAutospacing="0" w:line="360" w:lineRule="auto"/>
        <w:jc w:val="both"/>
        <w:rPr>
          <w:rFonts w:ascii="Arial" w:hAnsi="Arial" w:cs="Arial"/>
        </w:rPr>
      </w:pPr>
      <w:r w:rsidRPr="009028F0">
        <w:rPr>
          <w:rFonts w:ascii="Arial" w:hAnsi="Arial" w:cs="Arial"/>
        </w:rPr>
        <w:t>Murton, A,. Inman, M., O’Sullivan, N. (2010) Unlocking Human Resource Management, Hodder Education</w:t>
      </w:r>
    </w:p>
    <w:p w14:paraId="3F06C22F" w14:textId="77777777" w:rsidR="00430355" w:rsidRPr="009028F0" w:rsidRDefault="00430355" w:rsidP="009028F0">
      <w:pPr>
        <w:pStyle w:val="NormalWeb"/>
        <w:spacing w:before="0" w:beforeAutospacing="0" w:after="0" w:afterAutospacing="0" w:line="360" w:lineRule="auto"/>
        <w:jc w:val="both"/>
        <w:rPr>
          <w:rFonts w:ascii="Arial" w:hAnsi="Arial" w:cs="Arial"/>
        </w:rPr>
      </w:pPr>
    </w:p>
    <w:p w14:paraId="1B9F1622" w14:textId="735B5F44" w:rsidR="00430355" w:rsidRPr="009028F0" w:rsidRDefault="00430355" w:rsidP="009028F0">
      <w:pPr>
        <w:pStyle w:val="NormalWeb"/>
        <w:spacing w:before="0" w:beforeAutospacing="0" w:after="0" w:afterAutospacing="0" w:line="360" w:lineRule="auto"/>
        <w:jc w:val="both"/>
        <w:rPr>
          <w:rFonts w:ascii="Arial" w:hAnsi="Arial" w:cs="Arial"/>
          <w:color w:val="000000"/>
        </w:rPr>
      </w:pPr>
      <w:proofErr w:type="spellStart"/>
      <w:r w:rsidRPr="009028F0">
        <w:rPr>
          <w:rFonts w:ascii="Arial" w:hAnsi="Arial" w:cs="Arial"/>
          <w:color w:val="000000"/>
        </w:rPr>
        <w:t>Sulej</w:t>
      </w:r>
      <w:proofErr w:type="spellEnd"/>
      <w:r w:rsidRPr="009028F0">
        <w:rPr>
          <w:rFonts w:ascii="Arial" w:hAnsi="Arial" w:cs="Arial"/>
          <w:color w:val="000000"/>
        </w:rPr>
        <w:t>, K.P. (2021). Human resources development as an element of sustainable HRM – with the focus on production engineers. </w:t>
      </w:r>
      <w:r w:rsidRPr="009028F0">
        <w:rPr>
          <w:rFonts w:ascii="Arial" w:hAnsi="Arial" w:cs="Arial"/>
          <w:i/>
          <w:iCs/>
          <w:color w:val="000000"/>
        </w:rPr>
        <w:t>Journal of Cleaner Production</w:t>
      </w:r>
      <w:r w:rsidRPr="009028F0">
        <w:rPr>
          <w:rFonts w:ascii="Arial" w:hAnsi="Arial" w:cs="Arial"/>
          <w:color w:val="000000"/>
        </w:rPr>
        <w:t>, 278(1), p.124008.</w:t>
      </w:r>
    </w:p>
    <w:p w14:paraId="7554CE9C" w14:textId="77777777" w:rsidR="008B61C9" w:rsidRPr="009028F0" w:rsidRDefault="008B61C9" w:rsidP="009028F0">
      <w:pPr>
        <w:pStyle w:val="NormalWeb"/>
        <w:spacing w:before="0" w:beforeAutospacing="0" w:after="0" w:afterAutospacing="0" w:line="360" w:lineRule="auto"/>
        <w:jc w:val="both"/>
        <w:rPr>
          <w:rFonts w:ascii="Arial" w:hAnsi="Arial" w:cs="Arial"/>
          <w:color w:val="000000"/>
        </w:rPr>
      </w:pPr>
    </w:p>
    <w:p w14:paraId="49D59231" w14:textId="5F50EA68" w:rsidR="008B61C9" w:rsidRPr="009028F0" w:rsidRDefault="008B61C9" w:rsidP="009028F0">
      <w:pPr>
        <w:pStyle w:val="NormalWeb"/>
        <w:spacing w:before="0" w:beforeAutospacing="0" w:after="0" w:afterAutospacing="0" w:line="360" w:lineRule="auto"/>
        <w:jc w:val="both"/>
        <w:rPr>
          <w:rFonts w:ascii="Arial" w:hAnsi="Arial" w:cs="Arial"/>
          <w:color w:val="000000"/>
        </w:rPr>
      </w:pPr>
      <w:r w:rsidRPr="009028F0">
        <w:rPr>
          <w:rFonts w:ascii="Arial" w:hAnsi="Arial" w:cs="Arial"/>
          <w:color w:val="000000"/>
        </w:rPr>
        <w:t>Swain, R. (2021). </w:t>
      </w:r>
      <w:r w:rsidRPr="009028F0">
        <w:rPr>
          <w:rFonts w:ascii="Arial" w:hAnsi="Arial" w:cs="Arial"/>
          <w:i/>
          <w:iCs/>
          <w:color w:val="000000"/>
        </w:rPr>
        <w:t>Competency-based Interviews | Prospects.ac.uk</w:t>
      </w:r>
      <w:r w:rsidRPr="009028F0">
        <w:rPr>
          <w:rFonts w:ascii="Arial" w:hAnsi="Arial" w:cs="Arial"/>
          <w:color w:val="000000"/>
        </w:rPr>
        <w:t>. [online] Prospects.ac.uk. Available at: https://www.prospects.ac.uk/careers-advice/interview-tips/competency-based-interviews.</w:t>
      </w:r>
    </w:p>
    <w:p w14:paraId="7C896B7F" w14:textId="6FDE96D2" w:rsidR="005100B0" w:rsidRPr="009028F0" w:rsidRDefault="005100B0" w:rsidP="009028F0">
      <w:pPr>
        <w:pStyle w:val="NormalWeb"/>
        <w:spacing w:line="360" w:lineRule="auto"/>
        <w:jc w:val="both"/>
        <w:rPr>
          <w:rFonts w:ascii="Arial" w:hAnsi="Arial" w:cs="Arial"/>
          <w:color w:val="000000"/>
        </w:rPr>
      </w:pPr>
      <w:r w:rsidRPr="009028F0">
        <w:rPr>
          <w:rFonts w:ascii="Arial" w:hAnsi="Arial" w:cs="Arial"/>
          <w:color w:val="000000"/>
        </w:rPr>
        <w:t>‌</w:t>
      </w:r>
      <w:r w:rsidR="00E6463E" w:rsidRPr="009028F0">
        <w:rPr>
          <w:rFonts w:ascii="Arial" w:hAnsi="Arial" w:cs="Arial"/>
        </w:rPr>
        <w:t xml:space="preserve">Torrington, D, Hall, L, Atkinson, C, &amp; Taylor, S (2020), Human Resource Management PDF </w:t>
      </w:r>
      <w:proofErr w:type="spellStart"/>
      <w:r w:rsidR="00E6463E" w:rsidRPr="009028F0">
        <w:rPr>
          <w:rFonts w:ascii="Arial" w:hAnsi="Arial" w:cs="Arial"/>
        </w:rPr>
        <w:t>EBook</w:t>
      </w:r>
      <w:proofErr w:type="spellEnd"/>
      <w:r w:rsidR="00E6463E" w:rsidRPr="009028F0">
        <w:rPr>
          <w:rFonts w:ascii="Arial" w:hAnsi="Arial" w:cs="Arial"/>
        </w:rPr>
        <w:t xml:space="preserve">, Pearson Education, Limited, Harlow. Available from: ProQuest </w:t>
      </w:r>
      <w:proofErr w:type="spellStart"/>
      <w:r w:rsidR="00E6463E" w:rsidRPr="009028F0">
        <w:rPr>
          <w:rFonts w:ascii="Arial" w:hAnsi="Arial" w:cs="Arial"/>
        </w:rPr>
        <w:t>Ebook</w:t>
      </w:r>
      <w:proofErr w:type="spellEnd"/>
      <w:r w:rsidR="00E6463E" w:rsidRPr="009028F0">
        <w:rPr>
          <w:rFonts w:ascii="Arial" w:hAnsi="Arial" w:cs="Arial"/>
        </w:rPr>
        <w:t xml:space="preserve"> Central.</w:t>
      </w:r>
    </w:p>
    <w:p w14:paraId="11AF25C7" w14:textId="77777777" w:rsidR="005100B0" w:rsidRPr="009028F0" w:rsidRDefault="005100B0" w:rsidP="009028F0">
      <w:pPr>
        <w:spacing w:after="0" w:line="360" w:lineRule="auto"/>
        <w:jc w:val="both"/>
        <w:rPr>
          <w:rFonts w:ascii="Arial" w:hAnsi="Arial" w:cs="Arial"/>
          <w:sz w:val="24"/>
          <w:szCs w:val="24"/>
        </w:rPr>
      </w:pPr>
    </w:p>
    <w:p w14:paraId="068A3A5C" w14:textId="77777777" w:rsidR="005100B0" w:rsidRPr="009028F0" w:rsidRDefault="005100B0" w:rsidP="009028F0">
      <w:pPr>
        <w:spacing w:after="0" w:line="360" w:lineRule="auto"/>
        <w:jc w:val="both"/>
        <w:rPr>
          <w:rFonts w:ascii="Arial" w:hAnsi="Arial" w:cs="Arial"/>
          <w:sz w:val="24"/>
          <w:szCs w:val="24"/>
        </w:rPr>
      </w:pPr>
    </w:p>
    <w:p w14:paraId="657A8A43" w14:textId="6F64BBEC" w:rsidR="00060D49" w:rsidRPr="00060D49" w:rsidRDefault="00060D49" w:rsidP="009028F0">
      <w:pPr>
        <w:spacing w:after="0" w:line="360" w:lineRule="auto"/>
        <w:jc w:val="both"/>
        <w:rPr>
          <w:rFonts w:ascii="Arial" w:eastAsia="Times New Roman" w:hAnsi="Arial" w:cs="Arial"/>
          <w:kern w:val="0"/>
          <w:sz w:val="24"/>
          <w:szCs w:val="24"/>
          <w:lang w:eastAsia="en-GB"/>
          <w14:ligatures w14:val="none"/>
        </w:rPr>
      </w:pPr>
      <w:r w:rsidRPr="00060D49">
        <w:rPr>
          <w:rFonts w:ascii="Arial" w:eastAsia="Times New Roman" w:hAnsi="Arial" w:cs="Arial"/>
          <w:kern w:val="0"/>
          <w:sz w:val="24"/>
          <w:szCs w:val="24"/>
          <w:lang w:eastAsia="en-GB"/>
          <w14:ligatures w14:val="none"/>
        </w:rPr>
        <w:br/>
      </w:r>
      <w:r w:rsidRPr="00060D49">
        <w:rPr>
          <w:rFonts w:ascii="Arial" w:eastAsia="Times New Roman" w:hAnsi="Arial" w:cs="Arial"/>
          <w:kern w:val="0"/>
          <w:sz w:val="24"/>
          <w:szCs w:val="24"/>
          <w:lang w:eastAsia="en-GB"/>
          <w14:ligatures w14:val="none"/>
        </w:rPr>
        <w:br/>
      </w:r>
    </w:p>
    <w:p w14:paraId="6029B23B" w14:textId="77777777" w:rsidR="00060D49" w:rsidRPr="00060D49" w:rsidRDefault="00060D49" w:rsidP="009028F0">
      <w:pPr>
        <w:spacing w:after="0" w:line="360" w:lineRule="auto"/>
        <w:jc w:val="both"/>
        <w:rPr>
          <w:rFonts w:ascii="Arial" w:eastAsia="Times New Roman" w:hAnsi="Arial" w:cs="Arial"/>
          <w:kern w:val="0"/>
          <w:sz w:val="24"/>
          <w:szCs w:val="24"/>
          <w:lang w:eastAsia="en-GB"/>
          <w14:ligatures w14:val="none"/>
        </w:rPr>
      </w:pPr>
    </w:p>
    <w:p w14:paraId="22E822C0" w14:textId="77777777" w:rsidR="00060D49" w:rsidRPr="00060D49" w:rsidRDefault="00060D49" w:rsidP="009028F0">
      <w:pPr>
        <w:spacing w:line="360" w:lineRule="auto"/>
        <w:jc w:val="both"/>
        <w:rPr>
          <w:rFonts w:ascii="Arial" w:eastAsia="Times New Roman" w:hAnsi="Arial" w:cs="Arial"/>
          <w:kern w:val="0"/>
          <w:sz w:val="24"/>
          <w:szCs w:val="24"/>
          <w:lang w:eastAsia="en-GB"/>
          <w14:ligatures w14:val="none"/>
        </w:rPr>
      </w:pPr>
    </w:p>
    <w:p w14:paraId="10B5D185" w14:textId="77777777" w:rsidR="00060D49" w:rsidRPr="009028F0" w:rsidRDefault="00060D49" w:rsidP="009028F0">
      <w:pPr>
        <w:spacing w:after="0" w:line="360" w:lineRule="auto"/>
        <w:jc w:val="both"/>
        <w:rPr>
          <w:rFonts w:ascii="Arial" w:eastAsia="Times New Roman" w:hAnsi="Arial" w:cs="Arial"/>
          <w:kern w:val="0"/>
          <w:sz w:val="24"/>
          <w:szCs w:val="24"/>
          <w:lang w:eastAsia="en-GB"/>
          <w14:ligatures w14:val="none"/>
        </w:rPr>
      </w:pPr>
    </w:p>
    <w:p w14:paraId="5DCB6987" w14:textId="77777777" w:rsidR="00590946" w:rsidRPr="009028F0" w:rsidRDefault="00590946" w:rsidP="009028F0">
      <w:pPr>
        <w:spacing w:after="0" w:line="360" w:lineRule="auto"/>
        <w:jc w:val="both"/>
        <w:rPr>
          <w:rFonts w:ascii="Arial" w:eastAsia="Times New Roman" w:hAnsi="Arial" w:cs="Arial"/>
          <w:kern w:val="0"/>
          <w:sz w:val="24"/>
          <w:szCs w:val="24"/>
          <w:lang w:eastAsia="en-GB"/>
          <w14:ligatures w14:val="none"/>
        </w:rPr>
      </w:pPr>
    </w:p>
    <w:p w14:paraId="09598E46" w14:textId="77777777" w:rsidR="00590946" w:rsidRPr="00590946" w:rsidRDefault="00590946" w:rsidP="009028F0">
      <w:pPr>
        <w:spacing w:after="0" w:line="360" w:lineRule="auto"/>
        <w:jc w:val="both"/>
        <w:rPr>
          <w:rFonts w:ascii="Arial" w:eastAsia="Times New Roman" w:hAnsi="Arial" w:cs="Arial"/>
          <w:kern w:val="0"/>
          <w:sz w:val="24"/>
          <w:szCs w:val="24"/>
          <w:lang w:eastAsia="en-GB"/>
          <w14:ligatures w14:val="none"/>
        </w:rPr>
      </w:pPr>
    </w:p>
    <w:p w14:paraId="3A7DE023" w14:textId="77777777" w:rsidR="00590946" w:rsidRPr="00590946" w:rsidRDefault="00590946" w:rsidP="009028F0">
      <w:pPr>
        <w:spacing w:line="360" w:lineRule="auto"/>
        <w:jc w:val="both"/>
        <w:rPr>
          <w:rFonts w:ascii="Arial" w:eastAsia="Times New Roman" w:hAnsi="Arial" w:cs="Arial"/>
          <w:kern w:val="0"/>
          <w:sz w:val="24"/>
          <w:szCs w:val="24"/>
          <w:lang w:eastAsia="en-GB"/>
          <w14:ligatures w14:val="none"/>
        </w:rPr>
      </w:pPr>
    </w:p>
    <w:p w14:paraId="7527F7DE" w14:textId="77777777" w:rsidR="00590946" w:rsidRDefault="00590946" w:rsidP="00590946">
      <w:pPr>
        <w:jc w:val="both"/>
      </w:pPr>
    </w:p>
    <w:sectPr w:rsidR="0059094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20171B" w14:textId="77777777" w:rsidR="008B7EF1" w:rsidRDefault="008B7EF1" w:rsidP="000529DB">
      <w:pPr>
        <w:spacing w:after="0" w:line="240" w:lineRule="auto"/>
      </w:pPr>
      <w:r>
        <w:separator/>
      </w:r>
    </w:p>
  </w:endnote>
  <w:endnote w:type="continuationSeparator" w:id="0">
    <w:p w14:paraId="46ED0391" w14:textId="77777777" w:rsidR="008B7EF1" w:rsidRDefault="008B7EF1" w:rsidP="00052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361411"/>
      <w:docPartObj>
        <w:docPartGallery w:val="Page Numbers (Bottom of Page)"/>
        <w:docPartUnique/>
      </w:docPartObj>
    </w:sdtPr>
    <w:sdtEndPr>
      <w:rPr>
        <w:noProof/>
      </w:rPr>
    </w:sdtEndPr>
    <w:sdtContent>
      <w:p w14:paraId="30BB09BB" w14:textId="19043875" w:rsidR="000529DB" w:rsidRDefault="00052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CFB8A0" w14:textId="77777777" w:rsidR="000529DB" w:rsidRDefault="00052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3B152D" w14:textId="77777777" w:rsidR="008B7EF1" w:rsidRDefault="008B7EF1" w:rsidP="000529DB">
      <w:pPr>
        <w:spacing w:after="0" w:line="240" w:lineRule="auto"/>
      </w:pPr>
      <w:r>
        <w:separator/>
      </w:r>
    </w:p>
  </w:footnote>
  <w:footnote w:type="continuationSeparator" w:id="0">
    <w:p w14:paraId="4A8439A9" w14:textId="77777777" w:rsidR="008B7EF1" w:rsidRDefault="008B7EF1" w:rsidP="000529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9DB"/>
    <w:rsid w:val="000529DB"/>
    <w:rsid w:val="00060D49"/>
    <w:rsid w:val="001A1F2F"/>
    <w:rsid w:val="00430355"/>
    <w:rsid w:val="005100B0"/>
    <w:rsid w:val="00590946"/>
    <w:rsid w:val="007B0CC3"/>
    <w:rsid w:val="008B61C9"/>
    <w:rsid w:val="008B7EF1"/>
    <w:rsid w:val="009028F0"/>
    <w:rsid w:val="009A7C84"/>
    <w:rsid w:val="00B151A8"/>
    <w:rsid w:val="00C82D1F"/>
    <w:rsid w:val="00E6463E"/>
    <w:rsid w:val="00F0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017F7"/>
  <w15:chartTrackingRefBased/>
  <w15:docId w15:val="{CA9A52D7-7285-4C66-B48F-5F4DB7FC8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F2F"/>
    <w:pPr>
      <w:spacing w:line="256" w:lineRule="auto"/>
    </w:pPr>
  </w:style>
  <w:style w:type="paragraph" w:styleId="Heading1">
    <w:name w:val="heading 1"/>
    <w:basedOn w:val="Normal"/>
    <w:next w:val="Normal"/>
    <w:link w:val="Heading1Char"/>
    <w:uiPriority w:val="9"/>
    <w:qFormat/>
    <w:rsid w:val="007B0CC3"/>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0529DB"/>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9DB"/>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9DB"/>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9DB"/>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9DB"/>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9DB"/>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9DB"/>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9DB"/>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052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9DB"/>
    <w:rPr>
      <w:rFonts w:eastAsiaTheme="majorEastAsia" w:cstheme="majorBidi"/>
      <w:color w:val="272727" w:themeColor="text1" w:themeTint="D8"/>
    </w:rPr>
  </w:style>
  <w:style w:type="paragraph" w:styleId="Title">
    <w:name w:val="Title"/>
    <w:basedOn w:val="Normal"/>
    <w:next w:val="Normal"/>
    <w:link w:val="TitleChar"/>
    <w:uiPriority w:val="10"/>
    <w:qFormat/>
    <w:rsid w:val="00052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9DB"/>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9DB"/>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0529DB"/>
    <w:rPr>
      <w:i/>
      <w:iCs/>
      <w:color w:val="404040" w:themeColor="text1" w:themeTint="BF"/>
    </w:rPr>
  </w:style>
  <w:style w:type="paragraph" w:styleId="ListParagraph">
    <w:name w:val="List Paragraph"/>
    <w:basedOn w:val="Normal"/>
    <w:uiPriority w:val="34"/>
    <w:qFormat/>
    <w:rsid w:val="000529DB"/>
    <w:pPr>
      <w:spacing w:line="259" w:lineRule="auto"/>
      <w:ind w:left="720"/>
      <w:contextualSpacing/>
    </w:pPr>
  </w:style>
  <w:style w:type="character" w:styleId="IntenseEmphasis">
    <w:name w:val="Intense Emphasis"/>
    <w:basedOn w:val="DefaultParagraphFont"/>
    <w:uiPriority w:val="21"/>
    <w:qFormat/>
    <w:rsid w:val="000529DB"/>
    <w:rPr>
      <w:i/>
      <w:iCs/>
      <w:color w:val="0F4761" w:themeColor="accent1" w:themeShade="BF"/>
    </w:rPr>
  </w:style>
  <w:style w:type="paragraph" w:styleId="IntenseQuote">
    <w:name w:val="Intense Quote"/>
    <w:basedOn w:val="Normal"/>
    <w:next w:val="Normal"/>
    <w:link w:val="IntenseQuoteChar"/>
    <w:uiPriority w:val="30"/>
    <w:qFormat/>
    <w:rsid w:val="000529DB"/>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9DB"/>
    <w:rPr>
      <w:i/>
      <w:iCs/>
      <w:color w:val="0F4761" w:themeColor="accent1" w:themeShade="BF"/>
    </w:rPr>
  </w:style>
  <w:style w:type="character" w:styleId="IntenseReference">
    <w:name w:val="Intense Reference"/>
    <w:basedOn w:val="DefaultParagraphFont"/>
    <w:uiPriority w:val="32"/>
    <w:qFormat/>
    <w:rsid w:val="000529DB"/>
    <w:rPr>
      <w:b/>
      <w:bCs/>
      <w:smallCaps/>
      <w:color w:val="0F4761" w:themeColor="accent1" w:themeShade="BF"/>
      <w:spacing w:val="5"/>
    </w:rPr>
  </w:style>
  <w:style w:type="paragraph" w:styleId="Header">
    <w:name w:val="header"/>
    <w:basedOn w:val="Normal"/>
    <w:link w:val="HeaderChar"/>
    <w:uiPriority w:val="99"/>
    <w:unhideWhenUsed/>
    <w:rsid w:val="00052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9DB"/>
  </w:style>
  <w:style w:type="paragraph" w:styleId="Footer">
    <w:name w:val="footer"/>
    <w:basedOn w:val="Normal"/>
    <w:link w:val="FooterChar"/>
    <w:uiPriority w:val="99"/>
    <w:unhideWhenUsed/>
    <w:rsid w:val="00052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9DB"/>
  </w:style>
  <w:style w:type="paragraph" w:styleId="NormalWeb">
    <w:name w:val="Normal (Web)"/>
    <w:basedOn w:val="Normal"/>
    <w:uiPriority w:val="99"/>
    <w:unhideWhenUsed/>
    <w:rsid w:val="005100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30355"/>
    <w:rPr>
      <w:color w:val="467886" w:themeColor="hyperlink"/>
      <w:u w:val="single"/>
    </w:rPr>
  </w:style>
  <w:style w:type="character" w:styleId="UnresolvedMention">
    <w:name w:val="Unresolved Mention"/>
    <w:basedOn w:val="DefaultParagraphFont"/>
    <w:uiPriority w:val="99"/>
    <w:semiHidden/>
    <w:unhideWhenUsed/>
    <w:rsid w:val="004303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4744">
      <w:bodyDiv w:val="1"/>
      <w:marLeft w:val="0"/>
      <w:marRight w:val="0"/>
      <w:marTop w:val="0"/>
      <w:marBottom w:val="0"/>
      <w:divBdr>
        <w:top w:val="none" w:sz="0" w:space="0" w:color="auto"/>
        <w:left w:val="none" w:sz="0" w:space="0" w:color="auto"/>
        <w:bottom w:val="none" w:sz="0" w:space="0" w:color="auto"/>
        <w:right w:val="none" w:sz="0" w:space="0" w:color="auto"/>
      </w:divBdr>
    </w:div>
    <w:div w:id="22480162">
      <w:bodyDiv w:val="1"/>
      <w:marLeft w:val="0"/>
      <w:marRight w:val="0"/>
      <w:marTop w:val="0"/>
      <w:marBottom w:val="0"/>
      <w:divBdr>
        <w:top w:val="none" w:sz="0" w:space="0" w:color="auto"/>
        <w:left w:val="none" w:sz="0" w:space="0" w:color="auto"/>
        <w:bottom w:val="none" w:sz="0" w:space="0" w:color="auto"/>
        <w:right w:val="none" w:sz="0" w:space="0" w:color="auto"/>
      </w:divBdr>
    </w:div>
    <w:div w:id="202250233">
      <w:bodyDiv w:val="1"/>
      <w:marLeft w:val="0"/>
      <w:marRight w:val="0"/>
      <w:marTop w:val="0"/>
      <w:marBottom w:val="0"/>
      <w:divBdr>
        <w:top w:val="none" w:sz="0" w:space="0" w:color="auto"/>
        <w:left w:val="none" w:sz="0" w:space="0" w:color="auto"/>
        <w:bottom w:val="none" w:sz="0" w:space="0" w:color="auto"/>
        <w:right w:val="none" w:sz="0" w:space="0" w:color="auto"/>
      </w:divBdr>
    </w:div>
    <w:div w:id="275261416">
      <w:bodyDiv w:val="1"/>
      <w:marLeft w:val="0"/>
      <w:marRight w:val="0"/>
      <w:marTop w:val="0"/>
      <w:marBottom w:val="0"/>
      <w:divBdr>
        <w:top w:val="none" w:sz="0" w:space="0" w:color="auto"/>
        <w:left w:val="none" w:sz="0" w:space="0" w:color="auto"/>
        <w:bottom w:val="none" w:sz="0" w:space="0" w:color="auto"/>
        <w:right w:val="none" w:sz="0" w:space="0" w:color="auto"/>
      </w:divBdr>
    </w:div>
    <w:div w:id="310789523">
      <w:bodyDiv w:val="1"/>
      <w:marLeft w:val="0"/>
      <w:marRight w:val="0"/>
      <w:marTop w:val="0"/>
      <w:marBottom w:val="0"/>
      <w:divBdr>
        <w:top w:val="none" w:sz="0" w:space="0" w:color="auto"/>
        <w:left w:val="none" w:sz="0" w:space="0" w:color="auto"/>
        <w:bottom w:val="none" w:sz="0" w:space="0" w:color="auto"/>
        <w:right w:val="none" w:sz="0" w:space="0" w:color="auto"/>
      </w:divBdr>
    </w:div>
    <w:div w:id="340476075">
      <w:bodyDiv w:val="1"/>
      <w:marLeft w:val="0"/>
      <w:marRight w:val="0"/>
      <w:marTop w:val="0"/>
      <w:marBottom w:val="0"/>
      <w:divBdr>
        <w:top w:val="none" w:sz="0" w:space="0" w:color="auto"/>
        <w:left w:val="none" w:sz="0" w:space="0" w:color="auto"/>
        <w:bottom w:val="none" w:sz="0" w:space="0" w:color="auto"/>
        <w:right w:val="none" w:sz="0" w:space="0" w:color="auto"/>
      </w:divBdr>
    </w:div>
    <w:div w:id="425198154">
      <w:bodyDiv w:val="1"/>
      <w:marLeft w:val="0"/>
      <w:marRight w:val="0"/>
      <w:marTop w:val="0"/>
      <w:marBottom w:val="0"/>
      <w:divBdr>
        <w:top w:val="none" w:sz="0" w:space="0" w:color="auto"/>
        <w:left w:val="none" w:sz="0" w:space="0" w:color="auto"/>
        <w:bottom w:val="none" w:sz="0" w:space="0" w:color="auto"/>
        <w:right w:val="none" w:sz="0" w:space="0" w:color="auto"/>
      </w:divBdr>
    </w:div>
    <w:div w:id="990327012">
      <w:bodyDiv w:val="1"/>
      <w:marLeft w:val="0"/>
      <w:marRight w:val="0"/>
      <w:marTop w:val="0"/>
      <w:marBottom w:val="0"/>
      <w:divBdr>
        <w:top w:val="none" w:sz="0" w:space="0" w:color="auto"/>
        <w:left w:val="none" w:sz="0" w:space="0" w:color="auto"/>
        <w:bottom w:val="none" w:sz="0" w:space="0" w:color="auto"/>
        <w:right w:val="none" w:sz="0" w:space="0" w:color="auto"/>
      </w:divBdr>
    </w:div>
    <w:div w:id="1048606711">
      <w:bodyDiv w:val="1"/>
      <w:marLeft w:val="0"/>
      <w:marRight w:val="0"/>
      <w:marTop w:val="0"/>
      <w:marBottom w:val="0"/>
      <w:divBdr>
        <w:top w:val="none" w:sz="0" w:space="0" w:color="auto"/>
        <w:left w:val="none" w:sz="0" w:space="0" w:color="auto"/>
        <w:bottom w:val="none" w:sz="0" w:space="0" w:color="auto"/>
        <w:right w:val="none" w:sz="0" w:space="0" w:color="auto"/>
      </w:divBdr>
    </w:div>
    <w:div w:id="1208953249">
      <w:bodyDiv w:val="1"/>
      <w:marLeft w:val="0"/>
      <w:marRight w:val="0"/>
      <w:marTop w:val="0"/>
      <w:marBottom w:val="0"/>
      <w:divBdr>
        <w:top w:val="none" w:sz="0" w:space="0" w:color="auto"/>
        <w:left w:val="none" w:sz="0" w:space="0" w:color="auto"/>
        <w:bottom w:val="none" w:sz="0" w:space="0" w:color="auto"/>
        <w:right w:val="none" w:sz="0" w:space="0" w:color="auto"/>
      </w:divBdr>
    </w:div>
    <w:div w:id="1271547976">
      <w:bodyDiv w:val="1"/>
      <w:marLeft w:val="0"/>
      <w:marRight w:val="0"/>
      <w:marTop w:val="0"/>
      <w:marBottom w:val="0"/>
      <w:divBdr>
        <w:top w:val="none" w:sz="0" w:space="0" w:color="auto"/>
        <w:left w:val="none" w:sz="0" w:space="0" w:color="auto"/>
        <w:bottom w:val="none" w:sz="0" w:space="0" w:color="auto"/>
        <w:right w:val="none" w:sz="0" w:space="0" w:color="auto"/>
      </w:divBdr>
    </w:div>
    <w:div w:id="1280068727">
      <w:bodyDiv w:val="1"/>
      <w:marLeft w:val="0"/>
      <w:marRight w:val="0"/>
      <w:marTop w:val="0"/>
      <w:marBottom w:val="0"/>
      <w:divBdr>
        <w:top w:val="none" w:sz="0" w:space="0" w:color="auto"/>
        <w:left w:val="none" w:sz="0" w:space="0" w:color="auto"/>
        <w:bottom w:val="none" w:sz="0" w:space="0" w:color="auto"/>
        <w:right w:val="none" w:sz="0" w:space="0" w:color="auto"/>
      </w:divBdr>
    </w:div>
    <w:div w:id="1341279985">
      <w:bodyDiv w:val="1"/>
      <w:marLeft w:val="0"/>
      <w:marRight w:val="0"/>
      <w:marTop w:val="0"/>
      <w:marBottom w:val="0"/>
      <w:divBdr>
        <w:top w:val="none" w:sz="0" w:space="0" w:color="auto"/>
        <w:left w:val="none" w:sz="0" w:space="0" w:color="auto"/>
        <w:bottom w:val="none" w:sz="0" w:space="0" w:color="auto"/>
        <w:right w:val="none" w:sz="0" w:space="0" w:color="auto"/>
      </w:divBdr>
    </w:div>
    <w:div w:id="1539470735">
      <w:bodyDiv w:val="1"/>
      <w:marLeft w:val="0"/>
      <w:marRight w:val="0"/>
      <w:marTop w:val="0"/>
      <w:marBottom w:val="0"/>
      <w:divBdr>
        <w:top w:val="none" w:sz="0" w:space="0" w:color="auto"/>
        <w:left w:val="none" w:sz="0" w:space="0" w:color="auto"/>
        <w:bottom w:val="none" w:sz="0" w:space="0" w:color="auto"/>
        <w:right w:val="none" w:sz="0" w:space="0" w:color="auto"/>
      </w:divBdr>
    </w:div>
    <w:div w:id="1598295789">
      <w:bodyDiv w:val="1"/>
      <w:marLeft w:val="0"/>
      <w:marRight w:val="0"/>
      <w:marTop w:val="0"/>
      <w:marBottom w:val="0"/>
      <w:divBdr>
        <w:top w:val="none" w:sz="0" w:space="0" w:color="auto"/>
        <w:left w:val="none" w:sz="0" w:space="0" w:color="auto"/>
        <w:bottom w:val="none" w:sz="0" w:space="0" w:color="auto"/>
        <w:right w:val="none" w:sz="0" w:space="0" w:color="auto"/>
      </w:divBdr>
    </w:div>
    <w:div w:id="1646857284">
      <w:bodyDiv w:val="1"/>
      <w:marLeft w:val="0"/>
      <w:marRight w:val="0"/>
      <w:marTop w:val="0"/>
      <w:marBottom w:val="0"/>
      <w:divBdr>
        <w:top w:val="none" w:sz="0" w:space="0" w:color="auto"/>
        <w:left w:val="none" w:sz="0" w:space="0" w:color="auto"/>
        <w:bottom w:val="none" w:sz="0" w:space="0" w:color="auto"/>
        <w:right w:val="none" w:sz="0" w:space="0" w:color="auto"/>
      </w:divBdr>
    </w:div>
    <w:div w:id="1811555375">
      <w:bodyDiv w:val="1"/>
      <w:marLeft w:val="0"/>
      <w:marRight w:val="0"/>
      <w:marTop w:val="0"/>
      <w:marBottom w:val="0"/>
      <w:divBdr>
        <w:top w:val="none" w:sz="0" w:space="0" w:color="auto"/>
        <w:left w:val="none" w:sz="0" w:space="0" w:color="auto"/>
        <w:bottom w:val="none" w:sz="0" w:space="0" w:color="auto"/>
        <w:right w:val="none" w:sz="0" w:space="0" w:color="auto"/>
      </w:divBdr>
    </w:div>
    <w:div w:id="1832410612">
      <w:bodyDiv w:val="1"/>
      <w:marLeft w:val="0"/>
      <w:marRight w:val="0"/>
      <w:marTop w:val="0"/>
      <w:marBottom w:val="0"/>
      <w:divBdr>
        <w:top w:val="none" w:sz="0" w:space="0" w:color="auto"/>
        <w:left w:val="none" w:sz="0" w:space="0" w:color="auto"/>
        <w:bottom w:val="none" w:sz="0" w:space="0" w:color="auto"/>
        <w:right w:val="none" w:sz="0" w:space="0" w:color="auto"/>
      </w:divBdr>
    </w:div>
    <w:div w:id="2066219517">
      <w:bodyDiv w:val="1"/>
      <w:marLeft w:val="0"/>
      <w:marRight w:val="0"/>
      <w:marTop w:val="0"/>
      <w:marBottom w:val="0"/>
      <w:divBdr>
        <w:top w:val="none" w:sz="0" w:space="0" w:color="auto"/>
        <w:left w:val="none" w:sz="0" w:space="0" w:color="auto"/>
        <w:bottom w:val="none" w:sz="0" w:space="0" w:color="auto"/>
        <w:right w:val="none" w:sz="0" w:space="0" w:color="auto"/>
      </w:divBdr>
    </w:div>
    <w:div w:id="2087995736">
      <w:bodyDiv w:val="1"/>
      <w:marLeft w:val="0"/>
      <w:marRight w:val="0"/>
      <w:marTop w:val="0"/>
      <w:marBottom w:val="0"/>
      <w:divBdr>
        <w:top w:val="none" w:sz="0" w:space="0" w:color="auto"/>
        <w:left w:val="none" w:sz="0" w:space="0" w:color="auto"/>
        <w:bottom w:val="none" w:sz="0" w:space="0" w:color="auto"/>
        <w:right w:val="none" w:sz="0" w:space="0" w:color="auto"/>
      </w:divBdr>
    </w:div>
    <w:div w:id="2097364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areers/our-culture-of-inclusion/our-commit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era.accor.com/static/media/ACCOR_Ethics_and_Corporate_Social_Responsibility_Charter_20_ENG.f98ff6ec.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org/globalassets/media/knowledge/knowledge-hub/reports/hr-and-its-role-in-innovation_2013-part-4-challenge-for-hr_tcm18-9960.pdf" TargetMode="External"/><Relationship Id="rId5" Type="http://schemas.openxmlformats.org/officeDocument/2006/relationships/footnotes" Target="footnotes.xml"/><Relationship Id="rId10" Type="http://schemas.openxmlformats.org/officeDocument/2006/relationships/hyperlink" Target="https://group.accor.com/en/group/who-we-are/our-history" TargetMode="External"/><Relationship Id="rId4" Type="http://schemas.openxmlformats.org/officeDocument/2006/relationships/webSettings" Target="webSettings.xml"/><Relationship Id="rId9" Type="http://schemas.openxmlformats.org/officeDocument/2006/relationships/hyperlink" Target="https://group.accor.com/en/commitment/approach/tools-repor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507B6-6CD8-4254-9180-0CA0866B1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11</Pages>
  <Words>3018</Words>
  <Characters>17206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2024-05-13T10:31:00Z</dcterms:created>
  <dcterms:modified xsi:type="dcterms:W3CDTF">2024-05-13T12:21:00Z</dcterms:modified>
</cp:coreProperties>
</file>