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15163476"/>
        <w:docPartObj>
          <w:docPartGallery w:val="Cover Pages"/>
          <w:docPartUnique/>
        </w:docPartObj>
      </w:sdtPr>
      <w:sdtEndPr>
        <w:rPr>
          <w:sz w:val="24"/>
          <w:szCs w:val="24"/>
        </w:rPr>
      </w:sdtEndPr>
      <w:sdtContent>
        <w:p w14:paraId="2DA5CAC0" w14:textId="2EE4936F" w:rsidR="00CF1B19" w:rsidRDefault="00CF2090">
          <w:r>
            <w:t xml:space="preserve">                                                                                                                                                           12 March 2024</w:t>
          </w:r>
        </w:p>
        <w:p w14:paraId="19E172DA" w14:textId="48891B4D" w:rsidR="00CF1B19" w:rsidRDefault="00CF1B19">
          <w:pPr>
            <w:spacing w:after="160" w:line="259" w:lineRule="auto"/>
            <w:rPr>
              <w:sz w:val="24"/>
              <w:szCs w:val="24"/>
            </w:rPr>
          </w:pPr>
          <w:r>
            <w:rPr>
              <w:noProof/>
            </w:rPr>
            <mc:AlternateContent>
              <mc:Choice Requires="wps">
                <w:drawing>
                  <wp:anchor distT="0" distB="0" distL="114300" distR="114300" simplePos="0" relativeHeight="251662336" behindDoc="0" locked="0" layoutInCell="1" allowOverlap="1" wp14:anchorId="1704F3BE" wp14:editId="3407760C">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2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0A1D30" w:themeColor="text2" w:themeShade="BF"/>
                                    <w:sz w:val="24"/>
                                    <w:szCs w:val="24"/>
                                  </w:rPr>
                                  <w:alias w:val="Publish Date"/>
                                  <w:tag w:val=""/>
                                  <w:id w:val="400952559"/>
                                  <w:showingPlcHdr/>
                                  <w:dataBinding w:prefixMappings="xmlns:ns0='http://schemas.microsoft.com/office/2006/coverPageProps' " w:xpath="/ns0:CoverPageProperties[1]/ns0:PublishDate[1]" w:storeItemID="{55AF091B-3C7A-41E3-B477-F2FDAA23CFDA}"/>
                                  <w:date w:fullDate="2024-03-12T00:00:00Z">
                                    <w:dateFormat w:val="MMMM d, yyyy"/>
                                    <w:lid w:val="en-US"/>
                                    <w:storeMappedDataAs w:val="dateTime"/>
                                    <w:calendar w:val="gregorian"/>
                                  </w:date>
                                </w:sdtPr>
                                <w:sdtContent>
                                  <w:p w14:paraId="0AFE1AEA" w14:textId="1F69672C" w:rsidR="00CF1B19" w:rsidRDefault="00DF4CD0">
                                    <w:pPr>
                                      <w:pStyle w:val="NoSpacing"/>
                                      <w:jc w:val="right"/>
                                      <w:rPr>
                                        <w:caps/>
                                        <w:color w:val="0A1D30" w:themeColor="text2" w:themeShade="BF"/>
                                        <w:sz w:val="40"/>
                                        <w:szCs w:val="40"/>
                                      </w:rPr>
                                    </w:pPr>
                                    <w:r>
                                      <w:rPr>
                                        <w:rFonts w:ascii="Times New Roman" w:hAnsi="Times New Roman" w:cs="Times New Roman"/>
                                        <w:caps/>
                                        <w:color w:val="0A1D30" w:themeColor="text2" w:themeShade="BF"/>
                                        <w:sz w:val="24"/>
                                        <w:szCs w:val="24"/>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1704F3BE" id="_x0000_t202" coordsize="21600,21600" o:spt="202" path="m,l,21600r21600,l21600,xe">
                    <v:stroke joinstyle="miter"/>
                    <v:path gradientshapeok="t" o:connecttype="rect"/>
                  </v:shapetype>
                  <v:shape id="Text Box 2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rFonts w:ascii="Times New Roman" w:hAnsi="Times New Roman" w:cs="Times New Roman"/>
                              <w:caps/>
                              <w:color w:val="0A1D30" w:themeColor="text2" w:themeShade="BF"/>
                              <w:sz w:val="24"/>
                              <w:szCs w:val="24"/>
                            </w:rPr>
                            <w:alias w:val="Publish Date"/>
                            <w:tag w:val=""/>
                            <w:id w:val="400952559"/>
                            <w:showingPlcHdr/>
                            <w:dataBinding w:prefixMappings="xmlns:ns0='http://schemas.microsoft.com/office/2006/coverPageProps' " w:xpath="/ns0:CoverPageProperties[1]/ns0:PublishDate[1]" w:storeItemID="{55AF091B-3C7A-41E3-B477-F2FDAA23CFDA}"/>
                            <w:date w:fullDate="2024-03-12T00:00:00Z">
                              <w:dateFormat w:val="MMMM d, yyyy"/>
                              <w:lid w:val="en-US"/>
                              <w:storeMappedDataAs w:val="dateTime"/>
                              <w:calendar w:val="gregorian"/>
                            </w:date>
                          </w:sdtPr>
                          <w:sdtContent>
                            <w:p w14:paraId="0AFE1AEA" w14:textId="1F69672C" w:rsidR="00CF1B19" w:rsidRDefault="00DF4CD0">
                              <w:pPr>
                                <w:pStyle w:val="NoSpacing"/>
                                <w:jc w:val="right"/>
                                <w:rPr>
                                  <w:caps/>
                                  <w:color w:val="0A1D30" w:themeColor="text2" w:themeShade="BF"/>
                                  <w:sz w:val="40"/>
                                  <w:szCs w:val="40"/>
                                </w:rPr>
                              </w:pPr>
                              <w:r>
                                <w:rPr>
                                  <w:rFonts w:ascii="Times New Roman" w:hAnsi="Times New Roman" w:cs="Times New Roman"/>
                                  <w:caps/>
                                  <w:color w:val="0A1D30" w:themeColor="text2" w:themeShade="BF"/>
                                  <w:sz w:val="24"/>
                                  <w:szCs w:val="24"/>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D4882C7" wp14:editId="1BC74FFF">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2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262626" w:themeColor="text1" w:themeTint="D9"/>
                                    <w:sz w:val="24"/>
                                    <w:szCs w:val="24"/>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33968119" w14:textId="623A2B2D" w:rsidR="00CF1B19" w:rsidRPr="00CF1B19" w:rsidRDefault="00CF1B19">
                                    <w:pPr>
                                      <w:pStyle w:val="NoSpacing"/>
                                      <w:jc w:val="right"/>
                                      <w:rPr>
                                        <w:rFonts w:ascii="Times New Roman" w:hAnsi="Times New Roman" w:cs="Times New Roman"/>
                                        <w:caps/>
                                        <w:color w:val="262626" w:themeColor="text1" w:themeTint="D9"/>
                                        <w:sz w:val="24"/>
                                        <w:szCs w:val="24"/>
                                      </w:rPr>
                                    </w:pPr>
                                    <w:r w:rsidRPr="00CF1B19">
                                      <w:rPr>
                                        <w:rFonts w:ascii="Times New Roman" w:hAnsi="Times New Roman" w:cs="Times New Roman"/>
                                        <w:caps/>
                                        <w:color w:val="262626" w:themeColor="text1" w:themeTint="D9"/>
                                        <w:sz w:val="24"/>
                                        <w:szCs w:val="24"/>
                                      </w:rPr>
                                      <w:t>Gareth Jenkins</w:t>
                                    </w:r>
                                  </w:p>
                                </w:sdtContent>
                              </w:sdt>
                              <w:p w14:paraId="2FE3752C" w14:textId="32671995" w:rsidR="00CF1B19" w:rsidRPr="00CF1B19" w:rsidRDefault="00000000">
                                <w:pPr>
                                  <w:pStyle w:val="NoSpacing"/>
                                  <w:jc w:val="right"/>
                                  <w:rPr>
                                    <w:rFonts w:ascii="Times New Roman" w:hAnsi="Times New Roman" w:cs="Times New Roman"/>
                                    <w:caps/>
                                    <w:color w:val="262626" w:themeColor="text1" w:themeTint="D9"/>
                                    <w:sz w:val="20"/>
                                    <w:szCs w:val="20"/>
                                  </w:rPr>
                                </w:pPr>
                                <w:sdt>
                                  <w:sdtPr>
                                    <w:rPr>
                                      <w:rFonts w:ascii="Times New Roman" w:hAnsi="Times New Roman" w:cs="Times New Roman"/>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CF1B19" w:rsidRPr="00CF1B19">
                                      <w:rPr>
                                        <w:rFonts w:ascii="Times New Roman" w:hAnsi="Times New Roman" w:cs="Times New Roman"/>
                                        <w:caps/>
                                        <w:color w:val="262626" w:themeColor="text1" w:themeTint="D9"/>
                                        <w:sz w:val="20"/>
                                        <w:szCs w:val="20"/>
                                      </w:rPr>
                                      <w:t>Student number 99091195</w:t>
                                    </w:r>
                                  </w:sdtContent>
                                </w:sdt>
                              </w:p>
                              <w:p w14:paraId="4412F1B3" w14:textId="1BDF3439" w:rsidR="00CF1B19" w:rsidRDefault="00000000">
                                <w:pPr>
                                  <w:pStyle w:val="NoSpacing"/>
                                  <w:jc w:val="right"/>
                                  <w:rPr>
                                    <w:caps/>
                                    <w:color w:val="262626" w:themeColor="text1" w:themeTint="D9"/>
                                    <w:sz w:val="20"/>
                                    <w:szCs w:val="20"/>
                                  </w:rPr>
                                </w:pPr>
                                <w:sdt>
                                  <w:sdtPr>
                                    <w:rPr>
                                      <w:rFonts w:ascii="Times New Roman" w:hAnsi="Times New Roman" w:cs="Times New Roman"/>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CF1B19">
                                      <w:rPr>
                                        <w:rFonts w:ascii="Times New Roman" w:hAnsi="Times New Roman" w:cs="Times New Roman"/>
                                        <w:color w:val="262626" w:themeColor="text1" w:themeTint="D9"/>
                                        <w:sz w:val="20"/>
                                        <w:szCs w:val="20"/>
                                      </w:rPr>
                                      <w:t xml:space="preserve">     </w:t>
                                    </w:r>
                                  </w:sdtContent>
                                </w:sdt>
                                <w:r w:rsidR="00CF1B19">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1D4882C7" id="Text Box 2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sdt>
                          <w:sdtPr>
                            <w:rPr>
                              <w:rFonts w:ascii="Times New Roman" w:hAnsi="Times New Roman" w:cs="Times New Roman"/>
                              <w:caps/>
                              <w:color w:val="262626" w:themeColor="text1" w:themeTint="D9"/>
                              <w:sz w:val="24"/>
                              <w:szCs w:val="24"/>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33968119" w14:textId="623A2B2D" w:rsidR="00CF1B19" w:rsidRPr="00CF1B19" w:rsidRDefault="00CF1B19">
                              <w:pPr>
                                <w:pStyle w:val="NoSpacing"/>
                                <w:jc w:val="right"/>
                                <w:rPr>
                                  <w:rFonts w:ascii="Times New Roman" w:hAnsi="Times New Roman" w:cs="Times New Roman"/>
                                  <w:caps/>
                                  <w:color w:val="262626" w:themeColor="text1" w:themeTint="D9"/>
                                  <w:sz w:val="24"/>
                                  <w:szCs w:val="24"/>
                                </w:rPr>
                              </w:pPr>
                              <w:r w:rsidRPr="00CF1B19">
                                <w:rPr>
                                  <w:rFonts w:ascii="Times New Roman" w:hAnsi="Times New Roman" w:cs="Times New Roman"/>
                                  <w:caps/>
                                  <w:color w:val="262626" w:themeColor="text1" w:themeTint="D9"/>
                                  <w:sz w:val="24"/>
                                  <w:szCs w:val="24"/>
                                </w:rPr>
                                <w:t>Gareth Jenkins</w:t>
                              </w:r>
                            </w:p>
                          </w:sdtContent>
                        </w:sdt>
                        <w:p w14:paraId="2FE3752C" w14:textId="32671995" w:rsidR="00CF1B19" w:rsidRPr="00CF1B19" w:rsidRDefault="00000000">
                          <w:pPr>
                            <w:pStyle w:val="NoSpacing"/>
                            <w:jc w:val="right"/>
                            <w:rPr>
                              <w:rFonts w:ascii="Times New Roman" w:hAnsi="Times New Roman" w:cs="Times New Roman"/>
                              <w:caps/>
                              <w:color w:val="262626" w:themeColor="text1" w:themeTint="D9"/>
                              <w:sz w:val="20"/>
                              <w:szCs w:val="20"/>
                            </w:rPr>
                          </w:pPr>
                          <w:sdt>
                            <w:sdtPr>
                              <w:rPr>
                                <w:rFonts w:ascii="Times New Roman" w:hAnsi="Times New Roman" w:cs="Times New Roman"/>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CF1B19" w:rsidRPr="00CF1B19">
                                <w:rPr>
                                  <w:rFonts w:ascii="Times New Roman" w:hAnsi="Times New Roman" w:cs="Times New Roman"/>
                                  <w:caps/>
                                  <w:color w:val="262626" w:themeColor="text1" w:themeTint="D9"/>
                                  <w:sz w:val="20"/>
                                  <w:szCs w:val="20"/>
                                </w:rPr>
                                <w:t>Student number 99091195</w:t>
                              </w:r>
                            </w:sdtContent>
                          </w:sdt>
                        </w:p>
                        <w:p w14:paraId="4412F1B3" w14:textId="1BDF3439" w:rsidR="00CF1B19" w:rsidRDefault="00000000">
                          <w:pPr>
                            <w:pStyle w:val="NoSpacing"/>
                            <w:jc w:val="right"/>
                            <w:rPr>
                              <w:caps/>
                              <w:color w:val="262626" w:themeColor="text1" w:themeTint="D9"/>
                              <w:sz w:val="20"/>
                              <w:szCs w:val="20"/>
                            </w:rPr>
                          </w:pPr>
                          <w:sdt>
                            <w:sdtPr>
                              <w:rPr>
                                <w:rFonts w:ascii="Times New Roman" w:hAnsi="Times New Roman" w:cs="Times New Roman"/>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CF1B19">
                                <w:rPr>
                                  <w:rFonts w:ascii="Times New Roman" w:hAnsi="Times New Roman" w:cs="Times New Roman"/>
                                  <w:color w:val="262626" w:themeColor="text1" w:themeTint="D9"/>
                                  <w:sz w:val="20"/>
                                  <w:szCs w:val="20"/>
                                </w:rPr>
                                <w:t xml:space="preserve">     </w:t>
                              </w:r>
                            </w:sdtContent>
                          </w:sdt>
                          <w:r w:rsidR="00CF1B19">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F3123FE" wp14:editId="2B3EB4BF">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2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47C72F" w14:textId="5CAF5D0D" w:rsidR="00CF1B19" w:rsidRPr="00CF1B19" w:rsidRDefault="00000000">
                                <w:pPr>
                                  <w:pStyle w:val="NoSpacing"/>
                                  <w:jc w:val="right"/>
                                  <w:rPr>
                                    <w:rFonts w:ascii="Times New Roman" w:hAnsi="Times New Roman" w:cs="Times New Roman"/>
                                    <w:caps/>
                                    <w:color w:val="0A1D30" w:themeColor="text2" w:themeShade="BF"/>
                                    <w:sz w:val="52"/>
                                    <w:szCs w:val="52"/>
                                  </w:rPr>
                                </w:pPr>
                                <w:sdt>
                                  <w:sdtPr>
                                    <w:rPr>
                                      <w:rFonts w:ascii="Times New Roman" w:hAnsi="Times New Roman" w:cs="Times New Roman"/>
                                      <w:sz w:val="28"/>
                                      <w:szCs w:val="28"/>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CF1B19" w:rsidRPr="00CF1B19">
                                      <w:rPr>
                                        <w:rFonts w:ascii="Times New Roman" w:hAnsi="Times New Roman" w:cs="Times New Roman"/>
                                        <w:sz w:val="28"/>
                                        <w:szCs w:val="28"/>
                                      </w:rPr>
                                      <w:t>What does the study of archaeological remains – ancient burials, cemeteries, and tombs of the Natufian culture in the Levant tell us about ancient burial practices and/or beliefs in an afterlife?</w:t>
                                    </w:r>
                                  </w:sdtContent>
                                </w:sdt>
                              </w:p>
                              <w:sdt>
                                <w:sdtPr>
                                  <w:rPr>
                                    <w:rFonts w:ascii="Times New Roman" w:hAnsi="Times New Roman" w:cs="Times New Roman"/>
                                    <w:smallCaps/>
                                    <w:color w:val="0E2841" w:themeColor="text2"/>
                                    <w:sz w:val="20"/>
                                    <w:szCs w:val="20"/>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4EB11EAE" w14:textId="7A8960AD" w:rsidR="00CF1B19" w:rsidRDefault="00CF1B19">
                                    <w:pPr>
                                      <w:pStyle w:val="NoSpacing"/>
                                      <w:jc w:val="right"/>
                                      <w:rPr>
                                        <w:smallCaps/>
                                        <w:color w:val="0E2841" w:themeColor="text2"/>
                                        <w:sz w:val="36"/>
                                        <w:szCs w:val="36"/>
                                      </w:rPr>
                                    </w:pPr>
                                    <w:r w:rsidRPr="00CF1B19">
                                      <w:rPr>
                                        <w:rFonts w:ascii="Times New Roman" w:hAnsi="Times New Roman" w:cs="Times New Roman"/>
                                        <w:smallCaps/>
                                        <w:color w:val="0E2841" w:themeColor="text2"/>
                                        <w:sz w:val="20"/>
                                        <w:szCs w:val="20"/>
                                      </w:rPr>
                                      <w:t>HPHP4002 Death, Burial and the Afterlife.</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4F3123FE" id="Text Box 2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1A47C72F" w14:textId="5CAF5D0D" w:rsidR="00CF1B19" w:rsidRPr="00CF1B19" w:rsidRDefault="00000000">
                          <w:pPr>
                            <w:pStyle w:val="NoSpacing"/>
                            <w:jc w:val="right"/>
                            <w:rPr>
                              <w:rFonts w:ascii="Times New Roman" w:hAnsi="Times New Roman" w:cs="Times New Roman"/>
                              <w:caps/>
                              <w:color w:val="0A1D30" w:themeColor="text2" w:themeShade="BF"/>
                              <w:sz w:val="52"/>
                              <w:szCs w:val="52"/>
                            </w:rPr>
                          </w:pPr>
                          <w:sdt>
                            <w:sdtPr>
                              <w:rPr>
                                <w:rFonts w:ascii="Times New Roman" w:hAnsi="Times New Roman" w:cs="Times New Roman"/>
                                <w:sz w:val="28"/>
                                <w:szCs w:val="28"/>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CF1B19" w:rsidRPr="00CF1B19">
                                <w:rPr>
                                  <w:rFonts w:ascii="Times New Roman" w:hAnsi="Times New Roman" w:cs="Times New Roman"/>
                                  <w:sz w:val="28"/>
                                  <w:szCs w:val="28"/>
                                </w:rPr>
                                <w:t>What does the study of archaeological remains – ancient burials, cemeteries, and tombs of the Natufian culture in the Levant tell us about ancient burial practices and/or beliefs in an afterlife?</w:t>
                              </w:r>
                            </w:sdtContent>
                          </w:sdt>
                        </w:p>
                        <w:sdt>
                          <w:sdtPr>
                            <w:rPr>
                              <w:rFonts w:ascii="Times New Roman" w:hAnsi="Times New Roman" w:cs="Times New Roman"/>
                              <w:smallCaps/>
                              <w:color w:val="0E2841" w:themeColor="text2"/>
                              <w:sz w:val="20"/>
                              <w:szCs w:val="20"/>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4EB11EAE" w14:textId="7A8960AD" w:rsidR="00CF1B19" w:rsidRDefault="00CF1B19">
                              <w:pPr>
                                <w:pStyle w:val="NoSpacing"/>
                                <w:jc w:val="right"/>
                                <w:rPr>
                                  <w:smallCaps/>
                                  <w:color w:val="0E2841" w:themeColor="text2"/>
                                  <w:sz w:val="36"/>
                                  <w:szCs w:val="36"/>
                                </w:rPr>
                              </w:pPr>
                              <w:r w:rsidRPr="00CF1B19">
                                <w:rPr>
                                  <w:rFonts w:ascii="Times New Roman" w:hAnsi="Times New Roman" w:cs="Times New Roman"/>
                                  <w:smallCaps/>
                                  <w:color w:val="0E2841" w:themeColor="text2"/>
                                  <w:sz w:val="20"/>
                                  <w:szCs w:val="20"/>
                                </w:rPr>
                                <w:t>HPHP4002 Death, Burial and the Afterlife.</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1FA8DC54" wp14:editId="2C194D4C">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2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7B9930F6" id="Group 2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97132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156082 [3204]" stroked="f" strokeweight="1pt">
                      <o:lock v:ext="edit" aspectratio="t"/>
                    </v:rect>
                    <w10:wrap anchorx="page" anchory="page"/>
                  </v:group>
                </w:pict>
              </mc:Fallback>
            </mc:AlternateContent>
          </w:r>
          <w:r>
            <w:rPr>
              <w:sz w:val="24"/>
              <w:szCs w:val="24"/>
            </w:rPr>
            <w:br w:type="page"/>
          </w:r>
        </w:p>
      </w:sdtContent>
    </w:sdt>
    <w:p w14:paraId="5F6E2D43" w14:textId="6B1EDBC1" w:rsidR="00D30001" w:rsidRPr="00D50EB1" w:rsidRDefault="00D30001" w:rsidP="00260A38">
      <w:pPr>
        <w:rPr>
          <w:sz w:val="28"/>
          <w:szCs w:val="28"/>
        </w:rPr>
      </w:pPr>
      <w:r w:rsidRPr="00D50EB1">
        <w:rPr>
          <w:sz w:val="28"/>
          <w:szCs w:val="28"/>
        </w:rPr>
        <w:lastRenderedPageBreak/>
        <w:t xml:space="preserve">What does the study of archaeological remains – ancient burials, cemeteries, </w:t>
      </w:r>
      <w:r w:rsidR="00260A38" w:rsidRPr="00D50EB1">
        <w:rPr>
          <w:sz w:val="28"/>
          <w:szCs w:val="28"/>
        </w:rPr>
        <w:t xml:space="preserve">and </w:t>
      </w:r>
      <w:r w:rsidRPr="00D50EB1">
        <w:rPr>
          <w:sz w:val="28"/>
          <w:szCs w:val="28"/>
        </w:rPr>
        <w:t xml:space="preserve">tombs </w:t>
      </w:r>
      <w:r w:rsidR="00260A38" w:rsidRPr="00D50EB1">
        <w:rPr>
          <w:sz w:val="28"/>
          <w:szCs w:val="28"/>
        </w:rPr>
        <w:t xml:space="preserve">of the </w:t>
      </w:r>
      <w:r w:rsidR="00D50EB1" w:rsidRPr="00D50EB1">
        <w:rPr>
          <w:sz w:val="28"/>
          <w:szCs w:val="28"/>
        </w:rPr>
        <w:t xml:space="preserve">Natufian culture in the </w:t>
      </w:r>
      <w:r w:rsidR="00260A38" w:rsidRPr="00D50EB1">
        <w:rPr>
          <w:sz w:val="28"/>
          <w:szCs w:val="28"/>
        </w:rPr>
        <w:t>Levant</w:t>
      </w:r>
      <w:r w:rsidR="00D50EB1" w:rsidRPr="00D50EB1">
        <w:rPr>
          <w:sz w:val="28"/>
          <w:szCs w:val="28"/>
        </w:rPr>
        <w:t xml:space="preserve"> </w:t>
      </w:r>
      <w:r w:rsidRPr="00D50EB1">
        <w:rPr>
          <w:sz w:val="28"/>
          <w:szCs w:val="28"/>
        </w:rPr>
        <w:t xml:space="preserve">tell us about ancient burial practices and/or beliefs in an afterlife? </w:t>
      </w:r>
    </w:p>
    <w:p w14:paraId="148E0073" w14:textId="77777777" w:rsidR="00260A38" w:rsidRPr="00D30001" w:rsidRDefault="00260A38" w:rsidP="00260A38">
      <w:pPr>
        <w:rPr>
          <w:sz w:val="24"/>
          <w:szCs w:val="24"/>
        </w:rPr>
      </w:pPr>
    </w:p>
    <w:p w14:paraId="39D6E554" w14:textId="240C7597" w:rsidR="00DF1786" w:rsidRDefault="00260A38" w:rsidP="00762CD8">
      <w:pPr>
        <w:rPr>
          <w:sz w:val="24"/>
          <w:szCs w:val="24"/>
        </w:rPr>
      </w:pPr>
      <w:r>
        <w:rPr>
          <w:sz w:val="24"/>
          <w:szCs w:val="24"/>
        </w:rPr>
        <w:t>The Levant has been a</w:t>
      </w:r>
      <w:r w:rsidRPr="00260A38">
        <w:rPr>
          <w:sz w:val="24"/>
          <w:szCs w:val="24"/>
        </w:rPr>
        <w:t xml:space="preserve">n important area of archaeological study </w:t>
      </w:r>
      <w:r>
        <w:rPr>
          <w:sz w:val="24"/>
          <w:szCs w:val="24"/>
        </w:rPr>
        <w:t>for the</w:t>
      </w:r>
      <w:r w:rsidRPr="00260A38">
        <w:rPr>
          <w:sz w:val="24"/>
          <w:szCs w:val="24"/>
        </w:rPr>
        <w:t xml:space="preserve"> </w:t>
      </w:r>
      <w:r w:rsidR="00762CD8">
        <w:rPr>
          <w:sz w:val="24"/>
          <w:szCs w:val="24"/>
        </w:rPr>
        <w:t xml:space="preserve">Palaeolithic and </w:t>
      </w:r>
      <w:r w:rsidRPr="00260A38">
        <w:rPr>
          <w:sz w:val="24"/>
          <w:szCs w:val="24"/>
        </w:rPr>
        <w:t>Neolithic</w:t>
      </w:r>
      <w:r w:rsidR="00762CD8">
        <w:rPr>
          <w:sz w:val="24"/>
          <w:szCs w:val="24"/>
        </w:rPr>
        <w:t xml:space="preserve"> periods</w:t>
      </w:r>
      <w:r w:rsidRPr="00260A38">
        <w:rPr>
          <w:sz w:val="24"/>
          <w:szCs w:val="24"/>
        </w:rPr>
        <w:t>, and many of the key issues of human development are connected to it</w:t>
      </w:r>
      <w:r>
        <w:rPr>
          <w:sz w:val="24"/>
          <w:szCs w:val="24"/>
        </w:rPr>
        <w:t xml:space="preserve"> (Finlayson, 2014</w:t>
      </w:r>
      <w:r w:rsidR="0013642A">
        <w:rPr>
          <w:sz w:val="24"/>
          <w:szCs w:val="24"/>
        </w:rPr>
        <w:t>, p.122</w:t>
      </w:r>
      <w:r>
        <w:rPr>
          <w:sz w:val="24"/>
          <w:szCs w:val="24"/>
        </w:rPr>
        <w:t>)</w:t>
      </w:r>
      <w:r w:rsidRPr="00260A38">
        <w:rPr>
          <w:sz w:val="24"/>
          <w:szCs w:val="24"/>
        </w:rPr>
        <w:t>.</w:t>
      </w:r>
      <w:r w:rsidR="00BA0B44">
        <w:rPr>
          <w:sz w:val="24"/>
          <w:szCs w:val="24"/>
        </w:rPr>
        <w:t xml:space="preserve"> </w:t>
      </w:r>
      <w:r w:rsidR="00B4762A" w:rsidRPr="00012B12">
        <w:rPr>
          <w:sz w:val="24"/>
          <w:szCs w:val="24"/>
        </w:rPr>
        <w:t>The Epipaleolithic in the Levant is roughly comparable to the European Mesolithic</w:t>
      </w:r>
      <w:r w:rsidR="00B4762A">
        <w:rPr>
          <w:sz w:val="24"/>
          <w:szCs w:val="24"/>
        </w:rPr>
        <w:t xml:space="preserve"> (C.22,000 -10,00 BP) (Clark, 2012, p. 295)</w:t>
      </w:r>
      <w:r w:rsidR="00B4762A" w:rsidRPr="00012B12">
        <w:rPr>
          <w:sz w:val="24"/>
          <w:szCs w:val="24"/>
        </w:rPr>
        <w:t>.</w:t>
      </w:r>
      <w:r w:rsidR="00B4762A">
        <w:rPr>
          <w:sz w:val="24"/>
          <w:szCs w:val="24"/>
        </w:rPr>
        <w:t xml:space="preserve"> </w:t>
      </w:r>
      <w:r w:rsidR="00762CD8" w:rsidRPr="00762CD8">
        <w:rPr>
          <w:sz w:val="24"/>
          <w:szCs w:val="24"/>
        </w:rPr>
        <w:t>One of the main characteristics of the late Epi</w:t>
      </w:r>
      <w:r w:rsidR="00012B12">
        <w:rPr>
          <w:sz w:val="24"/>
          <w:szCs w:val="24"/>
        </w:rPr>
        <w:t>p</w:t>
      </w:r>
      <w:r w:rsidR="00762CD8" w:rsidRPr="00762CD8">
        <w:rPr>
          <w:sz w:val="24"/>
          <w:szCs w:val="24"/>
        </w:rPr>
        <w:t>a</w:t>
      </w:r>
      <w:r w:rsidR="00762CD8">
        <w:rPr>
          <w:sz w:val="24"/>
          <w:szCs w:val="24"/>
        </w:rPr>
        <w:t>l</w:t>
      </w:r>
      <w:r w:rsidR="00762CD8" w:rsidRPr="00762CD8">
        <w:rPr>
          <w:sz w:val="24"/>
          <w:szCs w:val="24"/>
        </w:rPr>
        <w:t xml:space="preserve">eolithic Natufian (c. 14,600–11,500 B.P.) is the presence of a high number of graves and the complexity </w:t>
      </w:r>
      <w:r w:rsidR="00762CD8">
        <w:rPr>
          <w:sz w:val="24"/>
          <w:szCs w:val="24"/>
        </w:rPr>
        <w:t>and</w:t>
      </w:r>
      <w:r w:rsidR="00762CD8" w:rsidRPr="00762CD8">
        <w:rPr>
          <w:sz w:val="24"/>
          <w:szCs w:val="24"/>
        </w:rPr>
        <w:t xml:space="preserve"> </w:t>
      </w:r>
      <w:r w:rsidR="00762CD8">
        <w:rPr>
          <w:sz w:val="24"/>
          <w:szCs w:val="24"/>
        </w:rPr>
        <w:t xml:space="preserve">variability of burial practices (Richter </w:t>
      </w:r>
      <w:r w:rsidR="00762CD8" w:rsidRPr="00E21BCD">
        <w:rPr>
          <w:i/>
          <w:iCs/>
          <w:sz w:val="24"/>
          <w:szCs w:val="24"/>
        </w:rPr>
        <w:t>et al</w:t>
      </w:r>
      <w:r w:rsidR="00E21BCD">
        <w:rPr>
          <w:i/>
          <w:iCs/>
          <w:sz w:val="24"/>
          <w:szCs w:val="24"/>
        </w:rPr>
        <w:t>.</w:t>
      </w:r>
      <w:r w:rsidR="00762CD8">
        <w:rPr>
          <w:sz w:val="24"/>
          <w:szCs w:val="24"/>
        </w:rPr>
        <w:t xml:space="preserve"> 2019</w:t>
      </w:r>
      <w:r w:rsidR="00E21BCD">
        <w:rPr>
          <w:sz w:val="24"/>
          <w:szCs w:val="24"/>
        </w:rPr>
        <w:t>, p.440</w:t>
      </w:r>
      <w:r w:rsidR="00762CD8">
        <w:rPr>
          <w:sz w:val="24"/>
          <w:szCs w:val="24"/>
        </w:rPr>
        <w:t>)</w:t>
      </w:r>
      <w:r w:rsidR="00762CD8" w:rsidRPr="00762CD8">
        <w:rPr>
          <w:sz w:val="24"/>
          <w:szCs w:val="24"/>
        </w:rPr>
        <w:t>.</w:t>
      </w:r>
      <w:r w:rsidR="00DF1786">
        <w:rPr>
          <w:sz w:val="24"/>
          <w:szCs w:val="24"/>
        </w:rPr>
        <w:t xml:space="preserve">This essay will </w:t>
      </w:r>
      <w:r w:rsidR="005E0AA1">
        <w:rPr>
          <w:sz w:val="24"/>
          <w:szCs w:val="24"/>
        </w:rPr>
        <w:t>examine</w:t>
      </w:r>
      <w:r w:rsidR="00DF1786">
        <w:rPr>
          <w:sz w:val="24"/>
          <w:szCs w:val="24"/>
        </w:rPr>
        <w:t xml:space="preserve"> archaeological records from investigations at a number of Natufian burial </w:t>
      </w:r>
      <w:r w:rsidR="00BA0B44">
        <w:rPr>
          <w:sz w:val="24"/>
          <w:szCs w:val="24"/>
        </w:rPr>
        <w:t>sites and</w:t>
      </w:r>
      <w:r w:rsidR="00DF1786">
        <w:rPr>
          <w:sz w:val="24"/>
          <w:szCs w:val="24"/>
        </w:rPr>
        <w:t xml:space="preserve"> will examine the various funerary practices identified</w:t>
      </w:r>
      <w:r w:rsidR="00BA0B44">
        <w:rPr>
          <w:sz w:val="24"/>
          <w:szCs w:val="24"/>
        </w:rPr>
        <w:t>. The essay will</w:t>
      </w:r>
      <w:r w:rsidR="00DF1786">
        <w:rPr>
          <w:sz w:val="24"/>
          <w:szCs w:val="24"/>
        </w:rPr>
        <w:t xml:space="preserve"> </w:t>
      </w:r>
      <w:r w:rsidR="005E0AA1">
        <w:rPr>
          <w:sz w:val="24"/>
          <w:szCs w:val="24"/>
        </w:rPr>
        <w:t>discuss</w:t>
      </w:r>
      <w:r w:rsidR="00BA0B44">
        <w:rPr>
          <w:sz w:val="24"/>
          <w:szCs w:val="24"/>
        </w:rPr>
        <w:t xml:space="preserve"> what can be established about the Natufian burial practices and their belief in the afterlife.</w:t>
      </w:r>
      <w:r w:rsidR="005949ED">
        <w:rPr>
          <w:sz w:val="24"/>
          <w:szCs w:val="24"/>
        </w:rPr>
        <w:t xml:space="preserve"> Figure 1 is a map of the Levant showing the locations of the major Natufian burial sites.</w:t>
      </w:r>
    </w:p>
    <w:p w14:paraId="2BCA7EA9" w14:textId="77777777" w:rsidR="005949ED" w:rsidRDefault="005949ED" w:rsidP="00762CD8">
      <w:pPr>
        <w:rPr>
          <w:sz w:val="24"/>
          <w:szCs w:val="24"/>
        </w:rPr>
      </w:pPr>
    </w:p>
    <w:p w14:paraId="049122E3" w14:textId="061BC84F" w:rsidR="005949ED" w:rsidRDefault="005949ED" w:rsidP="005949ED">
      <w:pPr>
        <w:jc w:val="center"/>
        <w:rPr>
          <w:sz w:val="24"/>
          <w:szCs w:val="24"/>
        </w:rPr>
      </w:pPr>
      <w:r>
        <w:rPr>
          <w:noProof/>
          <w:sz w:val="24"/>
          <w:szCs w:val="24"/>
        </w:rPr>
        <w:drawing>
          <wp:inline distT="0" distB="0" distL="0" distR="0" wp14:anchorId="72E04341" wp14:editId="1E40D46A">
            <wp:extent cx="3532315" cy="5772150"/>
            <wp:effectExtent l="0" t="0" r="0" b="0"/>
            <wp:docPr id="7063204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320424" name="Picture 706320424"/>
                    <pic:cNvPicPr/>
                  </pic:nvPicPr>
                  <pic:blipFill>
                    <a:blip r:embed="rId6">
                      <a:extLst>
                        <a:ext uri="{28A0092B-C50C-407E-A947-70E740481C1C}">
                          <a14:useLocalDpi xmlns:a14="http://schemas.microsoft.com/office/drawing/2010/main" val="0"/>
                        </a:ext>
                      </a:extLst>
                    </a:blip>
                    <a:stretch>
                      <a:fillRect/>
                    </a:stretch>
                  </pic:blipFill>
                  <pic:spPr>
                    <a:xfrm>
                      <a:off x="0" y="0"/>
                      <a:ext cx="3542196" cy="5788297"/>
                    </a:xfrm>
                    <a:prstGeom prst="rect">
                      <a:avLst/>
                    </a:prstGeom>
                  </pic:spPr>
                </pic:pic>
              </a:graphicData>
            </a:graphic>
          </wp:inline>
        </w:drawing>
      </w:r>
    </w:p>
    <w:p w14:paraId="219B8C6D" w14:textId="0804DED4" w:rsidR="005949ED" w:rsidRPr="005949ED" w:rsidRDefault="005949ED" w:rsidP="005949ED">
      <w:pPr>
        <w:jc w:val="center"/>
        <w:rPr>
          <w:sz w:val="18"/>
          <w:szCs w:val="18"/>
        </w:rPr>
      </w:pPr>
      <w:r w:rsidRPr="005949ED">
        <w:rPr>
          <w:sz w:val="18"/>
          <w:szCs w:val="18"/>
        </w:rPr>
        <w:t>Figure 1. Map showing major Natufian burial sites in the Levant (Pedersen &amp; Richter, 2016</w:t>
      </w:r>
      <w:r w:rsidR="00D850FD">
        <w:rPr>
          <w:sz w:val="18"/>
          <w:szCs w:val="18"/>
        </w:rPr>
        <w:t>, p.382</w:t>
      </w:r>
      <w:r w:rsidRPr="005949ED">
        <w:rPr>
          <w:sz w:val="18"/>
          <w:szCs w:val="18"/>
        </w:rPr>
        <w:t>)</w:t>
      </w:r>
    </w:p>
    <w:p w14:paraId="4026A932" w14:textId="744129E0" w:rsidR="0013642A" w:rsidRDefault="0013642A" w:rsidP="00762CD8">
      <w:pPr>
        <w:rPr>
          <w:sz w:val="24"/>
          <w:szCs w:val="24"/>
        </w:rPr>
      </w:pPr>
      <w:r w:rsidRPr="00276BAA">
        <w:rPr>
          <w:sz w:val="24"/>
          <w:szCs w:val="24"/>
        </w:rPr>
        <w:lastRenderedPageBreak/>
        <w:t>Populations in the Levant rose throughout the Natufian period due to a</w:t>
      </w:r>
      <w:r>
        <w:rPr>
          <w:sz w:val="24"/>
          <w:szCs w:val="24"/>
        </w:rPr>
        <w:t>n increase</w:t>
      </w:r>
      <w:r w:rsidRPr="00276BAA">
        <w:rPr>
          <w:sz w:val="24"/>
          <w:szCs w:val="24"/>
        </w:rPr>
        <w:t xml:space="preserve"> in </w:t>
      </w:r>
      <w:r>
        <w:rPr>
          <w:sz w:val="24"/>
          <w:szCs w:val="24"/>
        </w:rPr>
        <w:t xml:space="preserve">a </w:t>
      </w:r>
      <w:r w:rsidRPr="00276BAA">
        <w:rPr>
          <w:sz w:val="24"/>
          <w:szCs w:val="24"/>
        </w:rPr>
        <w:t xml:space="preserve">sedentary lifestyle. More </w:t>
      </w:r>
      <w:r>
        <w:rPr>
          <w:sz w:val="24"/>
          <w:szCs w:val="24"/>
        </w:rPr>
        <w:t xml:space="preserve">occupation </w:t>
      </w:r>
      <w:r w:rsidRPr="00276BAA">
        <w:rPr>
          <w:sz w:val="24"/>
          <w:szCs w:val="24"/>
        </w:rPr>
        <w:t xml:space="preserve">sites were produced </w:t>
      </w:r>
      <w:r>
        <w:rPr>
          <w:sz w:val="24"/>
          <w:szCs w:val="24"/>
        </w:rPr>
        <w:t>to cater for the</w:t>
      </w:r>
      <w:r w:rsidRPr="00276BAA">
        <w:rPr>
          <w:sz w:val="24"/>
          <w:szCs w:val="24"/>
        </w:rPr>
        <w:t xml:space="preserve"> larger populations, and these sites were occupied for longer periods of time. This resulted in an increase in </w:t>
      </w:r>
      <w:r>
        <w:rPr>
          <w:sz w:val="24"/>
          <w:szCs w:val="24"/>
        </w:rPr>
        <w:t>social complexity, dwellings,</w:t>
      </w:r>
      <w:r w:rsidRPr="00276BAA">
        <w:rPr>
          <w:sz w:val="24"/>
          <w:szCs w:val="24"/>
        </w:rPr>
        <w:t xml:space="preserve"> and </w:t>
      </w:r>
      <w:r>
        <w:rPr>
          <w:sz w:val="24"/>
          <w:szCs w:val="24"/>
        </w:rPr>
        <w:t>burials</w:t>
      </w:r>
      <w:r w:rsidRPr="00276BAA">
        <w:rPr>
          <w:sz w:val="24"/>
          <w:szCs w:val="24"/>
        </w:rPr>
        <w:t>, as well as ornamentation</w:t>
      </w:r>
      <w:r w:rsidR="00235F2C">
        <w:rPr>
          <w:sz w:val="24"/>
          <w:szCs w:val="24"/>
        </w:rPr>
        <w:t>,</w:t>
      </w:r>
      <w:r w:rsidRPr="00276BAA">
        <w:rPr>
          <w:sz w:val="24"/>
          <w:szCs w:val="24"/>
        </w:rPr>
        <w:t xml:space="preserve"> and technology</w:t>
      </w:r>
      <w:r>
        <w:rPr>
          <w:sz w:val="24"/>
          <w:szCs w:val="24"/>
        </w:rPr>
        <w:t xml:space="preserve"> such as the production of</w:t>
      </w:r>
      <w:r w:rsidRPr="00276BAA">
        <w:rPr>
          <w:sz w:val="24"/>
          <w:szCs w:val="24"/>
        </w:rPr>
        <w:t xml:space="preserve"> punches and awls</w:t>
      </w:r>
      <w:r>
        <w:rPr>
          <w:sz w:val="24"/>
          <w:szCs w:val="24"/>
        </w:rPr>
        <w:t xml:space="preserve"> (Clark, 2012, p: 296-297).</w:t>
      </w:r>
    </w:p>
    <w:p w14:paraId="132957D6" w14:textId="77777777" w:rsidR="00F8352A" w:rsidRDefault="00F8352A" w:rsidP="00762CD8">
      <w:pPr>
        <w:rPr>
          <w:sz w:val="24"/>
          <w:szCs w:val="24"/>
        </w:rPr>
      </w:pPr>
    </w:p>
    <w:p w14:paraId="162A8809" w14:textId="77777777" w:rsidR="009F2C79" w:rsidRDefault="00F8352A" w:rsidP="0013642A">
      <w:pPr>
        <w:rPr>
          <w:sz w:val="24"/>
          <w:szCs w:val="24"/>
        </w:rPr>
      </w:pPr>
      <w:r>
        <w:rPr>
          <w:sz w:val="24"/>
          <w:szCs w:val="24"/>
        </w:rPr>
        <w:t>The Natufian culture was first identified and named by the English archaeologist, Dorothy Garrod during excavations</w:t>
      </w:r>
      <w:r w:rsidR="0013642A">
        <w:rPr>
          <w:sz w:val="24"/>
          <w:szCs w:val="24"/>
        </w:rPr>
        <w:t xml:space="preserve"> at Shukba</w:t>
      </w:r>
      <w:r>
        <w:rPr>
          <w:sz w:val="24"/>
          <w:szCs w:val="24"/>
        </w:rPr>
        <w:t xml:space="preserve"> in the</w:t>
      </w:r>
      <w:r w:rsidR="00E21BCD">
        <w:rPr>
          <w:sz w:val="24"/>
          <w:szCs w:val="24"/>
        </w:rPr>
        <w:t xml:space="preserve"> Judean Hills</w:t>
      </w:r>
      <w:r w:rsidR="0013642A">
        <w:rPr>
          <w:sz w:val="24"/>
          <w:szCs w:val="24"/>
        </w:rPr>
        <w:t>,</w:t>
      </w:r>
      <w:r w:rsidR="00E21BCD">
        <w:rPr>
          <w:sz w:val="24"/>
          <w:szCs w:val="24"/>
        </w:rPr>
        <w:t xml:space="preserve"> </w:t>
      </w:r>
      <w:r>
        <w:rPr>
          <w:sz w:val="24"/>
          <w:szCs w:val="24"/>
        </w:rPr>
        <w:t>in 1928</w:t>
      </w:r>
      <w:r w:rsidR="00E21BCD">
        <w:rPr>
          <w:sz w:val="24"/>
          <w:szCs w:val="24"/>
        </w:rPr>
        <w:t xml:space="preserve"> (Boyd, 1999, p.209)</w:t>
      </w:r>
      <w:r>
        <w:rPr>
          <w:sz w:val="24"/>
          <w:szCs w:val="24"/>
        </w:rPr>
        <w:t xml:space="preserve">. “As it will be convenient to have a name for this culture, I propose to call it Natufian, after the Wady en-Natuf at Shukba, where we first found it in place”(Garrod, 1929, p.222). </w:t>
      </w:r>
    </w:p>
    <w:p w14:paraId="4A6E39D8" w14:textId="77777777" w:rsidR="009F2C79" w:rsidRDefault="009F2C79" w:rsidP="0013642A">
      <w:pPr>
        <w:rPr>
          <w:sz w:val="24"/>
          <w:szCs w:val="24"/>
        </w:rPr>
      </w:pPr>
    </w:p>
    <w:p w14:paraId="01274929" w14:textId="21A72393" w:rsidR="00431256" w:rsidRDefault="0013642A" w:rsidP="00D64FA9">
      <w:pPr>
        <w:rPr>
          <w:sz w:val="24"/>
          <w:szCs w:val="24"/>
        </w:rPr>
      </w:pPr>
      <w:r w:rsidRPr="0013642A">
        <w:rPr>
          <w:sz w:val="24"/>
          <w:szCs w:val="24"/>
        </w:rPr>
        <w:t>Throughout her excavations at Shukba</w:t>
      </w:r>
      <w:r w:rsidR="009F2C79">
        <w:rPr>
          <w:sz w:val="24"/>
          <w:szCs w:val="24"/>
        </w:rPr>
        <w:t>,</w:t>
      </w:r>
      <w:r w:rsidRPr="0013642A">
        <w:rPr>
          <w:sz w:val="24"/>
          <w:szCs w:val="24"/>
        </w:rPr>
        <w:t xml:space="preserve"> and</w:t>
      </w:r>
      <w:r w:rsidR="009F2C79">
        <w:rPr>
          <w:sz w:val="24"/>
          <w:szCs w:val="24"/>
        </w:rPr>
        <w:t xml:space="preserve"> also at</w:t>
      </w:r>
      <w:r w:rsidRPr="0013642A">
        <w:rPr>
          <w:sz w:val="24"/>
          <w:szCs w:val="24"/>
        </w:rPr>
        <w:t xml:space="preserve"> el-Wad</w:t>
      </w:r>
      <w:r w:rsidR="009F2C79">
        <w:rPr>
          <w:sz w:val="24"/>
          <w:szCs w:val="24"/>
        </w:rPr>
        <w:t xml:space="preserve"> on Mount Carmel</w:t>
      </w:r>
      <w:r w:rsidRPr="0013642A">
        <w:rPr>
          <w:sz w:val="24"/>
          <w:szCs w:val="24"/>
        </w:rPr>
        <w:t xml:space="preserve">, Garrod discovered a wide variety of burials. Beaded headgear and necklaces made of shells were found </w:t>
      </w:r>
      <w:r>
        <w:rPr>
          <w:sz w:val="24"/>
          <w:szCs w:val="24"/>
        </w:rPr>
        <w:t>i</w:t>
      </w:r>
      <w:r w:rsidRPr="0013642A">
        <w:rPr>
          <w:sz w:val="24"/>
          <w:szCs w:val="24"/>
        </w:rPr>
        <w:t>n some of the tombs. Additionally, a wide range of burial customs were evident in some of these burials, including variations in the number of people interred in graves and burial positions</w:t>
      </w:r>
      <w:r w:rsidR="004B08F3">
        <w:rPr>
          <w:sz w:val="24"/>
          <w:szCs w:val="24"/>
        </w:rPr>
        <w:t>.</w:t>
      </w:r>
      <w:r w:rsidR="004B08F3" w:rsidRPr="004B08F3">
        <w:rPr>
          <w:sz w:val="24"/>
          <w:szCs w:val="24"/>
        </w:rPr>
        <w:t xml:space="preserve"> Both primary and secondary inhumations were also evident. The quantity and variety of burial customs </w:t>
      </w:r>
      <w:r w:rsidR="00F50F55">
        <w:rPr>
          <w:sz w:val="24"/>
          <w:szCs w:val="24"/>
        </w:rPr>
        <w:t xml:space="preserve">identified </w:t>
      </w:r>
      <w:r w:rsidR="004B08F3" w:rsidRPr="004B08F3">
        <w:rPr>
          <w:sz w:val="24"/>
          <w:szCs w:val="24"/>
        </w:rPr>
        <w:t xml:space="preserve">grew during the ensuing years as more and more </w:t>
      </w:r>
      <w:r w:rsidR="00F50F55">
        <w:rPr>
          <w:sz w:val="24"/>
          <w:szCs w:val="24"/>
        </w:rPr>
        <w:t xml:space="preserve">ancient </w:t>
      </w:r>
      <w:r w:rsidR="004B08F3" w:rsidRPr="004B08F3">
        <w:rPr>
          <w:sz w:val="24"/>
          <w:szCs w:val="24"/>
        </w:rPr>
        <w:t xml:space="preserve">Natufian </w:t>
      </w:r>
      <w:r w:rsidR="00F50F55">
        <w:rPr>
          <w:sz w:val="24"/>
          <w:szCs w:val="24"/>
        </w:rPr>
        <w:t>sites</w:t>
      </w:r>
      <w:r w:rsidR="004B08F3" w:rsidRPr="004B08F3">
        <w:rPr>
          <w:sz w:val="24"/>
          <w:szCs w:val="24"/>
        </w:rPr>
        <w:t xml:space="preserve"> were found</w:t>
      </w:r>
      <w:r w:rsidR="004B08F3">
        <w:rPr>
          <w:sz w:val="24"/>
          <w:szCs w:val="24"/>
        </w:rPr>
        <w:t xml:space="preserve"> </w:t>
      </w:r>
      <w:r>
        <w:rPr>
          <w:sz w:val="24"/>
          <w:szCs w:val="24"/>
        </w:rPr>
        <w:t xml:space="preserve">(Richter </w:t>
      </w:r>
      <w:r w:rsidRPr="00F50F55">
        <w:rPr>
          <w:i/>
          <w:iCs/>
          <w:sz w:val="24"/>
          <w:szCs w:val="24"/>
        </w:rPr>
        <w:t>et al</w:t>
      </w:r>
      <w:r w:rsidR="00625FD4">
        <w:rPr>
          <w:i/>
          <w:iCs/>
          <w:sz w:val="24"/>
          <w:szCs w:val="24"/>
        </w:rPr>
        <w:t>.</w:t>
      </w:r>
      <w:r>
        <w:rPr>
          <w:sz w:val="24"/>
          <w:szCs w:val="24"/>
        </w:rPr>
        <w:t xml:space="preserve"> 2019, p.</w:t>
      </w:r>
      <w:r w:rsidR="004B08F3">
        <w:rPr>
          <w:sz w:val="24"/>
          <w:szCs w:val="24"/>
        </w:rPr>
        <w:t>440)</w:t>
      </w:r>
      <w:r w:rsidRPr="0013642A">
        <w:rPr>
          <w:sz w:val="24"/>
          <w:szCs w:val="24"/>
        </w:rPr>
        <w:t>.</w:t>
      </w:r>
    </w:p>
    <w:p w14:paraId="5A7E298A" w14:textId="77777777" w:rsidR="005949ED" w:rsidRDefault="005949ED" w:rsidP="00D64FA9">
      <w:pPr>
        <w:rPr>
          <w:sz w:val="24"/>
          <w:szCs w:val="24"/>
        </w:rPr>
      </w:pPr>
    </w:p>
    <w:p w14:paraId="52C673EC" w14:textId="46B98F65" w:rsidR="00431256" w:rsidRDefault="004A573E" w:rsidP="00D64FA9">
      <w:pPr>
        <w:rPr>
          <w:sz w:val="24"/>
          <w:szCs w:val="24"/>
        </w:rPr>
      </w:pPr>
      <w:r w:rsidRPr="004A573E">
        <w:rPr>
          <w:sz w:val="24"/>
          <w:szCs w:val="24"/>
        </w:rPr>
        <w:t>At El-Wad, according to Garrod, there were six groups of skeletons in group graves that held people with decorated heads and other body parts. Each cluster contained two to ten skeletons, and five of the clusters included at least one skeleton with notable adornment</w:t>
      </w:r>
      <w:r w:rsidR="00D64FA9">
        <w:rPr>
          <w:sz w:val="24"/>
          <w:szCs w:val="24"/>
        </w:rPr>
        <w:t>.</w:t>
      </w:r>
      <w:r>
        <w:rPr>
          <w:sz w:val="24"/>
          <w:szCs w:val="24"/>
        </w:rPr>
        <w:t xml:space="preserve"> </w:t>
      </w:r>
      <w:r w:rsidR="00D64FA9" w:rsidRPr="00D64FA9">
        <w:rPr>
          <w:sz w:val="24"/>
          <w:szCs w:val="24"/>
        </w:rPr>
        <w:t>One skull ha</w:t>
      </w:r>
      <w:r w:rsidR="00E93064">
        <w:rPr>
          <w:sz w:val="24"/>
          <w:szCs w:val="24"/>
        </w:rPr>
        <w:t>d</w:t>
      </w:r>
      <w:r w:rsidR="00D64FA9" w:rsidRPr="00D64FA9">
        <w:rPr>
          <w:sz w:val="24"/>
          <w:szCs w:val="24"/>
        </w:rPr>
        <w:t xml:space="preserve"> an uneven layer of shells on its surface, while </w:t>
      </w:r>
      <w:r w:rsidR="00D64FA9">
        <w:rPr>
          <w:sz w:val="24"/>
          <w:szCs w:val="24"/>
        </w:rPr>
        <w:t>a</w:t>
      </w:r>
      <w:r w:rsidR="00D64FA9" w:rsidRPr="00D64FA9">
        <w:rPr>
          <w:sz w:val="24"/>
          <w:szCs w:val="24"/>
        </w:rPr>
        <w:t xml:space="preserve"> child's skull had 32 gazelle phalange beads covering it. Three of the skulls include</w:t>
      </w:r>
      <w:r w:rsidR="00D64FA9">
        <w:rPr>
          <w:sz w:val="24"/>
          <w:szCs w:val="24"/>
        </w:rPr>
        <w:t>d</w:t>
      </w:r>
      <w:r w:rsidR="00D64FA9" w:rsidRPr="00D64FA9">
        <w:rPr>
          <w:sz w:val="24"/>
          <w:szCs w:val="24"/>
        </w:rPr>
        <w:t xml:space="preserve"> well-preserved sets of dentalium shell beads. The shells on every skull, according to Garrod, </w:t>
      </w:r>
      <w:r w:rsidR="00D64FA9">
        <w:rPr>
          <w:sz w:val="24"/>
          <w:szCs w:val="24"/>
        </w:rPr>
        <w:t>used to be</w:t>
      </w:r>
      <w:r w:rsidR="00D64FA9" w:rsidRPr="00D64FA9">
        <w:rPr>
          <w:sz w:val="24"/>
          <w:szCs w:val="24"/>
        </w:rPr>
        <w:t xml:space="preserve"> fastened to a cap that had not been </w:t>
      </w:r>
      <w:r w:rsidR="00D64FA9">
        <w:rPr>
          <w:sz w:val="24"/>
          <w:szCs w:val="24"/>
        </w:rPr>
        <w:t>prese</w:t>
      </w:r>
      <w:r w:rsidR="00D64FA9" w:rsidRPr="00D64FA9">
        <w:rPr>
          <w:sz w:val="24"/>
          <w:szCs w:val="24"/>
        </w:rPr>
        <w:t>rved</w:t>
      </w:r>
      <w:r w:rsidR="00D64FA9">
        <w:rPr>
          <w:sz w:val="24"/>
          <w:szCs w:val="24"/>
        </w:rPr>
        <w:t xml:space="preserve"> (Wyllie &amp; Hole, 2012, p.707)</w:t>
      </w:r>
      <w:r w:rsidR="00D64FA9" w:rsidRPr="004A573E">
        <w:rPr>
          <w:sz w:val="24"/>
          <w:szCs w:val="24"/>
        </w:rPr>
        <w:t>.</w:t>
      </w:r>
      <w:r w:rsidR="00BE448B">
        <w:rPr>
          <w:sz w:val="24"/>
          <w:szCs w:val="24"/>
        </w:rPr>
        <w:t xml:space="preserve"> Figures </w:t>
      </w:r>
      <w:r w:rsidR="005949ED">
        <w:rPr>
          <w:sz w:val="24"/>
          <w:szCs w:val="24"/>
        </w:rPr>
        <w:t>2</w:t>
      </w:r>
      <w:r w:rsidR="00BE448B">
        <w:rPr>
          <w:sz w:val="24"/>
          <w:szCs w:val="24"/>
        </w:rPr>
        <w:t xml:space="preserve"> to </w:t>
      </w:r>
      <w:r w:rsidR="005949ED">
        <w:rPr>
          <w:sz w:val="24"/>
          <w:szCs w:val="24"/>
        </w:rPr>
        <w:t>4</w:t>
      </w:r>
      <w:r w:rsidR="00BE448B">
        <w:rPr>
          <w:sz w:val="24"/>
          <w:szCs w:val="24"/>
        </w:rPr>
        <w:t xml:space="preserve"> below are reconstruction drawings of what the dentalium shell bead caps may have looked </w:t>
      </w:r>
      <w:r w:rsidR="00431256">
        <w:rPr>
          <w:sz w:val="24"/>
          <w:szCs w:val="24"/>
        </w:rPr>
        <w:t>like, next to photographs published by Garrod in 1937 (Wyllie &amp; Hole, 2012, pp. 715-717).</w:t>
      </w:r>
    </w:p>
    <w:p w14:paraId="725FB55F" w14:textId="77777777" w:rsidR="00431256" w:rsidRDefault="00431256" w:rsidP="00D64FA9">
      <w:pPr>
        <w:rPr>
          <w:sz w:val="24"/>
          <w:szCs w:val="24"/>
        </w:rPr>
      </w:pPr>
    </w:p>
    <w:p w14:paraId="1B2D6FC5" w14:textId="0F34A998" w:rsidR="00D64FA9" w:rsidRPr="00D64FA9" w:rsidRDefault="00431256" w:rsidP="005949ED">
      <w:pPr>
        <w:jc w:val="center"/>
        <w:rPr>
          <w:sz w:val="24"/>
          <w:szCs w:val="24"/>
        </w:rPr>
      </w:pPr>
      <w:r>
        <w:rPr>
          <w:noProof/>
          <w:sz w:val="24"/>
          <w:szCs w:val="24"/>
        </w:rPr>
        <w:drawing>
          <wp:inline distT="0" distB="0" distL="0" distR="0" wp14:anchorId="36396263" wp14:editId="47D1913A">
            <wp:extent cx="5052695" cy="2376487"/>
            <wp:effectExtent l="0" t="0" r="0" b="5080"/>
            <wp:docPr id="1557061704" name="Picture 1" descr="A person with a beard and a sku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061704" name="Picture 1" descr="A person with a beard and a skull&#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074097" cy="2386553"/>
                    </a:xfrm>
                    <a:prstGeom prst="rect">
                      <a:avLst/>
                    </a:prstGeom>
                  </pic:spPr>
                </pic:pic>
              </a:graphicData>
            </a:graphic>
          </wp:inline>
        </w:drawing>
      </w:r>
    </w:p>
    <w:p w14:paraId="776D0A58" w14:textId="52C16889" w:rsidR="00431256" w:rsidRPr="00431256" w:rsidRDefault="00431256" w:rsidP="005949ED">
      <w:pPr>
        <w:jc w:val="center"/>
        <w:rPr>
          <w:sz w:val="18"/>
          <w:szCs w:val="18"/>
        </w:rPr>
      </w:pPr>
      <w:r w:rsidRPr="00431256">
        <w:rPr>
          <w:sz w:val="18"/>
          <w:szCs w:val="18"/>
        </w:rPr>
        <w:t xml:space="preserve">Figure </w:t>
      </w:r>
      <w:r w:rsidR="005949ED">
        <w:rPr>
          <w:sz w:val="18"/>
          <w:szCs w:val="18"/>
        </w:rPr>
        <w:t>2</w:t>
      </w:r>
      <w:r w:rsidRPr="00431256">
        <w:rPr>
          <w:sz w:val="18"/>
          <w:szCs w:val="18"/>
        </w:rPr>
        <w:t xml:space="preserve">. </w:t>
      </w:r>
      <w:bookmarkStart w:id="0" w:name="_Hlk160992190"/>
      <w:r w:rsidRPr="00431256">
        <w:rPr>
          <w:sz w:val="18"/>
          <w:szCs w:val="18"/>
        </w:rPr>
        <w:t>Reconstruction of a beaded skull cap found at el-Wad (Wyllie &amp; Hole, 2012, p.716).</w:t>
      </w:r>
    </w:p>
    <w:p w14:paraId="2DC52584" w14:textId="77777777" w:rsidR="00431256" w:rsidRPr="004A573E" w:rsidRDefault="00431256" w:rsidP="004A573E">
      <w:pPr>
        <w:rPr>
          <w:sz w:val="24"/>
          <w:szCs w:val="24"/>
        </w:rPr>
      </w:pPr>
    </w:p>
    <w:bookmarkEnd w:id="0"/>
    <w:p w14:paraId="501E1A14" w14:textId="06841652" w:rsidR="004A573E" w:rsidRDefault="00431256" w:rsidP="005949ED">
      <w:pPr>
        <w:jc w:val="center"/>
        <w:rPr>
          <w:sz w:val="24"/>
          <w:szCs w:val="24"/>
        </w:rPr>
      </w:pPr>
      <w:r>
        <w:rPr>
          <w:noProof/>
          <w:sz w:val="24"/>
          <w:szCs w:val="24"/>
        </w:rPr>
        <w:lastRenderedPageBreak/>
        <w:drawing>
          <wp:inline distT="0" distB="0" distL="0" distR="0" wp14:anchorId="1458F4C0" wp14:editId="0623FFB6">
            <wp:extent cx="4970642" cy="2414588"/>
            <wp:effectExtent l="0" t="0" r="1905" b="5080"/>
            <wp:docPr id="2008223893" name="Picture 2" descr="A close-up of a person's he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223893" name="Picture 2" descr="A close-up of a person's head&#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006357" cy="2431937"/>
                    </a:xfrm>
                    <a:prstGeom prst="rect">
                      <a:avLst/>
                    </a:prstGeom>
                  </pic:spPr>
                </pic:pic>
              </a:graphicData>
            </a:graphic>
          </wp:inline>
        </w:drawing>
      </w:r>
    </w:p>
    <w:p w14:paraId="3AED929B" w14:textId="46783567" w:rsidR="00F50F55" w:rsidRDefault="00431256" w:rsidP="005949ED">
      <w:pPr>
        <w:jc w:val="center"/>
        <w:rPr>
          <w:sz w:val="24"/>
          <w:szCs w:val="24"/>
        </w:rPr>
      </w:pPr>
      <w:r w:rsidRPr="00431256">
        <w:rPr>
          <w:sz w:val="18"/>
          <w:szCs w:val="18"/>
        </w:rPr>
        <w:t xml:space="preserve">Figure </w:t>
      </w:r>
      <w:r w:rsidR="005949ED">
        <w:rPr>
          <w:sz w:val="18"/>
          <w:szCs w:val="18"/>
        </w:rPr>
        <w:t>3</w:t>
      </w:r>
      <w:r w:rsidRPr="00431256">
        <w:rPr>
          <w:sz w:val="18"/>
          <w:szCs w:val="18"/>
        </w:rPr>
        <w:t>.</w:t>
      </w:r>
      <w:r>
        <w:rPr>
          <w:sz w:val="24"/>
          <w:szCs w:val="24"/>
        </w:rPr>
        <w:t xml:space="preserve"> </w:t>
      </w:r>
      <w:r w:rsidRPr="00431256">
        <w:rPr>
          <w:sz w:val="18"/>
          <w:szCs w:val="18"/>
        </w:rPr>
        <w:t>Reconstruction of a beaded skull cap found at el-Wad (Wyllie &amp; Hole, 2012, p.71</w:t>
      </w:r>
      <w:r>
        <w:rPr>
          <w:sz w:val="18"/>
          <w:szCs w:val="18"/>
        </w:rPr>
        <w:t>5</w:t>
      </w:r>
      <w:r w:rsidRPr="00431256">
        <w:rPr>
          <w:sz w:val="18"/>
          <w:szCs w:val="18"/>
        </w:rPr>
        <w:t>).</w:t>
      </w:r>
    </w:p>
    <w:p w14:paraId="19CF1213" w14:textId="77777777" w:rsidR="009F2C79" w:rsidRDefault="009F2C79" w:rsidP="0013642A">
      <w:pPr>
        <w:rPr>
          <w:sz w:val="24"/>
          <w:szCs w:val="24"/>
        </w:rPr>
      </w:pPr>
    </w:p>
    <w:p w14:paraId="51A76A8E" w14:textId="65CC0D9B" w:rsidR="009F2C79" w:rsidRPr="0013642A" w:rsidRDefault="00431256" w:rsidP="005949ED">
      <w:pPr>
        <w:jc w:val="center"/>
        <w:rPr>
          <w:sz w:val="24"/>
          <w:szCs w:val="24"/>
        </w:rPr>
      </w:pPr>
      <w:r>
        <w:rPr>
          <w:noProof/>
          <w:sz w:val="24"/>
          <w:szCs w:val="24"/>
        </w:rPr>
        <w:drawing>
          <wp:inline distT="0" distB="0" distL="0" distR="0" wp14:anchorId="6032EB6B" wp14:editId="23AFB855">
            <wp:extent cx="4972050" cy="2228850"/>
            <wp:effectExtent l="0" t="0" r="0" b="0"/>
            <wp:docPr id="746479751" name="Picture 3" descr="A person's head and a sku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479751" name="Picture 3" descr="A person's head and a skull&#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985718" cy="2234977"/>
                    </a:xfrm>
                    <a:prstGeom prst="rect">
                      <a:avLst/>
                    </a:prstGeom>
                  </pic:spPr>
                </pic:pic>
              </a:graphicData>
            </a:graphic>
          </wp:inline>
        </w:drawing>
      </w:r>
    </w:p>
    <w:p w14:paraId="6DB124A0" w14:textId="47E09EB0" w:rsidR="0013642A" w:rsidRDefault="00431256" w:rsidP="005949ED">
      <w:pPr>
        <w:jc w:val="center"/>
        <w:rPr>
          <w:sz w:val="24"/>
          <w:szCs w:val="24"/>
        </w:rPr>
      </w:pPr>
      <w:r w:rsidRPr="00431256">
        <w:rPr>
          <w:sz w:val="18"/>
          <w:szCs w:val="18"/>
        </w:rPr>
        <w:t xml:space="preserve">Figure </w:t>
      </w:r>
      <w:r w:rsidR="005949ED">
        <w:rPr>
          <w:sz w:val="18"/>
          <w:szCs w:val="18"/>
        </w:rPr>
        <w:t>4</w:t>
      </w:r>
      <w:r w:rsidRPr="00431256">
        <w:rPr>
          <w:sz w:val="18"/>
          <w:szCs w:val="18"/>
        </w:rPr>
        <w:t>.</w:t>
      </w:r>
      <w:r>
        <w:rPr>
          <w:sz w:val="24"/>
          <w:szCs w:val="24"/>
        </w:rPr>
        <w:t xml:space="preserve"> </w:t>
      </w:r>
      <w:r w:rsidRPr="00431256">
        <w:rPr>
          <w:sz w:val="18"/>
          <w:szCs w:val="18"/>
        </w:rPr>
        <w:t>Reconstruction of a beaded skull cap found at el-Wad (Wyllie &amp; Hole, 2012, p.71</w:t>
      </w:r>
      <w:r>
        <w:rPr>
          <w:sz w:val="18"/>
          <w:szCs w:val="18"/>
        </w:rPr>
        <w:t>7</w:t>
      </w:r>
      <w:r w:rsidRPr="00431256">
        <w:rPr>
          <w:sz w:val="18"/>
          <w:szCs w:val="18"/>
        </w:rPr>
        <w:t>).</w:t>
      </w:r>
    </w:p>
    <w:p w14:paraId="35314229" w14:textId="77777777" w:rsidR="0013642A" w:rsidRDefault="0013642A" w:rsidP="0013642A">
      <w:pPr>
        <w:rPr>
          <w:sz w:val="24"/>
          <w:szCs w:val="24"/>
        </w:rPr>
      </w:pPr>
    </w:p>
    <w:p w14:paraId="06D914C9" w14:textId="77777777" w:rsidR="00CC26BF" w:rsidRDefault="00CC26BF" w:rsidP="00235F2C">
      <w:pPr>
        <w:rPr>
          <w:sz w:val="24"/>
          <w:szCs w:val="24"/>
        </w:rPr>
      </w:pPr>
    </w:p>
    <w:p w14:paraId="656A14B1" w14:textId="0950BC2F" w:rsidR="00235F2C" w:rsidRDefault="00235F2C" w:rsidP="00235F2C">
      <w:pPr>
        <w:rPr>
          <w:sz w:val="24"/>
          <w:szCs w:val="24"/>
        </w:rPr>
      </w:pPr>
      <w:r w:rsidRPr="00235F2C">
        <w:rPr>
          <w:sz w:val="24"/>
          <w:szCs w:val="24"/>
        </w:rPr>
        <w:t xml:space="preserve">Another notable </w:t>
      </w:r>
      <w:r w:rsidR="002975D1">
        <w:rPr>
          <w:sz w:val="24"/>
          <w:szCs w:val="24"/>
        </w:rPr>
        <w:t>approach</w:t>
      </w:r>
      <w:r w:rsidRPr="00235F2C">
        <w:rPr>
          <w:sz w:val="24"/>
          <w:szCs w:val="24"/>
        </w:rPr>
        <w:t xml:space="preserve"> in funeral practice, particularly with regard to the younger members of the </w:t>
      </w:r>
      <w:r>
        <w:rPr>
          <w:sz w:val="24"/>
          <w:szCs w:val="24"/>
        </w:rPr>
        <w:t>community</w:t>
      </w:r>
      <w:r w:rsidRPr="00235F2C">
        <w:rPr>
          <w:sz w:val="24"/>
          <w:szCs w:val="24"/>
        </w:rPr>
        <w:t>, is found at the early to late Natufian site of Shubayqa 1 in northeastern Jordan</w:t>
      </w:r>
      <w:r w:rsidR="002975D1">
        <w:rPr>
          <w:sz w:val="24"/>
          <w:szCs w:val="24"/>
        </w:rPr>
        <w:t xml:space="preserve">. </w:t>
      </w:r>
      <w:r w:rsidR="002975D1" w:rsidRPr="002975D1">
        <w:rPr>
          <w:sz w:val="24"/>
          <w:szCs w:val="24"/>
        </w:rPr>
        <w:t xml:space="preserve">Eighty percent of the burials in Shubayqa 1 are of children, newborns, and babies. </w:t>
      </w:r>
      <w:r w:rsidR="002975D1">
        <w:rPr>
          <w:sz w:val="24"/>
          <w:szCs w:val="24"/>
        </w:rPr>
        <w:t>A</w:t>
      </w:r>
      <w:r w:rsidR="002975D1" w:rsidRPr="002975D1">
        <w:rPr>
          <w:sz w:val="24"/>
          <w:szCs w:val="24"/>
        </w:rPr>
        <w:t xml:space="preserve"> few of these </w:t>
      </w:r>
      <w:r w:rsidR="002975D1">
        <w:rPr>
          <w:sz w:val="24"/>
          <w:szCs w:val="24"/>
        </w:rPr>
        <w:t xml:space="preserve">burials </w:t>
      </w:r>
      <w:r w:rsidR="002975D1" w:rsidRPr="002975D1">
        <w:rPr>
          <w:sz w:val="24"/>
          <w:szCs w:val="24"/>
        </w:rPr>
        <w:t xml:space="preserve">had red ochre on them. A similar </w:t>
      </w:r>
      <w:r w:rsidR="002975D1">
        <w:rPr>
          <w:sz w:val="24"/>
          <w:szCs w:val="24"/>
        </w:rPr>
        <w:t>treatment which had been noted</w:t>
      </w:r>
      <w:r w:rsidR="002975D1" w:rsidRPr="002975D1">
        <w:rPr>
          <w:sz w:val="24"/>
          <w:szCs w:val="24"/>
        </w:rPr>
        <w:t xml:space="preserve"> at the early N</w:t>
      </w:r>
      <w:r w:rsidR="002975D1">
        <w:rPr>
          <w:sz w:val="24"/>
          <w:szCs w:val="24"/>
        </w:rPr>
        <w:t>atufian site of</w:t>
      </w:r>
      <w:r w:rsidR="002975D1" w:rsidRPr="002975D1">
        <w:rPr>
          <w:sz w:val="24"/>
          <w:szCs w:val="24"/>
        </w:rPr>
        <w:t xml:space="preserve"> Azraq 18</w:t>
      </w:r>
      <w:r w:rsidR="00B42C8B">
        <w:rPr>
          <w:sz w:val="24"/>
          <w:szCs w:val="24"/>
        </w:rPr>
        <w:t>,</w:t>
      </w:r>
      <w:r w:rsidR="00B42C8B" w:rsidRPr="00B42C8B">
        <w:rPr>
          <w:sz w:val="24"/>
          <w:szCs w:val="24"/>
        </w:rPr>
        <w:t xml:space="preserve"> a location that is close to and generally contemporaneous with Shubayqa 1, </w:t>
      </w:r>
      <w:r w:rsidR="00B42C8B">
        <w:rPr>
          <w:sz w:val="24"/>
          <w:szCs w:val="24"/>
        </w:rPr>
        <w:t xml:space="preserve">possibly </w:t>
      </w:r>
      <w:r w:rsidR="00B42C8B" w:rsidRPr="00B42C8B">
        <w:rPr>
          <w:sz w:val="24"/>
          <w:szCs w:val="24"/>
        </w:rPr>
        <w:t>indicating cultural connections and similarities between the two sites</w:t>
      </w:r>
      <w:r w:rsidR="00EC2065">
        <w:rPr>
          <w:sz w:val="24"/>
          <w:szCs w:val="24"/>
        </w:rPr>
        <w:t>. There is also a suggestion that the use of red ochre was a method of blood symbolism</w:t>
      </w:r>
      <w:r>
        <w:rPr>
          <w:sz w:val="24"/>
          <w:szCs w:val="24"/>
        </w:rPr>
        <w:t xml:space="preserve"> (Richter </w:t>
      </w:r>
      <w:r w:rsidRPr="00625FD4">
        <w:rPr>
          <w:i/>
          <w:iCs/>
          <w:sz w:val="24"/>
          <w:szCs w:val="24"/>
        </w:rPr>
        <w:t>et al</w:t>
      </w:r>
      <w:r w:rsidR="009835F2">
        <w:rPr>
          <w:sz w:val="24"/>
          <w:szCs w:val="24"/>
        </w:rPr>
        <w:t>.</w:t>
      </w:r>
      <w:r>
        <w:rPr>
          <w:sz w:val="24"/>
          <w:szCs w:val="24"/>
        </w:rPr>
        <w:t xml:space="preserve"> 2019, p</w:t>
      </w:r>
      <w:r w:rsidR="00B42C8B">
        <w:rPr>
          <w:sz w:val="24"/>
          <w:szCs w:val="24"/>
        </w:rPr>
        <w:t>p</w:t>
      </w:r>
      <w:r>
        <w:rPr>
          <w:sz w:val="24"/>
          <w:szCs w:val="24"/>
        </w:rPr>
        <w:t>.440</w:t>
      </w:r>
      <w:r w:rsidR="00B42C8B">
        <w:rPr>
          <w:sz w:val="24"/>
          <w:szCs w:val="24"/>
        </w:rPr>
        <w:t>-454</w:t>
      </w:r>
      <w:r>
        <w:rPr>
          <w:sz w:val="24"/>
          <w:szCs w:val="24"/>
        </w:rPr>
        <w:t>).</w:t>
      </w:r>
      <w:r w:rsidRPr="00235F2C">
        <w:rPr>
          <w:sz w:val="24"/>
          <w:szCs w:val="24"/>
        </w:rPr>
        <w:t xml:space="preserve"> </w:t>
      </w:r>
      <w:r w:rsidR="006C6ED9">
        <w:rPr>
          <w:sz w:val="24"/>
          <w:szCs w:val="24"/>
        </w:rPr>
        <w:t>Figure 5 below is a drawing showing position of ochre traces on a neonate burial at Shubayqa 1, and examples of the stained bones.</w:t>
      </w:r>
    </w:p>
    <w:p w14:paraId="2FD43DD1" w14:textId="77777777" w:rsidR="009835F2" w:rsidRDefault="009835F2" w:rsidP="00235F2C">
      <w:pPr>
        <w:rPr>
          <w:sz w:val="24"/>
          <w:szCs w:val="24"/>
        </w:rPr>
      </w:pPr>
    </w:p>
    <w:p w14:paraId="769ABD59" w14:textId="6E291CAF" w:rsidR="00CC26BF" w:rsidRDefault="009835F2" w:rsidP="00CC26BF">
      <w:pPr>
        <w:rPr>
          <w:sz w:val="24"/>
          <w:szCs w:val="24"/>
        </w:rPr>
      </w:pPr>
      <w:r w:rsidRPr="009835F2">
        <w:rPr>
          <w:sz w:val="24"/>
          <w:szCs w:val="24"/>
        </w:rPr>
        <w:t xml:space="preserve">At Shubayqa 1, there is a correlation between ground stone tools and burials, especially considering the prevalence of ochre staining on several of the tools. This, along with </w:t>
      </w:r>
      <w:r>
        <w:rPr>
          <w:sz w:val="24"/>
          <w:szCs w:val="24"/>
        </w:rPr>
        <w:t xml:space="preserve">evidence </w:t>
      </w:r>
      <w:r w:rsidRPr="009835F2">
        <w:rPr>
          <w:sz w:val="24"/>
          <w:szCs w:val="24"/>
        </w:rPr>
        <w:t xml:space="preserve"> that ochre was used in the processing of hides, appears to imply that some of the remains were covered with ochre-decorated </w:t>
      </w:r>
      <w:r>
        <w:rPr>
          <w:sz w:val="24"/>
          <w:szCs w:val="24"/>
        </w:rPr>
        <w:t>textiles</w:t>
      </w:r>
      <w:r w:rsidRPr="009835F2">
        <w:rPr>
          <w:sz w:val="24"/>
          <w:szCs w:val="24"/>
        </w:rPr>
        <w:t xml:space="preserve"> or skins prior to burial</w:t>
      </w:r>
      <w:r>
        <w:rPr>
          <w:sz w:val="24"/>
          <w:szCs w:val="24"/>
        </w:rPr>
        <w:t xml:space="preserve"> (Richter </w:t>
      </w:r>
      <w:r w:rsidRPr="00625FD4">
        <w:rPr>
          <w:i/>
          <w:iCs/>
          <w:sz w:val="24"/>
          <w:szCs w:val="24"/>
        </w:rPr>
        <w:t>et al</w:t>
      </w:r>
      <w:r>
        <w:rPr>
          <w:sz w:val="24"/>
          <w:szCs w:val="24"/>
        </w:rPr>
        <w:t>. 2019, pp.440-443).</w:t>
      </w:r>
      <w:r w:rsidR="00CC26BF">
        <w:rPr>
          <w:sz w:val="24"/>
          <w:szCs w:val="24"/>
        </w:rPr>
        <w:t xml:space="preserve"> Scholars have proposed that ground stone tools</w:t>
      </w:r>
      <w:r w:rsidR="00CC26BF" w:rsidRPr="00CC26BF">
        <w:rPr>
          <w:sz w:val="24"/>
          <w:szCs w:val="24"/>
        </w:rPr>
        <w:t xml:space="preserve"> may have served a deeper symbolic purpose than just being </w:t>
      </w:r>
      <w:r w:rsidR="00CC26BF">
        <w:rPr>
          <w:sz w:val="24"/>
          <w:szCs w:val="24"/>
        </w:rPr>
        <w:t>functional objects</w:t>
      </w:r>
      <w:r w:rsidR="00CC26BF" w:rsidRPr="00CC26BF">
        <w:rPr>
          <w:sz w:val="24"/>
          <w:szCs w:val="24"/>
        </w:rPr>
        <w:t>,</w:t>
      </w:r>
      <w:r w:rsidR="00CC26BF">
        <w:rPr>
          <w:sz w:val="24"/>
          <w:szCs w:val="24"/>
        </w:rPr>
        <w:t xml:space="preserve"> and that they</w:t>
      </w:r>
      <w:r w:rsidR="00CC26BF" w:rsidRPr="00CC26BF">
        <w:rPr>
          <w:sz w:val="24"/>
          <w:szCs w:val="24"/>
        </w:rPr>
        <w:t xml:space="preserve"> reflect</w:t>
      </w:r>
      <w:r w:rsidR="00CC26BF">
        <w:rPr>
          <w:sz w:val="24"/>
          <w:szCs w:val="24"/>
        </w:rPr>
        <w:t>ed</w:t>
      </w:r>
      <w:r w:rsidR="00CC26BF" w:rsidRPr="00CC26BF">
        <w:rPr>
          <w:sz w:val="24"/>
          <w:szCs w:val="24"/>
        </w:rPr>
        <w:t xml:space="preserve"> social interactions and transmitt</w:t>
      </w:r>
      <w:r w:rsidR="00CC26BF">
        <w:rPr>
          <w:sz w:val="24"/>
          <w:szCs w:val="24"/>
        </w:rPr>
        <w:t>ed</w:t>
      </w:r>
      <w:r w:rsidR="00CC26BF" w:rsidRPr="00CC26BF">
        <w:rPr>
          <w:sz w:val="24"/>
          <w:szCs w:val="24"/>
        </w:rPr>
        <w:t xml:space="preserve"> a particular set of ideas and beliefs, such as in burial rituals</w:t>
      </w:r>
      <w:r w:rsidR="00CC26BF">
        <w:rPr>
          <w:sz w:val="24"/>
          <w:szCs w:val="24"/>
        </w:rPr>
        <w:t xml:space="preserve"> (Richter et al. 2019, p. 453).</w:t>
      </w:r>
    </w:p>
    <w:p w14:paraId="637D83E8" w14:textId="0B232D84" w:rsidR="006C6ED9" w:rsidRDefault="006C6ED9" w:rsidP="006C6ED9">
      <w:pPr>
        <w:jc w:val="center"/>
        <w:rPr>
          <w:sz w:val="24"/>
          <w:szCs w:val="24"/>
        </w:rPr>
      </w:pPr>
      <w:r>
        <w:rPr>
          <w:noProof/>
          <w:sz w:val="24"/>
          <w:szCs w:val="24"/>
        </w:rPr>
        <w:lastRenderedPageBreak/>
        <w:drawing>
          <wp:inline distT="0" distB="0" distL="0" distR="0" wp14:anchorId="5F95D1BB" wp14:editId="226C392F">
            <wp:extent cx="4457700" cy="4186238"/>
            <wp:effectExtent l="0" t="0" r="0" b="5080"/>
            <wp:docPr id="809310173" name="Picture 1" descr="A collage of bones and bo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10173" name="Picture 1" descr="A collage of bones and bone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475534" cy="4202986"/>
                    </a:xfrm>
                    <a:prstGeom prst="rect">
                      <a:avLst/>
                    </a:prstGeom>
                  </pic:spPr>
                </pic:pic>
              </a:graphicData>
            </a:graphic>
          </wp:inline>
        </w:drawing>
      </w:r>
    </w:p>
    <w:p w14:paraId="6052E7C5" w14:textId="75032CB9" w:rsidR="006C6ED9" w:rsidRDefault="006C6ED9" w:rsidP="006C6ED9">
      <w:pPr>
        <w:rPr>
          <w:sz w:val="18"/>
          <w:szCs w:val="18"/>
        </w:rPr>
      </w:pPr>
      <w:r w:rsidRPr="006C6ED9">
        <w:rPr>
          <w:sz w:val="18"/>
          <w:szCs w:val="18"/>
        </w:rPr>
        <w:t>Figure 5. Drawing showing position of ochre traces on a neonate burial at Shubayqa 1 and examples of the stained bones (Richter et al. 2019, p.448).</w:t>
      </w:r>
    </w:p>
    <w:p w14:paraId="0FFC3096" w14:textId="77777777" w:rsidR="006C6ED9" w:rsidRDefault="006C6ED9" w:rsidP="006C6ED9">
      <w:pPr>
        <w:rPr>
          <w:sz w:val="18"/>
          <w:szCs w:val="18"/>
        </w:rPr>
      </w:pPr>
    </w:p>
    <w:p w14:paraId="23A36159" w14:textId="23B5A202" w:rsidR="00C41CD2" w:rsidRPr="00C41CD2" w:rsidRDefault="00C41CD2" w:rsidP="00C41CD2">
      <w:pPr>
        <w:rPr>
          <w:sz w:val="24"/>
          <w:szCs w:val="24"/>
        </w:rPr>
      </w:pPr>
      <w:r>
        <w:rPr>
          <w:sz w:val="24"/>
          <w:szCs w:val="24"/>
        </w:rPr>
        <w:t>I</w:t>
      </w:r>
      <w:r w:rsidRPr="00C41CD2">
        <w:rPr>
          <w:sz w:val="24"/>
          <w:szCs w:val="24"/>
        </w:rPr>
        <w:t>n addition to the use of ochre and the likely wrapping of the remains in hides or textiles</w:t>
      </w:r>
      <w:r w:rsidR="00625FD4">
        <w:rPr>
          <w:sz w:val="24"/>
          <w:szCs w:val="24"/>
        </w:rPr>
        <w:t>,</w:t>
      </w:r>
      <w:r w:rsidRPr="00C41CD2">
        <w:rPr>
          <w:sz w:val="24"/>
          <w:szCs w:val="24"/>
        </w:rPr>
        <w:t xml:space="preserve"> </w:t>
      </w:r>
    </w:p>
    <w:p w14:paraId="1F942013" w14:textId="1E957A80" w:rsidR="00877B17" w:rsidRDefault="00C41CD2" w:rsidP="00625FD4">
      <w:pPr>
        <w:rPr>
          <w:sz w:val="24"/>
          <w:szCs w:val="24"/>
        </w:rPr>
      </w:pPr>
      <w:r w:rsidRPr="00C41CD2">
        <w:rPr>
          <w:sz w:val="24"/>
          <w:szCs w:val="24"/>
        </w:rPr>
        <w:t xml:space="preserve">Shubayqa 1 offers </w:t>
      </w:r>
      <w:r>
        <w:rPr>
          <w:sz w:val="24"/>
          <w:szCs w:val="24"/>
        </w:rPr>
        <w:t>a vision</w:t>
      </w:r>
      <w:r w:rsidRPr="00C41CD2">
        <w:rPr>
          <w:sz w:val="24"/>
          <w:szCs w:val="24"/>
        </w:rPr>
        <w:t xml:space="preserve"> into the link between the spaces of the living and the dead</w:t>
      </w:r>
      <w:r w:rsidR="00625FD4">
        <w:rPr>
          <w:sz w:val="24"/>
          <w:szCs w:val="24"/>
        </w:rPr>
        <w:t>. S</w:t>
      </w:r>
      <w:r w:rsidR="00625FD4" w:rsidRPr="00625FD4">
        <w:rPr>
          <w:sz w:val="24"/>
          <w:szCs w:val="24"/>
        </w:rPr>
        <w:t>ubfloor burials within dwellings</w:t>
      </w:r>
      <w:r w:rsidR="00625FD4">
        <w:rPr>
          <w:sz w:val="24"/>
          <w:szCs w:val="24"/>
        </w:rPr>
        <w:t xml:space="preserve"> found at the site,</w:t>
      </w:r>
      <w:r w:rsidR="00625FD4" w:rsidRPr="00625FD4">
        <w:rPr>
          <w:sz w:val="24"/>
          <w:szCs w:val="24"/>
        </w:rPr>
        <w:t xml:space="preserve"> </w:t>
      </w:r>
      <w:r w:rsidR="00625FD4">
        <w:rPr>
          <w:sz w:val="24"/>
          <w:szCs w:val="24"/>
        </w:rPr>
        <w:t xml:space="preserve">which </w:t>
      </w:r>
      <w:r w:rsidR="00625FD4" w:rsidRPr="00625FD4">
        <w:rPr>
          <w:sz w:val="24"/>
          <w:szCs w:val="24"/>
        </w:rPr>
        <w:t>are not uncommon during this period</w:t>
      </w:r>
      <w:r w:rsidR="00625FD4">
        <w:rPr>
          <w:sz w:val="24"/>
          <w:szCs w:val="24"/>
        </w:rPr>
        <w:t xml:space="preserve">, </w:t>
      </w:r>
      <w:r w:rsidR="00625FD4" w:rsidRPr="00625FD4">
        <w:rPr>
          <w:sz w:val="24"/>
          <w:szCs w:val="24"/>
        </w:rPr>
        <w:t>ha</w:t>
      </w:r>
      <w:r w:rsidR="00625FD4">
        <w:rPr>
          <w:sz w:val="24"/>
          <w:szCs w:val="24"/>
        </w:rPr>
        <w:t>ve</w:t>
      </w:r>
      <w:r w:rsidR="00625FD4" w:rsidRPr="00625FD4">
        <w:rPr>
          <w:sz w:val="24"/>
          <w:szCs w:val="24"/>
        </w:rPr>
        <w:t xml:space="preserve"> been </w:t>
      </w:r>
      <w:r w:rsidR="00625FD4">
        <w:rPr>
          <w:sz w:val="24"/>
          <w:szCs w:val="24"/>
        </w:rPr>
        <w:t>suggested to imply that</w:t>
      </w:r>
      <w:r w:rsidR="00625FD4" w:rsidRPr="00625FD4">
        <w:rPr>
          <w:sz w:val="24"/>
          <w:szCs w:val="24"/>
        </w:rPr>
        <w:t xml:space="preserve"> ownership and ancestry may be connected to the relationship between human bodies and dwellings</w:t>
      </w:r>
      <w:r w:rsidR="00625FD4">
        <w:rPr>
          <w:sz w:val="24"/>
          <w:szCs w:val="24"/>
        </w:rPr>
        <w:t xml:space="preserve"> (Richter </w:t>
      </w:r>
      <w:r w:rsidR="00625FD4" w:rsidRPr="00625FD4">
        <w:rPr>
          <w:i/>
          <w:iCs/>
          <w:sz w:val="24"/>
          <w:szCs w:val="24"/>
        </w:rPr>
        <w:t>et al</w:t>
      </w:r>
      <w:r w:rsidR="00625FD4">
        <w:rPr>
          <w:sz w:val="24"/>
          <w:szCs w:val="24"/>
        </w:rPr>
        <w:t>. 2019,</w:t>
      </w:r>
      <w:r w:rsidR="00CC26BF">
        <w:rPr>
          <w:sz w:val="24"/>
          <w:szCs w:val="24"/>
        </w:rPr>
        <w:t xml:space="preserve"> p.</w:t>
      </w:r>
      <w:r w:rsidR="00625FD4">
        <w:rPr>
          <w:sz w:val="24"/>
          <w:szCs w:val="24"/>
        </w:rPr>
        <w:t xml:space="preserve"> 451).</w:t>
      </w:r>
      <w:r w:rsidR="00877B17">
        <w:rPr>
          <w:sz w:val="24"/>
          <w:szCs w:val="24"/>
        </w:rPr>
        <w:t xml:space="preserve"> </w:t>
      </w:r>
      <w:r w:rsidR="00B3070F">
        <w:rPr>
          <w:sz w:val="24"/>
          <w:szCs w:val="24"/>
        </w:rPr>
        <w:t>Figure 6</w:t>
      </w:r>
      <w:r w:rsidR="00877B17">
        <w:rPr>
          <w:sz w:val="24"/>
          <w:szCs w:val="24"/>
        </w:rPr>
        <w:t xml:space="preserve"> is a photograph of a stone pavement </w:t>
      </w:r>
      <w:r w:rsidR="00B3070F">
        <w:rPr>
          <w:sz w:val="24"/>
          <w:szCs w:val="24"/>
        </w:rPr>
        <w:t>within</w:t>
      </w:r>
      <w:r w:rsidR="00877B17">
        <w:rPr>
          <w:sz w:val="24"/>
          <w:szCs w:val="24"/>
        </w:rPr>
        <w:t xml:space="preserve"> a structure under which were found</w:t>
      </w:r>
      <w:r w:rsidR="00B3070F">
        <w:rPr>
          <w:sz w:val="24"/>
          <w:szCs w:val="24"/>
        </w:rPr>
        <w:t xml:space="preserve"> the</w:t>
      </w:r>
      <w:r w:rsidR="00877B17">
        <w:rPr>
          <w:sz w:val="24"/>
          <w:szCs w:val="24"/>
        </w:rPr>
        <w:t xml:space="preserve"> remains of six immature adults. </w:t>
      </w:r>
    </w:p>
    <w:p w14:paraId="48A6B22E" w14:textId="4C90DB14" w:rsidR="00877B17" w:rsidRDefault="00877B17" w:rsidP="00877B17">
      <w:pPr>
        <w:jc w:val="center"/>
        <w:rPr>
          <w:sz w:val="24"/>
          <w:szCs w:val="24"/>
        </w:rPr>
      </w:pPr>
      <w:r>
        <w:rPr>
          <w:noProof/>
          <w:sz w:val="24"/>
          <w:szCs w:val="24"/>
        </w:rPr>
        <w:drawing>
          <wp:inline distT="0" distB="0" distL="0" distR="0" wp14:anchorId="6C317DAE" wp14:editId="4655DEDA">
            <wp:extent cx="3852545" cy="2686050"/>
            <wp:effectExtent l="0" t="0" r="0" b="0"/>
            <wp:docPr id="18149373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937346" name="Picture 1814937346"/>
                    <pic:cNvPicPr/>
                  </pic:nvPicPr>
                  <pic:blipFill>
                    <a:blip r:embed="rId11">
                      <a:extLst>
                        <a:ext uri="{28A0092B-C50C-407E-A947-70E740481C1C}">
                          <a14:useLocalDpi xmlns:a14="http://schemas.microsoft.com/office/drawing/2010/main" val="0"/>
                        </a:ext>
                      </a:extLst>
                    </a:blip>
                    <a:stretch>
                      <a:fillRect/>
                    </a:stretch>
                  </pic:blipFill>
                  <pic:spPr>
                    <a:xfrm>
                      <a:off x="0" y="0"/>
                      <a:ext cx="3858978" cy="2690535"/>
                    </a:xfrm>
                    <a:prstGeom prst="rect">
                      <a:avLst/>
                    </a:prstGeom>
                  </pic:spPr>
                </pic:pic>
              </a:graphicData>
            </a:graphic>
          </wp:inline>
        </w:drawing>
      </w:r>
    </w:p>
    <w:p w14:paraId="6775684E" w14:textId="48E581C0" w:rsidR="00EC2065" w:rsidRDefault="00B3070F" w:rsidP="00625FD4">
      <w:pPr>
        <w:rPr>
          <w:sz w:val="18"/>
          <w:szCs w:val="18"/>
        </w:rPr>
      </w:pPr>
      <w:r w:rsidRPr="00B3070F">
        <w:rPr>
          <w:sz w:val="18"/>
          <w:szCs w:val="18"/>
        </w:rPr>
        <w:t>Figure 6, photograph of a stone pavement within a structure under which were found</w:t>
      </w:r>
      <w:r>
        <w:rPr>
          <w:sz w:val="18"/>
          <w:szCs w:val="18"/>
        </w:rPr>
        <w:t xml:space="preserve"> the</w:t>
      </w:r>
      <w:r w:rsidRPr="00B3070F">
        <w:rPr>
          <w:sz w:val="18"/>
          <w:szCs w:val="18"/>
        </w:rPr>
        <w:t xml:space="preserve"> remains of six immature adults (Richter et al. 2019, p.445).</w:t>
      </w:r>
    </w:p>
    <w:p w14:paraId="31B3EBFE" w14:textId="5D7C757C" w:rsidR="00BF5B55" w:rsidRDefault="0016342C" w:rsidP="0016342C">
      <w:pPr>
        <w:rPr>
          <w:sz w:val="24"/>
          <w:szCs w:val="24"/>
        </w:rPr>
      </w:pPr>
      <w:r>
        <w:rPr>
          <w:sz w:val="24"/>
          <w:szCs w:val="24"/>
        </w:rPr>
        <w:lastRenderedPageBreak/>
        <w:t>T</w:t>
      </w:r>
      <w:r w:rsidRPr="0016342C">
        <w:rPr>
          <w:sz w:val="24"/>
          <w:szCs w:val="24"/>
        </w:rPr>
        <w:t xml:space="preserve">he Raqefet cave is </w:t>
      </w:r>
      <w:r>
        <w:rPr>
          <w:sz w:val="24"/>
          <w:szCs w:val="24"/>
        </w:rPr>
        <w:t>s</w:t>
      </w:r>
      <w:r w:rsidRPr="0016342C">
        <w:rPr>
          <w:sz w:val="24"/>
          <w:szCs w:val="24"/>
        </w:rPr>
        <w:t xml:space="preserve">ituated on the eastern flank of Mount Carmel in </w:t>
      </w:r>
      <w:r>
        <w:rPr>
          <w:sz w:val="24"/>
          <w:szCs w:val="24"/>
        </w:rPr>
        <w:t>a</w:t>
      </w:r>
      <w:r w:rsidRPr="0016342C">
        <w:rPr>
          <w:sz w:val="24"/>
          <w:szCs w:val="24"/>
        </w:rPr>
        <w:t xml:space="preserve"> wadi.</w:t>
      </w:r>
      <w:r>
        <w:rPr>
          <w:sz w:val="24"/>
          <w:szCs w:val="24"/>
        </w:rPr>
        <w:t xml:space="preserve"> </w:t>
      </w:r>
      <w:r w:rsidR="005E662E">
        <w:rPr>
          <w:sz w:val="24"/>
          <w:szCs w:val="24"/>
        </w:rPr>
        <w:t xml:space="preserve">At </w:t>
      </w:r>
      <w:r w:rsidR="00FC1A3F" w:rsidRPr="00FC1A3F">
        <w:rPr>
          <w:sz w:val="24"/>
          <w:szCs w:val="24"/>
        </w:rPr>
        <w:t xml:space="preserve">Raqefet Cave </w:t>
      </w:r>
      <w:r w:rsidR="005E662E" w:rsidRPr="005E662E">
        <w:rPr>
          <w:sz w:val="24"/>
          <w:szCs w:val="24"/>
        </w:rPr>
        <w:t>there are no signs of settlement</w:t>
      </w:r>
      <w:r w:rsidR="005E662E">
        <w:rPr>
          <w:sz w:val="24"/>
          <w:szCs w:val="24"/>
        </w:rPr>
        <w:t xml:space="preserve">, and it </w:t>
      </w:r>
      <w:r w:rsidR="00FC1A3F" w:rsidRPr="00FC1A3F">
        <w:rPr>
          <w:sz w:val="24"/>
          <w:szCs w:val="24"/>
        </w:rPr>
        <w:t>is thought to have served largely as a burial ground for a neighbouring settlement, in contrast to el-Wad, where settlement evidence</w:t>
      </w:r>
      <w:r w:rsidR="00FC1A3F">
        <w:rPr>
          <w:sz w:val="24"/>
          <w:szCs w:val="24"/>
        </w:rPr>
        <w:t xml:space="preserve"> as well as burials </w:t>
      </w:r>
      <w:r w:rsidR="00FC1A3F" w:rsidRPr="00FC1A3F">
        <w:rPr>
          <w:sz w:val="24"/>
          <w:szCs w:val="24"/>
        </w:rPr>
        <w:t>ha</w:t>
      </w:r>
      <w:r w:rsidR="00FC1A3F">
        <w:rPr>
          <w:sz w:val="24"/>
          <w:szCs w:val="24"/>
        </w:rPr>
        <w:t>ve</w:t>
      </w:r>
      <w:r w:rsidR="00FC1A3F" w:rsidRPr="00FC1A3F">
        <w:rPr>
          <w:sz w:val="24"/>
          <w:szCs w:val="24"/>
        </w:rPr>
        <w:t xml:space="preserve"> been found. </w:t>
      </w:r>
      <w:r w:rsidR="00FC1A3F">
        <w:rPr>
          <w:sz w:val="24"/>
          <w:szCs w:val="24"/>
        </w:rPr>
        <w:t>I</w:t>
      </w:r>
      <w:r w:rsidRPr="0016342C">
        <w:rPr>
          <w:sz w:val="24"/>
          <w:szCs w:val="24"/>
        </w:rPr>
        <w:t>nvestigation</w:t>
      </w:r>
      <w:r w:rsidR="00FC1A3F">
        <w:rPr>
          <w:sz w:val="24"/>
          <w:szCs w:val="24"/>
        </w:rPr>
        <w:t>s</w:t>
      </w:r>
      <w:r>
        <w:rPr>
          <w:sz w:val="24"/>
          <w:szCs w:val="24"/>
        </w:rPr>
        <w:t xml:space="preserve"> </w:t>
      </w:r>
      <w:r w:rsidR="00FC1A3F">
        <w:rPr>
          <w:sz w:val="24"/>
          <w:szCs w:val="24"/>
        </w:rPr>
        <w:t>at Raqefet cave</w:t>
      </w:r>
      <w:r w:rsidRPr="0016342C">
        <w:rPr>
          <w:sz w:val="24"/>
          <w:szCs w:val="24"/>
        </w:rPr>
        <w:t xml:space="preserve"> ha</w:t>
      </w:r>
      <w:r>
        <w:rPr>
          <w:sz w:val="24"/>
          <w:szCs w:val="24"/>
        </w:rPr>
        <w:t>ve</w:t>
      </w:r>
      <w:r w:rsidRPr="0016342C">
        <w:rPr>
          <w:sz w:val="24"/>
          <w:szCs w:val="24"/>
        </w:rPr>
        <w:t xml:space="preserve"> </w:t>
      </w:r>
      <w:r w:rsidR="005E662E">
        <w:rPr>
          <w:sz w:val="24"/>
          <w:szCs w:val="24"/>
        </w:rPr>
        <w:t>found</w:t>
      </w:r>
      <w:r w:rsidRPr="0016342C">
        <w:rPr>
          <w:sz w:val="24"/>
          <w:szCs w:val="24"/>
        </w:rPr>
        <w:t xml:space="preserve"> 29 adult and child graves</w:t>
      </w:r>
      <w:r w:rsidR="00247B08">
        <w:rPr>
          <w:sz w:val="24"/>
          <w:szCs w:val="24"/>
        </w:rPr>
        <w:t xml:space="preserve"> (Barzilai,</w:t>
      </w:r>
      <w:r w:rsidR="00601664">
        <w:rPr>
          <w:sz w:val="24"/>
          <w:szCs w:val="24"/>
        </w:rPr>
        <w:t xml:space="preserve"> </w:t>
      </w:r>
      <w:r w:rsidR="00601664" w:rsidRPr="00601664">
        <w:rPr>
          <w:i/>
          <w:iCs/>
          <w:sz w:val="24"/>
          <w:szCs w:val="24"/>
        </w:rPr>
        <w:t>et al</w:t>
      </w:r>
      <w:r w:rsidR="00601664">
        <w:rPr>
          <w:sz w:val="24"/>
          <w:szCs w:val="24"/>
        </w:rPr>
        <w:t>.</w:t>
      </w:r>
      <w:r w:rsidR="00247B08">
        <w:rPr>
          <w:sz w:val="24"/>
          <w:szCs w:val="24"/>
        </w:rPr>
        <w:t xml:space="preserve"> 2017, p</w:t>
      </w:r>
      <w:r w:rsidR="00FC1A3F">
        <w:rPr>
          <w:sz w:val="24"/>
          <w:szCs w:val="24"/>
        </w:rPr>
        <w:t>p</w:t>
      </w:r>
      <w:r w:rsidR="00247B08">
        <w:rPr>
          <w:sz w:val="24"/>
          <w:szCs w:val="24"/>
        </w:rPr>
        <w:t>. 1137</w:t>
      </w:r>
      <w:r w:rsidR="00FC1A3F">
        <w:rPr>
          <w:sz w:val="24"/>
          <w:szCs w:val="24"/>
        </w:rPr>
        <w:t>-1151)</w:t>
      </w:r>
      <w:r>
        <w:rPr>
          <w:sz w:val="24"/>
          <w:szCs w:val="24"/>
        </w:rPr>
        <w:t>.</w:t>
      </w:r>
    </w:p>
    <w:p w14:paraId="39512341" w14:textId="77777777" w:rsidR="00BF5B55" w:rsidRDefault="00BF5B55" w:rsidP="0016342C">
      <w:pPr>
        <w:rPr>
          <w:sz w:val="24"/>
          <w:szCs w:val="24"/>
        </w:rPr>
      </w:pPr>
    </w:p>
    <w:p w14:paraId="2BE290D4" w14:textId="7A8F3C91" w:rsidR="003B0BB9" w:rsidRDefault="00BF5B55" w:rsidP="003B0BB9">
      <w:pPr>
        <w:rPr>
          <w:sz w:val="24"/>
          <w:szCs w:val="24"/>
        </w:rPr>
      </w:pPr>
      <w:r>
        <w:rPr>
          <w:sz w:val="24"/>
          <w:szCs w:val="24"/>
        </w:rPr>
        <w:t>A</w:t>
      </w:r>
      <w:r w:rsidRPr="00BF5B55">
        <w:rPr>
          <w:sz w:val="24"/>
          <w:szCs w:val="24"/>
        </w:rPr>
        <w:t xml:space="preserve">round eighty </w:t>
      </w:r>
      <w:r w:rsidR="00981CAF">
        <w:rPr>
          <w:sz w:val="24"/>
          <w:szCs w:val="24"/>
        </w:rPr>
        <w:t>‘</w:t>
      </w:r>
      <w:r w:rsidR="005A5F81">
        <w:rPr>
          <w:sz w:val="24"/>
          <w:szCs w:val="24"/>
        </w:rPr>
        <w:t xml:space="preserve">human </w:t>
      </w:r>
      <w:r w:rsidRPr="00BF5B55">
        <w:rPr>
          <w:sz w:val="24"/>
          <w:szCs w:val="24"/>
        </w:rPr>
        <w:t>made bedrock holes</w:t>
      </w:r>
      <w:r w:rsidR="00981CAF">
        <w:rPr>
          <w:sz w:val="24"/>
          <w:szCs w:val="24"/>
        </w:rPr>
        <w:t>’</w:t>
      </w:r>
      <w:r w:rsidR="005A5F81">
        <w:rPr>
          <w:sz w:val="24"/>
          <w:szCs w:val="24"/>
        </w:rPr>
        <w:t xml:space="preserve"> (HBHs)</w:t>
      </w:r>
      <w:r w:rsidRPr="00BF5B55">
        <w:rPr>
          <w:sz w:val="24"/>
          <w:szCs w:val="24"/>
        </w:rPr>
        <w:t xml:space="preserve"> </w:t>
      </w:r>
      <w:r>
        <w:rPr>
          <w:sz w:val="24"/>
          <w:szCs w:val="24"/>
        </w:rPr>
        <w:t xml:space="preserve">were found </w:t>
      </w:r>
      <w:r w:rsidR="005A5F81">
        <w:rPr>
          <w:sz w:val="24"/>
          <w:szCs w:val="24"/>
        </w:rPr>
        <w:t>all over the floor at Raqefet</w:t>
      </w:r>
      <w:r w:rsidRPr="00BF5B55">
        <w:rPr>
          <w:sz w:val="24"/>
          <w:szCs w:val="24"/>
        </w:rPr>
        <w:t xml:space="preserve"> cave. A human skeleton was discovered at the </w:t>
      </w:r>
      <w:r>
        <w:rPr>
          <w:sz w:val="24"/>
          <w:szCs w:val="24"/>
        </w:rPr>
        <w:t>top</w:t>
      </w:r>
      <w:r w:rsidRPr="00BF5B55">
        <w:rPr>
          <w:sz w:val="24"/>
          <w:szCs w:val="24"/>
        </w:rPr>
        <w:t xml:space="preserve"> of one. The shape and size of the HBHs suggests that they were put to use for a range of purposes, some of which could not have involved the processing of food or </w:t>
      </w:r>
      <w:r w:rsidR="005A5F81" w:rsidRPr="00BF5B55">
        <w:rPr>
          <w:sz w:val="24"/>
          <w:szCs w:val="24"/>
        </w:rPr>
        <w:t>minerals</w:t>
      </w:r>
      <w:r w:rsidR="005A5F81">
        <w:rPr>
          <w:sz w:val="24"/>
          <w:szCs w:val="24"/>
        </w:rPr>
        <w:t xml:space="preserve"> and</w:t>
      </w:r>
      <w:r>
        <w:rPr>
          <w:sz w:val="24"/>
          <w:szCs w:val="24"/>
        </w:rPr>
        <w:t xml:space="preserve"> may have been for burial.</w:t>
      </w:r>
      <w:r w:rsidRPr="00BF5B55">
        <w:rPr>
          <w:sz w:val="24"/>
          <w:szCs w:val="24"/>
        </w:rPr>
        <w:t xml:space="preserve"> </w:t>
      </w:r>
      <w:r w:rsidR="005A5F81" w:rsidRPr="005A5F81">
        <w:rPr>
          <w:sz w:val="24"/>
          <w:szCs w:val="24"/>
        </w:rPr>
        <w:t xml:space="preserve">The HBHs close to the tombs are thought to have been a part of a significant burial complex at the location and were not haphazardly placed. It has been proposed that a few of them serve a symbolic purpose having been carved especially for use in funeral ceremonies. The cave complex is dominated by single burials, which are unique for this </w:t>
      </w:r>
      <w:r w:rsidR="00981CAF">
        <w:rPr>
          <w:sz w:val="24"/>
          <w:szCs w:val="24"/>
        </w:rPr>
        <w:t>period,</w:t>
      </w:r>
      <w:r w:rsidR="005A5F81" w:rsidRPr="005A5F81">
        <w:rPr>
          <w:sz w:val="24"/>
          <w:szCs w:val="24"/>
        </w:rPr>
        <w:t xml:space="preserve"> and </w:t>
      </w:r>
      <w:r w:rsidR="00981CAF">
        <w:rPr>
          <w:sz w:val="24"/>
          <w:szCs w:val="24"/>
        </w:rPr>
        <w:t xml:space="preserve">it has </w:t>
      </w:r>
      <w:r w:rsidR="005A5F81" w:rsidRPr="005A5F81">
        <w:rPr>
          <w:sz w:val="24"/>
          <w:szCs w:val="24"/>
        </w:rPr>
        <w:t>been referred to as</w:t>
      </w:r>
      <w:r w:rsidR="005A5F81">
        <w:rPr>
          <w:sz w:val="24"/>
          <w:szCs w:val="24"/>
        </w:rPr>
        <w:t xml:space="preserve"> </w:t>
      </w:r>
      <w:r w:rsidR="00981CAF">
        <w:rPr>
          <w:sz w:val="24"/>
          <w:szCs w:val="24"/>
        </w:rPr>
        <w:t xml:space="preserve">being a </w:t>
      </w:r>
      <w:r w:rsidR="005A5F81">
        <w:rPr>
          <w:sz w:val="24"/>
          <w:szCs w:val="24"/>
        </w:rPr>
        <w:t>mournful and sombre area</w:t>
      </w:r>
      <w:r w:rsidR="005A5F81" w:rsidRPr="005A5F81">
        <w:rPr>
          <w:sz w:val="24"/>
          <w:szCs w:val="24"/>
        </w:rPr>
        <w:t>.</w:t>
      </w:r>
      <w:r w:rsidR="00981CAF">
        <w:rPr>
          <w:sz w:val="24"/>
          <w:szCs w:val="24"/>
        </w:rPr>
        <w:t xml:space="preserve"> There is a clear leaning towards burying their dead on their back in a west-east direction, and there are indications of disturbances to the graves from successive burials in the same place (Nadel </w:t>
      </w:r>
      <w:r w:rsidR="00981CAF" w:rsidRPr="00981CAF">
        <w:rPr>
          <w:i/>
          <w:iCs/>
          <w:sz w:val="24"/>
          <w:szCs w:val="24"/>
        </w:rPr>
        <w:t>et al</w:t>
      </w:r>
      <w:r w:rsidR="00981CAF">
        <w:rPr>
          <w:sz w:val="24"/>
          <w:szCs w:val="24"/>
        </w:rPr>
        <w:t xml:space="preserve">. 2008, pp.59-131; Lengyel &amp; Bocquentin, </w:t>
      </w:r>
      <w:r w:rsidR="003B0BB9">
        <w:rPr>
          <w:sz w:val="24"/>
          <w:szCs w:val="24"/>
        </w:rPr>
        <w:t>2005, pp. 271-283</w:t>
      </w:r>
      <w:r w:rsidR="00981CAF">
        <w:rPr>
          <w:sz w:val="24"/>
          <w:szCs w:val="24"/>
        </w:rPr>
        <w:t xml:space="preserve">). </w:t>
      </w:r>
      <w:r w:rsidR="00601664">
        <w:rPr>
          <w:sz w:val="24"/>
          <w:szCs w:val="24"/>
        </w:rPr>
        <w:t xml:space="preserve"> </w:t>
      </w:r>
      <w:r w:rsidR="003B0BB9">
        <w:rPr>
          <w:sz w:val="24"/>
          <w:szCs w:val="24"/>
        </w:rPr>
        <w:t>Additionally, it</w:t>
      </w:r>
      <w:r w:rsidR="003B0BB9" w:rsidRPr="003B0BB9">
        <w:rPr>
          <w:sz w:val="24"/>
          <w:szCs w:val="24"/>
        </w:rPr>
        <w:t xml:space="preserve"> </w:t>
      </w:r>
      <w:r w:rsidR="003B0BB9">
        <w:rPr>
          <w:sz w:val="24"/>
          <w:szCs w:val="24"/>
        </w:rPr>
        <w:t>has</w:t>
      </w:r>
      <w:r w:rsidR="003B0BB9" w:rsidRPr="003B0BB9">
        <w:rPr>
          <w:sz w:val="24"/>
          <w:szCs w:val="24"/>
        </w:rPr>
        <w:t xml:space="preserve"> been suggested</w:t>
      </w:r>
      <w:r w:rsidR="003B0BB9">
        <w:rPr>
          <w:sz w:val="24"/>
          <w:szCs w:val="24"/>
        </w:rPr>
        <w:t xml:space="preserve"> that food remains found within the graves to be</w:t>
      </w:r>
      <w:r w:rsidR="003B0BB9" w:rsidRPr="003B0BB9">
        <w:rPr>
          <w:sz w:val="24"/>
          <w:szCs w:val="24"/>
        </w:rPr>
        <w:t xml:space="preserve"> a representation of funerary feasts as opposed to household </w:t>
      </w:r>
      <w:r w:rsidR="003B0BB9">
        <w:rPr>
          <w:sz w:val="24"/>
          <w:szCs w:val="24"/>
        </w:rPr>
        <w:t>waste</w:t>
      </w:r>
      <w:r w:rsidR="003B0BB9" w:rsidRPr="003B0BB9">
        <w:rPr>
          <w:sz w:val="24"/>
          <w:szCs w:val="24"/>
        </w:rPr>
        <w:t xml:space="preserve"> </w:t>
      </w:r>
      <w:r w:rsidR="003B0BB9">
        <w:rPr>
          <w:sz w:val="24"/>
          <w:szCs w:val="24"/>
        </w:rPr>
        <w:t xml:space="preserve">collected before </w:t>
      </w:r>
      <w:r w:rsidR="003B0BB9" w:rsidRPr="003B0BB9">
        <w:rPr>
          <w:sz w:val="24"/>
          <w:szCs w:val="24"/>
        </w:rPr>
        <w:t>the tombs were dug</w:t>
      </w:r>
      <w:r w:rsidR="00601664">
        <w:rPr>
          <w:sz w:val="24"/>
          <w:szCs w:val="24"/>
        </w:rPr>
        <w:t xml:space="preserve"> (Barzilai </w:t>
      </w:r>
      <w:r w:rsidR="00601664" w:rsidRPr="00601664">
        <w:rPr>
          <w:i/>
          <w:iCs/>
          <w:sz w:val="24"/>
          <w:szCs w:val="24"/>
        </w:rPr>
        <w:t>et al</w:t>
      </w:r>
      <w:r w:rsidR="00601664">
        <w:rPr>
          <w:sz w:val="24"/>
          <w:szCs w:val="24"/>
        </w:rPr>
        <w:t>, 2017, p</w:t>
      </w:r>
      <w:r w:rsidR="003B0BB9" w:rsidRPr="003B0BB9">
        <w:rPr>
          <w:sz w:val="24"/>
          <w:szCs w:val="24"/>
        </w:rPr>
        <w:t>.</w:t>
      </w:r>
      <w:r w:rsidR="00601664">
        <w:rPr>
          <w:sz w:val="24"/>
          <w:szCs w:val="24"/>
        </w:rPr>
        <w:t>1141).</w:t>
      </w:r>
      <w:r w:rsidR="003B0BB9" w:rsidRPr="003B0BB9">
        <w:rPr>
          <w:sz w:val="24"/>
          <w:szCs w:val="24"/>
        </w:rPr>
        <w:t xml:space="preserve"> </w:t>
      </w:r>
    </w:p>
    <w:p w14:paraId="691386EC" w14:textId="77777777" w:rsidR="005E662E" w:rsidRDefault="005E662E" w:rsidP="003B0BB9">
      <w:pPr>
        <w:rPr>
          <w:sz w:val="24"/>
          <w:szCs w:val="24"/>
        </w:rPr>
      </w:pPr>
    </w:p>
    <w:p w14:paraId="24036017" w14:textId="412A39F0" w:rsidR="005370A5" w:rsidRDefault="005E662E" w:rsidP="005370A5">
      <w:pPr>
        <w:rPr>
          <w:sz w:val="24"/>
          <w:szCs w:val="24"/>
        </w:rPr>
      </w:pPr>
      <w:r>
        <w:rPr>
          <w:sz w:val="24"/>
          <w:szCs w:val="24"/>
        </w:rPr>
        <w:t xml:space="preserve">There is evidence that these feasts </w:t>
      </w:r>
      <w:r w:rsidRPr="005E662E">
        <w:rPr>
          <w:sz w:val="24"/>
          <w:szCs w:val="24"/>
        </w:rPr>
        <w:t>may have included the consumption of gazelle, small animals, and occasionally a larger ungulate (wild boar, fallow deer, and most likely aurochs). It is speculative to estimate how many people attend these rituals.</w:t>
      </w:r>
      <w:r w:rsidR="006C1159" w:rsidRPr="006C1159">
        <w:rPr>
          <w:sz w:val="24"/>
          <w:szCs w:val="24"/>
        </w:rPr>
        <w:t xml:space="preserve"> Numerous individuals may </w:t>
      </w:r>
      <w:r w:rsidR="006C1159">
        <w:rPr>
          <w:sz w:val="24"/>
          <w:szCs w:val="24"/>
        </w:rPr>
        <w:t xml:space="preserve">have </w:t>
      </w:r>
      <w:r w:rsidR="006C1159" w:rsidRPr="006C1159">
        <w:rPr>
          <w:sz w:val="24"/>
          <w:szCs w:val="24"/>
        </w:rPr>
        <w:t>be</w:t>
      </w:r>
      <w:r w:rsidR="006C1159">
        <w:rPr>
          <w:sz w:val="24"/>
          <w:szCs w:val="24"/>
        </w:rPr>
        <w:t>en present</w:t>
      </w:r>
      <w:r w:rsidR="006C1159" w:rsidRPr="006C1159">
        <w:rPr>
          <w:sz w:val="24"/>
          <w:szCs w:val="24"/>
        </w:rPr>
        <w:t xml:space="preserve"> </w:t>
      </w:r>
      <w:r w:rsidR="006C1159">
        <w:rPr>
          <w:sz w:val="24"/>
          <w:szCs w:val="24"/>
        </w:rPr>
        <w:t>at a fe</w:t>
      </w:r>
      <w:r w:rsidR="006C1159" w:rsidRPr="006C1159">
        <w:rPr>
          <w:sz w:val="24"/>
          <w:szCs w:val="24"/>
        </w:rPr>
        <w:t>a</w:t>
      </w:r>
      <w:r w:rsidR="006C1159">
        <w:rPr>
          <w:sz w:val="24"/>
          <w:szCs w:val="24"/>
        </w:rPr>
        <w:t>st due</w:t>
      </w:r>
      <w:r w:rsidR="006C1159" w:rsidRPr="006C1159">
        <w:rPr>
          <w:sz w:val="24"/>
          <w:szCs w:val="24"/>
        </w:rPr>
        <w:t xml:space="preserve"> to the high and vault-shaped cave roof. </w:t>
      </w:r>
      <w:r w:rsidR="006C1159">
        <w:rPr>
          <w:sz w:val="24"/>
          <w:szCs w:val="24"/>
        </w:rPr>
        <w:t>I</w:t>
      </w:r>
      <w:r w:rsidR="006C1159" w:rsidRPr="006C1159">
        <w:rPr>
          <w:sz w:val="24"/>
          <w:szCs w:val="24"/>
        </w:rPr>
        <w:t>t is possible that the</w:t>
      </w:r>
      <w:r w:rsidR="006C1159">
        <w:rPr>
          <w:sz w:val="24"/>
          <w:szCs w:val="24"/>
        </w:rPr>
        <w:t xml:space="preserve"> </w:t>
      </w:r>
      <w:r w:rsidR="006C1159" w:rsidRPr="006C1159">
        <w:rPr>
          <w:sz w:val="24"/>
          <w:szCs w:val="24"/>
        </w:rPr>
        <w:t xml:space="preserve"> participants</w:t>
      </w:r>
      <w:r w:rsidR="006C1159">
        <w:rPr>
          <w:sz w:val="24"/>
          <w:szCs w:val="24"/>
        </w:rPr>
        <w:t xml:space="preserve"> were few</w:t>
      </w:r>
      <w:r w:rsidR="006C1159" w:rsidRPr="006C1159">
        <w:rPr>
          <w:sz w:val="24"/>
          <w:szCs w:val="24"/>
        </w:rPr>
        <w:t xml:space="preserve"> due to the moderate amount of game consumed. </w:t>
      </w:r>
      <w:r w:rsidR="006C1159">
        <w:rPr>
          <w:sz w:val="24"/>
          <w:szCs w:val="24"/>
        </w:rPr>
        <w:t xml:space="preserve">It has therefore been inferred that </w:t>
      </w:r>
      <w:r w:rsidR="006C1159" w:rsidRPr="006C1159">
        <w:rPr>
          <w:sz w:val="24"/>
          <w:szCs w:val="24"/>
        </w:rPr>
        <w:t xml:space="preserve">Raqefet Cave </w:t>
      </w:r>
      <w:r w:rsidR="006C1159">
        <w:rPr>
          <w:sz w:val="24"/>
          <w:szCs w:val="24"/>
        </w:rPr>
        <w:t>w</w:t>
      </w:r>
      <w:r w:rsidR="006C1159" w:rsidRPr="006C1159">
        <w:rPr>
          <w:sz w:val="24"/>
          <w:szCs w:val="24"/>
        </w:rPr>
        <w:t>as a place where irregular burial customs were carried out by bands of Natufians who ascended the rocky slope to the cave, consumed foods that were readily available, and buried the dead, intentionally gathering their food remnants into the grave before filling it in with dirt and rocks</w:t>
      </w:r>
      <w:r w:rsidR="006C1159">
        <w:rPr>
          <w:sz w:val="24"/>
          <w:szCs w:val="24"/>
        </w:rPr>
        <w:t>. It is</w:t>
      </w:r>
      <w:r w:rsidR="005370A5">
        <w:rPr>
          <w:sz w:val="24"/>
          <w:szCs w:val="24"/>
        </w:rPr>
        <w:t xml:space="preserve"> suggested</w:t>
      </w:r>
      <w:r w:rsidR="006C1159">
        <w:rPr>
          <w:sz w:val="24"/>
          <w:szCs w:val="24"/>
        </w:rPr>
        <w:t xml:space="preserve"> evidence of </w:t>
      </w:r>
      <w:r w:rsidR="005370A5">
        <w:rPr>
          <w:sz w:val="24"/>
          <w:szCs w:val="24"/>
        </w:rPr>
        <w:t>a</w:t>
      </w:r>
      <w:r w:rsidR="005370A5" w:rsidRPr="005370A5">
        <w:rPr>
          <w:sz w:val="24"/>
          <w:szCs w:val="24"/>
        </w:rPr>
        <w:t xml:space="preserve"> cohesive social structure</w:t>
      </w:r>
      <w:r w:rsidR="005370A5">
        <w:rPr>
          <w:sz w:val="24"/>
          <w:szCs w:val="24"/>
        </w:rPr>
        <w:t xml:space="preserve"> (Yeshurun &amp; Bar-oz, 2013, p. 511-524).</w:t>
      </w:r>
    </w:p>
    <w:p w14:paraId="185C0899" w14:textId="77777777" w:rsidR="005370A5" w:rsidRDefault="005370A5" w:rsidP="005370A5">
      <w:pPr>
        <w:rPr>
          <w:sz w:val="24"/>
          <w:szCs w:val="24"/>
        </w:rPr>
      </w:pPr>
    </w:p>
    <w:p w14:paraId="21EB0EBF" w14:textId="78F653BD" w:rsidR="00E2351A" w:rsidRDefault="005370A5" w:rsidP="0023612A">
      <w:pPr>
        <w:rPr>
          <w:sz w:val="24"/>
          <w:szCs w:val="24"/>
        </w:rPr>
      </w:pPr>
      <w:r>
        <w:rPr>
          <w:sz w:val="24"/>
          <w:szCs w:val="24"/>
        </w:rPr>
        <w:t>Similar funerary practices have also been found at Hilazon T</w:t>
      </w:r>
      <w:r w:rsidR="00E03AC8">
        <w:rPr>
          <w:sz w:val="24"/>
          <w:szCs w:val="24"/>
        </w:rPr>
        <w:t>a</w:t>
      </w:r>
      <w:r>
        <w:rPr>
          <w:sz w:val="24"/>
          <w:szCs w:val="24"/>
        </w:rPr>
        <w:t xml:space="preserve">chit, in Israel. Hilazon Tachit is a small burial cave containing the graves of at least </w:t>
      </w:r>
      <w:r w:rsidR="0023612A">
        <w:rPr>
          <w:sz w:val="24"/>
          <w:szCs w:val="24"/>
        </w:rPr>
        <w:t>twenty-eight</w:t>
      </w:r>
      <w:r>
        <w:rPr>
          <w:sz w:val="24"/>
          <w:szCs w:val="24"/>
        </w:rPr>
        <w:t xml:space="preserve"> people.</w:t>
      </w:r>
      <w:r w:rsidR="0023612A">
        <w:rPr>
          <w:sz w:val="24"/>
          <w:szCs w:val="24"/>
        </w:rPr>
        <w:t xml:space="preserve"> One grave is an oval basin carved out of the bedrock and was used to bury an elderly woman, believed to be a shaman. The grave also held </w:t>
      </w:r>
      <w:r w:rsidR="0023612A" w:rsidRPr="0023612A">
        <w:rPr>
          <w:sz w:val="24"/>
          <w:szCs w:val="24"/>
        </w:rPr>
        <w:t>animal bones and artefacts made of flint.</w:t>
      </w:r>
      <w:r w:rsidR="0023612A">
        <w:rPr>
          <w:sz w:val="24"/>
          <w:szCs w:val="24"/>
        </w:rPr>
        <w:t xml:space="preserve"> </w:t>
      </w:r>
      <w:r w:rsidR="0023612A" w:rsidRPr="0023612A">
        <w:rPr>
          <w:sz w:val="24"/>
          <w:szCs w:val="24"/>
        </w:rPr>
        <w:t>With the right femur, pelvis, and spine resting against the grave's curved wall, the body was placed in an unusual position</w:t>
      </w:r>
      <w:r w:rsidR="003116E6">
        <w:rPr>
          <w:sz w:val="24"/>
          <w:szCs w:val="24"/>
        </w:rPr>
        <w:t xml:space="preserve">, </w:t>
      </w:r>
      <w:r w:rsidR="0023612A" w:rsidRPr="0023612A">
        <w:rPr>
          <w:sz w:val="24"/>
          <w:szCs w:val="24"/>
        </w:rPr>
        <w:t>on its side. The knees were bent inwards while the legs were spread apart</w:t>
      </w:r>
      <w:r w:rsidR="0023612A">
        <w:rPr>
          <w:sz w:val="24"/>
          <w:szCs w:val="24"/>
        </w:rPr>
        <w:t xml:space="preserve"> (Grosman &amp; Munro, 2008, p.17665; Munro &amp; Grosman, 2010, p. 5362)</w:t>
      </w:r>
      <w:r w:rsidR="0023612A" w:rsidRPr="0023612A">
        <w:rPr>
          <w:sz w:val="24"/>
          <w:szCs w:val="24"/>
        </w:rPr>
        <w:t>.</w:t>
      </w:r>
      <w:r w:rsidR="00E2351A">
        <w:rPr>
          <w:sz w:val="24"/>
          <w:szCs w:val="24"/>
        </w:rPr>
        <w:t xml:space="preserve"> </w:t>
      </w:r>
    </w:p>
    <w:p w14:paraId="38D3515D" w14:textId="77777777" w:rsidR="00E2351A" w:rsidRDefault="00E2351A" w:rsidP="0023612A">
      <w:pPr>
        <w:rPr>
          <w:sz w:val="24"/>
          <w:szCs w:val="24"/>
        </w:rPr>
      </w:pPr>
    </w:p>
    <w:p w14:paraId="3AC458CD" w14:textId="02DD70F6" w:rsidR="00E2351A" w:rsidRDefault="00E2351A" w:rsidP="0023612A">
      <w:pPr>
        <w:rPr>
          <w:sz w:val="24"/>
          <w:szCs w:val="24"/>
        </w:rPr>
      </w:pPr>
      <w:r w:rsidRPr="00E2351A">
        <w:rPr>
          <w:sz w:val="24"/>
          <w:szCs w:val="24"/>
        </w:rPr>
        <w:t>The grave contained the body parts of several animals, which is very uncommon. These include two stone marten skulls, the wing tip of an eagle, the tail of an auroch, the pelvis of a leopard, two tortoise shells, the forearm of a wild boar and a male gazelle horn</w:t>
      </w:r>
      <w:r w:rsidR="0000284D">
        <w:rPr>
          <w:sz w:val="24"/>
          <w:szCs w:val="24"/>
        </w:rPr>
        <w:t xml:space="preserve"> (Grosman &amp; Munro, 2008, p. 17668).</w:t>
      </w:r>
      <w:r>
        <w:rPr>
          <w:sz w:val="24"/>
          <w:szCs w:val="24"/>
        </w:rPr>
        <w:t xml:space="preserve"> Figure 7 is a </w:t>
      </w:r>
      <w:bookmarkStart w:id="1" w:name="_Hlk161152043"/>
      <w:r>
        <w:rPr>
          <w:sz w:val="24"/>
          <w:szCs w:val="24"/>
        </w:rPr>
        <w:t>reconstruction drawing of this burial showing the body posture and position of the grave goods</w:t>
      </w:r>
      <w:r w:rsidR="0000284D">
        <w:rPr>
          <w:sz w:val="24"/>
          <w:szCs w:val="24"/>
        </w:rPr>
        <w:t xml:space="preserve">. </w:t>
      </w:r>
      <w:bookmarkEnd w:id="1"/>
    </w:p>
    <w:p w14:paraId="2F78563D" w14:textId="7D86945B" w:rsidR="00E2351A" w:rsidRPr="0023612A" w:rsidRDefault="00E2351A" w:rsidP="00E2351A">
      <w:pPr>
        <w:jc w:val="center"/>
        <w:rPr>
          <w:sz w:val="24"/>
          <w:szCs w:val="24"/>
        </w:rPr>
      </w:pPr>
      <w:r>
        <w:rPr>
          <w:noProof/>
          <w:sz w:val="24"/>
          <w:szCs w:val="24"/>
        </w:rPr>
        <w:lastRenderedPageBreak/>
        <w:drawing>
          <wp:inline distT="0" distB="0" distL="0" distR="0" wp14:anchorId="2EF67101" wp14:editId="6ED4FCFE">
            <wp:extent cx="5067300" cy="5119370"/>
            <wp:effectExtent l="0" t="0" r="0" b="5080"/>
            <wp:docPr id="979442334" name="Picture 1" descr="A diagram of a sku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442334" name="Picture 1" descr="A diagram of a skull&#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071567" cy="5123681"/>
                    </a:xfrm>
                    <a:prstGeom prst="rect">
                      <a:avLst/>
                    </a:prstGeom>
                  </pic:spPr>
                </pic:pic>
              </a:graphicData>
            </a:graphic>
          </wp:inline>
        </w:drawing>
      </w:r>
    </w:p>
    <w:p w14:paraId="4AF4176A" w14:textId="7A8EAF93" w:rsidR="005370A5" w:rsidRPr="005370A5" w:rsidRDefault="005370A5" w:rsidP="005370A5">
      <w:pPr>
        <w:rPr>
          <w:sz w:val="24"/>
          <w:szCs w:val="24"/>
        </w:rPr>
      </w:pPr>
    </w:p>
    <w:p w14:paraId="036A6416" w14:textId="308A1B43" w:rsidR="006C1159" w:rsidRPr="006C1159" w:rsidRDefault="006C1159" w:rsidP="006C1159">
      <w:pPr>
        <w:rPr>
          <w:sz w:val="24"/>
          <w:szCs w:val="24"/>
        </w:rPr>
      </w:pPr>
    </w:p>
    <w:p w14:paraId="2CACDB65" w14:textId="221BCDED" w:rsidR="00E2351A" w:rsidRPr="00E2351A" w:rsidRDefault="00E2351A" w:rsidP="00E2351A">
      <w:pPr>
        <w:rPr>
          <w:sz w:val="18"/>
          <w:szCs w:val="18"/>
        </w:rPr>
      </w:pPr>
      <w:r w:rsidRPr="00E2351A">
        <w:rPr>
          <w:sz w:val="18"/>
          <w:szCs w:val="18"/>
        </w:rPr>
        <w:t>Figure 7. Reconstruction drawing of the burial showing the body posture and position of the grave goods (Grosman &amp; Munro, 2008, p. 17667).</w:t>
      </w:r>
    </w:p>
    <w:p w14:paraId="0B1E0708" w14:textId="7E696E88" w:rsidR="005E662E" w:rsidRPr="00E2351A" w:rsidRDefault="005E662E" w:rsidP="003B0BB9">
      <w:pPr>
        <w:rPr>
          <w:sz w:val="18"/>
          <w:szCs w:val="18"/>
        </w:rPr>
      </w:pPr>
    </w:p>
    <w:p w14:paraId="31F3BBF2" w14:textId="2CC6B6D5" w:rsidR="003B0BB9" w:rsidRDefault="0000284D" w:rsidP="005A5F81">
      <w:pPr>
        <w:rPr>
          <w:sz w:val="24"/>
          <w:szCs w:val="24"/>
        </w:rPr>
      </w:pPr>
      <w:r>
        <w:rPr>
          <w:sz w:val="24"/>
          <w:szCs w:val="24"/>
        </w:rPr>
        <w:t xml:space="preserve">This burial is unlike any other burial in the Natufian period. It is suggested that it shows </w:t>
      </w:r>
      <w:r w:rsidR="003116E6">
        <w:rPr>
          <w:sz w:val="24"/>
          <w:szCs w:val="24"/>
        </w:rPr>
        <w:t>a</w:t>
      </w:r>
      <w:r>
        <w:rPr>
          <w:sz w:val="24"/>
          <w:szCs w:val="24"/>
        </w:rPr>
        <w:t xml:space="preserve"> cultural identity </w:t>
      </w:r>
      <w:r w:rsidR="003116E6">
        <w:rPr>
          <w:sz w:val="24"/>
          <w:szCs w:val="24"/>
        </w:rPr>
        <w:t>that</w:t>
      </w:r>
      <w:r>
        <w:rPr>
          <w:sz w:val="24"/>
          <w:szCs w:val="24"/>
        </w:rPr>
        <w:t xml:space="preserve"> distinguishes this period as having unique social practices</w:t>
      </w:r>
      <w:r w:rsidR="003116E6">
        <w:rPr>
          <w:sz w:val="24"/>
          <w:szCs w:val="24"/>
        </w:rPr>
        <w:t>, and new burial practices (Grosman &amp; Munro, 2008, p.17668).</w:t>
      </w:r>
    </w:p>
    <w:p w14:paraId="4670F7A6" w14:textId="77777777" w:rsidR="003116E6" w:rsidRDefault="003116E6" w:rsidP="005A5F81">
      <w:pPr>
        <w:rPr>
          <w:sz w:val="24"/>
          <w:szCs w:val="24"/>
        </w:rPr>
      </w:pPr>
    </w:p>
    <w:p w14:paraId="3302E35F" w14:textId="12986AEC" w:rsidR="00740A02" w:rsidRDefault="003116E6" w:rsidP="00625FD4">
      <w:pPr>
        <w:rPr>
          <w:sz w:val="18"/>
          <w:szCs w:val="18"/>
        </w:rPr>
      </w:pPr>
      <w:r>
        <w:rPr>
          <w:sz w:val="24"/>
          <w:szCs w:val="24"/>
        </w:rPr>
        <w:t>Further unique burial practices have been evidenced at Ein Mallaha and Hayonim in northern Israel, where burials of humans accompanied by domesticated wolf</w:t>
      </w:r>
      <w:r w:rsidR="00F454F1">
        <w:rPr>
          <w:sz w:val="24"/>
          <w:szCs w:val="24"/>
        </w:rPr>
        <w:t>s</w:t>
      </w:r>
      <w:r>
        <w:rPr>
          <w:sz w:val="24"/>
          <w:szCs w:val="24"/>
        </w:rPr>
        <w:t xml:space="preserve"> </w:t>
      </w:r>
      <w:r w:rsidR="00F454F1">
        <w:rPr>
          <w:sz w:val="24"/>
          <w:szCs w:val="24"/>
        </w:rPr>
        <w:t>and</w:t>
      </w:r>
      <w:r>
        <w:rPr>
          <w:sz w:val="24"/>
          <w:szCs w:val="24"/>
        </w:rPr>
        <w:t xml:space="preserve"> dog</w:t>
      </w:r>
      <w:r w:rsidR="00F454F1">
        <w:rPr>
          <w:sz w:val="24"/>
          <w:szCs w:val="24"/>
        </w:rPr>
        <w:t>s</w:t>
      </w:r>
      <w:r>
        <w:rPr>
          <w:sz w:val="24"/>
          <w:szCs w:val="24"/>
        </w:rPr>
        <w:t xml:space="preserve"> have been discovered. </w:t>
      </w:r>
      <w:r w:rsidR="00F454F1">
        <w:rPr>
          <w:sz w:val="24"/>
          <w:szCs w:val="24"/>
        </w:rPr>
        <w:t>The evidence suggests some kind of special relationship between humans and animals during this period. One such burial</w:t>
      </w:r>
      <w:r w:rsidR="00740A02">
        <w:rPr>
          <w:sz w:val="24"/>
          <w:szCs w:val="24"/>
        </w:rPr>
        <w:t xml:space="preserve"> at Mallaha</w:t>
      </w:r>
      <w:r w:rsidR="00F454F1">
        <w:rPr>
          <w:sz w:val="24"/>
          <w:szCs w:val="24"/>
        </w:rPr>
        <w:t xml:space="preserve"> is of an elderly human, of undetermined sex, who lies with their hand on the body of a puppy, believed to be either a wolf or a dog, of about 3-5 months old</w:t>
      </w:r>
      <w:r w:rsidR="00740A02">
        <w:rPr>
          <w:sz w:val="24"/>
          <w:szCs w:val="24"/>
        </w:rPr>
        <w:t xml:space="preserve">. </w:t>
      </w:r>
      <w:r w:rsidR="00740A02" w:rsidRPr="00740A02">
        <w:rPr>
          <w:sz w:val="24"/>
          <w:szCs w:val="24"/>
        </w:rPr>
        <w:t>These discoveries are significant because they corroborate evidence of interactions between humans and canids during the Epipalaeolithic period</w:t>
      </w:r>
      <w:r w:rsidR="00D07F53">
        <w:rPr>
          <w:sz w:val="24"/>
          <w:szCs w:val="24"/>
        </w:rPr>
        <w:t xml:space="preserve">. </w:t>
      </w:r>
      <w:r w:rsidR="00D07F53" w:rsidRPr="00D07F53">
        <w:rPr>
          <w:sz w:val="24"/>
          <w:szCs w:val="24"/>
        </w:rPr>
        <w:t xml:space="preserve">Among the Natufian burials, the </w:t>
      </w:r>
      <w:r w:rsidR="00D07F53">
        <w:rPr>
          <w:sz w:val="24"/>
          <w:szCs w:val="24"/>
        </w:rPr>
        <w:t>puppy burial</w:t>
      </w:r>
      <w:r w:rsidR="00D07F53" w:rsidRPr="00D07F53">
        <w:rPr>
          <w:sz w:val="24"/>
          <w:szCs w:val="24"/>
        </w:rPr>
        <w:t xml:space="preserve"> is distinctive and provides evidence of an affectionate rather than culinary relationship between it and the deceased</w:t>
      </w:r>
      <w:r w:rsidR="00D07F53">
        <w:rPr>
          <w:sz w:val="24"/>
          <w:szCs w:val="24"/>
        </w:rPr>
        <w:t xml:space="preserve"> </w:t>
      </w:r>
      <w:r w:rsidR="00740A02">
        <w:rPr>
          <w:sz w:val="24"/>
          <w:szCs w:val="24"/>
        </w:rPr>
        <w:t>(Davis, 1978, pp. 608-610)</w:t>
      </w:r>
      <w:r w:rsidR="00F454F1">
        <w:rPr>
          <w:sz w:val="24"/>
          <w:szCs w:val="24"/>
        </w:rPr>
        <w:t xml:space="preserve">. Figure 8 is </w:t>
      </w:r>
      <w:r w:rsidR="00CC3325">
        <w:rPr>
          <w:sz w:val="24"/>
          <w:szCs w:val="24"/>
        </w:rPr>
        <w:t xml:space="preserve">a </w:t>
      </w:r>
      <w:r w:rsidR="00F454F1">
        <w:rPr>
          <w:sz w:val="24"/>
          <w:szCs w:val="24"/>
        </w:rPr>
        <w:t>photograph of th</w:t>
      </w:r>
      <w:r w:rsidR="00CC3325">
        <w:rPr>
          <w:sz w:val="24"/>
          <w:szCs w:val="24"/>
        </w:rPr>
        <w:t>e</w:t>
      </w:r>
      <w:r w:rsidR="00F454F1">
        <w:rPr>
          <w:sz w:val="24"/>
          <w:szCs w:val="24"/>
        </w:rPr>
        <w:t xml:space="preserve"> burial and shows the human</w:t>
      </w:r>
      <w:r w:rsidR="00740A02">
        <w:rPr>
          <w:sz w:val="24"/>
          <w:szCs w:val="24"/>
        </w:rPr>
        <w:t>’s hand on the puppy in the top left corner of the grave.</w:t>
      </w:r>
    </w:p>
    <w:p w14:paraId="0133B3DC" w14:textId="77777777" w:rsidR="00740A02" w:rsidRDefault="00740A02" w:rsidP="00625FD4">
      <w:pPr>
        <w:rPr>
          <w:sz w:val="18"/>
          <w:szCs w:val="18"/>
        </w:rPr>
      </w:pPr>
    </w:p>
    <w:p w14:paraId="6B7D889B" w14:textId="10F31D44" w:rsidR="00740A02" w:rsidRDefault="00740A02" w:rsidP="00740A02">
      <w:pPr>
        <w:jc w:val="center"/>
        <w:rPr>
          <w:sz w:val="18"/>
          <w:szCs w:val="18"/>
        </w:rPr>
      </w:pPr>
      <w:r>
        <w:rPr>
          <w:noProof/>
          <w:sz w:val="18"/>
          <w:szCs w:val="18"/>
        </w:rPr>
        <w:lastRenderedPageBreak/>
        <w:drawing>
          <wp:inline distT="0" distB="0" distL="0" distR="0" wp14:anchorId="59B68707" wp14:editId="3FB331A2">
            <wp:extent cx="5182323" cy="6973273"/>
            <wp:effectExtent l="0" t="0" r="0" b="0"/>
            <wp:docPr id="1755878795" name="Picture 2" descr="A close-up of bones on the 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878795" name="Picture 2" descr="A close-up of bones on the ground&#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182323" cy="6973273"/>
                    </a:xfrm>
                    <a:prstGeom prst="rect">
                      <a:avLst/>
                    </a:prstGeom>
                  </pic:spPr>
                </pic:pic>
              </a:graphicData>
            </a:graphic>
          </wp:inline>
        </w:drawing>
      </w:r>
    </w:p>
    <w:p w14:paraId="102F0760" w14:textId="3EDD11E4" w:rsidR="00740A02" w:rsidRPr="00740A02" w:rsidRDefault="00740A02" w:rsidP="00740A02">
      <w:pPr>
        <w:rPr>
          <w:sz w:val="18"/>
          <w:szCs w:val="18"/>
        </w:rPr>
      </w:pPr>
      <w:r w:rsidRPr="00740A02">
        <w:rPr>
          <w:sz w:val="18"/>
          <w:szCs w:val="18"/>
        </w:rPr>
        <w:t>Figure 8, photograph of the burial and shows the human’s hand on the puppy in the top left corner of the grave (Davis, 1978, p. 608).</w:t>
      </w:r>
    </w:p>
    <w:p w14:paraId="600BCDB9" w14:textId="773A9FA0" w:rsidR="00740A02" w:rsidRPr="00B3070F" w:rsidRDefault="00740A02" w:rsidP="00625FD4">
      <w:pPr>
        <w:rPr>
          <w:sz w:val="18"/>
          <w:szCs w:val="18"/>
        </w:rPr>
      </w:pPr>
    </w:p>
    <w:p w14:paraId="0FE991F6" w14:textId="08A11DF5" w:rsidR="002E12F9" w:rsidRDefault="0077178C" w:rsidP="00762CD8">
      <w:pPr>
        <w:rPr>
          <w:sz w:val="24"/>
          <w:szCs w:val="24"/>
        </w:rPr>
      </w:pPr>
      <w:r>
        <w:rPr>
          <w:sz w:val="24"/>
          <w:szCs w:val="24"/>
        </w:rPr>
        <w:t>A further unique burial of the Natufian period was discovered at Ayn Qasiyya near the Azraq Oasis, Jordan.</w:t>
      </w:r>
      <w:r w:rsidR="00D254CD">
        <w:rPr>
          <w:sz w:val="24"/>
          <w:szCs w:val="24"/>
        </w:rPr>
        <w:t xml:space="preserve"> </w:t>
      </w:r>
      <w:r w:rsidR="00D254CD" w:rsidRPr="00D254CD">
        <w:rPr>
          <w:sz w:val="24"/>
          <w:szCs w:val="24"/>
        </w:rPr>
        <w:t>The semi-articulated remains of an individual were discovered and were named Ayn Qasiyya 1.</w:t>
      </w:r>
      <w:r w:rsidR="00D254CD">
        <w:rPr>
          <w:sz w:val="24"/>
          <w:szCs w:val="24"/>
        </w:rPr>
        <w:t xml:space="preserve"> Found within  a marsh deposit the remains have been dated as the oldest human remains found in Jordan at between 19,800 and 20,400 cal BP. The skeleton is of a relatively small male and was buried in a very unusual position. It has been established that the body was buried in an upright sitting position and that the limbs were tightly flexed towards the torso. The skull was leaning forward and resting on the knees. It is therefore suggested that the body was bound or wrapped in some kind of cloth, which deteriorated over </w:t>
      </w:r>
      <w:r w:rsidR="00D254CD">
        <w:rPr>
          <w:sz w:val="24"/>
          <w:szCs w:val="24"/>
        </w:rPr>
        <w:lastRenderedPageBreak/>
        <w:t>time and decomposition, resulting in the body collapsing</w:t>
      </w:r>
      <w:r w:rsidR="00795ECF">
        <w:rPr>
          <w:sz w:val="24"/>
          <w:szCs w:val="24"/>
        </w:rPr>
        <w:t xml:space="preserve">. </w:t>
      </w:r>
      <w:r w:rsidR="00795ECF" w:rsidRPr="00795ECF">
        <w:rPr>
          <w:sz w:val="24"/>
          <w:szCs w:val="24"/>
        </w:rPr>
        <w:t>It implies that the deceased are seen as pliable, movable, and non-fixed entities</w:t>
      </w:r>
      <w:r w:rsidR="00795ECF">
        <w:rPr>
          <w:sz w:val="24"/>
          <w:szCs w:val="24"/>
        </w:rPr>
        <w:t xml:space="preserve"> </w:t>
      </w:r>
      <w:r w:rsidR="00D254CD">
        <w:rPr>
          <w:sz w:val="24"/>
          <w:szCs w:val="24"/>
        </w:rPr>
        <w:t xml:space="preserve">(Richter </w:t>
      </w:r>
      <w:r w:rsidR="00D254CD" w:rsidRPr="00D254CD">
        <w:rPr>
          <w:i/>
          <w:iCs/>
          <w:sz w:val="24"/>
          <w:szCs w:val="24"/>
        </w:rPr>
        <w:t>et al</w:t>
      </w:r>
      <w:r w:rsidR="00D254CD">
        <w:rPr>
          <w:sz w:val="24"/>
          <w:szCs w:val="24"/>
        </w:rPr>
        <w:t>. 2009, pp.321-331).</w:t>
      </w:r>
      <w:r w:rsidR="00CC3325">
        <w:rPr>
          <w:sz w:val="24"/>
          <w:szCs w:val="24"/>
        </w:rPr>
        <w:t xml:space="preserve"> Figure 9 is a suggested reconstruction of Ayn Qasiyya 1’s original posture and its collapse during decomposition. </w:t>
      </w:r>
    </w:p>
    <w:p w14:paraId="2F037531" w14:textId="77777777" w:rsidR="00276BAA" w:rsidRDefault="00276BAA" w:rsidP="00762CD8">
      <w:pPr>
        <w:rPr>
          <w:sz w:val="24"/>
          <w:szCs w:val="24"/>
        </w:rPr>
      </w:pPr>
    </w:p>
    <w:p w14:paraId="60CA2EAE" w14:textId="625E526F" w:rsidR="00AC0CD9" w:rsidRDefault="00CC3325" w:rsidP="00762CD8">
      <w:pPr>
        <w:rPr>
          <w:sz w:val="24"/>
          <w:szCs w:val="24"/>
        </w:rPr>
      </w:pPr>
      <w:r>
        <w:rPr>
          <w:noProof/>
          <w:sz w:val="24"/>
          <w:szCs w:val="24"/>
        </w:rPr>
        <w:drawing>
          <wp:inline distT="0" distB="0" distL="0" distR="0" wp14:anchorId="578D6316" wp14:editId="3AAA396B">
            <wp:extent cx="5731510" cy="2534920"/>
            <wp:effectExtent l="0" t="0" r="2540" b="0"/>
            <wp:docPr id="13707920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792083" name="Picture 1370792083"/>
                    <pic:cNvPicPr/>
                  </pic:nvPicPr>
                  <pic:blipFill>
                    <a:blip r:embed="rId14">
                      <a:extLst>
                        <a:ext uri="{28A0092B-C50C-407E-A947-70E740481C1C}">
                          <a14:useLocalDpi xmlns:a14="http://schemas.microsoft.com/office/drawing/2010/main" val="0"/>
                        </a:ext>
                      </a:extLst>
                    </a:blip>
                    <a:stretch>
                      <a:fillRect/>
                    </a:stretch>
                  </pic:blipFill>
                  <pic:spPr>
                    <a:xfrm>
                      <a:off x="0" y="0"/>
                      <a:ext cx="5731510" cy="2534920"/>
                    </a:xfrm>
                    <a:prstGeom prst="rect">
                      <a:avLst/>
                    </a:prstGeom>
                  </pic:spPr>
                </pic:pic>
              </a:graphicData>
            </a:graphic>
          </wp:inline>
        </w:drawing>
      </w:r>
    </w:p>
    <w:p w14:paraId="7C32B37B" w14:textId="77777777" w:rsidR="00BA0B44" w:rsidRDefault="00BA0B44" w:rsidP="00762CD8">
      <w:pPr>
        <w:rPr>
          <w:sz w:val="24"/>
          <w:szCs w:val="24"/>
        </w:rPr>
      </w:pPr>
    </w:p>
    <w:p w14:paraId="05466D3A" w14:textId="2E3060A4" w:rsidR="00CC3325" w:rsidRPr="00CC3325" w:rsidRDefault="00CC3325" w:rsidP="00CC3325">
      <w:pPr>
        <w:rPr>
          <w:sz w:val="18"/>
          <w:szCs w:val="18"/>
        </w:rPr>
      </w:pPr>
      <w:r w:rsidRPr="00CC3325">
        <w:rPr>
          <w:sz w:val="18"/>
          <w:szCs w:val="18"/>
        </w:rPr>
        <w:t xml:space="preserve">Figure 9, A suggested reconstruction of Ayn Qasiyya 1’s original posture and its collapse during decomposition (Richter </w:t>
      </w:r>
      <w:r w:rsidRPr="00CC3325">
        <w:rPr>
          <w:i/>
          <w:iCs/>
          <w:sz w:val="18"/>
          <w:szCs w:val="18"/>
        </w:rPr>
        <w:t>et al</w:t>
      </w:r>
      <w:r w:rsidRPr="00CC3325">
        <w:rPr>
          <w:sz w:val="18"/>
          <w:szCs w:val="18"/>
        </w:rPr>
        <w:t xml:space="preserve">. 2009, p. 328). </w:t>
      </w:r>
    </w:p>
    <w:p w14:paraId="79D90F3A" w14:textId="77777777" w:rsidR="00CC3325" w:rsidRPr="00CC3325" w:rsidRDefault="00CC3325" w:rsidP="00CC3325">
      <w:pPr>
        <w:rPr>
          <w:sz w:val="18"/>
          <w:szCs w:val="18"/>
        </w:rPr>
      </w:pPr>
    </w:p>
    <w:p w14:paraId="0EF2978B" w14:textId="49866FF6" w:rsidR="00822383" w:rsidRPr="00822383" w:rsidRDefault="00795ECF" w:rsidP="00822383">
      <w:pPr>
        <w:rPr>
          <w:sz w:val="24"/>
          <w:szCs w:val="24"/>
        </w:rPr>
      </w:pPr>
      <w:r>
        <w:rPr>
          <w:sz w:val="24"/>
          <w:szCs w:val="24"/>
        </w:rPr>
        <w:t xml:space="preserve">Overall, </w:t>
      </w:r>
      <w:r w:rsidRPr="00795ECF">
        <w:rPr>
          <w:sz w:val="24"/>
          <w:szCs w:val="24"/>
        </w:rPr>
        <w:t>the Natufian culture marks a significant transitional period in human history</w:t>
      </w:r>
      <w:r>
        <w:rPr>
          <w:sz w:val="24"/>
          <w:szCs w:val="24"/>
        </w:rPr>
        <w:t xml:space="preserve">. It saw a </w:t>
      </w:r>
      <w:r w:rsidRPr="00795ECF">
        <w:rPr>
          <w:sz w:val="24"/>
          <w:szCs w:val="24"/>
        </w:rPr>
        <w:t xml:space="preserve">change from hunter-gatherer societies that were nomadic to permanent communities with intricate social and economic systems. </w:t>
      </w:r>
      <w:r w:rsidR="00822383">
        <w:rPr>
          <w:sz w:val="24"/>
          <w:szCs w:val="24"/>
        </w:rPr>
        <w:t xml:space="preserve">Domestication of animals was apparent. </w:t>
      </w:r>
      <w:r w:rsidRPr="00795ECF">
        <w:rPr>
          <w:sz w:val="24"/>
          <w:szCs w:val="24"/>
        </w:rPr>
        <w:t>They placed various values on their deceased.</w:t>
      </w:r>
      <w:r w:rsidR="00723252" w:rsidRPr="00723252">
        <w:rPr>
          <w:sz w:val="24"/>
          <w:szCs w:val="24"/>
        </w:rPr>
        <w:t xml:space="preserve"> It has been said that Natufian burial customs serve as a way to build solid boundaries between groups, reduce ecological dangers, and foster close social bonds. </w:t>
      </w:r>
      <w:r w:rsidR="00822383">
        <w:rPr>
          <w:sz w:val="24"/>
          <w:szCs w:val="24"/>
        </w:rPr>
        <w:t xml:space="preserve">Although </w:t>
      </w:r>
      <w:r w:rsidR="00822383" w:rsidRPr="00822383">
        <w:rPr>
          <w:sz w:val="24"/>
          <w:szCs w:val="24"/>
        </w:rPr>
        <w:t>certain burial sites exhibit a standardisation of funeral procedures, other sites exhibit inter-site diversity.</w:t>
      </w:r>
      <w:r w:rsidR="00822383">
        <w:rPr>
          <w:sz w:val="24"/>
          <w:szCs w:val="24"/>
        </w:rPr>
        <w:t xml:space="preserve"> </w:t>
      </w:r>
      <w:r w:rsidR="00723252" w:rsidRPr="00723252">
        <w:rPr>
          <w:sz w:val="24"/>
          <w:szCs w:val="24"/>
        </w:rPr>
        <w:t xml:space="preserve">Grave pits were excavated and occasionally decorated with grave </w:t>
      </w:r>
      <w:r w:rsidR="00723252">
        <w:rPr>
          <w:sz w:val="24"/>
          <w:szCs w:val="24"/>
        </w:rPr>
        <w:t>goods</w:t>
      </w:r>
      <w:r w:rsidR="00723252" w:rsidRPr="00723252">
        <w:rPr>
          <w:sz w:val="24"/>
          <w:szCs w:val="24"/>
        </w:rPr>
        <w:t xml:space="preserve"> and stones.</w:t>
      </w:r>
      <w:r w:rsidR="00822383">
        <w:rPr>
          <w:sz w:val="24"/>
          <w:szCs w:val="24"/>
        </w:rPr>
        <w:t xml:space="preserve"> </w:t>
      </w:r>
      <w:r w:rsidR="00822383" w:rsidRPr="00822383">
        <w:rPr>
          <w:sz w:val="24"/>
          <w:szCs w:val="24"/>
        </w:rPr>
        <w:t>People were buried beneath floors made of stone. Wrappings tinted</w:t>
      </w:r>
      <w:r w:rsidR="00822383">
        <w:rPr>
          <w:sz w:val="24"/>
          <w:szCs w:val="24"/>
        </w:rPr>
        <w:t xml:space="preserve"> with</w:t>
      </w:r>
      <w:r w:rsidR="00822383" w:rsidRPr="00822383">
        <w:rPr>
          <w:sz w:val="24"/>
          <w:szCs w:val="24"/>
        </w:rPr>
        <w:t xml:space="preserve"> ochre were used to bury children. Reburial was customary. These characteristics represent a heterogeneous range of behaviours among various Levantine communities</w:t>
      </w:r>
      <w:r w:rsidR="00064C83">
        <w:rPr>
          <w:sz w:val="24"/>
          <w:szCs w:val="24"/>
        </w:rPr>
        <w:t xml:space="preserve"> (Davis, 1978, pp.608-610; Lengyel &amp; Bocquentin, 2005, pp.271-283; Richter </w:t>
      </w:r>
      <w:r w:rsidR="00064C83" w:rsidRPr="00064C83">
        <w:rPr>
          <w:i/>
          <w:iCs/>
          <w:sz w:val="24"/>
          <w:szCs w:val="24"/>
        </w:rPr>
        <w:t>et al</w:t>
      </w:r>
      <w:r w:rsidR="00064C83">
        <w:rPr>
          <w:sz w:val="24"/>
          <w:szCs w:val="24"/>
        </w:rPr>
        <w:t xml:space="preserve">. 2009, pp.321-331; Richter </w:t>
      </w:r>
      <w:r w:rsidR="00064C83" w:rsidRPr="00064C83">
        <w:rPr>
          <w:i/>
          <w:iCs/>
          <w:sz w:val="24"/>
          <w:szCs w:val="24"/>
        </w:rPr>
        <w:t>et al</w:t>
      </w:r>
      <w:r w:rsidR="00064C83">
        <w:rPr>
          <w:sz w:val="24"/>
          <w:szCs w:val="24"/>
        </w:rPr>
        <w:t>. 2019, pp.440-455)</w:t>
      </w:r>
      <w:r w:rsidR="00822383" w:rsidRPr="00822383">
        <w:rPr>
          <w:sz w:val="24"/>
          <w:szCs w:val="24"/>
        </w:rPr>
        <w:t>.</w:t>
      </w:r>
    </w:p>
    <w:p w14:paraId="5B5AC9EE" w14:textId="0BAC6932" w:rsidR="00723252" w:rsidRPr="00723252" w:rsidRDefault="00723252" w:rsidP="00723252">
      <w:pPr>
        <w:rPr>
          <w:sz w:val="24"/>
          <w:szCs w:val="24"/>
        </w:rPr>
      </w:pPr>
    </w:p>
    <w:p w14:paraId="3385554E" w14:textId="4501A207" w:rsidR="00723252" w:rsidRPr="00723252" w:rsidRDefault="00723252" w:rsidP="00723252">
      <w:pPr>
        <w:rPr>
          <w:sz w:val="24"/>
          <w:szCs w:val="24"/>
        </w:rPr>
      </w:pPr>
    </w:p>
    <w:p w14:paraId="20D349CD" w14:textId="1D26511A" w:rsidR="00795ECF" w:rsidRPr="00795ECF" w:rsidRDefault="00795ECF" w:rsidP="00795ECF">
      <w:pPr>
        <w:rPr>
          <w:sz w:val="24"/>
          <w:szCs w:val="24"/>
        </w:rPr>
      </w:pPr>
    </w:p>
    <w:p w14:paraId="1C53F4B3" w14:textId="64C30AF2" w:rsidR="00BA0B44" w:rsidRDefault="00BA0B44" w:rsidP="00762CD8">
      <w:pPr>
        <w:rPr>
          <w:sz w:val="24"/>
          <w:szCs w:val="24"/>
        </w:rPr>
      </w:pPr>
    </w:p>
    <w:p w14:paraId="4FAFB1BE" w14:textId="77777777" w:rsidR="00DF4CD0" w:rsidRDefault="00DF4CD0" w:rsidP="00762CD8">
      <w:pPr>
        <w:rPr>
          <w:sz w:val="24"/>
          <w:szCs w:val="24"/>
        </w:rPr>
      </w:pPr>
    </w:p>
    <w:p w14:paraId="73B91366" w14:textId="77777777" w:rsidR="00DF4CD0" w:rsidRDefault="00DF4CD0" w:rsidP="00762CD8">
      <w:pPr>
        <w:rPr>
          <w:sz w:val="24"/>
          <w:szCs w:val="24"/>
        </w:rPr>
      </w:pPr>
    </w:p>
    <w:p w14:paraId="52427477" w14:textId="77777777" w:rsidR="00DF4CD0" w:rsidRDefault="00DF4CD0" w:rsidP="00762CD8">
      <w:pPr>
        <w:rPr>
          <w:sz w:val="24"/>
          <w:szCs w:val="24"/>
        </w:rPr>
      </w:pPr>
    </w:p>
    <w:p w14:paraId="37646FAA" w14:textId="77777777" w:rsidR="00DF4CD0" w:rsidRDefault="00DF4CD0" w:rsidP="00762CD8">
      <w:pPr>
        <w:rPr>
          <w:sz w:val="24"/>
          <w:szCs w:val="24"/>
        </w:rPr>
      </w:pPr>
    </w:p>
    <w:p w14:paraId="1DCE2625" w14:textId="77777777" w:rsidR="00DF4CD0" w:rsidRDefault="00DF4CD0" w:rsidP="00762CD8">
      <w:pPr>
        <w:rPr>
          <w:sz w:val="24"/>
          <w:szCs w:val="24"/>
        </w:rPr>
      </w:pPr>
    </w:p>
    <w:p w14:paraId="19643FBE" w14:textId="77777777" w:rsidR="00DF4CD0" w:rsidRDefault="00DF4CD0" w:rsidP="00762CD8">
      <w:pPr>
        <w:rPr>
          <w:sz w:val="24"/>
          <w:szCs w:val="24"/>
        </w:rPr>
      </w:pPr>
    </w:p>
    <w:p w14:paraId="0C30EC82" w14:textId="77777777" w:rsidR="00DF4CD0" w:rsidRDefault="00DF4CD0" w:rsidP="00762CD8">
      <w:pPr>
        <w:rPr>
          <w:sz w:val="24"/>
          <w:szCs w:val="24"/>
        </w:rPr>
      </w:pPr>
    </w:p>
    <w:p w14:paraId="009135BB" w14:textId="77777777" w:rsidR="00DF4CD0" w:rsidRDefault="00DF4CD0" w:rsidP="00762CD8">
      <w:pPr>
        <w:rPr>
          <w:sz w:val="24"/>
          <w:szCs w:val="24"/>
        </w:rPr>
      </w:pPr>
    </w:p>
    <w:p w14:paraId="36927388" w14:textId="77777777" w:rsidR="00DF4CD0" w:rsidRDefault="00DF4CD0" w:rsidP="00762CD8">
      <w:pPr>
        <w:rPr>
          <w:sz w:val="24"/>
          <w:szCs w:val="24"/>
        </w:rPr>
      </w:pPr>
    </w:p>
    <w:p w14:paraId="2A46B721" w14:textId="77777777" w:rsidR="00DF4CD0" w:rsidRDefault="00DF4CD0" w:rsidP="00762CD8">
      <w:pPr>
        <w:rPr>
          <w:sz w:val="24"/>
          <w:szCs w:val="24"/>
        </w:rPr>
      </w:pPr>
    </w:p>
    <w:p w14:paraId="0163A75A" w14:textId="77777777" w:rsidR="00DF4CD0" w:rsidRDefault="00DF4CD0" w:rsidP="00762CD8">
      <w:pPr>
        <w:rPr>
          <w:sz w:val="24"/>
          <w:szCs w:val="24"/>
        </w:rPr>
      </w:pPr>
    </w:p>
    <w:p w14:paraId="4278313C" w14:textId="77777777" w:rsidR="00DF4CD0" w:rsidRPr="00DF4CD0" w:rsidRDefault="00DF4CD0" w:rsidP="00DF4CD0">
      <w:pPr>
        <w:spacing w:after="160" w:line="256" w:lineRule="auto"/>
        <w:rPr>
          <w:rFonts w:eastAsia="Calibri"/>
          <w:sz w:val="28"/>
          <w:szCs w:val="28"/>
          <w:lang w:eastAsia="en-US"/>
        </w:rPr>
      </w:pPr>
      <w:r w:rsidRPr="00DF4CD0">
        <w:rPr>
          <w:rFonts w:eastAsia="Calibri"/>
          <w:sz w:val="28"/>
          <w:szCs w:val="28"/>
          <w:lang w:eastAsia="en-US"/>
        </w:rPr>
        <w:lastRenderedPageBreak/>
        <w:t>Bibliography.</w:t>
      </w:r>
    </w:p>
    <w:p w14:paraId="18059FB2" w14:textId="77777777" w:rsidR="00DF4CD0" w:rsidRPr="00DF4CD0" w:rsidRDefault="00DF4CD0" w:rsidP="00DF4CD0">
      <w:pPr>
        <w:spacing w:after="160" w:line="256" w:lineRule="auto"/>
        <w:rPr>
          <w:rFonts w:eastAsia="Calibri"/>
          <w:sz w:val="24"/>
          <w:szCs w:val="24"/>
          <w:lang w:eastAsia="en-US"/>
        </w:rPr>
      </w:pPr>
      <w:r w:rsidRPr="00DF4CD0">
        <w:rPr>
          <w:rFonts w:eastAsia="Calibri"/>
          <w:sz w:val="24"/>
          <w:szCs w:val="24"/>
          <w:lang w:eastAsia="en-US"/>
        </w:rPr>
        <w:t xml:space="preserve">Bahn, P. (Ed.) (2002) </w:t>
      </w:r>
      <w:r w:rsidRPr="00DF4CD0">
        <w:rPr>
          <w:rFonts w:eastAsia="Calibri"/>
          <w:i/>
          <w:iCs/>
          <w:sz w:val="24"/>
          <w:szCs w:val="24"/>
          <w:lang w:eastAsia="en-US"/>
        </w:rPr>
        <w:t>Written in Bones: How Human Remains unlock the Secrets of the Dead</w:t>
      </w:r>
      <w:r w:rsidRPr="00DF4CD0">
        <w:rPr>
          <w:rFonts w:eastAsia="Calibri"/>
          <w:sz w:val="24"/>
          <w:szCs w:val="24"/>
          <w:lang w:eastAsia="en-US"/>
        </w:rPr>
        <w:t>. Quintet Publishing Ltd.</w:t>
      </w:r>
    </w:p>
    <w:p w14:paraId="2ACC1B6C" w14:textId="77777777" w:rsidR="00DF4CD0" w:rsidRPr="00DF4CD0" w:rsidRDefault="00DF4CD0" w:rsidP="00DF4CD0">
      <w:pPr>
        <w:spacing w:after="160" w:line="256" w:lineRule="auto"/>
        <w:rPr>
          <w:rFonts w:eastAsia="Calibri"/>
          <w:sz w:val="24"/>
          <w:szCs w:val="24"/>
          <w:lang w:eastAsia="en-US"/>
        </w:rPr>
      </w:pPr>
      <w:r w:rsidRPr="00DF4CD0">
        <w:rPr>
          <w:rFonts w:eastAsia="Calibri"/>
          <w:sz w:val="24"/>
          <w:szCs w:val="24"/>
          <w:lang w:eastAsia="en-US"/>
        </w:rPr>
        <w:t xml:space="preserve">Baker, J. L. (2016) </w:t>
      </w:r>
      <w:r w:rsidRPr="00DF4CD0">
        <w:rPr>
          <w:rFonts w:eastAsia="Calibri"/>
          <w:i/>
          <w:iCs/>
          <w:sz w:val="24"/>
          <w:szCs w:val="24"/>
          <w:lang w:eastAsia="en-US"/>
        </w:rPr>
        <w:t>The Funeral Kit: Mortuary Practices in the Archaeological Record</w:t>
      </w:r>
      <w:r w:rsidRPr="00DF4CD0">
        <w:rPr>
          <w:rFonts w:eastAsia="Calibri"/>
          <w:sz w:val="24"/>
          <w:szCs w:val="24"/>
          <w:lang w:eastAsia="en-US"/>
        </w:rPr>
        <w:t>. London: Routledge.</w:t>
      </w:r>
    </w:p>
    <w:p w14:paraId="7344DB11" w14:textId="77777777" w:rsidR="00DF4CD0" w:rsidRPr="00DF4CD0" w:rsidRDefault="00DF4CD0" w:rsidP="00DF4CD0">
      <w:pPr>
        <w:spacing w:after="160" w:line="256" w:lineRule="auto"/>
        <w:rPr>
          <w:rFonts w:eastAsia="Calibri"/>
          <w:sz w:val="24"/>
          <w:szCs w:val="24"/>
          <w:lang w:eastAsia="en-US"/>
        </w:rPr>
      </w:pPr>
      <w:r w:rsidRPr="00DF4CD0">
        <w:rPr>
          <w:rFonts w:eastAsia="Calibri"/>
          <w:sz w:val="24"/>
          <w:szCs w:val="24"/>
          <w:lang w:eastAsia="en-US"/>
        </w:rPr>
        <w:t xml:space="preserve">Barzilai, O. et al. (2017) ‘Radiocarbon dating of human burials from Raqefet Cave and contemporaneous Natufian traditions at Mount Carmel. </w:t>
      </w:r>
      <w:r w:rsidRPr="00DF4CD0">
        <w:rPr>
          <w:rFonts w:eastAsia="Calibri"/>
          <w:i/>
          <w:iCs/>
          <w:sz w:val="24"/>
          <w:szCs w:val="24"/>
          <w:lang w:eastAsia="en-US"/>
        </w:rPr>
        <w:t>Antiquity</w:t>
      </w:r>
      <w:r w:rsidRPr="00DF4CD0">
        <w:rPr>
          <w:rFonts w:eastAsia="Calibri"/>
          <w:sz w:val="24"/>
          <w:szCs w:val="24"/>
          <w:lang w:eastAsia="en-US"/>
        </w:rPr>
        <w:t xml:space="preserve">, 91 359,pp. 1137-1154. Cambridge University Press. Available at: </w:t>
      </w:r>
      <w:hyperlink r:id="rId15" w:history="1">
        <w:r w:rsidRPr="00DF4CD0">
          <w:rPr>
            <w:rFonts w:eastAsia="Calibri"/>
            <w:color w:val="0563C1"/>
            <w:sz w:val="24"/>
            <w:szCs w:val="24"/>
            <w:u w:val="single"/>
            <w:lang w:eastAsia="en-US"/>
          </w:rPr>
          <w:t>https://doi.org/10.15184/aqy.2017.136</w:t>
        </w:r>
      </w:hyperlink>
      <w:r w:rsidRPr="00DF4CD0">
        <w:rPr>
          <w:rFonts w:eastAsia="Calibri"/>
          <w:sz w:val="24"/>
          <w:szCs w:val="24"/>
          <w:lang w:eastAsia="en-US"/>
        </w:rPr>
        <w:t xml:space="preserve"> (Accessed: I March 2024).</w:t>
      </w:r>
    </w:p>
    <w:p w14:paraId="33951D67" w14:textId="77777777" w:rsidR="00DF4CD0" w:rsidRPr="00DF4CD0" w:rsidRDefault="00DF4CD0" w:rsidP="00DF4CD0">
      <w:pPr>
        <w:tabs>
          <w:tab w:val="num" w:pos="720"/>
        </w:tabs>
        <w:spacing w:after="160" w:line="256" w:lineRule="auto"/>
        <w:rPr>
          <w:rFonts w:eastAsia="Calibri"/>
          <w:sz w:val="24"/>
          <w:szCs w:val="24"/>
          <w:lang w:eastAsia="en-US"/>
        </w:rPr>
      </w:pPr>
      <w:proofErr w:type="spellStart"/>
      <w:r w:rsidRPr="00DF4CD0">
        <w:rPr>
          <w:rFonts w:eastAsia="Calibri"/>
          <w:sz w:val="24"/>
          <w:szCs w:val="24"/>
          <w:lang w:eastAsia="en-US"/>
        </w:rPr>
        <w:t>Bocquentin</w:t>
      </w:r>
      <w:proofErr w:type="spellEnd"/>
      <w:r w:rsidRPr="00DF4CD0">
        <w:rPr>
          <w:rFonts w:eastAsia="Calibri"/>
          <w:sz w:val="24"/>
          <w:szCs w:val="24"/>
          <w:lang w:eastAsia="en-US"/>
        </w:rPr>
        <w:t xml:space="preserve">, F. &amp; Garrad, A. (2016) ‘Natufian collective burial practice and cranial pigmentation: A reconstruction from Azraq 18 (Jordan),’ </w:t>
      </w:r>
      <w:r w:rsidRPr="00DF4CD0">
        <w:rPr>
          <w:rFonts w:eastAsia="Calibri"/>
          <w:i/>
          <w:iCs/>
          <w:sz w:val="24"/>
          <w:szCs w:val="24"/>
          <w:lang w:eastAsia="en-US"/>
        </w:rPr>
        <w:t>Journal of Archaeological Science: Reports</w:t>
      </w:r>
      <w:r w:rsidRPr="00DF4CD0">
        <w:rPr>
          <w:rFonts w:eastAsia="Calibri"/>
          <w:sz w:val="24"/>
          <w:szCs w:val="24"/>
          <w:lang w:eastAsia="en-US"/>
        </w:rPr>
        <w:t>, No. 10, pp.693-702. Available at: DOI: 10.1016/J.JASREP.2016.05.030 (Accessed: 24 February 2024).</w:t>
      </w:r>
    </w:p>
    <w:p w14:paraId="7A95C691" w14:textId="77777777" w:rsidR="00DF4CD0" w:rsidRPr="00DF4CD0" w:rsidRDefault="00DF4CD0" w:rsidP="00DF4CD0">
      <w:pPr>
        <w:spacing w:after="160" w:line="256" w:lineRule="auto"/>
        <w:rPr>
          <w:rFonts w:eastAsia="Calibri"/>
          <w:sz w:val="24"/>
          <w:szCs w:val="24"/>
          <w:lang w:eastAsia="en-US"/>
        </w:rPr>
      </w:pPr>
      <w:r w:rsidRPr="00DF4CD0">
        <w:rPr>
          <w:rFonts w:eastAsia="Calibri"/>
          <w:sz w:val="24"/>
          <w:szCs w:val="24"/>
          <w:lang w:eastAsia="en-US"/>
        </w:rPr>
        <w:t xml:space="preserve">Bonogofsky, M. (2003) ‘Neolithic Plastered Skulls and Railroading Epistemologies.’ </w:t>
      </w:r>
      <w:r w:rsidRPr="00DF4CD0">
        <w:rPr>
          <w:rFonts w:eastAsia="Calibri"/>
          <w:i/>
          <w:iCs/>
          <w:sz w:val="24"/>
          <w:szCs w:val="24"/>
          <w:lang w:eastAsia="en-US"/>
        </w:rPr>
        <w:t>Bulletin of the American Schools of Oriental Research</w:t>
      </w:r>
      <w:r w:rsidRPr="00DF4CD0">
        <w:rPr>
          <w:rFonts w:eastAsia="Calibri"/>
          <w:sz w:val="24"/>
          <w:szCs w:val="24"/>
          <w:lang w:eastAsia="en-US"/>
        </w:rPr>
        <w:t>, No. 331, pp. 1-10. The American Schools of Oriental Research. Available at: http://www.jstor.org/stable/1357755 (Accessed: 24 February 2024).</w:t>
      </w:r>
    </w:p>
    <w:p w14:paraId="5EEF93D2" w14:textId="77777777" w:rsidR="00DF4CD0" w:rsidRPr="00DF4CD0" w:rsidRDefault="00DF4CD0" w:rsidP="00DF4CD0">
      <w:pPr>
        <w:spacing w:after="160" w:line="256" w:lineRule="auto"/>
        <w:rPr>
          <w:rFonts w:eastAsia="Calibri"/>
          <w:sz w:val="24"/>
          <w:szCs w:val="24"/>
          <w:lang w:eastAsia="en-US"/>
        </w:rPr>
      </w:pPr>
      <w:r w:rsidRPr="00DF4CD0">
        <w:rPr>
          <w:rFonts w:eastAsia="Calibri"/>
          <w:sz w:val="24"/>
          <w:szCs w:val="24"/>
          <w:lang w:eastAsia="en-US"/>
        </w:rPr>
        <w:t xml:space="preserve">Boyd, B. (1999) “Twisting the kaleidoscope” Dorothy Garrod and the ‘Natufian Culture,’ in Davies, W. &amp; Charles, R. (Eds.), </w:t>
      </w:r>
      <w:r w:rsidRPr="00DF4CD0">
        <w:rPr>
          <w:rFonts w:eastAsia="Calibri"/>
          <w:i/>
          <w:iCs/>
          <w:sz w:val="24"/>
          <w:szCs w:val="24"/>
          <w:lang w:eastAsia="en-US"/>
        </w:rPr>
        <w:t>Dorothy Garrod and the Progress of the Palaeolithic: Studies in the Prehistoric Archaeology of the Near East and Europe</w:t>
      </w:r>
      <w:r w:rsidRPr="00DF4CD0">
        <w:rPr>
          <w:rFonts w:eastAsia="Calibri"/>
          <w:sz w:val="24"/>
          <w:szCs w:val="24"/>
          <w:lang w:eastAsia="en-US"/>
        </w:rPr>
        <w:t>. Oxford: Oxbow Books, Chapter 15, pp.209 - 223.</w:t>
      </w:r>
    </w:p>
    <w:p w14:paraId="2806D5E7" w14:textId="77777777" w:rsidR="00DF4CD0" w:rsidRPr="00DF4CD0" w:rsidRDefault="00DF4CD0" w:rsidP="00DF4CD0">
      <w:pPr>
        <w:spacing w:after="160" w:line="256" w:lineRule="auto"/>
        <w:rPr>
          <w:rFonts w:eastAsia="Calibri"/>
          <w:sz w:val="24"/>
          <w:szCs w:val="24"/>
          <w:lang w:eastAsia="en-US"/>
        </w:rPr>
      </w:pPr>
      <w:r w:rsidRPr="00DF4CD0">
        <w:rPr>
          <w:rFonts w:eastAsia="Calibri"/>
          <w:sz w:val="24"/>
          <w:szCs w:val="24"/>
          <w:lang w:eastAsia="en-US"/>
        </w:rPr>
        <w:t xml:space="preserve">Boyd, B. (2001) ‘The Natufian Burials from </w:t>
      </w:r>
      <w:proofErr w:type="spellStart"/>
      <w:r w:rsidRPr="00DF4CD0">
        <w:rPr>
          <w:rFonts w:eastAsia="Calibri"/>
          <w:sz w:val="24"/>
          <w:szCs w:val="24"/>
          <w:lang w:eastAsia="en-US"/>
        </w:rPr>
        <w:t>el</w:t>
      </w:r>
      <w:proofErr w:type="spellEnd"/>
      <w:r w:rsidRPr="00DF4CD0">
        <w:rPr>
          <w:rFonts w:eastAsia="Calibri"/>
          <w:sz w:val="24"/>
          <w:szCs w:val="24"/>
          <w:lang w:eastAsia="en-US"/>
        </w:rPr>
        <w:t xml:space="preserve">-Wad, Mount Carmel: Beyond Issues of Social </w:t>
      </w:r>
      <w:proofErr w:type="spellStart"/>
      <w:r w:rsidRPr="00DF4CD0">
        <w:rPr>
          <w:rFonts w:eastAsia="Calibri"/>
          <w:sz w:val="24"/>
          <w:szCs w:val="24"/>
          <w:lang w:eastAsia="en-US"/>
        </w:rPr>
        <w:t>Differentation</w:t>
      </w:r>
      <w:proofErr w:type="spellEnd"/>
      <w:r w:rsidRPr="00DF4CD0">
        <w:rPr>
          <w:rFonts w:eastAsia="Calibri"/>
          <w:sz w:val="24"/>
          <w:szCs w:val="24"/>
          <w:lang w:eastAsia="en-US"/>
        </w:rPr>
        <w:t xml:space="preserve">.’ </w:t>
      </w:r>
      <w:r w:rsidRPr="00DF4CD0">
        <w:rPr>
          <w:rFonts w:eastAsia="Calibri"/>
          <w:i/>
          <w:iCs/>
          <w:sz w:val="24"/>
          <w:szCs w:val="24"/>
          <w:lang w:eastAsia="en-US"/>
        </w:rPr>
        <w:t>Journal of Israel Prehistoric Society</w:t>
      </w:r>
      <w:r w:rsidRPr="00DF4CD0">
        <w:rPr>
          <w:rFonts w:eastAsia="Calibri"/>
          <w:sz w:val="24"/>
          <w:szCs w:val="24"/>
          <w:lang w:eastAsia="en-US"/>
        </w:rPr>
        <w:t xml:space="preserve">, No. 31, pp; 185-200. Available at: </w:t>
      </w:r>
      <w:hyperlink r:id="rId16" w:history="1">
        <w:r w:rsidRPr="00DF4CD0">
          <w:rPr>
            <w:rFonts w:eastAsia="Calibri"/>
            <w:color w:val="0563C1"/>
            <w:sz w:val="24"/>
            <w:szCs w:val="24"/>
            <w:u w:val="single"/>
            <w:lang w:eastAsia="en-US"/>
          </w:rPr>
          <w:t>http://www.jstor.org/stable/23380247</w:t>
        </w:r>
      </w:hyperlink>
      <w:r w:rsidRPr="00DF4CD0">
        <w:rPr>
          <w:rFonts w:eastAsia="Calibri"/>
          <w:sz w:val="24"/>
          <w:szCs w:val="24"/>
          <w:lang w:eastAsia="en-US"/>
        </w:rPr>
        <w:t xml:space="preserve"> (Accessed: 15 February 2024).</w:t>
      </w:r>
    </w:p>
    <w:p w14:paraId="2948C700" w14:textId="77777777" w:rsidR="00DF4CD0" w:rsidRPr="00DF4CD0" w:rsidRDefault="00DF4CD0" w:rsidP="00DF4CD0">
      <w:pPr>
        <w:spacing w:after="160" w:line="256" w:lineRule="auto"/>
        <w:rPr>
          <w:rFonts w:eastAsia="Calibri"/>
          <w:sz w:val="24"/>
          <w:szCs w:val="24"/>
          <w:lang w:eastAsia="en-US"/>
        </w:rPr>
      </w:pPr>
      <w:r w:rsidRPr="00DF4CD0">
        <w:rPr>
          <w:rFonts w:eastAsia="Calibri"/>
          <w:sz w:val="24"/>
          <w:szCs w:val="24"/>
          <w:lang w:eastAsia="en-US"/>
        </w:rPr>
        <w:t xml:space="preserve">Byrd, B. F. &amp; Monahan, C. M. (1994) ‘Death, Mortuary Ritual, and Natufian Social Structure.’ </w:t>
      </w:r>
      <w:r w:rsidRPr="00DF4CD0">
        <w:rPr>
          <w:rFonts w:eastAsia="Calibri"/>
          <w:i/>
          <w:iCs/>
          <w:sz w:val="24"/>
          <w:szCs w:val="24"/>
          <w:lang w:eastAsia="en-US"/>
        </w:rPr>
        <w:t>Journal of Anthropological Archaeology</w:t>
      </w:r>
      <w:r w:rsidRPr="00DF4CD0">
        <w:rPr>
          <w:rFonts w:eastAsia="Calibri"/>
          <w:sz w:val="24"/>
          <w:szCs w:val="24"/>
          <w:lang w:eastAsia="en-US"/>
        </w:rPr>
        <w:t>, 1995, No. 14, pp.251-287. Available at:    DOI:10.1006/jaar.1995.1014 (Accessed: 24 February 2024).</w:t>
      </w:r>
    </w:p>
    <w:p w14:paraId="68071ACC" w14:textId="77777777" w:rsidR="00DF4CD0" w:rsidRPr="00DF4CD0" w:rsidRDefault="00DF4CD0" w:rsidP="00DF4CD0">
      <w:pPr>
        <w:spacing w:after="160" w:line="256" w:lineRule="auto"/>
        <w:rPr>
          <w:rFonts w:eastAsia="Calibri"/>
          <w:sz w:val="24"/>
          <w:szCs w:val="24"/>
          <w:lang w:eastAsia="en-US"/>
        </w:rPr>
      </w:pPr>
      <w:r w:rsidRPr="00DF4CD0">
        <w:rPr>
          <w:rFonts w:eastAsia="Calibri"/>
          <w:sz w:val="24"/>
          <w:szCs w:val="24"/>
          <w:lang w:eastAsia="en-US"/>
        </w:rPr>
        <w:t xml:space="preserve">Chamberlain, A. T. &amp; Pearson, M. P. (2004). </w:t>
      </w:r>
      <w:r w:rsidRPr="00DF4CD0">
        <w:rPr>
          <w:rFonts w:eastAsia="Calibri"/>
          <w:i/>
          <w:iCs/>
          <w:sz w:val="24"/>
          <w:szCs w:val="24"/>
          <w:lang w:eastAsia="en-US"/>
        </w:rPr>
        <w:t>Earthly Remains: The history and science of preserved bodies</w:t>
      </w:r>
      <w:r w:rsidRPr="00DF4CD0">
        <w:rPr>
          <w:rFonts w:eastAsia="Calibri"/>
          <w:sz w:val="24"/>
          <w:szCs w:val="24"/>
          <w:lang w:eastAsia="en-US"/>
        </w:rPr>
        <w:t>. London: British Museum Press.</w:t>
      </w:r>
    </w:p>
    <w:p w14:paraId="739BEF1B" w14:textId="77777777" w:rsidR="00DF4CD0" w:rsidRPr="00DF4CD0" w:rsidRDefault="00DF4CD0" w:rsidP="00DF4CD0">
      <w:pPr>
        <w:spacing w:after="160" w:line="256" w:lineRule="auto"/>
        <w:rPr>
          <w:rFonts w:eastAsia="Calibri"/>
          <w:sz w:val="24"/>
          <w:szCs w:val="24"/>
          <w:lang w:eastAsia="en-US"/>
        </w:rPr>
      </w:pPr>
      <w:r w:rsidRPr="00DF4CD0">
        <w:rPr>
          <w:rFonts w:eastAsia="Calibri"/>
          <w:sz w:val="24"/>
          <w:szCs w:val="24"/>
          <w:lang w:eastAsia="en-US"/>
        </w:rPr>
        <w:t xml:space="preserve">Clark, G. A. (2012) </w:t>
      </w:r>
      <w:r w:rsidRPr="00DF4CD0">
        <w:rPr>
          <w:rFonts w:eastAsia="Calibri"/>
          <w:i/>
          <w:iCs/>
          <w:sz w:val="24"/>
          <w:szCs w:val="24"/>
          <w:lang w:eastAsia="en-US"/>
        </w:rPr>
        <w:t>The Cantabrian Mesolithic and the Epipaleolithic in the Levant – a Brief Comparison.</w:t>
      </w:r>
      <w:r w:rsidRPr="00DF4CD0">
        <w:rPr>
          <w:rFonts w:eastAsia="Calibri"/>
          <w:sz w:val="24"/>
          <w:szCs w:val="24"/>
          <w:lang w:eastAsia="en-US"/>
        </w:rPr>
        <w:t xml:space="preserve"> Available at: </w:t>
      </w:r>
      <w:hyperlink r:id="rId17" w:history="1">
        <w:r w:rsidRPr="00DF4CD0">
          <w:rPr>
            <w:rFonts w:eastAsia="Calibri"/>
            <w:color w:val="0563C1"/>
            <w:sz w:val="24"/>
            <w:szCs w:val="24"/>
            <w:u w:val="single"/>
            <w:lang w:eastAsia="en-US"/>
          </w:rPr>
          <w:t>https://www.academia.edu/7231596/The_Cantabrian_Mesolithic_and_the_Epipaleolithic_in_the_Levant_a_Brief_Comparison</w:t>
        </w:r>
      </w:hyperlink>
      <w:r w:rsidRPr="00DF4CD0">
        <w:rPr>
          <w:rFonts w:eastAsia="Calibri"/>
          <w:sz w:val="24"/>
          <w:szCs w:val="24"/>
          <w:lang w:eastAsia="en-US"/>
        </w:rPr>
        <w:t xml:space="preserve"> (Accessed: 10 March 2024).</w:t>
      </w:r>
    </w:p>
    <w:p w14:paraId="4030C755" w14:textId="77777777" w:rsidR="00DF4CD0" w:rsidRPr="00DF4CD0" w:rsidRDefault="00DF4CD0" w:rsidP="00DF4CD0">
      <w:pPr>
        <w:spacing w:after="160" w:line="256" w:lineRule="auto"/>
        <w:rPr>
          <w:rFonts w:eastAsia="Calibri"/>
          <w:sz w:val="24"/>
          <w:szCs w:val="24"/>
          <w:lang w:eastAsia="en-US"/>
        </w:rPr>
      </w:pPr>
      <w:r w:rsidRPr="00DF4CD0">
        <w:rPr>
          <w:rFonts w:eastAsia="Calibri"/>
          <w:sz w:val="24"/>
          <w:szCs w:val="24"/>
          <w:lang w:eastAsia="en-US"/>
        </w:rPr>
        <w:t xml:space="preserve">Croucher, K. (2012) </w:t>
      </w:r>
      <w:r w:rsidRPr="00DF4CD0">
        <w:rPr>
          <w:rFonts w:eastAsia="Calibri"/>
          <w:i/>
          <w:iCs/>
          <w:sz w:val="24"/>
          <w:szCs w:val="24"/>
          <w:lang w:eastAsia="en-US"/>
        </w:rPr>
        <w:t>Death and Dying in the neolithic Near East</w:t>
      </w:r>
      <w:r w:rsidRPr="00DF4CD0">
        <w:rPr>
          <w:rFonts w:eastAsia="Calibri"/>
          <w:sz w:val="24"/>
          <w:szCs w:val="24"/>
          <w:lang w:eastAsia="en-US"/>
        </w:rPr>
        <w:t>. 1st ed. Oxford: Oxford University Press.</w:t>
      </w:r>
    </w:p>
    <w:p w14:paraId="2A5BF0B5" w14:textId="77777777" w:rsidR="00DF4CD0" w:rsidRPr="00DF4CD0" w:rsidRDefault="00DF4CD0" w:rsidP="00DF4CD0">
      <w:pPr>
        <w:spacing w:after="160" w:line="256" w:lineRule="auto"/>
        <w:rPr>
          <w:rFonts w:eastAsia="Calibri"/>
          <w:sz w:val="24"/>
          <w:szCs w:val="24"/>
          <w:lang w:eastAsia="en-US"/>
        </w:rPr>
      </w:pPr>
      <w:r w:rsidRPr="00DF4CD0">
        <w:rPr>
          <w:rFonts w:eastAsia="Calibri"/>
          <w:sz w:val="24"/>
          <w:szCs w:val="24"/>
          <w:lang w:eastAsia="en-US"/>
        </w:rPr>
        <w:t xml:space="preserve">Croucher, K. (2017) ‘Keeping the dead close: grief and bereavement in the treatment of skulls from the Neolithic Middle East,’ </w:t>
      </w:r>
      <w:r w:rsidRPr="00DF4CD0">
        <w:rPr>
          <w:rFonts w:eastAsia="Calibri"/>
          <w:i/>
          <w:iCs/>
          <w:sz w:val="24"/>
          <w:szCs w:val="24"/>
          <w:lang w:eastAsia="en-US"/>
        </w:rPr>
        <w:t>Mortality</w:t>
      </w:r>
      <w:r w:rsidRPr="00DF4CD0">
        <w:rPr>
          <w:rFonts w:eastAsia="Calibri"/>
          <w:sz w:val="24"/>
          <w:szCs w:val="24"/>
          <w:lang w:eastAsia="en-US"/>
        </w:rPr>
        <w:t>, Routledge. Available at: DOI: 10.1080/13576275.2017.1319347 (Accessed: 26 February 2024).</w:t>
      </w:r>
    </w:p>
    <w:p w14:paraId="242E07A7" w14:textId="77777777" w:rsidR="00DF4CD0" w:rsidRPr="00DF4CD0" w:rsidRDefault="00DF4CD0" w:rsidP="00DF4CD0">
      <w:pPr>
        <w:spacing w:after="160" w:line="256" w:lineRule="auto"/>
        <w:rPr>
          <w:rFonts w:eastAsia="Calibri"/>
          <w:sz w:val="24"/>
          <w:szCs w:val="24"/>
          <w:lang w:eastAsia="en-US"/>
        </w:rPr>
      </w:pPr>
      <w:r w:rsidRPr="00DF4CD0">
        <w:rPr>
          <w:rFonts w:eastAsia="Calibri"/>
          <w:sz w:val="24"/>
          <w:szCs w:val="24"/>
          <w:lang w:eastAsia="en-US"/>
        </w:rPr>
        <w:t xml:space="preserve">Current World Archaeology, (2020) </w:t>
      </w:r>
      <w:r w:rsidRPr="00DF4CD0">
        <w:rPr>
          <w:rFonts w:eastAsia="Calibri"/>
          <w:i/>
          <w:iCs/>
          <w:sz w:val="24"/>
          <w:szCs w:val="24"/>
          <w:lang w:eastAsia="en-US"/>
        </w:rPr>
        <w:t xml:space="preserve">New Neanderthal discoveries at </w:t>
      </w:r>
      <w:proofErr w:type="spellStart"/>
      <w:r w:rsidRPr="00DF4CD0">
        <w:rPr>
          <w:rFonts w:eastAsia="Calibri"/>
          <w:i/>
          <w:iCs/>
          <w:sz w:val="24"/>
          <w:szCs w:val="24"/>
          <w:lang w:eastAsia="en-US"/>
        </w:rPr>
        <w:t>Shanidar</w:t>
      </w:r>
      <w:proofErr w:type="spellEnd"/>
      <w:r w:rsidRPr="00DF4CD0">
        <w:rPr>
          <w:rFonts w:eastAsia="Calibri"/>
          <w:i/>
          <w:iCs/>
          <w:sz w:val="24"/>
          <w:szCs w:val="24"/>
          <w:lang w:eastAsia="en-US"/>
        </w:rPr>
        <w:t xml:space="preserve"> Cave</w:t>
      </w:r>
      <w:r w:rsidRPr="00DF4CD0">
        <w:rPr>
          <w:rFonts w:eastAsia="Calibri"/>
          <w:sz w:val="24"/>
          <w:szCs w:val="24"/>
          <w:lang w:eastAsia="en-US"/>
        </w:rPr>
        <w:t>. Vol. 9, issue 100, no. 4, p. 6.</w:t>
      </w:r>
    </w:p>
    <w:p w14:paraId="14E8587A" w14:textId="77777777" w:rsidR="00DF4CD0" w:rsidRPr="00DF4CD0" w:rsidRDefault="00DF4CD0" w:rsidP="00DF4CD0">
      <w:pPr>
        <w:spacing w:after="160" w:line="256" w:lineRule="auto"/>
        <w:rPr>
          <w:rFonts w:eastAsia="Calibri"/>
          <w:sz w:val="24"/>
          <w:szCs w:val="24"/>
          <w:lang w:eastAsia="en-US"/>
        </w:rPr>
      </w:pPr>
      <w:r w:rsidRPr="00DF4CD0">
        <w:rPr>
          <w:rFonts w:eastAsia="Calibri"/>
          <w:sz w:val="24"/>
          <w:szCs w:val="24"/>
          <w:lang w:eastAsia="en-US"/>
        </w:rPr>
        <w:lastRenderedPageBreak/>
        <w:t xml:space="preserve">Davis, S. J. M. (1978) Evidence for domestication of the dog 12,000years ago in the Natufian of Israel. </w:t>
      </w:r>
      <w:r w:rsidRPr="00DF4CD0">
        <w:rPr>
          <w:rFonts w:eastAsia="Calibri"/>
          <w:i/>
          <w:iCs/>
          <w:sz w:val="24"/>
          <w:szCs w:val="24"/>
          <w:lang w:eastAsia="en-US"/>
        </w:rPr>
        <w:t>Nature,</w:t>
      </w:r>
      <w:r w:rsidRPr="00DF4CD0">
        <w:rPr>
          <w:rFonts w:eastAsia="Calibri"/>
          <w:sz w:val="24"/>
          <w:szCs w:val="24"/>
          <w:lang w:eastAsia="en-US"/>
        </w:rPr>
        <w:t xml:space="preserve"> Vol.276, pp.608-610. Available at: doi:10.1038/276608a0 (Accessed: 15 February 2024)</w:t>
      </w:r>
    </w:p>
    <w:p w14:paraId="30970CC0" w14:textId="77777777" w:rsidR="00DF4CD0" w:rsidRPr="00DF4CD0" w:rsidRDefault="00DF4CD0" w:rsidP="00DF4CD0">
      <w:pPr>
        <w:spacing w:after="160" w:line="256" w:lineRule="auto"/>
        <w:rPr>
          <w:rFonts w:eastAsia="Calibri"/>
          <w:sz w:val="24"/>
          <w:szCs w:val="24"/>
          <w:lang w:eastAsia="en-US"/>
        </w:rPr>
      </w:pPr>
      <w:r w:rsidRPr="00DF4CD0">
        <w:rPr>
          <w:rFonts w:eastAsia="Calibri"/>
          <w:sz w:val="24"/>
          <w:szCs w:val="24"/>
          <w:lang w:eastAsia="en-US"/>
        </w:rPr>
        <w:t xml:space="preserve">Devlin, Z. L. &amp; Graham, E. J. (Eds.) (2015) </w:t>
      </w:r>
      <w:r w:rsidRPr="00DF4CD0">
        <w:rPr>
          <w:rFonts w:eastAsia="Calibri"/>
          <w:i/>
          <w:iCs/>
          <w:sz w:val="24"/>
          <w:szCs w:val="24"/>
          <w:lang w:eastAsia="en-US"/>
        </w:rPr>
        <w:t xml:space="preserve">Death Embodied: Archaeological approaches to the treatment of the corpse. </w:t>
      </w:r>
      <w:r w:rsidRPr="00DF4CD0">
        <w:rPr>
          <w:rFonts w:eastAsia="Calibri"/>
          <w:sz w:val="24"/>
          <w:szCs w:val="24"/>
          <w:lang w:eastAsia="en-US"/>
        </w:rPr>
        <w:t>Oxford: Oxbow Books.</w:t>
      </w:r>
    </w:p>
    <w:p w14:paraId="2DD0DFB8" w14:textId="77777777" w:rsidR="00DF4CD0" w:rsidRPr="00DF4CD0" w:rsidRDefault="00DF4CD0" w:rsidP="00DF4CD0">
      <w:pPr>
        <w:spacing w:after="160" w:line="256" w:lineRule="auto"/>
        <w:rPr>
          <w:rFonts w:eastAsia="Calibri"/>
          <w:sz w:val="24"/>
          <w:szCs w:val="24"/>
          <w:lang w:eastAsia="en-US"/>
        </w:rPr>
      </w:pPr>
      <w:r w:rsidRPr="00DF4CD0">
        <w:rPr>
          <w:rFonts w:eastAsia="Calibri"/>
          <w:sz w:val="24"/>
          <w:szCs w:val="24"/>
          <w:lang w:eastAsia="en-US"/>
        </w:rPr>
        <w:t xml:space="preserve">Eitam, D. &amp; Schoenwetter, J. (2020) ‘Feeding the Living, Feeding the Dead: The Natufian as a Low-Level Food Production Society in the Southern Levant (15,000-11,500 Cal PB).’ </w:t>
      </w:r>
      <w:r w:rsidRPr="00DF4CD0">
        <w:rPr>
          <w:rFonts w:eastAsia="Calibri"/>
          <w:i/>
          <w:iCs/>
          <w:sz w:val="24"/>
          <w:szCs w:val="24"/>
          <w:lang w:eastAsia="en-US"/>
        </w:rPr>
        <w:t>Journal of the Israel Prehistoric Society</w:t>
      </w:r>
      <w:r w:rsidRPr="00DF4CD0">
        <w:rPr>
          <w:rFonts w:eastAsia="Calibri"/>
          <w:sz w:val="24"/>
          <w:szCs w:val="24"/>
          <w:lang w:eastAsia="en-US"/>
        </w:rPr>
        <w:t xml:space="preserve">, No. 50, pp. 44-77. </w:t>
      </w:r>
    </w:p>
    <w:p w14:paraId="412351A3" w14:textId="77777777" w:rsidR="00DF4CD0" w:rsidRPr="00DF4CD0" w:rsidRDefault="00DF4CD0" w:rsidP="00DF4CD0">
      <w:pPr>
        <w:spacing w:after="160" w:line="256" w:lineRule="auto"/>
        <w:rPr>
          <w:rFonts w:eastAsia="Calibri"/>
          <w:sz w:val="24"/>
          <w:szCs w:val="24"/>
          <w:lang w:eastAsia="en-US"/>
        </w:rPr>
      </w:pPr>
      <w:r w:rsidRPr="00DF4CD0">
        <w:rPr>
          <w:rFonts w:eastAsia="Calibri"/>
          <w:sz w:val="24"/>
          <w:szCs w:val="24"/>
          <w:lang w:eastAsia="en-US"/>
        </w:rPr>
        <w:t xml:space="preserve">Finlayson, B. (2014) Introduction to the Levant During the Neolithic Period, in Killebrew, A. E. &amp; Steiner, M. (Eds.) </w:t>
      </w:r>
      <w:r w:rsidRPr="00DF4CD0">
        <w:rPr>
          <w:rFonts w:eastAsia="Calibri"/>
          <w:i/>
          <w:iCs/>
          <w:sz w:val="24"/>
          <w:szCs w:val="24"/>
          <w:lang w:eastAsia="en-US"/>
        </w:rPr>
        <w:t>The Oxford Handbook of the Archaeology of the Levant: c. 8000 – 332 BCE.</w:t>
      </w:r>
      <w:r w:rsidRPr="00DF4CD0">
        <w:rPr>
          <w:rFonts w:eastAsia="Calibri"/>
          <w:sz w:val="24"/>
          <w:szCs w:val="24"/>
          <w:lang w:eastAsia="en-US"/>
        </w:rPr>
        <w:t xml:space="preserve"> Chapter 9, pp: 122-133. Oxford: Oxford University Press.</w:t>
      </w:r>
    </w:p>
    <w:p w14:paraId="02FFB21C" w14:textId="77777777" w:rsidR="00DF4CD0" w:rsidRPr="00DF4CD0" w:rsidRDefault="00DF4CD0" w:rsidP="00DF4CD0">
      <w:pPr>
        <w:spacing w:after="160" w:line="256" w:lineRule="auto"/>
        <w:rPr>
          <w:rFonts w:eastAsia="Calibri"/>
          <w:sz w:val="24"/>
          <w:szCs w:val="24"/>
          <w:lang w:eastAsia="en-US"/>
        </w:rPr>
      </w:pPr>
      <w:r w:rsidRPr="00DF4CD0">
        <w:rPr>
          <w:rFonts w:eastAsia="Calibri"/>
          <w:sz w:val="24"/>
          <w:szCs w:val="24"/>
          <w:lang w:eastAsia="en-US"/>
        </w:rPr>
        <w:t xml:space="preserve">Garrod, D.A.E, (1929) Excavations in the </w:t>
      </w:r>
      <w:proofErr w:type="spellStart"/>
      <w:r w:rsidRPr="00DF4CD0">
        <w:rPr>
          <w:rFonts w:eastAsia="Calibri"/>
          <w:sz w:val="24"/>
          <w:szCs w:val="24"/>
          <w:lang w:eastAsia="en-US"/>
        </w:rPr>
        <w:t>Mugharet</w:t>
      </w:r>
      <w:proofErr w:type="spellEnd"/>
      <w:r w:rsidRPr="00DF4CD0">
        <w:rPr>
          <w:rFonts w:eastAsia="Calibri"/>
          <w:sz w:val="24"/>
          <w:szCs w:val="24"/>
          <w:lang w:eastAsia="en-US"/>
        </w:rPr>
        <w:t xml:space="preserve"> </w:t>
      </w:r>
      <w:proofErr w:type="spellStart"/>
      <w:r w:rsidRPr="00DF4CD0">
        <w:rPr>
          <w:rFonts w:eastAsia="Calibri"/>
          <w:sz w:val="24"/>
          <w:szCs w:val="24"/>
          <w:lang w:eastAsia="en-US"/>
        </w:rPr>
        <w:t>el</w:t>
      </w:r>
      <w:proofErr w:type="spellEnd"/>
      <w:r w:rsidRPr="00DF4CD0">
        <w:rPr>
          <w:rFonts w:eastAsia="Calibri"/>
          <w:sz w:val="24"/>
          <w:szCs w:val="24"/>
          <w:lang w:eastAsia="en-US"/>
        </w:rPr>
        <w:t xml:space="preserve">-Wad, near </w:t>
      </w:r>
      <w:proofErr w:type="spellStart"/>
      <w:r w:rsidRPr="00DF4CD0">
        <w:rPr>
          <w:rFonts w:eastAsia="Calibri"/>
          <w:sz w:val="24"/>
          <w:szCs w:val="24"/>
          <w:lang w:eastAsia="en-US"/>
        </w:rPr>
        <w:t>Athlit</w:t>
      </w:r>
      <w:proofErr w:type="spellEnd"/>
      <w:r w:rsidRPr="00DF4CD0">
        <w:rPr>
          <w:rFonts w:eastAsia="Calibri"/>
          <w:sz w:val="24"/>
          <w:szCs w:val="24"/>
          <w:lang w:eastAsia="en-US"/>
        </w:rPr>
        <w:t xml:space="preserve">, April-June 1929. </w:t>
      </w:r>
      <w:r w:rsidRPr="00DF4CD0">
        <w:rPr>
          <w:rFonts w:eastAsia="Calibri"/>
          <w:i/>
          <w:iCs/>
          <w:sz w:val="24"/>
          <w:szCs w:val="24"/>
          <w:lang w:eastAsia="en-US"/>
        </w:rPr>
        <w:t>Quarterly Statement of the Palestine Exploration Fund 61</w:t>
      </w:r>
      <w:r w:rsidRPr="00DF4CD0">
        <w:rPr>
          <w:rFonts w:eastAsia="Calibri"/>
          <w:sz w:val="24"/>
          <w:szCs w:val="24"/>
          <w:lang w:eastAsia="en-US"/>
        </w:rPr>
        <w:t>: 220-222.</w:t>
      </w:r>
    </w:p>
    <w:p w14:paraId="2660921F" w14:textId="77777777" w:rsidR="00DF4CD0" w:rsidRPr="00DF4CD0" w:rsidRDefault="00DF4CD0" w:rsidP="00DF4CD0">
      <w:pPr>
        <w:spacing w:after="160" w:line="256" w:lineRule="auto"/>
        <w:rPr>
          <w:rFonts w:ascii="Helvetica" w:eastAsia="Calibri" w:hAnsi="Helvetica" w:cs="Helvetica"/>
          <w:color w:val="000000"/>
          <w:spacing w:val="-5"/>
          <w:sz w:val="22"/>
          <w:szCs w:val="22"/>
          <w:shd w:val="clear" w:color="auto" w:fill="FFFFFF"/>
          <w:lang w:eastAsia="en-US"/>
        </w:rPr>
      </w:pPr>
      <w:r w:rsidRPr="00DF4CD0">
        <w:rPr>
          <w:rFonts w:ascii="Helvetica" w:eastAsia="Calibri" w:hAnsi="Helvetica" w:cs="Helvetica"/>
          <w:color w:val="000000"/>
          <w:spacing w:val="-5"/>
          <w:sz w:val="22"/>
          <w:szCs w:val="22"/>
          <w:shd w:val="clear" w:color="auto" w:fill="FFFFFF"/>
          <w:lang w:eastAsia="en-US"/>
        </w:rPr>
        <w:t>Garrod, D. A. E. (1931) ‘Mesolithic Burials from Caves in Palestine.’ </w:t>
      </w:r>
      <w:r w:rsidRPr="00DF4CD0">
        <w:rPr>
          <w:rFonts w:ascii="Helvetica" w:eastAsia="Calibri" w:hAnsi="Helvetica" w:cs="Helvetica"/>
          <w:i/>
          <w:iCs/>
          <w:color w:val="000000"/>
          <w:spacing w:val="-5"/>
          <w:sz w:val="22"/>
          <w:szCs w:val="22"/>
          <w:shd w:val="clear" w:color="auto" w:fill="FFFFFF"/>
          <w:lang w:eastAsia="en-US"/>
        </w:rPr>
        <w:t>Man</w:t>
      </w:r>
      <w:r w:rsidRPr="00DF4CD0">
        <w:rPr>
          <w:rFonts w:ascii="Helvetica" w:eastAsia="Calibri" w:hAnsi="Helvetica" w:cs="Helvetica"/>
          <w:color w:val="000000"/>
          <w:spacing w:val="-5"/>
          <w:sz w:val="22"/>
          <w:szCs w:val="22"/>
          <w:shd w:val="clear" w:color="auto" w:fill="FFFFFF"/>
          <w:lang w:eastAsia="en-US"/>
        </w:rPr>
        <w:t>, vol. 31, 1931, pp. 145–46. Available at: https://doi.org/10.2307/2791371 (Accessed: 4 March 2024).</w:t>
      </w:r>
    </w:p>
    <w:p w14:paraId="61D280B6" w14:textId="77777777" w:rsidR="00DF4CD0" w:rsidRPr="00DF4CD0" w:rsidRDefault="00DF4CD0" w:rsidP="00DF4CD0">
      <w:pPr>
        <w:spacing w:after="160" w:line="256" w:lineRule="auto"/>
        <w:rPr>
          <w:rFonts w:eastAsia="Calibri"/>
          <w:sz w:val="24"/>
          <w:szCs w:val="24"/>
          <w:lang w:eastAsia="en-US"/>
        </w:rPr>
      </w:pPr>
      <w:r w:rsidRPr="00DF4CD0">
        <w:rPr>
          <w:rFonts w:ascii="Helvetica" w:eastAsia="Calibri" w:hAnsi="Helvetica" w:cs="Helvetica"/>
          <w:color w:val="000000"/>
          <w:spacing w:val="-5"/>
          <w:sz w:val="22"/>
          <w:szCs w:val="22"/>
          <w:shd w:val="clear" w:color="auto" w:fill="FFFFFF"/>
          <w:lang w:eastAsia="en-US"/>
        </w:rPr>
        <w:t xml:space="preserve">Garrod, D. A. E. (1962) ‘The Middle Palaeolithic of the Near East and the Problem of Mount Carmel Man: The Huxley Memorial Lecture 1962.’ </w:t>
      </w:r>
      <w:r w:rsidRPr="00DF4CD0">
        <w:rPr>
          <w:rFonts w:ascii="Helvetica" w:eastAsia="Calibri" w:hAnsi="Helvetica" w:cs="Helvetica"/>
          <w:i/>
          <w:iCs/>
          <w:color w:val="000000"/>
          <w:spacing w:val="-5"/>
          <w:sz w:val="22"/>
          <w:szCs w:val="22"/>
          <w:shd w:val="clear" w:color="auto" w:fill="FFFFFF"/>
          <w:lang w:eastAsia="en-US"/>
        </w:rPr>
        <w:t>Journal of the Royal Anthropological Institute of Great Britain and Ireland</w:t>
      </w:r>
      <w:r w:rsidRPr="00DF4CD0">
        <w:rPr>
          <w:rFonts w:ascii="Helvetica" w:eastAsia="Calibri" w:hAnsi="Helvetica" w:cs="Helvetica"/>
          <w:color w:val="000000"/>
          <w:spacing w:val="-5"/>
          <w:sz w:val="22"/>
          <w:szCs w:val="22"/>
          <w:shd w:val="clear" w:color="auto" w:fill="FFFFFF"/>
          <w:lang w:eastAsia="en-US"/>
        </w:rPr>
        <w:t xml:space="preserve">, Vol. 92, No. 2, pp.232-259. Available at: </w:t>
      </w:r>
      <w:hyperlink r:id="rId18" w:history="1">
        <w:r w:rsidRPr="00DF4CD0">
          <w:rPr>
            <w:rFonts w:ascii="Helvetica" w:eastAsia="Calibri" w:hAnsi="Helvetica" w:cs="Helvetica"/>
            <w:color w:val="0563C1"/>
            <w:spacing w:val="-5"/>
            <w:sz w:val="22"/>
            <w:szCs w:val="22"/>
            <w:u w:val="single"/>
            <w:shd w:val="clear" w:color="auto" w:fill="FFFFFF"/>
            <w:lang w:eastAsia="en-US"/>
          </w:rPr>
          <w:t>https://www.jstor.org/stable/2844261</w:t>
        </w:r>
      </w:hyperlink>
      <w:r w:rsidRPr="00DF4CD0">
        <w:rPr>
          <w:rFonts w:ascii="Helvetica" w:eastAsia="Calibri" w:hAnsi="Helvetica" w:cs="Helvetica"/>
          <w:color w:val="000000"/>
          <w:spacing w:val="-5"/>
          <w:sz w:val="22"/>
          <w:szCs w:val="22"/>
          <w:shd w:val="clear" w:color="auto" w:fill="FFFFFF"/>
          <w:lang w:eastAsia="en-US"/>
        </w:rPr>
        <w:t>. (Accessed: 4 March 2024).</w:t>
      </w:r>
    </w:p>
    <w:p w14:paraId="63A0A19A" w14:textId="77777777" w:rsidR="00DF4CD0" w:rsidRPr="00DF4CD0" w:rsidRDefault="00DF4CD0" w:rsidP="00DF4CD0">
      <w:pPr>
        <w:spacing w:after="160" w:line="256" w:lineRule="auto"/>
        <w:rPr>
          <w:rFonts w:eastAsia="Calibri"/>
          <w:sz w:val="24"/>
          <w:szCs w:val="24"/>
          <w:lang w:eastAsia="en-US"/>
        </w:rPr>
      </w:pPr>
      <w:r w:rsidRPr="00DF4CD0">
        <w:rPr>
          <w:rFonts w:eastAsia="Calibri"/>
          <w:sz w:val="24"/>
          <w:szCs w:val="24"/>
          <w:lang w:eastAsia="en-US"/>
        </w:rPr>
        <w:t xml:space="preserve">Grosman, L. and Munro, N. D. (2008) ‘A 12,000-year-old Shaman burial from the southern Levant (Israel).’ </w:t>
      </w:r>
      <w:r w:rsidRPr="00DF4CD0">
        <w:rPr>
          <w:rFonts w:eastAsia="Calibri"/>
          <w:i/>
          <w:iCs/>
          <w:sz w:val="24"/>
          <w:szCs w:val="24"/>
          <w:lang w:eastAsia="en-US"/>
        </w:rPr>
        <w:t>Anthropology,</w:t>
      </w:r>
      <w:r w:rsidRPr="00DF4CD0">
        <w:rPr>
          <w:rFonts w:eastAsia="Calibri"/>
          <w:sz w:val="24"/>
          <w:szCs w:val="24"/>
          <w:lang w:eastAsia="en-US"/>
        </w:rPr>
        <w:t xml:space="preserve"> Vol.105, No.46, pp. 17665-17669. Available at: </w:t>
      </w:r>
      <w:hyperlink r:id="rId19" w:history="1">
        <w:r w:rsidRPr="00DF4CD0">
          <w:rPr>
            <w:rFonts w:eastAsia="Calibri"/>
            <w:color w:val="0563C1"/>
            <w:sz w:val="24"/>
            <w:szCs w:val="24"/>
            <w:u w:val="single"/>
            <w:lang w:eastAsia="en-US"/>
          </w:rPr>
          <w:t>www.pnas.org/cgi/doi/10.1073/pnas.0806030105</w:t>
        </w:r>
      </w:hyperlink>
      <w:r w:rsidRPr="00DF4CD0">
        <w:rPr>
          <w:rFonts w:eastAsia="Calibri"/>
          <w:sz w:val="24"/>
          <w:szCs w:val="24"/>
          <w:lang w:eastAsia="en-US"/>
        </w:rPr>
        <w:t xml:space="preserve"> (Accessed: 24 February 2024).</w:t>
      </w:r>
    </w:p>
    <w:p w14:paraId="246488D5" w14:textId="77777777" w:rsidR="00DF4CD0" w:rsidRPr="00DF4CD0" w:rsidRDefault="00DF4CD0" w:rsidP="00DF4CD0">
      <w:pPr>
        <w:spacing w:after="160" w:line="256" w:lineRule="auto"/>
        <w:rPr>
          <w:rFonts w:eastAsia="Calibri"/>
          <w:sz w:val="24"/>
          <w:szCs w:val="24"/>
          <w:lang w:eastAsia="en-US"/>
        </w:rPr>
      </w:pPr>
      <w:proofErr w:type="spellStart"/>
      <w:r w:rsidRPr="00DF4CD0">
        <w:rPr>
          <w:rFonts w:eastAsia="Calibri"/>
          <w:sz w:val="24"/>
          <w:szCs w:val="24"/>
          <w:lang w:eastAsia="en-US"/>
        </w:rPr>
        <w:t>Insoll</w:t>
      </w:r>
      <w:proofErr w:type="spellEnd"/>
      <w:r w:rsidRPr="00DF4CD0">
        <w:rPr>
          <w:rFonts w:eastAsia="Calibri"/>
          <w:sz w:val="24"/>
          <w:szCs w:val="24"/>
          <w:lang w:eastAsia="en-US"/>
        </w:rPr>
        <w:t>, T. (2011) </w:t>
      </w:r>
      <w:r w:rsidRPr="00DF4CD0">
        <w:rPr>
          <w:rFonts w:eastAsia="Calibri"/>
          <w:i/>
          <w:iCs/>
          <w:sz w:val="24"/>
          <w:szCs w:val="24"/>
          <w:lang w:eastAsia="en-US"/>
        </w:rPr>
        <w:t>The Oxford Handbook of the Archaeology of Ritual and Religion</w:t>
      </w:r>
      <w:r w:rsidRPr="00DF4CD0">
        <w:rPr>
          <w:rFonts w:eastAsia="Calibri"/>
          <w:sz w:val="24"/>
          <w:szCs w:val="24"/>
          <w:lang w:eastAsia="en-US"/>
        </w:rPr>
        <w:t xml:space="preserve">. 1st </w:t>
      </w:r>
      <w:proofErr w:type="spellStart"/>
      <w:r w:rsidRPr="00DF4CD0">
        <w:rPr>
          <w:rFonts w:eastAsia="Calibri"/>
          <w:sz w:val="24"/>
          <w:szCs w:val="24"/>
          <w:lang w:eastAsia="en-US"/>
        </w:rPr>
        <w:t>edn</w:t>
      </w:r>
      <w:proofErr w:type="spellEnd"/>
      <w:r w:rsidRPr="00DF4CD0">
        <w:rPr>
          <w:rFonts w:eastAsia="Calibri"/>
          <w:sz w:val="24"/>
          <w:szCs w:val="24"/>
          <w:lang w:eastAsia="en-US"/>
        </w:rPr>
        <w:t xml:space="preserve">. Oxford: Oxford University Press. Available at: </w:t>
      </w:r>
      <w:hyperlink r:id="rId20" w:history="1">
        <w:r w:rsidRPr="00DF4CD0">
          <w:rPr>
            <w:rFonts w:eastAsia="Calibri"/>
            <w:color w:val="0563C1"/>
            <w:sz w:val="24"/>
            <w:szCs w:val="24"/>
            <w:u w:val="single"/>
            <w:lang w:eastAsia="en-US"/>
          </w:rPr>
          <w:t>https://doi.org/10.1093/oxfordhb/9780199232444.001.0001</w:t>
        </w:r>
      </w:hyperlink>
      <w:r w:rsidRPr="00DF4CD0">
        <w:rPr>
          <w:rFonts w:eastAsia="Calibri"/>
          <w:sz w:val="24"/>
          <w:szCs w:val="24"/>
          <w:lang w:eastAsia="en-US"/>
        </w:rPr>
        <w:t xml:space="preserve"> (Accessed: 27 February 2024).</w:t>
      </w:r>
    </w:p>
    <w:p w14:paraId="3FE21ED5" w14:textId="77777777" w:rsidR="00DF4CD0" w:rsidRPr="00DF4CD0" w:rsidRDefault="00DF4CD0" w:rsidP="00DF4CD0">
      <w:pPr>
        <w:spacing w:after="160" w:line="256" w:lineRule="auto"/>
        <w:rPr>
          <w:rFonts w:eastAsia="Calibri"/>
          <w:sz w:val="24"/>
          <w:szCs w:val="24"/>
          <w:lang w:eastAsia="en-US"/>
        </w:rPr>
      </w:pPr>
      <w:r w:rsidRPr="00DF4CD0">
        <w:rPr>
          <w:rFonts w:eastAsia="Calibri"/>
          <w:sz w:val="24"/>
          <w:szCs w:val="24"/>
          <w:lang w:eastAsia="en-US"/>
        </w:rPr>
        <w:t xml:space="preserve">Jock, A. M. (2023) ‘An </w:t>
      </w:r>
      <w:proofErr w:type="gramStart"/>
      <w:r w:rsidRPr="00DF4CD0">
        <w:rPr>
          <w:rFonts w:eastAsia="Calibri"/>
          <w:sz w:val="24"/>
          <w:szCs w:val="24"/>
          <w:lang w:eastAsia="en-US"/>
        </w:rPr>
        <w:t>African-study</w:t>
      </w:r>
      <w:proofErr w:type="gramEnd"/>
      <w:r w:rsidRPr="00DF4CD0">
        <w:rPr>
          <w:rFonts w:eastAsia="Calibri"/>
          <w:sz w:val="24"/>
          <w:szCs w:val="24"/>
          <w:lang w:eastAsia="en-US"/>
        </w:rPr>
        <w:t xml:space="preserve"> of the contribution of Neanderthals to funeral rituals,’ </w:t>
      </w:r>
      <w:proofErr w:type="spellStart"/>
      <w:r w:rsidRPr="00DF4CD0">
        <w:rPr>
          <w:rFonts w:eastAsia="Calibri"/>
          <w:i/>
          <w:iCs/>
          <w:sz w:val="24"/>
          <w:szCs w:val="24"/>
          <w:lang w:eastAsia="en-US"/>
        </w:rPr>
        <w:t>Theologia</w:t>
      </w:r>
      <w:proofErr w:type="spellEnd"/>
      <w:r w:rsidRPr="00DF4CD0">
        <w:rPr>
          <w:rFonts w:eastAsia="Calibri"/>
          <w:i/>
          <w:iCs/>
          <w:sz w:val="24"/>
          <w:szCs w:val="24"/>
          <w:lang w:eastAsia="en-US"/>
        </w:rPr>
        <w:t xml:space="preserve"> </w:t>
      </w:r>
      <w:proofErr w:type="spellStart"/>
      <w:r w:rsidRPr="00DF4CD0">
        <w:rPr>
          <w:rFonts w:eastAsia="Calibri"/>
          <w:i/>
          <w:iCs/>
          <w:sz w:val="24"/>
          <w:szCs w:val="24"/>
          <w:lang w:eastAsia="en-US"/>
        </w:rPr>
        <w:t>Viatorum</w:t>
      </w:r>
      <w:proofErr w:type="spellEnd"/>
      <w:r w:rsidRPr="00DF4CD0">
        <w:rPr>
          <w:rFonts w:eastAsia="Calibri"/>
          <w:sz w:val="24"/>
          <w:szCs w:val="24"/>
          <w:lang w:eastAsia="en-US"/>
        </w:rPr>
        <w:t xml:space="preserve"> 47(1), a173, Available at: </w:t>
      </w:r>
      <w:hyperlink r:id="rId21" w:history="1">
        <w:r w:rsidRPr="00DF4CD0">
          <w:rPr>
            <w:rFonts w:eastAsia="Calibri"/>
            <w:color w:val="0563C1"/>
            <w:sz w:val="24"/>
            <w:szCs w:val="24"/>
            <w:u w:val="single"/>
            <w:lang w:eastAsia="en-US"/>
          </w:rPr>
          <w:t>https://doi.org/10.4102/tv.v47i1.73</w:t>
        </w:r>
      </w:hyperlink>
      <w:r w:rsidRPr="00DF4CD0">
        <w:rPr>
          <w:rFonts w:eastAsia="Calibri"/>
          <w:sz w:val="24"/>
          <w:szCs w:val="24"/>
          <w:lang w:eastAsia="en-US"/>
        </w:rPr>
        <w:t xml:space="preserve"> (accessed: 13 February 2024).</w:t>
      </w:r>
    </w:p>
    <w:p w14:paraId="60C5A7D8" w14:textId="77777777" w:rsidR="00DF4CD0" w:rsidRPr="00DF4CD0" w:rsidRDefault="00DF4CD0" w:rsidP="00DF4CD0">
      <w:pPr>
        <w:spacing w:after="160" w:line="256" w:lineRule="auto"/>
        <w:rPr>
          <w:rFonts w:eastAsia="Calibri"/>
          <w:sz w:val="24"/>
          <w:szCs w:val="24"/>
          <w:lang w:eastAsia="en-US"/>
        </w:rPr>
      </w:pPr>
      <w:r w:rsidRPr="00DF4CD0">
        <w:rPr>
          <w:rFonts w:eastAsia="Calibri"/>
          <w:sz w:val="24"/>
          <w:szCs w:val="24"/>
          <w:lang w:eastAsia="en-US"/>
        </w:rPr>
        <w:t xml:space="preserve">Kenyon, K. M. (1954) ‘Excavations at Jericho.’ </w:t>
      </w:r>
      <w:r w:rsidRPr="00DF4CD0">
        <w:rPr>
          <w:rFonts w:eastAsia="Calibri"/>
          <w:i/>
          <w:iCs/>
          <w:sz w:val="24"/>
          <w:szCs w:val="24"/>
          <w:lang w:eastAsia="en-US"/>
        </w:rPr>
        <w:t>The Journal of the Royal Anthropological Institute of Great Britain and Ireland</w:t>
      </w:r>
      <w:r w:rsidRPr="00DF4CD0">
        <w:rPr>
          <w:rFonts w:eastAsia="Calibri"/>
          <w:sz w:val="24"/>
          <w:szCs w:val="24"/>
          <w:lang w:eastAsia="en-US"/>
        </w:rPr>
        <w:t xml:space="preserve">, Vol. 84, No. 1, pp.103-110. Available at: </w:t>
      </w:r>
      <w:hyperlink r:id="rId22" w:history="1">
        <w:r w:rsidRPr="00DF4CD0">
          <w:rPr>
            <w:rFonts w:eastAsia="Calibri"/>
            <w:color w:val="0563C1"/>
            <w:sz w:val="24"/>
            <w:szCs w:val="24"/>
            <w:u w:val="single"/>
            <w:lang w:eastAsia="en-US"/>
          </w:rPr>
          <w:t>https://www.jstor.org/stable/2844004</w:t>
        </w:r>
      </w:hyperlink>
      <w:r w:rsidRPr="00DF4CD0">
        <w:rPr>
          <w:rFonts w:eastAsia="Calibri"/>
          <w:sz w:val="24"/>
          <w:szCs w:val="24"/>
          <w:lang w:eastAsia="en-US"/>
        </w:rPr>
        <w:t xml:space="preserve"> (Accessed: 29 February 2024).</w:t>
      </w:r>
    </w:p>
    <w:p w14:paraId="19C4FAD7" w14:textId="77777777" w:rsidR="00DF4CD0" w:rsidRPr="00DF4CD0" w:rsidRDefault="00DF4CD0" w:rsidP="00DF4CD0">
      <w:pPr>
        <w:spacing w:after="160" w:line="256" w:lineRule="auto"/>
        <w:rPr>
          <w:rFonts w:eastAsia="Calibri"/>
          <w:sz w:val="24"/>
          <w:szCs w:val="24"/>
          <w:lang w:eastAsia="en-US"/>
        </w:rPr>
      </w:pPr>
      <w:r w:rsidRPr="00DF4CD0">
        <w:rPr>
          <w:rFonts w:eastAsia="Calibri"/>
          <w:sz w:val="24"/>
          <w:szCs w:val="24"/>
          <w:lang w:eastAsia="en-US"/>
        </w:rPr>
        <w:t xml:space="preserve">Kenyon, K. M. (1979) </w:t>
      </w:r>
      <w:r w:rsidRPr="00DF4CD0">
        <w:rPr>
          <w:rFonts w:eastAsia="Calibri"/>
          <w:i/>
          <w:iCs/>
          <w:sz w:val="24"/>
          <w:szCs w:val="24"/>
          <w:lang w:eastAsia="en-US"/>
        </w:rPr>
        <w:t>Archaeology in the Holy Land</w:t>
      </w:r>
      <w:r w:rsidRPr="00DF4CD0">
        <w:rPr>
          <w:rFonts w:eastAsia="Calibri"/>
          <w:sz w:val="24"/>
          <w:szCs w:val="24"/>
          <w:lang w:eastAsia="en-US"/>
        </w:rPr>
        <w:t>. Fourth Edition. London: Ernest Benn Limited.</w:t>
      </w:r>
    </w:p>
    <w:p w14:paraId="34D7B6C4" w14:textId="77777777" w:rsidR="00DF4CD0" w:rsidRPr="00DF4CD0" w:rsidRDefault="00DF4CD0" w:rsidP="00DF4CD0">
      <w:pPr>
        <w:spacing w:after="160" w:line="256" w:lineRule="auto"/>
        <w:rPr>
          <w:rFonts w:eastAsia="Calibri"/>
          <w:sz w:val="24"/>
          <w:szCs w:val="24"/>
          <w:lang w:eastAsia="en-US"/>
        </w:rPr>
      </w:pPr>
      <w:proofErr w:type="spellStart"/>
      <w:r w:rsidRPr="00DF4CD0">
        <w:rPr>
          <w:rFonts w:eastAsia="Calibri"/>
          <w:sz w:val="24"/>
          <w:szCs w:val="24"/>
          <w:lang w:eastAsia="en-US"/>
        </w:rPr>
        <w:t>Knusel</w:t>
      </w:r>
      <w:proofErr w:type="spellEnd"/>
      <w:r w:rsidRPr="00DF4CD0">
        <w:rPr>
          <w:rFonts w:eastAsia="Calibri"/>
          <w:sz w:val="24"/>
          <w:szCs w:val="24"/>
          <w:lang w:eastAsia="en-US"/>
        </w:rPr>
        <w:t xml:space="preserve">, C. J. &amp; </w:t>
      </w:r>
      <w:proofErr w:type="spellStart"/>
      <w:r w:rsidRPr="00DF4CD0">
        <w:rPr>
          <w:rFonts w:eastAsia="Calibri"/>
          <w:sz w:val="24"/>
          <w:szCs w:val="24"/>
          <w:lang w:eastAsia="en-US"/>
        </w:rPr>
        <w:t>Schotsmans</w:t>
      </w:r>
      <w:proofErr w:type="spellEnd"/>
      <w:r w:rsidRPr="00DF4CD0">
        <w:rPr>
          <w:rFonts w:eastAsia="Calibri"/>
          <w:sz w:val="24"/>
          <w:szCs w:val="24"/>
          <w:lang w:eastAsia="en-US"/>
        </w:rPr>
        <w:t xml:space="preserve">, E. M. J. (Eds.) (2022) </w:t>
      </w:r>
      <w:r w:rsidRPr="00DF4CD0">
        <w:rPr>
          <w:rFonts w:eastAsia="Calibri"/>
          <w:i/>
          <w:iCs/>
          <w:sz w:val="24"/>
          <w:szCs w:val="24"/>
          <w:lang w:eastAsia="en-US"/>
        </w:rPr>
        <w:t>Routledge handbook of Archaeothanatology: Bioarchaeology of Mortuary Behaviour</w:t>
      </w:r>
      <w:r w:rsidRPr="00DF4CD0">
        <w:rPr>
          <w:rFonts w:eastAsia="Calibri"/>
          <w:sz w:val="24"/>
          <w:szCs w:val="24"/>
          <w:lang w:eastAsia="en-US"/>
        </w:rPr>
        <w:t>. London: Routledge.</w:t>
      </w:r>
    </w:p>
    <w:p w14:paraId="528B3A92" w14:textId="77777777" w:rsidR="00DF4CD0" w:rsidRPr="00DF4CD0" w:rsidRDefault="00DF4CD0" w:rsidP="00DF4CD0">
      <w:pPr>
        <w:spacing w:after="160" w:line="256" w:lineRule="auto"/>
        <w:rPr>
          <w:rFonts w:eastAsia="Calibri"/>
          <w:sz w:val="24"/>
          <w:szCs w:val="24"/>
          <w:lang w:eastAsia="en-US"/>
        </w:rPr>
      </w:pPr>
      <w:r w:rsidRPr="00DF4CD0">
        <w:rPr>
          <w:rFonts w:eastAsia="Calibri"/>
          <w:sz w:val="24"/>
          <w:szCs w:val="24"/>
          <w:lang w:eastAsia="en-US"/>
        </w:rPr>
        <w:t xml:space="preserve">Lengyel, G. &amp; </w:t>
      </w:r>
      <w:proofErr w:type="spellStart"/>
      <w:r w:rsidRPr="00DF4CD0">
        <w:rPr>
          <w:rFonts w:eastAsia="Calibri"/>
          <w:sz w:val="24"/>
          <w:szCs w:val="24"/>
          <w:lang w:eastAsia="en-US"/>
        </w:rPr>
        <w:t>Bocquentin</w:t>
      </w:r>
      <w:proofErr w:type="spellEnd"/>
      <w:r w:rsidRPr="00DF4CD0">
        <w:rPr>
          <w:rFonts w:eastAsia="Calibri"/>
          <w:sz w:val="24"/>
          <w:szCs w:val="24"/>
          <w:lang w:eastAsia="en-US"/>
        </w:rPr>
        <w:t xml:space="preserve">, F. (2005) ‘Burials of Raqefet Cave in the context of the Late Natufian.’ </w:t>
      </w:r>
      <w:r w:rsidRPr="00DF4CD0">
        <w:rPr>
          <w:rFonts w:eastAsia="Calibri"/>
          <w:i/>
          <w:iCs/>
          <w:sz w:val="24"/>
          <w:szCs w:val="24"/>
          <w:lang w:eastAsia="en-US"/>
        </w:rPr>
        <w:t>Journal of the Israel Prehistoric Society</w:t>
      </w:r>
      <w:r w:rsidRPr="00DF4CD0">
        <w:rPr>
          <w:rFonts w:eastAsia="Calibri"/>
          <w:sz w:val="24"/>
          <w:szCs w:val="24"/>
          <w:lang w:eastAsia="en-US"/>
        </w:rPr>
        <w:t>, No. 35, pp.271-284. Available at:</w:t>
      </w:r>
      <w:r w:rsidRPr="00DF4CD0">
        <w:rPr>
          <w:rFonts w:ascii="Calibri" w:eastAsia="Calibri" w:hAnsi="Calibri"/>
          <w:sz w:val="22"/>
          <w:szCs w:val="22"/>
          <w:lang w:eastAsia="en-US"/>
        </w:rPr>
        <w:t xml:space="preserve"> </w:t>
      </w:r>
      <w:hyperlink r:id="rId23" w:history="1">
        <w:r w:rsidRPr="00DF4CD0">
          <w:rPr>
            <w:rFonts w:eastAsia="Calibri"/>
            <w:color w:val="0563C1"/>
            <w:sz w:val="24"/>
            <w:szCs w:val="24"/>
            <w:u w:val="single"/>
            <w:lang w:eastAsia="en-US"/>
          </w:rPr>
          <w:t xml:space="preserve">Burials of </w:t>
        </w:r>
        <w:proofErr w:type="spellStart"/>
        <w:r w:rsidRPr="00DF4CD0">
          <w:rPr>
            <w:rFonts w:eastAsia="Calibri"/>
            <w:color w:val="0563C1"/>
            <w:sz w:val="24"/>
            <w:szCs w:val="24"/>
            <w:u w:val="single"/>
            <w:lang w:eastAsia="en-US"/>
          </w:rPr>
          <w:t>Raqfet</w:t>
        </w:r>
        <w:proofErr w:type="spellEnd"/>
        <w:r w:rsidRPr="00DF4CD0">
          <w:rPr>
            <w:rFonts w:eastAsia="Calibri"/>
            <w:color w:val="0563C1"/>
            <w:sz w:val="24"/>
            <w:szCs w:val="24"/>
            <w:u w:val="single"/>
            <w:lang w:eastAsia="en-US"/>
          </w:rPr>
          <w:t xml:space="preserve"> Cave in the context of the Late Natufian - CORE</w:t>
        </w:r>
      </w:hyperlink>
      <w:r w:rsidRPr="00DF4CD0">
        <w:rPr>
          <w:rFonts w:eastAsia="Calibri"/>
          <w:sz w:val="24"/>
          <w:szCs w:val="24"/>
          <w:lang w:eastAsia="en-US"/>
        </w:rPr>
        <w:t xml:space="preserve"> (Accessed: 24 February 2024). </w:t>
      </w:r>
    </w:p>
    <w:p w14:paraId="4252C3D0" w14:textId="77777777" w:rsidR="00DF4CD0" w:rsidRPr="00DF4CD0" w:rsidRDefault="00DF4CD0" w:rsidP="00DF4CD0">
      <w:pPr>
        <w:spacing w:after="160" w:line="256" w:lineRule="auto"/>
        <w:rPr>
          <w:rFonts w:eastAsia="Calibri"/>
          <w:sz w:val="24"/>
          <w:szCs w:val="24"/>
          <w:lang w:eastAsia="en-US"/>
        </w:rPr>
      </w:pPr>
      <w:r w:rsidRPr="00DF4CD0">
        <w:rPr>
          <w:rFonts w:eastAsia="Calibri"/>
          <w:sz w:val="24"/>
          <w:szCs w:val="24"/>
          <w:lang w:eastAsia="en-US"/>
        </w:rPr>
        <w:lastRenderedPageBreak/>
        <w:t>Maher, L. A. et al. (2021</w:t>
      </w:r>
      <w:r w:rsidRPr="00DF4CD0">
        <w:rPr>
          <w:rFonts w:eastAsia="Calibri"/>
          <w:i/>
          <w:iCs/>
          <w:sz w:val="24"/>
          <w:szCs w:val="24"/>
          <w:lang w:eastAsia="en-US"/>
        </w:rPr>
        <w:t>) Life, Death, and the Destruction of Architecture: Hunter-Gatherer Mortuary Behaviours in Prehistoric Jordan</w:t>
      </w:r>
      <w:r w:rsidRPr="00DF4CD0">
        <w:rPr>
          <w:rFonts w:eastAsia="Calibri"/>
          <w:sz w:val="24"/>
          <w:szCs w:val="24"/>
          <w:lang w:eastAsia="en-US"/>
        </w:rPr>
        <w:t xml:space="preserve">. University of Cambridge. Available at: httpd://www.repository.cam.ac.uk (Accessed; 24 February 2024) </w:t>
      </w:r>
    </w:p>
    <w:p w14:paraId="7C2ED50E" w14:textId="77777777" w:rsidR="00DF4CD0" w:rsidRPr="00DF4CD0" w:rsidRDefault="00DF4CD0" w:rsidP="00DF4CD0">
      <w:pPr>
        <w:spacing w:after="160" w:line="256" w:lineRule="auto"/>
        <w:rPr>
          <w:rFonts w:eastAsia="Calibri"/>
          <w:sz w:val="24"/>
          <w:szCs w:val="24"/>
          <w:lang w:eastAsia="en-US"/>
        </w:rPr>
      </w:pPr>
      <w:r w:rsidRPr="00DF4CD0">
        <w:rPr>
          <w:rFonts w:eastAsia="Calibri"/>
          <w:sz w:val="24"/>
          <w:szCs w:val="24"/>
          <w:lang w:eastAsia="en-US"/>
        </w:rPr>
        <w:t xml:space="preserve">Munro, N. D. and Grosman, L. (2010) ‘Early evidence (ca.12,000 B.P.) for feasting at a burial cave in Israel.’ </w:t>
      </w:r>
      <w:r w:rsidRPr="00DF4CD0">
        <w:rPr>
          <w:rFonts w:eastAsia="Calibri"/>
          <w:i/>
          <w:iCs/>
          <w:sz w:val="24"/>
          <w:szCs w:val="24"/>
          <w:lang w:eastAsia="en-US"/>
        </w:rPr>
        <w:t>Anthropology</w:t>
      </w:r>
      <w:r w:rsidRPr="00DF4CD0">
        <w:rPr>
          <w:rFonts w:eastAsia="Calibri"/>
          <w:sz w:val="24"/>
          <w:szCs w:val="24"/>
          <w:lang w:eastAsia="en-US"/>
        </w:rPr>
        <w:t xml:space="preserve">, Vol.107, No. 35, pp.15362-15366. Available at: </w:t>
      </w:r>
      <w:hyperlink r:id="rId24" w:history="1">
        <w:r w:rsidRPr="00DF4CD0">
          <w:rPr>
            <w:rFonts w:eastAsia="Calibri"/>
            <w:color w:val="0563C1"/>
            <w:sz w:val="24"/>
            <w:szCs w:val="24"/>
            <w:u w:val="single"/>
            <w:lang w:eastAsia="en-US"/>
          </w:rPr>
          <w:t>www.pnas.org/cgi/doi/10.1073/pnas.1001809107</w:t>
        </w:r>
      </w:hyperlink>
      <w:r w:rsidRPr="00DF4CD0">
        <w:rPr>
          <w:rFonts w:eastAsia="Calibri"/>
          <w:sz w:val="24"/>
          <w:szCs w:val="24"/>
          <w:lang w:eastAsia="en-US"/>
        </w:rPr>
        <w:t xml:space="preserve"> (Accessed: 24 February 2024).</w:t>
      </w:r>
    </w:p>
    <w:p w14:paraId="2BB079C4" w14:textId="77777777" w:rsidR="00DF4CD0" w:rsidRPr="00DF4CD0" w:rsidRDefault="00DF4CD0" w:rsidP="00DF4CD0">
      <w:pPr>
        <w:spacing w:after="160" w:line="256" w:lineRule="auto"/>
        <w:rPr>
          <w:rFonts w:eastAsia="Calibri"/>
          <w:sz w:val="24"/>
          <w:szCs w:val="24"/>
          <w:lang w:eastAsia="en-US"/>
        </w:rPr>
      </w:pPr>
      <w:r w:rsidRPr="00DF4CD0">
        <w:rPr>
          <w:rFonts w:eastAsia="Calibri"/>
          <w:sz w:val="24"/>
          <w:szCs w:val="24"/>
          <w:lang w:eastAsia="en-US"/>
        </w:rPr>
        <w:t xml:space="preserve">Nadel, D. (1994) ‘Levantine Upper Palaeolithic – Early </w:t>
      </w:r>
      <w:proofErr w:type="spellStart"/>
      <w:r w:rsidRPr="00DF4CD0">
        <w:rPr>
          <w:rFonts w:eastAsia="Calibri"/>
          <w:sz w:val="24"/>
          <w:szCs w:val="24"/>
          <w:lang w:eastAsia="en-US"/>
        </w:rPr>
        <w:t>Epipalaeolithic</w:t>
      </w:r>
      <w:proofErr w:type="spellEnd"/>
      <w:r w:rsidRPr="00DF4CD0">
        <w:rPr>
          <w:rFonts w:eastAsia="Calibri"/>
          <w:sz w:val="24"/>
          <w:szCs w:val="24"/>
          <w:lang w:eastAsia="en-US"/>
        </w:rPr>
        <w:t xml:space="preserve"> Burial Customs: </w:t>
      </w:r>
      <w:proofErr w:type="spellStart"/>
      <w:r w:rsidRPr="00DF4CD0">
        <w:rPr>
          <w:rFonts w:eastAsia="Calibri"/>
          <w:sz w:val="24"/>
          <w:szCs w:val="24"/>
          <w:lang w:eastAsia="en-US"/>
        </w:rPr>
        <w:t>Ohalo</w:t>
      </w:r>
      <w:proofErr w:type="spellEnd"/>
      <w:r w:rsidRPr="00DF4CD0">
        <w:rPr>
          <w:rFonts w:eastAsia="Calibri"/>
          <w:sz w:val="24"/>
          <w:szCs w:val="24"/>
          <w:lang w:eastAsia="en-US"/>
        </w:rPr>
        <w:t xml:space="preserve"> II As a Case Study.’ </w:t>
      </w:r>
      <w:proofErr w:type="spellStart"/>
      <w:r w:rsidRPr="00DF4CD0">
        <w:rPr>
          <w:rFonts w:eastAsia="Calibri"/>
          <w:i/>
          <w:iCs/>
          <w:sz w:val="24"/>
          <w:szCs w:val="24"/>
          <w:lang w:eastAsia="en-US"/>
        </w:rPr>
        <w:t>Paleorient</w:t>
      </w:r>
      <w:proofErr w:type="spellEnd"/>
      <w:r w:rsidRPr="00DF4CD0">
        <w:rPr>
          <w:rFonts w:eastAsia="Calibri"/>
          <w:sz w:val="24"/>
          <w:szCs w:val="24"/>
          <w:lang w:eastAsia="en-US"/>
        </w:rPr>
        <w:t xml:space="preserve">, Vol. 20, No.1, pp.113-121. Available at: </w:t>
      </w:r>
      <w:hyperlink r:id="rId25" w:history="1">
        <w:r w:rsidRPr="00DF4CD0">
          <w:rPr>
            <w:rFonts w:eastAsia="Calibri"/>
            <w:color w:val="0563C1"/>
            <w:sz w:val="24"/>
            <w:szCs w:val="24"/>
            <w:u w:val="single"/>
            <w:lang w:eastAsia="en-US"/>
          </w:rPr>
          <w:t>http://www.jstor.org/stable/41492570</w:t>
        </w:r>
      </w:hyperlink>
      <w:r w:rsidRPr="00DF4CD0">
        <w:rPr>
          <w:rFonts w:eastAsia="Calibri"/>
          <w:sz w:val="24"/>
          <w:szCs w:val="24"/>
          <w:lang w:eastAsia="en-US"/>
        </w:rPr>
        <w:t xml:space="preserve"> (Accessed: 1 March 2024).</w:t>
      </w:r>
    </w:p>
    <w:p w14:paraId="2C3C1B76" w14:textId="77777777" w:rsidR="00DF4CD0" w:rsidRPr="00DF4CD0" w:rsidRDefault="00DF4CD0" w:rsidP="00DF4CD0">
      <w:pPr>
        <w:spacing w:after="160" w:line="256" w:lineRule="auto"/>
        <w:rPr>
          <w:rFonts w:eastAsia="Calibri"/>
          <w:sz w:val="24"/>
          <w:szCs w:val="24"/>
          <w:lang w:eastAsia="en-US"/>
        </w:rPr>
      </w:pPr>
      <w:r w:rsidRPr="00DF4CD0">
        <w:rPr>
          <w:rFonts w:eastAsia="Calibri"/>
          <w:sz w:val="24"/>
          <w:szCs w:val="24"/>
          <w:lang w:eastAsia="en-US"/>
        </w:rPr>
        <w:t xml:space="preserve">Nadel, D. et al. (2008) ‘The Late Natufian at Raqefet Cave: The 2006 Excavation Season.’ </w:t>
      </w:r>
      <w:r w:rsidRPr="00DF4CD0">
        <w:rPr>
          <w:rFonts w:eastAsia="Calibri"/>
          <w:i/>
          <w:iCs/>
          <w:sz w:val="24"/>
          <w:szCs w:val="24"/>
          <w:lang w:eastAsia="en-US"/>
        </w:rPr>
        <w:t>Journal of the Israel Prehistoric Society</w:t>
      </w:r>
      <w:r w:rsidRPr="00DF4CD0">
        <w:rPr>
          <w:rFonts w:eastAsia="Calibri"/>
          <w:sz w:val="24"/>
          <w:szCs w:val="24"/>
          <w:lang w:eastAsia="en-US"/>
        </w:rPr>
        <w:t>, No. 38, pp.59-131.</w:t>
      </w:r>
    </w:p>
    <w:p w14:paraId="18F64DBE" w14:textId="77777777" w:rsidR="00DF4CD0" w:rsidRPr="00DF4CD0" w:rsidRDefault="00DF4CD0" w:rsidP="00DF4CD0">
      <w:pPr>
        <w:spacing w:after="160" w:line="256" w:lineRule="auto"/>
        <w:rPr>
          <w:rFonts w:eastAsia="Calibri"/>
          <w:sz w:val="24"/>
          <w:szCs w:val="24"/>
          <w:lang w:eastAsia="en-US"/>
        </w:rPr>
      </w:pPr>
      <w:r w:rsidRPr="00DF4CD0">
        <w:rPr>
          <w:rFonts w:eastAsia="Calibri"/>
          <w:sz w:val="24"/>
          <w:szCs w:val="24"/>
          <w:lang w:eastAsia="en-US"/>
        </w:rPr>
        <w:t>Otaegui, A. A. et al. (2016) ‘</w:t>
      </w:r>
      <w:proofErr w:type="spellStart"/>
      <w:r w:rsidRPr="00DF4CD0">
        <w:rPr>
          <w:rFonts w:eastAsia="Calibri"/>
          <w:sz w:val="24"/>
          <w:szCs w:val="24"/>
          <w:lang w:eastAsia="en-US"/>
        </w:rPr>
        <w:t>Shubayqa</w:t>
      </w:r>
      <w:proofErr w:type="spellEnd"/>
      <w:r w:rsidRPr="00DF4CD0">
        <w:rPr>
          <w:rFonts w:eastAsia="Calibri"/>
          <w:sz w:val="24"/>
          <w:szCs w:val="24"/>
          <w:lang w:eastAsia="en-US"/>
        </w:rPr>
        <w:t xml:space="preserve"> 6: A new Late Natufian and Pre-Pottery Neolithic A settlement in north-eats Jordan.’ </w:t>
      </w:r>
      <w:r w:rsidRPr="00DF4CD0">
        <w:rPr>
          <w:rFonts w:eastAsia="Calibri"/>
          <w:i/>
          <w:iCs/>
          <w:sz w:val="24"/>
          <w:szCs w:val="24"/>
          <w:lang w:eastAsia="en-US"/>
        </w:rPr>
        <w:t>Antiquity</w:t>
      </w:r>
      <w:r w:rsidRPr="00DF4CD0">
        <w:rPr>
          <w:rFonts w:eastAsia="Calibri"/>
          <w:sz w:val="24"/>
          <w:szCs w:val="24"/>
          <w:lang w:eastAsia="en-US"/>
        </w:rPr>
        <w:t>, Vol. 90 354, pp. 1-5. Available at: doi:10.15184/aqy.2016.182 (Accessed: 24 February 2024).</w:t>
      </w:r>
    </w:p>
    <w:p w14:paraId="3C113DA0" w14:textId="77777777" w:rsidR="00DF4CD0" w:rsidRPr="00DF4CD0" w:rsidRDefault="00DF4CD0" w:rsidP="00DF4CD0">
      <w:pPr>
        <w:spacing w:after="160" w:line="256" w:lineRule="auto"/>
        <w:rPr>
          <w:rFonts w:eastAsia="Calibri"/>
          <w:sz w:val="24"/>
          <w:szCs w:val="24"/>
          <w:lang w:eastAsia="en-US"/>
        </w:rPr>
      </w:pPr>
      <w:r w:rsidRPr="00DF4CD0">
        <w:rPr>
          <w:rFonts w:eastAsia="Calibri"/>
          <w:sz w:val="24"/>
          <w:szCs w:val="24"/>
          <w:lang w:eastAsia="en-US"/>
        </w:rPr>
        <w:t xml:space="preserve">Pearson, M. P. (2010) </w:t>
      </w:r>
      <w:r w:rsidRPr="00DF4CD0">
        <w:rPr>
          <w:rFonts w:eastAsia="Calibri"/>
          <w:i/>
          <w:iCs/>
          <w:sz w:val="24"/>
          <w:szCs w:val="24"/>
          <w:lang w:eastAsia="en-US"/>
        </w:rPr>
        <w:t>The Archaeology of Death and Burial</w:t>
      </w:r>
      <w:r w:rsidRPr="00DF4CD0">
        <w:rPr>
          <w:rFonts w:eastAsia="Calibri"/>
          <w:sz w:val="24"/>
          <w:szCs w:val="24"/>
          <w:lang w:eastAsia="en-US"/>
        </w:rPr>
        <w:t>. The History Press.</w:t>
      </w:r>
    </w:p>
    <w:p w14:paraId="7C760787" w14:textId="77777777" w:rsidR="00DF4CD0" w:rsidRPr="00DF4CD0" w:rsidRDefault="00DF4CD0" w:rsidP="00DF4CD0">
      <w:pPr>
        <w:spacing w:after="160" w:line="256" w:lineRule="auto"/>
        <w:rPr>
          <w:rFonts w:ascii="Calibri" w:eastAsia="Calibri" w:hAnsi="Calibri"/>
          <w:sz w:val="22"/>
          <w:szCs w:val="22"/>
          <w:lang w:eastAsia="en-US"/>
        </w:rPr>
      </w:pPr>
      <w:r w:rsidRPr="00DF4CD0">
        <w:rPr>
          <w:rFonts w:eastAsia="Calibri"/>
          <w:sz w:val="24"/>
          <w:szCs w:val="24"/>
          <w:lang w:eastAsia="en-US"/>
        </w:rPr>
        <w:t xml:space="preserve">Pedersen, P. N. &amp; Richter, T. (2016) Preliminary analysis of the Late Natufian ground stone from </w:t>
      </w:r>
      <w:proofErr w:type="spellStart"/>
      <w:r w:rsidRPr="00DF4CD0">
        <w:rPr>
          <w:rFonts w:eastAsia="Calibri"/>
          <w:sz w:val="24"/>
          <w:szCs w:val="24"/>
          <w:lang w:eastAsia="en-US"/>
        </w:rPr>
        <w:t>Shubayqa</w:t>
      </w:r>
      <w:proofErr w:type="spellEnd"/>
      <w:r w:rsidRPr="00DF4CD0">
        <w:rPr>
          <w:rFonts w:eastAsia="Calibri"/>
          <w:sz w:val="24"/>
          <w:szCs w:val="24"/>
          <w:lang w:eastAsia="en-US"/>
        </w:rPr>
        <w:t xml:space="preserve"> 1, Jordan.’ </w:t>
      </w:r>
      <w:r w:rsidRPr="00DF4CD0">
        <w:rPr>
          <w:rFonts w:eastAsia="Calibri"/>
          <w:i/>
          <w:iCs/>
          <w:sz w:val="24"/>
          <w:szCs w:val="24"/>
          <w:lang w:eastAsia="en-US"/>
        </w:rPr>
        <w:t>Journal of Lithic Studies</w:t>
      </w:r>
      <w:r w:rsidRPr="00DF4CD0">
        <w:rPr>
          <w:rFonts w:eastAsia="Calibri"/>
          <w:sz w:val="24"/>
          <w:szCs w:val="24"/>
          <w:lang w:eastAsia="en-US"/>
        </w:rPr>
        <w:t>, Vol. 3, pp. 379-402. Available at: doi:10.2218/jls.v3i3.1647 (Accessed: 11 March 2024).</w:t>
      </w:r>
    </w:p>
    <w:p w14:paraId="570BAF2B" w14:textId="77777777" w:rsidR="00DF4CD0" w:rsidRPr="00DF4CD0" w:rsidRDefault="00DF4CD0" w:rsidP="00DF4CD0">
      <w:pPr>
        <w:keepNext/>
        <w:keepLines/>
        <w:shd w:val="clear" w:color="auto" w:fill="FFFFFF"/>
        <w:spacing w:line="256" w:lineRule="auto"/>
        <w:outlineLvl w:val="0"/>
        <w:rPr>
          <w:sz w:val="24"/>
          <w:szCs w:val="24"/>
          <w:lang w:eastAsia="en-US"/>
        </w:rPr>
      </w:pPr>
      <w:r w:rsidRPr="00DF4CD0">
        <w:rPr>
          <w:sz w:val="24"/>
          <w:szCs w:val="24"/>
          <w:lang w:eastAsia="en-US"/>
        </w:rPr>
        <w:t>Pettitt, P. (2002) ‘</w:t>
      </w:r>
      <w:r w:rsidRPr="00DF4CD0">
        <w:rPr>
          <w:color w:val="111111"/>
          <w:kern w:val="36"/>
          <w:sz w:val="24"/>
          <w:szCs w:val="24"/>
        </w:rPr>
        <w:t xml:space="preserve">The Neanderthal dead: exploring mortuary variability in Middle Palaeolithic Eurasia.’ </w:t>
      </w:r>
      <w:r w:rsidRPr="00DF4CD0">
        <w:rPr>
          <w:i/>
          <w:iCs/>
          <w:color w:val="111111"/>
          <w:kern w:val="36"/>
          <w:sz w:val="24"/>
          <w:szCs w:val="24"/>
        </w:rPr>
        <w:t>Before farming</w:t>
      </w:r>
      <w:r w:rsidRPr="00DF4CD0">
        <w:rPr>
          <w:color w:val="111111"/>
          <w:kern w:val="36"/>
          <w:sz w:val="24"/>
          <w:szCs w:val="24"/>
        </w:rPr>
        <w:t xml:space="preserve"> (4) pp. 1-19. </w:t>
      </w:r>
      <w:r w:rsidRPr="00DF4CD0">
        <w:rPr>
          <w:sz w:val="24"/>
          <w:szCs w:val="24"/>
          <w:lang w:eastAsia="en-US"/>
        </w:rPr>
        <w:t xml:space="preserve">Available at: </w:t>
      </w:r>
      <w:hyperlink r:id="rId26" w:history="1">
        <w:r w:rsidRPr="00DF4CD0">
          <w:rPr>
            <w:color w:val="0563C1"/>
            <w:sz w:val="24"/>
            <w:szCs w:val="24"/>
            <w:u w:val="single"/>
            <w:lang w:eastAsia="en-US"/>
          </w:rPr>
          <w:t>https://www.researchgate.net/publication/265379507_The_Neanderthal_dead_exploring_mortuary_variability_in_Middle_Palaeolithic_Eurasia</w:t>
        </w:r>
      </w:hyperlink>
      <w:r w:rsidRPr="00DF4CD0">
        <w:rPr>
          <w:color w:val="2F5496"/>
          <w:sz w:val="24"/>
          <w:szCs w:val="24"/>
          <w:lang w:eastAsia="en-US"/>
        </w:rPr>
        <w:t xml:space="preserve">  </w:t>
      </w:r>
      <w:r w:rsidRPr="00DF4CD0">
        <w:rPr>
          <w:sz w:val="24"/>
          <w:szCs w:val="24"/>
          <w:lang w:eastAsia="en-US"/>
        </w:rPr>
        <w:t>(Accessed: 13 February 2024).</w:t>
      </w:r>
    </w:p>
    <w:p w14:paraId="764BD876" w14:textId="77777777" w:rsidR="00DF4CD0" w:rsidRPr="00DF4CD0" w:rsidRDefault="00DF4CD0" w:rsidP="00DF4CD0">
      <w:pPr>
        <w:spacing w:after="160" w:line="256" w:lineRule="auto"/>
        <w:rPr>
          <w:rFonts w:ascii="Calibri" w:eastAsia="Calibri" w:hAnsi="Calibri"/>
          <w:sz w:val="22"/>
          <w:szCs w:val="22"/>
          <w:lang w:eastAsia="en-US"/>
        </w:rPr>
      </w:pPr>
    </w:p>
    <w:p w14:paraId="56BC30E2" w14:textId="77777777" w:rsidR="00DF4CD0" w:rsidRPr="00DF4CD0" w:rsidRDefault="00DF4CD0" w:rsidP="00DF4CD0">
      <w:pPr>
        <w:spacing w:after="160" w:line="256" w:lineRule="auto"/>
        <w:rPr>
          <w:rFonts w:eastAsia="Calibri"/>
          <w:sz w:val="24"/>
          <w:szCs w:val="24"/>
          <w:lang w:eastAsia="en-US"/>
        </w:rPr>
      </w:pPr>
      <w:r w:rsidRPr="00DF4CD0">
        <w:rPr>
          <w:rFonts w:eastAsia="Calibri"/>
          <w:sz w:val="24"/>
          <w:szCs w:val="24"/>
          <w:lang w:eastAsia="en-US"/>
        </w:rPr>
        <w:t xml:space="preserve">Pettitt, P. (2011) </w:t>
      </w:r>
      <w:r w:rsidRPr="00DF4CD0">
        <w:rPr>
          <w:rFonts w:eastAsia="Calibri"/>
          <w:i/>
          <w:iCs/>
          <w:sz w:val="24"/>
          <w:szCs w:val="24"/>
          <w:lang w:eastAsia="en-US"/>
        </w:rPr>
        <w:t>The Palaeolithic Origins of Human Burial</w:t>
      </w:r>
      <w:r w:rsidRPr="00DF4CD0">
        <w:rPr>
          <w:rFonts w:eastAsia="Calibri"/>
          <w:sz w:val="24"/>
          <w:szCs w:val="24"/>
          <w:lang w:eastAsia="en-US"/>
        </w:rPr>
        <w:t>. Oxford: Routledge.</w:t>
      </w:r>
    </w:p>
    <w:p w14:paraId="0CAC3E6C" w14:textId="77777777" w:rsidR="00DF4CD0" w:rsidRPr="00DF4CD0" w:rsidRDefault="00DF4CD0" w:rsidP="00DF4CD0">
      <w:pPr>
        <w:spacing w:after="160" w:line="256" w:lineRule="auto"/>
        <w:rPr>
          <w:rFonts w:eastAsia="Calibri"/>
          <w:sz w:val="24"/>
          <w:szCs w:val="24"/>
          <w:lang w:eastAsia="en-US"/>
        </w:rPr>
      </w:pPr>
      <w:r w:rsidRPr="00DF4CD0">
        <w:rPr>
          <w:rFonts w:eastAsia="Calibri"/>
          <w:sz w:val="24"/>
          <w:szCs w:val="24"/>
          <w:lang w:eastAsia="en-US"/>
        </w:rPr>
        <w:t xml:space="preserve">Pettitt, P. (2022) </w:t>
      </w:r>
      <w:r w:rsidRPr="00DF4CD0">
        <w:rPr>
          <w:rFonts w:eastAsia="Calibri"/>
          <w:i/>
          <w:iCs/>
          <w:sz w:val="24"/>
          <w:szCs w:val="24"/>
          <w:lang w:eastAsia="en-US"/>
        </w:rPr>
        <w:t>Homo Sapiens Rediscovered: The Scientific  Revolution Rewriting Our Origins</w:t>
      </w:r>
      <w:r w:rsidRPr="00DF4CD0">
        <w:rPr>
          <w:rFonts w:eastAsia="Calibri"/>
          <w:sz w:val="24"/>
          <w:szCs w:val="24"/>
          <w:lang w:eastAsia="en-US"/>
        </w:rPr>
        <w:t>. London: Thames &amp; Hudson Ltd.</w:t>
      </w:r>
    </w:p>
    <w:p w14:paraId="46E3736D" w14:textId="77777777" w:rsidR="00DF4CD0" w:rsidRPr="00DF4CD0" w:rsidRDefault="00DF4CD0" w:rsidP="00DF4CD0">
      <w:pPr>
        <w:spacing w:after="160" w:line="256" w:lineRule="auto"/>
        <w:rPr>
          <w:rFonts w:eastAsia="Calibri"/>
          <w:sz w:val="24"/>
          <w:szCs w:val="24"/>
          <w:lang w:eastAsia="en-US"/>
        </w:rPr>
      </w:pPr>
      <w:r w:rsidRPr="00DF4CD0">
        <w:rPr>
          <w:rFonts w:eastAsia="Calibri"/>
          <w:sz w:val="24"/>
          <w:szCs w:val="24"/>
          <w:lang w:eastAsia="en-US"/>
        </w:rPr>
        <w:t xml:space="preserve">Richter, T. et al. (2009) ‘An Early </w:t>
      </w:r>
      <w:proofErr w:type="spellStart"/>
      <w:r w:rsidRPr="00DF4CD0">
        <w:rPr>
          <w:rFonts w:eastAsia="Calibri"/>
          <w:sz w:val="24"/>
          <w:szCs w:val="24"/>
          <w:lang w:eastAsia="en-US"/>
        </w:rPr>
        <w:t>Epipalaeolithic</w:t>
      </w:r>
      <w:proofErr w:type="spellEnd"/>
      <w:r w:rsidRPr="00DF4CD0">
        <w:rPr>
          <w:rFonts w:eastAsia="Calibri"/>
          <w:sz w:val="24"/>
          <w:szCs w:val="24"/>
          <w:lang w:eastAsia="en-US"/>
        </w:rPr>
        <w:t xml:space="preserve"> sitting burial from the Azraq Oasis, Jordan.’ </w:t>
      </w:r>
      <w:r w:rsidRPr="00DF4CD0">
        <w:rPr>
          <w:rFonts w:eastAsia="Calibri"/>
          <w:i/>
          <w:iCs/>
          <w:sz w:val="24"/>
          <w:szCs w:val="24"/>
          <w:lang w:eastAsia="en-US"/>
        </w:rPr>
        <w:t>Antiquity</w:t>
      </w:r>
      <w:r w:rsidRPr="00DF4CD0">
        <w:rPr>
          <w:rFonts w:eastAsia="Calibri"/>
          <w:sz w:val="24"/>
          <w:szCs w:val="24"/>
          <w:lang w:eastAsia="en-US"/>
        </w:rPr>
        <w:t xml:space="preserve">, Vol.84 (2010), pp. 321-334. Available at: </w:t>
      </w:r>
      <w:hyperlink r:id="rId27" w:history="1">
        <w:r w:rsidRPr="00DF4CD0">
          <w:rPr>
            <w:rFonts w:eastAsia="Calibri"/>
            <w:color w:val="0563C1"/>
            <w:sz w:val="24"/>
            <w:szCs w:val="24"/>
            <w:u w:val="single"/>
            <w:lang w:eastAsia="en-US"/>
          </w:rPr>
          <w:t>http://antiquity.ac.uk/ant/84/ant840321.htm</w:t>
        </w:r>
      </w:hyperlink>
      <w:r w:rsidRPr="00DF4CD0">
        <w:rPr>
          <w:rFonts w:eastAsia="Calibri"/>
          <w:sz w:val="24"/>
          <w:szCs w:val="24"/>
          <w:lang w:eastAsia="en-US"/>
        </w:rPr>
        <w:t xml:space="preserve"> (Accessed: 1 March 2024).</w:t>
      </w:r>
    </w:p>
    <w:p w14:paraId="100F4427" w14:textId="7BDB3D46" w:rsidR="00DF4CD0" w:rsidRPr="00DF4CD0" w:rsidRDefault="00DF4CD0" w:rsidP="00DF4CD0">
      <w:pPr>
        <w:spacing w:after="160" w:line="256" w:lineRule="auto"/>
        <w:rPr>
          <w:rFonts w:eastAsia="Calibri"/>
          <w:sz w:val="24"/>
          <w:szCs w:val="24"/>
          <w:lang w:eastAsia="en-US"/>
        </w:rPr>
      </w:pPr>
      <w:r w:rsidRPr="00DF4CD0">
        <w:rPr>
          <w:rFonts w:eastAsia="Calibri"/>
          <w:sz w:val="24"/>
          <w:szCs w:val="24"/>
          <w:lang w:eastAsia="en-US"/>
        </w:rPr>
        <w:t xml:space="preserve">Richter, T. et al. (2017) ‘High Resolution AMS Dates from </w:t>
      </w:r>
      <w:proofErr w:type="spellStart"/>
      <w:r w:rsidRPr="00DF4CD0">
        <w:rPr>
          <w:rFonts w:eastAsia="Calibri"/>
          <w:sz w:val="24"/>
          <w:szCs w:val="24"/>
          <w:lang w:eastAsia="en-US"/>
        </w:rPr>
        <w:t>Shubayqa</w:t>
      </w:r>
      <w:proofErr w:type="spellEnd"/>
      <w:r w:rsidRPr="00DF4CD0">
        <w:rPr>
          <w:rFonts w:eastAsia="Calibri"/>
          <w:sz w:val="24"/>
          <w:szCs w:val="24"/>
          <w:lang w:eastAsia="en-US"/>
        </w:rPr>
        <w:t xml:space="preserve"> 1, northeast Jordan Reveal Complex Origins of Late </w:t>
      </w:r>
      <w:proofErr w:type="spellStart"/>
      <w:r w:rsidRPr="00DF4CD0">
        <w:rPr>
          <w:rFonts w:eastAsia="Calibri"/>
          <w:sz w:val="24"/>
          <w:szCs w:val="24"/>
          <w:lang w:eastAsia="en-US"/>
        </w:rPr>
        <w:t>Epipalaeolithic</w:t>
      </w:r>
      <w:proofErr w:type="spellEnd"/>
      <w:r w:rsidRPr="00DF4CD0">
        <w:rPr>
          <w:rFonts w:eastAsia="Calibri"/>
          <w:sz w:val="24"/>
          <w:szCs w:val="24"/>
          <w:lang w:eastAsia="en-US"/>
        </w:rPr>
        <w:t xml:space="preserve"> Natufian in the Levant.’ </w:t>
      </w:r>
      <w:r w:rsidRPr="00DF4CD0">
        <w:rPr>
          <w:rFonts w:eastAsia="Calibri"/>
          <w:i/>
          <w:iCs/>
          <w:sz w:val="24"/>
          <w:szCs w:val="24"/>
          <w:lang w:eastAsia="en-US"/>
        </w:rPr>
        <w:t>Science Reports</w:t>
      </w:r>
      <w:r w:rsidRPr="00DF4CD0">
        <w:rPr>
          <w:rFonts w:eastAsia="Calibri"/>
          <w:sz w:val="24"/>
          <w:szCs w:val="24"/>
          <w:lang w:eastAsia="en-US"/>
        </w:rPr>
        <w:t xml:space="preserve"> 7:17025. Available at: </w:t>
      </w:r>
      <w:hyperlink r:id="rId28" w:history="1">
        <w:r w:rsidRPr="00DF4CD0">
          <w:rPr>
            <w:rFonts w:eastAsia="Calibri"/>
            <w:color w:val="0563C1"/>
            <w:sz w:val="24"/>
            <w:szCs w:val="24"/>
            <w:u w:val="single"/>
            <w:lang w:eastAsia="en-US"/>
          </w:rPr>
          <w:t>https://doi.org/10.1038/s41598-017-17096-5</w:t>
        </w:r>
      </w:hyperlink>
      <w:r w:rsidRPr="00DF4CD0">
        <w:rPr>
          <w:rFonts w:eastAsia="Calibri"/>
          <w:sz w:val="24"/>
          <w:szCs w:val="24"/>
          <w:lang w:eastAsia="en-US"/>
        </w:rPr>
        <w:t xml:space="preserve"> (Accessed: 1 March 2024).</w:t>
      </w:r>
    </w:p>
    <w:p w14:paraId="34B6530D" w14:textId="77777777" w:rsidR="00DF4CD0" w:rsidRPr="00DF4CD0" w:rsidRDefault="00DF4CD0" w:rsidP="00DF4CD0">
      <w:pPr>
        <w:spacing w:after="160" w:line="256" w:lineRule="auto"/>
        <w:rPr>
          <w:rFonts w:eastAsia="Calibri"/>
          <w:sz w:val="24"/>
          <w:szCs w:val="24"/>
          <w:lang w:eastAsia="en-US"/>
        </w:rPr>
      </w:pPr>
      <w:r w:rsidRPr="00DF4CD0">
        <w:rPr>
          <w:rFonts w:eastAsia="Calibri"/>
          <w:sz w:val="24"/>
          <w:szCs w:val="24"/>
          <w:lang w:eastAsia="en-US"/>
        </w:rPr>
        <w:t xml:space="preserve">Richter, T. et al. (2019) ‘Ochre, Ground Stone, and Wrapping the Dead in the Late </w:t>
      </w:r>
      <w:proofErr w:type="spellStart"/>
      <w:r w:rsidRPr="00DF4CD0">
        <w:rPr>
          <w:rFonts w:eastAsia="Calibri"/>
          <w:sz w:val="24"/>
          <w:szCs w:val="24"/>
          <w:lang w:eastAsia="en-US"/>
        </w:rPr>
        <w:t>Epipalaeolithic</w:t>
      </w:r>
      <w:proofErr w:type="spellEnd"/>
      <w:r w:rsidRPr="00DF4CD0">
        <w:rPr>
          <w:rFonts w:eastAsia="Calibri"/>
          <w:sz w:val="24"/>
          <w:szCs w:val="24"/>
          <w:lang w:eastAsia="en-US"/>
        </w:rPr>
        <w:t xml:space="preserve"> (Natufian) Levant: Revealing the Funerary Practices at </w:t>
      </w:r>
      <w:proofErr w:type="spellStart"/>
      <w:r w:rsidRPr="00DF4CD0">
        <w:rPr>
          <w:rFonts w:eastAsia="Calibri"/>
          <w:sz w:val="24"/>
          <w:szCs w:val="24"/>
          <w:lang w:eastAsia="en-US"/>
        </w:rPr>
        <w:t>Shubayqa</w:t>
      </w:r>
      <w:proofErr w:type="spellEnd"/>
      <w:r w:rsidRPr="00DF4CD0">
        <w:rPr>
          <w:rFonts w:eastAsia="Calibri"/>
          <w:sz w:val="24"/>
          <w:szCs w:val="24"/>
          <w:lang w:eastAsia="en-US"/>
        </w:rPr>
        <w:t xml:space="preserve"> 1, Jordan.’ </w:t>
      </w:r>
      <w:r w:rsidRPr="00DF4CD0">
        <w:rPr>
          <w:rFonts w:eastAsia="Calibri"/>
          <w:i/>
          <w:iCs/>
          <w:sz w:val="24"/>
          <w:szCs w:val="24"/>
          <w:lang w:eastAsia="en-US"/>
        </w:rPr>
        <w:t>Journal of Field Archaeology</w:t>
      </w:r>
      <w:r w:rsidRPr="00DF4CD0">
        <w:rPr>
          <w:rFonts w:eastAsia="Calibri"/>
          <w:sz w:val="24"/>
          <w:szCs w:val="24"/>
          <w:lang w:eastAsia="en-US"/>
        </w:rPr>
        <w:t>, 44:7, 440-457, Available at: DOI: 10.1080/00934690.2019.1645546 (Accessed: 26 February 2024).</w:t>
      </w:r>
    </w:p>
    <w:p w14:paraId="519CED1E" w14:textId="77777777" w:rsidR="00DF4CD0" w:rsidRPr="00DF4CD0" w:rsidRDefault="00DF4CD0" w:rsidP="00DF4CD0">
      <w:pPr>
        <w:spacing w:after="160" w:line="256" w:lineRule="auto"/>
        <w:rPr>
          <w:rFonts w:eastAsia="Calibri"/>
          <w:sz w:val="24"/>
          <w:szCs w:val="24"/>
          <w:lang w:eastAsia="en-US"/>
        </w:rPr>
      </w:pPr>
      <w:proofErr w:type="spellStart"/>
      <w:r w:rsidRPr="00DF4CD0">
        <w:rPr>
          <w:rFonts w:eastAsia="Calibri"/>
          <w:sz w:val="24"/>
          <w:szCs w:val="24"/>
          <w:lang w:eastAsia="en-US"/>
        </w:rPr>
        <w:t>Scarre</w:t>
      </w:r>
      <w:proofErr w:type="spellEnd"/>
      <w:r w:rsidRPr="00DF4CD0">
        <w:rPr>
          <w:rFonts w:eastAsia="Calibri"/>
          <w:sz w:val="24"/>
          <w:szCs w:val="24"/>
          <w:lang w:eastAsia="en-US"/>
        </w:rPr>
        <w:t xml:space="preserve">, C. (Ed.) (2021) </w:t>
      </w:r>
      <w:r w:rsidRPr="00DF4CD0">
        <w:rPr>
          <w:rFonts w:eastAsia="Calibri"/>
          <w:i/>
          <w:iCs/>
          <w:sz w:val="24"/>
          <w:szCs w:val="24"/>
          <w:lang w:eastAsia="en-US"/>
        </w:rPr>
        <w:t>The Human Past: World Prehistory and the Development of Human Societies.</w:t>
      </w:r>
      <w:r w:rsidRPr="00DF4CD0">
        <w:rPr>
          <w:rFonts w:eastAsia="Calibri"/>
          <w:sz w:val="24"/>
          <w:szCs w:val="24"/>
          <w:lang w:eastAsia="en-US"/>
        </w:rPr>
        <w:t xml:space="preserve"> Fourth Edition. London: Thames &amp; Hudson.</w:t>
      </w:r>
    </w:p>
    <w:p w14:paraId="0C41781C" w14:textId="77777777" w:rsidR="00DF4CD0" w:rsidRPr="00DF4CD0" w:rsidRDefault="00DF4CD0" w:rsidP="00DF4CD0">
      <w:pPr>
        <w:spacing w:after="160" w:line="256" w:lineRule="auto"/>
        <w:rPr>
          <w:rFonts w:eastAsia="Calibri"/>
          <w:sz w:val="24"/>
          <w:szCs w:val="24"/>
          <w:lang w:eastAsia="en-US"/>
        </w:rPr>
      </w:pPr>
      <w:proofErr w:type="spellStart"/>
      <w:r w:rsidRPr="00DF4CD0">
        <w:rPr>
          <w:rFonts w:eastAsia="Calibri"/>
          <w:sz w:val="24"/>
          <w:szCs w:val="24"/>
          <w:lang w:eastAsia="en-US"/>
        </w:rPr>
        <w:lastRenderedPageBreak/>
        <w:t>Shimelmitz</w:t>
      </w:r>
      <w:proofErr w:type="spellEnd"/>
      <w:r w:rsidRPr="00DF4CD0">
        <w:rPr>
          <w:rFonts w:eastAsia="Calibri"/>
          <w:sz w:val="24"/>
          <w:szCs w:val="24"/>
          <w:lang w:eastAsia="en-US"/>
        </w:rPr>
        <w:t xml:space="preserve">, R. et al. (2017) ‘The Upper </w:t>
      </w:r>
      <w:proofErr w:type="spellStart"/>
      <w:r w:rsidRPr="00DF4CD0">
        <w:rPr>
          <w:rFonts w:eastAsia="Calibri"/>
          <w:sz w:val="24"/>
          <w:szCs w:val="24"/>
          <w:lang w:eastAsia="en-US"/>
        </w:rPr>
        <w:t>Paleolithic</w:t>
      </w:r>
      <w:proofErr w:type="spellEnd"/>
      <w:r w:rsidRPr="00DF4CD0">
        <w:rPr>
          <w:rFonts w:eastAsia="Calibri"/>
          <w:sz w:val="24"/>
          <w:szCs w:val="24"/>
          <w:lang w:eastAsia="en-US"/>
        </w:rPr>
        <w:t xml:space="preserve"> and Epipaleolithic of </w:t>
      </w:r>
      <w:proofErr w:type="spellStart"/>
      <w:r w:rsidRPr="00DF4CD0">
        <w:rPr>
          <w:rFonts w:eastAsia="Calibri"/>
          <w:sz w:val="24"/>
          <w:szCs w:val="24"/>
          <w:lang w:eastAsia="en-US"/>
        </w:rPr>
        <w:t>Sefunim</w:t>
      </w:r>
      <w:proofErr w:type="spellEnd"/>
      <w:r w:rsidRPr="00DF4CD0">
        <w:rPr>
          <w:rFonts w:eastAsia="Calibri"/>
          <w:sz w:val="24"/>
          <w:szCs w:val="24"/>
          <w:lang w:eastAsia="en-US"/>
        </w:rPr>
        <w:t xml:space="preserve"> Cave, Israel.’ </w:t>
      </w:r>
      <w:r w:rsidRPr="00DF4CD0">
        <w:rPr>
          <w:rFonts w:eastAsia="Calibri"/>
          <w:i/>
          <w:iCs/>
          <w:sz w:val="24"/>
          <w:szCs w:val="24"/>
          <w:lang w:eastAsia="en-US"/>
        </w:rPr>
        <w:t>Quaternary International</w:t>
      </w:r>
      <w:r w:rsidRPr="00DF4CD0">
        <w:rPr>
          <w:rFonts w:eastAsia="Calibri"/>
          <w:sz w:val="24"/>
          <w:szCs w:val="24"/>
          <w:lang w:eastAsia="en-US"/>
        </w:rPr>
        <w:t xml:space="preserve"> No. 464 (2018), pp.106-125. Available at: </w:t>
      </w:r>
      <w:hyperlink r:id="rId29" w:history="1">
        <w:r w:rsidRPr="00DF4CD0">
          <w:rPr>
            <w:rFonts w:eastAsia="Calibri"/>
            <w:color w:val="0563C1"/>
            <w:sz w:val="24"/>
            <w:szCs w:val="24"/>
            <w:u w:val="single"/>
            <w:lang w:eastAsia="en-US"/>
          </w:rPr>
          <w:t>http://dx.doi.org/10.1016/j.quaint.2017.05.039</w:t>
        </w:r>
      </w:hyperlink>
      <w:r w:rsidRPr="00DF4CD0">
        <w:rPr>
          <w:rFonts w:eastAsia="Calibri"/>
          <w:sz w:val="24"/>
          <w:szCs w:val="24"/>
          <w:lang w:eastAsia="en-US"/>
        </w:rPr>
        <w:t xml:space="preserve"> (Accessed: 24 February 2024).</w:t>
      </w:r>
    </w:p>
    <w:p w14:paraId="46A98657" w14:textId="77777777" w:rsidR="00DF4CD0" w:rsidRPr="00DF4CD0" w:rsidRDefault="00DF4CD0" w:rsidP="00DF4CD0">
      <w:pPr>
        <w:spacing w:after="160" w:line="256" w:lineRule="auto"/>
        <w:rPr>
          <w:rFonts w:eastAsia="Calibri"/>
          <w:sz w:val="24"/>
          <w:szCs w:val="24"/>
          <w:lang w:eastAsia="en-US"/>
        </w:rPr>
      </w:pPr>
      <w:r w:rsidRPr="00DF4CD0">
        <w:rPr>
          <w:rFonts w:eastAsia="Calibri"/>
          <w:sz w:val="24"/>
          <w:szCs w:val="24"/>
          <w:lang w:eastAsia="en-US"/>
        </w:rPr>
        <w:t xml:space="preserve">Trinkaus, E. &amp; Svoboda, J. (2006) </w:t>
      </w:r>
      <w:r w:rsidRPr="00DF4CD0">
        <w:rPr>
          <w:rFonts w:eastAsia="Calibri"/>
          <w:i/>
          <w:iCs/>
          <w:sz w:val="24"/>
          <w:szCs w:val="24"/>
          <w:lang w:eastAsia="en-US"/>
        </w:rPr>
        <w:t xml:space="preserve">Early Modern Human Evolution in central Europe: The People of </w:t>
      </w:r>
      <w:proofErr w:type="spellStart"/>
      <w:r w:rsidRPr="00DF4CD0">
        <w:rPr>
          <w:rFonts w:eastAsia="Calibri"/>
          <w:i/>
          <w:iCs/>
          <w:sz w:val="24"/>
          <w:szCs w:val="24"/>
          <w:lang w:eastAsia="en-US"/>
        </w:rPr>
        <w:t>Dolni</w:t>
      </w:r>
      <w:proofErr w:type="spellEnd"/>
      <w:r w:rsidRPr="00DF4CD0">
        <w:rPr>
          <w:rFonts w:eastAsia="Calibri"/>
          <w:i/>
          <w:iCs/>
          <w:sz w:val="24"/>
          <w:szCs w:val="24"/>
          <w:lang w:eastAsia="en-US"/>
        </w:rPr>
        <w:t xml:space="preserve"> </w:t>
      </w:r>
      <w:proofErr w:type="spellStart"/>
      <w:r w:rsidRPr="00DF4CD0">
        <w:rPr>
          <w:rFonts w:eastAsia="Calibri"/>
          <w:i/>
          <w:iCs/>
          <w:sz w:val="24"/>
          <w:szCs w:val="24"/>
          <w:lang w:eastAsia="en-US"/>
        </w:rPr>
        <w:t>Vestonice</w:t>
      </w:r>
      <w:proofErr w:type="spellEnd"/>
      <w:r w:rsidRPr="00DF4CD0">
        <w:rPr>
          <w:rFonts w:eastAsia="Calibri"/>
          <w:i/>
          <w:iCs/>
          <w:sz w:val="24"/>
          <w:szCs w:val="24"/>
          <w:lang w:eastAsia="en-US"/>
        </w:rPr>
        <w:t xml:space="preserve"> and Pavlov</w:t>
      </w:r>
      <w:r w:rsidRPr="00DF4CD0">
        <w:rPr>
          <w:rFonts w:eastAsia="Calibri"/>
          <w:sz w:val="24"/>
          <w:szCs w:val="24"/>
          <w:lang w:eastAsia="en-US"/>
        </w:rPr>
        <w:t>, pp.15-26. New York: Oxford University Press.</w:t>
      </w:r>
    </w:p>
    <w:p w14:paraId="70938BF9" w14:textId="77777777" w:rsidR="00DF4CD0" w:rsidRPr="00DF4CD0" w:rsidRDefault="00DF4CD0" w:rsidP="00DF4CD0">
      <w:pPr>
        <w:spacing w:after="160" w:line="256" w:lineRule="auto"/>
        <w:rPr>
          <w:rFonts w:eastAsia="Calibri"/>
          <w:sz w:val="24"/>
          <w:szCs w:val="24"/>
          <w:lang w:eastAsia="en-US"/>
        </w:rPr>
      </w:pPr>
      <w:r w:rsidRPr="00DF4CD0">
        <w:rPr>
          <w:rFonts w:eastAsia="Calibri"/>
          <w:sz w:val="24"/>
          <w:szCs w:val="24"/>
          <w:lang w:eastAsia="en-US"/>
        </w:rPr>
        <w:t xml:space="preserve">Wyllie, C. &amp; Hole, F. (2012) </w:t>
      </w:r>
      <w:r w:rsidRPr="00DF4CD0">
        <w:rPr>
          <w:rFonts w:eastAsia="Calibri"/>
          <w:i/>
          <w:iCs/>
          <w:sz w:val="24"/>
          <w:szCs w:val="24"/>
          <w:lang w:eastAsia="en-US"/>
        </w:rPr>
        <w:t>Personal Adornment in the Epi-</w:t>
      </w:r>
      <w:proofErr w:type="spellStart"/>
      <w:r w:rsidRPr="00DF4CD0">
        <w:rPr>
          <w:rFonts w:eastAsia="Calibri"/>
          <w:i/>
          <w:iCs/>
          <w:sz w:val="24"/>
          <w:szCs w:val="24"/>
          <w:lang w:eastAsia="en-US"/>
        </w:rPr>
        <w:t>Paleolithic</w:t>
      </w:r>
      <w:proofErr w:type="spellEnd"/>
      <w:r w:rsidRPr="00DF4CD0">
        <w:rPr>
          <w:rFonts w:eastAsia="Calibri"/>
          <w:i/>
          <w:iCs/>
          <w:sz w:val="24"/>
          <w:szCs w:val="24"/>
          <w:lang w:eastAsia="en-US"/>
        </w:rPr>
        <w:t xml:space="preserve"> of the Levant</w:t>
      </w:r>
      <w:r w:rsidRPr="00DF4CD0">
        <w:rPr>
          <w:rFonts w:eastAsia="Calibri"/>
          <w:sz w:val="24"/>
          <w:szCs w:val="24"/>
          <w:lang w:eastAsia="en-US"/>
        </w:rPr>
        <w:t xml:space="preserve">.    Available at:  </w:t>
      </w:r>
      <w:hyperlink r:id="rId30" w:history="1">
        <w:r w:rsidRPr="00DF4CD0">
          <w:rPr>
            <w:rFonts w:eastAsia="Calibri"/>
            <w:color w:val="0563C1"/>
            <w:sz w:val="24"/>
            <w:szCs w:val="24"/>
            <w:u w:val="single"/>
            <w:lang w:eastAsia="en-US"/>
          </w:rPr>
          <w:t>https://www.academia.edu/6752280/PERSONAL_ADORNMENT_IN_THE_EPI_PALEOLITHIC_OF_THE_LEVANT</w:t>
        </w:r>
      </w:hyperlink>
      <w:r w:rsidRPr="00DF4CD0">
        <w:rPr>
          <w:rFonts w:eastAsia="Calibri"/>
          <w:sz w:val="24"/>
          <w:szCs w:val="24"/>
          <w:lang w:eastAsia="en-US"/>
        </w:rPr>
        <w:t xml:space="preserve"> (Accessed: 10 March 2024).</w:t>
      </w:r>
    </w:p>
    <w:p w14:paraId="676DBD86" w14:textId="77777777" w:rsidR="00DF4CD0" w:rsidRPr="00DF4CD0" w:rsidRDefault="00DF4CD0" w:rsidP="00DF4CD0">
      <w:pPr>
        <w:spacing w:after="160" w:line="256" w:lineRule="auto"/>
        <w:rPr>
          <w:rFonts w:eastAsia="Calibri"/>
          <w:sz w:val="24"/>
          <w:szCs w:val="24"/>
          <w:lang w:eastAsia="en-US"/>
        </w:rPr>
      </w:pPr>
      <w:r w:rsidRPr="00DF4CD0">
        <w:rPr>
          <w:rFonts w:eastAsia="Calibri"/>
          <w:sz w:val="24"/>
          <w:szCs w:val="24"/>
          <w:lang w:eastAsia="en-US"/>
        </w:rPr>
        <w:t xml:space="preserve">Yeshurun, R. and Bar-Oz, G. (2013) ‘ The social role of food in the Natufian cemetery of Raqefet Cave, Mount Carmel, Israel.’ </w:t>
      </w:r>
      <w:r w:rsidRPr="00DF4CD0">
        <w:rPr>
          <w:rFonts w:eastAsia="Calibri"/>
          <w:i/>
          <w:iCs/>
          <w:sz w:val="24"/>
          <w:szCs w:val="24"/>
          <w:lang w:eastAsia="en-US"/>
        </w:rPr>
        <w:t>Journal of Anthropological Archaeology</w:t>
      </w:r>
      <w:r w:rsidRPr="00DF4CD0">
        <w:rPr>
          <w:rFonts w:eastAsia="Calibri"/>
          <w:sz w:val="24"/>
          <w:szCs w:val="24"/>
          <w:lang w:eastAsia="en-US"/>
        </w:rPr>
        <w:t>, Vol. 32, pp. 511-526.</w:t>
      </w:r>
      <w:r w:rsidRPr="00DF4CD0">
        <w:rPr>
          <w:rFonts w:ascii="Calibri" w:eastAsia="Calibri" w:hAnsi="Calibri"/>
          <w:sz w:val="22"/>
          <w:szCs w:val="22"/>
          <w:lang w:eastAsia="en-US"/>
        </w:rPr>
        <w:t xml:space="preserve"> </w:t>
      </w:r>
      <w:r w:rsidRPr="00DF4CD0">
        <w:rPr>
          <w:rFonts w:eastAsia="Calibri"/>
          <w:sz w:val="22"/>
          <w:szCs w:val="22"/>
          <w:lang w:eastAsia="en-US"/>
        </w:rPr>
        <w:t>Available at:</w:t>
      </w:r>
      <w:r w:rsidRPr="00DF4CD0">
        <w:rPr>
          <w:rFonts w:eastAsia="Calibri"/>
          <w:sz w:val="24"/>
          <w:szCs w:val="24"/>
          <w:lang w:eastAsia="en-US"/>
        </w:rPr>
        <w:t xml:space="preserve"> </w:t>
      </w:r>
      <w:hyperlink r:id="rId31" w:history="1">
        <w:r w:rsidRPr="00DF4CD0">
          <w:rPr>
            <w:rFonts w:eastAsia="Calibri"/>
            <w:color w:val="0563C1"/>
            <w:sz w:val="24"/>
            <w:szCs w:val="24"/>
            <w:u w:val="single"/>
            <w:lang w:eastAsia="en-US"/>
          </w:rPr>
          <w:t>http://dx.doi.org/10.1016/j.jaa.2013.09.002</w:t>
        </w:r>
      </w:hyperlink>
      <w:r w:rsidRPr="00DF4CD0">
        <w:rPr>
          <w:rFonts w:eastAsia="Calibri"/>
          <w:sz w:val="24"/>
          <w:szCs w:val="24"/>
          <w:lang w:eastAsia="en-US"/>
        </w:rPr>
        <w:t xml:space="preserve"> (Accessed: 1 March 2024).</w:t>
      </w:r>
    </w:p>
    <w:p w14:paraId="780CB76F" w14:textId="77777777" w:rsidR="00DF4CD0" w:rsidRPr="00DF4CD0" w:rsidRDefault="00DF4CD0" w:rsidP="00DF4CD0">
      <w:pPr>
        <w:spacing w:after="160" w:line="256" w:lineRule="auto"/>
        <w:rPr>
          <w:rFonts w:eastAsia="Calibri"/>
          <w:sz w:val="24"/>
          <w:szCs w:val="24"/>
          <w:lang w:eastAsia="en-US"/>
        </w:rPr>
      </w:pPr>
    </w:p>
    <w:p w14:paraId="1AE623E6" w14:textId="77777777" w:rsidR="00DF4CD0" w:rsidRPr="00DF4CD0" w:rsidRDefault="00DF4CD0" w:rsidP="00DF4CD0">
      <w:pPr>
        <w:spacing w:after="160" w:line="256" w:lineRule="auto"/>
        <w:rPr>
          <w:rFonts w:eastAsia="Calibri"/>
          <w:sz w:val="24"/>
          <w:szCs w:val="24"/>
          <w:lang w:eastAsia="en-US"/>
        </w:rPr>
      </w:pPr>
    </w:p>
    <w:p w14:paraId="17FE0725" w14:textId="77777777" w:rsidR="00DF4CD0" w:rsidRDefault="00DF4CD0" w:rsidP="00762CD8">
      <w:pPr>
        <w:rPr>
          <w:sz w:val="24"/>
          <w:szCs w:val="24"/>
        </w:rPr>
      </w:pPr>
    </w:p>
    <w:p w14:paraId="427798F7" w14:textId="77777777" w:rsidR="00DF4CD0" w:rsidRDefault="00DF4CD0" w:rsidP="00762CD8">
      <w:pPr>
        <w:rPr>
          <w:sz w:val="24"/>
          <w:szCs w:val="24"/>
        </w:rPr>
      </w:pPr>
    </w:p>
    <w:sectPr w:rsidR="00DF4CD0" w:rsidSect="00332633">
      <w:headerReference w:type="even" r:id="rId32"/>
      <w:headerReference w:type="default" r:id="rId33"/>
      <w:footerReference w:type="even" r:id="rId34"/>
      <w:footerReference w:type="default" r:id="rId35"/>
      <w:headerReference w:type="first" r:id="rId36"/>
      <w:footerReference w:type="firs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06593B" w14:textId="77777777" w:rsidR="00332633" w:rsidRDefault="00332633" w:rsidP="007A1598">
      <w:r>
        <w:separator/>
      </w:r>
    </w:p>
  </w:endnote>
  <w:endnote w:type="continuationSeparator" w:id="0">
    <w:p w14:paraId="5DDB327F" w14:textId="77777777" w:rsidR="00332633" w:rsidRDefault="00332633" w:rsidP="007A15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2CC9" w14:textId="77777777" w:rsidR="007A1598" w:rsidRDefault="007A15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6277642"/>
      <w:docPartObj>
        <w:docPartGallery w:val="Page Numbers (Bottom of Page)"/>
        <w:docPartUnique/>
      </w:docPartObj>
    </w:sdtPr>
    <w:sdtEndPr>
      <w:rPr>
        <w:noProof/>
      </w:rPr>
    </w:sdtEndPr>
    <w:sdtContent>
      <w:p w14:paraId="7E090E46" w14:textId="06D87227" w:rsidR="007A1598" w:rsidRDefault="007A159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EDFFDE" w14:textId="77777777" w:rsidR="007A1598" w:rsidRDefault="007A159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81B3C" w14:textId="77777777" w:rsidR="007A1598" w:rsidRDefault="007A15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0846DF" w14:textId="77777777" w:rsidR="00332633" w:rsidRDefault="00332633" w:rsidP="007A1598">
      <w:r>
        <w:separator/>
      </w:r>
    </w:p>
  </w:footnote>
  <w:footnote w:type="continuationSeparator" w:id="0">
    <w:p w14:paraId="53557179" w14:textId="77777777" w:rsidR="00332633" w:rsidRDefault="00332633" w:rsidP="007A15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08FDA" w14:textId="77777777" w:rsidR="007A1598" w:rsidRDefault="007A15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7224B" w14:textId="77777777" w:rsidR="007A1598" w:rsidRDefault="007A15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A2DEA" w14:textId="77777777" w:rsidR="007A1598" w:rsidRDefault="007A159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001"/>
    <w:rsid w:val="0000284D"/>
    <w:rsid w:val="00012B12"/>
    <w:rsid w:val="00064C83"/>
    <w:rsid w:val="0013642A"/>
    <w:rsid w:val="0016342C"/>
    <w:rsid w:val="0016504F"/>
    <w:rsid w:val="001D7D4E"/>
    <w:rsid w:val="00235F2C"/>
    <w:rsid w:val="0023612A"/>
    <w:rsid w:val="00247B08"/>
    <w:rsid w:val="00260A38"/>
    <w:rsid w:val="00276BAA"/>
    <w:rsid w:val="002975D1"/>
    <w:rsid w:val="002E12F9"/>
    <w:rsid w:val="003116E6"/>
    <w:rsid w:val="00332633"/>
    <w:rsid w:val="003561DC"/>
    <w:rsid w:val="003B0BB9"/>
    <w:rsid w:val="00431256"/>
    <w:rsid w:val="004A573E"/>
    <w:rsid w:val="004B08F3"/>
    <w:rsid w:val="004E1FD7"/>
    <w:rsid w:val="005370A5"/>
    <w:rsid w:val="005666E1"/>
    <w:rsid w:val="005949ED"/>
    <w:rsid w:val="005A5F81"/>
    <w:rsid w:val="005E0AA1"/>
    <w:rsid w:val="005E662E"/>
    <w:rsid w:val="00601664"/>
    <w:rsid w:val="00622551"/>
    <w:rsid w:val="00625FD4"/>
    <w:rsid w:val="00676C91"/>
    <w:rsid w:val="006C1159"/>
    <w:rsid w:val="006C6ED9"/>
    <w:rsid w:val="006D4393"/>
    <w:rsid w:val="00702B13"/>
    <w:rsid w:val="00723252"/>
    <w:rsid w:val="00740A02"/>
    <w:rsid w:val="00762CD8"/>
    <w:rsid w:val="0077178C"/>
    <w:rsid w:val="00795ECF"/>
    <w:rsid w:val="007A1598"/>
    <w:rsid w:val="00822383"/>
    <w:rsid w:val="00877B17"/>
    <w:rsid w:val="008F562F"/>
    <w:rsid w:val="00923407"/>
    <w:rsid w:val="00981CAF"/>
    <w:rsid w:val="009835F2"/>
    <w:rsid w:val="00993A85"/>
    <w:rsid w:val="009E7510"/>
    <w:rsid w:val="009F2C79"/>
    <w:rsid w:val="00AC0CD9"/>
    <w:rsid w:val="00B3070F"/>
    <w:rsid w:val="00B42C8B"/>
    <w:rsid w:val="00B4762A"/>
    <w:rsid w:val="00BA0B44"/>
    <w:rsid w:val="00BE448B"/>
    <w:rsid w:val="00BF5B55"/>
    <w:rsid w:val="00C30278"/>
    <w:rsid w:val="00C41CD2"/>
    <w:rsid w:val="00C84055"/>
    <w:rsid w:val="00CC26BF"/>
    <w:rsid w:val="00CC3325"/>
    <w:rsid w:val="00CD509C"/>
    <w:rsid w:val="00CF1B19"/>
    <w:rsid w:val="00CF2090"/>
    <w:rsid w:val="00D07F53"/>
    <w:rsid w:val="00D254CD"/>
    <w:rsid w:val="00D30001"/>
    <w:rsid w:val="00D50EB1"/>
    <w:rsid w:val="00D64FA9"/>
    <w:rsid w:val="00D850FD"/>
    <w:rsid w:val="00DF1786"/>
    <w:rsid w:val="00DF4CD0"/>
    <w:rsid w:val="00E03AC8"/>
    <w:rsid w:val="00E21BCD"/>
    <w:rsid w:val="00E2351A"/>
    <w:rsid w:val="00E76BA1"/>
    <w:rsid w:val="00E93064"/>
    <w:rsid w:val="00EC2065"/>
    <w:rsid w:val="00EF0231"/>
    <w:rsid w:val="00F454F1"/>
    <w:rsid w:val="00F50F55"/>
    <w:rsid w:val="00F56485"/>
    <w:rsid w:val="00F8352A"/>
    <w:rsid w:val="00FC1A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52D50"/>
  <w15:chartTrackingRefBased/>
  <w15:docId w15:val="{98709921-A34F-4B68-8D69-73C23D4E3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3325"/>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D30001"/>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semiHidden/>
    <w:unhideWhenUsed/>
    <w:qFormat/>
    <w:rsid w:val="00D30001"/>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D30001"/>
    <w:pPr>
      <w:keepNext/>
      <w:keepLines/>
      <w:spacing w:before="160" w:after="80" w:line="259" w:lineRule="auto"/>
      <w:outlineLvl w:val="2"/>
    </w:pPr>
    <w:rPr>
      <w:rFonts w:asciiTheme="minorHAnsi" w:eastAsiaTheme="majorEastAsia" w:hAnsiTheme="minorHAnsi"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D30001"/>
    <w:pPr>
      <w:keepNext/>
      <w:keepLines/>
      <w:spacing w:before="80" w:after="40" w:line="259" w:lineRule="auto"/>
      <w:outlineLvl w:val="3"/>
    </w:pPr>
    <w:rPr>
      <w:rFonts w:asciiTheme="minorHAnsi" w:eastAsiaTheme="majorEastAsia" w:hAnsiTheme="minorHAnsi" w:cstheme="majorBidi"/>
      <w:i/>
      <w:iCs/>
      <w:color w:val="0F4761" w:themeColor="accent1" w:themeShade="BF"/>
      <w:sz w:val="22"/>
      <w:szCs w:val="22"/>
      <w:lang w:eastAsia="en-US"/>
    </w:rPr>
  </w:style>
  <w:style w:type="paragraph" w:styleId="Heading5">
    <w:name w:val="heading 5"/>
    <w:basedOn w:val="Normal"/>
    <w:next w:val="Normal"/>
    <w:link w:val="Heading5Char"/>
    <w:uiPriority w:val="9"/>
    <w:semiHidden/>
    <w:unhideWhenUsed/>
    <w:qFormat/>
    <w:rsid w:val="00D30001"/>
    <w:pPr>
      <w:keepNext/>
      <w:keepLines/>
      <w:spacing w:before="80" w:after="40" w:line="259" w:lineRule="auto"/>
      <w:outlineLvl w:val="4"/>
    </w:pPr>
    <w:rPr>
      <w:rFonts w:asciiTheme="minorHAnsi" w:eastAsiaTheme="majorEastAsia" w:hAnsiTheme="minorHAnsi" w:cstheme="majorBidi"/>
      <w:color w:val="0F4761" w:themeColor="accent1" w:themeShade="BF"/>
      <w:sz w:val="22"/>
      <w:szCs w:val="22"/>
      <w:lang w:eastAsia="en-US"/>
    </w:rPr>
  </w:style>
  <w:style w:type="paragraph" w:styleId="Heading6">
    <w:name w:val="heading 6"/>
    <w:basedOn w:val="Normal"/>
    <w:next w:val="Normal"/>
    <w:link w:val="Heading6Char"/>
    <w:uiPriority w:val="9"/>
    <w:semiHidden/>
    <w:unhideWhenUsed/>
    <w:qFormat/>
    <w:rsid w:val="00D30001"/>
    <w:pPr>
      <w:keepNext/>
      <w:keepLines/>
      <w:spacing w:before="40" w:line="259" w:lineRule="auto"/>
      <w:outlineLvl w:val="5"/>
    </w:pPr>
    <w:rPr>
      <w:rFonts w:asciiTheme="minorHAnsi" w:eastAsiaTheme="majorEastAsia" w:hAnsiTheme="minorHAnsi" w:cstheme="majorBidi"/>
      <w:i/>
      <w:iCs/>
      <w:color w:val="595959" w:themeColor="text1" w:themeTint="A6"/>
      <w:sz w:val="22"/>
      <w:szCs w:val="22"/>
      <w:lang w:eastAsia="en-US"/>
    </w:rPr>
  </w:style>
  <w:style w:type="paragraph" w:styleId="Heading7">
    <w:name w:val="heading 7"/>
    <w:basedOn w:val="Normal"/>
    <w:next w:val="Normal"/>
    <w:link w:val="Heading7Char"/>
    <w:uiPriority w:val="9"/>
    <w:semiHidden/>
    <w:unhideWhenUsed/>
    <w:qFormat/>
    <w:rsid w:val="00D30001"/>
    <w:pPr>
      <w:keepNext/>
      <w:keepLines/>
      <w:spacing w:before="40" w:line="259" w:lineRule="auto"/>
      <w:outlineLvl w:val="6"/>
    </w:pPr>
    <w:rPr>
      <w:rFonts w:asciiTheme="minorHAnsi" w:eastAsiaTheme="majorEastAsia" w:hAnsiTheme="minorHAnsi" w:cstheme="majorBidi"/>
      <w:color w:val="595959" w:themeColor="text1" w:themeTint="A6"/>
      <w:sz w:val="22"/>
      <w:szCs w:val="22"/>
      <w:lang w:eastAsia="en-US"/>
    </w:rPr>
  </w:style>
  <w:style w:type="paragraph" w:styleId="Heading8">
    <w:name w:val="heading 8"/>
    <w:basedOn w:val="Normal"/>
    <w:next w:val="Normal"/>
    <w:link w:val="Heading8Char"/>
    <w:uiPriority w:val="9"/>
    <w:semiHidden/>
    <w:unhideWhenUsed/>
    <w:qFormat/>
    <w:rsid w:val="00D30001"/>
    <w:pPr>
      <w:keepNext/>
      <w:keepLines/>
      <w:spacing w:line="259" w:lineRule="auto"/>
      <w:outlineLvl w:val="7"/>
    </w:pPr>
    <w:rPr>
      <w:rFonts w:asciiTheme="minorHAnsi" w:eastAsiaTheme="majorEastAsia" w:hAnsiTheme="minorHAnsi" w:cstheme="majorBidi"/>
      <w:i/>
      <w:iCs/>
      <w:color w:val="272727" w:themeColor="text1" w:themeTint="D8"/>
      <w:sz w:val="22"/>
      <w:szCs w:val="22"/>
      <w:lang w:eastAsia="en-US"/>
    </w:rPr>
  </w:style>
  <w:style w:type="paragraph" w:styleId="Heading9">
    <w:name w:val="heading 9"/>
    <w:basedOn w:val="Normal"/>
    <w:next w:val="Normal"/>
    <w:link w:val="Heading9Char"/>
    <w:uiPriority w:val="9"/>
    <w:semiHidden/>
    <w:unhideWhenUsed/>
    <w:qFormat/>
    <w:rsid w:val="00D30001"/>
    <w:pPr>
      <w:keepNext/>
      <w:keepLines/>
      <w:spacing w:line="259" w:lineRule="auto"/>
      <w:outlineLvl w:val="8"/>
    </w:pPr>
    <w:rPr>
      <w:rFonts w:asciiTheme="minorHAnsi" w:eastAsiaTheme="majorEastAsia" w:hAnsiTheme="minorHAnsi" w:cstheme="majorBidi"/>
      <w:color w:val="272727" w:themeColor="text1" w:themeTint="D8"/>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00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300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00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00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00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00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00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00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0001"/>
    <w:rPr>
      <w:rFonts w:eastAsiaTheme="majorEastAsia" w:cstheme="majorBidi"/>
      <w:color w:val="272727" w:themeColor="text1" w:themeTint="D8"/>
    </w:rPr>
  </w:style>
  <w:style w:type="paragraph" w:styleId="Title">
    <w:name w:val="Title"/>
    <w:basedOn w:val="Normal"/>
    <w:next w:val="Normal"/>
    <w:link w:val="TitleChar"/>
    <w:uiPriority w:val="10"/>
    <w:qFormat/>
    <w:rsid w:val="00D30001"/>
    <w:pPr>
      <w:spacing w:after="80"/>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D300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0001"/>
    <w:pPr>
      <w:numPr>
        <w:ilvl w:val="1"/>
      </w:numPr>
      <w:spacing w:after="160" w:line="259" w:lineRule="auto"/>
    </w:pPr>
    <w:rPr>
      <w:rFonts w:asciiTheme="minorHAnsi" w:eastAsiaTheme="majorEastAsia" w:hAnsiTheme="minorHAnsi"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D300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0001"/>
    <w:pPr>
      <w:spacing w:before="160" w:after="160" w:line="259" w:lineRule="auto"/>
      <w:jc w:val="center"/>
    </w:pPr>
    <w:rPr>
      <w:rFonts w:asciiTheme="minorHAnsi" w:eastAsiaTheme="minorHAnsi" w:hAnsiTheme="minorHAnsi" w:cstheme="minorBidi"/>
      <w:i/>
      <w:iCs/>
      <w:color w:val="404040" w:themeColor="text1" w:themeTint="BF"/>
      <w:sz w:val="22"/>
      <w:szCs w:val="22"/>
      <w:lang w:eastAsia="en-US"/>
    </w:rPr>
  </w:style>
  <w:style w:type="character" w:customStyle="1" w:styleId="QuoteChar">
    <w:name w:val="Quote Char"/>
    <w:basedOn w:val="DefaultParagraphFont"/>
    <w:link w:val="Quote"/>
    <w:uiPriority w:val="29"/>
    <w:rsid w:val="00D30001"/>
    <w:rPr>
      <w:i/>
      <w:iCs/>
      <w:color w:val="404040" w:themeColor="text1" w:themeTint="BF"/>
    </w:rPr>
  </w:style>
  <w:style w:type="paragraph" w:styleId="ListParagraph">
    <w:name w:val="List Paragraph"/>
    <w:basedOn w:val="Normal"/>
    <w:uiPriority w:val="34"/>
    <w:qFormat/>
    <w:rsid w:val="00D30001"/>
    <w:pPr>
      <w:spacing w:after="160" w:line="259" w:lineRule="auto"/>
      <w:ind w:left="720"/>
      <w:contextualSpacing/>
    </w:pPr>
    <w:rPr>
      <w:rFonts w:asciiTheme="minorHAnsi" w:eastAsiaTheme="minorHAnsi" w:hAnsiTheme="minorHAnsi" w:cstheme="minorBidi"/>
      <w:sz w:val="22"/>
      <w:szCs w:val="22"/>
      <w:lang w:eastAsia="en-US"/>
    </w:rPr>
  </w:style>
  <w:style w:type="character" w:styleId="IntenseEmphasis">
    <w:name w:val="Intense Emphasis"/>
    <w:basedOn w:val="DefaultParagraphFont"/>
    <w:uiPriority w:val="21"/>
    <w:qFormat/>
    <w:rsid w:val="00D30001"/>
    <w:rPr>
      <w:i/>
      <w:iCs/>
      <w:color w:val="0F4761" w:themeColor="accent1" w:themeShade="BF"/>
    </w:rPr>
  </w:style>
  <w:style w:type="paragraph" w:styleId="IntenseQuote">
    <w:name w:val="Intense Quote"/>
    <w:basedOn w:val="Normal"/>
    <w:next w:val="Normal"/>
    <w:link w:val="IntenseQuoteChar"/>
    <w:uiPriority w:val="30"/>
    <w:qFormat/>
    <w:rsid w:val="00D30001"/>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sz w:val="22"/>
      <w:szCs w:val="22"/>
      <w:lang w:eastAsia="en-US"/>
    </w:rPr>
  </w:style>
  <w:style w:type="character" w:customStyle="1" w:styleId="IntenseQuoteChar">
    <w:name w:val="Intense Quote Char"/>
    <w:basedOn w:val="DefaultParagraphFont"/>
    <w:link w:val="IntenseQuote"/>
    <w:uiPriority w:val="30"/>
    <w:rsid w:val="00D30001"/>
    <w:rPr>
      <w:i/>
      <w:iCs/>
      <w:color w:val="0F4761" w:themeColor="accent1" w:themeShade="BF"/>
    </w:rPr>
  </w:style>
  <w:style w:type="character" w:styleId="IntenseReference">
    <w:name w:val="Intense Reference"/>
    <w:basedOn w:val="DefaultParagraphFont"/>
    <w:uiPriority w:val="32"/>
    <w:qFormat/>
    <w:rsid w:val="00D30001"/>
    <w:rPr>
      <w:b/>
      <w:bCs/>
      <w:smallCaps/>
      <w:color w:val="0F4761" w:themeColor="accent1" w:themeShade="BF"/>
      <w:spacing w:val="5"/>
    </w:rPr>
  </w:style>
  <w:style w:type="paragraph" w:styleId="Header">
    <w:name w:val="header"/>
    <w:basedOn w:val="Normal"/>
    <w:link w:val="HeaderChar"/>
    <w:uiPriority w:val="99"/>
    <w:unhideWhenUsed/>
    <w:rsid w:val="007A1598"/>
    <w:pPr>
      <w:tabs>
        <w:tab w:val="center" w:pos="4513"/>
        <w:tab w:val="right" w:pos="9026"/>
      </w:tabs>
    </w:pPr>
  </w:style>
  <w:style w:type="character" w:customStyle="1" w:styleId="HeaderChar">
    <w:name w:val="Header Char"/>
    <w:basedOn w:val="DefaultParagraphFont"/>
    <w:link w:val="Header"/>
    <w:uiPriority w:val="99"/>
    <w:rsid w:val="007A1598"/>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7A1598"/>
    <w:pPr>
      <w:tabs>
        <w:tab w:val="center" w:pos="4513"/>
        <w:tab w:val="right" w:pos="9026"/>
      </w:tabs>
    </w:pPr>
  </w:style>
  <w:style w:type="character" w:customStyle="1" w:styleId="FooterChar">
    <w:name w:val="Footer Char"/>
    <w:basedOn w:val="DefaultParagraphFont"/>
    <w:link w:val="Footer"/>
    <w:uiPriority w:val="99"/>
    <w:rsid w:val="007A1598"/>
    <w:rPr>
      <w:rFonts w:ascii="Times New Roman" w:eastAsia="Times New Roman" w:hAnsi="Times New Roman" w:cs="Times New Roman"/>
      <w:sz w:val="20"/>
      <w:szCs w:val="20"/>
      <w:lang w:eastAsia="en-GB"/>
    </w:rPr>
  </w:style>
  <w:style w:type="paragraph" w:styleId="NoSpacing">
    <w:name w:val="No Spacing"/>
    <w:link w:val="NoSpacingChar"/>
    <w:uiPriority w:val="1"/>
    <w:qFormat/>
    <w:rsid w:val="00CF1B1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F1B19"/>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860883">
      <w:bodyDiv w:val="1"/>
      <w:marLeft w:val="0"/>
      <w:marRight w:val="0"/>
      <w:marTop w:val="0"/>
      <w:marBottom w:val="0"/>
      <w:divBdr>
        <w:top w:val="none" w:sz="0" w:space="0" w:color="auto"/>
        <w:left w:val="none" w:sz="0" w:space="0" w:color="auto"/>
        <w:bottom w:val="none" w:sz="0" w:space="0" w:color="auto"/>
        <w:right w:val="none" w:sz="0" w:space="0" w:color="auto"/>
      </w:divBdr>
    </w:div>
    <w:div w:id="248270101">
      <w:bodyDiv w:val="1"/>
      <w:marLeft w:val="0"/>
      <w:marRight w:val="0"/>
      <w:marTop w:val="0"/>
      <w:marBottom w:val="0"/>
      <w:divBdr>
        <w:top w:val="none" w:sz="0" w:space="0" w:color="auto"/>
        <w:left w:val="none" w:sz="0" w:space="0" w:color="auto"/>
        <w:bottom w:val="none" w:sz="0" w:space="0" w:color="auto"/>
        <w:right w:val="none" w:sz="0" w:space="0" w:color="auto"/>
      </w:divBdr>
    </w:div>
    <w:div w:id="258177105">
      <w:bodyDiv w:val="1"/>
      <w:marLeft w:val="0"/>
      <w:marRight w:val="0"/>
      <w:marTop w:val="0"/>
      <w:marBottom w:val="0"/>
      <w:divBdr>
        <w:top w:val="none" w:sz="0" w:space="0" w:color="auto"/>
        <w:left w:val="none" w:sz="0" w:space="0" w:color="auto"/>
        <w:bottom w:val="none" w:sz="0" w:space="0" w:color="auto"/>
        <w:right w:val="none" w:sz="0" w:space="0" w:color="auto"/>
      </w:divBdr>
    </w:div>
    <w:div w:id="287443026">
      <w:bodyDiv w:val="1"/>
      <w:marLeft w:val="0"/>
      <w:marRight w:val="0"/>
      <w:marTop w:val="0"/>
      <w:marBottom w:val="0"/>
      <w:divBdr>
        <w:top w:val="none" w:sz="0" w:space="0" w:color="auto"/>
        <w:left w:val="none" w:sz="0" w:space="0" w:color="auto"/>
        <w:bottom w:val="none" w:sz="0" w:space="0" w:color="auto"/>
        <w:right w:val="none" w:sz="0" w:space="0" w:color="auto"/>
      </w:divBdr>
    </w:div>
    <w:div w:id="323709749">
      <w:bodyDiv w:val="1"/>
      <w:marLeft w:val="0"/>
      <w:marRight w:val="0"/>
      <w:marTop w:val="0"/>
      <w:marBottom w:val="0"/>
      <w:divBdr>
        <w:top w:val="none" w:sz="0" w:space="0" w:color="auto"/>
        <w:left w:val="none" w:sz="0" w:space="0" w:color="auto"/>
        <w:bottom w:val="none" w:sz="0" w:space="0" w:color="auto"/>
        <w:right w:val="none" w:sz="0" w:space="0" w:color="auto"/>
      </w:divBdr>
    </w:div>
    <w:div w:id="346909716">
      <w:bodyDiv w:val="1"/>
      <w:marLeft w:val="0"/>
      <w:marRight w:val="0"/>
      <w:marTop w:val="0"/>
      <w:marBottom w:val="0"/>
      <w:divBdr>
        <w:top w:val="none" w:sz="0" w:space="0" w:color="auto"/>
        <w:left w:val="none" w:sz="0" w:space="0" w:color="auto"/>
        <w:bottom w:val="none" w:sz="0" w:space="0" w:color="auto"/>
        <w:right w:val="none" w:sz="0" w:space="0" w:color="auto"/>
      </w:divBdr>
    </w:div>
    <w:div w:id="377974130">
      <w:bodyDiv w:val="1"/>
      <w:marLeft w:val="0"/>
      <w:marRight w:val="0"/>
      <w:marTop w:val="0"/>
      <w:marBottom w:val="0"/>
      <w:divBdr>
        <w:top w:val="none" w:sz="0" w:space="0" w:color="auto"/>
        <w:left w:val="none" w:sz="0" w:space="0" w:color="auto"/>
        <w:bottom w:val="none" w:sz="0" w:space="0" w:color="auto"/>
        <w:right w:val="none" w:sz="0" w:space="0" w:color="auto"/>
      </w:divBdr>
    </w:div>
    <w:div w:id="441725698">
      <w:bodyDiv w:val="1"/>
      <w:marLeft w:val="0"/>
      <w:marRight w:val="0"/>
      <w:marTop w:val="0"/>
      <w:marBottom w:val="0"/>
      <w:divBdr>
        <w:top w:val="none" w:sz="0" w:space="0" w:color="auto"/>
        <w:left w:val="none" w:sz="0" w:space="0" w:color="auto"/>
        <w:bottom w:val="none" w:sz="0" w:space="0" w:color="auto"/>
        <w:right w:val="none" w:sz="0" w:space="0" w:color="auto"/>
      </w:divBdr>
    </w:div>
    <w:div w:id="462701650">
      <w:bodyDiv w:val="1"/>
      <w:marLeft w:val="0"/>
      <w:marRight w:val="0"/>
      <w:marTop w:val="0"/>
      <w:marBottom w:val="0"/>
      <w:divBdr>
        <w:top w:val="none" w:sz="0" w:space="0" w:color="auto"/>
        <w:left w:val="none" w:sz="0" w:space="0" w:color="auto"/>
        <w:bottom w:val="none" w:sz="0" w:space="0" w:color="auto"/>
        <w:right w:val="none" w:sz="0" w:space="0" w:color="auto"/>
      </w:divBdr>
    </w:div>
    <w:div w:id="493883439">
      <w:bodyDiv w:val="1"/>
      <w:marLeft w:val="0"/>
      <w:marRight w:val="0"/>
      <w:marTop w:val="0"/>
      <w:marBottom w:val="0"/>
      <w:divBdr>
        <w:top w:val="none" w:sz="0" w:space="0" w:color="auto"/>
        <w:left w:val="none" w:sz="0" w:space="0" w:color="auto"/>
        <w:bottom w:val="none" w:sz="0" w:space="0" w:color="auto"/>
        <w:right w:val="none" w:sz="0" w:space="0" w:color="auto"/>
      </w:divBdr>
    </w:div>
    <w:div w:id="525750337">
      <w:bodyDiv w:val="1"/>
      <w:marLeft w:val="0"/>
      <w:marRight w:val="0"/>
      <w:marTop w:val="0"/>
      <w:marBottom w:val="0"/>
      <w:divBdr>
        <w:top w:val="none" w:sz="0" w:space="0" w:color="auto"/>
        <w:left w:val="none" w:sz="0" w:space="0" w:color="auto"/>
        <w:bottom w:val="none" w:sz="0" w:space="0" w:color="auto"/>
        <w:right w:val="none" w:sz="0" w:space="0" w:color="auto"/>
      </w:divBdr>
    </w:div>
    <w:div w:id="538593330">
      <w:bodyDiv w:val="1"/>
      <w:marLeft w:val="0"/>
      <w:marRight w:val="0"/>
      <w:marTop w:val="0"/>
      <w:marBottom w:val="0"/>
      <w:divBdr>
        <w:top w:val="none" w:sz="0" w:space="0" w:color="auto"/>
        <w:left w:val="none" w:sz="0" w:space="0" w:color="auto"/>
        <w:bottom w:val="none" w:sz="0" w:space="0" w:color="auto"/>
        <w:right w:val="none" w:sz="0" w:space="0" w:color="auto"/>
      </w:divBdr>
    </w:div>
    <w:div w:id="604923681">
      <w:bodyDiv w:val="1"/>
      <w:marLeft w:val="0"/>
      <w:marRight w:val="0"/>
      <w:marTop w:val="0"/>
      <w:marBottom w:val="0"/>
      <w:divBdr>
        <w:top w:val="none" w:sz="0" w:space="0" w:color="auto"/>
        <w:left w:val="none" w:sz="0" w:space="0" w:color="auto"/>
        <w:bottom w:val="none" w:sz="0" w:space="0" w:color="auto"/>
        <w:right w:val="none" w:sz="0" w:space="0" w:color="auto"/>
      </w:divBdr>
    </w:div>
    <w:div w:id="691027904">
      <w:bodyDiv w:val="1"/>
      <w:marLeft w:val="0"/>
      <w:marRight w:val="0"/>
      <w:marTop w:val="0"/>
      <w:marBottom w:val="0"/>
      <w:divBdr>
        <w:top w:val="none" w:sz="0" w:space="0" w:color="auto"/>
        <w:left w:val="none" w:sz="0" w:space="0" w:color="auto"/>
        <w:bottom w:val="none" w:sz="0" w:space="0" w:color="auto"/>
        <w:right w:val="none" w:sz="0" w:space="0" w:color="auto"/>
      </w:divBdr>
    </w:div>
    <w:div w:id="704988546">
      <w:bodyDiv w:val="1"/>
      <w:marLeft w:val="0"/>
      <w:marRight w:val="0"/>
      <w:marTop w:val="0"/>
      <w:marBottom w:val="0"/>
      <w:divBdr>
        <w:top w:val="none" w:sz="0" w:space="0" w:color="auto"/>
        <w:left w:val="none" w:sz="0" w:space="0" w:color="auto"/>
        <w:bottom w:val="none" w:sz="0" w:space="0" w:color="auto"/>
        <w:right w:val="none" w:sz="0" w:space="0" w:color="auto"/>
      </w:divBdr>
    </w:div>
    <w:div w:id="743180791">
      <w:bodyDiv w:val="1"/>
      <w:marLeft w:val="0"/>
      <w:marRight w:val="0"/>
      <w:marTop w:val="0"/>
      <w:marBottom w:val="0"/>
      <w:divBdr>
        <w:top w:val="none" w:sz="0" w:space="0" w:color="auto"/>
        <w:left w:val="none" w:sz="0" w:space="0" w:color="auto"/>
        <w:bottom w:val="none" w:sz="0" w:space="0" w:color="auto"/>
        <w:right w:val="none" w:sz="0" w:space="0" w:color="auto"/>
      </w:divBdr>
    </w:div>
    <w:div w:id="784541120">
      <w:bodyDiv w:val="1"/>
      <w:marLeft w:val="0"/>
      <w:marRight w:val="0"/>
      <w:marTop w:val="0"/>
      <w:marBottom w:val="0"/>
      <w:divBdr>
        <w:top w:val="none" w:sz="0" w:space="0" w:color="auto"/>
        <w:left w:val="none" w:sz="0" w:space="0" w:color="auto"/>
        <w:bottom w:val="none" w:sz="0" w:space="0" w:color="auto"/>
        <w:right w:val="none" w:sz="0" w:space="0" w:color="auto"/>
      </w:divBdr>
    </w:div>
    <w:div w:id="802960840">
      <w:bodyDiv w:val="1"/>
      <w:marLeft w:val="0"/>
      <w:marRight w:val="0"/>
      <w:marTop w:val="0"/>
      <w:marBottom w:val="0"/>
      <w:divBdr>
        <w:top w:val="none" w:sz="0" w:space="0" w:color="auto"/>
        <w:left w:val="none" w:sz="0" w:space="0" w:color="auto"/>
        <w:bottom w:val="none" w:sz="0" w:space="0" w:color="auto"/>
        <w:right w:val="none" w:sz="0" w:space="0" w:color="auto"/>
      </w:divBdr>
    </w:div>
    <w:div w:id="831724213">
      <w:bodyDiv w:val="1"/>
      <w:marLeft w:val="0"/>
      <w:marRight w:val="0"/>
      <w:marTop w:val="0"/>
      <w:marBottom w:val="0"/>
      <w:divBdr>
        <w:top w:val="none" w:sz="0" w:space="0" w:color="auto"/>
        <w:left w:val="none" w:sz="0" w:space="0" w:color="auto"/>
        <w:bottom w:val="none" w:sz="0" w:space="0" w:color="auto"/>
        <w:right w:val="none" w:sz="0" w:space="0" w:color="auto"/>
      </w:divBdr>
    </w:div>
    <w:div w:id="937713134">
      <w:bodyDiv w:val="1"/>
      <w:marLeft w:val="0"/>
      <w:marRight w:val="0"/>
      <w:marTop w:val="0"/>
      <w:marBottom w:val="0"/>
      <w:divBdr>
        <w:top w:val="none" w:sz="0" w:space="0" w:color="auto"/>
        <w:left w:val="none" w:sz="0" w:space="0" w:color="auto"/>
        <w:bottom w:val="none" w:sz="0" w:space="0" w:color="auto"/>
        <w:right w:val="none" w:sz="0" w:space="0" w:color="auto"/>
      </w:divBdr>
    </w:div>
    <w:div w:id="946697992">
      <w:bodyDiv w:val="1"/>
      <w:marLeft w:val="0"/>
      <w:marRight w:val="0"/>
      <w:marTop w:val="0"/>
      <w:marBottom w:val="0"/>
      <w:divBdr>
        <w:top w:val="none" w:sz="0" w:space="0" w:color="auto"/>
        <w:left w:val="none" w:sz="0" w:space="0" w:color="auto"/>
        <w:bottom w:val="none" w:sz="0" w:space="0" w:color="auto"/>
        <w:right w:val="none" w:sz="0" w:space="0" w:color="auto"/>
      </w:divBdr>
    </w:div>
    <w:div w:id="1022900454">
      <w:bodyDiv w:val="1"/>
      <w:marLeft w:val="0"/>
      <w:marRight w:val="0"/>
      <w:marTop w:val="0"/>
      <w:marBottom w:val="0"/>
      <w:divBdr>
        <w:top w:val="none" w:sz="0" w:space="0" w:color="auto"/>
        <w:left w:val="none" w:sz="0" w:space="0" w:color="auto"/>
        <w:bottom w:val="none" w:sz="0" w:space="0" w:color="auto"/>
        <w:right w:val="none" w:sz="0" w:space="0" w:color="auto"/>
      </w:divBdr>
    </w:div>
    <w:div w:id="1025910855">
      <w:bodyDiv w:val="1"/>
      <w:marLeft w:val="0"/>
      <w:marRight w:val="0"/>
      <w:marTop w:val="0"/>
      <w:marBottom w:val="0"/>
      <w:divBdr>
        <w:top w:val="none" w:sz="0" w:space="0" w:color="auto"/>
        <w:left w:val="none" w:sz="0" w:space="0" w:color="auto"/>
        <w:bottom w:val="none" w:sz="0" w:space="0" w:color="auto"/>
        <w:right w:val="none" w:sz="0" w:space="0" w:color="auto"/>
      </w:divBdr>
    </w:div>
    <w:div w:id="1076363477">
      <w:bodyDiv w:val="1"/>
      <w:marLeft w:val="0"/>
      <w:marRight w:val="0"/>
      <w:marTop w:val="0"/>
      <w:marBottom w:val="0"/>
      <w:divBdr>
        <w:top w:val="none" w:sz="0" w:space="0" w:color="auto"/>
        <w:left w:val="none" w:sz="0" w:space="0" w:color="auto"/>
        <w:bottom w:val="none" w:sz="0" w:space="0" w:color="auto"/>
        <w:right w:val="none" w:sz="0" w:space="0" w:color="auto"/>
      </w:divBdr>
    </w:div>
    <w:div w:id="1189485660">
      <w:bodyDiv w:val="1"/>
      <w:marLeft w:val="0"/>
      <w:marRight w:val="0"/>
      <w:marTop w:val="0"/>
      <w:marBottom w:val="0"/>
      <w:divBdr>
        <w:top w:val="none" w:sz="0" w:space="0" w:color="auto"/>
        <w:left w:val="none" w:sz="0" w:space="0" w:color="auto"/>
        <w:bottom w:val="none" w:sz="0" w:space="0" w:color="auto"/>
        <w:right w:val="none" w:sz="0" w:space="0" w:color="auto"/>
      </w:divBdr>
    </w:div>
    <w:div w:id="1238051648">
      <w:bodyDiv w:val="1"/>
      <w:marLeft w:val="0"/>
      <w:marRight w:val="0"/>
      <w:marTop w:val="0"/>
      <w:marBottom w:val="0"/>
      <w:divBdr>
        <w:top w:val="none" w:sz="0" w:space="0" w:color="auto"/>
        <w:left w:val="none" w:sz="0" w:space="0" w:color="auto"/>
        <w:bottom w:val="none" w:sz="0" w:space="0" w:color="auto"/>
        <w:right w:val="none" w:sz="0" w:space="0" w:color="auto"/>
      </w:divBdr>
    </w:div>
    <w:div w:id="1352222415">
      <w:bodyDiv w:val="1"/>
      <w:marLeft w:val="0"/>
      <w:marRight w:val="0"/>
      <w:marTop w:val="0"/>
      <w:marBottom w:val="0"/>
      <w:divBdr>
        <w:top w:val="none" w:sz="0" w:space="0" w:color="auto"/>
        <w:left w:val="none" w:sz="0" w:space="0" w:color="auto"/>
        <w:bottom w:val="none" w:sz="0" w:space="0" w:color="auto"/>
        <w:right w:val="none" w:sz="0" w:space="0" w:color="auto"/>
      </w:divBdr>
    </w:div>
    <w:div w:id="1381125294">
      <w:bodyDiv w:val="1"/>
      <w:marLeft w:val="0"/>
      <w:marRight w:val="0"/>
      <w:marTop w:val="0"/>
      <w:marBottom w:val="0"/>
      <w:divBdr>
        <w:top w:val="none" w:sz="0" w:space="0" w:color="auto"/>
        <w:left w:val="none" w:sz="0" w:space="0" w:color="auto"/>
        <w:bottom w:val="none" w:sz="0" w:space="0" w:color="auto"/>
        <w:right w:val="none" w:sz="0" w:space="0" w:color="auto"/>
      </w:divBdr>
    </w:div>
    <w:div w:id="1505583645">
      <w:bodyDiv w:val="1"/>
      <w:marLeft w:val="0"/>
      <w:marRight w:val="0"/>
      <w:marTop w:val="0"/>
      <w:marBottom w:val="0"/>
      <w:divBdr>
        <w:top w:val="none" w:sz="0" w:space="0" w:color="auto"/>
        <w:left w:val="none" w:sz="0" w:space="0" w:color="auto"/>
        <w:bottom w:val="none" w:sz="0" w:space="0" w:color="auto"/>
        <w:right w:val="none" w:sz="0" w:space="0" w:color="auto"/>
      </w:divBdr>
    </w:div>
    <w:div w:id="1533954771">
      <w:bodyDiv w:val="1"/>
      <w:marLeft w:val="0"/>
      <w:marRight w:val="0"/>
      <w:marTop w:val="0"/>
      <w:marBottom w:val="0"/>
      <w:divBdr>
        <w:top w:val="none" w:sz="0" w:space="0" w:color="auto"/>
        <w:left w:val="none" w:sz="0" w:space="0" w:color="auto"/>
        <w:bottom w:val="none" w:sz="0" w:space="0" w:color="auto"/>
        <w:right w:val="none" w:sz="0" w:space="0" w:color="auto"/>
      </w:divBdr>
    </w:div>
    <w:div w:id="1546139365">
      <w:bodyDiv w:val="1"/>
      <w:marLeft w:val="0"/>
      <w:marRight w:val="0"/>
      <w:marTop w:val="0"/>
      <w:marBottom w:val="0"/>
      <w:divBdr>
        <w:top w:val="none" w:sz="0" w:space="0" w:color="auto"/>
        <w:left w:val="none" w:sz="0" w:space="0" w:color="auto"/>
        <w:bottom w:val="none" w:sz="0" w:space="0" w:color="auto"/>
        <w:right w:val="none" w:sz="0" w:space="0" w:color="auto"/>
      </w:divBdr>
    </w:div>
    <w:div w:id="1577090233">
      <w:bodyDiv w:val="1"/>
      <w:marLeft w:val="0"/>
      <w:marRight w:val="0"/>
      <w:marTop w:val="0"/>
      <w:marBottom w:val="0"/>
      <w:divBdr>
        <w:top w:val="none" w:sz="0" w:space="0" w:color="auto"/>
        <w:left w:val="none" w:sz="0" w:space="0" w:color="auto"/>
        <w:bottom w:val="none" w:sz="0" w:space="0" w:color="auto"/>
        <w:right w:val="none" w:sz="0" w:space="0" w:color="auto"/>
      </w:divBdr>
    </w:div>
    <w:div w:id="1594783151">
      <w:bodyDiv w:val="1"/>
      <w:marLeft w:val="0"/>
      <w:marRight w:val="0"/>
      <w:marTop w:val="0"/>
      <w:marBottom w:val="0"/>
      <w:divBdr>
        <w:top w:val="none" w:sz="0" w:space="0" w:color="auto"/>
        <w:left w:val="none" w:sz="0" w:space="0" w:color="auto"/>
        <w:bottom w:val="none" w:sz="0" w:space="0" w:color="auto"/>
        <w:right w:val="none" w:sz="0" w:space="0" w:color="auto"/>
      </w:divBdr>
    </w:div>
    <w:div w:id="1698001513">
      <w:bodyDiv w:val="1"/>
      <w:marLeft w:val="0"/>
      <w:marRight w:val="0"/>
      <w:marTop w:val="0"/>
      <w:marBottom w:val="0"/>
      <w:divBdr>
        <w:top w:val="none" w:sz="0" w:space="0" w:color="auto"/>
        <w:left w:val="none" w:sz="0" w:space="0" w:color="auto"/>
        <w:bottom w:val="none" w:sz="0" w:space="0" w:color="auto"/>
        <w:right w:val="none" w:sz="0" w:space="0" w:color="auto"/>
      </w:divBdr>
    </w:div>
    <w:div w:id="1791164777">
      <w:bodyDiv w:val="1"/>
      <w:marLeft w:val="0"/>
      <w:marRight w:val="0"/>
      <w:marTop w:val="0"/>
      <w:marBottom w:val="0"/>
      <w:divBdr>
        <w:top w:val="none" w:sz="0" w:space="0" w:color="auto"/>
        <w:left w:val="none" w:sz="0" w:space="0" w:color="auto"/>
        <w:bottom w:val="none" w:sz="0" w:space="0" w:color="auto"/>
        <w:right w:val="none" w:sz="0" w:space="0" w:color="auto"/>
      </w:divBdr>
    </w:div>
    <w:div w:id="1806846072">
      <w:bodyDiv w:val="1"/>
      <w:marLeft w:val="0"/>
      <w:marRight w:val="0"/>
      <w:marTop w:val="0"/>
      <w:marBottom w:val="0"/>
      <w:divBdr>
        <w:top w:val="none" w:sz="0" w:space="0" w:color="auto"/>
        <w:left w:val="none" w:sz="0" w:space="0" w:color="auto"/>
        <w:bottom w:val="none" w:sz="0" w:space="0" w:color="auto"/>
        <w:right w:val="none" w:sz="0" w:space="0" w:color="auto"/>
      </w:divBdr>
    </w:div>
    <w:div w:id="1837110639">
      <w:bodyDiv w:val="1"/>
      <w:marLeft w:val="0"/>
      <w:marRight w:val="0"/>
      <w:marTop w:val="0"/>
      <w:marBottom w:val="0"/>
      <w:divBdr>
        <w:top w:val="none" w:sz="0" w:space="0" w:color="auto"/>
        <w:left w:val="none" w:sz="0" w:space="0" w:color="auto"/>
        <w:bottom w:val="none" w:sz="0" w:space="0" w:color="auto"/>
        <w:right w:val="none" w:sz="0" w:space="0" w:color="auto"/>
      </w:divBdr>
    </w:div>
    <w:div w:id="1843857337">
      <w:bodyDiv w:val="1"/>
      <w:marLeft w:val="0"/>
      <w:marRight w:val="0"/>
      <w:marTop w:val="0"/>
      <w:marBottom w:val="0"/>
      <w:divBdr>
        <w:top w:val="none" w:sz="0" w:space="0" w:color="auto"/>
        <w:left w:val="none" w:sz="0" w:space="0" w:color="auto"/>
        <w:bottom w:val="none" w:sz="0" w:space="0" w:color="auto"/>
        <w:right w:val="none" w:sz="0" w:space="0" w:color="auto"/>
      </w:divBdr>
    </w:div>
    <w:div w:id="1859851477">
      <w:bodyDiv w:val="1"/>
      <w:marLeft w:val="0"/>
      <w:marRight w:val="0"/>
      <w:marTop w:val="0"/>
      <w:marBottom w:val="0"/>
      <w:divBdr>
        <w:top w:val="none" w:sz="0" w:space="0" w:color="auto"/>
        <w:left w:val="none" w:sz="0" w:space="0" w:color="auto"/>
        <w:bottom w:val="none" w:sz="0" w:space="0" w:color="auto"/>
        <w:right w:val="none" w:sz="0" w:space="0" w:color="auto"/>
      </w:divBdr>
    </w:div>
    <w:div w:id="1882208757">
      <w:bodyDiv w:val="1"/>
      <w:marLeft w:val="0"/>
      <w:marRight w:val="0"/>
      <w:marTop w:val="0"/>
      <w:marBottom w:val="0"/>
      <w:divBdr>
        <w:top w:val="none" w:sz="0" w:space="0" w:color="auto"/>
        <w:left w:val="none" w:sz="0" w:space="0" w:color="auto"/>
        <w:bottom w:val="none" w:sz="0" w:space="0" w:color="auto"/>
        <w:right w:val="none" w:sz="0" w:space="0" w:color="auto"/>
      </w:divBdr>
    </w:div>
    <w:div w:id="1920283910">
      <w:bodyDiv w:val="1"/>
      <w:marLeft w:val="0"/>
      <w:marRight w:val="0"/>
      <w:marTop w:val="0"/>
      <w:marBottom w:val="0"/>
      <w:divBdr>
        <w:top w:val="none" w:sz="0" w:space="0" w:color="auto"/>
        <w:left w:val="none" w:sz="0" w:space="0" w:color="auto"/>
        <w:bottom w:val="none" w:sz="0" w:space="0" w:color="auto"/>
        <w:right w:val="none" w:sz="0" w:space="0" w:color="auto"/>
      </w:divBdr>
    </w:div>
    <w:div w:id="1923837122">
      <w:bodyDiv w:val="1"/>
      <w:marLeft w:val="0"/>
      <w:marRight w:val="0"/>
      <w:marTop w:val="0"/>
      <w:marBottom w:val="0"/>
      <w:divBdr>
        <w:top w:val="none" w:sz="0" w:space="0" w:color="auto"/>
        <w:left w:val="none" w:sz="0" w:space="0" w:color="auto"/>
        <w:bottom w:val="none" w:sz="0" w:space="0" w:color="auto"/>
        <w:right w:val="none" w:sz="0" w:space="0" w:color="auto"/>
      </w:divBdr>
    </w:div>
    <w:div w:id="1947157750">
      <w:bodyDiv w:val="1"/>
      <w:marLeft w:val="0"/>
      <w:marRight w:val="0"/>
      <w:marTop w:val="0"/>
      <w:marBottom w:val="0"/>
      <w:divBdr>
        <w:top w:val="none" w:sz="0" w:space="0" w:color="auto"/>
        <w:left w:val="none" w:sz="0" w:space="0" w:color="auto"/>
        <w:bottom w:val="none" w:sz="0" w:space="0" w:color="auto"/>
        <w:right w:val="none" w:sz="0" w:space="0" w:color="auto"/>
      </w:divBdr>
    </w:div>
    <w:div w:id="2098549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hyperlink" Target="https://www.jstor.org/stable/2844261" TargetMode="External"/><Relationship Id="rId26" Type="http://schemas.openxmlformats.org/officeDocument/2006/relationships/hyperlink" Target="https://www.researchgate.net/publication/265379507_The_Neanderthal_dead_exploring_mortuary_variability_in_Middle_Palaeolithic_Eurasia" TargetMode="External"/><Relationship Id="rId39" Type="http://schemas.openxmlformats.org/officeDocument/2006/relationships/theme" Target="theme/theme1.xml"/><Relationship Id="rId21" Type="http://schemas.openxmlformats.org/officeDocument/2006/relationships/hyperlink" Target="https://doi.org/10.4102/tv.v47i1.73" TargetMode="External"/><Relationship Id="rId34" Type="http://schemas.openxmlformats.org/officeDocument/2006/relationships/footer" Target="footer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academia.edu/7231596/The_Cantabrian_Mesolithic_and_the_Epipaleolithic_in_the_Levant_a_Brief_Comparison" TargetMode="External"/><Relationship Id="rId25" Type="http://schemas.openxmlformats.org/officeDocument/2006/relationships/hyperlink" Target="http://www.jstor.org/stable/41492570"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www.jstor.org/stable/23380247" TargetMode="External"/><Relationship Id="rId20" Type="http://schemas.openxmlformats.org/officeDocument/2006/relationships/hyperlink" Target="https://doi.org/10.1093/oxfordhb/9780199232444.001.0001" TargetMode="External"/><Relationship Id="rId29" Type="http://schemas.openxmlformats.org/officeDocument/2006/relationships/hyperlink" Target="http://dx.doi.org/10.1016/j.quaint.2017.05.039"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www.pnas.org/cgi/doi/10.1073/pnas.1001809107"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s://doi.org/10.15184/aqy.2017.136" TargetMode="External"/><Relationship Id="rId23" Type="http://schemas.openxmlformats.org/officeDocument/2006/relationships/hyperlink" Target="https://core.ac.uk/display/11855789?utm_source=pdf&amp;utm_medium=banner&amp;utm_campaign=pdf-decoration-v1" TargetMode="External"/><Relationship Id="rId28" Type="http://schemas.openxmlformats.org/officeDocument/2006/relationships/hyperlink" Target="https://doi.org/10.1038/s41598-017-17096-5" TargetMode="External"/><Relationship Id="rId36" Type="http://schemas.openxmlformats.org/officeDocument/2006/relationships/header" Target="header3.xml"/><Relationship Id="rId10" Type="http://schemas.openxmlformats.org/officeDocument/2006/relationships/image" Target="media/image5.png"/><Relationship Id="rId19" Type="http://schemas.openxmlformats.org/officeDocument/2006/relationships/hyperlink" Target="http://www.pnas.org/cgi/doi/10.1073/pnas.0806030105" TargetMode="External"/><Relationship Id="rId31" Type="http://schemas.openxmlformats.org/officeDocument/2006/relationships/hyperlink" Target="http://dx.doi.org/10.1016/j.jaa.2013.09.002"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www.jstor.org/stable/2844004" TargetMode="External"/><Relationship Id="rId27" Type="http://schemas.openxmlformats.org/officeDocument/2006/relationships/hyperlink" Target="http://antiquity.ac.uk/ant/84/ant840321.htm" TargetMode="External"/><Relationship Id="rId30" Type="http://schemas.openxmlformats.org/officeDocument/2006/relationships/hyperlink" Target="https://www.academia.edu/6752280/PERSONAL_ADORNMENT_IN_THE_EPI_PALEOLITHIC_OF_THE_LEVANT" TargetMode="External"/><Relationship Id="rId35" Type="http://schemas.openxmlformats.org/officeDocument/2006/relationships/footer" Target="footer2.xml"/><Relationship Id="rId8" Type="http://schemas.openxmlformats.org/officeDocument/2006/relationships/image" Target="media/image3.png"/><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938</TotalTime>
  <Pages>1</Pages>
  <Words>3581</Words>
  <Characters>20415</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Student number 99091195</Company>
  <LinksUpToDate>false</LinksUpToDate>
  <CharactersWithSpaces>23949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does the study of archaeological remains – ancient burials, cemeteries, and tombs of the Natufian culture in the Levant tell us about ancient burial practices and/or beliefs in an afterlife?</dc:title>
  <dc:subject>HPHP4002 Death, Burial and the Afterlife.</dc:subject>
  <dc:creator>Gareth Jenkins</dc:creator>
  <cp:keywords/>
  <dc:description/>
  <cp:lastModifiedBy>Gareth Jenkins</cp:lastModifiedBy>
  <cp:revision>21</cp:revision>
  <dcterms:created xsi:type="dcterms:W3CDTF">2024-03-04T12:06:00Z</dcterms:created>
  <dcterms:modified xsi:type="dcterms:W3CDTF">2024-03-12T18:44:00Z</dcterms:modified>
</cp:coreProperties>
</file>