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13B3A" w14:textId="77777777" w:rsidR="00F432FA" w:rsidRDefault="00F432FA" w:rsidP="00B96695">
      <w:pPr>
        <w:spacing w:line="360" w:lineRule="auto"/>
      </w:pPr>
    </w:p>
    <w:p w14:paraId="5779E813" w14:textId="77777777" w:rsidR="00F432FA" w:rsidRPr="005D1B91" w:rsidRDefault="00F432FA" w:rsidP="00B96695">
      <w:pPr>
        <w:spacing w:line="360" w:lineRule="auto"/>
      </w:pPr>
    </w:p>
    <w:p w14:paraId="7AC91018" w14:textId="77777777" w:rsidR="00F432FA" w:rsidRPr="005D1B91" w:rsidRDefault="00F432FA" w:rsidP="00B96695">
      <w:pPr>
        <w:spacing w:line="360" w:lineRule="auto"/>
      </w:pPr>
    </w:p>
    <w:p w14:paraId="0E7B57D7" w14:textId="77777777" w:rsidR="00F432FA" w:rsidRPr="005D1B91" w:rsidRDefault="00CC64EC" w:rsidP="0013278D">
      <w:pPr>
        <w:pStyle w:val="Title"/>
        <w:rPr>
          <w:sz w:val="36"/>
          <w:szCs w:val="36"/>
        </w:rPr>
      </w:pPr>
      <w:r>
        <w:rPr>
          <w:sz w:val="36"/>
          <w:szCs w:val="36"/>
        </w:rPr>
        <w:t>An Investigation into the Imagery from the Egyptian C</w:t>
      </w:r>
      <w:r w:rsidR="00B73C63" w:rsidRPr="00B73C63">
        <w:rPr>
          <w:sz w:val="36"/>
          <w:szCs w:val="36"/>
        </w:rPr>
        <w:t xml:space="preserve">ulture and the Orphic </w:t>
      </w:r>
      <w:r w:rsidR="00B73C63" w:rsidRPr="007F263C">
        <w:rPr>
          <w:i/>
          <w:sz w:val="36"/>
          <w:szCs w:val="36"/>
        </w:rPr>
        <w:t>Derveni Papyrus</w:t>
      </w:r>
      <w:r w:rsidR="00B73C63" w:rsidRPr="00B73C63">
        <w:rPr>
          <w:sz w:val="36"/>
          <w:szCs w:val="36"/>
        </w:rPr>
        <w:t xml:space="preserve"> and it</w:t>
      </w:r>
      <w:r w:rsidR="00B73C63">
        <w:rPr>
          <w:sz w:val="36"/>
          <w:szCs w:val="36"/>
        </w:rPr>
        <w:t>s</w:t>
      </w:r>
      <w:r>
        <w:rPr>
          <w:sz w:val="36"/>
          <w:szCs w:val="36"/>
        </w:rPr>
        <w:t xml:space="preserve"> Possible Reflections in Early Christian Texts and Fourteenth to Sixteenth Century Annunciation A</w:t>
      </w:r>
      <w:r w:rsidR="00B73C63" w:rsidRPr="00B73C63">
        <w:rPr>
          <w:sz w:val="36"/>
          <w:szCs w:val="36"/>
        </w:rPr>
        <w:t>rt</w:t>
      </w:r>
    </w:p>
    <w:p w14:paraId="2CE594F8" w14:textId="77777777" w:rsidR="00F432FA" w:rsidRDefault="00F432FA" w:rsidP="00B96695">
      <w:pPr>
        <w:spacing w:line="360" w:lineRule="auto"/>
      </w:pPr>
    </w:p>
    <w:p w14:paraId="7E90BAF7" w14:textId="77777777" w:rsidR="00F432FA" w:rsidRPr="0013278D" w:rsidRDefault="00F432FA" w:rsidP="00B96695">
      <w:pPr>
        <w:spacing w:line="360" w:lineRule="auto"/>
        <w:rPr>
          <w:rFonts w:ascii="Arial" w:hAnsi="Arial" w:cs="Arial"/>
        </w:rPr>
      </w:pPr>
      <w:r w:rsidRPr="0013278D">
        <w:rPr>
          <w:rFonts w:ascii="Arial" w:hAnsi="Arial" w:cs="Arial"/>
        </w:rPr>
        <w:t xml:space="preserve">Alison Chester-Lambert </w:t>
      </w:r>
    </w:p>
    <w:p w14:paraId="1161A3DF" w14:textId="77777777" w:rsidR="00403ADC" w:rsidRPr="0013278D" w:rsidRDefault="00403ADC" w:rsidP="00B96695">
      <w:pPr>
        <w:spacing w:line="360" w:lineRule="auto"/>
        <w:rPr>
          <w:rFonts w:ascii="Arial" w:hAnsi="Arial" w:cs="Arial"/>
        </w:rPr>
      </w:pPr>
    </w:p>
    <w:p w14:paraId="69D86B84" w14:textId="77777777" w:rsidR="00403ADC" w:rsidRPr="0013278D" w:rsidRDefault="00403ADC" w:rsidP="00B96695">
      <w:pPr>
        <w:spacing w:line="360" w:lineRule="auto"/>
        <w:rPr>
          <w:rFonts w:ascii="Arial" w:hAnsi="Arial" w:cs="Arial"/>
        </w:rPr>
      </w:pPr>
      <w:r w:rsidRPr="0013278D">
        <w:rPr>
          <w:rFonts w:ascii="Arial" w:hAnsi="Arial" w:cs="Arial"/>
        </w:rPr>
        <w:t>Student Number 30000990</w:t>
      </w:r>
    </w:p>
    <w:p w14:paraId="2EA18810" w14:textId="77777777" w:rsidR="00403ADC" w:rsidRPr="0013278D" w:rsidRDefault="00403ADC" w:rsidP="00B96695">
      <w:pPr>
        <w:spacing w:line="360" w:lineRule="auto"/>
        <w:rPr>
          <w:rFonts w:ascii="Arial" w:hAnsi="Arial" w:cs="Arial"/>
        </w:rPr>
      </w:pPr>
    </w:p>
    <w:p w14:paraId="05ED90E1" w14:textId="77777777" w:rsidR="009220BC" w:rsidRDefault="00403ADC" w:rsidP="00B96695">
      <w:pPr>
        <w:spacing w:line="360" w:lineRule="auto"/>
        <w:rPr>
          <w:rFonts w:ascii="Arial" w:hAnsi="Arial" w:cs="Arial"/>
        </w:rPr>
      </w:pPr>
      <w:r w:rsidRPr="0013278D">
        <w:rPr>
          <w:rFonts w:ascii="Arial" w:hAnsi="Arial" w:cs="Arial"/>
        </w:rPr>
        <w:t xml:space="preserve">Submitted </w:t>
      </w:r>
      <w:r w:rsidR="009220BC">
        <w:rPr>
          <w:rFonts w:ascii="Arial" w:hAnsi="Arial" w:cs="Arial"/>
        </w:rPr>
        <w:t>September 2014</w:t>
      </w:r>
    </w:p>
    <w:p w14:paraId="05DBAAA9" w14:textId="77777777" w:rsidR="008A4D7D" w:rsidRDefault="008A4D7D" w:rsidP="00B96695">
      <w:pPr>
        <w:spacing w:line="360" w:lineRule="auto"/>
        <w:rPr>
          <w:rFonts w:ascii="Arial" w:hAnsi="Arial" w:cs="Arial"/>
        </w:rPr>
      </w:pPr>
    </w:p>
    <w:p w14:paraId="572EBB3B" w14:textId="77777777" w:rsidR="00A1156E" w:rsidRDefault="00A1156E" w:rsidP="008A4D7D">
      <w:pPr>
        <w:spacing w:line="360" w:lineRule="auto"/>
        <w:rPr>
          <w:rFonts w:ascii="Arial" w:hAnsi="Arial" w:cs="Arial"/>
        </w:rPr>
      </w:pPr>
      <w:r>
        <w:rPr>
          <w:rFonts w:ascii="Arial" w:hAnsi="Arial" w:cs="Arial"/>
        </w:rPr>
        <w:t xml:space="preserve">A Dissertation submitted in partial fulfilment of a M.A. in Cultural </w:t>
      </w:r>
      <w:r w:rsidR="005E353D">
        <w:rPr>
          <w:rFonts w:ascii="Arial" w:hAnsi="Arial" w:cs="Arial"/>
        </w:rPr>
        <w:t>Astronomy and Astrology</w:t>
      </w:r>
      <w:r>
        <w:rPr>
          <w:rFonts w:ascii="Arial" w:hAnsi="Arial" w:cs="Arial"/>
        </w:rPr>
        <w:t xml:space="preserve"> </w:t>
      </w:r>
    </w:p>
    <w:p w14:paraId="36D1BC39" w14:textId="77777777" w:rsidR="008A4D7D" w:rsidRPr="008A4D7D" w:rsidRDefault="008A4D7D" w:rsidP="008A4D7D">
      <w:pPr>
        <w:spacing w:line="360" w:lineRule="auto"/>
        <w:rPr>
          <w:rFonts w:ascii="Arial" w:hAnsi="Arial" w:cs="Arial"/>
        </w:rPr>
      </w:pPr>
      <w:r w:rsidRPr="008A4D7D">
        <w:rPr>
          <w:rFonts w:ascii="Arial" w:hAnsi="Arial" w:cs="Arial"/>
        </w:rPr>
        <w:t>School of Archaeology, History and Anthropology.</w:t>
      </w:r>
    </w:p>
    <w:p w14:paraId="272E9EDD" w14:textId="77777777" w:rsidR="008A4D7D" w:rsidRPr="008A4D7D" w:rsidRDefault="008A4D7D" w:rsidP="008A4D7D">
      <w:pPr>
        <w:spacing w:line="360" w:lineRule="auto"/>
        <w:rPr>
          <w:rFonts w:ascii="Arial" w:hAnsi="Arial" w:cs="Arial"/>
        </w:rPr>
      </w:pPr>
      <w:r w:rsidRPr="008A4D7D">
        <w:rPr>
          <w:rFonts w:ascii="Arial" w:hAnsi="Arial" w:cs="Arial"/>
        </w:rPr>
        <w:t>University of Wales Trinity Saint David</w:t>
      </w:r>
    </w:p>
    <w:p w14:paraId="42915B0D" w14:textId="77777777" w:rsidR="008A4D7D" w:rsidRDefault="008A4D7D" w:rsidP="008A4D7D">
      <w:pPr>
        <w:spacing w:line="360" w:lineRule="auto"/>
        <w:rPr>
          <w:rFonts w:ascii="Arial" w:hAnsi="Arial" w:cs="Arial"/>
        </w:rPr>
      </w:pPr>
      <w:r w:rsidRPr="008A4D7D">
        <w:rPr>
          <w:rFonts w:ascii="Arial" w:hAnsi="Arial" w:cs="Arial"/>
        </w:rPr>
        <w:t>Lampeter, Wales.</w:t>
      </w:r>
    </w:p>
    <w:p w14:paraId="5D5EE899" w14:textId="77777777" w:rsidR="008A4D7D" w:rsidRPr="009220BC" w:rsidRDefault="008A4D7D" w:rsidP="00B96695">
      <w:pPr>
        <w:spacing w:line="360" w:lineRule="auto"/>
        <w:rPr>
          <w:rFonts w:ascii="Arial" w:hAnsi="Arial" w:cs="Arial"/>
        </w:rPr>
        <w:sectPr w:rsidR="008A4D7D" w:rsidRPr="009220BC" w:rsidSect="003B1489">
          <w:headerReference w:type="default" r:id="rId7"/>
          <w:pgSz w:w="11906" w:h="16838"/>
          <w:pgMar w:top="1440" w:right="2495" w:bottom="1440" w:left="2495" w:header="709" w:footer="709" w:gutter="0"/>
          <w:cols w:space="708"/>
          <w:docGrid w:linePitch="360"/>
        </w:sectPr>
      </w:pPr>
    </w:p>
    <w:p w14:paraId="1D0E1E7C" w14:textId="77777777" w:rsidR="00B96695" w:rsidRPr="00816E4D" w:rsidRDefault="0013278D" w:rsidP="00816E4D">
      <w:pPr>
        <w:spacing w:line="360" w:lineRule="auto"/>
      </w:pPr>
      <w:r w:rsidRPr="00816E4D">
        <w:lastRenderedPageBreak/>
        <w:t>Abstract</w:t>
      </w:r>
    </w:p>
    <w:p w14:paraId="41B439E9" w14:textId="77777777" w:rsidR="00816E4D" w:rsidRPr="00816E4D" w:rsidRDefault="00816E4D" w:rsidP="00816E4D">
      <w:pPr>
        <w:spacing w:line="360" w:lineRule="auto"/>
      </w:pPr>
    </w:p>
    <w:p w14:paraId="3A1E88B2" w14:textId="77777777" w:rsidR="004E4C2C" w:rsidRDefault="00816E4D" w:rsidP="00816E4D">
      <w:pPr>
        <w:spacing w:line="360" w:lineRule="auto"/>
      </w:pPr>
      <w:r w:rsidRPr="00816E4D">
        <w:t xml:space="preserve">The sun's unique ability to procreate has been captured in the imagery of Ancient Egypt, the Orphic </w:t>
      </w:r>
      <w:r w:rsidRPr="00155DCB">
        <w:rPr>
          <w:i/>
        </w:rPr>
        <w:t>Derveni Papyrus</w:t>
      </w:r>
      <w:r w:rsidRPr="00816E4D">
        <w:t>, early Christian texts and fourteenth to sixteenth century Annunciation art. But whereas the solari</w:t>
      </w:r>
      <w:r w:rsidR="00155DCB">
        <w:t>sm of Egypt and the Orphic</w:t>
      </w:r>
      <w:r w:rsidRPr="00816E4D">
        <w:t xml:space="preserve"> material contained references to a phallus, resulting in `phallic solarism`, the bowdlerised Christian material employed the more subtle metaphor of sunlight to convey impregnation and the Christian god's fecundity. However close similarities can be detected, possibly because of the sun's particularly unique properties. Furthermore, in the Egyptian and the Christian material, the sun's light and the sun's disc are recognised as separate phenomena, resulting in a Father/Son interpretation. From an observer's viewpoint, the light of the sun precedes the arrival of the disc at dawn and it remains after sunset, a fact that seems to have led to the recognition of different deities for different aspects of the sun. So the light of the sun could be one deity, whilst the disc of the sun - which can only be made out whilst the sun is near the horizon - might be a different deity. This research examines phenomena that may seem curious in a modern, secular society, but nonetheless provide new insight into the contribution that sky objects have made to past cultures</w:t>
      </w:r>
      <w:r w:rsidR="004E4C2C">
        <w:t>.</w:t>
      </w:r>
    </w:p>
    <w:p w14:paraId="406EE177" w14:textId="77777777" w:rsidR="004E4C2C" w:rsidRDefault="004E4C2C" w:rsidP="00816E4D">
      <w:pPr>
        <w:spacing w:line="360" w:lineRule="auto"/>
      </w:pPr>
    </w:p>
    <w:p w14:paraId="78CC7309" w14:textId="77777777" w:rsidR="00A1156E" w:rsidRDefault="00A1156E" w:rsidP="00816E4D">
      <w:pPr>
        <w:spacing w:line="360" w:lineRule="auto"/>
      </w:pPr>
    </w:p>
    <w:p w14:paraId="5666142F" w14:textId="77777777" w:rsidR="00A1156E" w:rsidRDefault="00A1156E" w:rsidP="00816E4D">
      <w:pPr>
        <w:spacing w:line="360" w:lineRule="auto"/>
      </w:pPr>
    </w:p>
    <w:p w14:paraId="252128EA" w14:textId="77777777" w:rsidR="00A1156E" w:rsidRDefault="00A1156E" w:rsidP="00816E4D">
      <w:pPr>
        <w:spacing w:line="360" w:lineRule="auto"/>
      </w:pPr>
    </w:p>
    <w:p w14:paraId="042B6AAF" w14:textId="77777777" w:rsidR="00A1156E" w:rsidRDefault="00A1156E" w:rsidP="00816E4D">
      <w:pPr>
        <w:spacing w:line="360" w:lineRule="auto"/>
      </w:pPr>
    </w:p>
    <w:p w14:paraId="10A86E9B" w14:textId="77777777" w:rsidR="00A1156E" w:rsidRDefault="00A1156E" w:rsidP="00816E4D">
      <w:pPr>
        <w:spacing w:line="360" w:lineRule="auto"/>
      </w:pPr>
    </w:p>
    <w:p w14:paraId="28A7D82C" w14:textId="77777777" w:rsidR="00816E4D" w:rsidRDefault="004E4C2C" w:rsidP="00816E4D">
      <w:pPr>
        <w:spacing w:line="360" w:lineRule="auto"/>
      </w:pPr>
      <w:r>
        <w:lastRenderedPageBreak/>
        <w:t>Acknowledgements</w:t>
      </w:r>
    </w:p>
    <w:p w14:paraId="4A1CDBBD" w14:textId="77777777" w:rsidR="004E4C2C" w:rsidRDefault="004E4C2C" w:rsidP="00816E4D">
      <w:pPr>
        <w:spacing w:line="360" w:lineRule="auto"/>
      </w:pPr>
    </w:p>
    <w:p w14:paraId="5026ADA3" w14:textId="77777777" w:rsidR="004E4C2C" w:rsidRDefault="004E4C2C" w:rsidP="00816E4D">
      <w:pPr>
        <w:spacing w:line="360" w:lineRule="auto"/>
      </w:pPr>
      <w:r>
        <w:t>I w</w:t>
      </w:r>
      <w:r w:rsidR="00B25F1F">
        <w:t>ish to thank my main supervisor</w:t>
      </w:r>
      <w:r>
        <w:t xml:space="preserve"> </w:t>
      </w:r>
      <w:r w:rsidR="00B25F1F">
        <w:t xml:space="preserve">Dr Bernadette Brady and also </w:t>
      </w:r>
      <w:r w:rsidR="00A45551">
        <w:t>Dr Nick Campion</w:t>
      </w:r>
      <w:r>
        <w:t xml:space="preserve"> for all their time and wisdom</w:t>
      </w:r>
      <w:r w:rsidR="0057219E">
        <w:t xml:space="preserve"> and Dr D. Gunzburg for the </w:t>
      </w:r>
      <w:r>
        <w:t xml:space="preserve">additional </w:t>
      </w:r>
      <w:r w:rsidR="0057219E">
        <w:t>help</w:t>
      </w:r>
      <w:r w:rsidR="008A4D7D">
        <w:t xml:space="preserve"> </w:t>
      </w:r>
      <w:r>
        <w:t xml:space="preserve">with the Christian section. </w:t>
      </w:r>
    </w:p>
    <w:p w14:paraId="76E02718" w14:textId="77777777" w:rsidR="004E4C2C" w:rsidRPr="00816E4D" w:rsidRDefault="0057219E" w:rsidP="00816E4D">
      <w:pPr>
        <w:spacing w:line="360" w:lineRule="auto"/>
        <w:sectPr w:rsidR="004E4C2C" w:rsidRPr="00816E4D" w:rsidSect="003B1489">
          <w:pgSz w:w="11906" w:h="16838"/>
          <w:pgMar w:top="1440" w:right="2495" w:bottom="1440" w:left="2495" w:header="709" w:footer="709" w:gutter="0"/>
          <w:cols w:space="708"/>
          <w:docGrid w:linePitch="360"/>
        </w:sectPr>
      </w:pPr>
      <w:r>
        <w:t xml:space="preserve">Also I should thank independent researcher Peter Robinson for initial help with understanding certain Egyptian texts.  </w:t>
      </w:r>
      <w:r w:rsidRPr="0057219E">
        <w:t>Marc Orriols-Llonch</w:t>
      </w:r>
      <w:r>
        <w:t xml:space="preserve"> was kind enough to send me two of his pa</w:t>
      </w:r>
      <w:r w:rsidR="00155DCB">
        <w:t>pers which</w:t>
      </w:r>
      <w:r w:rsidR="00B25F1F">
        <w:t xml:space="preserve"> were not available else</w:t>
      </w:r>
      <w:r w:rsidR="002B256D">
        <w:t>where.</w:t>
      </w:r>
      <w:r>
        <w:t xml:space="preserve"> </w:t>
      </w:r>
    </w:p>
    <w:p w14:paraId="1048BE9B" w14:textId="77777777" w:rsidR="00E34E02" w:rsidRDefault="00E34E02" w:rsidP="00B96695">
      <w:pPr>
        <w:spacing w:line="360" w:lineRule="auto"/>
      </w:pPr>
    </w:p>
    <w:p w14:paraId="51C4EF96"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szCs w:val="24"/>
          <w:lang w:eastAsia="en-GB"/>
        </w:rPr>
      </w:pPr>
      <w:r w:rsidRPr="00E34E02">
        <w:rPr>
          <w:rFonts w:ascii="Arial" w:eastAsia="Times New Roman" w:hAnsi="Arial" w:cs="Arial"/>
          <w:b/>
          <w:szCs w:val="24"/>
          <w:lang w:eastAsia="en-GB"/>
        </w:rPr>
        <w:t>Master’s Degrees by Examination and Dissertation</w:t>
      </w:r>
    </w:p>
    <w:p w14:paraId="0B283EF0"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szCs w:val="24"/>
          <w:lang w:eastAsia="en-GB"/>
        </w:rPr>
      </w:pPr>
      <w:r w:rsidRPr="00E34E02">
        <w:rPr>
          <w:rFonts w:ascii="Arial" w:eastAsia="Times New Roman" w:hAnsi="Arial" w:cs="Arial"/>
          <w:b/>
          <w:szCs w:val="24"/>
          <w:lang w:eastAsia="en-GB"/>
        </w:rPr>
        <w:t>Declaration Form</w:t>
      </w:r>
      <w:r w:rsidRPr="00E34E02">
        <w:rPr>
          <w:rFonts w:ascii="Arial" w:eastAsia="Times New Roman" w:hAnsi="Arial" w:cs="Arial"/>
          <w:szCs w:val="24"/>
          <w:lang w:eastAsia="en-GB"/>
        </w:rPr>
        <w:t>.</w:t>
      </w:r>
    </w:p>
    <w:p w14:paraId="220330D1"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1. This work has not previously been accepted in substance for any degree and is not being concurrently submitted in candidature for any degree.</w:t>
      </w:r>
    </w:p>
    <w:p w14:paraId="6F747B2B"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Name</w:t>
      </w:r>
      <w:proofErr w:type="gramStart"/>
      <w:r w:rsidRPr="00E34E02">
        <w:rPr>
          <w:rFonts w:ascii="Arial" w:eastAsia="Times New Roman" w:hAnsi="Arial" w:cs="Arial"/>
          <w:szCs w:val="24"/>
          <w:lang w:eastAsia="en-GB"/>
        </w:rPr>
        <w:t>..</w:t>
      </w:r>
      <w:proofErr w:type="gramEnd"/>
      <w:r w:rsidRPr="00E34E02">
        <w:rPr>
          <w:rFonts w:ascii="Arial" w:eastAsia="Times New Roman" w:hAnsi="Arial" w:cs="Arial"/>
          <w:szCs w:val="24"/>
          <w:lang w:eastAsia="en-GB"/>
        </w:rPr>
        <w:t>…….</w:t>
      </w:r>
      <w:r w:rsidRPr="00155DCB">
        <w:rPr>
          <w:rFonts w:ascii="Brush Script MT" w:eastAsia="Times New Roman" w:hAnsi="Brush Script MT" w:cs="Arial"/>
          <w:szCs w:val="24"/>
          <w:lang w:eastAsia="en-GB"/>
        </w:rPr>
        <w:t>Alison Chester-Lambert</w:t>
      </w:r>
    </w:p>
    <w:p w14:paraId="62A61821" w14:textId="77777777" w:rsidR="00E34E02" w:rsidRPr="00E34E02" w:rsidRDefault="00F27099"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Pr>
          <w:rFonts w:ascii="Arial" w:eastAsia="Times New Roman" w:hAnsi="Arial" w:cs="Arial"/>
          <w:szCs w:val="24"/>
          <w:lang w:eastAsia="en-GB"/>
        </w:rPr>
        <w:t>Date …</w:t>
      </w:r>
      <w:r w:rsidR="00E34E02" w:rsidRPr="00E34E02">
        <w:rPr>
          <w:rFonts w:ascii="Arial" w:eastAsia="Times New Roman" w:hAnsi="Arial" w:cs="Arial"/>
          <w:szCs w:val="24"/>
          <w:lang w:eastAsia="en-GB"/>
        </w:rPr>
        <w:t>8th September 2014</w:t>
      </w:r>
    </w:p>
    <w:p w14:paraId="18F89F67"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2. This dissertation is being submitted in partial fulfilment of the requirements for the degree of</w:t>
      </w:r>
    </w:p>
    <w:p w14:paraId="1507FE19"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p>
    <w:p w14:paraId="6EABCA17"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Name… MA Cultural Astronomy and Astrology</w:t>
      </w:r>
    </w:p>
    <w:p w14:paraId="4F74B95C"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proofErr w:type="gramStart"/>
      <w:r w:rsidRPr="00E34E02">
        <w:rPr>
          <w:rFonts w:ascii="Arial" w:eastAsia="Times New Roman" w:hAnsi="Arial" w:cs="Arial"/>
          <w:szCs w:val="24"/>
          <w:lang w:eastAsia="en-GB"/>
        </w:rPr>
        <w:t>Date  …</w:t>
      </w:r>
      <w:proofErr w:type="gramEnd"/>
      <w:r w:rsidRPr="00E34E02">
        <w:rPr>
          <w:rFonts w:ascii="Arial" w:eastAsia="Times New Roman" w:hAnsi="Arial" w:cs="Arial"/>
          <w:szCs w:val="24"/>
          <w:lang w:eastAsia="en-GB"/>
        </w:rPr>
        <w:t>8th September 2014</w:t>
      </w:r>
    </w:p>
    <w:p w14:paraId="4BF7D291"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3. This dissertation is the result of my own independent work/investigation, except where otherwise stated.</w:t>
      </w:r>
    </w:p>
    <w:p w14:paraId="7D55DDD6"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 xml:space="preserve">Other sources are acknowledged by footnotes giving explicit references. </w:t>
      </w:r>
    </w:p>
    <w:p w14:paraId="622C60CA"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A bibliography is appended.</w:t>
      </w:r>
    </w:p>
    <w:p w14:paraId="5B89FD92"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Name…</w:t>
      </w:r>
      <w:r w:rsidRPr="00155DCB">
        <w:rPr>
          <w:rFonts w:ascii="Brush Script MT" w:eastAsia="Times New Roman" w:hAnsi="Brush Script MT" w:cs="Arial"/>
          <w:szCs w:val="24"/>
          <w:lang w:eastAsia="en-GB"/>
        </w:rPr>
        <w:t>Alison Chester-Lambert</w:t>
      </w:r>
    </w:p>
    <w:p w14:paraId="57D1C239"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Date</w:t>
      </w:r>
      <w:proofErr w:type="gramStart"/>
      <w:r w:rsidRPr="00E34E02">
        <w:rPr>
          <w:rFonts w:ascii="Arial" w:eastAsia="Times New Roman" w:hAnsi="Arial" w:cs="Arial"/>
          <w:szCs w:val="24"/>
          <w:lang w:eastAsia="en-GB"/>
        </w:rPr>
        <w:t>:  …</w:t>
      </w:r>
      <w:proofErr w:type="gramEnd"/>
      <w:r w:rsidRPr="00E34E02">
        <w:rPr>
          <w:rFonts w:ascii="Arial" w:eastAsia="Times New Roman" w:hAnsi="Arial" w:cs="Arial"/>
          <w:szCs w:val="24"/>
          <w:lang w:eastAsia="en-GB"/>
        </w:rPr>
        <w:t>8th September 2014</w:t>
      </w:r>
    </w:p>
    <w:p w14:paraId="2514EC09"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 xml:space="preserve">  </w:t>
      </w:r>
    </w:p>
    <w:p w14:paraId="2EAFDB41"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 xml:space="preserve">4. I hereby give consent for my dissertation, if accepted, to be available for photocopying, inter- library loan, and for deposit in the University’s digital repository </w:t>
      </w:r>
    </w:p>
    <w:p w14:paraId="2B7B191E"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Name…</w:t>
      </w:r>
      <w:r w:rsidRPr="00155DCB">
        <w:rPr>
          <w:rFonts w:ascii="Brush Script MT" w:eastAsia="Times New Roman" w:hAnsi="Brush Script MT" w:cs="Arial"/>
          <w:szCs w:val="24"/>
          <w:lang w:eastAsia="en-GB"/>
        </w:rPr>
        <w:t>Alison Chester-Lambert</w:t>
      </w:r>
    </w:p>
    <w:p w14:paraId="2C7F58D6"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Date…8th September 2014</w:t>
      </w:r>
    </w:p>
    <w:p w14:paraId="2C7FC16A"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b/>
          <w:szCs w:val="24"/>
          <w:lang w:eastAsia="en-GB"/>
        </w:rPr>
        <w:t>Supervisor’s Declaration</w:t>
      </w:r>
      <w:r w:rsidRPr="00E34E02">
        <w:rPr>
          <w:rFonts w:ascii="Arial" w:eastAsia="Times New Roman" w:hAnsi="Arial" w:cs="Arial"/>
          <w:szCs w:val="24"/>
          <w:lang w:eastAsia="en-GB"/>
        </w:rPr>
        <w:t>.</w:t>
      </w:r>
    </w:p>
    <w:p w14:paraId="3C2BD7C6"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lang w:eastAsia="en-GB"/>
        </w:rPr>
      </w:pPr>
      <w:r w:rsidRPr="00E34E02">
        <w:rPr>
          <w:rFonts w:ascii="Arial" w:eastAsia="Times New Roman" w:hAnsi="Arial" w:cs="Arial"/>
          <w:szCs w:val="24"/>
          <w:lang w:eastAsia="en-GB"/>
        </w:rPr>
        <w:t>I am satisfied that this work is the result of the student’s own efforts.</w:t>
      </w:r>
    </w:p>
    <w:p w14:paraId="79019FB7" w14:textId="77777777" w:rsidR="00E34E02" w:rsidRPr="00E34E02" w:rsidRDefault="00E34E02" w:rsidP="00E34E02">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pPr>
      <w:r w:rsidRPr="00E34E02">
        <w:rPr>
          <w:rFonts w:ascii="Arial" w:eastAsia="Times New Roman" w:hAnsi="Arial" w:cs="Arial"/>
          <w:szCs w:val="24"/>
          <w:lang w:eastAsia="en-GB"/>
        </w:rPr>
        <w:t>Nam</w:t>
      </w:r>
      <w:r w:rsidR="00155DCB">
        <w:rPr>
          <w:rFonts w:ascii="Arial" w:eastAsia="Times New Roman" w:hAnsi="Arial" w:cs="Arial"/>
          <w:szCs w:val="24"/>
          <w:lang w:eastAsia="en-GB"/>
        </w:rPr>
        <w:t xml:space="preserve">e: </w:t>
      </w:r>
      <w:r w:rsidRPr="00E34E02">
        <w:rPr>
          <w:rFonts w:ascii="Arial" w:eastAsia="Times New Roman" w:hAnsi="Arial" w:cs="Arial"/>
          <w:noProof/>
          <w:szCs w:val="24"/>
          <w:lang w:eastAsia="en-GB"/>
        </w:rPr>
        <w:drawing>
          <wp:inline distT="0" distB="0" distL="0" distR="0" wp14:anchorId="56D6D154" wp14:editId="0A295A10">
            <wp:extent cx="1765935" cy="725170"/>
            <wp:effectExtent l="0" t="0" r="5715" b="0"/>
            <wp:docPr id="21" name="Picture 21" descr="BB Signi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 Signi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5935" cy="725170"/>
                    </a:xfrm>
                    <a:prstGeom prst="rect">
                      <a:avLst/>
                    </a:prstGeom>
                    <a:noFill/>
                    <a:ln>
                      <a:noFill/>
                    </a:ln>
                  </pic:spPr>
                </pic:pic>
              </a:graphicData>
            </a:graphic>
          </wp:inline>
        </w:drawing>
      </w:r>
    </w:p>
    <w:p w14:paraId="4E59390C" w14:textId="77777777" w:rsidR="009220BC" w:rsidRPr="009220BC" w:rsidRDefault="00155DCB" w:rsidP="00155DC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Cs w:val="24"/>
          <w:lang w:eastAsia="en-GB"/>
        </w:rPr>
        <w:sectPr w:rsidR="009220BC" w:rsidRPr="009220BC" w:rsidSect="003B1489">
          <w:pgSz w:w="11906" w:h="16838"/>
          <w:pgMar w:top="1440" w:right="2495" w:bottom="1440" w:left="2495" w:header="709" w:footer="709" w:gutter="0"/>
          <w:cols w:space="708"/>
          <w:docGrid w:linePitch="360"/>
        </w:sectPr>
      </w:pPr>
      <w:r>
        <w:rPr>
          <w:rFonts w:ascii="Arial" w:eastAsia="Times New Roman" w:hAnsi="Arial" w:cs="Arial"/>
          <w:szCs w:val="24"/>
          <w:lang w:eastAsia="en-GB"/>
        </w:rPr>
        <w:t xml:space="preserve">Date:  </w:t>
      </w:r>
      <w:proofErr w:type="gramStart"/>
      <w:r>
        <w:rPr>
          <w:rFonts w:ascii="Arial" w:eastAsia="Times New Roman" w:hAnsi="Arial" w:cs="Arial"/>
          <w:szCs w:val="24"/>
          <w:lang w:eastAsia="en-GB"/>
        </w:rPr>
        <w:t>8</w:t>
      </w:r>
      <w:r w:rsidR="00F27099">
        <w:rPr>
          <w:rFonts w:ascii="Arial" w:eastAsia="Times New Roman" w:hAnsi="Arial" w:cs="Arial"/>
          <w:szCs w:val="24"/>
          <w:lang w:eastAsia="en-GB"/>
        </w:rPr>
        <w:t>th</w:t>
      </w:r>
      <w:r>
        <w:rPr>
          <w:rFonts w:ascii="Arial" w:eastAsia="Times New Roman" w:hAnsi="Arial" w:cs="Arial"/>
          <w:szCs w:val="24"/>
          <w:lang w:eastAsia="en-GB"/>
        </w:rPr>
        <w:t xml:space="preserve">  Sept</w:t>
      </w:r>
      <w:proofErr w:type="gramEnd"/>
      <w:r>
        <w:rPr>
          <w:rFonts w:ascii="Arial" w:eastAsia="Times New Roman" w:hAnsi="Arial" w:cs="Arial"/>
          <w:szCs w:val="24"/>
          <w:lang w:eastAsia="en-GB"/>
        </w:rPr>
        <w:t xml:space="preserve"> 2014</w:t>
      </w:r>
    </w:p>
    <w:p w14:paraId="4FEE6E14" w14:textId="77777777" w:rsidR="00F432FA" w:rsidRDefault="00F432FA" w:rsidP="00B96695">
      <w:pPr>
        <w:spacing w:line="360" w:lineRule="auto"/>
      </w:pPr>
    </w:p>
    <w:sdt>
      <w:sdtPr>
        <w:rPr>
          <w:rFonts w:ascii="Palatino Linotype" w:eastAsiaTheme="minorHAnsi" w:hAnsi="Palatino Linotype" w:cstheme="minorBidi"/>
          <w:b w:val="0"/>
          <w:bCs w:val="0"/>
          <w:color w:val="auto"/>
          <w:sz w:val="24"/>
          <w:szCs w:val="22"/>
          <w:lang w:val="en-GB" w:eastAsia="en-US"/>
        </w:rPr>
        <w:id w:val="-67811235"/>
        <w:docPartObj>
          <w:docPartGallery w:val="Table of Contents"/>
          <w:docPartUnique/>
        </w:docPartObj>
      </w:sdtPr>
      <w:sdtEndPr>
        <w:rPr>
          <w:noProof/>
        </w:rPr>
      </w:sdtEndPr>
      <w:sdtContent>
        <w:p w14:paraId="0901E49D" w14:textId="77777777" w:rsidR="00B25AE4" w:rsidRDefault="00B25AE4">
          <w:pPr>
            <w:pStyle w:val="TOCHeading"/>
            <w:rPr>
              <w:color w:val="auto"/>
            </w:rPr>
          </w:pPr>
          <w:r w:rsidRPr="004B0CEB">
            <w:rPr>
              <w:color w:val="auto"/>
            </w:rPr>
            <w:t>Contents</w:t>
          </w:r>
        </w:p>
        <w:p w14:paraId="28AC0B5E" w14:textId="77777777" w:rsidR="00F27099" w:rsidRPr="00F27099" w:rsidRDefault="00F27099" w:rsidP="00F27099">
          <w:pPr>
            <w:rPr>
              <w:lang w:val="en-US" w:eastAsia="ja-JP"/>
            </w:rPr>
          </w:pPr>
        </w:p>
        <w:p w14:paraId="6B3CCEB1" w14:textId="77777777" w:rsidR="00F27099" w:rsidRDefault="00B25AE4">
          <w:pPr>
            <w:pStyle w:val="TOC1"/>
            <w:tabs>
              <w:tab w:val="right" w:leader="dot" w:pos="690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98190008" w:history="1">
            <w:r w:rsidR="00F27099" w:rsidRPr="00C77E08">
              <w:rPr>
                <w:rStyle w:val="Hyperlink"/>
                <w:noProof/>
              </w:rPr>
              <w:t>Section One</w:t>
            </w:r>
            <w:r w:rsidR="00F27099">
              <w:rPr>
                <w:noProof/>
                <w:webHidden/>
              </w:rPr>
              <w:tab/>
            </w:r>
            <w:r w:rsidR="00F27099">
              <w:rPr>
                <w:noProof/>
                <w:webHidden/>
              </w:rPr>
              <w:fldChar w:fldCharType="begin"/>
            </w:r>
            <w:r w:rsidR="00F27099">
              <w:rPr>
                <w:noProof/>
                <w:webHidden/>
              </w:rPr>
              <w:instrText xml:space="preserve"> PAGEREF _Toc398190008 \h </w:instrText>
            </w:r>
            <w:r w:rsidR="00F27099">
              <w:rPr>
                <w:noProof/>
                <w:webHidden/>
              </w:rPr>
            </w:r>
            <w:r w:rsidR="00F27099">
              <w:rPr>
                <w:noProof/>
                <w:webHidden/>
              </w:rPr>
              <w:fldChar w:fldCharType="separate"/>
            </w:r>
            <w:r w:rsidR="00BD0ED3">
              <w:rPr>
                <w:noProof/>
                <w:webHidden/>
              </w:rPr>
              <w:t>8</w:t>
            </w:r>
            <w:r w:rsidR="00F27099">
              <w:rPr>
                <w:noProof/>
                <w:webHidden/>
              </w:rPr>
              <w:fldChar w:fldCharType="end"/>
            </w:r>
          </w:hyperlink>
        </w:p>
        <w:p w14:paraId="16D24953"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09" w:history="1">
            <w:r w:rsidR="00F27099" w:rsidRPr="00C77E08">
              <w:rPr>
                <w:rStyle w:val="Hyperlink"/>
                <w:noProof/>
              </w:rPr>
              <w:t>Methodology</w:t>
            </w:r>
            <w:r w:rsidR="00F27099">
              <w:rPr>
                <w:noProof/>
                <w:webHidden/>
              </w:rPr>
              <w:tab/>
            </w:r>
            <w:r w:rsidR="00F27099">
              <w:rPr>
                <w:noProof/>
                <w:webHidden/>
              </w:rPr>
              <w:fldChar w:fldCharType="begin"/>
            </w:r>
            <w:r w:rsidR="00F27099">
              <w:rPr>
                <w:noProof/>
                <w:webHidden/>
              </w:rPr>
              <w:instrText xml:space="preserve"> PAGEREF _Toc398190009 \h </w:instrText>
            </w:r>
            <w:r w:rsidR="00F27099">
              <w:rPr>
                <w:noProof/>
                <w:webHidden/>
              </w:rPr>
            </w:r>
            <w:r w:rsidR="00F27099">
              <w:rPr>
                <w:noProof/>
                <w:webHidden/>
              </w:rPr>
              <w:fldChar w:fldCharType="separate"/>
            </w:r>
            <w:r w:rsidR="00BD0ED3">
              <w:rPr>
                <w:noProof/>
                <w:webHidden/>
              </w:rPr>
              <w:t>9</w:t>
            </w:r>
            <w:r w:rsidR="00F27099">
              <w:rPr>
                <w:noProof/>
                <w:webHidden/>
              </w:rPr>
              <w:fldChar w:fldCharType="end"/>
            </w:r>
          </w:hyperlink>
        </w:p>
        <w:p w14:paraId="1C53B3B8"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0" w:history="1">
            <w:r w:rsidR="00F27099" w:rsidRPr="00C77E08">
              <w:rPr>
                <w:rStyle w:val="Hyperlink"/>
                <w:noProof/>
              </w:rPr>
              <w:t>Definition of Terms</w:t>
            </w:r>
            <w:r w:rsidR="00F27099">
              <w:rPr>
                <w:noProof/>
                <w:webHidden/>
              </w:rPr>
              <w:tab/>
            </w:r>
            <w:r w:rsidR="00F27099">
              <w:rPr>
                <w:noProof/>
                <w:webHidden/>
              </w:rPr>
              <w:fldChar w:fldCharType="begin"/>
            </w:r>
            <w:r w:rsidR="00F27099">
              <w:rPr>
                <w:noProof/>
                <w:webHidden/>
              </w:rPr>
              <w:instrText xml:space="preserve"> PAGEREF _Toc398190010 \h </w:instrText>
            </w:r>
            <w:r w:rsidR="00F27099">
              <w:rPr>
                <w:noProof/>
                <w:webHidden/>
              </w:rPr>
            </w:r>
            <w:r w:rsidR="00F27099">
              <w:rPr>
                <w:noProof/>
                <w:webHidden/>
              </w:rPr>
              <w:fldChar w:fldCharType="separate"/>
            </w:r>
            <w:r w:rsidR="00BD0ED3">
              <w:rPr>
                <w:noProof/>
                <w:webHidden/>
              </w:rPr>
              <w:t>13</w:t>
            </w:r>
            <w:r w:rsidR="00F27099">
              <w:rPr>
                <w:noProof/>
                <w:webHidden/>
              </w:rPr>
              <w:fldChar w:fldCharType="end"/>
            </w:r>
          </w:hyperlink>
        </w:p>
        <w:p w14:paraId="52226705"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1" w:history="1">
            <w:r w:rsidR="00F27099" w:rsidRPr="00C77E08">
              <w:rPr>
                <w:rStyle w:val="Hyperlink"/>
                <w:noProof/>
              </w:rPr>
              <w:t>Literature Review of Commentary on Phallism, Solarism and Sexual/Spiritual Issues</w:t>
            </w:r>
            <w:r w:rsidR="00F27099">
              <w:rPr>
                <w:noProof/>
                <w:webHidden/>
              </w:rPr>
              <w:tab/>
            </w:r>
            <w:r w:rsidR="00F27099">
              <w:rPr>
                <w:noProof/>
                <w:webHidden/>
              </w:rPr>
              <w:fldChar w:fldCharType="begin"/>
            </w:r>
            <w:r w:rsidR="00F27099">
              <w:rPr>
                <w:noProof/>
                <w:webHidden/>
              </w:rPr>
              <w:instrText xml:space="preserve"> PAGEREF _Toc398190011 \h </w:instrText>
            </w:r>
            <w:r w:rsidR="00F27099">
              <w:rPr>
                <w:noProof/>
                <w:webHidden/>
              </w:rPr>
            </w:r>
            <w:r w:rsidR="00F27099">
              <w:rPr>
                <w:noProof/>
                <w:webHidden/>
              </w:rPr>
              <w:fldChar w:fldCharType="separate"/>
            </w:r>
            <w:r w:rsidR="00BD0ED3">
              <w:rPr>
                <w:noProof/>
                <w:webHidden/>
              </w:rPr>
              <w:t>14</w:t>
            </w:r>
            <w:r w:rsidR="00F27099">
              <w:rPr>
                <w:noProof/>
                <w:webHidden/>
              </w:rPr>
              <w:fldChar w:fldCharType="end"/>
            </w:r>
          </w:hyperlink>
        </w:p>
        <w:p w14:paraId="0CD7081B"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2" w:history="1">
            <w:r w:rsidR="00F27099" w:rsidRPr="00C77E08">
              <w:rPr>
                <w:rStyle w:val="Hyperlink"/>
                <w:noProof/>
              </w:rPr>
              <w:t xml:space="preserve">Light and </w:t>
            </w:r>
            <w:r w:rsidR="001E5729">
              <w:rPr>
                <w:rStyle w:val="Hyperlink"/>
                <w:noProof/>
              </w:rPr>
              <w:t>Sunlight</w:t>
            </w:r>
            <w:r w:rsidR="00F27099">
              <w:rPr>
                <w:noProof/>
                <w:webHidden/>
              </w:rPr>
              <w:tab/>
            </w:r>
            <w:r w:rsidR="00F27099">
              <w:rPr>
                <w:noProof/>
                <w:webHidden/>
              </w:rPr>
              <w:fldChar w:fldCharType="begin"/>
            </w:r>
            <w:r w:rsidR="00F27099">
              <w:rPr>
                <w:noProof/>
                <w:webHidden/>
              </w:rPr>
              <w:instrText xml:space="preserve"> PAGEREF _Toc398190012 \h </w:instrText>
            </w:r>
            <w:r w:rsidR="00F27099">
              <w:rPr>
                <w:noProof/>
                <w:webHidden/>
              </w:rPr>
            </w:r>
            <w:r w:rsidR="00F27099">
              <w:rPr>
                <w:noProof/>
                <w:webHidden/>
              </w:rPr>
              <w:fldChar w:fldCharType="separate"/>
            </w:r>
            <w:r w:rsidR="00BD0ED3">
              <w:rPr>
                <w:noProof/>
                <w:webHidden/>
              </w:rPr>
              <w:t>18</w:t>
            </w:r>
            <w:r w:rsidR="00F27099">
              <w:rPr>
                <w:noProof/>
                <w:webHidden/>
              </w:rPr>
              <w:fldChar w:fldCharType="end"/>
            </w:r>
          </w:hyperlink>
        </w:p>
        <w:p w14:paraId="305EACC1"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3" w:history="1">
            <w:r w:rsidR="00F27099" w:rsidRPr="00C77E08">
              <w:rPr>
                <w:rStyle w:val="Hyperlink"/>
                <w:noProof/>
              </w:rPr>
              <w:t>Summary of Section One</w:t>
            </w:r>
            <w:r w:rsidR="00F27099">
              <w:rPr>
                <w:noProof/>
                <w:webHidden/>
              </w:rPr>
              <w:tab/>
            </w:r>
            <w:r w:rsidR="00F27099">
              <w:rPr>
                <w:noProof/>
                <w:webHidden/>
              </w:rPr>
              <w:fldChar w:fldCharType="begin"/>
            </w:r>
            <w:r w:rsidR="00F27099">
              <w:rPr>
                <w:noProof/>
                <w:webHidden/>
              </w:rPr>
              <w:instrText xml:space="preserve"> PAGEREF _Toc398190013 \h </w:instrText>
            </w:r>
            <w:r w:rsidR="00F27099">
              <w:rPr>
                <w:noProof/>
                <w:webHidden/>
              </w:rPr>
            </w:r>
            <w:r w:rsidR="00F27099">
              <w:rPr>
                <w:noProof/>
                <w:webHidden/>
              </w:rPr>
              <w:fldChar w:fldCharType="separate"/>
            </w:r>
            <w:r w:rsidR="00BD0ED3">
              <w:rPr>
                <w:noProof/>
                <w:webHidden/>
              </w:rPr>
              <w:t>20</w:t>
            </w:r>
            <w:r w:rsidR="00F27099">
              <w:rPr>
                <w:noProof/>
                <w:webHidden/>
              </w:rPr>
              <w:fldChar w:fldCharType="end"/>
            </w:r>
          </w:hyperlink>
        </w:p>
        <w:p w14:paraId="3B1643C0" w14:textId="77777777" w:rsidR="00F27099" w:rsidRDefault="00F27099">
          <w:pPr>
            <w:pStyle w:val="TOC1"/>
            <w:tabs>
              <w:tab w:val="right" w:leader="dot" w:pos="6906"/>
            </w:tabs>
            <w:rPr>
              <w:rStyle w:val="Hyperlink"/>
              <w:noProof/>
            </w:rPr>
          </w:pPr>
        </w:p>
        <w:p w14:paraId="6031FC35" w14:textId="77777777" w:rsidR="00F27099" w:rsidRDefault="00613D59">
          <w:pPr>
            <w:pStyle w:val="TOC1"/>
            <w:tabs>
              <w:tab w:val="right" w:leader="dot" w:pos="6906"/>
            </w:tabs>
            <w:rPr>
              <w:rFonts w:asciiTheme="minorHAnsi" w:eastAsiaTheme="minorEastAsia" w:hAnsiTheme="minorHAnsi"/>
              <w:noProof/>
              <w:sz w:val="22"/>
              <w:lang w:eastAsia="en-GB"/>
            </w:rPr>
          </w:pPr>
          <w:hyperlink w:anchor="_Toc398190014" w:history="1">
            <w:r w:rsidR="00F27099" w:rsidRPr="00C77E08">
              <w:rPr>
                <w:rStyle w:val="Hyperlink"/>
                <w:noProof/>
              </w:rPr>
              <w:t>Section Two:   Ancient Egypt</w:t>
            </w:r>
            <w:r w:rsidR="00F27099">
              <w:rPr>
                <w:noProof/>
                <w:webHidden/>
              </w:rPr>
              <w:tab/>
            </w:r>
            <w:r w:rsidR="00F27099">
              <w:rPr>
                <w:noProof/>
                <w:webHidden/>
              </w:rPr>
              <w:fldChar w:fldCharType="begin"/>
            </w:r>
            <w:r w:rsidR="00F27099">
              <w:rPr>
                <w:noProof/>
                <w:webHidden/>
              </w:rPr>
              <w:instrText xml:space="preserve"> PAGEREF _Toc398190014 \h </w:instrText>
            </w:r>
            <w:r w:rsidR="00F27099">
              <w:rPr>
                <w:noProof/>
                <w:webHidden/>
              </w:rPr>
            </w:r>
            <w:r w:rsidR="00F27099">
              <w:rPr>
                <w:noProof/>
                <w:webHidden/>
              </w:rPr>
              <w:fldChar w:fldCharType="separate"/>
            </w:r>
            <w:r w:rsidR="00BD0ED3">
              <w:rPr>
                <w:noProof/>
                <w:webHidden/>
              </w:rPr>
              <w:t>21</w:t>
            </w:r>
            <w:r w:rsidR="00F27099">
              <w:rPr>
                <w:noProof/>
                <w:webHidden/>
              </w:rPr>
              <w:fldChar w:fldCharType="end"/>
            </w:r>
          </w:hyperlink>
        </w:p>
        <w:p w14:paraId="78A566D3"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5" w:history="1">
            <w:r w:rsidR="00F27099" w:rsidRPr="00C77E08">
              <w:rPr>
                <w:rStyle w:val="Hyperlink"/>
                <w:noProof/>
              </w:rPr>
              <w:t>Section Literary Review</w:t>
            </w:r>
            <w:r w:rsidR="00F27099">
              <w:rPr>
                <w:noProof/>
                <w:webHidden/>
              </w:rPr>
              <w:tab/>
            </w:r>
            <w:r w:rsidR="00F27099">
              <w:rPr>
                <w:noProof/>
                <w:webHidden/>
              </w:rPr>
              <w:fldChar w:fldCharType="begin"/>
            </w:r>
            <w:r w:rsidR="00F27099">
              <w:rPr>
                <w:noProof/>
                <w:webHidden/>
              </w:rPr>
              <w:instrText xml:space="preserve"> PAGEREF _Toc398190015 \h </w:instrText>
            </w:r>
            <w:r w:rsidR="00F27099">
              <w:rPr>
                <w:noProof/>
                <w:webHidden/>
              </w:rPr>
            </w:r>
            <w:r w:rsidR="00F27099">
              <w:rPr>
                <w:noProof/>
                <w:webHidden/>
              </w:rPr>
              <w:fldChar w:fldCharType="separate"/>
            </w:r>
            <w:r w:rsidR="00BD0ED3">
              <w:rPr>
                <w:noProof/>
                <w:webHidden/>
              </w:rPr>
              <w:t>21</w:t>
            </w:r>
            <w:r w:rsidR="00F27099">
              <w:rPr>
                <w:noProof/>
                <w:webHidden/>
              </w:rPr>
              <w:fldChar w:fldCharType="end"/>
            </w:r>
          </w:hyperlink>
        </w:p>
        <w:p w14:paraId="7C66AA3B"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6" w:history="1">
            <w:r w:rsidR="00F27099" w:rsidRPr="00C77E08">
              <w:rPr>
                <w:rStyle w:val="Hyperlink"/>
                <w:noProof/>
              </w:rPr>
              <w:t>Examination of Relevant Material from Ancient Egypt</w:t>
            </w:r>
            <w:r w:rsidR="00F27099">
              <w:rPr>
                <w:noProof/>
                <w:webHidden/>
              </w:rPr>
              <w:tab/>
            </w:r>
            <w:r w:rsidR="00F27099">
              <w:rPr>
                <w:noProof/>
                <w:webHidden/>
              </w:rPr>
              <w:fldChar w:fldCharType="begin"/>
            </w:r>
            <w:r w:rsidR="00F27099">
              <w:rPr>
                <w:noProof/>
                <w:webHidden/>
              </w:rPr>
              <w:instrText xml:space="preserve"> PAGEREF _Toc398190016 \h </w:instrText>
            </w:r>
            <w:r w:rsidR="00F27099">
              <w:rPr>
                <w:noProof/>
                <w:webHidden/>
              </w:rPr>
            </w:r>
            <w:r w:rsidR="00F27099">
              <w:rPr>
                <w:noProof/>
                <w:webHidden/>
              </w:rPr>
              <w:fldChar w:fldCharType="separate"/>
            </w:r>
            <w:r w:rsidR="00BD0ED3">
              <w:rPr>
                <w:noProof/>
                <w:webHidden/>
              </w:rPr>
              <w:t>23</w:t>
            </w:r>
            <w:r w:rsidR="00F27099">
              <w:rPr>
                <w:noProof/>
                <w:webHidden/>
              </w:rPr>
              <w:fldChar w:fldCharType="end"/>
            </w:r>
          </w:hyperlink>
        </w:p>
        <w:p w14:paraId="099D83C3"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7" w:history="1">
            <w:r w:rsidR="00F27099" w:rsidRPr="00C77E08">
              <w:rPr>
                <w:rStyle w:val="Hyperlink"/>
                <w:noProof/>
              </w:rPr>
              <w:t>Summary of Section Two</w:t>
            </w:r>
            <w:r w:rsidR="00F27099">
              <w:rPr>
                <w:noProof/>
                <w:webHidden/>
              </w:rPr>
              <w:tab/>
            </w:r>
            <w:r w:rsidR="00F27099">
              <w:rPr>
                <w:noProof/>
                <w:webHidden/>
              </w:rPr>
              <w:fldChar w:fldCharType="begin"/>
            </w:r>
            <w:r w:rsidR="00F27099">
              <w:rPr>
                <w:noProof/>
                <w:webHidden/>
              </w:rPr>
              <w:instrText xml:space="preserve"> PAGEREF _Toc398190017 \h </w:instrText>
            </w:r>
            <w:r w:rsidR="00F27099">
              <w:rPr>
                <w:noProof/>
                <w:webHidden/>
              </w:rPr>
            </w:r>
            <w:r w:rsidR="00F27099">
              <w:rPr>
                <w:noProof/>
                <w:webHidden/>
              </w:rPr>
              <w:fldChar w:fldCharType="separate"/>
            </w:r>
            <w:r w:rsidR="00BD0ED3">
              <w:rPr>
                <w:noProof/>
                <w:webHidden/>
              </w:rPr>
              <w:t>42</w:t>
            </w:r>
            <w:r w:rsidR="00F27099">
              <w:rPr>
                <w:noProof/>
                <w:webHidden/>
              </w:rPr>
              <w:fldChar w:fldCharType="end"/>
            </w:r>
          </w:hyperlink>
        </w:p>
        <w:p w14:paraId="7AD479B9" w14:textId="77777777" w:rsidR="00F27099" w:rsidRDefault="00F27099">
          <w:pPr>
            <w:pStyle w:val="TOC1"/>
            <w:tabs>
              <w:tab w:val="right" w:leader="dot" w:pos="6906"/>
            </w:tabs>
            <w:rPr>
              <w:rStyle w:val="Hyperlink"/>
              <w:noProof/>
            </w:rPr>
          </w:pPr>
        </w:p>
        <w:p w14:paraId="444E9CA7" w14:textId="77777777" w:rsidR="00F27099" w:rsidRDefault="00613D59">
          <w:pPr>
            <w:pStyle w:val="TOC1"/>
            <w:tabs>
              <w:tab w:val="right" w:leader="dot" w:pos="6906"/>
            </w:tabs>
            <w:rPr>
              <w:rFonts w:asciiTheme="minorHAnsi" w:eastAsiaTheme="minorEastAsia" w:hAnsiTheme="minorHAnsi"/>
              <w:noProof/>
              <w:sz w:val="22"/>
              <w:lang w:eastAsia="en-GB"/>
            </w:rPr>
          </w:pPr>
          <w:hyperlink w:anchor="_Toc398190018" w:history="1">
            <w:r w:rsidR="00F27099" w:rsidRPr="00C77E08">
              <w:rPr>
                <w:rStyle w:val="Hyperlink"/>
                <w:noProof/>
              </w:rPr>
              <w:t>Section Three:  Derveni Theogony</w:t>
            </w:r>
            <w:r w:rsidR="00F27099">
              <w:rPr>
                <w:noProof/>
                <w:webHidden/>
              </w:rPr>
              <w:tab/>
            </w:r>
            <w:r w:rsidR="00F27099">
              <w:rPr>
                <w:noProof/>
                <w:webHidden/>
              </w:rPr>
              <w:fldChar w:fldCharType="begin"/>
            </w:r>
            <w:r w:rsidR="00F27099">
              <w:rPr>
                <w:noProof/>
                <w:webHidden/>
              </w:rPr>
              <w:instrText xml:space="preserve"> PAGEREF _Toc398190018 \h </w:instrText>
            </w:r>
            <w:r w:rsidR="00F27099">
              <w:rPr>
                <w:noProof/>
                <w:webHidden/>
              </w:rPr>
            </w:r>
            <w:r w:rsidR="00F27099">
              <w:rPr>
                <w:noProof/>
                <w:webHidden/>
              </w:rPr>
              <w:fldChar w:fldCharType="separate"/>
            </w:r>
            <w:r w:rsidR="00BD0ED3">
              <w:rPr>
                <w:noProof/>
                <w:webHidden/>
              </w:rPr>
              <w:t>44</w:t>
            </w:r>
            <w:r w:rsidR="00F27099">
              <w:rPr>
                <w:noProof/>
                <w:webHidden/>
              </w:rPr>
              <w:fldChar w:fldCharType="end"/>
            </w:r>
          </w:hyperlink>
        </w:p>
        <w:p w14:paraId="16DC829F"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19" w:history="1">
            <w:r w:rsidR="00F27099" w:rsidRPr="00C77E08">
              <w:rPr>
                <w:rStyle w:val="Hyperlink"/>
                <w:noProof/>
              </w:rPr>
              <w:t>Section Literary Review</w:t>
            </w:r>
            <w:r w:rsidR="00F27099">
              <w:rPr>
                <w:noProof/>
                <w:webHidden/>
              </w:rPr>
              <w:tab/>
            </w:r>
            <w:r w:rsidR="00F27099">
              <w:rPr>
                <w:noProof/>
                <w:webHidden/>
              </w:rPr>
              <w:fldChar w:fldCharType="begin"/>
            </w:r>
            <w:r w:rsidR="00F27099">
              <w:rPr>
                <w:noProof/>
                <w:webHidden/>
              </w:rPr>
              <w:instrText xml:space="preserve"> PAGEREF _Toc398190019 \h </w:instrText>
            </w:r>
            <w:r w:rsidR="00F27099">
              <w:rPr>
                <w:noProof/>
                <w:webHidden/>
              </w:rPr>
            </w:r>
            <w:r w:rsidR="00F27099">
              <w:rPr>
                <w:noProof/>
                <w:webHidden/>
              </w:rPr>
              <w:fldChar w:fldCharType="separate"/>
            </w:r>
            <w:r w:rsidR="00BD0ED3">
              <w:rPr>
                <w:noProof/>
                <w:webHidden/>
              </w:rPr>
              <w:t>45</w:t>
            </w:r>
            <w:r w:rsidR="00F27099">
              <w:rPr>
                <w:noProof/>
                <w:webHidden/>
              </w:rPr>
              <w:fldChar w:fldCharType="end"/>
            </w:r>
          </w:hyperlink>
        </w:p>
        <w:p w14:paraId="248BB9F9"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0" w:history="1">
            <w:r w:rsidR="00F27099" w:rsidRPr="00C77E08">
              <w:rPr>
                <w:rStyle w:val="Hyperlink"/>
                <w:noProof/>
              </w:rPr>
              <w:t>Examination of Derveni Papyrus</w:t>
            </w:r>
            <w:r w:rsidR="00F27099">
              <w:rPr>
                <w:noProof/>
                <w:webHidden/>
              </w:rPr>
              <w:tab/>
            </w:r>
            <w:r w:rsidR="00F27099">
              <w:rPr>
                <w:noProof/>
                <w:webHidden/>
              </w:rPr>
              <w:fldChar w:fldCharType="begin"/>
            </w:r>
            <w:r w:rsidR="00F27099">
              <w:rPr>
                <w:noProof/>
                <w:webHidden/>
              </w:rPr>
              <w:instrText xml:space="preserve"> PAGEREF _Toc398190020 \h </w:instrText>
            </w:r>
            <w:r w:rsidR="00F27099">
              <w:rPr>
                <w:noProof/>
                <w:webHidden/>
              </w:rPr>
            </w:r>
            <w:r w:rsidR="00F27099">
              <w:rPr>
                <w:noProof/>
                <w:webHidden/>
              </w:rPr>
              <w:fldChar w:fldCharType="separate"/>
            </w:r>
            <w:r w:rsidR="00BD0ED3">
              <w:rPr>
                <w:noProof/>
                <w:webHidden/>
              </w:rPr>
              <w:t>46</w:t>
            </w:r>
            <w:r w:rsidR="00F27099">
              <w:rPr>
                <w:noProof/>
                <w:webHidden/>
              </w:rPr>
              <w:fldChar w:fldCharType="end"/>
            </w:r>
          </w:hyperlink>
        </w:p>
        <w:p w14:paraId="1F6A3F61"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1" w:history="1">
            <w:r w:rsidR="00F27099" w:rsidRPr="00C77E08">
              <w:rPr>
                <w:rStyle w:val="Hyperlink"/>
                <w:noProof/>
              </w:rPr>
              <w:t>Summary of Section Three</w:t>
            </w:r>
            <w:r w:rsidR="00F27099">
              <w:rPr>
                <w:noProof/>
                <w:webHidden/>
              </w:rPr>
              <w:tab/>
            </w:r>
            <w:r w:rsidR="00F27099">
              <w:rPr>
                <w:noProof/>
                <w:webHidden/>
              </w:rPr>
              <w:fldChar w:fldCharType="begin"/>
            </w:r>
            <w:r w:rsidR="00F27099">
              <w:rPr>
                <w:noProof/>
                <w:webHidden/>
              </w:rPr>
              <w:instrText xml:space="preserve"> PAGEREF _Toc398190021 \h </w:instrText>
            </w:r>
            <w:r w:rsidR="00F27099">
              <w:rPr>
                <w:noProof/>
                <w:webHidden/>
              </w:rPr>
            </w:r>
            <w:r w:rsidR="00F27099">
              <w:rPr>
                <w:noProof/>
                <w:webHidden/>
              </w:rPr>
              <w:fldChar w:fldCharType="separate"/>
            </w:r>
            <w:r w:rsidR="00BD0ED3">
              <w:rPr>
                <w:noProof/>
                <w:webHidden/>
              </w:rPr>
              <w:t>54</w:t>
            </w:r>
            <w:r w:rsidR="00F27099">
              <w:rPr>
                <w:noProof/>
                <w:webHidden/>
              </w:rPr>
              <w:fldChar w:fldCharType="end"/>
            </w:r>
          </w:hyperlink>
        </w:p>
        <w:p w14:paraId="4A0E2F60" w14:textId="77777777" w:rsidR="00F27099" w:rsidRDefault="00F27099">
          <w:pPr>
            <w:pStyle w:val="TOC1"/>
            <w:tabs>
              <w:tab w:val="right" w:leader="dot" w:pos="6906"/>
            </w:tabs>
            <w:rPr>
              <w:rStyle w:val="Hyperlink"/>
              <w:noProof/>
            </w:rPr>
          </w:pPr>
        </w:p>
        <w:p w14:paraId="1D3C4620" w14:textId="77777777" w:rsidR="00F27099" w:rsidRDefault="00613D59">
          <w:pPr>
            <w:pStyle w:val="TOC1"/>
            <w:tabs>
              <w:tab w:val="right" w:leader="dot" w:pos="6906"/>
            </w:tabs>
            <w:rPr>
              <w:rFonts w:asciiTheme="minorHAnsi" w:eastAsiaTheme="minorEastAsia" w:hAnsiTheme="minorHAnsi"/>
              <w:noProof/>
              <w:sz w:val="22"/>
              <w:lang w:eastAsia="en-GB"/>
            </w:rPr>
          </w:pPr>
          <w:hyperlink w:anchor="_Toc398190022" w:history="1">
            <w:r w:rsidR="00F27099" w:rsidRPr="00C77E08">
              <w:rPr>
                <w:rStyle w:val="Hyperlink"/>
                <w:noProof/>
              </w:rPr>
              <w:t>Section Four: Christian Texts and Art up to the Sixteenth Century</w:t>
            </w:r>
            <w:r w:rsidR="00F27099">
              <w:rPr>
                <w:noProof/>
                <w:webHidden/>
              </w:rPr>
              <w:tab/>
            </w:r>
            <w:r w:rsidR="00F27099">
              <w:rPr>
                <w:noProof/>
                <w:webHidden/>
              </w:rPr>
              <w:fldChar w:fldCharType="begin"/>
            </w:r>
            <w:r w:rsidR="00F27099">
              <w:rPr>
                <w:noProof/>
                <w:webHidden/>
              </w:rPr>
              <w:instrText xml:space="preserve"> PAGEREF _Toc398190022 \h </w:instrText>
            </w:r>
            <w:r w:rsidR="00F27099">
              <w:rPr>
                <w:noProof/>
                <w:webHidden/>
              </w:rPr>
            </w:r>
            <w:r w:rsidR="00F27099">
              <w:rPr>
                <w:noProof/>
                <w:webHidden/>
              </w:rPr>
              <w:fldChar w:fldCharType="separate"/>
            </w:r>
            <w:r w:rsidR="00BD0ED3">
              <w:rPr>
                <w:noProof/>
                <w:webHidden/>
              </w:rPr>
              <w:t>56</w:t>
            </w:r>
            <w:r w:rsidR="00F27099">
              <w:rPr>
                <w:noProof/>
                <w:webHidden/>
              </w:rPr>
              <w:fldChar w:fldCharType="end"/>
            </w:r>
          </w:hyperlink>
        </w:p>
        <w:p w14:paraId="2C5B01B5"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3" w:history="1">
            <w:r w:rsidR="00F27099" w:rsidRPr="00C77E08">
              <w:rPr>
                <w:rStyle w:val="Hyperlink"/>
                <w:noProof/>
              </w:rPr>
              <w:t>Section Literary Review</w:t>
            </w:r>
            <w:r w:rsidR="00F27099">
              <w:rPr>
                <w:noProof/>
                <w:webHidden/>
              </w:rPr>
              <w:tab/>
            </w:r>
            <w:r w:rsidR="00F27099">
              <w:rPr>
                <w:noProof/>
                <w:webHidden/>
              </w:rPr>
              <w:fldChar w:fldCharType="begin"/>
            </w:r>
            <w:r w:rsidR="00F27099">
              <w:rPr>
                <w:noProof/>
                <w:webHidden/>
              </w:rPr>
              <w:instrText xml:space="preserve"> PAGEREF _Toc398190023 \h </w:instrText>
            </w:r>
            <w:r w:rsidR="00F27099">
              <w:rPr>
                <w:noProof/>
                <w:webHidden/>
              </w:rPr>
            </w:r>
            <w:r w:rsidR="00F27099">
              <w:rPr>
                <w:noProof/>
                <w:webHidden/>
              </w:rPr>
              <w:fldChar w:fldCharType="separate"/>
            </w:r>
            <w:r w:rsidR="00BD0ED3">
              <w:rPr>
                <w:noProof/>
                <w:webHidden/>
              </w:rPr>
              <w:t>56</w:t>
            </w:r>
            <w:r w:rsidR="00F27099">
              <w:rPr>
                <w:noProof/>
                <w:webHidden/>
              </w:rPr>
              <w:fldChar w:fldCharType="end"/>
            </w:r>
          </w:hyperlink>
        </w:p>
        <w:p w14:paraId="3A5D4C8E"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4" w:history="1">
            <w:r w:rsidR="00F27099" w:rsidRPr="00C77E08">
              <w:rPr>
                <w:rStyle w:val="Hyperlink"/>
                <w:noProof/>
              </w:rPr>
              <w:t>Christian repression of sexual comment and activity</w:t>
            </w:r>
            <w:r w:rsidR="00F27099">
              <w:rPr>
                <w:noProof/>
                <w:webHidden/>
              </w:rPr>
              <w:tab/>
            </w:r>
            <w:r w:rsidR="00F27099">
              <w:rPr>
                <w:noProof/>
                <w:webHidden/>
              </w:rPr>
              <w:fldChar w:fldCharType="begin"/>
            </w:r>
            <w:r w:rsidR="00F27099">
              <w:rPr>
                <w:noProof/>
                <w:webHidden/>
              </w:rPr>
              <w:instrText xml:space="preserve"> PAGEREF _Toc398190024 \h </w:instrText>
            </w:r>
            <w:r w:rsidR="00F27099">
              <w:rPr>
                <w:noProof/>
                <w:webHidden/>
              </w:rPr>
            </w:r>
            <w:r w:rsidR="00F27099">
              <w:rPr>
                <w:noProof/>
                <w:webHidden/>
              </w:rPr>
              <w:fldChar w:fldCharType="separate"/>
            </w:r>
            <w:r w:rsidR="00BD0ED3">
              <w:rPr>
                <w:noProof/>
                <w:webHidden/>
              </w:rPr>
              <w:t>57</w:t>
            </w:r>
            <w:r w:rsidR="00F27099">
              <w:rPr>
                <w:noProof/>
                <w:webHidden/>
              </w:rPr>
              <w:fldChar w:fldCharType="end"/>
            </w:r>
          </w:hyperlink>
        </w:p>
        <w:p w14:paraId="284EA839"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5" w:history="1">
            <w:r w:rsidR="00F27099" w:rsidRPr="00C77E08">
              <w:rPr>
                <w:rStyle w:val="Hyperlink"/>
                <w:noProof/>
              </w:rPr>
              <w:t>Christian Treatment of Light</w:t>
            </w:r>
            <w:r w:rsidR="00F27099">
              <w:rPr>
                <w:noProof/>
                <w:webHidden/>
              </w:rPr>
              <w:tab/>
            </w:r>
            <w:r w:rsidR="00F27099">
              <w:rPr>
                <w:noProof/>
                <w:webHidden/>
              </w:rPr>
              <w:fldChar w:fldCharType="begin"/>
            </w:r>
            <w:r w:rsidR="00F27099">
              <w:rPr>
                <w:noProof/>
                <w:webHidden/>
              </w:rPr>
              <w:instrText xml:space="preserve"> PAGEREF _Toc398190025 \h </w:instrText>
            </w:r>
            <w:r w:rsidR="00F27099">
              <w:rPr>
                <w:noProof/>
                <w:webHidden/>
              </w:rPr>
            </w:r>
            <w:r w:rsidR="00F27099">
              <w:rPr>
                <w:noProof/>
                <w:webHidden/>
              </w:rPr>
              <w:fldChar w:fldCharType="separate"/>
            </w:r>
            <w:r w:rsidR="00BD0ED3">
              <w:rPr>
                <w:noProof/>
                <w:webHidden/>
              </w:rPr>
              <w:t>58</w:t>
            </w:r>
            <w:r w:rsidR="00F27099">
              <w:rPr>
                <w:noProof/>
                <w:webHidden/>
              </w:rPr>
              <w:fldChar w:fldCharType="end"/>
            </w:r>
          </w:hyperlink>
        </w:p>
        <w:p w14:paraId="6C9854DE"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6" w:history="1">
            <w:r w:rsidR="00F27099" w:rsidRPr="00C77E08">
              <w:rPr>
                <w:rStyle w:val="Hyperlink"/>
                <w:noProof/>
              </w:rPr>
              <w:t>Examples of Christian Annunciation Art</w:t>
            </w:r>
            <w:r w:rsidR="00F27099">
              <w:rPr>
                <w:noProof/>
                <w:webHidden/>
              </w:rPr>
              <w:tab/>
            </w:r>
            <w:r w:rsidR="00F27099">
              <w:rPr>
                <w:noProof/>
                <w:webHidden/>
              </w:rPr>
              <w:fldChar w:fldCharType="begin"/>
            </w:r>
            <w:r w:rsidR="00F27099">
              <w:rPr>
                <w:noProof/>
                <w:webHidden/>
              </w:rPr>
              <w:instrText xml:space="preserve"> PAGEREF _Toc398190026 \h </w:instrText>
            </w:r>
            <w:r w:rsidR="00F27099">
              <w:rPr>
                <w:noProof/>
                <w:webHidden/>
              </w:rPr>
            </w:r>
            <w:r w:rsidR="00F27099">
              <w:rPr>
                <w:noProof/>
                <w:webHidden/>
              </w:rPr>
              <w:fldChar w:fldCharType="separate"/>
            </w:r>
            <w:r w:rsidR="00BD0ED3">
              <w:rPr>
                <w:noProof/>
                <w:webHidden/>
              </w:rPr>
              <w:t>61</w:t>
            </w:r>
            <w:r w:rsidR="00F27099">
              <w:rPr>
                <w:noProof/>
                <w:webHidden/>
              </w:rPr>
              <w:fldChar w:fldCharType="end"/>
            </w:r>
          </w:hyperlink>
        </w:p>
        <w:p w14:paraId="2AFCB166"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7" w:history="1">
            <w:r w:rsidR="00F27099" w:rsidRPr="00C77E08">
              <w:rPr>
                <w:rStyle w:val="Hyperlink"/>
                <w:noProof/>
              </w:rPr>
              <w:t>Text Based Examples of God/Sun/Jesus Metaphors</w:t>
            </w:r>
            <w:r w:rsidR="00F27099">
              <w:rPr>
                <w:noProof/>
                <w:webHidden/>
              </w:rPr>
              <w:tab/>
            </w:r>
            <w:r w:rsidR="00F27099">
              <w:rPr>
                <w:noProof/>
                <w:webHidden/>
              </w:rPr>
              <w:fldChar w:fldCharType="begin"/>
            </w:r>
            <w:r w:rsidR="00F27099">
              <w:rPr>
                <w:noProof/>
                <w:webHidden/>
              </w:rPr>
              <w:instrText xml:space="preserve"> PAGEREF _Toc398190027 \h </w:instrText>
            </w:r>
            <w:r w:rsidR="00F27099">
              <w:rPr>
                <w:noProof/>
                <w:webHidden/>
              </w:rPr>
            </w:r>
            <w:r w:rsidR="00F27099">
              <w:rPr>
                <w:noProof/>
                <w:webHidden/>
              </w:rPr>
              <w:fldChar w:fldCharType="separate"/>
            </w:r>
            <w:r w:rsidR="00BD0ED3">
              <w:rPr>
                <w:noProof/>
                <w:webHidden/>
              </w:rPr>
              <w:t>69</w:t>
            </w:r>
            <w:r w:rsidR="00F27099">
              <w:rPr>
                <w:noProof/>
                <w:webHidden/>
              </w:rPr>
              <w:fldChar w:fldCharType="end"/>
            </w:r>
          </w:hyperlink>
        </w:p>
        <w:p w14:paraId="3B2E6D7F" w14:textId="77777777" w:rsidR="00F27099" w:rsidRDefault="00613D59">
          <w:pPr>
            <w:pStyle w:val="TOC2"/>
            <w:tabs>
              <w:tab w:val="right" w:leader="dot" w:pos="6906"/>
            </w:tabs>
            <w:rPr>
              <w:rFonts w:asciiTheme="minorHAnsi" w:eastAsiaTheme="minorEastAsia" w:hAnsiTheme="minorHAnsi"/>
              <w:noProof/>
              <w:sz w:val="22"/>
              <w:lang w:eastAsia="en-GB"/>
            </w:rPr>
          </w:pPr>
          <w:hyperlink w:anchor="_Toc398190028" w:history="1">
            <w:r w:rsidR="00F27099" w:rsidRPr="00C77E08">
              <w:rPr>
                <w:rStyle w:val="Hyperlink"/>
                <w:noProof/>
              </w:rPr>
              <w:t>Summary of Section Four</w:t>
            </w:r>
            <w:r w:rsidR="00F27099">
              <w:rPr>
                <w:noProof/>
                <w:webHidden/>
              </w:rPr>
              <w:tab/>
            </w:r>
            <w:r w:rsidR="00F27099">
              <w:rPr>
                <w:noProof/>
                <w:webHidden/>
              </w:rPr>
              <w:fldChar w:fldCharType="begin"/>
            </w:r>
            <w:r w:rsidR="00F27099">
              <w:rPr>
                <w:noProof/>
                <w:webHidden/>
              </w:rPr>
              <w:instrText xml:space="preserve"> PAGEREF _Toc398190028 \h </w:instrText>
            </w:r>
            <w:r w:rsidR="00F27099">
              <w:rPr>
                <w:noProof/>
                <w:webHidden/>
              </w:rPr>
            </w:r>
            <w:r w:rsidR="00F27099">
              <w:rPr>
                <w:noProof/>
                <w:webHidden/>
              </w:rPr>
              <w:fldChar w:fldCharType="separate"/>
            </w:r>
            <w:r w:rsidR="00BD0ED3">
              <w:rPr>
                <w:noProof/>
                <w:webHidden/>
              </w:rPr>
              <w:t>73</w:t>
            </w:r>
            <w:r w:rsidR="00F27099">
              <w:rPr>
                <w:noProof/>
                <w:webHidden/>
              </w:rPr>
              <w:fldChar w:fldCharType="end"/>
            </w:r>
          </w:hyperlink>
        </w:p>
        <w:p w14:paraId="7F2B7A00" w14:textId="77777777" w:rsidR="00F27099" w:rsidRDefault="00F27099">
          <w:pPr>
            <w:pStyle w:val="TOC1"/>
            <w:tabs>
              <w:tab w:val="right" w:leader="dot" w:pos="6906"/>
            </w:tabs>
            <w:rPr>
              <w:rStyle w:val="Hyperlink"/>
              <w:noProof/>
            </w:rPr>
          </w:pPr>
        </w:p>
        <w:p w14:paraId="41F43C2C" w14:textId="77777777" w:rsidR="00F27099" w:rsidRDefault="00613D59">
          <w:pPr>
            <w:pStyle w:val="TOC1"/>
            <w:tabs>
              <w:tab w:val="right" w:leader="dot" w:pos="6906"/>
            </w:tabs>
            <w:rPr>
              <w:rFonts w:asciiTheme="minorHAnsi" w:eastAsiaTheme="minorEastAsia" w:hAnsiTheme="minorHAnsi"/>
              <w:noProof/>
              <w:sz w:val="22"/>
              <w:lang w:eastAsia="en-GB"/>
            </w:rPr>
          </w:pPr>
          <w:hyperlink w:anchor="_Toc398190029" w:history="1">
            <w:r w:rsidR="00F27099" w:rsidRPr="00C77E08">
              <w:rPr>
                <w:rStyle w:val="Hyperlink"/>
                <w:noProof/>
              </w:rPr>
              <w:t>Section Five: Examination of Results and Closing Arguments</w:t>
            </w:r>
            <w:r w:rsidR="00F27099">
              <w:rPr>
                <w:noProof/>
                <w:webHidden/>
              </w:rPr>
              <w:tab/>
            </w:r>
            <w:r w:rsidR="00F27099">
              <w:rPr>
                <w:noProof/>
                <w:webHidden/>
              </w:rPr>
              <w:fldChar w:fldCharType="begin"/>
            </w:r>
            <w:r w:rsidR="00F27099">
              <w:rPr>
                <w:noProof/>
                <w:webHidden/>
              </w:rPr>
              <w:instrText xml:space="preserve"> PAGEREF _Toc398190029 \h </w:instrText>
            </w:r>
            <w:r w:rsidR="00F27099">
              <w:rPr>
                <w:noProof/>
                <w:webHidden/>
              </w:rPr>
            </w:r>
            <w:r w:rsidR="00F27099">
              <w:rPr>
                <w:noProof/>
                <w:webHidden/>
              </w:rPr>
              <w:fldChar w:fldCharType="separate"/>
            </w:r>
            <w:r w:rsidR="00BD0ED3">
              <w:rPr>
                <w:noProof/>
                <w:webHidden/>
              </w:rPr>
              <w:t>75</w:t>
            </w:r>
            <w:r w:rsidR="00F27099">
              <w:rPr>
                <w:noProof/>
                <w:webHidden/>
              </w:rPr>
              <w:fldChar w:fldCharType="end"/>
            </w:r>
          </w:hyperlink>
        </w:p>
        <w:p w14:paraId="51B54CA9" w14:textId="77777777" w:rsidR="009220BC" w:rsidRDefault="00B25AE4" w:rsidP="009220BC">
          <w:pPr>
            <w:sectPr w:rsidR="009220BC" w:rsidSect="003B1489">
              <w:pgSz w:w="11906" w:h="16838"/>
              <w:pgMar w:top="1440" w:right="2495" w:bottom="1440" w:left="2495" w:header="709" w:footer="709" w:gutter="0"/>
              <w:cols w:space="708"/>
              <w:docGrid w:linePitch="360"/>
            </w:sectPr>
          </w:pPr>
          <w:r>
            <w:rPr>
              <w:b/>
              <w:bCs/>
              <w:noProof/>
            </w:rPr>
            <w:fldChar w:fldCharType="end"/>
          </w:r>
        </w:p>
      </w:sdtContent>
    </w:sdt>
    <w:p w14:paraId="334ABFB8" w14:textId="77777777" w:rsidR="00A45551" w:rsidRDefault="004B0CEB" w:rsidP="00B96695">
      <w:pPr>
        <w:spacing w:line="360" w:lineRule="auto"/>
        <w:rPr>
          <w:rFonts w:asciiTheme="majorHAnsi" w:hAnsiTheme="majorHAnsi"/>
          <w:b/>
          <w:sz w:val="28"/>
          <w:szCs w:val="28"/>
        </w:rPr>
      </w:pPr>
      <w:r w:rsidRPr="004B0CEB">
        <w:rPr>
          <w:rFonts w:asciiTheme="majorHAnsi" w:hAnsiTheme="majorHAnsi"/>
          <w:b/>
          <w:sz w:val="28"/>
          <w:szCs w:val="28"/>
        </w:rPr>
        <w:lastRenderedPageBreak/>
        <w:t>Table of Figures</w:t>
      </w:r>
    </w:p>
    <w:p w14:paraId="55A9C4E4" w14:textId="77777777" w:rsidR="00A550AF" w:rsidRDefault="00A550AF" w:rsidP="00B96695">
      <w:pPr>
        <w:spacing w:line="360" w:lineRule="auto"/>
        <w:rPr>
          <w:noProof/>
        </w:rPr>
      </w:pPr>
      <w:r>
        <w:rPr>
          <w:rFonts w:asciiTheme="majorHAnsi" w:hAnsiTheme="majorHAnsi"/>
          <w:b/>
          <w:sz w:val="28"/>
          <w:szCs w:val="28"/>
        </w:rPr>
        <w:fldChar w:fldCharType="begin"/>
      </w:r>
      <w:r>
        <w:rPr>
          <w:rFonts w:asciiTheme="majorHAnsi" w:hAnsiTheme="majorHAnsi"/>
          <w:b/>
          <w:sz w:val="28"/>
          <w:szCs w:val="28"/>
        </w:rPr>
        <w:instrText xml:space="preserve"> TOC \c "Figure" </w:instrText>
      </w:r>
      <w:r>
        <w:rPr>
          <w:rFonts w:asciiTheme="majorHAnsi" w:hAnsiTheme="majorHAnsi"/>
          <w:b/>
          <w:sz w:val="28"/>
          <w:szCs w:val="28"/>
        </w:rPr>
        <w:fldChar w:fldCharType="separate"/>
      </w:r>
    </w:p>
    <w:p w14:paraId="6CF350DE"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 The sun at midday. 1/6/2013, Tamworth.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_Toc398124158 \h </w:instrText>
      </w:r>
      <w:r>
        <w:rPr>
          <w:noProof/>
        </w:rPr>
      </w:r>
      <w:r>
        <w:rPr>
          <w:noProof/>
        </w:rPr>
        <w:fldChar w:fldCharType="separate"/>
      </w:r>
      <w:r w:rsidR="00BD0ED3">
        <w:rPr>
          <w:noProof/>
        </w:rPr>
        <w:t>12</w:t>
      </w:r>
      <w:r>
        <w:rPr>
          <w:noProof/>
        </w:rPr>
        <w:fldChar w:fldCharType="end"/>
      </w:r>
    </w:p>
    <w:p w14:paraId="4D724005" w14:textId="77777777" w:rsidR="00792AD8" w:rsidRDefault="00792AD8">
      <w:pPr>
        <w:pStyle w:val="TableofFigures"/>
        <w:tabs>
          <w:tab w:val="right" w:leader="dot" w:pos="6906"/>
        </w:tabs>
        <w:rPr>
          <w:rFonts w:ascii="Arial" w:hAnsi="Arial" w:cs="Arial"/>
          <w:bCs/>
          <w:noProof/>
        </w:rPr>
      </w:pPr>
    </w:p>
    <w:p w14:paraId="330EE4E5"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2. The sun at sunset. 2/4/2014, Tamworth.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_Toc398124159 \h </w:instrText>
      </w:r>
      <w:r>
        <w:rPr>
          <w:noProof/>
        </w:rPr>
      </w:r>
      <w:r>
        <w:rPr>
          <w:noProof/>
        </w:rPr>
        <w:fldChar w:fldCharType="separate"/>
      </w:r>
      <w:r w:rsidR="00BD0ED3">
        <w:rPr>
          <w:noProof/>
        </w:rPr>
        <w:t>12</w:t>
      </w:r>
      <w:r>
        <w:rPr>
          <w:noProof/>
        </w:rPr>
        <w:fldChar w:fldCharType="end"/>
      </w:r>
    </w:p>
    <w:p w14:paraId="5D70004E" w14:textId="77777777" w:rsidR="00792AD8" w:rsidRDefault="00792AD8">
      <w:pPr>
        <w:pStyle w:val="TableofFigures"/>
        <w:tabs>
          <w:tab w:val="right" w:leader="dot" w:pos="6906"/>
        </w:tabs>
        <w:rPr>
          <w:rFonts w:ascii="Arial" w:hAnsi="Arial" w:cs="Arial"/>
          <w:bCs/>
          <w:noProof/>
        </w:rPr>
      </w:pPr>
    </w:p>
    <w:p w14:paraId="2CC88562"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3. </w:t>
      </w:r>
      <w:r w:rsidRPr="000052FA">
        <w:rPr>
          <w:rFonts w:ascii="Arial" w:hAnsi="Arial" w:cs="Arial"/>
          <w:bCs/>
          <w:i/>
          <w:noProof/>
        </w:rPr>
        <w:t>Book of the Dead of Henuttawy</w:t>
      </w:r>
      <w:r w:rsidRPr="000052FA">
        <w:rPr>
          <w:rFonts w:ascii="Arial" w:hAnsi="Arial" w:cs="Arial"/>
          <w:bCs/>
          <w:noProof/>
        </w:rPr>
        <w:t xml:space="preserve">, Sheet 2, , Third Intermediate Egypt, Papyrus with Amduat vignettes in red, yellow and black, EA10018.2, AN 1162559,  74cms (frame) x 22.8cms (frame), British Museum. </w:t>
      </w:r>
      <w:r w:rsidRPr="000052FA">
        <w:rPr>
          <w:rFonts w:ascii="Arial" w:hAnsi="Arial" w:cs="Arial"/>
          <w:bCs/>
          <w:i/>
          <w:noProof/>
        </w:rPr>
        <w:t>Image:</w:t>
      </w:r>
      <w:r w:rsidRPr="000052FA">
        <w:rPr>
          <w:rFonts w:ascii="Arial" w:hAnsi="Arial" w:cs="Arial"/>
          <w:bCs/>
          <w:noProof/>
        </w:rPr>
        <w:t xml:space="preserve"> British Museum</w:t>
      </w:r>
      <w:r>
        <w:rPr>
          <w:noProof/>
        </w:rPr>
        <w:tab/>
      </w:r>
      <w:r>
        <w:rPr>
          <w:noProof/>
        </w:rPr>
        <w:fldChar w:fldCharType="begin"/>
      </w:r>
      <w:r>
        <w:rPr>
          <w:noProof/>
        </w:rPr>
        <w:instrText xml:space="preserve"> PAGEREF _Toc398124160 \h </w:instrText>
      </w:r>
      <w:r>
        <w:rPr>
          <w:noProof/>
        </w:rPr>
      </w:r>
      <w:r>
        <w:rPr>
          <w:noProof/>
        </w:rPr>
        <w:fldChar w:fldCharType="separate"/>
      </w:r>
      <w:r w:rsidR="00BD0ED3">
        <w:rPr>
          <w:noProof/>
        </w:rPr>
        <w:t>28</w:t>
      </w:r>
      <w:r>
        <w:rPr>
          <w:noProof/>
        </w:rPr>
        <w:fldChar w:fldCharType="end"/>
      </w:r>
    </w:p>
    <w:p w14:paraId="23B1BA4C" w14:textId="77777777" w:rsidR="00792AD8" w:rsidRDefault="00792AD8">
      <w:pPr>
        <w:pStyle w:val="TableofFigures"/>
        <w:tabs>
          <w:tab w:val="right" w:leader="dot" w:pos="6906"/>
        </w:tabs>
        <w:rPr>
          <w:rFonts w:ascii="Arial" w:hAnsi="Arial" w:cs="Arial"/>
          <w:bCs/>
          <w:noProof/>
        </w:rPr>
      </w:pPr>
    </w:p>
    <w:p w14:paraId="7444CA33"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4. Luxor Temple, March 2005.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_Toc398124161 \h </w:instrText>
      </w:r>
      <w:r>
        <w:rPr>
          <w:noProof/>
        </w:rPr>
      </w:r>
      <w:r>
        <w:rPr>
          <w:noProof/>
        </w:rPr>
        <w:fldChar w:fldCharType="separate"/>
      </w:r>
      <w:r w:rsidR="00BD0ED3">
        <w:rPr>
          <w:noProof/>
        </w:rPr>
        <w:t>33</w:t>
      </w:r>
      <w:r>
        <w:rPr>
          <w:noProof/>
        </w:rPr>
        <w:fldChar w:fldCharType="end"/>
      </w:r>
    </w:p>
    <w:p w14:paraId="0E0E0981" w14:textId="77777777" w:rsidR="00792AD8" w:rsidRDefault="00792AD8">
      <w:pPr>
        <w:pStyle w:val="TableofFigures"/>
        <w:tabs>
          <w:tab w:val="right" w:leader="dot" w:pos="6906"/>
        </w:tabs>
        <w:rPr>
          <w:rFonts w:ascii="Arial" w:hAnsi="Arial" w:cs="Arial"/>
          <w:bCs/>
          <w:noProof/>
        </w:rPr>
      </w:pPr>
    </w:p>
    <w:p w14:paraId="4B8F60D2"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5. Luxor Temple, March 2005.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_Toc398124162 \h </w:instrText>
      </w:r>
      <w:r>
        <w:rPr>
          <w:noProof/>
        </w:rPr>
      </w:r>
      <w:r>
        <w:rPr>
          <w:noProof/>
        </w:rPr>
        <w:fldChar w:fldCharType="separate"/>
      </w:r>
      <w:r w:rsidR="00BD0ED3">
        <w:rPr>
          <w:noProof/>
        </w:rPr>
        <w:t>34</w:t>
      </w:r>
      <w:r>
        <w:rPr>
          <w:noProof/>
        </w:rPr>
        <w:fldChar w:fldCharType="end"/>
      </w:r>
    </w:p>
    <w:p w14:paraId="568232A7" w14:textId="77777777" w:rsidR="00792AD8" w:rsidRDefault="00792AD8">
      <w:pPr>
        <w:pStyle w:val="TableofFigures"/>
        <w:tabs>
          <w:tab w:val="right" w:leader="dot" w:pos="6906"/>
        </w:tabs>
        <w:rPr>
          <w:rFonts w:ascii="Arial" w:hAnsi="Arial" w:cs="Arial"/>
          <w:bCs/>
          <w:noProof/>
        </w:rPr>
      </w:pPr>
    </w:p>
    <w:p w14:paraId="5BDE0CC1"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6. Luxor Temple, March 2005.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_Toc398124163 \h </w:instrText>
      </w:r>
      <w:r>
        <w:rPr>
          <w:noProof/>
        </w:rPr>
      </w:r>
      <w:r>
        <w:rPr>
          <w:noProof/>
        </w:rPr>
        <w:fldChar w:fldCharType="separate"/>
      </w:r>
      <w:r w:rsidR="00BD0ED3">
        <w:rPr>
          <w:noProof/>
        </w:rPr>
        <w:t>34</w:t>
      </w:r>
      <w:r>
        <w:rPr>
          <w:noProof/>
        </w:rPr>
        <w:fldChar w:fldCharType="end"/>
      </w:r>
    </w:p>
    <w:p w14:paraId="709C2B04" w14:textId="77777777" w:rsidR="00792AD8" w:rsidRDefault="00792AD8">
      <w:pPr>
        <w:pStyle w:val="TableofFigures"/>
        <w:tabs>
          <w:tab w:val="right" w:leader="dot" w:pos="6906"/>
        </w:tabs>
        <w:rPr>
          <w:rFonts w:ascii="Arial" w:hAnsi="Arial" w:cs="Arial"/>
          <w:bCs/>
          <w:noProof/>
        </w:rPr>
      </w:pPr>
    </w:p>
    <w:p w14:paraId="322B2FAA"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7. Luxor Temple, March 2005.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_Toc398124164 \h </w:instrText>
      </w:r>
      <w:r>
        <w:rPr>
          <w:noProof/>
        </w:rPr>
      </w:r>
      <w:r>
        <w:rPr>
          <w:noProof/>
        </w:rPr>
        <w:fldChar w:fldCharType="separate"/>
      </w:r>
      <w:r w:rsidR="00BD0ED3">
        <w:rPr>
          <w:noProof/>
        </w:rPr>
        <w:t>35</w:t>
      </w:r>
      <w:r>
        <w:rPr>
          <w:noProof/>
        </w:rPr>
        <w:fldChar w:fldCharType="end"/>
      </w:r>
    </w:p>
    <w:p w14:paraId="3DD0664C" w14:textId="77777777" w:rsidR="00792AD8" w:rsidRDefault="00792AD8">
      <w:pPr>
        <w:pStyle w:val="TableofFigures"/>
        <w:tabs>
          <w:tab w:val="right" w:leader="dot" w:pos="6906"/>
        </w:tabs>
        <w:rPr>
          <w:rFonts w:ascii="Arial" w:hAnsi="Arial" w:cs="Arial"/>
          <w:bCs/>
          <w:noProof/>
        </w:rPr>
      </w:pPr>
    </w:p>
    <w:p w14:paraId="7EF14DC5"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8. Luxor Temple, March 2005. </w:t>
      </w:r>
      <w:r w:rsidRPr="000052FA">
        <w:rPr>
          <w:rFonts w:ascii="Arial" w:hAnsi="Arial" w:cs="Arial"/>
          <w:bCs/>
          <w:i/>
          <w:noProof/>
        </w:rPr>
        <w:t>Image</w:t>
      </w:r>
      <w:r w:rsidRPr="000052FA">
        <w:rPr>
          <w:rFonts w:ascii="Arial" w:hAnsi="Arial" w:cs="Arial"/>
          <w:bCs/>
          <w:noProof/>
        </w:rPr>
        <w:t>: Alison Chester-Lambert.</w:t>
      </w:r>
      <w:r>
        <w:rPr>
          <w:noProof/>
        </w:rPr>
        <w:tab/>
      </w:r>
      <w:r>
        <w:rPr>
          <w:noProof/>
        </w:rPr>
        <w:fldChar w:fldCharType="begin"/>
      </w:r>
      <w:r>
        <w:rPr>
          <w:noProof/>
        </w:rPr>
        <w:instrText xml:space="preserve"> PAGEREF _Toc398124165 \h </w:instrText>
      </w:r>
      <w:r>
        <w:rPr>
          <w:noProof/>
        </w:rPr>
      </w:r>
      <w:r>
        <w:rPr>
          <w:noProof/>
        </w:rPr>
        <w:fldChar w:fldCharType="separate"/>
      </w:r>
      <w:r w:rsidR="00BD0ED3">
        <w:rPr>
          <w:noProof/>
        </w:rPr>
        <w:t>35</w:t>
      </w:r>
      <w:r>
        <w:rPr>
          <w:noProof/>
        </w:rPr>
        <w:fldChar w:fldCharType="end"/>
      </w:r>
    </w:p>
    <w:p w14:paraId="0A416872" w14:textId="77777777" w:rsidR="00792AD8" w:rsidRDefault="00792AD8">
      <w:pPr>
        <w:pStyle w:val="TableofFigures"/>
        <w:tabs>
          <w:tab w:val="right" w:leader="dot" w:pos="6906"/>
        </w:tabs>
        <w:rPr>
          <w:rFonts w:ascii="Arial" w:hAnsi="Arial" w:cs="Arial"/>
          <w:bCs/>
          <w:noProof/>
        </w:rPr>
      </w:pPr>
    </w:p>
    <w:p w14:paraId="0A5083DB"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9. North wall of burial chamber of KV9, Ramesses V/VI, Valley of the Kings. Part of the </w:t>
      </w:r>
      <w:r w:rsidRPr="000052FA">
        <w:rPr>
          <w:rFonts w:ascii="Arial" w:hAnsi="Arial" w:cs="Arial"/>
          <w:bCs/>
          <w:i/>
          <w:noProof/>
        </w:rPr>
        <w:t>Book of the Earth</w:t>
      </w:r>
      <w:r w:rsidRPr="000052FA">
        <w:rPr>
          <w:rFonts w:ascii="Arial" w:hAnsi="Arial" w:cs="Arial"/>
          <w:bCs/>
          <w:noProof/>
        </w:rPr>
        <w:t xml:space="preserve">. New Kingdom. (c. 1145 – 1133) wall painting. </w:t>
      </w:r>
      <w:r w:rsidRPr="000052FA">
        <w:rPr>
          <w:rFonts w:ascii="Arial" w:hAnsi="Arial" w:cs="Arial"/>
          <w:bCs/>
          <w:i/>
          <w:noProof/>
        </w:rPr>
        <w:t>Image:</w:t>
      </w:r>
      <w:r w:rsidRPr="000052FA">
        <w:rPr>
          <w:rFonts w:ascii="Arial" w:hAnsi="Arial" w:cs="Arial"/>
          <w:bCs/>
          <w:noProof/>
        </w:rPr>
        <w:t xml:space="preserve"> Francis Dzikowski, Theban Mapping Project.</w:t>
      </w:r>
      <w:r>
        <w:rPr>
          <w:noProof/>
        </w:rPr>
        <w:tab/>
      </w:r>
      <w:r>
        <w:rPr>
          <w:noProof/>
        </w:rPr>
        <w:fldChar w:fldCharType="begin"/>
      </w:r>
      <w:r>
        <w:rPr>
          <w:noProof/>
        </w:rPr>
        <w:instrText xml:space="preserve"> PAGEREF _Toc398124166 \h </w:instrText>
      </w:r>
      <w:r>
        <w:rPr>
          <w:noProof/>
        </w:rPr>
      </w:r>
      <w:r>
        <w:rPr>
          <w:noProof/>
        </w:rPr>
        <w:fldChar w:fldCharType="separate"/>
      </w:r>
      <w:r w:rsidR="00BD0ED3">
        <w:rPr>
          <w:noProof/>
        </w:rPr>
        <w:t>40</w:t>
      </w:r>
      <w:r>
        <w:rPr>
          <w:noProof/>
        </w:rPr>
        <w:fldChar w:fldCharType="end"/>
      </w:r>
    </w:p>
    <w:p w14:paraId="4DDF2301" w14:textId="77777777" w:rsidR="00792AD8" w:rsidRDefault="00792AD8">
      <w:pPr>
        <w:pStyle w:val="TableofFigures"/>
        <w:tabs>
          <w:tab w:val="right" w:leader="dot" w:pos="6906"/>
        </w:tabs>
        <w:rPr>
          <w:rFonts w:ascii="Arial" w:hAnsi="Arial" w:cs="Arial"/>
          <w:bCs/>
          <w:noProof/>
        </w:rPr>
      </w:pPr>
    </w:p>
    <w:p w14:paraId="044EAAEB"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10. Robert Campin (c.1375–1444) and assistant, </w:t>
      </w:r>
      <w:r w:rsidRPr="000052FA">
        <w:rPr>
          <w:rFonts w:ascii="Arial" w:hAnsi="Arial" w:cs="Arial"/>
          <w:bCs/>
          <w:i/>
          <w:noProof/>
        </w:rPr>
        <w:t>Annunciation</w:t>
      </w:r>
      <w:r w:rsidRPr="000052FA">
        <w:rPr>
          <w:rFonts w:ascii="Arial" w:hAnsi="Arial" w:cs="Arial"/>
          <w:bCs/>
          <w:noProof/>
        </w:rPr>
        <w:t xml:space="preserve"> Triptych (Mérode Altarpiece) c.1425, oil on wood, 64 x 63 cm, The Metropolitan Museum of Art, The Cloisters Collection. </w:t>
      </w:r>
      <w:r w:rsidRPr="000052FA">
        <w:rPr>
          <w:rFonts w:ascii="Arial" w:hAnsi="Arial" w:cs="Arial"/>
          <w:bCs/>
          <w:i/>
          <w:noProof/>
        </w:rPr>
        <w:t>Image</w:t>
      </w:r>
      <w:r w:rsidRPr="000052FA">
        <w:rPr>
          <w:rFonts w:ascii="Arial" w:hAnsi="Arial" w:cs="Arial"/>
          <w:bCs/>
          <w:noProof/>
        </w:rPr>
        <w:t>: The Cloisters Collection.</w:t>
      </w:r>
      <w:r>
        <w:rPr>
          <w:noProof/>
        </w:rPr>
        <w:tab/>
      </w:r>
      <w:r>
        <w:rPr>
          <w:noProof/>
        </w:rPr>
        <w:fldChar w:fldCharType="begin"/>
      </w:r>
      <w:r>
        <w:rPr>
          <w:noProof/>
        </w:rPr>
        <w:instrText xml:space="preserve"> PAGEREF _Toc398124167 \h </w:instrText>
      </w:r>
      <w:r>
        <w:rPr>
          <w:noProof/>
        </w:rPr>
      </w:r>
      <w:r>
        <w:rPr>
          <w:noProof/>
        </w:rPr>
        <w:fldChar w:fldCharType="separate"/>
      </w:r>
      <w:r w:rsidR="00BD0ED3">
        <w:rPr>
          <w:noProof/>
        </w:rPr>
        <w:t>62</w:t>
      </w:r>
      <w:r>
        <w:rPr>
          <w:noProof/>
        </w:rPr>
        <w:fldChar w:fldCharType="end"/>
      </w:r>
    </w:p>
    <w:p w14:paraId="58FFACC5" w14:textId="77777777" w:rsidR="00792AD8" w:rsidRDefault="00792AD8">
      <w:pPr>
        <w:pStyle w:val="TableofFigures"/>
        <w:tabs>
          <w:tab w:val="right" w:leader="dot" w:pos="6906"/>
        </w:tabs>
        <w:rPr>
          <w:rFonts w:ascii="Arial" w:hAnsi="Arial" w:cs="Arial"/>
          <w:bCs/>
          <w:noProof/>
        </w:rPr>
      </w:pPr>
    </w:p>
    <w:p w14:paraId="6393F2A2"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11. Robert Campin (c.1375–1444) and assistant, </w:t>
      </w:r>
      <w:r w:rsidRPr="000052FA">
        <w:rPr>
          <w:rFonts w:ascii="Arial" w:hAnsi="Arial" w:cs="Arial"/>
          <w:bCs/>
          <w:i/>
          <w:noProof/>
        </w:rPr>
        <w:t>Annunciation</w:t>
      </w:r>
      <w:r w:rsidRPr="000052FA">
        <w:rPr>
          <w:rFonts w:ascii="Arial" w:hAnsi="Arial" w:cs="Arial"/>
          <w:bCs/>
          <w:noProof/>
        </w:rPr>
        <w:t xml:space="preserve"> Triptych (Mérode Altarpiece) c.1425, showing child streaming in through the window on a beam of light. The Metropolitan Museum of Art, The Cloisters Collection. </w:t>
      </w:r>
      <w:r w:rsidRPr="000052FA">
        <w:rPr>
          <w:rFonts w:ascii="Arial" w:hAnsi="Arial" w:cs="Arial"/>
          <w:bCs/>
          <w:i/>
          <w:noProof/>
        </w:rPr>
        <w:t>Image</w:t>
      </w:r>
      <w:r w:rsidRPr="000052FA">
        <w:rPr>
          <w:rFonts w:ascii="Arial" w:hAnsi="Arial" w:cs="Arial"/>
          <w:bCs/>
          <w:noProof/>
        </w:rPr>
        <w:t>: The Cloisters Collection.</w:t>
      </w:r>
      <w:r>
        <w:rPr>
          <w:noProof/>
        </w:rPr>
        <w:tab/>
      </w:r>
      <w:r>
        <w:rPr>
          <w:noProof/>
        </w:rPr>
        <w:fldChar w:fldCharType="begin"/>
      </w:r>
      <w:r>
        <w:rPr>
          <w:noProof/>
        </w:rPr>
        <w:instrText xml:space="preserve"> PAGEREF _Toc398124168 \h </w:instrText>
      </w:r>
      <w:r>
        <w:rPr>
          <w:noProof/>
        </w:rPr>
      </w:r>
      <w:r>
        <w:rPr>
          <w:noProof/>
        </w:rPr>
        <w:fldChar w:fldCharType="separate"/>
      </w:r>
      <w:r w:rsidR="00BD0ED3">
        <w:rPr>
          <w:noProof/>
        </w:rPr>
        <w:t>62</w:t>
      </w:r>
      <w:r>
        <w:rPr>
          <w:noProof/>
        </w:rPr>
        <w:fldChar w:fldCharType="end"/>
      </w:r>
    </w:p>
    <w:p w14:paraId="3DD00E5D" w14:textId="77777777" w:rsidR="00792AD8" w:rsidRDefault="00792AD8">
      <w:pPr>
        <w:pStyle w:val="TableofFigures"/>
        <w:tabs>
          <w:tab w:val="right" w:leader="dot" w:pos="6906"/>
        </w:tabs>
        <w:rPr>
          <w:rFonts w:ascii="Arial" w:hAnsi="Arial" w:cs="Arial"/>
          <w:bCs/>
          <w:noProof/>
        </w:rPr>
      </w:pPr>
    </w:p>
    <w:p w14:paraId="71C3D3A2"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12. Painted by Giotto di Bondone (1266/7 - 1337) </w:t>
      </w:r>
      <w:r w:rsidRPr="000052FA">
        <w:rPr>
          <w:rFonts w:ascii="Arial" w:hAnsi="Arial" w:cs="Arial"/>
          <w:bCs/>
          <w:i/>
          <w:noProof/>
        </w:rPr>
        <w:t xml:space="preserve">The Dedication Scene in the Fresco cycle of ` The Life of the Virgin`. </w:t>
      </w:r>
      <w:r w:rsidRPr="000052FA">
        <w:rPr>
          <w:rFonts w:ascii="Arial" w:hAnsi="Arial" w:cs="Arial"/>
          <w:bCs/>
          <w:noProof/>
        </w:rPr>
        <w:lastRenderedPageBreak/>
        <w:t xml:space="preserve">Completed 1306AD. Fresco. Arena Chapel, Padua, Italy. </w:t>
      </w:r>
      <w:r w:rsidRPr="000052FA">
        <w:rPr>
          <w:rFonts w:ascii="Arial" w:hAnsi="Arial" w:cs="Arial"/>
          <w:bCs/>
          <w:i/>
          <w:noProof/>
        </w:rPr>
        <w:t>Image</w:t>
      </w:r>
      <w:r w:rsidR="004F507B">
        <w:rPr>
          <w:rFonts w:ascii="Arial" w:hAnsi="Arial" w:cs="Arial"/>
          <w:bCs/>
          <w:noProof/>
        </w:rPr>
        <w:t>: Copyright</w:t>
      </w:r>
      <w:r w:rsidRPr="000052FA">
        <w:rPr>
          <w:rFonts w:ascii="Arial" w:hAnsi="Arial" w:cs="Arial"/>
          <w:bCs/>
          <w:noProof/>
        </w:rPr>
        <w:t xml:space="preserve"> 2014 by SUNY Oneonta</w:t>
      </w:r>
      <w:r w:rsidRPr="000052FA">
        <w:rPr>
          <w:rFonts w:ascii="Arial" w:hAnsi="Arial" w:cs="Arial"/>
          <w:bCs/>
          <w:i/>
          <w:noProof/>
        </w:rPr>
        <w:t>.</w:t>
      </w:r>
      <w:r>
        <w:rPr>
          <w:noProof/>
        </w:rPr>
        <w:tab/>
      </w:r>
      <w:r>
        <w:rPr>
          <w:noProof/>
        </w:rPr>
        <w:fldChar w:fldCharType="begin"/>
      </w:r>
      <w:r>
        <w:rPr>
          <w:noProof/>
        </w:rPr>
        <w:instrText xml:space="preserve"> PAGEREF _Toc398124169 \h </w:instrText>
      </w:r>
      <w:r>
        <w:rPr>
          <w:noProof/>
        </w:rPr>
      </w:r>
      <w:r>
        <w:rPr>
          <w:noProof/>
        </w:rPr>
        <w:fldChar w:fldCharType="separate"/>
      </w:r>
      <w:r w:rsidR="00BD0ED3">
        <w:rPr>
          <w:noProof/>
        </w:rPr>
        <w:t>64</w:t>
      </w:r>
      <w:r>
        <w:rPr>
          <w:noProof/>
        </w:rPr>
        <w:fldChar w:fldCharType="end"/>
      </w:r>
    </w:p>
    <w:p w14:paraId="009AE37E" w14:textId="77777777" w:rsidR="004F507B" w:rsidRDefault="004F507B">
      <w:pPr>
        <w:pStyle w:val="TableofFigures"/>
        <w:tabs>
          <w:tab w:val="right" w:leader="dot" w:pos="6906"/>
        </w:tabs>
        <w:rPr>
          <w:rFonts w:ascii="Arial" w:hAnsi="Arial" w:cs="Arial"/>
          <w:bCs/>
          <w:noProof/>
        </w:rPr>
      </w:pPr>
    </w:p>
    <w:p w14:paraId="51161324" w14:textId="77777777" w:rsidR="00A550AF" w:rsidRPr="00A0478B" w:rsidRDefault="00A550AF">
      <w:pPr>
        <w:pStyle w:val="TableofFigures"/>
        <w:tabs>
          <w:tab w:val="right" w:leader="dot" w:pos="6906"/>
        </w:tabs>
        <w:rPr>
          <w:rFonts w:ascii="Arial" w:hAnsi="Arial" w:cs="Arial"/>
          <w:bCs/>
          <w:noProof/>
        </w:rPr>
      </w:pPr>
      <w:r w:rsidRPr="000052FA">
        <w:rPr>
          <w:rFonts w:ascii="Arial" w:hAnsi="Arial" w:cs="Arial"/>
          <w:bCs/>
          <w:noProof/>
        </w:rPr>
        <w:t>Figure 13.</w:t>
      </w:r>
      <w:r w:rsidR="00A0478B" w:rsidRPr="00A0478B">
        <w:rPr>
          <w:rFonts w:ascii="Arial" w:hAnsi="Arial" w:cs="Arial"/>
          <w:bCs/>
          <w:sz w:val="18"/>
          <w:szCs w:val="18"/>
        </w:rPr>
        <w:t xml:space="preserve"> </w:t>
      </w:r>
      <w:r w:rsidR="00A0478B" w:rsidRPr="00A0478B">
        <w:rPr>
          <w:rFonts w:ascii="Arial" w:hAnsi="Arial" w:cs="Arial"/>
          <w:bCs/>
          <w:noProof/>
        </w:rPr>
        <w:t xml:space="preserve">Painted by Giotto di Bondone (1266/7 - 1337) </w:t>
      </w:r>
      <w:r w:rsidR="00A0478B" w:rsidRPr="00A0478B">
        <w:rPr>
          <w:rFonts w:ascii="Arial" w:hAnsi="Arial" w:cs="Arial"/>
          <w:bCs/>
          <w:i/>
          <w:noProof/>
        </w:rPr>
        <w:t>The Dedication Scene in the Fresco cycle of ` The Life of the Virgin`</w:t>
      </w:r>
      <w:r w:rsidR="00A0478B" w:rsidRPr="00A0478B">
        <w:rPr>
          <w:rFonts w:ascii="Arial" w:hAnsi="Arial" w:cs="Arial"/>
          <w:bCs/>
          <w:noProof/>
        </w:rPr>
        <w:t xml:space="preserve">. Completed 1306 AD. Fresco. Arena Chapel, Padua, Italy. </w:t>
      </w:r>
      <w:r w:rsidR="00A0478B" w:rsidRPr="00A0478B">
        <w:rPr>
          <w:rFonts w:ascii="Arial" w:hAnsi="Arial" w:cs="Arial"/>
          <w:bCs/>
          <w:i/>
          <w:noProof/>
        </w:rPr>
        <w:t>Image: Hans Michael Thomas.25th March.</w:t>
      </w:r>
      <w:r w:rsidR="00A0478B" w:rsidRPr="00A0478B">
        <w:rPr>
          <w:rFonts w:ascii="Arial" w:hAnsi="Arial" w:cs="Arial"/>
          <w:bCs/>
          <w:noProof/>
        </w:rPr>
        <w:t>[</w:t>
      </w:r>
      <w:r w:rsidR="009146B4">
        <w:rPr>
          <w:rFonts w:ascii="Arial" w:hAnsi="Arial" w:cs="Arial"/>
          <w:bCs/>
          <w:noProof/>
        </w:rPr>
        <w:t>I</w:t>
      </w:r>
      <w:r w:rsidR="00A0478B" w:rsidRPr="00A0478B">
        <w:rPr>
          <w:rFonts w:ascii="Arial" w:hAnsi="Arial" w:cs="Arial"/>
          <w:bCs/>
          <w:noProof/>
        </w:rPr>
        <w:t>n:</w:t>
      </w:r>
      <w:r w:rsidR="00A0478B" w:rsidRPr="00A0478B">
        <w:rPr>
          <w:rFonts w:ascii="Arial" w:hAnsi="Arial" w:cs="Arial"/>
          <w:bCs/>
          <w:i/>
          <w:noProof/>
        </w:rPr>
        <w:t xml:space="preserve"> </w:t>
      </w:r>
      <w:r w:rsidR="00A0478B" w:rsidRPr="00A0478B">
        <w:rPr>
          <w:rFonts w:ascii="Arial" w:hAnsi="Arial" w:cs="Arial"/>
          <w:bCs/>
          <w:noProof/>
        </w:rPr>
        <w:t xml:space="preserve"> Laura Jacobus, `Giotto’s Annunciation in the Arena Chapel, Padua`, </w:t>
      </w:r>
      <w:r w:rsidR="00A0478B" w:rsidRPr="00A0478B">
        <w:rPr>
          <w:rFonts w:ascii="Arial" w:hAnsi="Arial" w:cs="Arial"/>
          <w:bCs/>
          <w:i/>
          <w:noProof/>
        </w:rPr>
        <w:t>The Art Bulletin</w:t>
      </w:r>
      <w:r w:rsidR="00A0478B" w:rsidRPr="00A0478B">
        <w:rPr>
          <w:rFonts w:ascii="Arial" w:hAnsi="Arial" w:cs="Arial"/>
          <w:bCs/>
          <w:noProof/>
        </w:rPr>
        <w:t>, Vol. 81. No. 1 (Mar. 1999), 93-107.]</w:t>
      </w:r>
      <w:r w:rsidR="00A0478B">
        <w:rPr>
          <w:rFonts w:ascii="Arial" w:hAnsi="Arial" w:cs="Arial"/>
          <w:bCs/>
          <w:noProof/>
        </w:rPr>
        <w:t xml:space="preserve"> </w:t>
      </w:r>
      <w:r>
        <w:rPr>
          <w:noProof/>
        </w:rPr>
        <w:tab/>
      </w:r>
      <w:r>
        <w:rPr>
          <w:noProof/>
        </w:rPr>
        <w:fldChar w:fldCharType="begin"/>
      </w:r>
      <w:r>
        <w:rPr>
          <w:noProof/>
        </w:rPr>
        <w:instrText xml:space="preserve"> PAGEREF _Toc398124170 \h </w:instrText>
      </w:r>
      <w:r>
        <w:rPr>
          <w:noProof/>
        </w:rPr>
      </w:r>
      <w:r>
        <w:rPr>
          <w:noProof/>
        </w:rPr>
        <w:fldChar w:fldCharType="separate"/>
      </w:r>
      <w:r w:rsidR="00BD0ED3">
        <w:rPr>
          <w:noProof/>
        </w:rPr>
        <w:t>65</w:t>
      </w:r>
      <w:r>
        <w:rPr>
          <w:noProof/>
        </w:rPr>
        <w:fldChar w:fldCharType="end"/>
      </w:r>
    </w:p>
    <w:p w14:paraId="56E93906" w14:textId="77777777" w:rsidR="00792AD8" w:rsidRDefault="00792AD8">
      <w:pPr>
        <w:pStyle w:val="TableofFigures"/>
        <w:tabs>
          <w:tab w:val="right" w:leader="dot" w:pos="6906"/>
        </w:tabs>
        <w:rPr>
          <w:rFonts w:ascii="Arial" w:hAnsi="Arial" w:cs="Arial"/>
          <w:bCs/>
          <w:noProof/>
        </w:rPr>
      </w:pPr>
    </w:p>
    <w:p w14:paraId="4C3D8487"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14. Filippo Lippi (1406 – 1469), </w:t>
      </w:r>
      <w:r w:rsidRPr="000052FA">
        <w:rPr>
          <w:rFonts w:ascii="Arial" w:hAnsi="Arial" w:cs="Arial"/>
          <w:bCs/>
          <w:i/>
          <w:noProof/>
        </w:rPr>
        <w:t>The Annunciation</w:t>
      </w:r>
      <w:r w:rsidRPr="000052FA">
        <w:rPr>
          <w:rFonts w:ascii="Arial" w:hAnsi="Arial" w:cs="Arial"/>
          <w:bCs/>
          <w:noProof/>
        </w:rPr>
        <w:t xml:space="preserve"> (c. 1450-1453), tempera on wood, 68 cm × 151.5 cm (27 in × 59.6 in).</w:t>
      </w:r>
      <w:r w:rsidRPr="000052FA">
        <w:rPr>
          <w:rFonts w:ascii="Arial" w:hAnsi="Arial" w:cs="Arial"/>
          <w:noProof/>
        </w:rPr>
        <w:t xml:space="preserve"> </w:t>
      </w:r>
      <w:r w:rsidRPr="000052FA">
        <w:rPr>
          <w:rFonts w:ascii="Arial" w:hAnsi="Arial" w:cs="Arial"/>
          <w:bCs/>
          <w:noProof/>
        </w:rPr>
        <w:t xml:space="preserve">National Gallery, London. </w:t>
      </w:r>
      <w:r w:rsidRPr="000052FA">
        <w:rPr>
          <w:rFonts w:ascii="Arial" w:hAnsi="Arial" w:cs="Arial"/>
          <w:bCs/>
          <w:i/>
          <w:noProof/>
        </w:rPr>
        <w:t>Image</w:t>
      </w:r>
      <w:r w:rsidRPr="000052FA">
        <w:rPr>
          <w:rFonts w:ascii="Arial" w:hAnsi="Arial" w:cs="Arial"/>
          <w:bCs/>
          <w:noProof/>
        </w:rPr>
        <w:t>: National Gallery, London.</w:t>
      </w:r>
      <w:r>
        <w:rPr>
          <w:noProof/>
        </w:rPr>
        <w:tab/>
      </w:r>
      <w:r>
        <w:rPr>
          <w:noProof/>
        </w:rPr>
        <w:fldChar w:fldCharType="begin"/>
      </w:r>
      <w:r>
        <w:rPr>
          <w:noProof/>
        </w:rPr>
        <w:instrText xml:space="preserve"> PAGEREF _Toc398124171 \h </w:instrText>
      </w:r>
      <w:r>
        <w:rPr>
          <w:noProof/>
        </w:rPr>
      </w:r>
      <w:r>
        <w:rPr>
          <w:noProof/>
        </w:rPr>
        <w:fldChar w:fldCharType="separate"/>
      </w:r>
      <w:r w:rsidR="00BD0ED3">
        <w:rPr>
          <w:noProof/>
        </w:rPr>
        <w:t>67</w:t>
      </w:r>
      <w:r>
        <w:rPr>
          <w:noProof/>
        </w:rPr>
        <w:fldChar w:fldCharType="end"/>
      </w:r>
    </w:p>
    <w:p w14:paraId="6F1217B7" w14:textId="77777777" w:rsidR="00792AD8" w:rsidRDefault="00792AD8">
      <w:pPr>
        <w:pStyle w:val="TableofFigures"/>
        <w:tabs>
          <w:tab w:val="right" w:leader="dot" w:pos="6906"/>
        </w:tabs>
        <w:rPr>
          <w:rFonts w:ascii="Arial" w:hAnsi="Arial" w:cs="Arial"/>
          <w:bCs/>
          <w:noProof/>
        </w:rPr>
      </w:pPr>
    </w:p>
    <w:p w14:paraId="2424BE2B"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15. Filippo Lippi (1406 – 1469), </w:t>
      </w:r>
      <w:r w:rsidRPr="000052FA">
        <w:rPr>
          <w:rFonts w:ascii="Arial" w:hAnsi="Arial" w:cs="Arial"/>
          <w:bCs/>
          <w:i/>
          <w:noProof/>
        </w:rPr>
        <w:t>The Annunciation</w:t>
      </w:r>
      <w:r w:rsidRPr="000052FA">
        <w:rPr>
          <w:rFonts w:ascii="Arial" w:hAnsi="Arial" w:cs="Arial"/>
          <w:bCs/>
          <w:noProof/>
        </w:rPr>
        <w:t xml:space="preserve"> (c. 1450-1453), section showing dove in fiery rings or discs, tempera on wood, 68 cm × 151.5 cm (27 in × 59.6 in). National Gallery, London.</w:t>
      </w:r>
      <w:r w:rsidRPr="000052FA">
        <w:rPr>
          <w:rFonts w:ascii="Arial" w:hAnsi="Arial" w:cs="Arial"/>
          <w:bCs/>
          <w:i/>
          <w:noProof/>
        </w:rPr>
        <w:t xml:space="preserve"> Image</w:t>
      </w:r>
      <w:r w:rsidRPr="000052FA">
        <w:rPr>
          <w:rFonts w:ascii="Arial" w:hAnsi="Arial" w:cs="Arial"/>
          <w:bCs/>
          <w:noProof/>
        </w:rPr>
        <w:t>: National Gallery, London.</w:t>
      </w:r>
      <w:r>
        <w:rPr>
          <w:noProof/>
        </w:rPr>
        <w:tab/>
      </w:r>
      <w:r>
        <w:rPr>
          <w:noProof/>
        </w:rPr>
        <w:fldChar w:fldCharType="begin"/>
      </w:r>
      <w:r>
        <w:rPr>
          <w:noProof/>
        </w:rPr>
        <w:instrText xml:space="preserve"> PAGEREF _Toc398124172 \h </w:instrText>
      </w:r>
      <w:r>
        <w:rPr>
          <w:noProof/>
        </w:rPr>
      </w:r>
      <w:r>
        <w:rPr>
          <w:noProof/>
        </w:rPr>
        <w:fldChar w:fldCharType="separate"/>
      </w:r>
      <w:r w:rsidR="00BD0ED3">
        <w:rPr>
          <w:noProof/>
        </w:rPr>
        <w:t>67</w:t>
      </w:r>
      <w:r>
        <w:rPr>
          <w:noProof/>
        </w:rPr>
        <w:fldChar w:fldCharType="end"/>
      </w:r>
    </w:p>
    <w:p w14:paraId="30A046AC" w14:textId="77777777" w:rsidR="004E4C2C" w:rsidRDefault="004E4C2C">
      <w:pPr>
        <w:pStyle w:val="TableofFigures"/>
        <w:tabs>
          <w:tab w:val="right" w:leader="dot" w:pos="6906"/>
        </w:tabs>
        <w:rPr>
          <w:rFonts w:ascii="Arial" w:hAnsi="Arial" w:cs="Arial"/>
          <w:bCs/>
          <w:noProof/>
        </w:rPr>
      </w:pPr>
    </w:p>
    <w:p w14:paraId="0FC4002A"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16. Titian (c.1488/1490 – 1576CE) </w:t>
      </w:r>
      <w:r w:rsidRPr="000052FA">
        <w:rPr>
          <w:rFonts w:ascii="Arial" w:hAnsi="Arial" w:cs="Arial"/>
          <w:bCs/>
          <w:i/>
          <w:noProof/>
        </w:rPr>
        <w:t>The Annunciation</w:t>
      </w:r>
      <w:r w:rsidRPr="000052FA">
        <w:rPr>
          <w:rFonts w:ascii="Arial" w:hAnsi="Arial" w:cs="Arial"/>
          <w:bCs/>
          <w:noProof/>
        </w:rPr>
        <w:t xml:space="preserve"> 1559–1564CE., painting, 4.0m x 2.35m, Church of San Salvatore, Venice. </w:t>
      </w:r>
      <w:r w:rsidRPr="000052FA">
        <w:rPr>
          <w:rFonts w:ascii="Arial" w:hAnsi="Arial" w:cs="Arial"/>
          <w:bCs/>
          <w:i/>
          <w:noProof/>
        </w:rPr>
        <w:t>Image</w:t>
      </w:r>
      <w:r w:rsidRPr="000052FA">
        <w:rPr>
          <w:rFonts w:ascii="Arial" w:hAnsi="Arial" w:cs="Arial"/>
          <w:bCs/>
          <w:noProof/>
        </w:rPr>
        <w:t xml:space="preserve"> Church of San Salvatore.</w:t>
      </w:r>
      <w:r>
        <w:rPr>
          <w:noProof/>
        </w:rPr>
        <w:tab/>
      </w:r>
      <w:r>
        <w:rPr>
          <w:noProof/>
        </w:rPr>
        <w:fldChar w:fldCharType="begin"/>
      </w:r>
      <w:r>
        <w:rPr>
          <w:noProof/>
        </w:rPr>
        <w:instrText xml:space="preserve"> PAGEREF _Toc398124173 \h </w:instrText>
      </w:r>
      <w:r>
        <w:rPr>
          <w:noProof/>
        </w:rPr>
      </w:r>
      <w:r>
        <w:rPr>
          <w:noProof/>
        </w:rPr>
        <w:fldChar w:fldCharType="separate"/>
      </w:r>
      <w:r w:rsidR="00BD0ED3">
        <w:rPr>
          <w:noProof/>
        </w:rPr>
        <w:t>68</w:t>
      </w:r>
      <w:r>
        <w:rPr>
          <w:noProof/>
        </w:rPr>
        <w:fldChar w:fldCharType="end"/>
      </w:r>
    </w:p>
    <w:p w14:paraId="6D471044" w14:textId="77777777" w:rsidR="004E4C2C" w:rsidRDefault="004E4C2C">
      <w:pPr>
        <w:pStyle w:val="TableofFigures"/>
        <w:tabs>
          <w:tab w:val="right" w:leader="dot" w:pos="6906"/>
        </w:tabs>
        <w:rPr>
          <w:rFonts w:ascii="Arial" w:hAnsi="Arial" w:cs="Arial"/>
          <w:bCs/>
          <w:noProof/>
        </w:rPr>
      </w:pPr>
    </w:p>
    <w:p w14:paraId="5A47E5B5"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17. Fra Angelico (1395 – 1455) </w:t>
      </w:r>
      <w:r w:rsidRPr="000052FA">
        <w:rPr>
          <w:rFonts w:ascii="Arial" w:hAnsi="Arial" w:cs="Arial"/>
          <w:bCs/>
          <w:i/>
          <w:noProof/>
        </w:rPr>
        <w:t>The Annunciation</w:t>
      </w:r>
      <w:r w:rsidRPr="000052FA">
        <w:rPr>
          <w:rFonts w:ascii="Arial" w:hAnsi="Arial" w:cs="Arial"/>
          <w:bCs/>
          <w:noProof/>
        </w:rPr>
        <w:t xml:space="preserve">. 1425 – 1428CE., tempera on wood, 194 cm x 194 cm., Museo Nacional del Prado. </w:t>
      </w:r>
      <w:r w:rsidRPr="000052FA">
        <w:rPr>
          <w:rFonts w:ascii="Arial" w:hAnsi="Arial" w:cs="Arial"/>
          <w:bCs/>
          <w:i/>
          <w:noProof/>
        </w:rPr>
        <w:t>Image</w:t>
      </w:r>
      <w:r w:rsidRPr="000052FA">
        <w:rPr>
          <w:rFonts w:ascii="Arial" w:hAnsi="Arial" w:cs="Arial"/>
          <w:bCs/>
          <w:noProof/>
        </w:rPr>
        <w:t>: Museo Nacional del Prado</w:t>
      </w:r>
      <w:r>
        <w:rPr>
          <w:noProof/>
        </w:rPr>
        <w:tab/>
      </w:r>
      <w:r>
        <w:rPr>
          <w:noProof/>
        </w:rPr>
        <w:fldChar w:fldCharType="begin"/>
      </w:r>
      <w:r>
        <w:rPr>
          <w:noProof/>
        </w:rPr>
        <w:instrText xml:space="preserve"> PAGEREF _Toc398124174 \h </w:instrText>
      </w:r>
      <w:r>
        <w:rPr>
          <w:noProof/>
        </w:rPr>
      </w:r>
      <w:r>
        <w:rPr>
          <w:noProof/>
        </w:rPr>
        <w:fldChar w:fldCharType="separate"/>
      </w:r>
      <w:r w:rsidR="00BD0ED3">
        <w:rPr>
          <w:noProof/>
        </w:rPr>
        <w:t>69</w:t>
      </w:r>
      <w:r>
        <w:rPr>
          <w:noProof/>
        </w:rPr>
        <w:fldChar w:fldCharType="end"/>
      </w:r>
    </w:p>
    <w:p w14:paraId="134424E7" w14:textId="77777777" w:rsidR="004E4C2C" w:rsidRDefault="004E4C2C">
      <w:pPr>
        <w:pStyle w:val="TableofFigures"/>
        <w:tabs>
          <w:tab w:val="right" w:leader="dot" w:pos="6906"/>
        </w:tabs>
        <w:rPr>
          <w:rFonts w:ascii="Arial" w:hAnsi="Arial" w:cs="Arial"/>
          <w:bCs/>
          <w:noProof/>
        </w:rPr>
      </w:pPr>
    </w:p>
    <w:p w14:paraId="384864B8"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Figure 18.</w:t>
      </w:r>
      <w:r w:rsidRPr="000052FA">
        <w:rPr>
          <w:rFonts w:ascii="Arial" w:hAnsi="Arial" w:cs="Arial"/>
          <w:noProof/>
        </w:rPr>
        <w:t xml:space="preserve"> </w:t>
      </w:r>
      <w:r w:rsidRPr="000052FA">
        <w:rPr>
          <w:rFonts w:ascii="Arial" w:hAnsi="Arial" w:cs="Arial"/>
          <w:bCs/>
          <w:noProof/>
        </w:rPr>
        <w:t xml:space="preserve">Unknown artist. Mosaic of Christ as Sol or Apollo-Helios, mosaic, third century CE, Mausoleum M beneath St Paul’s Basilica, Rome. </w:t>
      </w:r>
      <w:r w:rsidRPr="000052FA">
        <w:rPr>
          <w:rFonts w:ascii="Arial" w:hAnsi="Arial" w:cs="Arial"/>
          <w:bCs/>
          <w:i/>
          <w:noProof/>
        </w:rPr>
        <w:t>Image</w:t>
      </w:r>
      <w:r w:rsidRPr="000052FA">
        <w:rPr>
          <w:rFonts w:ascii="Arial" w:hAnsi="Arial" w:cs="Arial"/>
          <w:bCs/>
          <w:noProof/>
        </w:rPr>
        <w:t>: Public Domain, Wikimedia commons.</w:t>
      </w:r>
      <w:r>
        <w:rPr>
          <w:noProof/>
        </w:rPr>
        <w:tab/>
      </w:r>
      <w:r>
        <w:rPr>
          <w:noProof/>
        </w:rPr>
        <w:fldChar w:fldCharType="begin"/>
      </w:r>
      <w:r>
        <w:rPr>
          <w:noProof/>
        </w:rPr>
        <w:instrText xml:space="preserve"> PAGEREF _Toc398124175 \h </w:instrText>
      </w:r>
      <w:r>
        <w:rPr>
          <w:noProof/>
        </w:rPr>
      </w:r>
      <w:r>
        <w:rPr>
          <w:noProof/>
        </w:rPr>
        <w:fldChar w:fldCharType="separate"/>
      </w:r>
      <w:r w:rsidR="00BD0ED3">
        <w:rPr>
          <w:noProof/>
        </w:rPr>
        <w:t>71</w:t>
      </w:r>
      <w:r>
        <w:rPr>
          <w:noProof/>
        </w:rPr>
        <w:fldChar w:fldCharType="end"/>
      </w:r>
    </w:p>
    <w:p w14:paraId="4C4CC687" w14:textId="77777777" w:rsidR="004E4C2C" w:rsidRDefault="004E4C2C">
      <w:pPr>
        <w:pStyle w:val="TableofFigures"/>
        <w:tabs>
          <w:tab w:val="right" w:leader="dot" w:pos="6906"/>
        </w:tabs>
        <w:rPr>
          <w:rFonts w:ascii="Arial" w:hAnsi="Arial" w:cs="Arial"/>
          <w:bCs/>
          <w:noProof/>
        </w:rPr>
      </w:pPr>
    </w:p>
    <w:p w14:paraId="38690129"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19. North wall of burial chamber of KV9, Ramesses V/VI, Valley of the Kings. Part of the </w:t>
      </w:r>
      <w:r w:rsidRPr="000052FA">
        <w:rPr>
          <w:rFonts w:ascii="Arial" w:hAnsi="Arial" w:cs="Arial"/>
          <w:bCs/>
          <w:i/>
          <w:noProof/>
        </w:rPr>
        <w:t>Book of the Earth</w:t>
      </w:r>
      <w:r w:rsidRPr="000052FA">
        <w:rPr>
          <w:rFonts w:ascii="Arial" w:hAnsi="Arial" w:cs="Arial"/>
          <w:bCs/>
          <w:noProof/>
        </w:rPr>
        <w:t xml:space="preserve">. New Kingdom. (c. 1145 – 1133) wall painting. </w:t>
      </w:r>
      <w:r w:rsidRPr="000052FA">
        <w:rPr>
          <w:rFonts w:ascii="Arial" w:hAnsi="Arial" w:cs="Arial"/>
          <w:bCs/>
          <w:i/>
          <w:noProof/>
        </w:rPr>
        <w:t>Image:</w:t>
      </w:r>
      <w:r w:rsidRPr="000052FA">
        <w:rPr>
          <w:rFonts w:ascii="Arial" w:hAnsi="Arial" w:cs="Arial"/>
          <w:bCs/>
          <w:noProof/>
        </w:rPr>
        <w:t xml:space="preserve"> Francis Dzikowski, Theban Mapping Project.</w:t>
      </w:r>
      <w:r>
        <w:rPr>
          <w:noProof/>
        </w:rPr>
        <w:tab/>
      </w:r>
      <w:r>
        <w:rPr>
          <w:noProof/>
        </w:rPr>
        <w:fldChar w:fldCharType="begin"/>
      </w:r>
      <w:r>
        <w:rPr>
          <w:noProof/>
        </w:rPr>
        <w:instrText xml:space="preserve"> PAGEREF _Toc398124176 \h </w:instrText>
      </w:r>
      <w:r>
        <w:rPr>
          <w:noProof/>
        </w:rPr>
      </w:r>
      <w:r>
        <w:rPr>
          <w:noProof/>
        </w:rPr>
        <w:fldChar w:fldCharType="separate"/>
      </w:r>
      <w:r w:rsidR="00BD0ED3">
        <w:rPr>
          <w:noProof/>
        </w:rPr>
        <w:t>82</w:t>
      </w:r>
      <w:r>
        <w:rPr>
          <w:noProof/>
        </w:rPr>
        <w:fldChar w:fldCharType="end"/>
      </w:r>
    </w:p>
    <w:p w14:paraId="2F5E4CC0" w14:textId="77777777" w:rsidR="004E4C2C" w:rsidRDefault="004E4C2C">
      <w:pPr>
        <w:pStyle w:val="TableofFigures"/>
        <w:tabs>
          <w:tab w:val="right" w:leader="dot" w:pos="6906"/>
        </w:tabs>
        <w:rPr>
          <w:rFonts w:ascii="Arial" w:hAnsi="Arial" w:cs="Arial"/>
          <w:bCs/>
          <w:noProof/>
        </w:rPr>
      </w:pPr>
    </w:p>
    <w:p w14:paraId="4FB326D5" w14:textId="77777777" w:rsidR="00A550AF" w:rsidRDefault="00A550AF">
      <w:pPr>
        <w:pStyle w:val="TableofFigures"/>
        <w:tabs>
          <w:tab w:val="right" w:leader="dot" w:pos="6906"/>
        </w:tabs>
        <w:rPr>
          <w:rFonts w:asciiTheme="minorHAnsi" w:eastAsiaTheme="minorEastAsia" w:hAnsiTheme="minorHAnsi"/>
          <w:noProof/>
          <w:sz w:val="22"/>
          <w:lang w:eastAsia="en-GB"/>
        </w:rPr>
      </w:pPr>
      <w:r w:rsidRPr="000052FA">
        <w:rPr>
          <w:rFonts w:ascii="Arial" w:hAnsi="Arial" w:cs="Arial"/>
          <w:bCs/>
          <w:noProof/>
        </w:rPr>
        <w:t xml:space="preserve">Figure 20. Robert Campin (c.1375–1444) and assistant, </w:t>
      </w:r>
      <w:r w:rsidRPr="000052FA">
        <w:rPr>
          <w:rFonts w:ascii="Arial" w:hAnsi="Arial" w:cs="Arial"/>
          <w:bCs/>
          <w:i/>
          <w:noProof/>
        </w:rPr>
        <w:t>Annunciation</w:t>
      </w:r>
      <w:r w:rsidRPr="000052FA">
        <w:rPr>
          <w:rFonts w:ascii="Arial" w:hAnsi="Arial" w:cs="Arial"/>
          <w:bCs/>
          <w:noProof/>
        </w:rPr>
        <w:t xml:space="preserve"> Triptych (Mérode Altarpiece) c.1425, showing child streaming in through the window on a beam of light. The Metropolitan Museum of Art, The Cloisters Collection. </w:t>
      </w:r>
      <w:r w:rsidRPr="000052FA">
        <w:rPr>
          <w:rFonts w:ascii="Arial" w:hAnsi="Arial" w:cs="Arial"/>
          <w:bCs/>
          <w:i/>
          <w:noProof/>
        </w:rPr>
        <w:t>Image:</w:t>
      </w:r>
      <w:r w:rsidRPr="000052FA">
        <w:rPr>
          <w:rFonts w:ascii="Arial" w:hAnsi="Arial" w:cs="Arial"/>
          <w:bCs/>
          <w:noProof/>
        </w:rPr>
        <w:t xml:space="preserve"> The Cloisters Collection.</w:t>
      </w:r>
      <w:r>
        <w:rPr>
          <w:noProof/>
        </w:rPr>
        <w:tab/>
      </w:r>
      <w:r>
        <w:rPr>
          <w:noProof/>
        </w:rPr>
        <w:fldChar w:fldCharType="begin"/>
      </w:r>
      <w:r>
        <w:rPr>
          <w:noProof/>
        </w:rPr>
        <w:instrText xml:space="preserve"> PAGEREF _Toc398124177 \h </w:instrText>
      </w:r>
      <w:r>
        <w:rPr>
          <w:noProof/>
        </w:rPr>
      </w:r>
      <w:r>
        <w:rPr>
          <w:noProof/>
        </w:rPr>
        <w:fldChar w:fldCharType="separate"/>
      </w:r>
      <w:r w:rsidR="00BD0ED3">
        <w:rPr>
          <w:noProof/>
        </w:rPr>
        <w:t>82</w:t>
      </w:r>
      <w:r>
        <w:rPr>
          <w:noProof/>
        </w:rPr>
        <w:fldChar w:fldCharType="end"/>
      </w:r>
    </w:p>
    <w:p w14:paraId="26E5A55A" w14:textId="77777777" w:rsidR="00792AD8" w:rsidRDefault="00A550AF" w:rsidP="00B96695">
      <w:pPr>
        <w:spacing w:line="360" w:lineRule="auto"/>
        <w:rPr>
          <w:rFonts w:asciiTheme="majorHAnsi" w:hAnsiTheme="majorHAnsi"/>
          <w:b/>
          <w:sz w:val="28"/>
          <w:szCs w:val="28"/>
        </w:rPr>
        <w:sectPr w:rsidR="00792AD8" w:rsidSect="003B1489">
          <w:headerReference w:type="default" r:id="rId9"/>
          <w:pgSz w:w="11906" w:h="16838"/>
          <w:pgMar w:top="1440" w:right="2495" w:bottom="1440" w:left="2495" w:header="709" w:footer="709" w:gutter="0"/>
          <w:cols w:space="708"/>
          <w:docGrid w:linePitch="360"/>
        </w:sectPr>
      </w:pPr>
      <w:r>
        <w:rPr>
          <w:rFonts w:asciiTheme="majorHAnsi" w:hAnsiTheme="majorHAnsi"/>
          <w:b/>
          <w:sz w:val="28"/>
          <w:szCs w:val="28"/>
        </w:rPr>
        <w:fldChar w:fldCharType="end"/>
      </w:r>
    </w:p>
    <w:p w14:paraId="53053DB8" w14:textId="77777777" w:rsidR="00B96695" w:rsidRPr="0013278D" w:rsidRDefault="00C71A69" w:rsidP="00C71A69">
      <w:pPr>
        <w:pStyle w:val="Heading1"/>
      </w:pPr>
      <w:bookmarkStart w:id="0" w:name="_Toc398190008"/>
      <w:r w:rsidRPr="0013278D">
        <w:lastRenderedPageBreak/>
        <w:t>Section One</w:t>
      </w:r>
      <w:bookmarkEnd w:id="0"/>
    </w:p>
    <w:p w14:paraId="0B1D9563" w14:textId="77777777" w:rsidR="00B96695" w:rsidRDefault="00B96695" w:rsidP="003B1489">
      <w:pPr>
        <w:spacing w:line="360" w:lineRule="auto"/>
      </w:pPr>
    </w:p>
    <w:p w14:paraId="08F8ACC4" w14:textId="77777777" w:rsidR="00A97456" w:rsidRPr="00B147A6" w:rsidRDefault="00A97456" w:rsidP="003B1489">
      <w:pPr>
        <w:spacing w:line="360" w:lineRule="auto"/>
      </w:pPr>
    </w:p>
    <w:p w14:paraId="47089EB7" w14:textId="77777777" w:rsidR="00A97456" w:rsidRPr="00B147A6" w:rsidRDefault="00A97456" w:rsidP="003B1489">
      <w:pPr>
        <w:spacing w:line="360" w:lineRule="auto"/>
      </w:pPr>
      <w:r w:rsidRPr="00B147A6">
        <w:t xml:space="preserve">Fourteenth to sixteenth century Christian Annunciation art sometimes appears to show a shaft of </w:t>
      </w:r>
      <w:r w:rsidR="001E5729">
        <w:t>sunlight</w:t>
      </w:r>
      <w:r w:rsidRPr="00B147A6">
        <w:t xml:space="preserve"> as procreative or having the capability to impregnate with the divine `light` of god.</w:t>
      </w:r>
      <w:r w:rsidRPr="00B147A6">
        <w:rPr>
          <w:vertAlign w:val="superscript"/>
        </w:rPr>
        <w:footnoteReference w:id="1"/>
      </w:r>
      <w:r w:rsidRPr="00B147A6">
        <w:t xml:space="preserve"> But is there any evidence which might suggest that this line of thinking had its roots in earlier spiritual beliefs? The official publication of the Orphic </w:t>
      </w:r>
      <w:r w:rsidRPr="005F405B">
        <w:rPr>
          <w:i/>
        </w:rPr>
        <w:t>Derveni Papyrus</w:t>
      </w:r>
      <w:r w:rsidRPr="00B147A6">
        <w:t xml:space="preserve"> in 2006 confirmed an element of phallism involving the sun, but most academic investigations focus on translation difficulties and the puzzling theogony, rather than its sexual nature. There is also a record in extant Egyptian artefacts and art of both solarism and phallism, but whilst commentators remark on the existence of each within the context of their study, there does not appear to have been a study of the sun </w:t>
      </w:r>
      <w:r w:rsidRPr="00B147A6">
        <w:rPr>
          <w:i/>
        </w:rPr>
        <w:t>and</w:t>
      </w:r>
      <w:r w:rsidRPr="00B147A6">
        <w:t xml:space="preserve"> the phallus together, or phallic solarism in general, within Egyptology.   </w:t>
      </w:r>
    </w:p>
    <w:p w14:paraId="30BD9F35" w14:textId="77777777" w:rsidR="00A97456" w:rsidRPr="00B147A6" w:rsidRDefault="00A97456" w:rsidP="003B1489">
      <w:pPr>
        <w:spacing w:line="360" w:lineRule="auto"/>
      </w:pPr>
    </w:p>
    <w:p w14:paraId="75918E17" w14:textId="77777777" w:rsidR="00A97456" w:rsidRPr="00B147A6" w:rsidRDefault="00A97456" w:rsidP="003B1489">
      <w:pPr>
        <w:spacing w:line="360" w:lineRule="auto"/>
      </w:pPr>
      <w:r w:rsidRPr="00B147A6">
        <w:t>So whilst there have been various academic commentaries on the phallism, solarism or procreative light symbolism in each of these epochs, no study has brought them all together fo</w:t>
      </w:r>
      <w:r>
        <w:t>r analysis, or asked whether any</w:t>
      </w:r>
      <w:r w:rsidRPr="00B147A6">
        <w:t xml:space="preserve"> Egyptian and Orphic imagery was evident in the Christian material. However, the sun creates </w:t>
      </w:r>
      <w:r w:rsidRPr="00B147A6">
        <w:lastRenderedPageBreak/>
        <w:t xml:space="preserve">vegetation and the human phallus creates human beings so both have a common power or purpose and hence it is not beyond reason that some cultures may have made the correspondence between the sun or </w:t>
      </w:r>
      <w:r w:rsidR="001E5729">
        <w:t>sunlight</w:t>
      </w:r>
      <w:r w:rsidRPr="00B147A6">
        <w:t xml:space="preserve"> and the phallus, and it may therefore be possible to extract comparisons by examining the imagery. Hence, by exploring</w:t>
      </w:r>
      <w:r>
        <w:t xml:space="preserve"> some of</w:t>
      </w:r>
      <w:r w:rsidRPr="00B147A6">
        <w:t xml:space="preserve"> the extant artefacts and texts of these cultures, this dissertation explores the theme of the sun as a phallus and symbol of phallic virility or procreative power in the texts and art of Egyptian culture, the Orphic </w:t>
      </w:r>
      <w:r w:rsidRPr="005F405B">
        <w:rPr>
          <w:i/>
        </w:rPr>
        <w:t>Derveni Papyrus</w:t>
      </w:r>
      <w:r w:rsidRPr="00B147A6">
        <w:t xml:space="preserve"> and some early Christian texts and fourteenth to sixteenth century Annunciation art. An additional focus which extends from the primary nature of my research is a consideration of the sun's astronomical phases, with an exploration of the sun's disc as the generator of light, which is then perceived as its son or a separate entity. If the sun has provided a continuing metaphor for procreative power throughout millennia, then this exploration m</w:t>
      </w:r>
      <w:r>
        <w:t>ay provide further reflection as</w:t>
      </w:r>
      <w:r w:rsidRPr="00B147A6">
        <w:t xml:space="preserve"> to the contribution that sky objects have made to history, for it would further deepen our understanding of the importance of the role they have played.</w:t>
      </w:r>
    </w:p>
    <w:p w14:paraId="6C050063" w14:textId="77777777" w:rsidR="00A97456" w:rsidRDefault="00A97456" w:rsidP="003B1489">
      <w:pPr>
        <w:spacing w:line="360" w:lineRule="auto"/>
      </w:pPr>
    </w:p>
    <w:p w14:paraId="16ECD5DF" w14:textId="77777777" w:rsidR="009220BC" w:rsidRPr="00B147A6" w:rsidRDefault="009220BC" w:rsidP="003B1489">
      <w:pPr>
        <w:spacing w:line="360" w:lineRule="auto"/>
      </w:pPr>
    </w:p>
    <w:p w14:paraId="16D581E3" w14:textId="77777777" w:rsidR="00A97456" w:rsidRPr="00B147A6" w:rsidRDefault="00A97456" w:rsidP="0013278D">
      <w:pPr>
        <w:pStyle w:val="Heading2"/>
      </w:pPr>
      <w:bookmarkStart w:id="1" w:name="_Toc398190009"/>
      <w:r w:rsidRPr="00B147A6">
        <w:t>Methodology</w:t>
      </w:r>
      <w:bookmarkEnd w:id="1"/>
    </w:p>
    <w:p w14:paraId="17E4ABF2" w14:textId="77777777" w:rsidR="00A97456" w:rsidRPr="00B147A6" w:rsidRDefault="00A97456" w:rsidP="003B1489">
      <w:pPr>
        <w:spacing w:line="360" w:lineRule="auto"/>
      </w:pPr>
    </w:p>
    <w:p w14:paraId="3AA52B85" w14:textId="77777777" w:rsidR="00A97456" w:rsidRPr="00B147A6" w:rsidRDefault="00A97456" w:rsidP="003B1489">
      <w:pPr>
        <w:spacing w:line="360" w:lineRule="auto"/>
      </w:pPr>
      <w:r w:rsidRPr="00B147A6">
        <w:t xml:space="preserve">This dissertation examines artefacts and texts to explore how humankind has attributed a procreative or phallic aspect to the sun or its light in spiritual and religious literature and art, considering the extant evidence of the ancient Egyptians, fifth century BCE Greeks and the pre-sixteenth century Christian </w:t>
      </w:r>
      <w:r w:rsidRPr="00B147A6">
        <w:lastRenderedPageBreak/>
        <w:t>Annunciation tradition in more detail. Evidence that best demonstrated a phallic sun, phallic solarism or inseminating light has been chosen.</w:t>
      </w:r>
    </w:p>
    <w:p w14:paraId="6D836787" w14:textId="77777777" w:rsidR="00A97456" w:rsidRPr="00B147A6" w:rsidRDefault="00A97456" w:rsidP="003B1489">
      <w:pPr>
        <w:spacing w:line="360" w:lineRule="auto"/>
      </w:pPr>
    </w:p>
    <w:p w14:paraId="65279A8E" w14:textId="77777777" w:rsidR="00A97456" w:rsidRPr="00F024C2" w:rsidRDefault="00A97456" w:rsidP="003B1489">
      <w:pPr>
        <w:spacing w:line="360" w:lineRule="auto"/>
      </w:pPr>
      <w:r w:rsidRPr="00B147A6">
        <w:t xml:space="preserve">The Egyptian evidence comes from the Old Kingdom </w:t>
      </w:r>
      <w:r w:rsidRPr="005F405B">
        <w:rPr>
          <w:i/>
        </w:rPr>
        <w:t>Pyramid Texts</w:t>
      </w:r>
      <w:r w:rsidRPr="00B147A6">
        <w:t xml:space="preserve">, the Middle Kingdom </w:t>
      </w:r>
      <w:r w:rsidRPr="005F405B">
        <w:rPr>
          <w:i/>
        </w:rPr>
        <w:t>Coffin Texts</w:t>
      </w:r>
      <w:r w:rsidRPr="00B147A6">
        <w:t xml:space="preserve">, </w:t>
      </w:r>
      <w:r w:rsidRPr="00871E1E">
        <w:rPr>
          <w:i/>
        </w:rPr>
        <w:t>Book of the Dead of Ani</w:t>
      </w:r>
      <w:r w:rsidR="007F263C">
        <w:t xml:space="preserve"> (c. 1,500BCE),</w:t>
      </w:r>
      <w:r w:rsidRPr="00B147A6">
        <w:t xml:space="preserve"> </w:t>
      </w:r>
      <w:proofErr w:type="gramStart"/>
      <w:r w:rsidRPr="00B147A6">
        <w:t>images</w:t>
      </w:r>
      <w:proofErr w:type="gramEnd"/>
      <w:r w:rsidRPr="00B147A6">
        <w:t xml:space="preserve"> from Luxor temple and wall art from the New Kingdom Ramesses V/VI tomb in the Valley of the Kings. </w:t>
      </w:r>
      <w:r>
        <w:t>Also included is the</w:t>
      </w:r>
      <w:r w:rsidRPr="00F024C2">
        <w:t xml:space="preserve"> </w:t>
      </w:r>
      <w:r w:rsidRPr="0085688B">
        <w:t>Papyrus</w:t>
      </w:r>
      <w:r>
        <w:t xml:space="preserve"> </w:t>
      </w:r>
      <w:r w:rsidRPr="0085688B">
        <w:rPr>
          <w:i/>
        </w:rPr>
        <w:t>Book of the Dead of Henuttawy, Sheet 2</w:t>
      </w:r>
      <w:r>
        <w:t>,</w:t>
      </w:r>
      <w:r w:rsidRPr="0085688B">
        <w:t xml:space="preserve"> </w:t>
      </w:r>
      <w:r>
        <w:t>(Third Intermediate)</w:t>
      </w:r>
      <w:r w:rsidRPr="0085688B">
        <w:t xml:space="preserve">, </w:t>
      </w:r>
      <w:r>
        <w:t xml:space="preserve">the text and images from the </w:t>
      </w:r>
      <w:r w:rsidRPr="0085688B">
        <w:t>second of the four gilt shrines of Tutankh</w:t>
      </w:r>
      <w:r>
        <w:t xml:space="preserve">amun (Armana period, </w:t>
      </w:r>
      <w:r w:rsidRPr="00F024C2">
        <w:t>1351 – 1319)</w:t>
      </w:r>
      <w:r>
        <w:t xml:space="preserve"> called </w:t>
      </w:r>
      <w:r w:rsidRPr="00F024C2">
        <w:rPr>
          <w:i/>
        </w:rPr>
        <w:t>The Enigmatic Book of the Netherworld</w:t>
      </w:r>
      <w:r>
        <w:t xml:space="preserve"> or the </w:t>
      </w:r>
      <w:r>
        <w:rPr>
          <w:i/>
        </w:rPr>
        <w:t>Books of the Solar-Osirian Unity.</w:t>
      </w:r>
    </w:p>
    <w:p w14:paraId="3B6124CF" w14:textId="77777777" w:rsidR="00A97456" w:rsidRDefault="00A97456" w:rsidP="003B1489">
      <w:pPr>
        <w:spacing w:line="360" w:lineRule="auto"/>
      </w:pPr>
    </w:p>
    <w:p w14:paraId="18CDF045" w14:textId="77777777" w:rsidR="00A97456" w:rsidRPr="00B147A6" w:rsidRDefault="00A97456" w:rsidP="003B1489">
      <w:pPr>
        <w:spacing w:line="360" w:lineRule="auto"/>
      </w:pPr>
      <w:r w:rsidRPr="00B147A6">
        <w:t xml:space="preserve">Centuries later, the idea of a phallic sun is then written into the </w:t>
      </w:r>
      <w:r w:rsidRPr="005F405B">
        <w:rPr>
          <w:i/>
        </w:rPr>
        <w:t>Derveni Papyrus</w:t>
      </w:r>
      <w:r w:rsidRPr="00B147A6">
        <w:t xml:space="preserve">, a document found in Greece which copies an earlier fifth century BCE text and I examine the translation by Theokritos Kouremenos, George Parassoglou and Kyriakos Tsantsanoglou. Then from the fourteenth and sixteenth century CE, five examples of Christian art which depict the Annunciation are examined. These are the </w:t>
      </w:r>
      <w:r w:rsidRPr="00B147A6">
        <w:rPr>
          <w:i/>
        </w:rPr>
        <w:t>Mérode Altarpiece</w:t>
      </w:r>
      <w:r w:rsidRPr="00B147A6">
        <w:t xml:space="preserve">, by Robert Campin c. 1428 and assistant; </w:t>
      </w:r>
      <w:r w:rsidRPr="00B147A6">
        <w:rPr>
          <w:i/>
        </w:rPr>
        <w:t>The Dedication Scene in the Fresco cycle of ` The Life of the Virgin`</w:t>
      </w:r>
      <w:r w:rsidRPr="00B147A6">
        <w:t xml:space="preserve"> by Giotto di Bondone, completed 1306; </w:t>
      </w:r>
      <w:r w:rsidRPr="00B147A6">
        <w:rPr>
          <w:i/>
        </w:rPr>
        <w:t>The Annunciation</w:t>
      </w:r>
      <w:r w:rsidRPr="00B147A6">
        <w:t xml:space="preserve"> by Filippo Lippi, c. 1449–1459; </w:t>
      </w:r>
      <w:r w:rsidRPr="00B147A6">
        <w:rPr>
          <w:i/>
        </w:rPr>
        <w:t>The Annunciation</w:t>
      </w:r>
      <w:r w:rsidRPr="00B147A6">
        <w:t xml:space="preserve"> by Titian, 1559–1564; and </w:t>
      </w:r>
      <w:r w:rsidRPr="00B147A6">
        <w:rPr>
          <w:i/>
        </w:rPr>
        <w:t>The Annunciation</w:t>
      </w:r>
      <w:r w:rsidRPr="00B147A6">
        <w:t xml:space="preserve"> by Fra Angelico, 1425 – 1428. Each incorporates the tradition, reportedly from St Bernard and St Bridget (or St Brigitta), which describes how Mary was impregnated in the way of sunlight </w:t>
      </w:r>
      <w:r w:rsidRPr="00B147A6">
        <w:lastRenderedPageBreak/>
        <w:t>passing through or penetrating clear stone or glass.</w:t>
      </w:r>
      <w:r w:rsidRPr="00B147A6">
        <w:rPr>
          <w:vertAlign w:val="superscript"/>
        </w:rPr>
        <w:footnoteReference w:id="2"/>
      </w:r>
      <w:r w:rsidRPr="00B147A6">
        <w:t xml:space="preserve"> The evidence spans millennia and nations and whilst the theme of phallic solarism might be easier to identify in the Egyptian and Greek evidence, it is only when the sun’s </w:t>
      </w:r>
      <w:r w:rsidRPr="00B147A6">
        <w:rPr>
          <w:i/>
        </w:rPr>
        <w:t>light</w:t>
      </w:r>
      <w:r w:rsidRPr="00B147A6">
        <w:t xml:space="preserve"> is taken into account that resemblances with the Christian evidence can potentially be </w:t>
      </w:r>
      <w:commentRangeStart w:id="2"/>
      <w:r w:rsidRPr="00B147A6">
        <w:t xml:space="preserve">revealed. This separation of sun and light requires further explanation.   </w:t>
      </w:r>
      <w:commentRangeEnd w:id="2"/>
      <w:r w:rsidR="00613D59">
        <w:rPr>
          <w:rStyle w:val="CommentReference"/>
        </w:rPr>
        <w:commentReference w:id="2"/>
      </w:r>
    </w:p>
    <w:p w14:paraId="2F873D17" w14:textId="77777777" w:rsidR="00A97456" w:rsidRPr="00B147A6" w:rsidRDefault="00A97456" w:rsidP="003B1489">
      <w:pPr>
        <w:spacing w:line="360" w:lineRule="auto"/>
      </w:pPr>
    </w:p>
    <w:p w14:paraId="723F73C5" w14:textId="77777777" w:rsidR="00A97456" w:rsidRPr="00B147A6" w:rsidRDefault="00A97456" w:rsidP="003B1489">
      <w:pPr>
        <w:spacing w:line="360" w:lineRule="auto"/>
      </w:pPr>
      <w:r w:rsidRPr="00B147A6">
        <w:t xml:space="preserve">The disc of the sun and the rays of the sun can be seen as having different properties or being two or three different `entities` in </w:t>
      </w:r>
      <w:r>
        <w:t xml:space="preserve">real or </w:t>
      </w:r>
      <w:r w:rsidRPr="00B147A6">
        <w:t>spiritual terms.</w:t>
      </w:r>
      <w:r w:rsidRPr="00B147A6">
        <w:rPr>
          <w:vertAlign w:val="superscript"/>
        </w:rPr>
        <w:footnoteReference w:id="3"/>
      </w:r>
      <w:r w:rsidRPr="00B147A6">
        <w:t xml:space="preserve"> Only when you remove the light, can one see the photosphere or disc of the sun. (See Figures 1 and 2) </w:t>
      </w:r>
    </w:p>
    <w:p w14:paraId="0749334C" w14:textId="77777777" w:rsidR="00A97456" w:rsidRPr="00B147A6" w:rsidRDefault="00A97456" w:rsidP="003B1489">
      <w:pPr>
        <w:spacing w:line="360" w:lineRule="auto"/>
      </w:pPr>
    </w:p>
    <w:p w14:paraId="1E419F49"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6F70C36B" wp14:editId="5405D522">
            <wp:extent cx="2551342" cy="226874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 Su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9896" cy="2267461"/>
                    </a:xfrm>
                    <a:prstGeom prst="rect">
                      <a:avLst/>
                    </a:prstGeom>
                  </pic:spPr>
                </pic:pic>
              </a:graphicData>
            </a:graphic>
          </wp:inline>
        </w:drawing>
      </w:r>
    </w:p>
    <w:p w14:paraId="56888198" w14:textId="77777777" w:rsidR="00A97456" w:rsidRPr="00492046" w:rsidRDefault="00A97456" w:rsidP="003B1489">
      <w:pPr>
        <w:spacing w:after="200" w:line="360" w:lineRule="auto"/>
        <w:rPr>
          <w:rFonts w:ascii="Arial" w:hAnsi="Arial" w:cs="Arial"/>
          <w:bCs/>
          <w:sz w:val="18"/>
          <w:szCs w:val="18"/>
        </w:rPr>
      </w:pPr>
      <w:bookmarkStart w:id="3" w:name="_Toc398116770"/>
      <w:bookmarkStart w:id="4" w:name="_Toc398124158"/>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w:t>
      </w:r>
      <w:r w:rsidRPr="00492046">
        <w:rPr>
          <w:rFonts w:ascii="Arial" w:hAnsi="Arial" w:cs="Arial"/>
          <w:bCs/>
          <w:noProof/>
          <w:sz w:val="18"/>
          <w:szCs w:val="18"/>
        </w:rPr>
        <w:fldChar w:fldCharType="end"/>
      </w:r>
      <w:r w:rsidRPr="00492046">
        <w:rPr>
          <w:rFonts w:ascii="Arial" w:hAnsi="Arial" w:cs="Arial"/>
          <w:bCs/>
          <w:sz w:val="18"/>
          <w:szCs w:val="18"/>
        </w:rPr>
        <w:t xml:space="preserve">. The sun at midday. 1/6/2013, Tamworth. </w:t>
      </w:r>
      <w:r w:rsidRPr="00492046">
        <w:rPr>
          <w:rFonts w:ascii="Arial" w:hAnsi="Arial" w:cs="Arial"/>
          <w:bCs/>
          <w:i/>
          <w:sz w:val="18"/>
          <w:szCs w:val="18"/>
        </w:rPr>
        <w:t>Image</w:t>
      </w:r>
      <w:r w:rsidRPr="00492046">
        <w:rPr>
          <w:rFonts w:ascii="Arial" w:hAnsi="Arial" w:cs="Arial"/>
          <w:bCs/>
          <w:sz w:val="18"/>
          <w:szCs w:val="18"/>
        </w:rPr>
        <w:t>: Alison Chester-Lambert</w:t>
      </w:r>
      <w:bookmarkEnd w:id="3"/>
      <w:bookmarkEnd w:id="4"/>
    </w:p>
    <w:p w14:paraId="4DE08866" w14:textId="77777777" w:rsidR="00A97456" w:rsidRPr="00B147A6" w:rsidRDefault="00A97456" w:rsidP="003B1489">
      <w:pPr>
        <w:keepNext/>
        <w:spacing w:line="360" w:lineRule="auto"/>
      </w:pPr>
      <w:r w:rsidRPr="00B147A6">
        <w:t xml:space="preserve">  </w:t>
      </w:r>
      <w:r w:rsidRPr="00B147A6">
        <w:rPr>
          <w:noProof/>
          <w:lang w:eastAsia="en-GB"/>
        </w:rPr>
        <w:drawing>
          <wp:inline distT="0" distB="0" distL="0" distR="0" wp14:anchorId="7ECE5D87" wp14:editId="4DE6FEA0">
            <wp:extent cx="2539610" cy="2061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sun rise.jpg"/>
                    <pic:cNvPicPr/>
                  </pic:nvPicPr>
                  <pic:blipFill>
                    <a:blip r:embed="rId13">
                      <a:extLst>
                        <a:ext uri="{28A0092B-C50C-407E-A947-70E740481C1C}">
                          <a14:useLocalDpi xmlns:a14="http://schemas.microsoft.com/office/drawing/2010/main" val="0"/>
                        </a:ext>
                      </a:extLst>
                    </a:blip>
                    <a:stretch>
                      <a:fillRect/>
                    </a:stretch>
                  </pic:blipFill>
                  <pic:spPr>
                    <a:xfrm>
                      <a:off x="0" y="0"/>
                      <a:ext cx="2547752" cy="2068323"/>
                    </a:xfrm>
                    <a:prstGeom prst="rect">
                      <a:avLst/>
                    </a:prstGeom>
                  </pic:spPr>
                </pic:pic>
              </a:graphicData>
            </a:graphic>
          </wp:inline>
        </w:drawing>
      </w:r>
    </w:p>
    <w:p w14:paraId="39DD8546" w14:textId="77777777" w:rsidR="00A97456" w:rsidRPr="00492046" w:rsidRDefault="00A97456" w:rsidP="003B1489">
      <w:pPr>
        <w:spacing w:after="200" w:line="360" w:lineRule="auto"/>
        <w:rPr>
          <w:rFonts w:ascii="Arial" w:hAnsi="Arial" w:cs="Arial"/>
          <w:bCs/>
          <w:sz w:val="18"/>
          <w:szCs w:val="18"/>
        </w:rPr>
      </w:pPr>
      <w:bookmarkStart w:id="5" w:name="_Toc398116771"/>
      <w:bookmarkStart w:id="6" w:name="_Toc398124159"/>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2</w:t>
      </w:r>
      <w:r w:rsidRPr="00492046">
        <w:rPr>
          <w:rFonts w:ascii="Arial" w:hAnsi="Arial" w:cs="Arial"/>
          <w:bCs/>
          <w:noProof/>
          <w:sz w:val="18"/>
          <w:szCs w:val="18"/>
        </w:rPr>
        <w:fldChar w:fldCharType="end"/>
      </w:r>
      <w:r w:rsidRPr="00492046">
        <w:rPr>
          <w:rFonts w:ascii="Arial" w:hAnsi="Arial" w:cs="Arial"/>
          <w:bCs/>
          <w:sz w:val="18"/>
          <w:szCs w:val="18"/>
        </w:rPr>
        <w:t xml:space="preserve">. The sun at sunset. 2/4/2014, Tamworth. </w:t>
      </w:r>
      <w:r w:rsidRPr="00492046">
        <w:rPr>
          <w:rFonts w:ascii="Arial" w:hAnsi="Arial" w:cs="Arial"/>
          <w:bCs/>
          <w:i/>
          <w:sz w:val="18"/>
          <w:szCs w:val="18"/>
        </w:rPr>
        <w:t>Image</w:t>
      </w:r>
      <w:r w:rsidRPr="00492046">
        <w:rPr>
          <w:rFonts w:ascii="Arial" w:hAnsi="Arial" w:cs="Arial"/>
          <w:bCs/>
          <w:sz w:val="18"/>
          <w:szCs w:val="18"/>
        </w:rPr>
        <w:t>: Alison Chester-Lambert</w:t>
      </w:r>
      <w:bookmarkEnd w:id="5"/>
      <w:bookmarkEnd w:id="6"/>
      <w:r w:rsidRPr="00492046">
        <w:rPr>
          <w:rFonts w:ascii="Arial" w:hAnsi="Arial" w:cs="Arial"/>
          <w:bCs/>
          <w:sz w:val="18"/>
          <w:szCs w:val="18"/>
        </w:rPr>
        <w:t xml:space="preserve"> </w:t>
      </w:r>
    </w:p>
    <w:p w14:paraId="024EAE91" w14:textId="77777777" w:rsidR="00A97456" w:rsidRPr="00B147A6" w:rsidRDefault="00A97456" w:rsidP="003B1489">
      <w:pPr>
        <w:spacing w:line="360" w:lineRule="auto"/>
        <w:rPr>
          <w:sz w:val="20"/>
          <w:szCs w:val="20"/>
        </w:rPr>
      </w:pPr>
    </w:p>
    <w:p w14:paraId="1F8BA5E1" w14:textId="77777777" w:rsidR="00A97456" w:rsidRPr="00B147A6" w:rsidRDefault="00A97456" w:rsidP="003B1489">
      <w:pPr>
        <w:spacing w:line="360" w:lineRule="auto"/>
      </w:pPr>
      <w:r w:rsidRPr="00B147A6">
        <w:t xml:space="preserve">The </w:t>
      </w:r>
      <w:r w:rsidRPr="00230E48">
        <w:rPr>
          <w:i/>
        </w:rPr>
        <w:t>light</w:t>
      </w:r>
      <w:r w:rsidRPr="00B147A6">
        <w:t xml:space="preserve"> can also be separate, as it precedes the arrival of the sun at dawn or remains after the disc has disappeared. Differing amounts of evidential light are called sunlight phases.</w:t>
      </w:r>
      <w:r w:rsidRPr="00B147A6">
        <w:rPr>
          <w:vertAlign w:val="superscript"/>
        </w:rPr>
        <w:footnoteReference w:id="4"/>
      </w:r>
      <w:r w:rsidRPr="00B147A6">
        <w:t xml:space="preserve">  The higher the sun the more heat/power/light and the </w:t>
      </w:r>
      <w:r>
        <w:t xml:space="preserve">more the </w:t>
      </w:r>
      <w:r w:rsidRPr="00B147A6">
        <w:t>disc shape cannot be identified. It is only when the light is remove</w:t>
      </w:r>
      <w:r>
        <w:t>d by the Earth’s atmosphere as</w:t>
      </w:r>
      <w:r w:rsidRPr="00B147A6">
        <w:t xml:space="preserve"> the sun is on the horizon that the disc takes a solid form and more </w:t>
      </w:r>
      <w:commentRangeStart w:id="7"/>
      <w:r w:rsidRPr="00B147A6">
        <w:t xml:space="preserve">obvious colour. </w:t>
      </w:r>
      <w:commentRangeEnd w:id="7"/>
      <w:r w:rsidR="00613D59">
        <w:rPr>
          <w:rStyle w:val="CommentReference"/>
        </w:rPr>
        <w:commentReference w:id="7"/>
      </w:r>
      <w:r>
        <w:t xml:space="preserve">This dissertation will examine how the three sets of material from the three different epochs discussed interpreted different light </w:t>
      </w:r>
      <w:proofErr w:type="gramStart"/>
      <w:r>
        <w:lastRenderedPageBreak/>
        <w:t>phases</w:t>
      </w:r>
      <w:proofErr w:type="gramEnd"/>
      <w:r>
        <w:t xml:space="preserve">; for instance, pre-sunrise dawn light and the light of actual sun-rise. It will also include a focus on the light of the sun as separate to the disc itself, for although the light photons come from the physical body of the sun out in the solar system (the disc), it is still light and the photons are still around us when the disc is hidden by cloud. </w:t>
      </w:r>
    </w:p>
    <w:p w14:paraId="4B675ADE" w14:textId="77777777" w:rsidR="00A97456" w:rsidRDefault="00A97456" w:rsidP="003B1489">
      <w:pPr>
        <w:spacing w:line="360" w:lineRule="auto"/>
      </w:pPr>
    </w:p>
    <w:p w14:paraId="5715D4FB" w14:textId="77777777" w:rsidR="00A97456" w:rsidRPr="00B147A6" w:rsidRDefault="00A97456" w:rsidP="003B1489">
      <w:pPr>
        <w:spacing w:line="360" w:lineRule="auto"/>
      </w:pPr>
    </w:p>
    <w:p w14:paraId="7B989552" w14:textId="77777777" w:rsidR="00A97456" w:rsidRPr="00B147A6" w:rsidRDefault="00A97456" w:rsidP="0013436D">
      <w:pPr>
        <w:pStyle w:val="Heading2"/>
      </w:pPr>
      <w:bookmarkStart w:id="8" w:name="_Toc398190010"/>
      <w:r w:rsidRPr="00B147A6">
        <w:t>Definition of Terms</w:t>
      </w:r>
      <w:bookmarkEnd w:id="8"/>
    </w:p>
    <w:p w14:paraId="27A55976" w14:textId="77777777" w:rsidR="00A97456" w:rsidRPr="00B147A6" w:rsidRDefault="00A97456" w:rsidP="003B1489">
      <w:pPr>
        <w:spacing w:line="360" w:lineRule="auto"/>
      </w:pPr>
    </w:p>
    <w:p w14:paraId="0D65C249" w14:textId="77777777" w:rsidR="00A97456" w:rsidRDefault="00A97456" w:rsidP="003B1489">
      <w:pPr>
        <w:spacing w:line="360" w:lineRule="auto"/>
      </w:pPr>
      <w:r w:rsidRPr="00B147A6">
        <w:t>Whilst I am not using the term `phallism` in the title of this dissertation, it is still apposite to consider its meaning, for it infor</w:t>
      </w:r>
      <w:r w:rsidR="006057E9">
        <w:t xml:space="preserve">ms on the subject of `phallic`. </w:t>
      </w:r>
      <w:r w:rsidRPr="00B147A6">
        <w:t>The word penis can describe a flaccid member, whilst the word phallus only refers to an erect organ. And it is apparent in the literature that only this rigid shape carries the awe and charisma of spiritual associations and actual phallus worship or phallism. In 1917, phallism was defined as the `worship of the reproductive powers of nature symbolised by the organs of sex’.</w:t>
      </w:r>
      <w:r w:rsidRPr="00B147A6">
        <w:rPr>
          <w:vertAlign w:val="superscript"/>
        </w:rPr>
        <w:footnoteReference w:id="5"/>
      </w:r>
      <w:r w:rsidRPr="00B147A6">
        <w:t xml:space="preserve"> Similarly, in 1889, Hargrave Jennings (1817 – 1890) wrote that `phallic worship was the adoration of the generative organs as symbols of the creative powers of nature`.</w:t>
      </w:r>
      <w:r w:rsidRPr="00B147A6">
        <w:rPr>
          <w:vertAlign w:val="superscript"/>
        </w:rPr>
        <w:footnoteReference w:id="6"/>
      </w:r>
      <w:r w:rsidRPr="00B147A6">
        <w:t xml:space="preserve"> For E</w:t>
      </w:r>
      <w:r w:rsidR="002B256D">
        <w:t>dwin</w:t>
      </w:r>
      <w:r w:rsidRPr="00B147A6">
        <w:t xml:space="preserve"> S. Hartland, (1848–1927) the world-wide phenomenon of an exaggerated phallus was always an intention to represent and encourage abundance, </w:t>
      </w:r>
      <w:r w:rsidRPr="00B147A6">
        <w:lastRenderedPageBreak/>
        <w:t>reproduction, fertility, power and prosperity with human and vegetable fecundity being inseparably mixed.</w:t>
      </w:r>
      <w:r w:rsidRPr="00B147A6">
        <w:rPr>
          <w:vertAlign w:val="superscript"/>
        </w:rPr>
        <w:footnoteReference w:id="7"/>
      </w:r>
      <w:r w:rsidR="007B0499">
        <w:t xml:space="preserve"> </w:t>
      </w:r>
      <w:r w:rsidR="007B0499" w:rsidRPr="007B0499">
        <w:t>Mircea Eliade (1907 - 1986)</w:t>
      </w:r>
      <w:r w:rsidRPr="00B147A6">
        <w:t xml:space="preserve"> refers to the mysteriousness and says that although the flaccid penis may be treated differently in t</w:t>
      </w:r>
      <w:r>
        <w:t>he profane world, for the spiritual</w:t>
      </w:r>
      <w:r w:rsidRPr="00B147A6">
        <w:t xml:space="preserve"> or religious the importance is in the image of the erect organ and the reticence and hushed mystery that surrounds it.</w:t>
      </w:r>
      <w:r w:rsidRPr="00B147A6">
        <w:rPr>
          <w:vertAlign w:val="superscript"/>
        </w:rPr>
        <w:footnoteReference w:id="8"/>
      </w:r>
      <w:r w:rsidRPr="00B147A6">
        <w:t xml:space="preserve"> For the purposes of this dissertation, I am defining the terms `solar fecundation` and `phallic solarism`. Solar fecundation is the understanding that the sun has the power to impregnate or fecundate without a phallus. Solarism is worship of the sun, thus phallic solarism is primarily worship of the sun, whilst attaching the notion that it has phallic and masculine qualities of </w:t>
      </w:r>
      <w:commentRangeStart w:id="9"/>
      <w:r w:rsidRPr="00B147A6">
        <w:t>sexual virility and the creative and reproductive powers of nature.</w:t>
      </w:r>
      <w:commentRangeEnd w:id="9"/>
      <w:r w:rsidR="00376013">
        <w:rPr>
          <w:rStyle w:val="CommentReference"/>
        </w:rPr>
        <w:commentReference w:id="9"/>
      </w:r>
    </w:p>
    <w:p w14:paraId="13DB29C3" w14:textId="77777777" w:rsidR="00A97456" w:rsidRPr="00B147A6" w:rsidRDefault="00A97456" w:rsidP="003B1489">
      <w:pPr>
        <w:spacing w:line="360" w:lineRule="auto"/>
      </w:pPr>
    </w:p>
    <w:p w14:paraId="59DDDD01" w14:textId="77777777" w:rsidR="00A97456" w:rsidRPr="00B147A6" w:rsidRDefault="00A97456" w:rsidP="003B1489">
      <w:pPr>
        <w:spacing w:line="360" w:lineRule="auto"/>
      </w:pPr>
    </w:p>
    <w:p w14:paraId="2F744DED" w14:textId="77777777" w:rsidR="00A97456" w:rsidRPr="00B147A6" w:rsidRDefault="00A97456" w:rsidP="0013436D">
      <w:pPr>
        <w:pStyle w:val="Heading2"/>
      </w:pPr>
      <w:bookmarkStart w:id="10" w:name="_Toc398190011"/>
      <w:r w:rsidRPr="00B147A6">
        <w:t>Literature Review of Commentary on Phallism, Solar</w:t>
      </w:r>
      <w:r w:rsidR="0013436D">
        <w:t>ism and Sexual/Spiritual Issues</w:t>
      </w:r>
      <w:bookmarkEnd w:id="10"/>
    </w:p>
    <w:p w14:paraId="1BDE396B" w14:textId="77777777" w:rsidR="00A97456" w:rsidRPr="00B147A6" w:rsidRDefault="00A97456" w:rsidP="003B1489">
      <w:pPr>
        <w:spacing w:line="360" w:lineRule="auto"/>
      </w:pPr>
    </w:p>
    <w:p w14:paraId="374D79D1" w14:textId="77777777" w:rsidR="00A97456" w:rsidRPr="00B147A6" w:rsidRDefault="00A97456" w:rsidP="003B1489">
      <w:pPr>
        <w:spacing w:line="360" w:lineRule="auto"/>
      </w:pPr>
      <w:r w:rsidRPr="00B147A6">
        <w:t>The literature discussing a phallic sun or phallic solarism is meagre and has not been exclusively explored academically although there were a few popular culture books</w:t>
      </w:r>
      <w:r w:rsidR="007B0499">
        <w:t xml:space="preserve"> written about it in the late nineteenth and early twentieth</w:t>
      </w:r>
      <w:r w:rsidRPr="00B147A6">
        <w:t xml:space="preserve"> century. There have also been a few references to the phallus and theogony within modern literature in the separate academic disciplines of Egyptology and Greek Religion or classical studies and these will be referred to later. Since procreation becomes entangled </w:t>
      </w:r>
      <w:r w:rsidRPr="00B147A6">
        <w:lastRenderedPageBreak/>
        <w:t xml:space="preserve">with spiritual awe and mystery, it invites religious or spiritual associations, but these tend to focus on the phallism or solarism </w:t>
      </w:r>
      <w:commentRangeStart w:id="11"/>
      <w:r w:rsidRPr="00B147A6">
        <w:t xml:space="preserve">and rarely are the sun </w:t>
      </w:r>
      <w:commentRangeEnd w:id="11"/>
      <w:r w:rsidR="00376013">
        <w:rPr>
          <w:rStyle w:val="CommentReference"/>
        </w:rPr>
        <w:commentReference w:id="11"/>
      </w:r>
      <w:r w:rsidRPr="00B147A6">
        <w:t>and the phallus combined and commented on.</w:t>
      </w:r>
    </w:p>
    <w:p w14:paraId="32470664" w14:textId="77777777" w:rsidR="00A97456" w:rsidRPr="00B147A6" w:rsidRDefault="00A97456" w:rsidP="003B1489">
      <w:pPr>
        <w:spacing w:line="360" w:lineRule="auto"/>
      </w:pPr>
    </w:p>
    <w:p w14:paraId="69CCFE65" w14:textId="77777777" w:rsidR="00A97456" w:rsidRPr="00B147A6" w:rsidRDefault="00A97456" w:rsidP="003B1489">
      <w:pPr>
        <w:spacing w:line="360" w:lineRule="auto"/>
      </w:pPr>
      <w:r w:rsidRPr="00B147A6">
        <w:t>With regard to the broader field of phallism, C. Staniland Wake (1835 – 1910) considers the model of family and Great Parent to explain phallism in antiquity, with the `mysterious phenomena` of progeny from semen giving rise to perceptions of value, significance, awe and veneration of the phallus.</w:t>
      </w:r>
      <w:r w:rsidRPr="00B147A6">
        <w:rPr>
          <w:vertAlign w:val="superscript"/>
        </w:rPr>
        <w:footnoteReference w:id="9"/>
      </w:r>
      <w:r w:rsidRPr="00B147A6">
        <w:t xml:space="preserve">  Wake separates the results of copulation into two `phases` for examination – the first being `wonder` and the second phase being `….that which arises from a perception of the value of the consequences of the act of generation</w:t>
      </w:r>
      <w:proofErr w:type="gramStart"/>
      <w:r w:rsidRPr="00B147A6">
        <w:t>.`</w:t>
      </w:r>
      <w:proofErr w:type="gramEnd"/>
      <w:r w:rsidRPr="00B147A6">
        <w:rPr>
          <w:vertAlign w:val="superscript"/>
        </w:rPr>
        <w:footnoteReference w:id="10"/>
      </w:r>
      <w:r w:rsidRPr="00B147A6">
        <w:t xml:space="preserve">  The male or father of the family is recognised as the generator and both he and his genitalia are venerated as such.</w:t>
      </w:r>
      <w:r w:rsidRPr="00B147A6">
        <w:rPr>
          <w:vertAlign w:val="superscript"/>
        </w:rPr>
        <w:footnoteReference w:id="11"/>
      </w:r>
      <w:r w:rsidR="002B256D">
        <w:t xml:space="preserve">  This</w:t>
      </w:r>
      <w:r w:rsidRPr="00B147A6">
        <w:t xml:space="preserve"> ex</w:t>
      </w:r>
      <w:r w:rsidR="002B256D">
        <w:t>planation provides</w:t>
      </w:r>
      <w:r w:rsidRPr="00B147A6">
        <w:t xml:space="preserve"> an understanding of phallism, but Wake made no comparison with the sun. However, after examining stories brought to him by missionaries who had travelled world-</w:t>
      </w:r>
      <w:r w:rsidR="002B256D">
        <w:t>wide, Hartland</w:t>
      </w:r>
      <w:r w:rsidRPr="00B147A6">
        <w:t xml:space="preserve"> took the view that little or no recognition existed of the physical relationship between father and child in indigenous tribes and he records instead that there was evidence of belief in supernatural birth including solar fecundation.</w:t>
      </w:r>
      <w:r w:rsidRPr="00B147A6">
        <w:rPr>
          <w:vertAlign w:val="superscript"/>
        </w:rPr>
        <w:footnoteReference w:id="12"/>
      </w:r>
      <w:r w:rsidRPr="00B147A6">
        <w:t xml:space="preserve"> So whilst Wake recognises the male as a venerated generator and ignores any </w:t>
      </w:r>
      <w:r w:rsidRPr="00B147A6">
        <w:lastRenderedPageBreak/>
        <w:t xml:space="preserve">solar connection, Hartland finds that the sun was a procreator, but maintains that certain world cultures did not recognise the phallus as being procreative. </w:t>
      </w:r>
    </w:p>
    <w:p w14:paraId="7848613F" w14:textId="77777777" w:rsidR="00A97456" w:rsidRPr="00B147A6" w:rsidRDefault="00A97456" w:rsidP="003B1489">
      <w:pPr>
        <w:spacing w:line="360" w:lineRule="auto"/>
      </w:pPr>
    </w:p>
    <w:p w14:paraId="0BC7B80F" w14:textId="77777777" w:rsidR="00A97456" w:rsidRPr="00B147A6" w:rsidRDefault="00A97456" w:rsidP="003B1489">
      <w:pPr>
        <w:spacing w:line="360" w:lineRule="auto"/>
      </w:pPr>
      <w:r w:rsidRPr="00B147A6">
        <w:t>In a separate study on phallism some eight years later, Hartland draws from numerous examples of the devotion and sanctity awarded to the phallus, for instance, in Greece, the women were known to appropriate both the shape and the inherent fecundity by baking phallic-shaped cakes during the festival of Thesmorphoria and in Dionysiac iconography the phallus was used as a symbol of sexuality and generative power.</w:t>
      </w:r>
      <w:r w:rsidRPr="00B147A6">
        <w:rPr>
          <w:vertAlign w:val="superscript"/>
        </w:rPr>
        <w:footnoteReference w:id="13"/>
      </w:r>
      <w:r w:rsidRPr="00B147A6">
        <w:t xml:space="preserve"> But again, he does not write of any connection made to the sun. However he does write of a solar connection in his worldwide studies when he quotes from J.G.F Riedel who describes the Upu-lero festival on the Babar archipelago, Indonesia, where a 5-feet long stuffed cotton phallus celebrates the creative and generative force of the sun.</w:t>
      </w:r>
      <w:r w:rsidRPr="00B147A6">
        <w:rPr>
          <w:vertAlign w:val="superscript"/>
        </w:rPr>
        <w:footnoteReference w:id="14"/>
      </w:r>
      <w:r w:rsidR="002B256D">
        <w:t xml:space="preserve"> Upu</w:t>
      </w:r>
      <w:r w:rsidRPr="00B147A6">
        <w:t>-lero is the Grandfather spirit residing in the sun and every year he comes down to fertilise Grandmother Earth; during the festival the celebrants freely took part in sexual intercourse.</w:t>
      </w:r>
      <w:r w:rsidRPr="00B147A6">
        <w:rPr>
          <w:vertAlign w:val="superscript"/>
        </w:rPr>
        <w:footnoteReference w:id="15"/>
      </w:r>
      <w:r w:rsidRPr="00B147A6">
        <w:t xml:space="preserve"> When Eliade writes of this festival, he makes no mention of the phallus at all.</w:t>
      </w:r>
      <w:r w:rsidRPr="00B147A6">
        <w:rPr>
          <w:vertAlign w:val="superscript"/>
        </w:rPr>
        <w:footnoteReference w:id="16"/>
      </w:r>
      <w:r w:rsidRPr="00B147A6">
        <w:t xml:space="preserve"> Hartland also wrote of Far Eastern and Pacifican solar procreation beliefs and these include one in which the founder of a kingdom in China was born of a mother </w:t>
      </w:r>
      <w:r w:rsidRPr="00B147A6">
        <w:lastRenderedPageBreak/>
        <w:t xml:space="preserve">who was impregnated by an egg-sized vapour which descended from the sky, a story which is not unlike that of the conception of Jesus in </w:t>
      </w:r>
      <w:commentRangeStart w:id="12"/>
      <w:r w:rsidRPr="00B147A6">
        <w:t>Christianity.</w:t>
      </w:r>
      <w:r w:rsidRPr="00B147A6">
        <w:rPr>
          <w:vertAlign w:val="superscript"/>
        </w:rPr>
        <w:footnoteReference w:id="17"/>
      </w:r>
      <w:r w:rsidRPr="00B147A6">
        <w:t xml:space="preserve"> </w:t>
      </w:r>
      <w:commentRangeEnd w:id="12"/>
      <w:r w:rsidR="00376013">
        <w:rPr>
          <w:rStyle w:val="CommentReference"/>
        </w:rPr>
        <w:commentReference w:id="12"/>
      </w:r>
      <w:r w:rsidRPr="00B147A6">
        <w:t>More stories of solar fecundation come from the Admiralty Islands, Samoa, China and Japan.</w:t>
      </w:r>
      <w:r w:rsidRPr="00B147A6">
        <w:rPr>
          <w:vertAlign w:val="superscript"/>
        </w:rPr>
        <w:footnoteReference w:id="18"/>
      </w:r>
      <w:r w:rsidRPr="00B147A6">
        <w:t xml:space="preserve">  Solarism also existed alongside paganism and pantheism in the cultures and nations around the Ancient Eastern Mediterranean and Europe.</w:t>
      </w:r>
      <w:r w:rsidRPr="00B147A6">
        <w:rPr>
          <w:vertAlign w:val="superscript"/>
        </w:rPr>
        <w:footnoteReference w:id="19"/>
      </w:r>
      <w:r w:rsidRPr="00B147A6">
        <w:t xml:space="preserve">  Hartland’s stories record that there were varied indigenous cultures who believed that the sun could impregnate and had generative power, but that does not necessarily mean it was specifically thought of as phallic or having a phallus; in fact, phalluses are not mentioned at all. It should be considered though, that the lack of phallic activity in the stories might have been as the result of modification by the Christian missionaries who collected the stories for Hartland, rather than a genuine lack of phallism. Hartland also records stories attesting to the fecund nature of the rising sun which is simply used to bless couples with fertility in Iran, north western India and South America and these illustrate how the sun could serve as an enhancement to human fertility rather than replacing the role of the phallus and its </w:t>
      </w:r>
      <w:proofErr w:type="gramStart"/>
      <w:r w:rsidRPr="00B147A6">
        <w:t>semen .</w:t>
      </w:r>
      <w:proofErr w:type="gramEnd"/>
      <w:r w:rsidRPr="00B147A6">
        <w:rPr>
          <w:vertAlign w:val="superscript"/>
        </w:rPr>
        <w:footnoteReference w:id="20"/>
      </w:r>
      <w:r w:rsidRPr="00B147A6">
        <w:t xml:space="preserve"> </w:t>
      </w:r>
    </w:p>
    <w:p w14:paraId="07ECC8D5" w14:textId="77777777" w:rsidR="00A97456" w:rsidRPr="00B147A6" w:rsidRDefault="00A97456" w:rsidP="003B1489">
      <w:pPr>
        <w:spacing w:line="360" w:lineRule="auto"/>
      </w:pPr>
    </w:p>
    <w:p w14:paraId="21E13B65" w14:textId="77777777" w:rsidR="00A97456" w:rsidRDefault="00A97456" w:rsidP="003B1489">
      <w:pPr>
        <w:spacing w:line="360" w:lineRule="auto"/>
      </w:pPr>
      <w:r w:rsidRPr="00B147A6">
        <w:t xml:space="preserve">Regarding the likelihood or potential of people of early cultures to accept sexual activity as sacred or having spiritual value, </w:t>
      </w:r>
      <w:r w:rsidRPr="00B147A6">
        <w:lastRenderedPageBreak/>
        <w:t>Eliade comments that they lived an organic life in which sexuality or eroticism was a sacrament by which they encountered the Force of Life itself, and awarded a distinction to it when contemplating fecundity and generation.</w:t>
      </w:r>
      <w:r w:rsidRPr="00B147A6">
        <w:rPr>
          <w:vertAlign w:val="superscript"/>
        </w:rPr>
        <w:footnoteReference w:id="21"/>
      </w:r>
      <w:r w:rsidRPr="00B147A6">
        <w:t xml:space="preserve"> </w:t>
      </w:r>
      <w:r w:rsidR="002B256D">
        <w:t xml:space="preserve"> </w:t>
      </w:r>
      <w:r w:rsidRPr="00B147A6">
        <w:t>Eliade asserts that scientific discovery has changed `modern man’s` attitude and relationship to solar symbolism and we have been blunted to the totality of solar hierophanies, but Elia</w:t>
      </w:r>
      <w:r w:rsidR="003D2D90">
        <w:t>de avoids a direct discussion of</w:t>
      </w:r>
      <w:r w:rsidRPr="00B147A6">
        <w:t xml:space="preserve"> phallism and the sun.</w:t>
      </w:r>
      <w:r w:rsidRPr="00B147A6">
        <w:rPr>
          <w:vertAlign w:val="superscript"/>
        </w:rPr>
        <w:footnoteReference w:id="22"/>
      </w:r>
      <w:r w:rsidRPr="00B147A6">
        <w:t xml:space="preserve">  It would appear that Eliade's views on `primitive peoples` can be summed up as saying he accepts that sexual activity could be a sacred and spiritual event and that there is much we don’t understand about past sun hierophanies and its meanings.</w:t>
      </w:r>
      <w:r w:rsidRPr="00B147A6">
        <w:rPr>
          <w:vertAlign w:val="superscript"/>
        </w:rPr>
        <w:footnoteReference w:id="23"/>
      </w:r>
      <w:r w:rsidRPr="00B147A6">
        <w:t xml:space="preserve"> </w:t>
      </w:r>
      <w:commentRangeStart w:id="13"/>
      <w:r w:rsidRPr="00B147A6">
        <w:t>Eliade’s work leaves a space</w:t>
      </w:r>
      <w:r>
        <w:t xml:space="preserve"> for a more detailed analysis</w:t>
      </w:r>
      <w:r w:rsidR="003D2D90">
        <w:t xml:space="preserve"> of solar-sexual symbolism</w:t>
      </w:r>
      <w:commentRangeEnd w:id="13"/>
      <w:r w:rsidR="00376013">
        <w:rPr>
          <w:rStyle w:val="CommentReference"/>
        </w:rPr>
        <w:commentReference w:id="13"/>
      </w:r>
      <w:r>
        <w:t xml:space="preserve">. </w:t>
      </w:r>
      <w:r w:rsidRPr="00B147A6">
        <w:t xml:space="preserve">This concludes a review of the available literature on phallic solarism as a broad, cross-cultural phenomenon. Individual literature reviews will be included with the separate sections on Egypt, the </w:t>
      </w:r>
      <w:r w:rsidRPr="005F405B">
        <w:rPr>
          <w:i/>
        </w:rPr>
        <w:t>Derveni Papyrus</w:t>
      </w:r>
      <w:r w:rsidRPr="00B147A6">
        <w:t xml:space="preserve"> and Christian Annunciation art. </w:t>
      </w:r>
    </w:p>
    <w:p w14:paraId="58B04504" w14:textId="77777777" w:rsidR="000A39E5" w:rsidRDefault="000A39E5" w:rsidP="003B1489">
      <w:pPr>
        <w:spacing w:line="360" w:lineRule="auto"/>
      </w:pPr>
    </w:p>
    <w:p w14:paraId="7D54948C" w14:textId="77777777" w:rsidR="00A97456" w:rsidRDefault="00A97456" w:rsidP="0013436D">
      <w:pPr>
        <w:pStyle w:val="Heading2"/>
      </w:pPr>
      <w:bookmarkStart w:id="14" w:name="_Toc398190012"/>
      <w:r>
        <w:t>Light and Sun Light</w:t>
      </w:r>
      <w:bookmarkEnd w:id="14"/>
    </w:p>
    <w:p w14:paraId="30D3C6DB" w14:textId="77777777" w:rsidR="00A97456" w:rsidRDefault="00A97456" w:rsidP="003B1489">
      <w:pPr>
        <w:spacing w:line="360" w:lineRule="auto"/>
      </w:pPr>
    </w:p>
    <w:p w14:paraId="47808D1C" w14:textId="77777777" w:rsidR="00A97456" w:rsidRDefault="00A97456" w:rsidP="003B1489">
      <w:pPr>
        <w:spacing w:line="360" w:lineRule="auto"/>
      </w:pPr>
      <w:r>
        <w:t xml:space="preserve">Before artificial means of creating light, it had to have come from fire, the sun, or space objects which reflect the sun's light. Since light is necessary to grow crops, farm animals and prepare meals it can be considered that it would have been important. </w:t>
      </w:r>
      <w:r w:rsidR="007B0499">
        <w:t>Eliade</w:t>
      </w:r>
      <w:r w:rsidRPr="00B147A6">
        <w:t xml:space="preserve"> adduces that light itself was accepted to be an expression of </w:t>
      </w:r>
      <w:r w:rsidRPr="00B147A6">
        <w:lastRenderedPageBreak/>
        <w:t>divinity in a majority of mythological or theological systems.</w:t>
      </w:r>
      <w:r w:rsidRPr="00B147A6">
        <w:rPr>
          <w:vertAlign w:val="superscript"/>
        </w:rPr>
        <w:footnoteReference w:id="24"/>
      </w:r>
      <w:r w:rsidRPr="00B147A6">
        <w:t xml:space="preserve"> </w:t>
      </w:r>
      <w:r>
        <w:t xml:space="preserve">But </w:t>
      </w:r>
      <w:r w:rsidR="00862266">
        <w:t xml:space="preserve">as stated earlier, </w:t>
      </w:r>
      <w:r w:rsidRPr="00B147A6">
        <w:t>Eliade also points out that solar divine figures are not the extent of the hierophanies of the sun and that the modern mind cannot clearly understand</w:t>
      </w:r>
      <w:r>
        <w:t xml:space="preserve"> all of</w:t>
      </w:r>
      <w:r w:rsidRPr="00B147A6">
        <w:t xml:space="preserve"> the sacred meaning</w:t>
      </w:r>
      <w:r>
        <w:t xml:space="preserve"> as it once was</w:t>
      </w:r>
      <w:r w:rsidRPr="00B147A6">
        <w:t>.</w:t>
      </w:r>
      <w:r w:rsidRPr="00B147A6">
        <w:rPr>
          <w:vertAlign w:val="superscript"/>
        </w:rPr>
        <w:footnoteReference w:id="25"/>
      </w:r>
      <w:r w:rsidRPr="00B147A6">
        <w:t xml:space="preserve">  </w:t>
      </w:r>
      <w:r>
        <w:t>So for Eliade, the spiritual understanding and appreciation of light was once more complex than modern man's ability to understand it. However, what Eliade does say is that `In sum, a certain light experience was considered a religious experience because in the already existing mythological or theological systems, light was considered an expression of divinity, spirit or sanctified life.`</w:t>
      </w:r>
      <w:r>
        <w:rPr>
          <w:rStyle w:val="FootnoteReference"/>
        </w:rPr>
        <w:footnoteReference w:id="26"/>
      </w:r>
      <w:r>
        <w:t xml:space="preserve">  </w:t>
      </w:r>
      <w:r w:rsidR="00862266">
        <w:t>T</w:t>
      </w:r>
      <w:r w:rsidR="00B0621E">
        <w:t>his research</w:t>
      </w:r>
      <w:r w:rsidRPr="00B147A6">
        <w:t xml:space="preserve"> will include a focus on the different physical light and disc phases of the sun and how these possibly emerged as different spiritual deitie</w:t>
      </w:r>
      <w:r>
        <w:t>s and symbols in past millennia, but where possible, I will also take note of the `</w:t>
      </w:r>
      <w:r w:rsidRPr="00871E1E">
        <w:t>mystical</w:t>
      </w:r>
      <w:r>
        <w:t>`</w:t>
      </w:r>
      <w:r w:rsidRPr="00871E1E">
        <w:t xml:space="preserve"> </w:t>
      </w:r>
      <w:r>
        <w:t>or `mysterious` content of the hum</w:t>
      </w:r>
      <w:r w:rsidR="00862266">
        <w:t xml:space="preserve">an experience of </w:t>
      </w:r>
      <w:commentRangeStart w:id="15"/>
      <w:r w:rsidR="00862266">
        <w:t xml:space="preserve">light, as </w:t>
      </w:r>
      <w:r w:rsidR="000D0306">
        <w:t>detailed</w:t>
      </w:r>
      <w:r w:rsidR="00862266">
        <w:t xml:space="preserve"> by Eliade</w:t>
      </w:r>
      <w:r>
        <w:t>.</w:t>
      </w:r>
      <w:r>
        <w:rPr>
          <w:rStyle w:val="FootnoteReference"/>
        </w:rPr>
        <w:footnoteReference w:id="27"/>
      </w:r>
      <w:commentRangeEnd w:id="15"/>
      <w:r w:rsidR="00376013">
        <w:rPr>
          <w:rStyle w:val="CommentReference"/>
        </w:rPr>
        <w:commentReference w:id="15"/>
      </w:r>
    </w:p>
    <w:p w14:paraId="29B244F0" w14:textId="77777777" w:rsidR="00A97456" w:rsidRDefault="00A97456" w:rsidP="003B1489">
      <w:pPr>
        <w:spacing w:line="360" w:lineRule="auto"/>
      </w:pPr>
    </w:p>
    <w:p w14:paraId="370B75E4" w14:textId="77777777" w:rsidR="00A97456" w:rsidRPr="006B3338" w:rsidRDefault="003D2D90" w:rsidP="003B1489">
      <w:pPr>
        <w:spacing w:line="360" w:lineRule="auto"/>
      </w:pPr>
      <w:r>
        <w:t>This dissertation is divided into five sections. This</w:t>
      </w:r>
      <w:r w:rsidR="00A97456" w:rsidRPr="006B3338">
        <w:t xml:space="preserve"> first part covers the academic rational, methodology and a definition of terms along with a sh</w:t>
      </w:r>
      <w:r>
        <w:t xml:space="preserve">ort conclusion. The second part, which now follows, </w:t>
      </w:r>
      <w:r w:rsidR="00A97456" w:rsidRPr="006B3338">
        <w:t xml:space="preserve">investigates relevant material from the Egyptian culture and includes a short conclusion. The third part explores the Orphic </w:t>
      </w:r>
      <w:r w:rsidR="00A97456" w:rsidRPr="005F405B">
        <w:rPr>
          <w:i/>
        </w:rPr>
        <w:t>Derveni Papyrus</w:t>
      </w:r>
      <w:r w:rsidR="00A97456" w:rsidRPr="006B3338">
        <w:t xml:space="preserve"> and the academic arguments surrounding it with an accompanying short conclusion. Early Christian material is considered in the fourth section </w:t>
      </w:r>
      <w:r w:rsidR="00A97456">
        <w:t xml:space="preserve">along with </w:t>
      </w:r>
      <w:r w:rsidR="00A97456">
        <w:lastRenderedPageBreak/>
        <w:t xml:space="preserve">a short conclusion. The fifth and final section reviews the results and offers closing arguments. </w:t>
      </w:r>
    </w:p>
    <w:p w14:paraId="4DB68957" w14:textId="77777777" w:rsidR="00A97456" w:rsidRPr="00B147A6" w:rsidRDefault="00A97456" w:rsidP="003B1489">
      <w:pPr>
        <w:spacing w:line="360" w:lineRule="auto"/>
      </w:pPr>
    </w:p>
    <w:p w14:paraId="6EBF9C74" w14:textId="77777777" w:rsidR="00A97456" w:rsidRPr="00B147A6" w:rsidRDefault="00A97456" w:rsidP="003B1489">
      <w:pPr>
        <w:spacing w:line="360" w:lineRule="auto"/>
      </w:pPr>
    </w:p>
    <w:p w14:paraId="47E203C7" w14:textId="77777777" w:rsidR="00A97456" w:rsidRPr="00B147A6" w:rsidRDefault="00A97456" w:rsidP="0013436D">
      <w:pPr>
        <w:pStyle w:val="Heading2"/>
      </w:pPr>
      <w:bookmarkStart w:id="16" w:name="_Toc398190013"/>
      <w:r w:rsidRPr="00B147A6">
        <w:t>Summary of Section One</w:t>
      </w:r>
      <w:bookmarkEnd w:id="16"/>
    </w:p>
    <w:p w14:paraId="44B7CA07" w14:textId="77777777" w:rsidR="00A97456" w:rsidRPr="00B147A6" w:rsidRDefault="00A97456" w:rsidP="003B1489">
      <w:pPr>
        <w:spacing w:line="360" w:lineRule="auto"/>
      </w:pPr>
    </w:p>
    <w:p w14:paraId="59CE3520" w14:textId="77777777" w:rsidR="000A39E5" w:rsidRDefault="00A97456" w:rsidP="003B1489">
      <w:pPr>
        <w:spacing w:line="360" w:lineRule="auto"/>
        <w:sectPr w:rsidR="000A39E5" w:rsidSect="003B1489">
          <w:pgSz w:w="11906" w:h="16838"/>
          <w:pgMar w:top="1440" w:right="2495" w:bottom="1440" w:left="2495" w:header="709" w:footer="709" w:gutter="0"/>
          <w:cols w:space="708"/>
          <w:docGrid w:linePitch="360"/>
        </w:sectPr>
      </w:pPr>
      <w:r w:rsidRPr="00B147A6">
        <w:t>Sexual and vegetative reproduction is essential for human life and the phallus is responsible for the former and the sun for the latter. Therefore they have a common purpose. This dissertation examines artef</w:t>
      </w:r>
      <w:r>
        <w:t>acts and texts for evidence of phallic solarism and its close associations</w:t>
      </w:r>
      <w:r w:rsidRPr="00B147A6">
        <w:t>. The sun has phases of sunlight and the disc and the light itself can be thought of separate entities spiritually. A literature review shows that solarism and phallism occur separately and have been commented on, but there has been little research on t</w:t>
      </w:r>
      <w:r w:rsidR="000A39E5">
        <w:t>he combination.</w:t>
      </w:r>
    </w:p>
    <w:p w14:paraId="56D8EA82" w14:textId="77777777" w:rsidR="00A97456" w:rsidRPr="00B147A6" w:rsidRDefault="00A97456" w:rsidP="0013278D">
      <w:pPr>
        <w:pStyle w:val="Heading1"/>
        <w:rPr>
          <w:sz w:val="36"/>
          <w:szCs w:val="36"/>
        </w:rPr>
      </w:pPr>
      <w:bookmarkStart w:id="17" w:name="_Toc398190014"/>
      <w:r w:rsidRPr="00B147A6">
        <w:rPr>
          <w:sz w:val="36"/>
          <w:szCs w:val="36"/>
        </w:rPr>
        <w:lastRenderedPageBreak/>
        <w:t>Section Two:   Ancient Egypt</w:t>
      </w:r>
      <w:bookmarkEnd w:id="17"/>
    </w:p>
    <w:p w14:paraId="5AA96DEB" w14:textId="77777777" w:rsidR="00A97456" w:rsidRPr="00B147A6" w:rsidRDefault="00A97456" w:rsidP="003B1489">
      <w:pPr>
        <w:spacing w:line="360" w:lineRule="auto"/>
      </w:pPr>
    </w:p>
    <w:p w14:paraId="30EAB168" w14:textId="77777777" w:rsidR="00A97456" w:rsidRPr="00B147A6" w:rsidRDefault="00A97456" w:rsidP="003B1489">
      <w:pPr>
        <w:spacing w:line="360" w:lineRule="auto"/>
      </w:pPr>
    </w:p>
    <w:p w14:paraId="36A49EE0" w14:textId="77777777" w:rsidR="00B25AE4" w:rsidRDefault="00B25AE4" w:rsidP="00B25AE4">
      <w:pPr>
        <w:pStyle w:val="Heading2"/>
      </w:pPr>
      <w:bookmarkStart w:id="18" w:name="_Toc398190015"/>
      <w:r>
        <w:t>Section Literary Review</w:t>
      </w:r>
      <w:bookmarkEnd w:id="18"/>
    </w:p>
    <w:p w14:paraId="646FC4C6" w14:textId="77777777" w:rsidR="00B25AE4" w:rsidRDefault="00B25AE4" w:rsidP="003B1489">
      <w:pPr>
        <w:spacing w:line="360" w:lineRule="auto"/>
      </w:pPr>
    </w:p>
    <w:p w14:paraId="2EDCD21F" w14:textId="77777777" w:rsidR="00A97456" w:rsidRPr="00B147A6" w:rsidRDefault="00A97456" w:rsidP="003B1489">
      <w:pPr>
        <w:spacing w:line="360" w:lineRule="auto"/>
      </w:pPr>
      <w:r w:rsidRPr="00B147A6">
        <w:t>As noted in the first section literary review, there is little a</w:t>
      </w:r>
      <w:r>
        <w:t>cademic comment on phallism and solarism together or phallic solarism</w:t>
      </w:r>
      <w:r w:rsidRPr="00B147A6">
        <w:t xml:space="preserve"> in general. Within Egyptology</w:t>
      </w:r>
      <w:r w:rsidR="000D0306">
        <w:t>,</w:t>
      </w:r>
      <w:r w:rsidRPr="00B147A6">
        <w:t xml:space="preserve"> Marc Orriols-Llonch has written three papers on explicit sexual behaviour in ancient Egypt and in one of them he does refer to a solar divinity </w:t>
      </w:r>
      <w:r>
        <w:t>who performs an act of auto-fellatio</w:t>
      </w:r>
      <w:r w:rsidRPr="00B147A6">
        <w:t>.</w:t>
      </w:r>
      <w:r w:rsidRPr="00B147A6">
        <w:rPr>
          <w:vertAlign w:val="superscript"/>
        </w:rPr>
        <w:footnoteReference w:id="28"/>
      </w:r>
      <w:r w:rsidRPr="00B147A6">
        <w:t xml:space="preserve"> A. De Trafford and G. J</w:t>
      </w:r>
      <w:r w:rsidR="001308F8">
        <w:t>. Tassie have written about</w:t>
      </w:r>
      <w:r w:rsidRPr="00B147A6">
        <w:t xml:space="preserve"> erotic and sexual notions from the Pre-dynastic Period to the Old Kingdom but make no specific reference to the sun.</w:t>
      </w:r>
      <w:r w:rsidRPr="00B147A6">
        <w:rPr>
          <w:vertAlign w:val="superscript"/>
        </w:rPr>
        <w:footnoteReference w:id="29"/>
      </w:r>
      <w:r w:rsidRPr="00B147A6">
        <w:t xml:space="preserve"> They argue that `sexual potency was the key to rebirth in the afterlife` and since the Sun was a metaphor for death and birth, this is vaguely relevant, but still not specific. Geo</w:t>
      </w:r>
      <w:r w:rsidR="001308F8">
        <w:t>rge Davis Hornblower</w:t>
      </w:r>
      <w:r w:rsidRPr="00B147A6">
        <w:t xml:space="preserve">, Barbara Watterson, Lanny Bell and Richard H. Wilkinson all report on the evidence of </w:t>
      </w:r>
      <w:commentRangeStart w:id="19"/>
      <w:r w:rsidRPr="00B147A6">
        <w:t xml:space="preserve">ithyphallic </w:t>
      </w:r>
      <w:commentRangeEnd w:id="19"/>
      <w:r w:rsidR="00EE0658">
        <w:rPr>
          <w:rStyle w:val="CommentReference"/>
        </w:rPr>
        <w:commentReference w:id="19"/>
      </w:r>
      <w:r w:rsidRPr="00B147A6">
        <w:t xml:space="preserve">god Min/Amun-Kamutef, but do not make a specific comment in </w:t>
      </w:r>
      <w:proofErr w:type="gramStart"/>
      <w:r w:rsidRPr="00B147A6">
        <w:lastRenderedPageBreak/>
        <w:t>respect</w:t>
      </w:r>
      <w:proofErr w:type="gramEnd"/>
      <w:r w:rsidRPr="00B147A6">
        <w:t xml:space="preserve"> of the sun.</w:t>
      </w:r>
      <w:r>
        <w:rPr>
          <w:rStyle w:val="FootnoteReference"/>
        </w:rPr>
        <w:footnoteReference w:id="30"/>
      </w:r>
      <w:r w:rsidRPr="00B147A6">
        <w:t xml:space="preserve"> Joshua Aaron Roberson, Alexandre Piankoff (1897 – 1966) and Nina Rambova (1897 – 1966) record the existence of an ithyphallic solar god which forms part of the </w:t>
      </w:r>
      <w:r w:rsidRPr="005F405B">
        <w:rPr>
          <w:i/>
        </w:rPr>
        <w:t>Book of the Earth</w:t>
      </w:r>
      <w:r w:rsidRPr="00B147A6">
        <w:t xml:space="preserve"> in the New Kingdom Ramesses V/VI tomb in the Valley of the Kings, but that is all they do and their commentary is short.</w:t>
      </w:r>
      <w:r>
        <w:rPr>
          <w:rStyle w:val="FootnoteReference"/>
        </w:rPr>
        <w:footnoteReference w:id="31"/>
      </w:r>
      <w:r w:rsidRPr="00B147A6">
        <w:t xml:space="preserve"> Ihab Khalil writes of the eternal generation of the Egyptian and Christian father and son in heliocentric terms and shows the similarity of the two spiritual beliefs which does contribute some information to this dissertation, but</w:t>
      </w:r>
      <w:r>
        <w:t xml:space="preserve"> he makes no comment on issues to do with the phallus and so his contribution</w:t>
      </w:r>
      <w:r w:rsidRPr="00B147A6">
        <w:t xml:space="preserve"> is limited</w:t>
      </w:r>
      <w:r>
        <w:t xml:space="preserve"> in the overall context of solar phallism</w:t>
      </w:r>
      <w:r w:rsidRPr="00B147A6">
        <w:t>.</w:t>
      </w:r>
      <w:r>
        <w:rPr>
          <w:rStyle w:val="FootnoteReference"/>
        </w:rPr>
        <w:footnoteReference w:id="32"/>
      </w:r>
      <w:r w:rsidRPr="00B147A6">
        <w:t xml:space="preserve"> </w:t>
      </w:r>
      <w:r>
        <w:t>Concerning enigmatic texts whose unique composition may imply mysteriousness associated with the sun, Erik Hornung</w:t>
      </w:r>
      <w:r w:rsidRPr="00B761E4">
        <w:t xml:space="preserve"> </w:t>
      </w:r>
      <w:r>
        <w:t>and John C.</w:t>
      </w:r>
      <w:r w:rsidRPr="00B761E4">
        <w:t xml:space="preserve"> Darnell</w:t>
      </w:r>
      <w:r>
        <w:t xml:space="preserve"> make relevant contributions which are discussed in this section.</w:t>
      </w:r>
      <w:r>
        <w:rPr>
          <w:rStyle w:val="FootnoteReference"/>
        </w:rPr>
        <w:footnoteReference w:id="33"/>
      </w:r>
      <w:r>
        <w:t xml:space="preserve"> </w:t>
      </w:r>
    </w:p>
    <w:p w14:paraId="6875C235" w14:textId="77777777" w:rsidR="00A97456" w:rsidRDefault="00A97456" w:rsidP="003B1489">
      <w:pPr>
        <w:spacing w:line="360" w:lineRule="auto"/>
      </w:pPr>
    </w:p>
    <w:p w14:paraId="08A84805" w14:textId="77777777" w:rsidR="000A39E5" w:rsidRDefault="000A39E5" w:rsidP="003B1489">
      <w:pPr>
        <w:spacing w:line="360" w:lineRule="auto"/>
      </w:pPr>
    </w:p>
    <w:p w14:paraId="3ADF9659" w14:textId="77777777" w:rsidR="00955A58" w:rsidRDefault="00955A58" w:rsidP="00D53BC7">
      <w:pPr>
        <w:pStyle w:val="Heading2"/>
      </w:pPr>
      <w:bookmarkStart w:id="20" w:name="_Toc398190016"/>
      <w:r>
        <w:lastRenderedPageBreak/>
        <w:t xml:space="preserve">Examination of </w:t>
      </w:r>
      <w:r w:rsidR="00D53BC7">
        <w:t>Relevant Material from Ancient Egypt</w:t>
      </w:r>
      <w:bookmarkEnd w:id="20"/>
    </w:p>
    <w:p w14:paraId="2E97A674" w14:textId="77777777" w:rsidR="00D53BC7" w:rsidRPr="00B147A6" w:rsidRDefault="00D53BC7" w:rsidP="003B1489">
      <w:pPr>
        <w:spacing w:line="360" w:lineRule="auto"/>
      </w:pPr>
    </w:p>
    <w:p w14:paraId="0AD98CFB" w14:textId="77777777" w:rsidR="00A97456" w:rsidRPr="00B147A6" w:rsidRDefault="001308F8" w:rsidP="003B1489">
      <w:pPr>
        <w:spacing w:line="360" w:lineRule="auto"/>
      </w:pPr>
      <w:r>
        <w:t>Eliade argues</w:t>
      </w:r>
      <w:r w:rsidR="00A97456" w:rsidRPr="00B147A6">
        <w:t xml:space="preserve"> that any survey of Egyptian religion is ham</w:t>
      </w:r>
      <w:r w:rsidR="00A97456">
        <w:t xml:space="preserve">pered by the available data which </w:t>
      </w:r>
      <w:r w:rsidR="00A97456" w:rsidRPr="00B147A6">
        <w:t>comes from periods spanning millennia, many different sites and is unevenly represented as more data survives from the later periods, the south of the country and from the highest social strata.</w:t>
      </w:r>
      <w:r w:rsidR="00A97456" w:rsidRPr="00B147A6">
        <w:rPr>
          <w:vertAlign w:val="superscript"/>
        </w:rPr>
        <w:footnoteReference w:id="34"/>
      </w:r>
      <w:r w:rsidR="00F96C89">
        <w:t xml:space="preserve">  As I am aware of the great diversity of Egyptian culture, I am</w:t>
      </w:r>
      <w:r w:rsidR="00F96C89" w:rsidRPr="00F96C89">
        <w:t xml:space="preserve"> goi</w:t>
      </w:r>
      <w:r w:rsidR="00CD0CDB">
        <w:t xml:space="preserve">ng to focus on </w:t>
      </w:r>
      <w:r w:rsidR="00F96C89" w:rsidRPr="00F96C89">
        <w:t>solarism</w:t>
      </w:r>
      <w:r w:rsidR="00CD0CDB">
        <w:t xml:space="preserve"> and phallism</w:t>
      </w:r>
      <w:r w:rsidR="00F96C89">
        <w:t>,</w:t>
      </w:r>
      <w:r w:rsidR="00F96C89" w:rsidRPr="00F96C89">
        <w:t xml:space="preserve"> in an attempt to establish </w:t>
      </w:r>
      <w:r w:rsidR="00F96C89" w:rsidRPr="00B147A6">
        <w:t>p</w:t>
      </w:r>
      <w:r w:rsidR="00F96C89">
        <w:t>hallic solarism</w:t>
      </w:r>
      <w:r w:rsidR="00F96C89" w:rsidRPr="00F96C89">
        <w:t xml:space="preserve"> </w:t>
      </w:r>
      <w:r w:rsidR="00CD0CDB">
        <w:t>as a concept.</w:t>
      </w:r>
      <w:r w:rsidR="00A97456" w:rsidRPr="00B147A6">
        <w:t xml:space="preserve"> It should also be noted that some spells which appear in the </w:t>
      </w:r>
      <w:r w:rsidR="00A97456" w:rsidRPr="005F405B">
        <w:rPr>
          <w:i/>
        </w:rPr>
        <w:t>Pyramid Texts</w:t>
      </w:r>
      <w:r w:rsidR="00A97456" w:rsidRPr="00B147A6">
        <w:t xml:space="preserve"> around c. 2350BCE were still in use in the Late Period, (664 – 332 BCE) so </w:t>
      </w:r>
      <w:r w:rsidR="0063438B">
        <w:t>as Erik Hornung</w:t>
      </w:r>
      <w:r w:rsidR="00C0654C">
        <w:t xml:space="preserve"> points out, </w:t>
      </w:r>
      <w:commentRangeStart w:id="21"/>
      <w:r w:rsidR="00A97456" w:rsidRPr="00B147A6">
        <w:t>some spiritual themes had great longevity</w:t>
      </w:r>
      <w:r w:rsidR="00A97456">
        <w:t xml:space="preserve"> and reasonable reliability</w:t>
      </w:r>
      <w:r w:rsidR="00A97456" w:rsidRPr="00B147A6">
        <w:t>.</w:t>
      </w:r>
      <w:r w:rsidR="00A97456" w:rsidRPr="00B147A6">
        <w:rPr>
          <w:vertAlign w:val="superscript"/>
        </w:rPr>
        <w:footnoteReference w:id="35"/>
      </w:r>
      <w:r w:rsidR="00A97456" w:rsidRPr="00B147A6">
        <w:t xml:space="preserve"> </w:t>
      </w:r>
      <w:commentRangeEnd w:id="21"/>
      <w:r w:rsidR="00EE0658">
        <w:rPr>
          <w:rStyle w:val="CommentReference"/>
        </w:rPr>
        <w:commentReference w:id="21"/>
      </w:r>
    </w:p>
    <w:p w14:paraId="57022EAE" w14:textId="77777777" w:rsidR="00A97456" w:rsidRPr="00B147A6" w:rsidRDefault="00A97456" w:rsidP="003B1489">
      <w:pPr>
        <w:spacing w:line="360" w:lineRule="auto"/>
      </w:pPr>
    </w:p>
    <w:p w14:paraId="09C5BD94" w14:textId="77777777" w:rsidR="00A97456" w:rsidRPr="00B147A6" w:rsidRDefault="00A97456" w:rsidP="003B1489">
      <w:pPr>
        <w:spacing w:line="360" w:lineRule="auto"/>
      </w:pPr>
      <w:r w:rsidRPr="00B147A6">
        <w:t>According to James P. Allen and Peter Der Manuelian `The Egyptians understood the solar circuit as a circumnavigation of the world by boat or barque….. The sky was seen as the surface of a cosmic ocean where it met the atmosphere and the sun’s daily journey required a boat.`</w:t>
      </w:r>
      <w:r w:rsidRPr="00B147A6">
        <w:rPr>
          <w:vertAlign w:val="superscript"/>
        </w:rPr>
        <w:footnoteReference w:id="36"/>
      </w:r>
      <w:r w:rsidRPr="00B147A6">
        <w:t xml:space="preserve"> Much of their spiritual understanding centred on the concept of rebirth as represented by the aging sun as it set in the west and then its rise into a young sun again in the morning.</w:t>
      </w:r>
      <w:r>
        <w:rPr>
          <w:rStyle w:val="FootnoteReference"/>
        </w:rPr>
        <w:footnoteReference w:id="37"/>
      </w:r>
      <w:r w:rsidRPr="00B147A6">
        <w:t xml:space="preserve"> Allen and Der Manuelian and George Hart also state that the Old Kingdom </w:t>
      </w:r>
      <w:r w:rsidRPr="005F405B">
        <w:rPr>
          <w:i/>
        </w:rPr>
        <w:t>Pyramid Texts</w:t>
      </w:r>
      <w:r w:rsidRPr="00B147A6">
        <w:t xml:space="preserve"> </w:t>
      </w:r>
      <w:r w:rsidRPr="00B147A6">
        <w:lastRenderedPageBreak/>
        <w:t>(c.2350-2175 BCE) are primarily concerned with the deceased king’s afterlife in the presence of Osiris, Horus and Re, whom he will join and that they are probably meant to ensure the success of the journey from death into another life, just as the sun’s journey though the Underworld every night was one of death and re-birth.</w:t>
      </w:r>
      <w:r w:rsidRPr="00B147A6">
        <w:rPr>
          <w:vertAlign w:val="superscript"/>
        </w:rPr>
        <w:footnoteReference w:id="38"/>
      </w:r>
      <w:r>
        <w:t xml:space="preserve"> According to</w:t>
      </w:r>
      <w:r w:rsidRPr="00B147A6">
        <w:t xml:space="preserve"> Hornung, the king, the sun god Re and the creator god Atum are occasionally intertwined and the desire to accompany the sun god, take part in the cycle and overcome death can be found in the spells.</w:t>
      </w:r>
      <w:r w:rsidRPr="00B147A6">
        <w:rPr>
          <w:vertAlign w:val="superscript"/>
        </w:rPr>
        <w:footnoteReference w:id="39"/>
      </w:r>
      <w:r w:rsidRPr="00B147A6">
        <w:t xml:space="preserve"> However, Hart claims that they also tell of the self-engendered demiurge Atum’s production of Shu and Tefnut who begat Geb and Nut, followed by Osiris, Isis and their siblings.</w:t>
      </w:r>
      <w:r w:rsidRPr="00B147A6">
        <w:rPr>
          <w:vertAlign w:val="superscript"/>
        </w:rPr>
        <w:footnoteReference w:id="40"/>
      </w:r>
      <w:r w:rsidRPr="00B147A6">
        <w:t xml:space="preserve"> They state that `Atum created by his masturbation in Heliopolis. He put his phallus in his fist, to excite desire thereby. The twins were born, Shu and Tefnut</w:t>
      </w:r>
      <w:proofErr w:type="gramStart"/>
      <w:r w:rsidRPr="00B147A6">
        <w:t>.`</w:t>
      </w:r>
      <w:proofErr w:type="gramEnd"/>
      <w:r w:rsidRPr="00B147A6">
        <w:rPr>
          <w:vertAlign w:val="superscript"/>
        </w:rPr>
        <w:footnoteReference w:id="41"/>
      </w:r>
      <w:r w:rsidRPr="00B147A6">
        <w:t xml:space="preserve"> Hornung writes that Shu was </w:t>
      </w:r>
      <w:r w:rsidR="000D0306">
        <w:t xml:space="preserve">an </w:t>
      </w:r>
      <w:r w:rsidRPr="00B147A6">
        <w:t>especially suitable helper for the king during his ascent to the sky.</w:t>
      </w:r>
      <w:r w:rsidRPr="00B147A6">
        <w:rPr>
          <w:vertAlign w:val="superscript"/>
        </w:rPr>
        <w:footnoteReference w:id="42"/>
      </w:r>
      <w:r w:rsidR="00BF6A6E">
        <w:t xml:space="preserve"> Thus it could</w:t>
      </w:r>
      <w:r w:rsidR="00C0654C">
        <w:t xml:space="preserve"> be deduced that</w:t>
      </w:r>
      <w:r w:rsidR="00BF6A6E">
        <w:t xml:space="preserve"> </w:t>
      </w:r>
      <w:r w:rsidR="00C0654C">
        <w:t>Shu had particular im</w:t>
      </w:r>
      <w:r w:rsidR="00BF6A6E">
        <w:t>portance and this will be discuss</w:t>
      </w:r>
      <w:r w:rsidR="00C0654C">
        <w:t>ed later.</w:t>
      </w:r>
    </w:p>
    <w:p w14:paraId="02068D9E" w14:textId="77777777" w:rsidR="00A97456" w:rsidRPr="00B147A6" w:rsidRDefault="00A97456" w:rsidP="003B1489">
      <w:pPr>
        <w:spacing w:line="360" w:lineRule="auto"/>
      </w:pPr>
    </w:p>
    <w:p w14:paraId="50739860" w14:textId="77777777" w:rsidR="00A97456" w:rsidRPr="00B147A6" w:rsidRDefault="00A97456" w:rsidP="003B1489">
      <w:pPr>
        <w:spacing w:line="360" w:lineRule="auto"/>
      </w:pPr>
      <w:r w:rsidRPr="00B147A6">
        <w:t xml:space="preserve">Regarding the </w:t>
      </w:r>
      <w:r w:rsidR="000D0306" w:rsidRPr="00B147A6">
        <w:t>significance</w:t>
      </w:r>
      <w:r w:rsidRPr="00B147A6">
        <w:t xml:space="preserve"> of the sun, there is hieroglyphic evidence that the sun was associated with the first pharaoh</w:t>
      </w:r>
      <w:r w:rsidR="000D0306">
        <w:t xml:space="preserve"> - </w:t>
      </w:r>
      <w:r w:rsidR="00B41DEC" w:rsidRPr="00B41DEC">
        <w:t>probably Hotepsekhemwy</w:t>
      </w:r>
      <w:r w:rsidR="000D0306">
        <w:t xml:space="preserve"> -</w:t>
      </w:r>
      <w:r w:rsidRPr="00B147A6">
        <w:t xml:space="preserve"> of the Second</w:t>
      </w:r>
      <w:r>
        <w:t xml:space="preserve"> Dynasty (c. 3000–2686 BCE), then</w:t>
      </w:r>
      <w:r w:rsidRPr="00B147A6">
        <w:t xml:space="preserve"> by the Fifth Dynasty (2494–2345 BCE) the State and </w:t>
      </w:r>
      <w:r w:rsidRPr="00B147A6">
        <w:lastRenderedPageBreak/>
        <w:t>its resources were fully involved in the worship of Ra.</w:t>
      </w:r>
      <w:r w:rsidRPr="00B147A6">
        <w:rPr>
          <w:vertAlign w:val="superscript"/>
        </w:rPr>
        <w:footnoteReference w:id="43"/>
      </w:r>
      <w:r w:rsidRPr="00B147A6">
        <w:t xml:space="preserve"> Re was the creator sun god of Heliopolis who journeyed in his solar barque.</w:t>
      </w:r>
      <w:r w:rsidRPr="00B147A6">
        <w:rPr>
          <w:vertAlign w:val="superscript"/>
        </w:rPr>
        <w:footnoteReference w:id="44"/>
      </w:r>
      <w:r w:rsidRPr="00B147A6">
        <w:t xml:space="preserve"> Later, during the Middle Kingdom, Re and Atum were syncretised into Re-Atum in Coffin Text spell 510 and by the author of the </w:t>
      </w:r>
      <w:r w:rsidRPr="00B147A6">
        <w:rPr>
          <w:i/>
        </w:rPr>
        <w:t>Book of the Dead of Ani</w:t>
      </w:r>
      <w:r w:rsidRPr="00B147A6">
        <w:t xml:space="preserve"> (c.1</w:t>
      </w:r>
      <w:proofErr w:type="gramStart"/>
      <w:r w:rsidRPr="00B147A6">
        <w:t>,500BCE</w:t>
      </w:r>
      <w:proofErr w:type="gramEnd"/>
      <w:r w:rsidRPr="00B147A6">
        <w:t>) where it reads `Hail to you, O Re when you rise and Atum when you set.`</w:t>
      </w:r>
      <w:r w:rsidRPr="00B147A6">
        <w:rPr>
          <w:vertAlign w:val="superscript"/>
        </w:rPr>
        <w:footnoteReference w:id="45"/>
      </w:r>
      <w:r w:rsidRPr="00B147A6">
        <w:t xml:space="preserve"> </w:t>
      </w:r>
      <w:commentRangeStart w:id="22"/>
      <w:r w:rsidRPr="00B147A6">
        <w:t>Here the identification of a separate sun phase w</w:t>
      </w:r>
      <w:r>
        <w:t>ith separate character is made</w:t>
      </w:r>
      <w:commentRangeEnd w:id="22"/>
      <w:r w:rsidR="00EE0658">
        <w:rPr>
          <w:rStyle w:val="CommentReference"/>
        </w:rPr>
        <w:commentReference w:id="22"/>
      </w:r>
      <w:r>
        <w:t xml:space="preserve">. </w:t>
      </w:r>
      <w:r w:rsidRPr="00B147A6">
        <w:t>According to Geraldine Pinch</w:t>
      </w:r>
      <w:r>
        <w:t>,</w:t>
      </w:r>
      <w:r w:rsidRPr="00B147A6">
        <w:t xml:space="preserve"> the books that decorate the tombs of the New Kingdom show Re as Khepri - a scarab beetle and the self-generating sun of dawn, Re-Horakhty – a falcon-headed man who rose triumphant in the east, and Re-Atum – an old man and weary setting sun.</w:t>
      </w:r>
      <w:r w:rsidRPr="00B147A6">
        <w:rPr>
          <w:vertAlign w:val="superscript"/>
        </w:rPr>
        <w:footnoteReference w:id="46"/>
      </w:r>
      <w:r w:rsidR="00B41DEC">
        <w:t xml:space="preserve"> So</w:t>
      </w:r>
      <w:r w:rsidRPr="00B147A6">
        <w:t xml:space="preserve"> the sun had more than one phase or `character` and this is evident in at least the </w:t>
      </w:r>
      <w:commentRangeStart w:id="23"/>
      <w:r w:rsidRPr="00B147A6">
        <w:t xml:space="preserve">Middle and New Kingdom. </w:t>
      </w:r>
      <w:commentRangeEnd w:id="23"/>
      <w:r w:rsidR="00EE0658">
        <w:rPr>
          <w:rStyle w:val="CommentReference"/>
        </w:rPr>
        <w:commentReference w:id="23"/>
      </w:r>
    </w:p>
    <w:p w14:paraId="7DA97AA2" w14:textId="77777777" w:rsidR="00A97456" w:rsidRPr="00B147A6" w:rsidRDefault="00A97456" w:rsidP="003B1489">
      <w:pPr>
        <w:spacing w:line="360" w:lineRule="auto"/>
      </w:pPr>
    </w:p>
    <w:p w14:paraId="69D28EF0" w14:textId="77777777" w:rsidR="00A97456" w:rsidRPr="00B147A6" w:rsidRDefault="00A97456" w:rsidP="003B1489">
      <w:pPr>
        <w:spacing w:line="360" w:lineRule="auto"/>
      </w:pPr>
      <w:r w:rsidRPr="00B147A6">
        <w:t xml:space="preserve">Further to this, in an </w:t>
      </w:r>
      <w:commentRangeStart w:id="24"/>
      <w:r w:rsidRPr="00B147A6">
        <w:t>Eighteenth Dynasty</w:t>
      </w:r>
      <w:r w:rsidR="00B41DEC">
        <w:t xml:space="preserve"> (1540 – 1292 BCE)</w:t>
      </w:r>
      <w:r w:rsidRPr="00B147A6">
        <w:t xml:space="preserve"> </w:t>
      </w:r>
      <w:commentRangeEnd w:id="24"/>
      <w:r w:rsidR="00EE0658">
        <w:rPr>
          <w:rStyle w:val="CommentReference"/>
        </w:rPr>
        <w:commentReference w:id="24"/>
      </w:r>
      <w:r>
        <w:t>Egyptian hymn to the sun god, it can also be seen</w:t>
      </w:r>
      <w:r w:rsidRPr="00B147A6">
        <w:t xml:space="preserve"> how the </w:t>
      </w:r>
      <w:r w:rsidRPr="00084533">
        <w:rPr>
          <w:i/>
        </w:rPr>
        <w:t>disc</w:t>
      </w:r>
      <w:r w:rsidRPr="00B147A6">
        <w:t xml:space="preserve">, which in reality can only be seen at rise and set, is identified as </w:t>
      </w:r>
      <w:commentRangeStart w:id="25"/>
      <w:r w:rsidRPr="00B147A6">
        <w:t xml:space="preserve">the god himself: </w:t>
      </w:r>
      <w:commentRangeEnd w:id="25"/>
      <w:r w:rsidR="00EE0658">
        <w:rPr>
          <w:rStyle w:val="CommentReference"/>
        </w:rPr>
        <w:commentReference w:id="25"/>
      </w:r>
      <w:r w:rsidRPr="00B147A6">
        <w:t xml:space="preserve">`Thou passest over the sky, every face watches thy course, thou thyself being unseen. Thou showest thyself at </w:t>
      </w:r>
      <w:r w:rsidRPr="00B147A6">
        <w:lastRenderedPageBreak/>
        <w:t>dawn and at eve daily</w:t>
      </w:r>
      <w:proofErr w:type="gramStart"/>
      <w:r w:rsidRPr="00B147A6">
        <w:t>.`</w:t>
      </w:r>
      <w:proofErr w:type="gramEnd"/>
      <w:r w:rsidRPr="00B147A6">
        <w:rPr>
          <w:vertAlign w:val="superscript"/>
        </w:rPr>
        <w:footnoteReference w:id="47"/>
      </w:r>
      <w:r w:rsidRPr="00B147A6">
        <w:t xml:space="preserve"> And also, `O sun-disk, Lord of the sunbeams,…`</w:t>
      </w:r>
      <w:r w:rsidRPr="00B147A6">
        <w:rPr>
          <w:vertAlign w:val="superscript"/>
        </w:rPr>
        <w:footnoteReference w:id="48"/>
      </w:r>
      <w:r w:rsidRPr="00B147A6">
        <w:t xml:space="preserve"> Here it can be seen that the </w:t>
      </w:r>
      <w:r w:rsidRPr="00084533">
        <w:rPr>
          <w:i/>
        </w:rPr>
        <w:t>light</w:t>
      </w:r>
      <w:r w:rsidRPr="00B147A6">
        <w:t xml:space="preserve"> is one thing, whilst the </w:t>
      </w:r>
      <w:commentRangeStart w:id="26"/>
      <w:r w:rsidRPr="00084533">
        <w:rPr>
          <w:i/>
        </w:rPr>
        <w:t>disk</w:t>
      </w:r>
      <w:r w:rsidRPr="00B147A6">
        <w:t xml:space="preserve"> is another. </w:t>
      </w:r>
      <w:commentRangeEnd w:id="26"/>
      <w:r w:rsidR="00EE0658">
        <w:rPr>
          <w:rStyle w:val="CommentReference"/>
        </w:rPr>
        <w:commentReference w:id="26"/>
      </w:r>
      <w:r w:rsidRPr="00B147A6">
        <w:t xml:space="preserve">This distinction was important for Akhenaten who ascended the throne in 1352 </w:t>
      </w:r>
      <w:commentRangeStart w:id="27"/>
      <w:r w:rsidRPr="00B147A6">
        <w:t xml:space="preserve">BCE and ordered the </w:t>
      </w:r>
      <w:r>
        <w:t xml:space="preserve">exclusive </w:t>
      </w:r>
      <w:r w:rsidRPr="00B147A6">
        <w:t>worship of the disk of the sun as the sun god.</w:t>
      </w:r>
      <w:r w:rsidRPr="00B147A6">
        <w:rPr>
          <w:vertAlign w:val="superscript"/>
        </w:rPr>
        <w:footnoteReference w:id="49"/>
      </w:r>
      <w:commentRangeEnd w:id="27"/>
      <w:r w:rsidR="00EE0658">
        <w:rPr>
          <w:rStyle w:val="CommentReference"/>
        </w:rPr>
        <w:commentReference w:id="27"/>
      </w:r>
    </w:p>
    <w:p w14:paraId="4DC27137" w14:textId="77777777" w:rsidR="00B25AE4" w:rsidRDefault="00B25AE4" w:rsidP="003B1489">
      <w:pPr>
        <w:spacing w:line="360" w:lineRule="auto"/>
      </w:pPr>
    </w:p>
    <w:p w14:paraId="377E37A1" w14:textId="77777777" w:rsidR="00A97456" w:rsidRPr="00B147A6" w:rsidRDefault="00A97456" w:rsidP="003B1489">
      <w:pPr>
        <w:spacing w:line="360" w:lineRule="auto"/>
      </w:pPr>
      <w:r w:rsidRPr="00B147A6">
        <w:t xml:space="preserve">The </w:t>
      </w:r>
      <w:r w:rsidRPr="005F405B">
        <w:rPr>
          <w:i/>
        </w:rPr>
        <w:t>Coffin Texts</w:t>
      </w:r>
      <w:r w:rsidRPr="00B147A6">
        <w:t xml:space="preserve"> were inscribed in wooden coffins during the Middle Kingdom (2160- 1773BCE).</w:t>
      </w:r>
      <w:r w:rsidRPr="00B147A6">
        <w:rPr>
          <w:vertAlign w:val="superscript"/>
        </w:rPr>
        <w:footnoteReference w:id="50"/>
      </w:r>
      <w:r w:rsidRPr="00B147A6">
        <w:t xml:space="preserve"> These texts have more examples of Atum’s onanism to create entities, but Marc Orriols-Llonch goes into a lot more sexually explicit detail than is </w:t>
      </w:r>
      <w:commentRangeStart w:id="28"/>
      <w:r w:rsidRPr="00B147A6">
        <w:t>normally found in Egyptologists work</w:t>
      </w:r>
      <w:commentRangeEnd w:id="28"/>
      <w:r w:rsidR="00EE0658">
        <w:rPr>
          <w:rStyle w:val="CommentReference"/>
        </w:rPr>
        <w:commentReference w:id="28"/>
      </w:r>
      <w:r w:rsidRPr="00B147A6">
        <w:t>. He argues that the difference in the hieroglyphs used makes it clear that by this period, Atum’s hand was considered to be a feminine partner and an independent being which took part in the masturbation - now called copulation.</w:t>
      </w:r>
      <w:r w:rsidRPr="00B147A6">
        <w:rPr>
          <w:vertAlign w:val="superscript"/>
        </w:rPr>
        <w:footnoteReference w:id="51"/>
      </w:r>
      <w:r w:rsidRPr="00B147A6">
        <w:t xml:space="preserve"> </w:t>
      </w:r>
      <w:r w:rsidR="00B41DEC" w:rsidRPr="00B41DEC">
        <w:t xml:space="preserve">Orriols-Llonch </w:t>
      </w:r>
      <w:r w:rsidR="00B41DEC">
        <w:t>claims that i</w:t>
      </w:r>
      <w:r w:rsidRPr="00B147A6">
        <w:t xml:space="preserve">n the </w:t>
      </w:r>
      <w:r w:rsidRPr="005F405B">
        <w:rPr>
          <w:i/>
        </w:rPr>
        <w:t>Pyramid Texts</w:t>
      </w:r>
      <w:r w:rsidRPr="00B147A6">
        <w:t>, Atum is an androgynous, unitary, primordial entity which is given female hieroglyphs or feminine qualities in some of the utterances.</w:t>
      </w:r>
      <w:r w:rsidRPr="00B147A6">
        <w:rPr>
          <w:vertAlign w:val="superscript"/>
        </w:rPr>
        <w:footnoteReference w:id="52"/>
      </w:r>
      <w:r w:rsidR="00B41DEC">
        <w:t xml:space="preserve"> He</w:t>
      </w:r>
      <w:r w:rsidRPr="00B147A6">
        <w:t xml:space="preserve"> argues that the later </w:t>
      </w:r>
      <w:r w:rsidRPr="005F405B">
        <w:rPr>
          <w:i/>
        </w:rPr>
        <w:t>Coffin Texts</w:t>
      </w:r>
      <w:r w:rsidRPr="00B147A6">
        <w:t xml:space="preserve"> still demonstrate the belief that the creating divinity was androgynous with the masculine aspect generating semen whilst the feminine aspect gestated the seed in its mouth before giving </w:t>
      </w:r>
      <w:r w:rsidRPr="00B147A6">
        <w:lastRenderedPageBreak/>
        <w:t xml:space="preserve">oral birth. He considers the act of auto fellatio and translates the texts as implying that `the solar god appears alone in the Nun, masturbates or copulates with his hand or grasp…. he makes an orgasm, the semen </w:t>
      </w:r>
      <w:commentRangeStart w:id="29"/>
      <w:r w:rsidRPr="00B147A6">
        <w:t>going into his mouth, which will gestate and give birth to his children.`</w:t>
      </w:r>
      <w:r w:rsidRPr="00B147A6">
        <w:rPr>
          <w:vertAlign w:val="superscript"/>
        </w:rPr>
        <w:footnoteReference w:id="53"/>
      </w:r>
      <w:r>
        <w:t xml:space="preserve"> </w:t>
      </w:r>
      <w:commentRangeEnd w:id="29"/>
      <w:r w:rsidR="006239FE">
        <w:rPr>
          <w:rStyle w:val="CommentReference"/>
        </w:rPr>
        <w:commentReference w:id="29"/>
      </w:r>
      <w:r>
        <w:t xml:space="preserve">Another example of solar sexual activity occurs in text </w:t>
      </w:r>
      <w:r w:rsidRPr="0099678E">
        <w:t>990a</w:t>
      </w:r>
      <w:r>
        <w:t xml:space="preserve"> of the </w:t>
      </w:r>
      <w:commentRangeStart w:id="30"/>
      <w:r w:rsidRPr="005F405B">
        <w:rPr>
          <w:i/>
        </w:rPr>
        <w:t>Pyramid Texts</w:t>
      </w:r>
      <w:r w:rsidRPr="0099678E">
        <w:t xml:space="preserve">, </w:t>
      </w:r>
      <w:commentRangeEnd w:id="30"/>
      <w:r w:rsidR="00DE369A">
        <w:rPr>
          <w:rStyle w:val="CommentReference"/>
        </w:rPr>
        <w:commentReference w:id="30"/>
      </w:r>
      <w:r w:rsidRPr="0099678E">
        <w:t>which R. O. Faulkner (1894 - 1982) translates as `O Re, make the womb of Nut pregnant with the seed of the spirit which is in her.` Orriols-Llonch’s more recent translation reads `copulate repeatedly with Nut….` or `penetrate the body repeatedly`.</w:t>
      </w:r>
      <w:r w:rsidRPr="0099678E">
        <w:rPr>
          <w:vertAlign w:val="superscript"/>
        </w:rPr>
        <w:footnoteReference w:id="54"/>
      </w:r>
      <w:r w:rsidRPr="0099678E">
        <w:t xml:space="preserve"> It should be noted that the sexual contact between Re, the sun god and Nut in the Old Kingdom text is an early example of the sun fecundating or impregnating Nut and establishes a sentiment that is contained within art going into at least the </w:t>
      </w:r>
      <w:commentRangeStart w:id="31"/>
      <w:r w:rsidRPr="0099678E">
        <w:t xml:space="preserve">Twentieth Dynasty </w:t>
      </w:r>
      <w:commentRangeEnd w:id="31"/>
      <w:r w:rsidR="00DE369A">
        <w:rPr>
          <w:rStyle w:val="CommentReference"/>
        </w:rPr>
        <w:commentReference w:id="31"/>
      </w:r>
      <w:r w:rsidRPr="0099678E">
        <w:t>- for instance appearing on the ceiling of the burial chamber of the tomb of</w:t>
      </w:r>
      <w:r>
        <w:t xml:space="preserve"> Rameses VI (1141 – 1133 BCE). A further</w:t>
      </w:r>
      <w:r w:rsidRPr="00B147A6">
        <w:t xml:space="preserve"> act of auto fellatio </w:t>
      </w:r>
      <w:r>
        <w:t xml:space="preserve">in the presence of Nut </w:t>
      </w:r>
      <w:r w:rsidRPr="00B147A6">
        <w:t xml:space="preserve">can be seen in a papyrus called </w:t>
      </w:r>
      <w:r w:rsidRPr="00B147A6">
        <w:rPr>
          <w:i/>
        </w:rPr>
        <w:t>Book of the Dead of Henuttawy</w:t>
      </w:r>
      <w:r>
        <w:rPr>
          <w:i/>
        </w:rPr>
        <w:t>,</w:t>
      </w:r>
      <w:r w:rsidRPr="00CD71F6">
        <w:rPr>
          <w:i/>
        </w:rPr>
        <w:t xml:space="preserve"> </w:t>
      </w:r>
      <w:r>
        <w:rPr>
          <w:i/>
        </w:rPr>
        <w:t>Sheet 2</w:t>
      </w:r>
      <w:r w:rsidRPr="00B147A6">
        <w:t xml:space="preserve"> in the British Museum.</w:t>
      </w:r>
      <w:r>
        <w:rPr>
          <w:rStyle w:val="FootnoteReference"/>
        </w:rPr>
        <w:footnoteReference w:id="55"/>
      </w:r>
      <w:r w:rsidRPr="00B147A6">
        <w:t xml:space="preserve"> (Third intermediate period (</w:t>
      </w:r>
      <w:r>
        <w:t xml:space="preserve">1090 – 656BCE) </w:t>
      </w:r>
      <w:r w:rsidRPr="00B147A6">
        <w:t>Figure 3.</w:t>
      </w:r>
    </w:p>
    <w:p w14:paraId="0028DD81" w14:textId="77777777" w:rsidR="00A97456" w:rsidRPr="00B147A6" w:rsidRDefault="00A97456" w:rsidP="003B1489">
      <w:pPr>
        <w:spacing w:line="360" w:lineRule="auto"/>
      </w:pPr>
    </w:p>
    <w:p w14:paraId="3AC65250" w14:textId="77777777" w:rsidR="00A97456" w:rsidRPr="00B147A6" w:rsidRDefault="00A97456" w:rsidP="003B1489">
      <w:pPr>
        <w:spacing w:line="360" w:lineRule="auto"/>
      </w:pPr>
    </w:p>
    <w:p w14:paraId="6550A698"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31C32042" wp14:editId="25B95F8A">
            <wp:extent cx="5595020" cy="1958196"/>
            <wp:effectExtent l="0" t="0" r="571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 of the Dead of Henuttawy sheet 2 British Museum EA10018,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97043" cy="1958904"/>
                    </a:xfrm>
                    <a:prstGeom prst="rect">
                      <a:avLst/>
                    </a:prstGeom>
                  </pic:spPr>
                </pic:pic>
              </a:graphicData>
            </a:graphic>
          </wp:inline>
        </w:drawing>
      </w:r>
    </w:p>
    <w:p w14:paraId="62141425" w14:textId="77777777" w:rsidR="00A97456" w:rsidRPr="00492046" w:rsidRDefault="00A97456" w:rsidP="003B1489">
      <w:pPr>
        <w:spacing w:after="200"/>
        <w:rPr>
          <w:rFonts w:ascii="Arial" w:hAnsi="Arial" w:cs="Arial"/>
          <w:bCs/>
          <w:sz w:val="18"/>
          <w:szCs w:val="18"/>
        </w:rPr>
      </w:pPr>
      <w:bookmarkStart w:id="32" w:name="_Toc398116772"/>
      <w:bookmarkStart w:id="33" w:name="_Toc398124160"/>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3</w:t>
      </w:r>
      <w:r w:rsidRPr="00492046">
        <w:rPr>
          <w:rFonts w:ascii="Arial" w:hAnsi="Arial" w:cs="Arial"/>
          <w:bCs/>
          <w:noProof/>
          <w:sz w:val="18"/>
          <w:szCs w:val="18"/>
        </w:rPr>
        <w:fldChar w:fldCharType="end"/>
      </w:r>
      <w:r w:rsidRPr="00492046">
        <w:rPr>
          <w:rFonts w:ascii="Arial" w:hAnsi="Arial" w:cs="Arial"/>
          <w:bCs/>
          <w:sz w:val="18"/>
          <w:szCs w:val="18"/>
        </w:rPr>
        <w:t>.</w:t>
      </w:r>
      <w:r w:rsidRPr="00492046">
        <w:rPr>
          <w:rFonts w:ascii="Arial" w:hAnsi="Arial" w:cs="Arial"/>
          <w:bCs/>
          <w:sz w:val="20"/>
          <w:szCs w:val="20"/>
        </w:rPr>
        <w:t xml:space="preserve"> </w:t>
      </w:r>
      <w:r w:rsidRPr="00492046">
        <w:rPr>
          <w:rFonts w:ascii="Arial" w:hAnsi="Arial" w:cs="Arial"/>
          <w:bCs/>
          <w:i/>
          <w:sz w:val="18"/>
          <w:szCs w:val="18"/>
        </w:rPr>
        <w:t>Book of the Dead of Henuttawy</w:t>
      </w:r>
      <w:r w:rsidRPr="00492046">
        <w:rPr>
          <w:rFonts w:ascii="Arial" w:hAnsi="Arial" w:cs="Arial"/>
          <w:bCs/>
          <w:sz w:val="18"/>
          <w:szCs w:val="18"/>
        </w:rPr>
        <w:t xml:space="preserve">, Sheet 2, , Third Intermediate Egypt, Papyrus with Amduat vignettes in red, yellow and black, EA10018.2, AN 1162559,  74cms (frame) x 22.8cms (frame), British Museum. </w:t>
      </w:r>
      <w:r w:rsidRPr="00492046">
        <w:rPr>
          <w:rFonts w:ascii="Arial" w:hAnsi="Arial" w:cs="Arial"/>
          <w:bCs/>
          <w:i/>
          <w:sz w:val="18"/>
          <w:szCs w:val="18"/>
        </w:rPr>
        <w:t>Image:</w:t>
      </w:r>
      <w:r w:rsidRPr="00492046">
        <w:rPr>
          <w:rFonts w:ascii="Arial" w:hAnsi="Arial" w:cs="Arial"/>
          <w:bCs/>
          <w:sz w:val="18"/>
          <w:szCs w:val="18"/>
        </w:rPr>
        <w:t xml:space="preserve"> British Museum</w:t>
      </w:r>
      <w:bookmarkEnd w:id="32"/>
      <w:bookmarkEnd w:id="33"/>
    </w:p>
    <w:p w14:paraId="3755C41B" w14:textId="77777777" w:rsidR="00A97456" w:rsidRDefault="00A97456" w:rsidP="003B1489">
      <w:pPr>
        <w:spacing w:line="360" w:lineRule="auto"/>
      </w:pPr>
      <w:r>
        <w:t xml:space="preserve">This particular pose of </w:t>
      </w:r>
      <w:r w:rsidRPr="00B147A6">
        <w:t>Nut and Geb</w:t>
      </w:r>
      <w:r>
        <w:t xml:space="preserve"> is previously attested and they are typically depicted in these positions as the S</w:t>
      </w:r>
      <w:r w:rsidRPr="00B147A6">
        <w:t>ky and the Earth</w:t>
      </w:r>
      <w:r>
        <w:t>, (respectively) but not normally with an act of auto fellatio</w:t>
      </w:r>
      <w:r w:rsidRPr="00B147A6">
        <w:t>.</w:t>
      </w:r>
      <w:r w:rsidRPr="00B147A6">
        <w:rPr>
          <w:vertAlign w:val="superscript"/>
        </w:rPr>
        <w:footnoteReference w:id="56"/>
      </w:r>
      <w:r>
        <w:t xml:space="preserve"> T</w:t>
      </w:r>
      <w:r w:rsidRPr="00B147A6">
        <w:t xml:space="preserve">he </w:t>
      </w:r>
      <w:r>
        <w:t>British Museum translates the scene on this papyrus as being a</w:t>
      </w:r>
      <w:r w:rsidRPr="0072683E">
        <w:t xml:space="preserve"> variant on the usual sc</w:t>
      </w:r>
      <w:r>
        <w:t>ene of the cosmos</w:t>
      </w:r>
      <w:r w:rsidRPr="0072683E">
        <w:t xml:space="preserve"> </w:t>
      </w:r>
      <w:r>
        <w:t>and identifies Nut and Geb on the right</w:t>
      </w:r>
      <w:r w:rsidRPr="00B147A6">
        <w:t>.</w:t>
      </w:r>
      <w:r w:rsidRPr="00B147A6">
        <w:rPr>
          <w:vertAlign w:val="superscript"/>
        </w:rPr>
        <w:footnoteReference w:id="57"/>
      </w:r>
      <w:r w:rsidRPr="00B147A6">
        <w:t xml:space="preserve"> </w:t>
      </w:r>
      <w:r>
        <w:t xml:space="preserve"> The museum then writes that</w:t>
      </w:r>
      <w:r w:rsidRPr="0072683E">
        <w:t xml:space="preserve"> the </w:t>
      </w:r>
      <w:r>
        <w:t>papyrus has the epithets `</w:t>
      </w:r>
      <w:r w:rsidRPr="0085688B">
        <w:t>Lady of the House, Chantress of Amun, High Priest of Amun</w:t>
      </w:r>
      <w:r>
        <w:t>` and</w:t>
      </w:r>
      <w:r w:rsidRPr="0085688B">
        <w:t xml:space="preserve"> </w:t>
      </w:r>
      <w:r>
        <w:t xml:space="preserve">appears to represent the </w:t>
      </w:r>
      <w:r w:rsidRPr="0072683E">
        <w:t>nig</w:t>
      </w:r>
      <w:r>
        <w:t>ht sky whilst there is also a</w:t>
      </w:r>
      <w:r w:rsidRPr="0072683E">
        <w:t xml:space="preserve"> </w:t>
      </w:r>
      <w:r>
        <w:t>`</w:t>
      </w:r>
      <w:r w:rsidRPr="0072683E">
        <w:t>male who is identif</w:t>
      </w:r>
      <w:r>
        <w:t>ied as "</w:t>
      </w:r>
      <w:r w:rsidRPr="0072683E">
        <w:t>Osiris Foremost of Westerners, maker of heaven, maker of ea</w:t>
      </w:r>
      <w:r>
        <w:t>rth, maker of the netherworld …"`</w:t>
      </w:r>
      <w:r>
        <w:rPr>
          <w:rStyle w:val="FootnoteReference"/>
        </w:rPr>
        <w:footnoteReference w:id="58"/>
      </w:r>
      <w:r>
        <w:t xml:space="preserve"> . Further inscriptions reveal that another figure is `"</w:t>
      </w:r>
      <w:r w:rsidRPr="0072683E">
        <w:t>Geb</w:t>
      </w:r>
      <w:r>
        <w:t>,</w:t>
      </w:r>
      <w:r w:rsidRPr="0072683E">
        <w:t xml:space="preserve"> father of the gods, the great god who made the earth and all that the sun encircles</w:t>
      </w:r>
      <w:r>
        <w:t>"`</w:t>
      </w:r>
      <w:r w:rsidRPr="0072683E">
        <w:t>.</w:t>
      </w:r>
      <w:r>
        <w:t xml:space="preserve"> It is assumed by the museum that </w:t>
      </w:r>
      <w:r w:rsidRPr="0072683E">
        <w:t>Osiris</w:t>
      </w:r>
      <w:r>
        <w:t>'</w:t>
      </w:r>
      <w:r w:rsidRPr="0072683E">
        <w:t xml:space="preserve"> ithyphallic </w:t>
      </w:r>
      <w:r>
        <w:t>pose intends to portray him as</w:t>
      </w:r>
      <w:r w:rsidRPr="0072683E">
        <w:t xml:space="preserve"> potent and resurrected, while Geb’s </w:t>
      </w:r>
      <w:r>
        <w:t>act of auto fellatio may be an intention</w:t>
      </w:r>
      <w:r w:rsidRPr="0072683E">
        <w:t xml:space="preserve"> </w:t>
      </w:r>
      <w:r>
        <w:t>to portray him</w:t>
      </w:r>
      <w:r w:rsidRPr="0072683E">
        <w:t xml:space="preserve"> as self-sustaining </w:t>
      </w:r>
      <w:r>
        <w:t xml:space="preserve">whilst also fertile. This concept can be likened to Atum, who, as an androgynous creator god is capable of masturbating the cosmos into existence, </w:t>
      </w:r>
      <w:r>
        <w:lastRenderedPageBreak/>
        <w:t>even though he is alone</w:t>
      </w:r>
      <w:r w:rsidRPr="0072683E">
        <w:t xml:space="preserve">. </w:t>
      </w:r>
      <w:r w:rsidRPr="00B147A6">
        <w:t xml:space="preserve">This late, rare and largely unmentioned papyrus </w:t>
      </w:r>
      <w:commentRangeStart w:id="34"/>
      <w:r w:rsidRPr="00B147A6">
        <w:t xml:space="preserve">demonstrates how </w:t>
      </w:r>
      <w:commentRangeEnd w:id="34"/>
      <w:r w:rsidR="00DE369A">
        <w:rPr>
          <w:rStyle w:val="CommentReference"/>
        </w:rPr>
        <w:commentReference w:id="34"/>
      </w:r>
      <w:r w:rsidRPr="00B147A6">
        <w:t>the core myth of a self-inseminating god survives</w:t>
      </w:r>
      <w:r>
        <w:t xml:space="preserve"> from the </w:t>
      </w:r>
      <w:commentRangeStart w:id="35"/>
      <w:r w:rsidRPr="005F405B">
        <w:rPr>
          <w:i/>
        </w:rPr>
        <w:t>Pyramid Texts</w:t>
      </w:r>
      <w:r>
        <w:t xml:space="preserve">. </w:t>
      </w:r>
      <w:commentRangeEnd w:id="35"/>
      <w:r w:rsidR="00DE369A">
        <w:rPr>
          <w:rStyle w:val="CommentReference"/>
        </w:rPr>
        <w:commentReference w:id="35"/>
      </w:r>
      <w:r>
        <w:t>According to</w:t>
      </w:r>
      <w:r w:rsidRPr="00B147A6">
        <w:t xml:space="preserve"> Pinch, Re could be shown as an aging ram headed figure in the underworld, before he is reborn again in the east.</w:t>
      </w:r>
      <w:r w:rsidRPr="00B147A6">
        <w:rPr>
          <w:vertAlign w:val="superscript"/>
        </w:rPr>
        <w:footnoteReference w:id="59"/>
      </w:r>
      <w:r w:rsidRPr="00B147A6">
        <w:t xml:space="preserve"> This figure c</w:t>
      </w:r>
      <w:r>
        <w:t>an be seen on the papyrus in a</w:t>
      </w:r>
      <w:r w:rsidRPr="00B147A6">
        <w:t xml:space="preserve"> sun disc</w:t>
      </w:r>
      <w:r>
        <w:t xml:space="preserve"> and it could be argued that</w:t>
      </w:r>
      <w:r w:rsidRPr="00B147A6">
        <w:t xml:space="preserve"> the old sun is being regenerated by the sexual activity around the phalluses.</w:t>
      </w:r>
      <w:r>
        <w:t xml:space="preserve"> The</w:t>
      </w:r>
      <w:r w:rsidRPr="00B147A6">
        <w:t xml:space="preserve"> papyrus has been dated to a relatively lat</w:t>
      </w:r>
      <w:r>
        <w:t>e period, but it uses symbolism from previous millennia to demonstrate</w:t>
      </w:r>
      <w:r w:rsidRPr="00B147A6">
        <w:t xml:space="preserve"> how the sun, sexuality and spiritual beliefs were entangled.</w:t>
      </w:r>
      <w:r>
        <w:t xml:space="preserve"> The three </w:t>
      </w:r>
      <w:r w:rsidRPr="00B147A6">
        <w:t>sun discs, along with the extremely exaggerated phalluses, give an overwhelming s</w:t>
      </w:r>
      <w:r>
        <w:t>ense of phallus and sun, hence phallic solarism, and t</w:t>
      </w:r>
      <w:r w:rsidRPr="00B147A6">
        <w:t xml:space="preserve">he message on this papyrus could be that, for </w:t>
      </w:r>
      <w:r>
        <w:t>the sun to be re-born,</w:t>
      </w:r>
      <w:r w:rsidRPr="00B147A6">
        <w:t xml:space="preserve"> sexual activity </w:t>
      </w:r>
      <w:r>
        <w:t>around a phallus i</w:t>
      </w:r>
      <w:r w:rsidRPr="00B147A6">
        <w:t xml:space="preserve">s needed. </w:t>
      </w:r>
      <w:r>
        <w:t xml:space="preserve">The British Museum state on their website that the motif of </w:t>
      </w:r>
      <w:r w:rsidRPr="0072683E">
        <w:t xml:space="preserve">Geb’s </w:t>
      </w:r>
      <w:r>
        <w:t xml:space="preserve">circular posture can be found in the astronomical ceiling of the temple of </w:t>
      </w:r>
      <w:r w:rsidRPr="0072683E">
        <w:t xml:space="preserve">Deir el-Haggar </w:t>
      </w:r>
      <w:r>
        <w:t xml:space="preserve">in the Dakhleh Oasis (Second Century AD) </w:t>
      </w:r>
      <w:commentRangeStart w:id="36"/>
      <w:r>
        <w:t xml:space="preserve">and a paper </w:t>
      </w:r>
      <w:commentRangeEnd w:id="36"/>
      <w:r w:rsidR="00D953C7">
        <w:rPr>
          <w:rStyle w:val="CommentReference"/>
        </w:rPr>
        <w:commentReference w:id="36"/>
      </w:r>
      <w:r>
        <w:t xml:space="preserve">on this astronomical ceiling also refers back to the British Museum's </w:t>
      </w:r>
      <w:r>
        <w:rPr>
          <w:i/>
        </w:rPr>
        <w:t>Book of the Dead of Henuttawy, sheet 2</w:t>
      </w:r>
      <w:r>
        <w:t>.</w:t>
      </w:r>
      <w:r>
        <w:rPr>
          <w:rStyle w:val="FootnoteReference"/>
        </w:rPr>
        <w:footnoteReference w:id="60"/>
      </w:r>
      <w:r>
        <w:t xml:space="preserve"> Olaf Kaper and the British Museum both argue that the androgynous nature of the Geb figures on the astronomical ceiling and in the </w:t>
      </w:r>
      <w:r w:rsidRPr="00CD71F6">
        <w:rPr>
          <w:i/>
        </w:rPr>
        <w:t xml:space="preserve">Book of Henuttawy, </w:t>
      </w:r>
      <w:r w:rsidRPr="00CD71F6">
        <w:rPr>
          <w:i/>
        </w:rPr>
        <w:lastRenderedPageBreak/>
        <w:t>sheet 2</w:t>
      </w:r>
      <w:r>
        <w:t xml:space="preserve"> is an indication of the god's</w:t>
      </w:r>
      <w:r w:rsidRPr="00193520">
        <w:t xml:space="preserve"> fertility</w:t>
      </w:r>
      <w:r>
        <w:t>.</w:t>
      </w:r>
      <w:r>
        <w:rPr>
          <w:rStyle w:val="FootnoteReference"/>
        </w:rPr>
        <w:footnoteReference w:id="61"/>
      </w:r>
      <w:r w:rsidRPr="00193520">
        <w:t xml:space="preserve"> It will be argued later that this emphasis on </w:t>
      </w:r>
      <w:r>
        <w:t>`</w:t>
      </w:r>
      <w:r w:rsidRPr="00193520">
        <w:t>fertility</w:t>
      </w:r>
      <w:r>
        <w:t>`</w:t>
      </w:r>
      <w:r w:rsidRPr="00193520">
        <w:t xml:space="preserve"> finds a resonance with the Christian material.</w:t>
      </w:r>
      <w:r>
        <w:t xml:space="preserve"> Kaper suggests that Geb's circular embrace in the temple at Deir el-Haggar is a close association with the sun's orbit, since he reaches out to the horizon where he touches the sun.</w:t>
      </w:r>
      <w:r>
        <w:rPr>
          <w:rStyle w:val="FootnoteReference"/>
        </w:rPr>
        <w:footnoteReference w:id="62"/>
      </w:r>
      <w:r>
        <w:t xml:space="preserve"> It is not unreasonable to note that the image of Geb in a circular shape with his phallus in his mouth might also be compared to the </w:t>
      </w:r>
      <w:r w:rsidRPr="0048191D">
        <w:t>ouroboros-serpent</w:t>
      </w:r>
      <w:r>
        <w:t xml:space="preserve"> which first appears in the art of on the second golden shrine of the tomb of Tutankhamun (1333 – 1325BCE). The ouroboros, a snake called Mehen with its tail in its mouth, is to be seen </w:t>
      </w:r>
      <w:r w:rsidRPr="0048191D">
        <w:t>around the h</w:t>
      </w:r>
      <w:r>
        <w:t>ead and feet of a</w:t>
      </w:r>
      <w:r w:rsidRPr="0048191D">
        <w:t xml:space="preserve"> </w:t>
      </w:r>
      <w:r>
        <w:t>giant mummiform image of Re-Osiris on the second golden shrine and is from a time of union between Re and Osiris, in which Re and Osiris join as one at the end of the nocturnal journey ready to rise as one in the east.</w:t>
      </w:r>
      <w:r>
        <w:rPr>
          <w:rStyle w:val="FootnoteReference"/>
        </w:rPr>
        <w:footnoteReference w:id="63"/>
      </w:r>
      <w:r>
        <w:t xml:space="preserve"> According to Hornung the entire figure of Re-Osiris with its solar disc, solar ba and the two ouroboros' refers to the beginning and the end of time.</w:t>
      </w:r>
      <w:r>
        <w:rPr>
          <w:rStyle w:val="FootnoteReference"/>
        </w:rPr>
        <w:footnoteReference w:id="64"/>
      </w:r>
      <w:r>
        <w:t xml:space="preserve"> Considering the large presence of sun symbolism in this </w:t>
      </w:r>
      <w:r w:rsidR="00834B60">
        <w:t>art, I argue</w:t>
      </w:r>
      <w:r>
        <w:t xml:space="preserve"> that the sun is heavily implicated in this scene and therefore that the ouroboros with its circular disc shape and tail-to-mouth pose is part of that. Hornung records that section B of this second shrine of </w:t>
      </w:r>
      <w:r w:rsidRPr="003F3565">
        <w:t>Tutankhamun</w:t>
      </w:r>
      <w:r>
        <w:t xml:space="preserve"> is all about rays of light and what it does to their figures,</w:t>
      </w:r>
      <w:r w:rsidRPr="00193520">
        <w:t xml:space="preserve"> he says `…the light of Re enters their bodies</w:t>
      </w:r>
      <w:proofErr w:type="gramStart"/>
      <w:r w:rsidRPr="00193520">
        <w:t>.`</w:t>
      </w:r>
      <w:proofErr w:type="gramEnd"/>
      <w:r w:rsidRPr="00193520">
        <w:t xml:space="preserve"> and </w:t>
      </w:r>
      <w:r w:rsidRPr="00193520">
        <w:lastRenderedPageBreak/>
        <w:t>elsewhere `…light pours directly into their bodies…`</w:t>
      </w:r>
      <w:r>
        <w:rPr>
          <w:rStyle w:val="FootnoteReference"/>
        </w:rPr>
        <w:footnoteReference w:id="65"/>
      </w:r>
      <w:r>
        <w:t xml:space="preserve"> With regard to the beginning and end of time, there is a resonance with Geb or Atum who can create themselves and also a re-setting of time that will be examined in the </w:t>
      </w:r>
      <w:r w:rsidRPr="005F405B">
        <w:rPr>
          <w:i/>
        </w:rPr>
        <w:t>Derveni Papyrus</w:t>
      </w:r>
      <w:r>
        <w:t xml:space="preserve">. Hornung believes that the role of </w:t>
      </w:r>
      <w:r w:rsidR="001E5729">
        <w:t>sunlight</w:t>
      </w:r>
      <w:r>
        <w:t xml:space="preserve"> in the realm of the dead is at its height here and attributes that to the legacy of King Akhenaten's religion of light.</w:t>
      </w:r>
      <w:r>
        <w:rPr>
          <w:rStyle w:val="FootnoteReference"/>
        </w:rPr>
        <w:footnoteReference w:id="66"/>
      </w:r>
    </w:p>
    <w:p w14:paraId="70511287" w14:textId="77777777" w:rsidR="00A97456" w:rsidRDefault="00A97456" w:rsidP="003B1489">
      <w:pPr>
        <w:spacing w:line="360" w:lineRule="auto"/>
      </w:pPr>
    </w:p>
    <w:p w14:paraId="7140B343" w14:textId="77777777" w:rsidR="00A97456" w:rsidRPr="00B147A6" w:rsidRDefault="00A97456" w:rsidP="003B1489">
      <w:pPr>
        <w:spacing w:line="360" w:lineRule="auto"/>
      </w:pPr>
      <w:r>
        <w:t>Returning now to</w:t>
      </w:r>
      <w:r w:rsidRPr="00B147A6">
        <w:t xml:space="preserve"> evidence of</w:t>
      </w:r>
      <w:r>
        <w:t xml:space="preserve"> more overt phallism, I shall examine the</w:t>
      </w:r>
      <w:r w:rsidRPr="00B147A6">
        <w:t xml:space="preserve"> veneration of a deity</w:t>
      </w:r>
      <w:r>
        <w:t xml:space="preserve"> called Min</w:t>
      </w:r>
      <w:r w:rsidRPr="00B147A6">
        <w:t>. Egyptian wall reliefs and hieroglyphs contain images of a few gods with erect phalluses, but Min is the most well-known and the oldest, with roots going back into prehistory.</w:t>
      </w:r>
      <w:r w:rsidRPr="00B147A6">
        <w:rPr>
          <w:vertAlign w:val="superscript"/>
        </w:rPr>
        <w:footnoteReference w:id="67"/>
      </w:r>
      <w:r w:rsidRPr="00B147A6">
        <w:rPr>
          <w:color w:val="FF0000"/>
        </w:rPr>
        <w:t xml:space="preserve"> </w:t>
      </w:r>
      <w:r w:rsidRPr="00B147A6">
        <w:t xml:space="preserve">Min is mentioned briefly in the Old Kingdom’s </w:t>
      </w:r>
      <w:r w:rsidRPr="005F405B">
        <w:rPr>
          <w:i/>
        </w:rPr>
        <w:t>Pyramid Texts</w:t>
      </w:r>
      <w:r w:rsidRPr="00B147A6">
        <w:t>, but still given a nationally recognised high status and we are also told that the deceased king should be `…as Min foremost of the body of the Ennead`.</w:t>
      </w:r>
      <w:r w:rsidRPr="00B147A6">
        <w:rPr>
          <w:vertAlign w:val="superscript"/>
        </w:rPr>
        <w:footnoteReference w:id="68"/>
      </w:r>
      <w:r w:rsidRPr="00B147A6">
        <w:t xml:space="preserve">  In its context, this perhaps means that Min was literally the foremost of the </w:t>
      </w:r>
      <w:commentRangeStart w:id="37"/>
      <w:r w:rsidRPr="00B147A6">
        <w:t xml:space="preserve">Ennead in matters </w:t>
      </w:r>
      <w:commentRangeEnd w:id="37"/>
      <w:r w:rsidR="001775F9">
        <w:rPr>
          <w:rStyle w:val="CommentReference"/>
        </w:rPr>
        <w:commentReference w:id="37"/>
      </w:r>
      <w:r w:rsidRPr="00B147A6">
        <w:t xml:space="preserve">of the body. </w:t>
      </w:r>
      <w:r w:rsidR="009B3118">
        <w:t xml:space="preserve">Greek historian </w:t>
      </w:r>
      <w:r w:rsidRPr="00B147A6">
        <w:t xml:space="preserve">Herodotus </w:t>
      </w:r>
      <w:r w:rsidR="00834B60">
        <w:t xml:space="preserve">(484-425BCE) </w:t>
      </w:r>
      <w:r w:rsidRPr="00B147A6">
        <w:t xml:space="preserve">says that Min (called Pan by him) was a very ancient and one </w:t>
      </w:r>
      <w:commentRangeStart w:id="38"/>
      <w:r w:rsidRPr="00B147A6">
        <w:t xml:space="preserve">of the </w:t>
      </w:r>
      <w:proofErr w:type="gramStart"/>
      <w:r w:rsidRPr="00B147A6">
        <w:t>Eight</w:t>
      </w:r>
      <w:proofErr w:type="gramEnd"/>
      <w:r w:rsidRPr="00B147A6">
        <w:t xml:space="preserve"> gods</w:t>
      </w:r>
      <w:commentRangeEnd w:id="38"/>
      <w:r w:rsidR="001775F9">
        <w:rPr>
          <w:rStyle w:val="CommentReference"/>
        </w:rPr>
        <w:commentReference w:id="38"/>
      </w:r>
      <w:r w:rsidRPr="00B147A6">
        <w:t>.</w:t>
      </w:r>
      <w:r w:rsidRPr="00B147A6">
        <w:rPr>
          <w:vertAlign w:val="superscript"/>
        </w:rPr>
        <w:footnoteReference w:id="69"/>
      </w:r>
      <w:r w:rsidRPr="00B147A6">
        <w:t xml:space="preserve"> From the Twelfth Dynasty (Middle Kingdom, 2000–1773 BCE) there is evidence that his role had evolved, for Kamutef became the Theban </w:t>
      </w:r>
      <w:r w:rsidRPr="00B147A6">
        <w:lastRenderedPageBreak/>
        <w:t>version of Min.</w:t>
      </w:r>
      <w:r w:rsidRPr="00B147A6">
        <w:rPr>
          <w:vertAlign w:val="superscript"/>
        </w:rPr>
        <w:footnoteReference w:id="70"/>
      </w:r>
      <w:r w:rsidRPr="00B147A6">
        <w:t xml:space="preserve"> Lenny Bell comments that Kamutef was `the First Principle and Creator of the world` and `bull of his mother` which describes how he begat himself by impregnating his cow-mother in an endless cycle of re-birth.</w:t>
      </w:r>
      <w:r w:rsidRPr="00B147A6">
        <w:rPr>
          <w:vertAlign w:val="superscript"/>
        </w:rPr>
        <w:footnoteReference w:id="71"/>
      </w:r>
      <w:r>
        <w:t xml:space="preserve"> </w:t>
      </w:r>
      <w:r w:rsidRPr="00B147A6">
        <w:t xml:space="preserve">Wilkinson tells us that </w:t>
      </w:r>
    </w:p>
    <w:p w14:paraId="5A29F2AC" w14:textId="77777777" w:rsidR="00A97456" w:rsidRPr="00B147A6" w:rsidRDefault="00A97456" w:rsidP="003B1489">
      <w:pPr>
        <w:spacing w:line="360" w:lineRule="auto"/>
      </w:pPr>
    </w:p>
    <w:p w14:paraId="164F8887" w14:textId="77777777" w:rsidR="00A97456" w:rsidRPr="00B147A6" w:rsidRDefault="00A97456" w:rsidP="003B1489">
      <w:pPr>
        <w:spacing w:line="360" w:lineRule="auto"/>
        <w:ind w:left="720"/>
      </w:pPr>
      <w:r w:rsidRPr="00B147A6">
        <w:t>From the 12</w:t>
      </w:r>
      <w:r w:rsidRPr="00B147A6">
        <w:rPr>
          <w:vertAlign w:val="superscript"/>
        </w:rPr>
        <w:t>th</w:t>
      </w:r>
      <w:r w:rsidRPr="00B147A6">
        <w:t xml:space="preserve"> Dynasty, Amun kamutef… was the ithyphallic form of Amun depicted in ritual scenes in the temple of Thebes and especially Luxor Temple….. Amun was related to the fertility god Min…. an</w:t>
      </w:r>
      <w:r>
        <w:t>d is sometimes called Amun-Min.</w:t>
      </w:r>
      <w:r w:rsidRPr="00B147A6">
        <w:rPr>
          <w:vertAlign w:val="superscript"/>
        </w:rPr>
        <w:footnoteReference w:id="72"/>
      </w:r>
    </w:p>
    <w:p w14:paraId="043566EF" w14:textId="77777777" w:rsidR="00A97456" w:rsidRPr="00B147A6" w:rsidRDefault="00A97456" w:rsidP="003B1489">
      <w:pPr>
        <w:spacing w:line="360" w:lineRule="auto"/>
      </w:pPr>
    </w:p>
    <w:p w14:paraId="0FBA81AB" w14:textId="77777777" w:rsidR="00A97456" w:rsidRPr="00B147A6" w:rsidRDefault="00A97456" w:rsidP="003B1489">
      <w:pPr>
        <w:spacing w:line="360" w:lineRule="auto"/>
      </w:pPr>
      <w:r w:rsidRPr="00B147A6">
        <w:t>Bell says:</w:t>
      </w:r>
    </w:p>
    <w:p w14:paraId="010D425C" w14:textId="77777777" w:rsidR="00A97456" w:rsidRPr="00B147A6" w:rsidRDefault="00A97456" w:rsidP="003B1489">
      <w:pPr>
        <w:spacing w:line="360" w:lineRule="auto"/>
      </w:pPr>
    </w:p>
    <w:p w14:paraId="74B7709A" w14:textId="77777777" w:rsidR="00A97456" w:rsidRPr="00B147A6" w:rsidRDefault="00A97456" w:rsidP="003B1489">
      <w:pPr>
        <w:spacing w:line="360" w:lineRule="auto"/>
        <w:ind w:left="720"/>
      </w:pPr>
      <w:r w:rsidRPr="00B147A6">
        <w:t>[Kamutef] is the manifestation of Amun as the Theban Min, the physical creator of the gods (at Medinet Habu) and of the king and his ka (at L</w:t>
      </w:r>
      <w:r>
        <w:t>uxor); in him are united both A</w:t>
      </w:r>
      <w:r w:rsidRPr="00B147A6">
        <w:t>m</w:t>
      </w:r>
      <w:r>
        <w:t>u</w:t>
      </w:r>
      <w:r w:rsidRPr="00B147A6">
        <w:t>n-Ra of Karnak and the Amun of Luxor. He is a self-generating fertility god, representing both father and son at the same time, mysteriously reborn of a union with his wife, who is thus really his own mother.  This powerful imagery in Egyptian thought represents the concept of eternity or immortality….</w:t>
      </w:r>
      <w:r w:rsidRPr="00B147A6">
        <w:rPr>
          <w:vertAlign w:val="superscript"/>
        </w:rPr>
        <w:footnoteReference w:id="73"/>
      </w:r>
      <w:r w:rsidRPr="00B147A6">
        <w:t xml:space="preserve"> </w:t>
      </w:r>
    </w:p>
    <w:p w14:paraId="3C67B217" w14:textId="77777777" w:rsidR="00A97456" w:rsidRPr="00B147A6" w:rsidRDefault="00A97456" w:rsidP="003B1489">
      <w:pPr>
        <w:spacing w:line="360" w:lineRule="auto"/>
      </w:pPr>
    </w:p>
    <w:p w14:paraId="7128022E" w14:textId="77777777" w:rsidR="00A97456" w:rsidRPr="00B147A6" w:rsidRDefault="00A97456" w:rsidP="003B1489">
      <w:pPr>
        <w:spacing w:line="360" w:lineRule="auto"/>
      </w:pPr>
      <w:r>
        <w:lastRenderedPageBreak/>
        <w:t>Hornblower</w:t>
      </w:r>
      <w:r w:rsidRPr="00B147A6">
        <w:t xml:space="preserve"> argues that Min was connected with the king in a special manner `since the rites of royal enthronement and of Min’s festival conjoined` and points to the wall reliefs of Nine</w:t>
      </w:r>
      <w:r>
        <w:t>teenth Dynasty (1295 – 1186 BCE)</w:t>
      </w:r>
      <w:r w:rsidRPr="00B147A6">
        <w:t xml:space="preserve"> and Twe</w:t>
      </w:r>
      <w:r>
        <w:t>ntieth Dynasty (1186 – 1069 BCE)</w:t>
      </w:r>
      <w:r w:rsidRPr="00B147A6">
        <w:t xml:space="preserve"> temples.</w:t>
      </w:r>
      <w:r w:rsidRPr="00B147A6">
        <w:rPr>
          <w:vertAlign w:val="superscript"/>
        </w:rPr>
        <w:footnoteReference w:id="74"/>
      </w:r>
      <w:r w:rsidRPr="00B147A6">
        <w:t xml:space="preserve"> </w:t>
      </w:r>
    </w:p>
    <w:p w14:paraId="26E89925" w14:textId="77777777" w:rsidR="00A97456" w:rsidRPr="00B147A6" w:rsidRDefault="00A97456" w:rsidP="003B1489">
      <w:pPr>
        <w:spacing w:line="360" w:lineRule="auto"/>
      </w:pPr>
    </w:p>
    <w:p w14:paraId="4447F2CA" w14:textId="77777777" w:rsidR="00A97456" w:rsidRPr="00B147A6" w:rsidRDefault="00A97456" w:rsidP="003B1489">
      <w:pPr>
        <w:spacing w:line="360" w:lineRule="auto"/>
      </w:pPr>
      <w:r w:rsidRPr="00B147A6">
        <w:t>Hornblower further speculates that Min’s greatest virtue was a protagonist in the national fertility rites that were at least present in those dynasties mentioned, and that Min had the care of the king’s libido and physical vigour.</w:t>
      </w:r>
      <w:r w:rsidRPr="00B147A6">
        <w:rPr>
          <w:vertAlign w:val="superscript"/>
        </w:rPr>
        <w:footnoteReference w:id="75"/>
      </w:r>
      <w:r w:rsidRPr="00B147A6">
        <w:t xml:space="preserve"> Bell describes how Luxor temple was the national temple dedicated to the symbolic renewal and re-enactment of the divine conception and birth of the Royal Ka as it resides in the current king during an annual festival.</w:t>
      </w:r>
      <w:r w:rsidRPr="00B147A6">
        <w:rPr>
          <w:vertAlign w:val="superscript"/>
        </w:rPr>
        <w:footnoteReference w:id="76"/>
      </w:r>
      <w:r w:rsidRPr="00B147A6">
        <w:t xml:space="preserve"> Or in other words, it is the shrine to celebrate renewal, re-conception and re-birth.  I have taken </w:t>
      </w:r>
      <w:r>
        <w:t>a number of photographs of Amun/</w:t>
      </w:r>
      <w:r w:rsidRPr="00B147A6">
        <w:t>Kamutef</w:t>
      </w:r>
      <w:r>
        <w:t>/Min</w:t>
      </w:r>
      <w:r w:rsidRPr="00B147A6">
        <w:t xml:space="preserve"> at Luxor Temple and these can be seen in Figures 4 – 9.</w:t>
      </w:r>
    </w:p>
    <w:p w14:paraId="1739FAC3" w14:textId="77777777" w:rsidR="00A97456" w:rsidRPr="00B147A6" w:rsidRDefault="00A97456" w:rsidP="003B1489">
      <w:pPr>
        <w:spacing w:line="360" w:lineRule="auto"/>
      </w:pPr>
    </w:p>
    <w:p w14:paraId="2655DA57" w14:textId="77777777" w:rsidR="00A97456" w:rsidRPr="00B147A6" w:rsidRDefault="00A97456" w:rsidP="003B1489">
      <w:pPr>
        <w:keepNext/>
        <w:spacing w:line="360" w:lineRule="auto"/>
      </w:pPr>
      <w:r w:rsidRPr="00B147A6">
        <w:rPr>
          <w:noProof/>
          <w:lang w:eastAsia="en-GB"/>
        </w:rPr>
        <w:drawing>
          <wp:inline distT="0" distB="0" distL="0" distR="0" wp14:anchorId="5393099F" wp14:editId="4AE50675">
            <wp:extent cx="2707005" cy="20300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7005" cy="2030095"/>
                    </a:xfrm>
                    <a:prstGeom prst="rect">
                      <a:avLst/>
                    </a:prstGeom>
                    <a:noFill/>
                  </pic:spPr>
                </pic:pic>
              </a:graphicData>
            </a:graphic>
          </wp:inline>
        </w:drawing>
      </w:r>
    </w:p>
    <w:p w14:paraId="46A60ABB" w14:textId="77777777" w:rsidR="00A97456" w:rsidRPr="00492046" w:rsidRDefault="00A97456" w:rsidP="003B1489">
      <w:pPr>
        <w:spacing w:after="200" w:line="360" w:lineRule="auto"/>
        <w:rPr>
          <w:rFonts w:ascii="Arial" w:hAnsi="Arial" w:cs="Arial"/>
          <w:bCs/>
          <w:sz w:val="18"/>
          <w:szCs w:val="18"/>
        </w:rPr>
      </w:pPr>
      <w:bookmarkStart w:id="39" w:name="_Toc398116773"/>
      <w:bookmarkStart w:id="40" w:name="_Toc398124161"/>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4</w:t>
      </w:r>
      <w:r w:rsidRPr="00492046">
        <w:rPr>
          <w:rFonts w:ascii="Arial" w:hAnsi="Arial" w:cs="Arial"/>
          <w:bCs/>
          <w:noProof/>
          <w:sz w:val="18"/>
          <w:szCs w:val="18"/>
        </w:rPr>
        <w:fldChar w:fldCharType="end"/>
      </w:r>
      <w:r w:rsidRPr="00492046">
        <w:rPr>
          <w:rFonts w:ascii="Arial" w:hAnsi="Arial" w:cs="Arial"/>
          <w:bCs/>
          <w:sz w:val="18"/>
          <w:szCs w:val="18"/>
        </w:rPr>
        <w:t xml:space="preserve">. Luxor Temple, March 2005. </w:t>
      </w:r>
      <w:r w:rsidRPr="00492046">
        <w:rPr>
          <w:rFonts w:ascii="Arial" w:hAnsi="Arial" w:cs="Arial"/>
          <w:bCs/>
          <w:i/>
          <w:sz w:val="18"/>
          <w:szCs w:val="18"/>
        </w:rPr>
        <w:t>Image</w:t>
      </w:r>
      <w:r w:rsidRPr="00492046">
        <w:rPr>
          <w:rFonts w:ascii="Arial" w:hAnsi="Arial" w:cs="Arial"/>
          <w:bCs/>
          <w:sz w:val="18"/>
          <w:szCs w:val="18"/>
        </w:rPr>
        <w:t>: Alison Chester-Lambert.</w:t>
      </w:r>
      <w:bookmarkEnd w:id="39"/>
      <w:bookmarkEnd w:id="40"/>
    </w:p>
    <w:p w14:paraId="6AF67A94" w14:textId="77777777" w:rsidR="00A97456" w:rsidRPr="00B147A6" w:rsidRDefault="00A97456" w:rsidP="003B1489">
      <w:pPr>
        <w:keepNext/>
        <w:spacing w:line="360" w:lineRule="auto"/>
      </w:pPr>
      <w:r w:rsidRPr="00B147A6">
        <w:lastRenderedPageBreak/>
        <w:t xml:space="preserve">  </w:t>
      </w:r>
      <w:r w:rsidRPr="00B147A6">
        <w:rPr>
          <w:noProof/>
          <w:lang w:eastAsia="en-GB"/>
        </w:rPr>
        <w:drawing>
          <wp:inline distT="0" distB="0" distL="0" distR="0" wp14:anchorId="4F358D58" wp14:editId="547C56D0">
            <wp:extent cx="2363638" cy="20049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 Luxor Temple 2006 Alison Chester-Lambert 05z.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4456" cy="2005647"/>
                    </a:xfrm>
                    <a:prstGeom prst="rect">
                      <a:avLst/>
                    </a:prstGeom>
                  </pic:spPr>
                </pic:pic>
              </a:graphicData>
            </a:graphic>
          </wp:inline>
        </w:drawing>
      </w:r>
    </w:p>
    <w:p w14:paraId="0CC96705" w14:textId="77777777" w:rsidR="00A97456" w:rsidRPr="00492046" w:rsidRDefault="00A97456" w:rsidP="003B1489">
      <w:pPr>
        <w:spacing w:after="200" w:line="360" w:lineRule="auto"/>
        <w:rPr>
          <w:rFonts w:ascii="Arial" w:hAnsi="Arial" w:cs="Arial"/>
          <w:bCs/>
          <w:sz w:val="18"/>
          <w:szCs w:val="18"/>
        </w:rPr>
      </w:pPr>
      <w:bookmarkStart w:id="41" w:name="_Toc398116774"/>
      <w:bookmarkStart w:id="42" w:name="_Toc398124162"/>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5</w:t>
      </w:r>
      <w:r w:rsidRPr="00492046">
        <w:rPr>
          <w:rFonts w:ascii="Arial" w:hAnsi="Arial" w:cs="Arial"/>
          <w:bCs/>
          <w:noProof/>
          <w:sz w:val="18"/>
          <w:szCs w:val="18"/>
        </w:rPr>
        <w:fldChar w:fldCharType="end"/>
      </w:r>
      <w:r w:rsidRPr="00492046">
        <w:rPr>
          <w:rFonts w:ascii="Arial" w:hAnsi="Arial" w:cs="Arial"/>
          <w:bCs/>
          <w:sz w:val="18"/>
          <w:szCs w:val="18"/>
        </w:rPr>
        <w:t xml:space="preserve">. Luxor Temple, March 2005. </w:t>
      </w:r>
      <w:r w:rsidRPr="00492046">
        <w:rPr>
          <w:rFonts w:ascii="Arial" w:hAnsi="Arial" w:cs="Arial"/>
          <w:bCs/>
          <w:i/>
          <w:sz w:val="18"/>
          <w:szCs w:val="18"/>
        </w:rPr>
        <w:t>Image</w:t>
      </w:r>
      <w:r w:rsidRPr="00492046">
        <w:rPr>
          <w:rFonts w:ascii="Arial" w:hAnsi="Arial" w:cs="Arial"/>
          <w:bCs/>
          <w:sz w:val="18"/>
          <w:szCs w:val="18"/>
        </w:rPr>
        <w:t>: Alison Chester-Lambert.</w:t>
      </w:r>
      <w:bookmarkEnd w:id="41"/>
      <w:bookmarkEnd w:id="42"/>
    </w:p>
    <w:p w14:paraId="2581E9FC" w14:textId="77777777" w:rsidR="00A97456" w:rsidRPr="00B147A6" w:rsidRDefault="00A97456" w:rsidP="003B1489">
      <w:pPr>
        <w:spacing w:after="200" w:line="360" w:lineRule="auto"/>
        <w:rPr>
          <w:b/>
          <w:bCs/>
          <w:color w:val="4F81BD" w:themeColor="accent1"/>
          <w:sz w:val="18"/>
          <w:szCs w:val="18"/>
        </w:rPr>
      </w:pPr>
    </w:p>
    <w:p w14:paraId="03FA20BF" w14:textId="77777777" w:rsidR="00A97456" w:rsidRPr="00B147A6" w:rsidRDefault="00A97456" w:rsidP="003B1489">
      <w:pPr>
        <w:spacing w:line="360" w:lineRule="auto"/>
      </w:pPr>
    </w:p>
    <w:p w14:paraId="2DC6FBB5" w14:textId="77777777" w:rsidR="00A97456" w:rsidRPr="00B147A6" w:rsidRDefault="00A97456" w:rsidP="003B1489">
      <w:pPr>
        <w:keepNext/>
        <w:spacing w:line="360" w:lineRule="auto"/>
      </w:pPr>
      <w:r w:rsidRPr="00B147A6">
        <w:rPr>
          <w:noProof/>
          <w:lang w:eastAsia="en-GB"/>
        </w:rPr>
        <w:drawing>
          <wp:inline distT="0" distB="0" distL="0" distR="0" wp14:anchorId="411B4E57" wp14:editId="4F994535">
            <wp:extent cx="1475105" cy="32372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5105" cy="3237230"/>
                    </a:xfrm>
                    <a:prstGeom prst="rect">
                      <a:avLst/>
                    </a:prstGeom>
                    <a:noFill/>
                  </pic:spPr>
                </pic:pic>
              </a:graphicData>
            </a:graphic>
          </wp:inline>
        </w:drawing>
      </w:r>
    </w:p>
    <w:p w14:paraId="45B30AB2" w14:textId="77777777" w:rsidR="00A97456" w:rsidRPr="00492046" w:rsidRDefault="00A97456" w:rsidP="003B1489">
      <w:pPr>
        <w:spacing w:after="200" w:line="360" w:lineRule="auto"/>
        <w:rPr>
          <w:rFonts w:ascii="Arial" w:hAnsi="Arial" w:cs="Arial"/>
          <w:bCs/>
          <w:sz w:val="18"/>
          <w:szCs w:val="18"/>
        </w:rPr>
      </w:pPr>
      <w:bookmarkStart w:id="43" w:name="_Toc398116775"/>
      <w:bookmarkStart w:id="44" w:name="_Toc398124163"/>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6</w:t>
      </w:r>
      <w:r w:rsidRPr="00492046">
        <w:rPr>
          <w:rFonts w:ascii="Arial" w:hAnsi="Arial" w:cs="Arial"/>
          <w:bCs/>
          <w:noProof/>
          <w:sz w:val="18"/>
          <w:szCs w:val="18"/>
        </w:rPr>
        <w:fldChar w:fldCharType="end"/>
      </w:r>
      <w:r w:rsidRPr="00492046">
        <w:rPr>
          <w:rFonts w:ascii="Arial" w:hAnsi="Arial" w:cs="Arial"/>
          <w:bCs/>
          <w:sz w:val="18"/>
          <w:szCs w:val="18"/>
        </w:rPr>
        <w:t xml:space="preserve">. Luxor Temple, March 2005. </w:t>
      </w:r>
      <w:r w:rsidRPr="00492046">
        <w:rPr>
          <w:rFonts w:ascii="Arial" w:hAnsi="Arial" w:cs="Arial"/>
          <w:bCs/>
          <w:i/>
          <w:sz w:val="18"/>
          <w:szCs w:val="18"/>
        </w:rPr>
        <w:t>Image</w:t>
      </w:r>
      <w:r w:rsidRPr="00492046">
        <w:rPr>
          <w:rFonts w:ascii="Arial" w:hAnsi="Arial" w:cs="Arial"/>
          <w:bCs/>
          <w:sz w:val="18"/>
          <w:szCs w:val="18"/>
        </w:rPr>
        <w:t>: Alison Chester-Lambert.</w:t>
      </w:r>
      <w:bookmarkEnd w:id="43"/>
      <w:bookmarkEnd w:id="44"/>
    </w:p>
    <w:p w14:paraId="00AE347F" w14:textId="77777777" w:rsidR="00A97456" w:rsidRPr="00B147A6" w:rsidRDefault="00A97456" w:rsidP="003B1489">
      <w:pPr>
        <w:spacing w:after="200" w:line="360" w:lineRule="auto"/>
        <w:rPr>
          <w:b/>
          <w:bCs/>
          <w:color w:val="4F81BD" w:themeColor="accent1"/>
          <w:sz w:val="18"/>
          <w:szCs w:val="18"/>
        </w:rPr>
      </w:pPr>
    </w:p>
    <w:p w14:paraId="362099D8" w14:textId="77777777" w:rsidR="00A97456" w:rsidRPr="00B147A6" w:rsidRDefault="00A97456" w:rsidP="003B1489">
      <w:pPr>
        <w:keepNext/>
        <w:spacing w:line="360" w:lineRule="auto"/>
      </w:pPr>
      <w:r w:rsidRPr="00B147A6">
        <w:lastRenderedPageBreak/>
        <w:t xml:space="preserve">  </w:t>
      </w:r>
      <w:r w:rsidRPr="00B147A6">
        <w:rPr>
          <w:noProof/>
          <w:lang w:eastAsia="en-GB"/>
        </w:rPr>
        <w:drawing>
          <wp:inline distT="0" distB="0" distL="0" distR="0" wp14:anchorId="4600E7C8" wp14:editId="2BC8C238">
            <wp:extent cx="1865630" cy="2627630"/>
            <wp:effectExtent l="0" t="0" r="127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5630" cy="2627630"/>
                    </a:xfrm>
                    <a:prstGeom prst="rect">
                      <a:avLst/>
                    </a:prstGeom>
                    <a:noFill/>
                  </pic:spPr>
                </pic:pic>
              </a:graphicData>
            </a:graphic>
          </wp:inline>
        </w:drawing>
      </w:r>
    </w:p>
    <w:p w14:paraId="1BBAC5AB" w14:textId="77777777" w:rsidR="00A97456" w:rsidRPr="00492046" w:rsidRDefault="00A97456" w:rsidP="003B1489">
      <w:pPr>
        <w:spacing w:after="200" w:line="360" w:lineRule="auto"/>
        <w:rPr>
          <w:rFonts w:ascii="Arial" w:hAnsi="Arial" w:cs="Arial"/>
          <w:bCs/>
          <w:sz w:val="18"/>
          <w:szCs w:val="18"/>
        </w:rPr>
      </w:pPr>
      <w:bookmarkStart w:id="45" w:name="_Toc398116776"/>
      <w:bookmarkStart w:id="46" w:name="_Toc398124164"/>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7</w:t>
      </w:r>
      <w:r w:rsidRPr="00492046">
        <w:rPr>
          <w:rFonts w:ascii="Arial" w:hAnsi="Arial" w:cs="Arial"/>
          <w:bCs/>
          <w:noProof/>
          <w:sz w:val="18"/>
          <w:szCs w:val="18"/>
        </w:rPr>
        <w:fldChar w:fldCharType="end"/>
      </w:r>
      <w:r w:rsidRPr="00492046">
        <w:rPr>
          <w:rFonts w:ascii="Arial" w:hAnsi="Arial" w:cs="Arial"/>
          <w:bCs/>
          <w:sz w:val="18"/>
          <w:szCs w:val="18"/>
        </w:rPr>
        <w:t xml:space="preserve">. Luxor Temple, March 2005. </w:t>
      </w:r>
      <w:r w:rsidRPr="00492046">
        <w:rPr>
          <w:rFonts w:ascii="Arial" w:hAnsi="Arial" w:cs="Arial"/>
          <w:bCs/>
          <w:i/>
          <w:sz w:val="18"/>
          <w:szCs w:val="18"/>
        </w:rPr>
        <w:t>Image</w:t>
      </w:r>
      <w:r w:rsidRPr="00492046">
        <w:rPr>
          <w:rFonts w:ascii="Arial" w:hAnsi="Arial" w:cs="Arial"/>
          <w:bCs/>
          <w:sz w:val="18"/>
          <w:szCs w:val="18"/>
        </w:rPr>
        <w:t>: Alison Chester-Lambert.</w:t>
      </w:r>
      <w:bookmarkEnd w:id="45"/>
      <w:bookmarkEnd w:id="46"/>
    </w:p>
    <w:p w14:paraId="673DFA06" w14:textId="77777777" w:rsidR="00A97456" w:rsidRPr="00B147A6" w:rsidRDefault="00A97456" w:rsidP="003B1489">
      <w:pPr>
        <w:spacing w:after="200" w:line="360" w:lineRule="auto"/>
        <w:rPr>
          <w:b/>
          <w:bCs/>
          <w:color w:val="4F81BD" w:themeColor="accent1"/>
          <w:sz w:val="18"/>
          <w:szCs w:val="18"/>
        </w:rPr>
      </w:pPr>
    </w:p>
    <w:p w14:paraId="4FADAE44" w14:textId="77777777" w:rsidR="00A97456" w:rsidRPr="00B147A6" w:rsidRDefault="00A97456" w:rsidP="003B1489">
      <w:pPr>
        <w:spacing w:line="360" w:lineRule="auto"/>
      </w:pPr>
    </w:p>
    <w:p w14:paraId="55034ABB" w14:textId="77777777" w:rsidR="00A97456" w:rsidRPr="00B147A6" w:rsidRDefault="00A97456" w:rsidP="003B1489">
      <w:pPr>
        <w:keepNext/>
        <w:spacing w:line="360" w:lineRule="auto"/>
      </w:pPr>
      <w:r w:rsidRPr="00B147A6">
        <w:rPr>
          <w:noProof/>
          <w:lang w:eastAsia="en-GB"/>
        </w:rPr>
        <w:drawing>
          <wp:inline distT="0" distB="0" distL="0" distR="0" wp14:anchorId="4FCF9AA9" wp14:editId="6A6D27B3">
            <wp:extent cx="1432560" cy="26167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 Luxor Temple 2006 Alison Chester-Lambert 03Z.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32560" cy="2616708"/>
                    </a:xfrm>
                    <a:prstGeom prst="rect">
                      <a:avLst/>
                    </a:prstGeom>
                  </pic:spPr>
                </pic:pic>
              </a:graphicData>
            </a:graphic>
          </wp:inline>
        </w:drawing>
      </w:r>
    </w:p>
    <w:p w14:paraId="7A56D494" w14:textId="77777777" w:rsidR="00A97456" w:rsidRPr="00492046" w:rsidRDefault="00A97456" w:rsidP="003B1489">
      <w:pPr>
        <w:spacing w:after="200" w:line="360" w:lineRule="auto"/>
        <w:rPr>
          <w:rFonts w:ascii="Arial" w:hAnsi="Arial" w:cs="Arial"/>
          <w:bCs/>
          <w:sz w:val="18"/>
          <w:szCs w:val="18"/>
        </w:rPr>
      </w:pPr>
      <w:bookmarkStart w:id="47" w:name="_Toc398116777"/>
      <w:bookmarkStart w:id="48" w:name="_Toc398124165"/>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8</w:t>
      </w:r>
      <w:r w:rsidRPr="00492046">
        <w:rPr>
          <w:rFonts w:ascii="Arial" w:hAnsi="Arial" w:cs="Arial"/>
          <w:bCs/>
          <w:noProof/>
          <w:sz w:val="18"/>
          <w:szCs w:val="18"/>
        </w:rPr>
        <w:fldChar w:fldCharType="end"/>
      </w:r>
      <w:r w:rsidRPr="00492046">
        <w:rPr>
          <w:rFonts w:ascii="Arial" w:hAnsi="Arial" w:cs="Arial"/>
          <w:bCs/>
          <w:sz w:val="18"/>
          <w:szCs w:val="18"/>
        </w:rPr>
        <w:t xml:space="preserve">. Luxor Temple, March 2005. </w:t>
      </w:r>
      <w:r w:rsidRPr="00492046">
        <w:rPr>
          <w:rFonts w:ascii="Arial" w:hAnsi="Arial" w:cs="Arial"/>
          <w:bCs/>
          <w:i/>
          <w:sz w:val="18"/>
          <w:szCs w:val="18"/>
        </w:rPr>
        <w:t>Image</w:t>
      </w:r>
      <w:r w:rsidRPr="00492046">
        <w:rPr>
          <w:rFonts w:ascii="Arial" w:hAnsi="Arial" w:cs="Arial"/>
          <w:bCs/>
          <w:sz w:val="18"/>
          <w:szCs w:val="18"/>
        </w:rPr>
        <w:t>: Alison Chester-Lambert.</w:t>
      </w:r>
      <w:bookmarkEnd w:id="47"/>
      <w:bookmarkEnd w:id="48"/>
    </w:p>
    <w:p w14:paraId="70261A23" w14:textId="77777777" w:rsidR="00A97456" w:rsidRPr="00B147A6" w:rsidRDefault="00A97456" w:rsidP="003B1489">
      <w:pPr>
        <w:spacing w:line="360" w:lineRule="auto"/>
      </w:pPr>
      <w:r w:rsidRPr="00B147A6">
        <w:t xml:space="preserve">Considering the amount of </w:t>
      </w:r>
      <w:r>
        <w:t>ithyphallic images,</w:t>
      </w:r>
      <w:r w:rsidRPr="00B147A6">
        <w:t xml:space="preserve"> Min’s known symbolism of sexual virility, and considering that the temple was dedicated to the re-enactment of conception, it is logical </w:t>
      </w:r>
      <w:r>
        <w:t xml:space="preserve">to assume </w:t>
      </w:r>
      <w:r w:rsidRPr="00B147A6">
        <w:t xml:space="preserve">that onanism or copulation took place as part of the </w:t>
      </w:r>
      <w:r w:rsidRPr="00B147A6">
        <w:lastRenderedPageBreak/>
        <w:t>rituals. Luxor temple was built on the mythical creation site and played a primary role in the cyclical regeneration of Re.</w:t>
      </w:r>
      <w:r w:rsidRPr="00B147A6">
        <w:rPr>
          <w:vertAlign w:val="superscript"/>
        </w:rPr>
        <w:footnoteReference w:id="77"/>
      </w:r>
      <w:r w:rsidRPr="00B147A6">
        <w:t xml:space="preserve"> </w:t>
      </w:r>
    </w:p>
    <w:p w14:paraId="00C5B1F8" w14:textId="77777777" w:rsidR="00A97456" w:rsidRPr="00B147A6" w:rsidRDefault="00A97456" w:rsidP="003B1489">
      <w:pPr>
        <w:spacing w:line="360" w:lineRule="auto"/>
      </w:pPr>
    </w:p>
    <w:p w14:paraId="3B49374F" w14:textId="77777777" w:rsidR="00A97456" w:rsidRPr="008917CF" w:rsidRDefault="00A97456" w:rsidP="003B1489">
      <w:pPr>
        <w:spacing w:line="360" w:lineRule="auto"/>
        <w:rPr>
          <w:color w:val="FF0000"/>
        </w:rPr>
      </w:pPr>
      <w:r>
        <w:t xml:space="preserve">Turning now to a further consideration of Osiris and the sun, John Darnell isolates and discusses the unique nature of certain texts - described as enigmatic and cryptographical - that appear to have a compositional template which he identifies as the </w:t>
      </w:r>
      <w:r>
        <w:rPr>
          <w:i/>
        </w:rPr>
        <w:t>Book of the Solar-Osirian U</w:t>
      </w:r>
      <w:r w:rsidRPr="00F024C2">
        <w:rPr>
          <w:i/>
        </w:rPr>
        <w:t>nity</w:t>
      </w:r>
      <w:r w:rsidRPr="00087929">
        <w:rPr>
          <w:vertAlign w:val="superscript"/>
        </w:rPr>
        <w:footnoteReference w:id="78"/>
      </w:r>
      <w:r>
        <w:t xml:space="preserve"> These texts appear on the previously discussed second of the four gilt shrines of Tutankhamun, the ceiling in corridor G of the tomb of Ramesses VI and a wall in the tomb of Ramesses IX.</w:t>
      </w:r>
      <w:r>
        <w:rPr>
          <w:rStyle w:val="FootnoteReference"/>
        </w:rPr>
        <w:footnoteReference w:id="79"/>
      </w:r>
      <w:r>
        <w:t xml:space="preserve"> Darnell dates the origin of the</w:t>
      </w:r>
      <w:r w:rsidRPr="00087929">
        <w:t xml:space="preserve"> </w:t>
      </w:r>
      <w:r>
        <w:t xml:space="preserve">texts </w:t>
      </w:r>
      <w:r w:rsidRPr="00087929">
        <w:t>to the Arman</w:t>
      </w:r>
      <w:r>
        <w:t>a period (1351 – 1319BCE) or earlier.</w:t>
      </w:r>
      <w:r>
        <w:rPr>
          <w:rStyle w:val="FootnoteReference"/>
        </w:rPr>
        <w:footnoteReference w:id="80"/>
      </w:r>
      <w:r>
        <w:t xml:space="preserve"> As noted earlier, Hornung also writes of the texts on second gilded shrine of Tutankhamun, identifying the same texts thereon as </w:t>
      </w:r>
      <w:r w:rsidRPr="00E047C0">
        <w:rPr>
          <w:i/>
        </w:rPr>
        <w:t>The Enigmatic Book of the Netherworld</w:t>
      </w:r>
      <w:r>
        <w:t>.</w:t>
      </w:r>
      <w:r>
        <w:rPr>
          <w:rStyle w:val="FootnoteReference"/>
        </w:rPr>
        <w:footnoteReference w:id="81"/>
      </w:r>
      <w:r w:rsidR="007D0FAC">
        <w:t xml:space="preserve"> Hornung</w:t>
      </w:r>
      <w:r>
        <w:t xml:space="preserve"> states the texts are unique and combine portions of the </w:t>
      </w:r>
      <w:r w:rsidRPr="00003DF6">
        <w:rPr>
          <w:i/>
        </w:rPr>
        <w:t>Book of the Dead</w:t>
      </w:r>
      <w:r>
        <w:t xml:space="preserve"> with a </w:t>
      </w:r>
      <w:r w:rsidRPr="00003DF6">
        <w:rPr>
          <w:i/>
        </w:rPr>
        <w:t>Book of the Netherworld</w:t>
      </w:r>
      <w:r>
        <w:t>. Returning to Darnell, he describes how these texts on the second shrine show</w:t>
      </w:r>
      <w:r w:rsidRPr="00087929">
        <w:t xml:space="preserve"> a giant mummiform image of Re-Osiris, the god of the Netherworld at the time of his union with Re.</w:t>
      </w:r>
      <w:r>
        <w:rPr>
          <w:rStyle w:val="FootnoteReference"/>
        </w:rPr>
        <w:footnoteReference w:id="82"/>
      </w:r>
      <w:r w:rsidRPr="00087929">
        <w:t xml:space="preserve"> </w:t>
      </w:r>
      <w:r>
        <w:t xml:space="preserve">Bearing in mind this is Tutankhamun's tomb, the intention would have been that the deceased </w:t>
      </w:r>
      <w:r w:rsidRPr="00087929">
        <w:t>Tutankhamun `associates with the victorious Osiris at the end of his nocturnal journey, already joined with Re in the east</w:t>
      </w:r>
      <w:r w:rsidR="00834B60" w:rsidRPr="00834B60">
        <w:t xml:space="preserve"> </w:t>
      </w:r>
      <w:r w:rsidR="00834B60">
        <w:t xml:space="preserve">which ensures </w:t>
      </w:r>
      <w:r w:rsidR="00834B60">
        <w:lastRenderedPageBreak/>
        <w:t>Tutankhamun' re-birth</w:t>
      </w:r>
      <w:r w:rsidRPr="00087929">
        <w:t>.`</w:t>
      </w:r>
      <w:r>
        <w:rPr>
          <w:rStyle w:val="FootnoteReference"/>
        </w:rPr>
        <w:footnoteReference w:id="83"/>
      </w:r>
      <w:r>
        <w:t xml:space="preserve"> According to Hornung, section B (called Side Two by Darnell) of the second shrine is `dominated by rays of light that emanate from disks, stars or serpents and flow through all entities` and section A (called side One by Darnell) portrays a re-filling of the sun disc during the night.</w:t>
      </w:r>
      <w:r>
        <w:rPr>
          <w:rStyle w:val="FootnoteReference"/>
        </w:rPr>
        <w:footnoteReference w:id="84"/>
      </w:r>
      <w:r>
        <w:t xml:space="preserve"> </w:t>
      </w:r>
      <w:r w:rsidRPr="00193520">
        <w:t xml:space="preserve">The power and regenerative ability of the light is important to note, as will be analysed in the closing arguments. </w:t>
      </w:r>
    </w:p>
    <w:p w14:paraId="02DB9EBB" w14:textId="77777777" w:rsidR="00A97456" w:rsidRDefault="00A97456" w:rsidP="003B1489">
      <w:pPr>
        <w:spacing w:line="360" w:lineRule="auto"/>
      </w:pPr>
    </w:p>
    <w:p w14:paraId="3E652062" w14:textId="77777777" w:rsidR="00A97456" w:rsidRPr="00087929" w:rsidRDefault="00A97456" w:rsidP="003B1489">
      <w:pPr>
        <w:spacing w:line="360" w:lineRule="auto"/>
      </w:pPr>
      <w:r>
        <w:t>Darnell discusses this emphasis of Osiris as</w:t>
      </w:r>
      <w:r w:rsidRPr="00087929">
        <w:t xml:space="preserve"> the morning glow rather than the Osir</w:t>
      </w:r>
      <w:r>
        <w:t>is of the darkest night and attributes a female aspect to this</w:t>
      </w:r>
      <w:r w:rsidRPr="00087929">
        <w:t xml:space="preserve"> unified </w:t>
      </w:r>
      <w:r>
        <w:t>Re and Osiris, identifying it</w:t>
      </w:r>
      <w:r w:rsidRPr="00087929">
        <w:t xml:space="preserve"> with Hathor, the eye of the rising sun, as well as the womb in the east from w</w:t>
      </w:r>
      <w:r>
        <w:t xml:space="preserve">hich the sun </w:t>
      </w:r>
      <w:commentRangeStart w:id="49"/>
      <w:r>
        <w:t>rises, and he suggests that this shift continues in subsequent periods.</w:t>
      </w:r>
      <w:r w:rsidRPr="00087929">
        <w:rPr>
          <w:vertAlign w:val="superscript"/>
        </w:rPr>
        <w:footnoteReference w:id="85"/>
      </w:r>
      <w:r>
        <w:t xml:space="preserve"> </w:t>
      </w:r>
      <w:commentRangeEnd w:id="49"/>
      <w:r w:rsidR="002F66C5">
        <w:rPr>
          <w:rStyle w:val="CommentReference"/>
        </w:rPr>
        <w:commentReference w:id="49"/>
      </w:r>
    </w:p>
    <w:p w14:paraId="48982F23" w14:textId="77777777" w:rsidR="00A97456" w:rsidRPr="00087929" w:rsidRDefault="00A97456" w:rsidP="003B1489">
      <w:pPr>
        <w:spacing w:line="360" w:lineRule="auto"/>
      </w:pPr>
    </w:p>
    <w:p w14:paraId="115532E6" w14:textId="77777777" w:rsidR="00A97456" w:rsidRPr="00273BE3" w:rsidRDefault="00A97456" w:rsidP="003B1489">
      <w:pPr>
        <w:spacing w:line="360" w:lineRule="auto"/>
        <w:rPr>
          <w:color w:val="FF0000"/>
        </w:rPr>
      </w:pPr>
      <w:r>
        <w:t>Turning to another point for examination in the</w:t>
      </w:r>
      <w:r w:rsidRPr="00087929">
        <w:t xml:space="preserve"> </w:t>
      </w:r>
      <w:r w:rsidRPr="00F024C2">
        <w:rPr>
          <w:i/>
        </w:rPr>
        <w:t>Books of the Solar-Osirian Unity</w:t>
      </w:r>
      <w:r>
        <w:t>,</w:t>
      </w:r>
      <w:r w:rsidRPr="00087929">
        <w:t xml:space="preserve"> Darnell records that some of these specialist texts were written in an enigmatic or cryptographic way and </w:t>
      </w:r>
      <w:r>
        <w:t xml:space="preserve">suggests that </w:t>
      </w:r>
      <w:r w:rsidRPr="00087929">
        <w:t>this was to test the reader's knowledge of the intricacies of the Netherworld, its relevant texts and religious concepts, although the writing style was meant to highlight the interest of the text or be intriguing rather than hide its content in impossible decipherment.</w:t>
      </w:r>
      <w:r w:rsidRPr="00087929">
        <w:rPr>
          <w:vertAlign w:val="superscript"/>
        </w:rPr>
        <w:footnoteReference w:id="86"/>
      </w:r>
      <w:r>
        <w:t xml:space="preserve"> Looking at this further, </w:t>
      </w:r>
      <w:r w:rsidRPr="00087929">
        <w:t xml:space="preserve">Darnell also records that `certain texts in the Min chapel near the solar altar in the Abydene temple of Ramesses II are written in </w:t>
      </w:r>
      <w:r w:rsidRPr="00087929">
        <w:lastRenderedPageBreak/>
        <w:t>cryptography`.</w:t>
      </w:r>
      <w:r w:rsidRPr="00087929">
        <w:rPr>
          <w:vertAlign w:val="superscript"/>
        </w:rPr>
        <w:footnoteReference w:id="87"/>
      </w:r>
      <w:r w:rsidRPr="00087929">
        <w:t xml:space="preserve"> Darnell states that</w:t>
      </w:r>
      <w:r>
        <w:t xml:space="preserve"> Min </w:t>
      </w:r>
      <w:r w:rsidRPr="00087929">
        <w:t>had associations with the south east - the area of the rising sun - which is also the direction of a land called Punt with whom the Egyptians traded. The south east was a liminal land because it was from here that the sun passed from the Netherworld and into the upper world and Darnell refers to the sun as the `greatest visible bridge` between these two worlds.</w:t>
      </w:r>
      <w:r w:rsidRPr="00087929">
        <w:rPr>
          <w:vertAlign w:val="superscript"/>
        </w:rPr>
        <w:footnoteReference w:id="88"/>
      </w:r>
      <w:r w:rsidRPr="00087929">
        <w:t xml:space="preserve"> Darnell argues that cryptography was used most especially for </w:t>
      </w:r>
      <w:r w:rsidRPr="00273BE3">
        <w:rPr>
          <w:i/>
        </w:rPr>
        <w:t>solar</w:t>
      </w:r>
      <w:r w:rsidRPr="00087929">
        <w:t xml:space="preserve"> texts regarding the sun's movement over the horizon into the Netherworld and its unification with Osiris before it appears on the eastern horizon again.</w:t>
      </w:r>
      <w:r w:rsidRPr="00087929">
        <w:rPr>
          <w:vertAlign w:val="superscript"/>
        </w:rPr>
        <w:footnoteReference w:id="89"/>
      </w:r>
      <w:r w:rsidRPr="00087929">
        <w:t xml:space="preserve"> This argument is taken further when Darnell discusses Coptic cryptography</w:t>
      </w:r>
      <w:r>
        <w:t xml:space="preserve"> and the Christian concepts of i</w:t>
      </w:r>
      <w:r w:rsidRPr="00087929">
        <w:t xml:space="preserve">ncarnation and resurrection which he associates with the mythology of Osiris and Re being </w:t>
      </w:r>
      <w:r>
        <w:t xml:space="preserve">as </w:t>
      </w:r>
      <w:r w:rsidRPr="00087929">
        <w:t>one before Re's rebirth.</w:t>
      </w:r>
      <w:r w:rsidRPr="00087929">
        <w:rPr>
          <w:vertAlign w:val="superscript"/>
        </w:rPr>
        <w:footnoteReference w:id="90"/>
      </w:r>
      <w:r w:rsidRPr="00087929">
        <w:t xml:space="preserve"> Darnell concludes that the </w:t>
      </w:r>
      <w:r w:rsidRPr="00951FE1">
        <w:rPr>
          <w:i/>
        </w:rPr>
        <w:t>Book of the Solar-Osirian Unity</w:t>
      </w:r>
      <w:r w:rsidRPr="00087929">
        <w:t xml:space="preserve"> emphasised the union of the corpse of Re and the union of the sun under the eastern horizon which he called the `liminal area between day and night, this world and the next</w:t>
      </w:r>
      <w:proofErr w:type="gramStart"/>
      <w:r w:rsidRPr="00087929">
        <w:t>.`</w:t>
      </w:r>
      <w:proofErr w:type="gramEnd"/>
      <w:r w:rsidRPr="00087929">
        <w:rPr>
          <w:vertAlign w:val="superscript"/>
        </w:rPr>
        <w:footnoteReference w:id="91"/>
      </w:r>
      <w:r w:rsidRPr="00087929">
        <w:t xml:space="preserve"> He goes on to say:</w:t>
      </w:r>
    </w:p>
    <w:p w14:paraId="0C8E6B96" w14:textId="77777777" w:rsidR="00A97456" w:rsidRPr="00087929" w:rsidRDefault="00A97456" w:rsidP="003B1489">
      <w:pPr>
        <w:spacing w:line="360" w:lineRule="auto"/>
      </w:pPr>
    </w:p>
    <w:p w14:paraId="4EC21EA7" w14:textId="77777777" w:rsidR="00A97456" w:rsidRPr="00087929" w:rsidRDefault="00A97456" w:rsidP="003B1489">
      <w:pPr>
        <w:spacing w:line="360" w:lineRule="auto"/>
        <w:ind w:left="720"/>
      </w:pPr>
      <w:r w:rsidRPr="00087929">
        <w:t xml:space="preserve">The corpse of the sun is "mysterious", these texts dealing with the solar corpse and his nightly reanimation are themselves written in cryptography, mirroring the hidden nature of the deity. Like the corpse of the sun the signs which describe him are "mysterious", like him they are difficult to comprehend. As the sun eventually emerged </w:t>
      </w:r>
      <w:r w:rsidRPr="00087929">
        <w:lastRenderedPageBreak/>
        <w:t>from the outer darkness through the veiling red hue of the Hathoric mother, so these texts were meant ultimately to reveal their content to the persistent reader.</w:t>
      </w:r>
      <w:r w:rsidRPr="00087929">
        <w:rPr>
          <w:vertAlign w:val="superscript"/>
        </w:rPr>
        <w:footnoteReference w:id="92"/>
      </w:r>
    </w:p>
    <w:p w14:paraId="081EB940" w14:textId="77777777" w:rsidR="00A97456" w:rsidRPr="00B147A6" w:rsidRDefault="00A97456" w:rsidP="003B1489">
      <w:pPr>
        <w:spacing w:line="360" w:lineRule="auto"/>
      </w:pPr>
    </w:p>
    <w:p w14:paraId="1DB571CB" w14:textId="77777777" w:rsidR="00A97456" w:rsidRPr="00193520" w:rsidRDefault="00794DA8" w:rsidP="003B1489">
      <w:pPr>
        <w:spacing w:line="360" w:lineRule="auto"/>
      </w:pPr>
      <w:r>
        <w:t>Assman</w:t>
      </w:r>
      <w:r w:rsidR="00A97456">
        <w:t>n also discusses solar mysteries when writing of the sun hymns of the New Kingdom.</w:t>
      </w:r>
      <w:r w:rsidR="00A97456">
        <w:rPr>
          <w:rStyle w:val="FootnoteReference"/>
        </w:rPr>
        <w:footnoteReference w:id="93"/>
      </w:r>
      <w:r w:rsidR="00A97456">
        <w:t xml:space="preserve"> Assmann argues that `The mysteries are undoubtedly much older than the golden age of the sun hymn and they outlasted this period by many centuries</w:t>
      </w:r>
      <w:proofErr w:type="gramStart"/>
      <w:r w:rsidR="00A97456">
        <w:t>.`</w:t>
      </w:r>
      <w:proofErr w:type="gramEnd"/>
      <w:r w:rsidR="00A97456">
        <w:rPr>
          <w:rStyle w:val="FootnoteReference"/>
        </w:rPr>
        <w:footnoteReference w:id="94"/>
      </w:r>
      <w:r w:rsidR="00A97456">
        <w:t xml:space="preserve"> </w:t>
      </w:r>
      <w:r w:rsidR="00834B60">
        <w:t xml:space="preserve">I </w:t>
      </w:r>
      <w:r w:rsidR="00A97456" w:rsidRPr="00193520">
        <w:t xml:space="preserve">will </w:t>
      </w:r>
      <w:r w:rsidR="00A97456">
        <w:t xml:space="preserve">briefly </w:t>
      </w:r>
      <w:r w:rsidR="00A97456" w:rsidRPr="00193520">
        <w:t xml:space="preserve">address this `mysterious` quality, </w:t>
      </w:r>
      <w:r w:rsidR="00A97456">
        <w:t>as previously noted in a comment by Eliade</w:t>
      </w:r>
      <w:r w:rsidR="00834B60">
        <w:t xml:space="preserve"> and pose the argument that</w:t>
      </w:r>
      <w:r w:rsidR="00A97456" w:rsidRPr="00193520">
        <w:t xml:space="preserve"> </w:t>
      </w:r>
      <w:r w:rsidR="00A97456">
        <w:t xml:space="preserve">early </w:t>
      </w:r>
      <w:r w:rsidR="00A97456" w:rsidRPr="00193520">
        <w:t xml:space="preserve">Christian </w:t>
      </w:r>
      <w:r w:rsidR="00A97456">
        <w:t xml:space="preserve">authors or </w:t>
      </w:r>
      <w:r w:rsidR="00A97456" w:rsidRPr="00193520">
        <w:t xml:space="preserve">artists of the Annunciation also unconsciously expressed it in the beams of sunlight portrayed in their paintings.  </w:t>
      </w:r>
    </w:p>
    <w:p w14:paraId="54DB2C4C" w14:textId="77777777" w:rsidR="00A97456" w:rsidRPr="00193520" w:rsidRDefault="00A97456" w:rsidP="003B1489">
      <w:pPr>
        <w:spacing w:line="360" w:lineRule="auto"/>
      </w:pPr>
    </w:p>
    <w:p w14:paraId="773F383F" w14:textId="77777777" w:rsidR="00A97456" w:rsidRPr="00B147A6" w:rsidRDefault="0087705F" w:rsidP="003B1489">
      <w:pPr>
        <w:spacing w:line="360" w:lineRule="auto"/>
      </w:pPr>
      <w:r>
        <w:t>There is one final</w:t>
      </w:r>
      <w:r w:rsidR="00A97456">
        <w:t xml:space="preserve"> image to exemplify phallic</w:t>
      </w:r>
      <w:r w:rsidR="00A97456" w:rsidRPr="00B147A6">
        <w:rPr>
          <w:color w:val="FF0000"/>
        </w:rPr>
        <w:t xml:space="preserve"> </w:t>
      </w:r>
      <w:r w:rsidR="00A97456">
        <w:t>solarism in this section (Figure 9) and it occurs in</w:t>
      </w:r>
      <w:r w:rsidR="00A97456" w:rsidRPr="00B147A6">
        <w:t xml:space="preserve"> the </w:t>
      </w:r>
      <w:r w:rsidR="00A97456" w:rsidRPr="005F405B">
        <w:rPr>
          <w:i/>
        </w:rPr>
        <w:t>Book of the Earth</w:t>
      </w:r>
      <w:r w:rsidR="00A97456" w:rsidRPr="00B147A6">
        <w:t xml:space="preserve"> texts on the north wall of burial chamber of the New Kingdom Ramesses V/VI tomb in the Valley of the Kings.</w:t>
      </w:r>
      <w:r w:rsidR="00A97456" w:rsidRPr="00B147A6">
        <w:rPr>
          <w:vertAlign w:val="superscript"/>
        </w:rPr>
        <w:footnoteReference w:id="95"/>
      </w:r>
      <w:r w:rsidR="00A97456" w:rsidRPr="00B147A6">
        <w:t xml:space="preserve"> </w:t>
      </w:r>
    </w:p>
    <w:p w14:paraId="4F5DC485" w14:textId="77777777" w:rsidR="00A97456" w:rsidRPr="00B147A6" w:rsidRDefault="00A97456" w:rsidP="003B1489">
      <w:pPr>
        <w:spacing w:line="360" w:lineRule="auto"/>
      </w:pPr>
    </w:p>
    <w:p w14:paraId="5B48F111"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7898E3DA" wp14:editId="1C6A1CA1">
            <wp:extent cx="4752975" cy="2733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ses VI North wall of burial chamber.jpg"/>
                    <pic:cNvPicPr/>
                  </pic:nvPicPr>
                  <pic:blipFill>
                    <a:blip r:embed="rId20">
                      <a:extLst>
                        <a:ext uri="{28A0092B-C50C-407E-A947-70E740481C1C}">
                          <a14:useLocalDpi xmlns:a14="http://schemas.microsoft.com/office/drawing/2010/main" val="0"/>
                        </a:ext>
                      </a:extLst>
                    </a:blip>
                    <a:stretch>
                      <a:fillRect/>
                    </a:stretch>
                  </pic:blipFill>
                  <pic:spPr>
                    <a:xfrm>
                      <a:off x="0" y="0"/>
                      <a:ext cx="4752975" cy="2733675"/>
                    </a:xfrm>
                    <a:prstGeom prst="rect">
                      <a:avLst/>
                    </a:prstGeom>
                  </pic:spPr>
                </pic:pic>
              </a:graphicData>
            </a:graphic>
          </wp:inline>
        </w:drawing>
      </w:r>
    </w:p>
    <w:p w14:paraId="1854EF59" w14:textId="77777777" w:rsidR="00A97456" w:rsidRPr="00492046" w:rsidRDefault="00A97456" w:rsidP="003B1489">
      <w:pPr>
        <w:spacing w:after="200"/>
        <w:rPr>
          <w:rFonts w:ascii="Arial" w:hAnsi="Arial" w:cs="Arial"/>
          <w:bCs/>
          <w:sz w:val="18"/>
          <w:szCs w:val="18"/>
        </w:rPr>
      </w:pPr>
      <w:bookmarkStart w:id="50" w:name="_Toc398116778"/>
      <w:bookmarkStart w:id="51" w:name="_Toc398124166"/>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9</w:t>
      </w:r>
      <w:r w:rsidRPr="00492046">
        <w:rPr>
          <w:rFonts w:ascii="Arial" w:hAnsi="Arial" w:cs="Arial"/>
          <w:bCs/>
          <w:noProof/>
          <w:sz w:val="18"/>
          <w:szCs w:val="18"/>
        </w:rPr>
        <w:fldChar w:fldCharType="end"/>
      </w:r>
      <w:r w:rsidRPr="00492046">
        <w:rPr>
          <w:rFonts w:ascii="Arial" w:hAnsi="Arial" w:cs="Arial"/>
          <w:bCs/>
          <w:sz w:val="18"/>
          <w:szCs w:val="18"/>
        </w:rPr>
        <w:t xml:space="preserve">. North wall of burial chamber of KV9, Ramesses V/VI, Valley of the Kings. Part of the </w:t>
      </w:r>
      <w:r w:rsidRPr="00492046">
        <w:rPr>
          <w:rFonts w:ascii="Arial" w:hAnsi="Arial" w:cs="Arial"/>
          <w:bCs/>
          <w:i/>
          <w:sz w:val="18"/>
          <w:szCs w:val="18"/>
        </w:rPr>
        <w:t>Book of the Earth</w:t>
      </w:r>
      <w:r w:rsidRPr="00492046">
        <w:rPr>
          <w:rFonts w:ascii="Arial" w:hAnsi="Arial" w:cs="Arial"/>
          <w:bCs/>
          <w:sz w:val="18"/>
          <w:szCs w:val="18"/>
        </w:rPr>
        <w:t>. New Kingdom. (</w:t>
      </w:r>
      <w:proofErr w:type="gramStart"/>
      <w:r w:rsidRPr="00492046">
        <w:rPr>
          <w:rFonts w:ascii="Arial" w:hAnsi="Arial" w:cs="Arial"/>
          <w:bCs/>
          <w:sz w:val="18"/>
          <w:szCs w:val="18"/>
        </w:rPr>
        <w:t>c</w:t>
      </w:r>
      <w:proofErr w:type="gramEnd"/>
      <w:r w:rsidRPr="00492046">
        <w:rPr>
          <w:rFonts w:ascii="Arial" w:hAnsi="Arial" w:cs="Arial"/>
          <w:bCs/>
          <w:sz w:val="18"/>
          <w:szCs w:val="18"/>
        </w:rPr>
        <w:t xml:space="preserve">. 1145 – 1133) wall painting. </w:t>
      </w:r>
      <w:r w:rsidRPr="00492046">
        <w:rPr>
          <w:rFonts w:ascii="Arial" w:hAnsi="Arial" w:cs="Arial"/>
          <w:bCs/>
          <w:i/>
          <w:sz w:val="18"/>
          <w:szCs w:val="18"/>
        </w:rPr>
        <w:t>Image:</w:t>
      </w:r>
      <w:r w:rsidRPr="00492046">
        <w:rPr>
          <w:rFonts w:ascii="Arial" w:hAnsi="Arial" w:cs="Arial"/>
          <w:bCs/>
          <w:sz w:val="18"/>
          <w:szCs w:val="18"/>
        </w:rPr>
        <w:t xml:space="preserve"> Francis Dzikowski, Theban Mapping Project.</w:t>
      </w:r>
      <w:bookmarkEnd w:id="50"/>
      <w:bookmarkEnd w:id="51"/>
      <w:r w:rsidRPr="00492046">
        <w:rPr>
          <w:rFonts w:ascii="Arial" w:hAnsi="Arial" w:cs="Arial"/>
          <w:bCs/>
          <w:sz w:val="18"/>
          <w:szCs w:val="18"/>
        </w:rPr>
        <w:t xml:space="preserve"> </w:t>
      </w:r>
    </w:p>
    <w:p w14:paraId="0D6ED877" w14:textId="77777777" w:rsidR="00A97456" w:rsidRPr="00B147A6" w:rsidRDefault="00A97456" w:rsidP="003B1489">
      <w:pPr>
        <w:spacing w:line="360" w:lineRule="auto"/>
      </w:pPr>
      <w:r w:rsidRPr="00B147A6">
        <w:t>According to Joshua Aaron Roberson, these describe the sun as being regenerated from being a tired old sun disk at sunset, to a re-born sun at sunrise.</w:t>
      </w:r>
      <w:r w:rsidRPr="00B147A6">
        <w:rPr>
          <w:vertAlign w:val="superscript"/>
        </w:rPr>
        <w:footnoteReference w:id="96"/>
      </w:r>
      <w:r w:rsidRPr="00B147A6">
        <w:t xml:space="preserve"> Alexandre Piankoff and Nina Rambova state that this is an unnamed ithyphallic sun god standing in a V-shaped funnel surrounded by sun disks and stars.</w:t>
      </w:r>
      <w:r w:rsidRPr="00B147A6">
        <w:rPr>
          <w:vertAlign w:val="superscript"/>
        </w:rPr>
        <w:footnoteReference w:id="97"/>
      </w:r>
      <w:r w:rsidRPr="00B147A6">
        <w:t xml:space="preserve"> The god ejaculates fire and from his phallus fall a child and a sign for fire, but also the fire which seems to create twelve goddesses who each hold a red disc.</w:t>
      </w:r>
      <w:r w:rsidRPr="00B147A6">
        <w:rPr>
          <w:vertAlign w:val="superscript"/>
        </w:rPr>
        <w:footnoteReference w:id="98"/>
      </w:r>
      <w:r w:rsidRPr="00B147A6">
        <w:t xml:space="preserve"> According to Roberson the god stands in what could be a water clock, thereby insinuating the passing of hours.</w:t>
      </w:r>
      <w:r w:rsidRPr="00B147A6">
        <w:rPr>
          <w:vertAlign w:val="superscript"/>
        </w:rPr>
        <w:footnoteReference w:id="99"/>
      </w:r>
      <w:r>
        <w:t xml:space="preserve"> </w:t>
      </w:r>
    </w:p>
    <w:p w14:paraId="70730A5F" w14:textId="77777777" w:rsidR="00A97456" w:rsidRDefault="00A97456" w:rsidP="003B1489">
      <w:pPr>
        <w:spacing w:line="360" w:lineRule="auto"/>
      </w:pPr>
    </w:p>
    <w:p w14:paraId="0861C0BF" w14:textId="77777777" w:rsidR="00A97456" w:rsidRPr="00B147A6" w:rsidRDefault="00A97456" w:rsidP="003B1489">
      <w:pPr>
        <w:spacing w:line="360" w:lineRule="auto"/>
      </w:pPr>
      <w:r w:rsidRPr="00B147A6">
        <w:t xml:space="preserve">Lastly, I wish to consider the entity Shu, the god of sunlight and air. As noted earlier, in one version of his birth he was spat out </w:t>
      </w:r>
      <w:r w:rsidRPr="00B147A6">
        <w:lastRenderedPageBreak/>
        <w:t>after Atum ingested his own sperm.</w:t>
      </w:r>
      <w:r w:rsidRPr="00B147A6">
        <w:rPr>
          <w:vertAlign w:val="superscript"/>
        </w:rPr>
        <w:footnoteReference w:id="100"/>
      </w:r>
      <w:r w:rsidRPr="00B147A6">
        <w:t xml:space="preserve">  Hart writes that `Shu as a god of sunshine is first attested in the Old Kingdom where he is responsible for bringing Re and the king into life every day. The pharaoh Akhenaten over a thousand years later emphasises this theme by describing Shu as dwelling in the sun’s disk</w:t>
      </w:r>
      <w:proofErr w:type="gramStart"/>
      <w:r w:rsidRPr="00B147A6">
        <w:t>.`</w:t>
      </w:r>
      <w:proofErr w:type="gramEnd"/>
      <w:r w:rsidRPr="00B147A6">
        <w:rPr>
          <w:vertAlign w:val="superscript"/>
        </w:rPr>
        <w:footnoteReference w:id="101"/>
      </w:r>
      <w:r w:rsidRPr="00B147A6">
        <w:t xml:space="preserve"> This makes the connection between sunlight, Shu and the disc of the sun which can be further affirmed in the following examples. In Coffin Text spell 77 it states `I am this soul of Shu which is in the flame of the fiery blast which Atum kindled with his own hand`; only a possible reference to Shu/light within the sun, but when it is taken in context with other examples it becomes more convincing.</w:t>
      </w:r>
      <w:r w:rsidRPr="00B147A6">
        <w:rPr>
          <w:vertAlign w:val="superscript"/>
        </w:rPr>
        <w:footnoteReference w:id="102"/>
      </w:r>
      <w:r w:rsidRPr="00B147A6">
        <w:t xml:space="preserve"> In Spell 80 Shu says `It is I who make the sky light after darkness, my pleasant colour is the air which goes forth after me from the mouth of Atum</w:t>
      </w:r>
      <w:proofErr w:type="gramStart"/>
      <w:r w:rsidRPr="00B147A6">
        <w:t>,`</w:t>
      </w:r>
      <w:proofErr w:type="gramEnd"/>
      <w:r w:rsidRPr="00B147A6">
        <w:t xml:space="preserve"> this is a much clearer reference to sunlight coming from the sun.</w:t>
      </w:r>
      <w:r w:rsidRPr="00B147A6">
        <w:rPr>
          <w:vertAlign w:val="superscript"/>
        </w:rPr>
        <w:footnoteReference w:id="103"/>
      </w:r>
      <w:r w:rsidRPr="00B147A6">
        <w:t xml:space="preserve"> Further on it says `I am the far-travelling sunshine which daily brings the sky to Atum for the nose of Re. I will come and go, I will open the way for Re that he may voyage to the western horizon</w:t>
      </w:r>
      <w:proofErr w:type="gramStart"/>
      <w:r w:rsidRPr="00B147A6">
        <w:t>.`</w:t>
      </w:r>
      <w:proofErr w:type="gramEnd"/>
      <w:r w:rsidRPr="00B147A6">
        <w:t xml:space="preserve"> Again, a clear reference to sunshine and the information that the light comes first and opens the way for Re (the sun disc). Khalil makes the point that Shu is the light that is the announcer of his father, the rising sun.</w:t>
      </w:r>
      <w:r w:rsidRPr="00B147A6">
        <w:rPr>
          <w:vertAlign w:val="superscript"/>
        </w:rPr>
        <w:footnoteReference w:id="104"/>
      </w:r>
      <w:r w:rsidRPr="00B147A6">
        <w:t xml:space="preserve"> In another Coffin Text, Spell 1013, it says ` Shu forms of Re` and Khalil argues that Shu represents the </w:t>
      </w:r>
      <w:r w:rsidRPr="00B147A6">
        <w:lastRenderedPageBreak/>
        <w:t>continuous and eternal generation of sunlight.</w:t>
      </w:r>
      <w:r w:rsidRPr="00B147A6">
        <w:rPr>
          <w:vertAlign w:val="superscript"/>
        </w:rPr>
        <w:footnoteReference w:id="105"/>
      </w:r>
      <w:r w:rsidRPr="00B147A6">
        <w:t xml:space="preserve"> He concludes that the relationship between Shu and Re/Atum as Father and Son is a `deeply ingrained pattern of thought in Egyptian religion` and is similar to that of the Christian god and Jesus as Father and Son.</w:t>
      </w:r>
      <w:r w:rsidRPr="00B147A6">
        <w:rPr>
          <w:vertAlign w:val="superscript"/>
        </w:rPr>
        <w:footnoteReference w:id="106"/>
      </w:r>
      <w:r w:rsidRPr="00B147A6">
        <w:t xml:space="preserve"> The texts in</w:t>
      </w:r>
      <w:r w:rsidR="0087705F">
        <w:t xml:space="preserve"> this last paragraph reveal</w:t>
      </w:r>
      <w:r w:rsidRPr="00B147A6">
        <w:t xml:space="preserve"> an understanding that there is a difference between physical light and disc of the </w:t>
      </w:r>
      <w:commentRangeStart w:id="52"/>
      <w:r w:rsidRPr="00B147A6">
        <w:t>sun and how these were recognised as different spiritual `entities` and symbols.</w:t>
      </w:r>
      <w:commentRangeEnd w:id="52"/>
      <w:r w:rsidR="002F66C5">
        <w:rPr>
          <w:rStyle w:val="CommentReference"/>
        </w:rPr>
        <w:commentReference w:id="52"/>
      </w:r>
    </w:p>
    <w:p w14:paraId="292C17F6" w14:textId="77777777" w:rsidR="00A97456" w:rsidRPr="00B147A6" w:rsidRDefault="00A97456" w:rsidP="003B1489">
      <w:pPr>
        <w:spacing w:line="360" w:lineRule="auto"/>
      </w:pPr>
    </w:p>
    <w:p w14:paraId="1B9FF12A" w14:textId="77777777" w:rsidR="00A97456" w:rsidRPr="00750A70" w:rsidRDefault="00A97456" w:rsidP="0013436D">
      <w:pPr>
        <w:pStyle w:val="Heading2"/>
      </w:pPr>
      <w:bookmarkStart w:id="53" w:name="_Toc398190017"/>
      <w:r w:rsidRPr="00750A70">
        <w:t>Summary of Section Two</w:t>
      </w:r>
      <w:bookmarkEnd w:id="53"/>
    </w:p>
    <w:p w14:paraId="61F3A5F5" w14:textId="77777777" w:rsidR="00A97456" w:rsidRPr="00750A70" w:rsidRDefault="00A97456" w:rsidP="003B1489">
      <w:pPr>
        <w:spacing w:line="360" w:lineRule="auto"/>
      </w:pPr>
    </w:p>
    <w:p w14:paraId="5B328FB4" w14:textId="77777777" w:rsidR="003E0FDF" w:rsidRDefault="00A97456" w:rsidP="003B1489">
      <w:pPr>
        <w:spacing w:line="360" w:lineRule="auto"/>
        <w:sectPr w:rsidR="003E0FDF" w:rsidSect="003B1489">
          <w:pgSz w:w="11906" w:h="16838"/>
          <w:pgMar w:top="1440" w:right="2495" w:bottom="1440" w:left="2495" w:header="709" w:footer="709" w:gutter="0"/>
          <w:cols w:space="708"/>
          <w:docGrid w:linePitch="360"/>
        </w:sectPr>
      </w:pPr>
      <w:r w:rsidRPr="00750A70">
        <w:t>This section of the dissertation on Ancient Egypt has found evidence of an association between Re the sun and the phallus. The worship of Re, Atum and Shu demonstrates an important inter-</w:t>
      </w:r>
      <w:r>
        <w:t>relationship and</w:t>
      </w:r>
      <w:r w:rsidRPr="00750A70">
        <w:t xml:space="preserve"> syncretism, which is evidenced as early as the Old Kingdom </w:t>
      </w:r>
      <w:r w:rsidRPr="005F405B">
        <w:rPr>
          <w:i/>
        </w:rPr>
        <w:t>Pyramid Texts</w:t>
      </w:r>
      <w:r w:rsidRPr="00750A70">
        <w:t>. The sun had several `phases`, characters, or associations with other gods including Atum. The concept of rebirth was represented by the aging sun as it set in t</w:t>
      </w:r>
      <w:r w:rsidR="007D0FAC">
        <w:t>he west and then rose again as</w:t>
      </w:r>
      <w:r w:rsidRPr="00750A70">
        <w:t xml:space="preserve"> a young sun. It was recognised that sexual activity was necessary before any physical birth and in both the </w:t>
      </w:r>
      <w:r w:rsidRPr="005F405B">
        <w:rPr>
          <w:i/>
        </w:rPr>
        <w:t>Pyramid Texts</w:t>
      </w:r>
      <w:r w:rsidRPr="00750A70">
        <w:t xml:space="preserve"> and the </w:t>
      </w:r>
      <w:r w:rsidRPr="005F405B">
        <w:rPr>
          <w:i/>
        </w:rPr>
        <w:t>Coffin Texts</w:t>
      </w:r>
      <w:r w:rsidRPr="00750A70">
        <w:t xml:space="preserve"> the supreme demiurge Atum masturbated other deities into existence, incl</w:t>
      </w:r>
      <w:r>
        <w:t>uding Shu (sunlight/air). Symbolism of the sun either impregnating Nut or gestating in Nut is present from the Third Millennium to the First Millennium</w:t>
      </w:r>
      <w:r w:rsidR="0087705F">
        <w:t xml:space="preserve"> BCE</w:t>
      </w:r>
      <w:r>
        <w:t>. Atum was</w:t>
      </w:r>
      <w:r w:rsidRPr="00750A70">
        <w:t xml:space="preserve"> an</w:t>
      </w:r>
      <w:r>
        <w:t>drogynous, with his hand and mouth having</w:t>
      </w:r>
      <w:r w:rsidRPr="00750A70">
        <w:t xml:space="preserve"> feminin</w:t>
      </w:r>
      <w:r>
        <w:t xml:space="preserve">e </w:t>
      </w:r>
      <w:r>
        <w:lastRenderedPageBreak/>
        <w:t>aspects.</w:t>
      </w:r>
      <w:r w:rsidRPr="00750A70">
        <w:t xml:space="preserve"> Additionally, a pre-historic, ithyphallic god called Min had high status and syncretised into Kamutef and Amun from the Twelfth Dynasty at Thebes. He represented </w:t>
      </w:r>
      <w:r>
        <w:t xml:space="preserve">as </w:t>
      </w:r>
      <w:r w:rsidRPr="00750A70">
        <w:t>both father and son, copulating with his wife/mother to give birth to himself again and as such he was a powerful image of eternity and an endless cycle. Min supported the king’s sexual virility in an annual festival of re-birth which involved t</w:t>
      </w:r>
      <w:r>
        <w:t>he sun, onanism and copulation at Luxor. Geb's auto-fellatio indicates self-sustaining fertility and life giving potential. Geb's circular shape could suggest the sun's orbit with the additional symbolism of the ouroboros suggesting eternal re-generation in an eternal cycl</w:t>
      </w:r>
      <w:r w:rsidR="0087705F">
        <w:t xml:space="preserve">e of beginning and end. </w:t>
      </w:r>
      <w:r w:rsidR="0087705F" w:rsidRPr="0087705F">
        <w:t>This research shows tha</w:t>
      </w:r>
      <w:r w:rsidR="0087705F">
        <w:t>t the sun, sexual activity</w:t>
      </w:r>
      <w:r>
        <w:t xml:space="preserve"> and spiritual beliefs were all inter-related. T</w:t>
      </w:r>
      <w:r w:rsidRPr="00750A70">
        <w:t xml:space="preserve">he </w:t>
      </w:r>
      <w:r w:rsidRPr="005F405B">
        <w:rPr>
          <w:i/>
        </w:rPr>
        <w:t>Book of the Earth</w:t>
      </w:r>
      <w:r w:rsidRPr="00750A70">
        <w:t xml:space="preserve"> contains symbolism of a solar god ejaculating a child and fire. There is also evidence that the father, Re/Atum (sun disc) and son, Shu (</w:t>
      </w:r>
      <w:r w:rsidR="001E5729">
        <w:t>sunlight</w:t>
      </w:r>
      <w:r w:rsidRPr="00750A70">
        <w:t>) are considered emanations of</w:t>
      </w:r>
      <w:r>
        <w:t xml:space="preserve"> each other, so the light is one entity, whilst the disc is another. Pre-dawn light is important as is the liminal land of the south east, the area of the rising sun associated with ithyphallic Min, but also mysterious and enigmatic or cryptographic solar texts. In the</w:t>
      </w:r>
      <w:r w:rsidRPr="00883A85">
        <w:t xml:space="preserve"> second golden shrine of the tomb of Tutankhamun</w:t>
      </w:r>
      <w:r>
        <w:t xml:space="preserve"> it is written that rays of light pour directly into the bodies of the figures. The power and the regenerative ability of light were important, the god and the light represented fertility and procreation at its best and this will be compared </w:t>
      </w:r>
      <w:commentRangeStart w:id="54"/>
      <w:r>
        <w:t>to the Christian material, where light passes into the womb of Mary.</w:t>
      </w:r>
      <w:commentRangeEnd w:id="54"/>
      <w:r w:rsidR="002F66C5">
        <w:rPr>
          <w:rStyle w:val="CommentReference"/>
        </w:rPr>
        <w:commentReference w:id="54"/>
      </w:r>
    </w:p>
    <w:p w14:paraId="3DBFD537" w14:textId="77777777" w:rsidR="00A97456" w:rsidRPr="00B147A6" w:rsidRDefault="009220BC" w:rsidP="0013278D">
      <w:pPr>
        <w:pStyle w:val="Heading1"/>
        <w:rPr>
          <w:sz w:val="36"/>
          <w:szCs w:val="36"/>
        </w:rPr>
      </w:pPr>
      <w:bookmarkStart w:id="55" w:name="_Toc398190018"/>
      <w:r>
        <w:rPr>
          <w:sz w:val="36"/>
          <w:szCs w:val="36"/>
        </w:rPr>
        <w:lastRenderedPageBreak/>
        <w:t>Section Three:</w:t>
      </w:r>
      <w:r w:rsidR="00A97456" w:rsidRPr="00B147A6">
        <w:rPr>
          <w:sz w:val="36"/>
          <w:szCs w:val="36"/>
        </w:rPr>
        <w:t xml:space="preserve">  Derveni Theogony</w:t>
      </w:r>
      <w:bookmarkEnd w:id="55"/>
    </w:p>
    <w:p w14:paraId="03637D3F" w14:textId="77777777" w:rsidR="00A97456" w:rsidRPr="00B147A6" w:rsidRDefault="00A97456" w:rsidP="003B1489">
      <w:pPr>
        <w:spacing w:line="360" w:lineRule="auto"/>
      </w:pPr>
    </w:p>
    <w:p w14:paraId="1AC87A55" w14:textId="77777777" w:rsidR="00A97456" w:rsidRPr="00B147A6" w:rsidRDefault="00A97456" w:rsidP="003B1489">
      <w:pPr>
        <w:spacing w:line="360" w:lineRule="auto"/>
      </w:pPr>
    </w:p>
    <w:p w14:paraId="1809DB4F" w14:textId="77777777" w:rsidR="00A97456" w:rsidRPr="00B147A6" w:rsidRDefault="00A97456" w:rsidP="003B1489">
      <w:pPr>
        <w:spacing w:line="360" w:lineRule="auto"/>
      </w:pPr>
      <w:r w:rsidRPr="00B147A6">
        <w:t xml:space="preserve">In this section, it will be argued that phallic solarism found its way into Orphic beliefs and the </w:t>
      </w:r>
      <w:r w:rsidRPr="005F405B">
        <w:rPr>
          <w:i/>
        </w:rPr>
        <w:t>Derveni Papyrus</w:t>
      </w:r>
      <w:r>
        <w:t>. The Papyrus has been dated c.</w:t>
      </w:r>
      <w:r w:rsidRPr="00B147A6">
        <w:t xml:space="preserve"> 3</w:t>
      </w:r>
      <w:r>
        <w:t xml:space="preserve">40 - </w:t>
      </w:r>
      <w:r w:rsidRPr="00B147A6">
        <w:t>320BCE, but repeats a fifth century BCE work and theogony by an unknown author who details and discusses the work of Orpheus.</w:t>
      </w:r>
      <w:r w:rsidRPr="00B147A6">
        <w:rPr>
          <w:vertAlign w:val="superscript"/>
        </w:rPr>
        <w:footnoteReference w:id="107"/>
      </w:r>
      <w:r w:rsidRPr="00B147A6">
        <w:t xml:space="preserve"> The extant pieces comprise of twenty six short columns which are mainly about air/Mind/Zeus and can be summarised as information on the powers and appeasement of the Eumenides/Erinyes, the horrors of Hades and an explanation of riddles in a hymn by Orpheus concerning divinity, theogony and cosmogony.</w:t>
      </w:r>
      <w:r w:rsidRPr="00B147A6">
        <w:rPr>
          <w:vertAlign w:val="superscript"/>
        </w:rPr>
        <w:footnoteReference w:id="108"/>
      </w:r>
      <w:r w:rsidRPr="00B147A6">
        <w:t xml:space="preserve"> In this male favoured theogony, Zeus swallows the genitals of his father to become pregnant and then gives birth to the whole of nature. However, the succession is constantly confused with Mind/air, Cronos and Zeus all being emanations of the same god, whilst still being Zeus.</w:t>
      </w:r>
    </w:p>
    <w:p w14:paraId="4D2F23AA" w14:textId="77777777" w:rsidR="00A97456" w:rsidRPr="00B147A6" w:rsidRDefault="00A97456" w:rsidP="003B1489">
      <w:pPr>
        <w:spacing w:line="360" w:lineRule="auto"/>
      </w:pPr>
    </w:p>
    <w:p w14:paraId="247812EA" w14:textId="77777777" w:rsidR="00A97456" w:rsidRDefault="0087705F" w:rsidP="003B1489">
      <w:pPr>
        <w:spacing w:line="360" w:lineRule="auto"/>
      </w:pPr>
      <w:r>
        <w:t>Richard Janko hails it</w:t>
      </w:r>
      <w:r w:rsidR="00A97456" w:rsidRPr="00B147A6">
        <w:t xml:space="preserve"> as the `most important text relating to early Greek literature, science, religion and philosophy to have come to light since the Renaissance.`</w:t>
      </w:r>
      <w:r w:rsidR="00A97456" w:rsidRPr="00B147A6">
        <w:rPr>
          <w:vertAlign w:val="superscript"/>
        </w:rPr>
        <w:footnoteReference w:id="109"/>
      </w:r>
      <w:r w:rsidR="00A97456" w:rsidRPr="00B147A6">
        <w:t xml:space="preserve"> The official translation with introduction and commentaries by four Greek scholars </w:t>
      </w:r>
      <w:r w:rsidR="00A97456" w:rsidRPr="00B147A6">
        <w:lastRenderedPageBreak/>
        <w:t>from the University of Thessaloniki took 44 years to complete and was finally published in 2006. It includes the theories of other scholars who commented in the intervening years, but naturally there are areas of debate and contention because of its potential importance in understanding the scientific, philosophical and religious eruptions and ferment of the fifth century BCE.</w:t>
      </w:r>
      <w:r w:rsidR="00A97456" w:rsidRPr="00B147A6">
        <w:rPr>
          <w:vertAlign w:val="superscript"/>
        </w:rPr>
        <w:footnoteReference w:id="110"/>
      </w:r>
      <w:r w:rsidR="00A97456" w:rsidRPr="00B147A6">
        <w:t xml:space="preserve"> Pierre Leveque (1921 – 2004) argues that this particular century has been described as one in which there was an effort to give dignity to humankind through the knowledge of absolutes rather than anecdotes, and aspirations of order and </w:t>
      </w:r>
      <w:commentRangeStart w:id="56"/>
      <w:r w:rsidR="00A97456" w:rsidRPr="00B147A6">
        <w:t>harmony became part of religious fervour at the beginning of this century.</w:t>
      </w:r>
      <w:r w:rsidR="00A97456" w:rsidRPr="00B147A6">
        <w:rPr>
          <w:vertAlign w:val="superscript"/>
        </w:rPr>
        <w:footnoteReference w:id="111"/>
      </w:r>
      <w:commentRangeEnd w:id="56"/>
      <w:r w:rsidR="00DD4B37">
        <w:rPr>
          <w:rStyle w:val="CommentReference"/>
        </w:rPr>
        <w:commentReference w:id="56"/>
      </w:r>
    </w:p>
    <w:p w14:paraId="2D7A72E6" w14:textId="77777777" w:rsidR="0013436D" w:rsidRDefault="0013436D" w:rsidP="003B1489">
      <w:pPr>
        <w:spacing w:line="360" w:lineRule="auto"/>
      </w:pPr>
    </w:p>
    <w:p w14:paraId="4D96BDDE" w14:textId="77777777" w:rsidR="003E0FDF" w:rsidRDefault="003E0FDF" w:rsidP="003B1489">
      <w:pPr>
        <w:spacing w:line="360" w:lineRule="auto"/>
      </w:pPr>
    </w:p>
    <w:p w14:paraId="2AFEBF19" w14:textId="77777777" w:rsidR="0013436D" w:rsidRPr="00B147A6" w:rsidRDefault="0013436D" w:rsidP="0013436D">
      <w:pPr>
        <w:pStyle w:val="Heading2"/>
      </w:pPr>
      <w:bookmarkStart w:id="57" w:name="_Toc398190019"/>
      <w:r>
        <w:t>Section Literary Review</w:t>
      </w:r>
      <w:bookmarkEnd w:id="57"/>
    </w:p>
    <w:p w14:paraId="09F5E692" w14:textId="77777777" w:rsidR="00A97456" w:rsidRPr="00B147A6" w:rsidRDefault="00A97456" w:rsidP="003B1489">
      <w:pPr>
        <w:spacing w:line="360" w:lineRule="auto"/>
      </w:pPr>
    </w:p>
    <w:p w14:paraId="399B2344" w14:textId="77777777" w:rsidR="00A97456" w:rsidRPr="00B147A6" w:rsidRDefault="00A97456" w:rsidP="003B1489">
      <w:pPr>
        <w:spacing w:line="360" w:lineRule="auto"/>
      </w:pPr>
      <w:r w:rsidRPr="00B147A6">
        <w:t xml:space="preserve">Literature which comments specifically on the phallic solarism within the </w:t>
      </w:r>
      <w:r w:rsidRPr="005F405B">
        <w:rPr>
          <w:i/>
        </w:rPr>
        <w:t>Derveni Papyrus</w:t>
      </w:r>
      <w:r w:rsidRPr="00B147A6">
        <w:t xml:space="preserve"> is meagre. Richard Janko, Andre Laks, Radcliffe Edmonds, Gabor Betegh, Alberto Bernabe and the publishers of the text, Theokritos Kouremenos, George M. Parassoglou and Kyriakos Tsantsanoglou, all write on various philosophical and translative aspects, but do not focus on the phallic aspects of it in relation to solarism in particular. However,</w:t>
      </w:r>
      <w:r w:rsidR="0087705F" w:rsidRPr="0087705F">
        <w:t xml:space="preserve"> </w:t>
      </w:r>
      <w:r w:rsidR="0087705F" w:rsidRPr="00B147A6">
        <w:t>Walter Burkert</w:t>
      </w:r>
      <w:r w:rsidRPr="00B147A6">
        <w:t xml:space="preserve"> argues an eastern context to Greek </w:t>
      </w:r>
      <w:r w:rsidR="0087705F">
        <w:t>culture and</w:t>
      </w:r>
      <w:r w:rsidRPr="00B147A6">
        <w:t xml:space="preserve"> make</w:t>
      </w:r>
      <w:r w:rsidR="0087705F">
        <w:t>s</w:t>
      </w:r>
      <w:r w:rsidRPr="00B147A6">
        <w:t xml:space="preserve"> a comparison of the male onanism and pregnancy found in Egyptian mythology with that in the </w:t>
      </w:r>
      <w:r w:rsidRPr="005F405B">
        <w:rPr>
          <w:i/>
        </w:rPr>
        <w:t xml:space="preserve">Derveni </w:t>
      </w:r>
      <w:r w:rsidRPr="005F405B">
        <w:rPr>
          <w:i/>
        </w:rPr>
        <w:lastRenderedPageBreak/>
        <w:t>Papyrus</w:t>
      </w:r>
      <w:r w:rsidRPr="00B147A6">
        <w:t>.</w:t>
      </w:r>
      <w:r w:rsidRPr="00B147A6">
        <w:rPr>
          <w:vertAlign w:val="superscript"/>
        </w:rPr>
        <w:footnoteReference w:id="112"/>
      </w:r>
      <w:r w:rsidRPr="00B147A6">
        <w:t xml:space="preserve"> Burkert also compares the Zeus’ swallowing of the phallus with a </w:t>
      </w:r>
      <w:r w:rsidR="004302C2">
        <w:t xml:space="preserve">c. thirteenth – fourteenth century BCE </w:t>
      </w:r>
      <w:r w:rsidRPr="00B147A6">
        <w:t xml:space="preserve">Hittite text </w:t>
      </w:r>
      <w:r w:rsidR="00A852E8">
        <w:t xml:space="preserve">called </w:t>
      </w:r>
      <w:r w:rsidR="00A852E8" w:rsidRPr="00A852E8">
        <w:rPr>
          <w:i/>
        </w:rPr>
        <w:t>Kingship in Heaven</w:t>
      </w:r>
      <w:r w:rsidR="00A852E8">
        <w:t>, in which</w:t>
      </w:r>
      <w:r w:rsidRPr="00B147A6">
        <w:t xml:space="preserve"> Kumarbi</w:t>
      </w:r>
      <w:r w:rsidR="00A852E8">
        <w:t>s bites off Anus'</w:t>
      </w:r>
      <w:r w:rsidR="002A1F35">
        <w:t xml:space="preserve"> penis and becomes</w:t>
      </w:r>
      <w:r w:rsidRPr="00B147A6">
        <w:t xml:space="preserve"> pregnant</w:t>
      </w:r>
      <w:r w:rsidR="002A1F35">
        <w:t xml:space="preserve">; </w:t>
      </w:r>
      <w:r w:rsidRPr="00B147A6">
        <w:t xml:space="preserve"> this comparison is paraphrased by Bernabe and Tsantsanoglou.</w:t>
      </w:r>
      <w:r w:rsidRPr="00B147A6">
        <w:rPr>
          <w:vertAlign w:val="superscript"/>
        </w:rPr>
        <w:footnoteReference w:id="113"/>
      </w:r>
      <w:r w:rsidRPr="00B147A6">
        <w:t xml:space="preserve"> But Burkert also suggests that the storyline in the </w:t>
      </w:r>
      <w:r w:rsidRPr="005F405B">
        <w:rPr>
          <w:i/>
        </w:rPr>
        <w:t>Derveni Papyrus</w:t>
      </w:r>
      <w:r w:rsidRPr="00B147A6">
        <w:t xml:space="preserve"> is `unequivocally Egyptian` by tradition and he offers examples of Egyptian sexual practice and phallism that he believes Orpheus adopted.</w:t>
      </w:r>
      <w:r w:rsidRPr="00B147A6">
        <w:rPr>
          <w:vertAlign w:val="superscript"/>
        </w:rPr>
        <w:footnoteReference w:id="114"/>
      </w:r>
      <w:r w:rsidR="0013436D">
        <w:t xml:space="preserve"> </w:t>
      </w:r>
      <w:r w:rsidRPr="00B147A6">
        <w:t>However, Burkert’s suggestion that Diogenes Laertius' reference to Orpheus and fellatio should be considered becomes a footnote in Kouremenos’ commentary on the Papyrus, although it was supported by Betegh.</w:t>
      </w:r>
      <w:r w:rsidRPr="00B147A6">
        <w:rPr>
          <w:vertAlign w:val="superscript"/>
        </w:rPr>
        <w:footnoteReference w:id="115"/>
      </w:r>
      <w:r w:rsidRPr="00B147A6">
        <w:t xml:space="preserve"> Luc Brisson does not </w:t>
      </w:r>
      <w:r w:rsidR="002A1F35">
        <w:t xml:space="preserve">appear to </w:t>
      </w:r>
      <w:r w:rsidRPr="00B147A6">
        <w:t>accept Burke</w:t>
      </w:r>
      <w:r>
        <w:t>r</w:t>
      </w:r>
      <w:r w:rsidRPr="00B147A6">
        <w:t>t’s arguments or the possibility that the Hittite myth cou</w:t>
      </w:r>
      <w:r w:rsidR="002A1F35">
        <w:t>ld have been an influence;</w:t>
      </w:r>
      <w:r w:rsidR="004302C2">
        <w:t xml:space="preserve"> does not</w:t>
      </w:r>
      <w:r w:rsidRPr="00B147A6">
        <w:t xml:space="preserve"> consider an Egyptian influence at all, but strongly asserts that the Ouranus’ penis</w:t>
      </w:r>
      <w:r w:rsidRPr="00B147A6">
        <w:rPr>
          <w:i/>
        </w:rPr>
        <w:t xml:space="preserve"> is</w:t>
      </w:r>
      <w:r w:rsidRPr="00B147A6">
        <w:t xml:space="preserve"> the sun.</w:t>
      </w:r>
      <w:r w:rsidRPr="00B147A6">
        <w:rPr>
          <w:vertAlign w:val="superscript"/>
        </w:rPr>
        <w:footnoteReference w:id="116"/>
      </w:r>
      <w:r w:rsidRPr="00B147A6">
        <w:t xml:space="preserve"> </w:t>
      </w:r>
    </w:p>
    <w:p w14:paraId="0FA4B256" w14:textId="77777777" w:rsidR="006B0248" w:rsidRDefault="006B0248" w:rsidP="00D53BC7">
      <w:pPr>
        <w:pStyle w:val="Heading2"/>
        <w:rPr>
          <w:rFonts w:ascii="Palatino Linotype" w:eastAsiaTheme="minorHAnsi" w:hAnsi="Palatino Linotype" w:cstheme="minorBidi"/>
          <w:bCs w:val="0"/>
          <w:sz w:val="24"/>
          <w:szCs w:val="22"/>
        </w:rPr>
      </w:pPr>
      <w:bookmarkStart w:id="58" w:name="_Toc398190020"/>
    </w:p>
    <w:p w14:paraId="3C5A3D6C" w14:textId="77777777" w:rsidR="00D53BC7" w:rsidRDefault="00D53BC7" w:rsidP="00D53BC7">
      <w:pPr>
        <w:pStyle w:val="Heading2"/>
      </w:pPr>
      <w:r>
        <w:t>Examination of Derveni Papyrus</w:t>
      </w:r>
      <w:bookmarkEnd w:id="58"/>
    </w:p>
    <w:p w14:paraId="6CF32A34" w14:textId="77777777" w:rsidR="00D53BC7" w:rsidRDefault="00D53BC7" w:rsidP="003B1489">
      <w:pPr>
        <w:spacing w:line="360" w:lineRule="auto"/>
      </w:pPr>
    </w:p>
    <w:p w14:paraId="47A70227" w14:textId="77777777" w:rsidR="00A97456" w:rsidRPr="00B147A6" w:rsidRDefault="00A97456" w:rsidP="003B1489">
      <w:pPr>
        <w:spacing w:line="360" w:lineRule="auto"/>
      </w:pPr>
      <w:r w:rsidRPr="00B147A6">
        <w:lastRenderedPageBreak/>
        <w:t>Tsantsanoglou tentatively considers that the author was an `Ionian physiologos` who speaks in an informal way.</w:t>
      </w:r>
      <w:r w:rsidRPr="00B147A6">
        <w:rPr>
          <w:vertAlign w:val="superscript"/>
        </w:rPr>
        <w:footnoteReference w:id="117"/>
      </w:r>
      <w:r w:rsidRPr="00B147A6">
        <w:t xml:space="preserve"> According to James Lesher, the Ionian physiologos’ have been identified as natural philosophers and described as adventurous, scientific, lively and inquisitive group who challenged conventional religious ideas, phenomenal existence and human knowledge.</w:t>
      </w:r>
      <w:r w:rsidRPr="00B147A6">
        <w:rPr>
          <w:vertAlign w:val="superscript"/>
        </w:rPr>
        <w:footnoteReference w:id="118"/>
      </w:r>
      <w:r w:rsidRPr="00B147A6">
        <w:t xml:space="preserve"> I will quote from the relevant parts of the Papyrus before examining the commentary further. In the papyrus, the Derveni author is offering his understanding of a hymn written by Orpheus and the author paraphrases Orpheus and gives an interpretation. The first column which concerns this investigation is Col IX in which Zeus or air/Mind separates the fire/sun from the primordial universe, allowing the universe to cool and condense.</w:t>
      </w:r>
      <w:r w:rsidRPr="00B147A6">
        <w:rPr>
          <w:vertAlign w:val="superscript"/>
        </w:rPr>
        <w:footnoteReference w:id="119"/>
      </w:r>
      <w:r w:rsidRPr="00B147A6">
        <w:t xml:space="preserve"> </w:t>
      </w:r>
    </w:p>
    <w:p w14:paraId="6D0A7658" w14:textId="77777777" w:rsidR="00A97456" w:rsidRPr="00B147A6" w:rsidRDefault="00A97456" w:rsidP="003B1489">
      <w:pPr>
        <w:spacing w:line="360" w:lineRule="auto"/>
      </w:pPr>
    </w:p>
    <w:p w14:paraId="456B088D" w14:textId="77777777" w:rsidR="00A97456" w:rsidRPr="00B147A6" w:rsidRDefault="00A97456" w:rsidP="003B1489">
      <w:pPr>
        <w:spacing w:line="360" w:lineRule="auto"/>
      </w:pPr>
      <w:r w:rsidRPr="00B147A6">
        <w:t>In Col XIII Orpheus is quoted as saying `”the reverend one he swallowed, who first sprung out of the aither.”`</w:t>
      </w:r>
      <w:r w:rsidRPr="00B147A6">
        <w:rPr>
          <w:vertAlign w:val="superscript"/>
        </w:rPr>
        <w:footnoteReference w:id="120"/>
      </w:r>
      <w:r w:rsidRPr="00B147A6">
        <w:t xml:space="preserve"> This is qualified by the Derveni author in the following way: `….seeing that people consider all birth to depend on the genitals and that without the genitals there can be no birth, he used this word and likened the sun to a genital organ.`</w:t>
      </w:r>
      <w:r w:rsidRPr="00B147A6">
        <w:rPr>
          <w:vertAlign w:val="superscript"/>
        </w:rPr>
        <w:footnoteReference w:id="121"/>
      </w:r>
      <w:r w:rsidRPr="00B147A6">
        <w:t xml:space="preserve"> A clear reference that the author thinks that the sun is a genital organ.</w:t>
      </w:r>
    </w:p>
    <w:p w14:paraId="3633E95B" w14:textId="77777777" w:rsidR="00A97456" w:rsidRPr="00B147A6" w:rsidRDefault="00A97456" w:rsidP="003B1489">
      <w:pPr>
        <w:spacing w:line="360" w:lineRule="auto"/>
      </w:pPr>
    </w:p>
    <w:p w14:paraId="008C23A0" w14:textId="77777777" w:rsidR="00A97456" w:rsidRPr="00B147A6" w:rsidRDefault="00A97456" w:rsidP="003B1489">
      <w:pPr>
        <w:spacing w:line="360" w:lineRule="auto"/>
      </w:pPr>
      <w:r w:rsidRPr="00B147A6">
        <w:t>Column XIV is controversial, in the translation,</w:t>
      </w:r>
      <w:r>
        <w:t xml:space="preserve"> </w:t>
      </w:r>
      <w:r w:rsidRPr="00B147A6">
        <w:t xml:space="preserve">it says something was caused `to spring out of the brightest and hottest having </w:t>
      </w:r>
      <w:r w:rsidRPr="00B147A6">
        <w:lastRenderedPageBreak/>
        <w:t>been separated from itself.` And in a discussion on it Kouremenos speculates that it describes how a glorious and reverend sun-like entity who was to be swallowed by Zeus, sprang forth from the ether.</w:t>
      </w:r>
      <w:r w:rsidRPr="00B147A6">
        <w:rPr>
          <w:vertAlign w:val="superscript"/>
        </w:rPr>
        <w:footnoteReference w:id="122"/>
      </w:r>
      <w:r w:rsidRPr="00B147A6">
        <w:t xml:space="preserve"> </w:t>
      </w:r>
    </w:p>
    <w:p w14:paraId="1B3F6341" w14:textId="77777777" w:rsidR="00A97456" w:rsidRPr="00B147A6" w:rsidRDefault="00A97456" w:rsidP="003B1489">
      <w:pPr>
        <w:spacing w:line="360" w:lineRule="auto"/>
      </w:pPr>
    </w:p>
    <w:p w14:paraId="69CF7BF2" w14:textId="77777777" w:rsidR="00A97456" w:rsidRPr="00B147A6" w:rsidRDefault="00A97456" w:rsidP="003B1489">
      <w:pPr>
        <w:spacing w:line="360" w:lineRule="auto"/>
      </w:pPr>
      <w:r w:rsidRPr="00B147A6">
        <w:t>Column XV says that `</w:t>
      </w:r>
      <w:r w:rsidRPr="00B147A6">
        <w:rPr>
          <w:rFonts w:eastAsia="Times New Roman" w:cs="Times New Roman"/>
          <w:szCs w:val="24"/>
          <w:lang w:eastAsia="en-GB"/>
        </w:rPr>
        <w:t xml:space="preserve"> </w:t>
      </w:r>
      <w:r w:rsidRPr="00B147A6">
        <w:t>For when the sun is separated and confined in the middle, it (sc. Mind) holds fast, having fixed them, both those above the sun and those below.`</w:t>
      </w:r>
      <w:r w:rsidRPr="00B147A6">
        <w:rPr>
          <w:vertAlign w:val="superscript"/>
        </w:rPr>
        <w:footnoteReference w:id="123"/>
      </w:r>
    </w:p>
    <w:p w14:paraId="57D2D542" w14:textId="77777777" w:rsidR="00A97456" w:rsidRPr="00B147A6" w:rsidRDefault="00A97456" w:rsidP="003B1489">
      <w:pPr>
        <w:spacing w:line="360" w:lineRule="auto"/>
      </w:pPr>
    </w:p>
    <w:p w14:paraId="4E4C1B25" w14:textId="77777777" w:rsidR="00A97456" w:rsidRPr="00B147A6" w:rsidRDefault="00A97456" w:rsidP="003B1489">
      <w:pPr>
        <w:spacing w:line="360" w:lineRule="auto"/>
      </w:pPr>
      <w:r w:rsidRPr="00B147A6">
        <w:t>Column XVI tells us that `he called the sun a genital organ has been made clear.`, and goes on to describe how the First-born king then gives birth to everything after gestating it. (This is after swallowing the penis in Col. XIII) This re-sets the Universe once more as everything is re-created.</w:t>
      </w:r>
      <w:r w:rsidRPr="00B147A6">
        <w:rPr>
          <w:vertAlign w:val="superscript"/>
        </w:rPr>
        <w:footnoteReference w:id="124"/>
      </w:r>
    </w:p>
    <w:p w14:paraId="58BA2FEF" w14:textId="77777777" w:rsidR="00A97456" w:rsidRPr="00B147A6" w:rsidRDefault="00A97456" w:rsidP="003B1489">
      <w:pPr>
        <w:spacing w:line="360" w:lineRule="auto"/>
      </w:pPr>
    </w:p>
    <w:p w14:paraId="79CDC753" w14:textId="77777777" w:rsidR="00A97456" w:rsidRPr="00B147A6" w:rsidRDefault="00A97456" w:rsidP="003B1489">
      <w:pPr>
        <w:spacing w:line="360" w:lineRule="auto"/>
      </w:pPr>
      <w:proofErr w:type="gramStart"/>
      <w:r w:rsidRPr="00B147A6">
        <w:t>Finally ,</w:t>
      </w:r>
      <w:proofErr w:type="gramEnd"/>
      <w:r w:rsidRPr="00B147A6">
        <w:t xml:space="preserve"> in column XXVI, the author appears to want to explain how it is that Zeus desires to copulate with his mother.</w:t>
      </w:r>
      <w:r w:rsidRPr="00B147A6">
        <w:rPr>
          <w:vertAlign w:val="superscript"/>
        </w:rPr>
        <w:footnoteReference w:id="125"/>
      </w:r>
      <w:r>
        <w:t xml:space="preserve"> </w:t>
      </w:r>
      <w:r w:rsidRPr="00B147A6">
        <w:t xml:space="preserve">This ends the relevant quotes from the official publication.  </w:t>
      </w:r>
    </w:p>
    <w:p w14:paraId="6664C3BF" w14:textId="77777777" w:rsidR="00A97456" w:rsidRPr="00B147A6" w:rsidRDefault="00A97456" w:rsidP="003B1489">
      <w:pPr>
        <w:spacing w:line="360" w:lineRule="auto"/>
      </w:pPr>
    </w:p>
    <w:p w14:paraId="42B65552" w14:textId="77777777" w:rsidR="00A97456" w:rsidRPr="00B147A6" w:rsidRDefault="00A97456" w:rsidP="003B1489">
      <w:pPr>
        <w:spacing w:line="360" w:lineRule="auto"/>
      </w:pPr>
      <w:r w:rsidRPr="00B147A6">
        <w:t xml:space="preserve">In 2004, before the full and complete publication of the </w:t>
      </w:r>
      <w:r w:rsidRPr="005F405B">
        <w:rPr>
          <w:i/>
        </w:rPr>
        <w:t>Derveni Papyrus</w:t>
      </w:r>
      <w:r w:rsidR="004302C2">
        <w:t>, Betegh referred</w:t>
      </w:r>
      <w:r w:rsidRPr="00B147A6">
        <w:t xml:space="preserve"> to the main academic commentators and presented a lengthy debate about the translation problems of the Greek text within the Papyrus.</w:t>
      </w:r>
      <w:r w:rsidRPr="00B147A6">
        <w:rPr>
          <w:vertAlign w:val="superscript"/>
        </w:rPr>
        <w:footnoteReference w:id="126"/>
      </w:r>
      <w:r w:rsidRPr="00B147A6">
        <w:t xml:space="preserve">  He detailed the difficulty of deciding if Col. XIII could be translated as declaring that Zeus </w:t>
      </w:r>
      <w:r w:rsidRPr="00B147A6">
        <w:lastRenderedPageBreak/>
        <w:t xml:space="preserve">`swallowed the phallus of….. </w:t>
      </w:r>
      <w:proofErr w:type="gramStart"/>
      <w:r w:rsidRPr="00B147A6">
        <w:t>who</w:t>
      </w:r>
      <w:proofErr w:type="gramEnd"/>
      <w:r w:rsidRPr="00B147A6">
        <w:t xml:space="preserve"> sprang from the aither first`.</w:t>
      </w:r>
      <w:r w:rsidRPr="00B147A6">
        <w:rPr>
          <w:vertAlign w:val="superscript"/>
        </w:rPr>
        <w:footnoteReference w:id="127"/>
      </w:r>
      <w:r w:rsidRPr="00B147A6">
        <w:t xml:space="preserve"> Betegh pointed out that all commentators agreed that Zeus swallowed something, but what he swallowed was hotly debated.</w:t>
      </w:r>
      <w:r w:rsidRPr="00B147A6">
        <w:rPr>
          <w:vertAlign w:val="superscript"/>
        </w:rPr>
        <w:footnoteReference w:id="128"/>
      </w:r>
      <w:r w:rsidRPr="00B147A6">
        <w:t xml:space="preserve"> In his exami</w:t>
      </w:r>
      <w:r w:rsidR="00871EFB">
        <w:t xml:space="preserve">nation, Betegh uses the previously mentioned Hittite story called </w:t>
      </w:r>
      <w:r w:rsidR="00871EFB" w:rsidRPr="00871EFB">
        <w:rPr>
          <w:i/>
        </w:rPr>
        <w:t>Kingship in Heaven</w:t>
      </w:r>
      <w:r w:rsidR="00871EFB" w:rsidRPr="00871EFB">
        <w:t xml:space="preserve"> </w:t>
      </w:r>
      <w:r w:rsidRPr="00B147A6">
        <w:t xml:space="preserve">as a potential mythic antecedent to the story in the </w:t>
      </w:r>
      <w:r w:rsidRPr="005F405B">
        <w:rPr>
          <w:i/>
        </w:rPr>
        <w:t>Derveni Papyrus</w:t>
      </w:r>
      <w:r w:rsidRPr="00B147A6">
        <w:t>.</w:t>
      </w:r>
      <w:r w:rsidRPr="00B147A6">
        <w:rPr>
          <w:vertAlign w:val="superscript"/>
        </w:rPr>
        <w:footnoteReference w:id="129"/>
      </w:r>
      <w:r w:rsidRPr="00B147A6">
        <w:t xml:space="preserve">  The choice of this myth ignores any Egyptian evidence, but still highlights the theme of a masculine deity gestating progeny after ingesting semen, irrespective of how the semen was swallowed.  Although he felt the argument carried little weight, Kouremenos refers to `the despicable practice of fellatio attributed to gods by Orpheus`- a quote said to come from Diogenes Laertius and which Burkert and Betegh discuss in their work.</w:t>
      </w:r>
      <w:r w:rsidRPr="00B147A6">
        <w:rPr>
          <w:vertAlign w:val="superscript"/>
        </w:rPr>
        <w:footnoteReference w:id="130"/>
      </w:r>
      <w:r>
        <w:t xml:space="preserve"> </w:t>
      </w:r>
      <w:r w:rsidRPr="00B147A6">
        <w:t>English translations of the Laertius text do not use the word fel</w:t>
      </w:r>
      <w:r w:rsidR="004302C2">
        <w:t>latio,</w:t>
      </w:r>
      <w:r w:rsidRPr="00B147A6">
        <w:t xml:space="preserve"> but the academic commentators listed here do not question the validity of the term` fellatio`. In general, Kouremenos et al. do not approach the sexual aspects of the papyrus as keenly as other commentators and spend time making comparisons to the Orphic Rhapsodies, but these were composed 500 years after the </w:t>
      </w:r>
      <w:r w:rsidRPr="005F405B">
        <w:rPr>
          <w:i/>
        </w:rPr>
        <w:t>Derveni Papyrus</w:t>
      </w:r>
      <w:r w:rsidRPr="00B147A6">
        <w:t>, so any comparison should take into account the continuing bowdlerising tastes which put Phanes in the place of the phallus.</w:t>
      </w:r>
      <w:r w:rsidRPr="00B147A6">
        <w:rPr>
          <w:vertAlign w:val="superscript"/>
        </w:rPr>
        <w:footnoteReference w:id="131"/>
      </w:r>
      <w:r w:rsidRPr="00B147A6">
        <w:t xml:space="preserve"> </w:t>
      </w:r>
    </w:p>
    <w:p w14:paraId="67F409F2" w14:textId="77777777" w:rsidR="00A97456" w:rsidRPr="00B147A6" w:rsidRDefault="00A97456" w:rsidP="003B1489">
      <w:pPr>
        <w:spacing w:line="360" w:lineRule="auto"/>
      </w:pPr>
    </w:p>
    <w:p w14:paraId="182E7CFB" w14:textId="77777777" w:rsidR="00A97456" w:rsidRPr="00B147A6" w:rsidRDefault="00A97456" w:rsidP="003B1489">
      <w:pPr>
        <w:spacing w:line="360" w:lineRule="auto"/>
      </w:pPr>
      <w:r w:rsidRPr="00B147A6">
        <w:lastRenderedPageBreak/>
        <w:t>Gabor Betegh sums up by saying that the papyrus should be interpreted as meaning that the severed phallus of Ouranus became the sun which Zeus eventually swallowed.</w:t>
      </w:r>
      <w:r w:rsidRPr="00B147A6">
        <w:rPr>
          <w:vertAlign w:val="superscript"/>
        </w:rPr>
        <w:footnoteReference w:id="132"/>
      </w:r>
      <w:r w:rsidRPr="00B147A6">
        <w:t xml:space="preserve"> However, Kouremenos suggests that Orpheus </w:t>
      </w:r>
      <w:r w:rsidRPr="00B147A6">
        <w:rPr>
          <w:i/>
        </w:rPr>
        <w:t>likened</w:t>
      </w:r>
      <w:r w:rsidRPr="00B147A6">
        <w:t xml:space="preserve"> the sun to the masculine bearer of a phallus which was swallowed by Zeus, he says `… the bearer in question stands in for the sun and the sun is similar to the sexual organs in that this celestial body is as necessary for the coming to be of [being] as are the sexual organs for the generation of living beings.`</w:t>
      </w:r>
      <w:r w:rsidRPr="00B147A6">
        <w:rPr>
          <w:vertAlign w:val="superscript"/>
        </w:rPr>
        <w:footnoteReference w:id="133"/>
      </w:r>
      <w:r w:rsidRPr="00B147A6">
        <w:t xml:space="preserve"> Further comment regarding the sun and a phallus comes from Alberto Bernabe, who </w:t>
      </w:r>
      <w:r>
        <w:t xml:space="preserve">translates Col. XIV as follows: </w:t>
      </w:r>
      <w:r w:rsidRPr="00B147A6">
        <w:t>`So Orpheus states that this “Kronos” was born to Earth by the sun [ie. the penis of the sky], because he caused (the elements) to be “thrust” against each other on account of the sun.`</w:t>
      </w:r>
      <w:r w:rsidRPr="00B147A6">
        <w:rPr>
          <w:vertAlign w:val="superscript"/>
        </w:rPr>
        <w:footnoteReference w:id="134"/>
      </w:r>
      <w:r w:rsidRPr="00B147A6">
        <w:t xml:space="preserve"> So in this, Bernabe reads that the sun is the penis in the sky and after quoting from Col. XIII he says that it is clear that the Derveni author believes that Sky/Ouranus’ penis is the sun, which was swallowed by Zeus. Brisson agrees with this saying that the author identifies the sun with a penis and that `Kronos can be said to be born to Earth from the sun, that is, Ouranos’ sexual organ</w:t>
      </w:r>
      <w:proofErr w:type="gramStart"/>
      <w:r w:rsidRPr="00B147A6">
        <w:t>.`</w:t>
      </w:r>
      <w:proofErr w:type="gramEnd"/>
      <w:r w:rsidRPr="00B147A6">
        <w:rPr>
          <w:vertAlign w:val="superscript"/>
        </w:rPr>
        <w:footnoteReference w:id="135"/>
      </w:r>
      <w:r w:rsidRPr="00B147A6">
        <w:t xml:space="preserve"> </w:t>
      </w:r>
    </w:p>
    <w:p w14:paraId="4A7D6A85" w14:textId="77777777" w:rsidR="00A97456" w:rsidRPr="00B147A6" w:rsidRDefault="00A97456" w:rsidP="003B1489">
      <w:pPr>
        <w:spacing w:line="360" w:lineRule="auto"/>
      </w:pPr>
    </w:p>
    <w:p w14:paraId="486C5924" w14:textId="77777777" w:rsidR="00A97456" w:rsidRPr="00B147A6" w:rsidRDefault="00A97456" w:rsidP="003B1489">
      <w:pPr>
        <w:spacing w:line="360" w:lineRule="auto"/>
      </w:pPr>
      <w:r w:rsidRPr="00B147A6">
        <w:t>The Hesiodic theogony may precede the Derveni’s Orphic poem by 200 years but is less sexually explicit with no specific mention of fellatio and ingestion of semen.</w:t>
      </w:r>
      <w:r w:rsidRPr="00B147A6">
        <w:rPr>
          <w:vertAlign w:val="superscript"/>
        </w:rPr>
        <w:footnoteReference w:id="136"/>
      </w:r>
      <w:r w:rsidRPr="00B147A6">
        <w:t xml:space="preserve"> In Hesiod’s theogony, Cronos cuts off the `members` of his father and the contents fall </w:t>
      </w:r>
      <w:r w:rsidRPr="00B147A6">
        <w:lastRenderedPageBreak/>
        <w:t>to Earth, producing other deities.</w:t>
      </w:r>
      <w:r w:rsidRPr="00B147A6">
        <w:rPr>
          <w:vertAlign w:val="superscript"/>
        </w:rPr>
        <w:footnoteReference w:id="137"/>
      </w:r>
      <w:r w:rsidRPr="00B147A6">
        <w:t xml:space="preserve"> Then he swallows his own children as babies and regurgitates them later.</w:t>
      </w:r>
      <w:r w:rsidRPr="00B147A6">
        <w:rPr>
          <w:vertAlign w:val="superscript"/>
        </w:rPr>
        <w:footnoteReference w:id="138"/>
      </w:r>
      <w:r w:rsidRPr="00B147A6">
        <w:t xml:space="preserve">  Here we still see an understanding that the phallus contains the power of reproduction and a masculine figure swallows and incubates children. G. S. Kirk et al. compare the Orphic theogony with the Hesiodic theogony and asks the question `Where does the phallus come from</w:t>
      </w:r>
      <w:proofErr w:type="gramStart"/>
      <w:r w:rsidRPr="00B147A6">
        <w:t>?`</w:t>
      </w:r>
      <w:proofErr w:type="gramEnd"/>
      <w:r w:rsidRPr="00B147A6">
        <w:t>.</w:t>
      </w:r>
      <w:r w:rsidRPr="00B147A6">
        <w:rPr>
          <w:vertAlign w:val="superscript"/>
        </w:rPr>
        <w:footnoteReference w:id="139"/>
      </w:r>
      <w:r w:rsidRPr="00B147A6">
        <w:t xml:space="preserve"> To answer this, they</w:t>
      </w:r>
      <w:r w:rsidR="00560A41">
        <w:t xml:space="preserve"> also look at the </w:t>
      </w:r>
      <w:r w:rsidR="00560A41" w:rsidRPr="00560A41">
        <w:rPr>
          <w:i/>
        </w:rPr>
        <w:t>Kingship in Heaven</w:t>
      </w:r>
      <w:r w:rsidRPr="00B147A6">
        <w:t xml:space="preserve"> myth that Burkert and Betegh cite as a precursor to a succession myth with a phalli</w:t>
      </w:r>
      <w:r>
        <w:t xml:space="preserve">c element to it. However, </w:t>
      </w:r>
      <w:r w:rsidRPr="00B147A6">
        <w:t>Kirk et al. do write briefly that `One is reminded of Egyptian cosmological accounts in which the first world-constituents are produced by the onanism of a primeval god, notably that of Amun-Re mentioned in the Memphis theology (ANET, 5)`(18</w:t>
      </w:r>
      <w:r w:rsidRPr="00B147A6">
        <w:rPr>
          <w:vertAlign w:val="superscript"/>
        </w:rPr>
        <w:t>th</w:t>
      </w:r>
      <w:r w:rsidRPr="00B147A6">
        <w:t xml:space="preserve"> </w:t>
      </w:r>
      <w:commentRangeStart w:id="59"/>
      <w:r w:rsidRPr="00B147A6">
        <w:t>Dynasty).</w:t>
      </w:r>
      <w:r w:rsidRPr="00B147A6">
        <w:rPr>
          <w:vertAlign w:val="superscript"/>
        </w:rPr>
        <w:footnoteReference w:id="140"/>
      </w:r>
      <w:r w:rsidRPr="00B147A6">
        <w:t xml:space="preserve"> </w:t>
      </w:r>
      <w:commentRangeEnd w:id="59"/>
      <w:r w:rsidR="00DD4B37">
        <w:rPr>
          <w:rStyle w:val="CommentReference"/>
        </w:rPr>
        <w:commentReference w:id="59"/>
      </w:r>
      <w:r w:rsidRPr="00B147A6">
        <w:t>Burkert also refers to Atum masturbating and ejaculating Tef</w:t>
      </w:r>
      <w:r>
        <w:t>nut and Shu and remarks that</w:t>
      </w:r>
      <w:r w:rsidRPr="00B147A6">
        <w:t xml:space="preserve"> Orpheus adopted spiritual beliefs from Egypt.</w:t>
      </w:r>
      <w:r w:rsidRPr="00B147A6">
        <w:rPr>
          <w:vertAlign w:val="superscript"/>
        </w:rPr>
        <w:footnoteReference w:id="141"/>
      </w:r>
      <w:r w:rsidRPr="00B147A6">
        <w:t xml:space="preserve">  He argues that funerary plates found in Greek tombs had pictures of `gods of the solar route and decans of unquestionable Egyptian character` and claims that Greek theology had undergone the influence of Osiris and Egypt with some Iranian influences</w:t>
      </w:r>
      <w:proofErr w:type="gramStart"/>
      <w:r w:rsidRPr="00B147A6">
        <w:t>.`</w:t>
      </w:r>
      <w:proofErr w:type="gramEnd"/>
      <w:r w:rsidRPr="00B147A6">
        <w:rPr>
          <w:vertAlign w:val="superscript"/>
        </w:rPr>
        <w:footnoteReference w:id="142"/>
      </w:r>
      <w:r w:rsidRPr="00B147A6">
        <w:t xml:space="preserve"> However, Kirk et al state that `…the idea that human seed is creative and therefore that a primary deity’s seed is cosmologically creative is neither surprising nor illogical.`</w:t>
      </w:r>
      <w:r w:rsidRPr="00B147A6">
        <w:rPr>
          <w:vertAlign w:val="superscript"/>
        </w:rPr>
        <w:footnoteReference w:id="143"/>
      </w:r>
      <w:r w:rsidRPr="00B147A6">
        <w:t xml:space="preserve"> </w:t>
      </w:r>
    </w:p>
    <w:p w14:paraId="7FA49856" w14:textId="77777777" w:rsidR="00A97456" w:rsidRPr="00B147A6" w:rsidRDefault="00A97456" w:rsidP="003B1489">
      <w:pPr>
        <w:spacing w:line="360" w:lineRule="auto"/>
      </w:pPr>
    </w:p>
    <w:p w14:paraId="68750869" w14:textId="77777777" w:rsidR="00A97456" w:rsidRPr="00B147A6" w:rsidRDefault="00A97456" w:rsidP="003B1489">
      <w:pPr>
        <w:spacing w:line="360" w:lineRule="auto"/>
      </w:pPr>
      <w:r w:rsidRPr="00B147A6">
        <w:lastRenderedPageBreak/>
        <w:t xml:space="preserve">Whatever the academic arguments about Zeus being understood to have swallowed the penis, it is clear that the sun was identified as a phallus in the </w:t>
      </w:r>
      <w:r w:rsidRPr="005F405B">
        <w:rPr>
          <w:i/>
        </w:rPr>
        <w:t>Derveni Papyrus</w:t>
      </w:r>
      <w:r>
        <w:t xml:space="preserve">. It is then possible that Zeus may </w:t>
      </w:r>
      <w:r w:rsidRPr="00B147A6">
        <w:t>have swallowed the phallus of his father or grandfather to become the first-born again. Zeus does appear as a demiurge, gestating then regurgitating the whole cosmos after becoming pregnant with it.</w:t>
      </w:r>
      <w:r w:rsidRPr="00B147A6">
        <w:rPr>
          <w:vertAlign w:val="superscript"/>
        </w:rPr>
        <w:footnoteReference w:id="144"/>
      </w:r>
      <w:r w:rsidRPr="00B147A6">
        <w:t xml:space="preserve"> This is comparable to the Egyptian myth of Atum in the Pyramid and </w:t>
      </w:r>
      <w:r w:rsidRPr="005F405B">
        <w:rPr>
          <w:i/>
        </w:rPr>
        <w:t>Coffin Texts</w:t>
      </w:r>
      <w:r w:rsidRPr="00B147A6">
        <w:t xml:space="preserve"> who ejaculates into his own mouth and gives birth to his children who then begat cosmic entities.  The references to the sun could be compared to the solar worship of Egypt and the reference to something which sounds like fire in Cols. XI and XIV could be compared to the ejaculation of fire by the Egyptian solar god in the </w:t>
      </w:r>
      <w:r w:rsidRPr="005F405B">
        <w:rPr>
          <w:i/>
        </w:rPr>
        <w:t>Book of the Earth</w:t>
      </w:r>
      <w:r w:rsidRPr="00B147A6">
        <w:t xml:space="preserve">. Zeus’ desire to copulate with his mother in Column XXVI, which the Derveni author wants to explain away, can be compared to the </w:t>
      </w:r>
      <w:commentRangeStart w:id="60"/>
      <w:r w:rsidRPr="00B147A6">
        <w:t>Egyptian Kamutef who laid with his mother to produce himself again</w:t>
      </w:r>
      <w:commentRangeEnd w:id="60"/>
      <w:r w:rsidR="00DD4B37">
        <w:rPr>
          <w:rStyle w:val="CommentReference"/>
        </w:rPr>
        <w:commentReference w:id="60"/>
      </w:r>
      <w:r w:rsidRPr="00B147A6">
        <w:t xml:space="preserve">. </w:t>
      </w:r>
    </w:p>
    <w:p w14:paraId="6CD09702" w14:textId="77777777" w:rsidR="00A97456" w:rsidRPr="00B147A6" w:rsidRDefault="00A97456" w:rsidP="003B1489">
      <w:pPr>
        <w:spacing w:line="360" w:lineRule="auto"/>
      </w:pPr>
    </w:p>
    <w:p w14:paraId="193E1307" w14:textId="77777777" w:rsidR="00A97456" w:rsidRDefault="00A97456" w:rsidP="003B1489">
      <w:pPr>
        <w:spacing w:line="360" w:lineRule="auto"/>
      </w:pPr>
      <w:r w:rsidRPr="00B147A6">
        <w:t>The treatment of sunlight in the surviv</w:t>
      </w:r>
      <w:r>
        <w:t>ing papyrus is vague and limited</w:t>
      </w:r>
      <w:r w:rsidRPr="00B147A6">
        <w:t xml:space="preserve">; with Kouremenos adducing that the Derveni author thinks that </w:t>
      </w:r>
      <w:r>
        <w:t xml:space="preserve">by virtue of </w:t>
      </w:r>
      <w:r w:rsidRPr="00B147A6">
        <w:t>Zeus/air/Mind</w:t>
      </w:r>
      <w:r>
        <w:t xml:space="preserve"> being all things, he/it is also</w:t>
      </w:r>
      <w:r w:rsidRPr="00B147A6">
        <w:t xml:space="preserve"> both anthropomorphised night and day, with night being simply devoid of sunlight.</w:t>
      </w:r>
      <w:r w:rsidRPr="00B147A6">
        <w:rPr>
          <w:vertAlign w:val="superscript"/>
        </w:rPr>
        <w:footnoteReference w:id="145"/>
      </w:r>
      <w:r w:rsidRPr="00B147A6">
        <w:t xml:space="preserve"> Night is eternally present, and daylight or solar heat `happens` to it.</w:t>
      </w:r>
      <w:r w:rsidRPr="00B147A6">
        <w:rPr>
          <w:vertAlign w:val="superscript"/>
        </w:rPr>
        <w:footnoteReference w:id="146"/>
      </w:r>
      <w:r w:rsidRPr="00B147A6">
        <w:t xml:space="preserve"> Kouremenos says that the text implies that night never sets, it is always there, but sunlight does set. So as the sun rises it lights up and occupies </w:t>
      </w:r>
      <w:r w:rsidRPr="00B147A6">
        <w:lastRenderedPageBreak/>
        <w:t>night’s space for a while.</w:t>
      </w:r>
      <w:r w:rsidRPr="00B147A6">
        <w:rPr>
          <w:vertAlign w:val="superscript"/>
        </w:rPr>
        <w:footnoteReference w:id="147"/>
      </w:r>
      <w:r>
        <w:t xml:space="preserve"> The sun with its light and heat is understood to be responsible for the evaporation and condensation of water and by analogy is therefore also responsible for the movement, creation and dilution of all things in the universe.</w:t>
      </w:r>
      <w:r>
        <w:rPr>
          <w:rStyle w:val="FootnoteReference"/>
        </w:rPr>
        <w:footnoteReference w:id="148"/>
      </w:r>
      <w:r>
        <w:t xml:space="preserve"> This repeats that which has already been established in this section; that the sun had an important and influential role in creation in the </w:t>
      </w:r>
      <w:r w:rsidRPr="005F405B">
        <w:rPr>
          <w:i/>
        </w:rPr>
        <w:t>Derveni Papyrus</w:t>
      </w:r>
      <w:r>
        <w:t>, but it could not be said to be mysterious in a spiritually enigmatic way. Kouremenos adduces it's treatment to be more `scientific` as seen when he writes `the sun is the amount of fire air/Mind caused to separate out from the primordial mixture at the beginning of the cosmogony, so as to make it possible for the other ingredients to separate out and condense into the …cosmos.`</w:t>
      </w:r>
      <w:r>
        <w:rPr>
          <w:rStyle w:val="FootnoteReference"/>
        </w:rPr>
        <w:footnoteReference w:id="149"/>
      </w:r>
    </w:p>
    <w:p w14:paraId="7D6CAB36" w14:textId="77777777" w:rsidR="00A97456" w:rsidRDefault="00A97456" w:rsidP="003B1489">
      <w:pPr>
        <w:spacing w:line="360" w:lineRule="auto"/>
      </w:pPr>
    </w:p>
    <w:p w14:paraId="4CF1353F" w14:textId="77777777" w:rsidR="00A97456" w:rsidRPr="00B147A6" w:rsidRDefault="00A97456" w:rsidP="003B1489">
      <w:pPr>
        <w:spacing w:line="360" w:lineRule="auto"/>
      </w:pPr>
      <w:r>
        <w:t xml:space="preserve">But it is not as if thoughts of the sun being spiritually mysterious were not being formulated in Greece at the time. Contemporary to the </w:t>
      </w:r>
      <w:r w:rsidRPr="005F405B">
        <w:rPr>
          <w:i/>
        </w:rPr>
        <w:t>Derveni Papyrus</w:t>
      </w:r>
      <w:r>
        <w:t xml:space="preserve"> is the work of Plato, who, according to James Notopoulos, had great influence on the development of the sun as a symbol.</w:t>
      </w:r>
      <w:r>
        <w:rPr>
          <w:rStyle w:val="FootnoteReference"/>
        </w:rPr>
        <w:footnoteReference w:id="150"/>
      </w:r>
      <w:r>
        <w:t xml:space="preserve"> In the </w:t>
      </w:r>
      <w:r w:rsidRPr="00147776">
        <w:rPr>
          <w:i/>
        </w:rPr>
        <w:t>Republic</w:t>
      </w:r>
      <w:r>
        <w:t>, Plato identifies light as a medium which enables access to the intellectual world of truth. `For light is a noble bond… and the god who gives us light is the sun, who is the eye of day,…`</w:t>
      </w:r>
      <w:r>
        <w:rPr>
          <w:rStyle w:val="FootnoteReference"/>
        </w:rPr>
        <w:footnoteReference w:id="151"/>
      </w:r>
      <w:r w:rsidRPr="00A27578">
        <w:t xml:space="preserve"> </w:t>
      </w:r>
      <w:r>
        <w:t>Notopoulos writes that Plato `found in the sun `…a highly developed symbol to express the highest element in his thought</w:t>
      </w:r>
      <w:proofErr w:type="gramStart"/>
      <w:r>
        <w:t>.`</w:t>
      </w:r>
      <w:proofErr w:type="gramEnd"/>
      <w:r>
        <w:rPr>
          <w:rStyle w:val="FootnoteReference"/>
        </w:rPr>
        <w:footnoteReference w:id="152"/>
      </w:r>
      <w:r>
        <w:t xml:space="preserve">According to Notopoulos, </w:t>
      </w:r>
      <w:r>
        <w:lastRenderedPageBreak/>
        <w:t xml:space="preserve">Plato expanded sun symbolism and metaphor to include metaphysics alongside religion, and developed its intellectual and </w:t>
      </w:r>
      <w:commentRangeStart w:id="61"/>
      <w:r>
        <w:t>mystic qualities.</w:t>
      </w:r>
      <w:r>
        <w:rPr>
          <w:rStyle w:val="FootnoteReference"/>
        </w:rPr>
        <w:footnoteReference w:id="153"/>
      </w:r>
      <w:r>
        <w:t xml:space="preserve"> </w:t>
      </w:r>
      <w:commentRangeEnd w:id="61"/>
      <w:r w:rsidR="00DD4B37">
        <w:rPr>
          <w:rStyle w:val="CommentReference"/>
        </w:rPr>
        <w:commentReference w:id="61"/>
      </w:r>
    </w:p>
    <w:p w14:paraId="5C948AD3" w14:textId="77777777" w:rsidR="00A97456" w:rsidRDefault="00A97456" w:rsidP="003B1489">
      <w:pPr>
        <w:spacing w:line="360" w:lineRule="auto"/>
      </w:pPr>
    </w:p>
    <w:p w14:paraId="499EB1CB" w14:textId="77777777" w:rsidR="00A97456" w:rsidRDefault="00A97456" w:rsidP="003B1489">
      <w:pPr>
        <w:spacing w:line="360" w:lineRule="auto"/>
      </w:pPr>
    </w:p>
    <w:p w14:paraId="68179D39" w14:textId="77777777" w:rsidR="00A97456" w:rsidRDefault="00A97456" w:rsidP="0013436D">
      <w:pPr>
        <w:pStyle w:val="Heading2"/>
      </w:pPr>
      <w:bookmarkStart w:id="62" w:name="_Toc398190021"/>
      <w:r>
        <w:t>Summary of Section Three</w:t>
      </w:r>
      <w:bookmarkEnd w:id="62"/>
    </w:p>
    <w:p w14:paraId="6CF783CC" w14:textId="77777777" w:rsidR="00A97456" w:rsidRPr="00B147A6" w:rsidRDefault="00A97456" w:rsidP="003B1489">
      <w:pPr>
        <w:spacing w:line="360" w:lineRule="auto"/>
      </w:pPr>
    </w:p>
    <w:p w14:paraId="6E881F1E" w14:textId="77777777" w:rsidR="003E0FDF" w:rsidRDefault="00A97456" w:rsidP="003B1489">
      <w:pPr>
        <w:spacing w:line="360" w:lineRule="auto"/>
        <w:sectPr w:rsidR="003E0FDF" w:rsidSect="003B1489">
          <w:pgSz w:w="11906" w:h="16838"/>
          <w:pgMar w:top="1440" w:right="2495" w:bottom="1440" w:left="2495" w:header="709" w:footer="709" w:gutter="0"/>
          <w:cols w:space="708"/>
          <w:docGrid w:linePitch="360"/>
        </w:sectPr>
      </w:pPr>
      <w:r w:rsidRPr="00B147A6">
        <w:t xml:space="preserve">The </w:t>
      </w:r>
      <w:r w:rsidRPr="005F405B">
        <w:rPr>
          <w:i/>
        </w:rPr>
        <w:t>Derveni Papyrus</w:t>
      </w:r>
      <w:r w:rsidR="004302C2">
        <w:t xml:space="preserve"> confuses those who</w:t>
      </w:r>
      <w:r w:rsidRPr="00B147A6">
        <w:t xml:space="preserve"> look for a clear line of success</w:t>
      </w:r>
      <w:r w:rsidR="004302C2">
        <w:t>ion. But it perhaps becomes clearer</w:t>
      </w:r>
      <w:r w:rsidRPr="00B147A6">
        <w:t xml:space="preserve"> if one adopts the Ancient Egyptian belief that the father gives birth to the son who becomes the father again</w:t>
      </w:r>
      <w:r>
        <w:t xml:space="preserve"> in a male succession</w:t>
      </w:r>
      <w:r w:rsidRPr="00B147A6">
        <w:t>. So Mind/air, Ouranus, Cronos and Zeus are all emanations of the one god or each other, with male procreation or re-creation by ingested semen</w:t>
      </w:r>
      <w:r>
        <w:t xml:space="preserve"> after Zeus swallowed Ouranus/the sun's phallus. This re-setting of time or auto-generation of the next cosmos by swallowing and spitting is present in both the Egyptian material and the </w:t>
      </w:r>
      <w:r w:rsidRPr="00FF5B43">
        <w:rPr>
          <w:i/>
        </w:rPr>
        <w:t>Derveni Papyrus</w:t>
      </w:r>
      <w:r>
        <w:t>. It is very clear that t</w:t>
      </w:r>
      <w:r w:rsidRPr="00B147A6">
        <w:t>he sun is at the centre of</w:t>
      </w:r>
      <w:r>
        <w:t xml:space="preserve"> the cosmos and it is a god with</w:t>
      </w:r>
      <w:r w:rsidRPr="00B147A6">
        <w:t xml:space="preserve"> a phallus which is revered. Currently the arguments focus on whether translation results in the word `reverend` or `phallus`, but they can easily both be the same thing if the phallus is sacred and worshipped, in which case, the argument would become redundant.  All academic arguments considered, it is not disputed that Orpheus and the Derveni author consider the sun to be phallic. </w:t>
      </w:r>
      <w:r>
        <w:t>Burkert surmises that Atum's onanism was</w:t>
      </w:r>
      <w:r w:rsidRPr="00F537D3">
        <w:t xml:space="preserve"> adopted </w:t>
      </w:r>
      <w:r>
        <w:t xml:space="preserve">by the Greeks and Orphics who took some of their </w:t>
      </w:r>
      <w:r w:rsidRPr="00F537D3">
        <w:t>spiritual bel</w:t>
      </w:r>
      <w:r>
        <w:t xml:space="preserve">iefs from Egypt and although fellatio or auto fellatio is a difficult subject for the </w:t>
      </w:r>
      <w:r>
        <w:lastRenderedPageBreak/>
        <w:t xml:space="preserve">contemporary commentators on the </w:t>
      </w:r>
      <w:r w:rsidRPr="005F405B">
        <w:rPr>
          <w:i/>
        </w:rPr>
        <w:t>Derveni Papyrus</w:t>
      </w:r>
      <w:r>
        <w:t>, it should be noted that it was a feature of Egyptian spiritual beliefs and there are artefacts which indicate Egyptian influence on Greek thought.</w:t>
      </w:r>
      <w:r>
        <w:rPr>
          <w:rStyle w:val="FootnoteReference"/>
        </w:rPr>
        <w:footnoteReference w:id="154"/>
      </w:r>
      <w:r>
        <w:t xml:space="preserve">  </w:t>
      </w:r>
      <w:r w:rsidRPr="00B147A6">
        <w:t xml:space="preserve">The </w:t>
      </w:r>
      <w:r w:rsidRPr="005F405B">
        <w:rPr>
          <w:i/>
        </w:rPr>
        <w:t>Derveni Papyrus</w:t>
      </w:r>
      <w:r w:rsidRPr="00B147A6">
        <w:t xml:space="preserve"> does not focus </w:t>
      </w:r>
      <w:r>
        <w:t xml:space="preserve">especially </w:t>
      </w:r>
      <w:r w:rsidRPr="00B147A6">
        <w:t>on sunlight as the son</w:t>
      </w:r>
      <w:r>
        <w:t xml:space="preserve"> of god</w:t>
      </w:r>
      <w:r w:rsidRPr="00B147A6">
        <w:t xml:space="preserve">, </w:t>
      </w:r>
      <w:r>
        <w:t>but then the whole universe (including the light) is a son of the current god. D</w:t>
      </w:r>
      <w:r w:rsidRPr="00B147A6">
        <w:t xml:space="preserve">aylight is </w:t>
      </w:r>
      <w:r>
        <w:t xml:space="preserve">recognised as </w:t>
      </w:r>
      <w:r w:rsidRPr="00B147A6">
        <w:t>dynamic and</w:t>
      </w:r>
      <w:r>
        <w:t xml:space="preserve"> it</w:t>
      </w:r>
      <w:r w:rsidRPr="00B147A6">
        <w:t xml:space="preserve"> </w:t>
      </w:r>
      <w:r>
        <w:t>`</w:t>
      </w:r>
      <w:r w:rsidRPr="00B147A6">
        <w:t>happens</w:t>
      </w:r>
      <w:r>
        <w:t>`</w:t>
      </w:r>
      <w:r w:rsidRPr="00B147A6">
        <w:t xml:space="preserve"> to dark, so it is a separated active entity</w:t>
      </w:r>
      <w:r>
        <w:t xml:space="preserve"> and it plays a sophisticated philosophical role</w:t>
      </w:r>
      <w:r w:rsidRPr="00B147A6">
        <w:t xml:space="preserve">. </w:t>
      </w:r>
      <w:r>
        <w:t xml:space="preserve">It can be seen in an examination of Plato's </w:t>
      </w:r>
      <w:r w:rsidRPr="00F25C04">
        <w:rPr>
          <w:i/>
        </w:rPr>
        <w:t>Republic</w:t>
      </w:r>
      <w:r>
        <w:t xml:space="preserve"> that an understanding of the sun and sunlight as mystical and special did exist in fourth century BC Greece, although Plato's theories are apparently not expressed in the </w:t>
      </w:r>
      <w:r w:rsidRPr="005F405B">
        <w:rPr>
          <w:i/>
        </w:rPr>
        <w:t>Derveni Papyrus</w:t>
      </w:r>
      <w:r>
        <w:t>.</w:t>
      </w:r>
      <w:r>
        <w:rPr>
          <w:rStyle w:val="FootnoteReference"/>
        </w:rPr>
        <w:footnoteReference w:id="155"/>
      </w:r>
      <w:r>
        <w:t xml:space="preserve"> The omission of `mystique` and `mysteriousness` when discussing the sun's power and abilities, and the inclusion of `scientific` explanation might perhaps be explained by the` Ionian physiologos` philosophies of the Derveni author, whom Lesher describes as `scientific` and reforming of conventional religious ideas of the time.</w:t>
      </w:r>
      <w:r>
        <w:rPr>
          <w:rStyle w:val="FootnoteReference"/>
        </w:rPr>
        <w:footnoteReference w:id="156"/>
      </w:r>
      <w:r>
        <w:t xml:space="preserve"> However, the sun is </w:t>
      </w:r>
      <w:r w:rsidRPr="00F25C04">
        <w:t>responsible for the movement, creation and dilution of all things in the universe</w:t>
      </w:r>
      <w:r>
        <w:t xml:space="preserve"> whilst also representing god and being a f</w:t>
      </w:r>
      <w:r w:rsidR="003E0FDF">
        <w:t>undamental procreational symbol.</w:t>
      </w:r>
    </w:p>
    <w:p w14:paraId="771EC565" w14:textId="77777777" w:rsidR="00A97456" w:rsidRPr="00B147A6" w:rsidRDefault="00A97456" w:rsidP="0013278D">
      <w:pPr>
        <w:pStyle w:val="Heading1"/>
        <w:rPr>
          <w:sz w:val="36"/>
          <w:szCs w:val="36"/>
        </w:rPr>
      </w:pPr>
      <w:bookmarkStart w:id="63" w:name="_Toc398190022"/>
      <w:r w:rsidRPr="00B147A6">
        <w:rPr>
          <w:sz w:val="36"/>
          <w:szCs w:val="36"/>
        </w:rPr>
        <w:lastRenderedPageBreak/>
        <w:t>Section Four: Christian Texts and Art up to the Sixteenth Century</w:t>
      </w:r>
      <w:bookmarkEnd w:id="63"/>
      <w:r w:rsidRPr="00B147A6">
        <w:rPr>
          <w:sz w:val="36"/>
          <w:szCs w:val="36"/>
        </w:rPr>
        <w:t xml:space="preserve"> </w:t>
      </w:r>
    </w:p>
    <w:p w14:paraId="7287AB80" w14:textId="77777777" w:rsidR="00A97456" w:rsidRPr="00B147A6" w:rsidRDefault="00A97456" w:rsidP="003B1489">
      <w:pPr>
        <w:spacing w:line="360" w:lineRule="auto"/>
      </w:pPr>
    </w:p>
    <w:p w14:paraId="59CB386C" w14:textId="77777777" w:rsidR="00A97456" w:rsidRPr="00B147A6" w:rsidRDefault="00A97456" w:rsidP="003B1489">
      <w:pPr>
        <w:spacing w:line="360" w:lineRule="auto"/>
      </w:pPr>
    </w:p>
    <w:p w14:paraId="644068DD" w14:textId="77777777" w:rsidR="0013436D" w:rsidRDefault="00A97456" w:rsidP="003B1489">
      <w:pPr>
        <w:spacing w:line="360" w:lineRule="auto"/>
      </w:pPr>
      <w:r w:rsidRPr="00B147A6">
        <w:t xml:space="preserve">This section will explore the Christian theogony or theology around the creation of Jesus Christ the son of the Christian god and how that is expressed in early texts and fourteenth to sixteenth century art of the Christian Annunciation. </w:t>
      </w:r>
    </w:p>
    <w:p w14:paraId="1603DA21" w14:textId="77777777" w:rsidR="0013436D" w:rsidRDefault="0013436D" w:rsidP="003B1489">
      <w:pPr>
        <w:spacing w:line="360" w:lineRule="auto"/>
      </w:pPr>
    </w:p>
    <w:p w14:paraId="2CD3D06C" w14:textId="77777777" w:rsidR="003E0FDF" w:rsidRDefault="003E0FDF" w:rsidP="003B1489">
      <w:pPr>
        <w:spacing w:line="360" w:lineRule="auto"/>
      </w:pPr>
    </w:p>
    <w:p w14:paraId="54EF8E0F" w14:textId="77777777" w:rsidR="0013436D" w:rsidRDefault="0013436D" w:rsidP="0013436D">
      <w:pPr>
        <w:pStyle w:val="Heading2"/>
      </w:pPr>
      <w:bookmarkStart w:id="64" w:name="_Toc398190023"/>
      <w:r>
        <w:t>Section Literary Review</w:t>
      </w:r>
      <w:bookmarkEnd w:id="64"/>
    </w:p>
    <w:p w14:paraId="0529B297" w14:textId="77777777" w:rsidR="0013436D" w:rsidRDefault="0013436D" w:rsidP="003B1489">
      <w:pPr>
        <w:spacing w:line="360" w:lineRule="auto"/>
      </w:pPr>
    </w:p>
    <w:p w14:paraId="2BB4F5DE" w14:textId="77777777" w:rsidR="00A97456" w:rsidRPr="00B147A6" w:rsidRDefault="00A97456" w:rsidP="003B1489">
      <w:pPr>
        <w:spacing w:line="360" w:lineRule="auto"/>
      </w:pPr>
      <w:r w:rsidRPr="00B147A6">
        <w:t>That the notion of a procreative sun might subtly permeate Christian art was discussed by Millard Meiss who noted that painters of the fifteenth century used the sun and other sources of light to explain Christian mysteries including the conception of Jesus, and invested religious associations and ideas of fertility in sunlight.</w:t>
      </w:r>
      <w:r w:rsidRPr="00B147A6">
        <w:rPr>
          <w:vertAlign w:val="superscript"/>
        </w:rPr>
        <w:footnoteReference w:id="157"/>
      </w:r>
      <w:r w:rsidRPr="00B147A6">
        <w:t xml:space="preserve"> However Leo Steinberg, who does not focus on the penetrative/fertility aspect of light in particular, reports that Christian art was featuring celestial rays before this, and states that they feature as divine light in thousands of conventional Annunciation scenes from the eleventh </w:t>
      </w:r>
      <w:commentRangeStart w:id="65"/>
      <w:r w:rsidRPr="00B147A6">
        <w:t>century onwards.</w:t>
      </w:r>
      <w:r w:rsidRPr="00B147A6">
        <w:rPr>
          <w:vertAlign w:val="superscript"/>
        </w:rPr>
        <w:footnoteReference w:id="158"/>
      </w:r>
      <w:r w:rsidR="00A27135">
        <w:t xml:space="preserve"> </w:t>
      </w:r>
      <w:commentRangeEnd w:id="65"/>
      <w:r w:rsidR="002C427D">
        <w:rPr>
          <w:rStyle w:val="CommentReference"/>
        </w:rPr>
        <w:commentReference w:id="65"/>
      </w:r>
      <w:r w:rsidR="00A27135">
        <w:t>Yrjo Hirn (1870 – 1952) describes</w:t>
      </w:r>
      <w:r w:rsidRPr="00B147A6">
        <w:t xml:space="preserve"> the Virgin Mary as `the barren Earth as opposed to the fertilising heaven`, a comment which supports theme of the sun as a symbol of phallic virility or procreative power. Meiss and Hirn discuss the first revelation of Saint </w:t>
      </w:r>
      <w:r w:rsidRPr="00B147A6">
        <w:lastRenderedPageBreak/>
        <w:t>Birgitt</w:t>
      </w:r>
      <w:r w:rsidR="0085199B">
        <w:t>a (1303 – 1373)</w:t>
      </w:r>
      <w:r w:rsidRPr="00B147A6">
        <w:t xml:space="preserve"> and other texts, which explain that Mary's virginity had not been lost during her impregnation because she had been entered by God `like the passage of light through glass`.</w:t>
      </w:r>
      <w:r w:rsidRPr="00B147A6">
        <w:rPr>
          <w:vertAlign w:val="superscript"/>
        </w:rPr>
        <w:footnoteReference w:id="159"/>
      </w:r>
      <w:r w:rsidRPr="00B147A6">
        <w:t xml:space="preserve"> This comment by Saint Birgitta was likewise used by Margaret Freeman in her examination of </w:t>
      </w:r>
      <w:r w:rsidR="0085199B">
        <w:t>the Mérode altarpiece, which is examined later</w:t>
      </w:r>
      <w:r w:rsidRPr="00B147A6">
        <w:t>.</w:t>
      </w:r>
      <w:r w:rsidRPr="00B147A6">
        <w:rPr>
          <w:vertAlign w:val="superscript"/>
        </w:rPr>
        <w:footnoteReference w:id="160"/>
      </w:r>
      <w:r w:rsidR="0085199B">
        <w:t xml:space="preserve"> Laura Jacobus</w:t>
      </w:r>
      <w:r w:rsidRPr="00B147A6">
        <w:t xml:space="preserve"> </w:t>
      </w:r>
      <w:r w:rsidR="0085199B">
        <w:t xml:space="preserve">also </w:t>
      </w:r>
      <w:r w:rsidRPr="00B147A6">
        <w:t xml:space="preserve">notes that a sunbeam entering the portal of a miniature chapel held by the Virgin Mary in the Dedication scene of Giotto’s </w:t>
      </w:r>
      <w:r w:rsidRPr="00B147A6">
        <w:rPr>
          <w:i/>
        </w:rPr>
        <w:t>The Life of the Virgin</w:t>
      </w:r>
      <w:r w:rsidRPr="00B147A6">
        <w:t xml:space="preserve"> in the Arena Chapel at Padua may have been deliberately manipulated to act as a metaphor to illustrate the impregnation of Mary.</w:t>
      </w:r>
      <w:r w:rsidRPr="00B147A6">
        <w:rPr>
          <w:vertAlign w:val="superscript"/>
        </w:rPr>
        <w:footnoteReference w:id="161"/>
      </w:r>
      <w:r w:rsidRPr="00B147A6">
        <w:t xml:space="preserve"> </w:t>
      </w:r>
    </w:p>
    <w:p w14:paraId="5849032A" w14:textId="77777777" w:rsidR="00A97456" w:rsidRDefault="00A97456" w:rsidP="003B1489">
      <w:pPr>
        <w:spacing w:line="360" w:lineRule="auto"/>
      </w:pPr>
      <w:r w:rsidRPr="00B147A6">
        <w:t xml:space="preserve"> </w:t>
      </w:r>
    </w:p>
    <w:p w14:paraId="040B40F9" w14:textId="77777777" w:rsidR="00A97456" w:rsidRPr="00B147A6" w:rsidRDefault="00A97456" w:rsidP="003B1489">
      <w:pPr>
        <w:spacing w:line="360" w:lineRule="auto"/>
      </w:pPr>
    </w:p>
    <w:p w14:paraId="3EC83459" w14:textId="77777777" w:rsidR="00A97456" w:rsidRPr="00B147A6" w:rsidRDefault="00A97456" w:rsidP="0013436D">
      <w:pPr>
        <w:pStyle w:val="Heading2"/>
      </w:pPr>
      <w:bookmarkStart w:id="66" w:name="_Toc398190024"/>
      <w:r w:rsidRPr="00B147A6">
        <w:t>Christian repression of sexual comment and activ</w:t>
      </w:r>
      <w:r w:rsidR="0013436D">
        <w:t>ity</w:t>
      </w:r>
      <w:bookmarkEnd w:id="66"/>
    </w:p>
    <w:p w14:paraId="218D1466" w14:textId="77777777" w:rsidR="00A97456" w:rsidRPr="00B147A6" w:rsidRDefault="00A97456" w:rsidP="003B1489">
      <w:pPr>
        <w:spacing w:line="360" w:lineRule="auto"/>
      </w:pPr>
    </w:p>
    <w:p w14:paraId="3C544D45" w14:textId="77777777" w:rsidR="00A97456" w:rsidRPr="00B147A6" w:rsidRDefault="00A97456" w:rsidP="003B1489">
      <w:pPr>
        <w:spacing w:line="360" w:lineRule="auto"/>
      </w:pPr>
      <w:r w:rsidRPr="00B147A6">
        <w:t xml:space="preserve">Whether or not sexual metaphors can be involved with theogony might depend on whether or not it was sinful or offensive to the devout and very early on in Christianity, </w:t>
      </w:r>
      <w:r w:rsidR="00A27135">
        <w:t>t</w:t>
      </w:r>
      <w:r w:rsidR="00A27135" w:rsidRPr="00A27135">
        <w:t>he second c</w:t>
      </w:r>
      <w:r w:rsidR="00A27135">
        <w:t xml:space="preserve">entury Greek Christian saint </w:t>
      </w:r>
      <w:r w:rsidRPr="00B147A6">
        <w:t xml:space="preserve">Irenaeus stated that the flesh was the cause </w:t>
      </w:r>
      <w:commentRangeStart w:id="67"/>
      <w:r w:rsidRPr="00B147A6">
        <w:t>of all sin</w:t>
      </w:r>
      <w:commentRangeEnd w:id="67"/>
      <w:r w:rsidR="002C427D">
        <w:rPr>
          <w:rStyle w:val="CommentReference"/>
        </w:rPr>
        <w:commentReference w:id="67"/>
      </w:r>
      <w:r w:rsidRPr="00B147A6">
        <w:t>, and the fact that Jesus was born of a virgin exemplified the need to dispense with lawless desire.</w:t>
      </w:r>
      <w:r w:rsidRPr="00B147A6">
        <w:rPr>
          <w:vertAlign w:val="superscript"/>
        </w:rPr>
        <w:footnoteReference w:id="162"/>
      </w:r>
      <w:r w:rsidRPr="00B147A6">
        <w:t xml:space="preserve"> Christ, Irenaeus said, </w:t>
      </w:r>
      <w:r w:rsidRPr="00B147A6">
        <w:lastRenderedPageBreak/>
        <w:t>did not have sex and taught that it would become unnecessary.</w:t>
      </w:r>
      <w:r w:rsidRPr="00B147A6">
        <w:rPr>
          <w:vertAlign w:val="superscript"/>
        </w:rPr>
        <w:footnoteReference w:id="163"/>
      </w:r>
      <w:r w:rsidRPr="00B147A6">
        <w:t xml:space="preserve">  In the New Testament: 1 Corinthians 6:13 it says `Now the body is not for fornication, but for the Lord;` and in 1 Corinthians 6:18 it says `Every sin that a man doeth is without the body; but he that committeth fornication sinneth against his own body.` Further, Harold Attridge states that by the early fifth century, Augustine followed St Paul’s text of original sin and the fall of man by declaring that sexual intercourse transmitted this to successive generations.</w:t>
      </w:r>
      <w:r w:rsidRPr="00B147A6">
        <w:rPr>
          <w:vertAlign w:val="superscript"/>
        </w:rPr>
        <w:footnoteReference w:id="164"/>
      </w:r>
      <w:r w:rsidRPr="00B147A6">
        <w:t xml:space="preserve"> Through into the twentieth century, Eliade noted that repression of sexuality is common in Christianity.</w:t>
      </w:r>
      <w:r w:rsidRPr="00B147A6">
        <w:rPr>
          <w:vertAlign w:val="superscript"/>
        </w:rPr>
        <w:footnoteReference w:id="165"/>
      </w:r>
      <w:r w:rsidRPr="00B147A6">
        <w:t xml:space="preserve"> In the pages that follow, it will be argued that this Christian aversion to sexual issues and human genitals resulted in the appropriation of l</w:t>
      </w:r>
      <w:r>
        <w:t>ight symbolism to represent the fertility</w:t>
      </w:r>
      <w:r w:rsidRPr="00B147A6">
        <w:t xml:space="preserve"> which the phallus represente</w:t>
      </w:r>
      <w:r>
        <w:t xml:space="preserve">d in Egypt or solar fecundation, whilst the </w:t>
      </w:r>
      <w:commentRangeStart w:id="68"/>
      <w:r>
        <w:t xml:space="preserve">solar element or use of the sun remained in each or the epochs discussed. </w:t>
      </w:r>
      <w:r w:rsidRPr="00B147A6">
        <w:t xml:space="preserve"> </w:t>
      </w:r>
      <w:commentRangeEnd w:id="68"/>
      <w:r w:rsidR="002C427D">
        <w:rPr>
          <w:rStyle w:val="CommentReference"/>
        </w:rPr>
        <w:commentReference w:id="68"/>
      </w:r>
    </w:p>
    <w:p w14:paraId="09251D19" w14:textId="77777777" w:rsidR="00A97456" w:rsidRDefault="00A97456" w:rsidP="003B1489">
      <w:pPr>
        <w:spacing w:line="360" w:lineRule="auto"/>
      </w:pPr>
    </w:p>
    <w:p w14:paraId="6FD9F111" w14:textId="77777777" w:rsidR="00A97456" w:rsidRPr="00B147A6" w:rsidRDefault="00A97456" w:rsidP="003B1489">
      <w:pPr>
        <w:spacing w:line="360" w:lineRule="auto"/>
      </w:pPr>
    </w:p>
    <w:p w14:paraId="170200BB" w14:textId="77777777" w:rsidR="00A97456" w:rsidRPr="00B147A6" w:rsidRDefault="00A97456" w:rsidP="0013436D">
      <w:pPr>
        <w:pStyle w:val="Heading2"/>
      </w:pPr>
      <w:bookmarkStart w:id="69" w:name="_Toc398190025"/>
      <w:r w:rsidRPr="00B147A6">
        <w:t>Christian Treatment of Light</w:t>
      </w:r>
      <w:bookmarkEnd w:id="69"/>
    </w:p>
    <w:p w14:paraId="42E2BA9C" w14:textId="77777777" w:rsidR="00A97456" w:rsidRPr="00B147A6" w:rsidRDefault="00A97456" w:rsidP="003B1489">
      <w:pPr>
        <w:spacing w:line="360" w:lineRule="auto"/>
      </w:pPr>
    </w:p>
    <w:p w14:paraId="0F1DC0C0" w14:textId="77777777" w:rsidR="00A97456" w:rsidRPr="00B147A6" w:rsidRDefault="00A97456" w:rsidP="003B1489">
      <w:pPr>
        <w:spacing w:line="360" w:lineRule="auto"/>
      </w:pPr>
      <w:r w:rsidRPr="00B147A6">
        <w:t>The first revelation of Jesus Christ to Saint Birgitta was, according to Meiss, influential in fifteenth century art.</w:t>
      </w:r>
      <w:r w:rsidRPr="00B147A6">
        <w:rPr>
          <w:vertAlign w:val="superscript"/>
        </w:rPr>
        <w:footnoteReference w:id="166"/>
      </w:r>
      <w:r w:rsidRPr="00B147A6">
        <w:t xml:space="preserve"> This has been translated by Meiss as:</w:t>
      </w:r>
    </w:p>
    <w:p w14:paraId="03784392" w14:textId="77777777" w:rsidR="00A97456" w:rsidRPr="00B147A6" w:rsidRDefault="00A97456" w:rsidP="003B1489">
      <w:pPr>
        <w:spacing w:line="360" w:lineRule="auto"/>
      </w:pPr>
    </w:p>
    <w:p w14:paraId="37C4E5E5" w14:textId="77777777" w:rsidR="00A97456" w:rsidRPr="00B147A6" w:rsidRDefault="00A97456" w:rsidP="003B1489">
      <w:pPr>
        <w:spacing w:line="360" w:lineRule="auto"/>
        <w:ind w:left="720"/>
      </w:pPr>
      <w:r w:rsidRPr="00B147A6">
        <w:lastRenderedPageBreak/>
        <w:t>I have assumed the flesh without sin and lust, entering the Womb of the Virgin just as the sun passes through a precious stone. For as the sun, penetrating a glass window, does not damage it, the virginity of the Virgin is not spoiled by my assumption of human form.</w:t>
      </w:r>
      <w:r w:rsidRPr="00B147A6">
        <w:rPr>
          <w:vertAlign w:val="superscript"/>
        </w:rPr>
        <w:footnoteReference w:id="167"/>
      </w:r>
    </w:p>
    <w:p w14:paraId="17B46254" w14:textId="77777777" w:rsidR="00A97456" w:rsidRPr="00B147A6" w:rsidRDefault="00A97456" w:rsidP="003B1489">
      <w:pPr>
        <w:spacing w:line="360" w:lineRule="auto"/>
      </w:pPr>
    </w:p>
    <w:p w14:paraId="7E2CE5B6" w14:textId="77777777" w:rsidR="00A97456" w:rsidRPr="00B147A6" w:rsidRDefault="00A97456" w:rsidP="003B1489">
      <w:pPr>
        <w:spacing w:line="360" w:lineRule="auto"/>
      </w:pPr>
      <w:r w:rsidRPr="00B147A6">
        <w:t>However Meiss suggests that the simile of sunlight and glass was developed to emphasise the pure nature of the Virgin Mary rather than any `ghostly power`.</w:t>
      </w:r>
      <w:r w:rsidRPr="00B147A6">
        <w:rPr>
          <w:vertAlign w:val="superscript"/>
        </w:rPr>
        <w:footnoteReference w:id="168"/>
      </w:r>
      <w:r w:rsidRPr="00B147A6">
        <w:t xml:space="preserve"> Nonetheless, Meiss also cites a Greek text attributed to </w:t>
      </w:r>
      <w:r w:rsidR="00A27135">
        <w:t>t</w:t>
      </w:r>
      <w:r w:rsidR="00A27135" w:rsidRPr="00A27135">
        <w:t xml:space="preserve">he fourth century Christian </w:t>
      </w:r>
      <w:r w:rsidRPr="00B147A6">
        <w:t>Athanasius, which refers to `…the son and the word of God as a divine ray descending from the sun…`</w:t>
      </w:r>
      <w:r w:rsidRPr="00B147A6">
        <w:rPr>
          <w:vertAlign w:val="superscript"/>
        </w:rPr>
        <w:footnoteReference w:id="169"/>
      </w:r>
      <w:r w:rsidRPr="00B147A6">
        <w:t xml:space="preserve"> In an essay which theorises on the progression of correspondences from photic experience, Eliade tra</w:t>
      </w:r>
      <w:r>
        <w:t>cks the model of `light – divinity – spirit – life</w:t>
      </w:r>
      <w:r w:rsidRPr="00B147A6">
        <w:t xml:space="preserve">` and </w:t>
      </w:r>
      <w:r>
        <w:t>discusses the connection between Godhead, Sun, Light, Spirit…`, arguing</w:t>
      </w:r>
      <w:r w:rsidRPr="00B147A6">
        <w:t xml:space="preserve"> that light is an expression of divinity.</w:t>
      </w:r>
      <w:r w:rsidRPr="00B147A6">
        <w:rPr>
          <w:vertAlign w:val="superscript"/>
        </w:rPr>
        <w:footnoteReference w:id="170"/>
      </w:r>
      <w:r w:rsidRPr="00B147A6">
        <w:t xml:space="preserve"> Although he is mainly discussing pre-Christian Indian, Iranian and Gnostic spiritual systems or religious beliefs, which he claims have a well-articulated theology of divine light, he states that Christianity could be included.</w:t>
      </w:r>
      <w:r w:rsidRPr="00B147A6">
        <w:rPr>
          <w:vertAlign w:val="superscript"/>
        </w:rPr>
        <w:footnoteReference w:id="171"/>
      </w:r>
      <w:r>
        <w:t xml:space="preserve"> But Eliade then goes on to include material from the Brahmanas which identify semen with the sun.</w:t>
      </w:r>
      <w:r>
        <w:rPr>
          <w:rStyle w:val="FootnoteReference"/>
        </w:rPr>
        <w:footnoteReference w:id="172"/>
      </w:r>
      <w:r w:rsidRPr="00B147A6">
        <w:t xml:space="preserve"> </w:t>
      </w:r>
      <w:r>
        <w:t xml:space="preserve">This is where the Indo-Iranian evidence that Eliade produces differs from </w:t>
      </w:r>
      <w:r w:rsidRPr="00B147A6">
        <w:t>early Christian authors</w:t>
      </w:r>
      <w:r>
        <w:t>, who</w:t>
      </w:r>
      <w:r w:rsidRPr="00B147A6">
        <w:t xml:space="preserve"> did not </w:t>
      </w:r>
      <w:r w:rsidRPr="00B147A6">
        <w:lastRenderedPageBreak/>
        <w:t xml:space="preserve">appear to use the symbolism of light in a sexually related way, arguably because of the sexual repression </w:t>
      </w:r>
      <w:r w:rsidR="00A27135">
        <w:t>and repudiation of flesh</w:t>
      </w:r>
      <w:r>
        <w:t xml:space="preserve"> </w:t>
      </w:r>
      <w:commentRangeStart w:id="70"/>
      <w:r w:rsidR="00A27135">
        <w:t>noted earlier</w:t>
      </w:r>
      <w:commentRangeEnd w:id="70"/>
      <w:r w:rsidR="005D51B7">
        <w:rPr>
          <w:rStyle w:val="CommentReference"/>
        </w:rPr>
        <w:commentReference w:id="70"/>
      </w:r>
      <w:r w:rsidRPr="00B147A6">
        <w:t>. However, as Meiss notes, `Christian mysteries were from the very beginning explained by metaphors of light.`</w:t>
      </w:r>
      <w:r w:rsidRPr="00B147A6">
        <w:rPr>
          <w:vertAlign w:val="superscript"/>
        </w:rPr>
        <w:footnoteReference w:id="173"/>
      </w:r>
      <w:r>
        <w:t xml:space="preserve">  The Christian myth of Mary's impregnation has some resonance with Eliade's description of Mongolian and Tibetan myths which describe how divine beings were born after light penetrated their mother, so the Christian mysteries may not </w:t>
      </w:r>
      <w:r w:rsidR="00A27135">
        <w:t>be particularly original</w:t>
      </w:r>
      <w:r>
        <w:t>.</w:t>
      </w:r>
      <w:r>
        <w:rPr>
          <w:rStyle w:val="FootnoteReference"/>
        </w:rPr>
        <w:footnoteReference w:id="174"/>
      </w:r>
      <w:r>
        <w:t xml:space="preserve"> </w:t>
      </w:r>
      <w:r w:rsidRPr="00B147A6">
        <w:t xml:space="preserve">When writing of light in </w:t>
      </w:r>
      <w:r w:rsidRPr="00B147A6">
        <w:rPr>
          <w:i/>
        </w:rPr>
        <w:t>On First Principles</w:t>
      </w:r>
      <w:r w:rsidRPr="00B147A6">
        <w:t xml:space="preserve">, </w:t>
      </w:r>
      <w:commentRangeStart w:id="71"/>
      <w:r w:rsidRPr="00B147A6">
        <w:t xml:space="preserve">Origen (c. 185 – 254 CE) </w:t>
      </w:r>
      <w:commentRangeEnd w:id="71"/>
      <w:r w:rsidR="005D51B7">
        <w:rPr>
          <w:rStyle w:val="CommentReference"/>
        </w:rPr>
        <w:commentReference w:id="71"/>
      </w:r>
      <w:r w:rsidRPr="00B147A6">
        <w:t>stated:</w:t>
      </w:r>
    </w:p>
    <w:p w14:paraId="1B7575F9" w14:textId="77777777" w:rsidR="00A97456" w:rsidRPr="00B147A6" w:rsidRDefault="00A97456" w:rsidP="003B1489">
      <w:pPr>
        <w:spacing w:line="360" w:lineRule="auto"/>
      </w:pPr>
    </w:p>
    <w:p w14:paraId="043B98DE" w14:textId="77777777" w:rsidR="00A97456" w:rsidRPr="00B147A6" w:rsidRDefault="00A97456" w:rsidP="003B1489">
      <w:pPr>
        <w:spacing w:line="360" w:lineRule="auto"/>
        <w:ind w:left="720"/>
      </w:pPr>
      <w:r w:rsidRPr="00B147A6">
        <w:t>Our eyes frequently cannot look upon the nature of the light itself—that is, upon the substance of the sun; but when we behold his splendour or his rays pouring in, perhaps, through windows or some small openings to admit the light, we can reflect how great is the supply and source of the light of the body. So, in like manner. The works of Divine Providence and the plan of this whole world are a sort of rays, as it were, of the nature of God, in comparison with His real substance and being.</w:t>
      </w:r>
      <w:r w:rsidRPr="00B147A6">
        <w:rPr>
          <w:vertAlign w:val="superscript"/>
        </w:rPr>
        <w:footnoteReference w:id="175"/>
      </w:r>
    </w:p>
    <w:p w14:paraId="7D643418" w14:textId="77777777" w:rsidR="00A97456" w:rsidRPr="00B147A6" w:rsidRDefault="00A97456" w:rsidP="003B1489">
      <w:pPr>
        <w:spacing w:line="360" w:lineRule="auto"/>
      </w:pPr>
    </w:p>
    <w:p w14:paraId="082F6672" w14:textId="77777777" w:rsidR="00A97456" w:rsidRPr="00B147A6" w:rsidRDefault="00A97456" w:rsidP="003B1489">
      <w:pPr>
        <w:spacing w:line="360" w:lineRule="auto"/>
      </w:pPr>
      <w:r w:rsidRPr="00B147A6">
        <w:t>Origen also stated that `He is the true light, which enlightens every man that cometh into this world; but He has nothing in common with the light of this sun</w:t>
      </w:r>
      <w:proofErr w:type="gramStart"/>
      <w:r w:rsidRPr="00B147A6">
        <w:t>.`</w:t>
      </w:r>
      <w:proofErr w:type="gramEnd"/>
      <w:r w:rsidRPr="00B147A6">
        <w:rPr>
          <w:vertAlign w:val="superscript"/>
        </w:rPr>
        <w:footnoteReference w:id="176"/>
      </w:r>
      <w:r w:rsidRPr="00B147A6">
        <w:t xml:space="preserve"> However, he then goes on to say that god is light and his son `is the glory of this light</w:t>
      </w:r>
      <w:r w:rsidR="00A27135">
        <w:t xml:space="preserve">, </w:t>
      </w:r>
      <w:r w:rsidR="00A27135">
        <w:lastRenderedPageBreak/>
        <w:t>proceeding inseparably from (G</w:t>
      </w:r>
      <w:r w:rsidRPr="00B147A6">
        <w:t>od) Himself, as brightness does from light, and illuminating the whole of creation`.</w:t>
      </w:r>
      <w:r w:rsidRPr="00B147A6">
        <w:rPr>
          <w:vertAlign w:val="superscript"/>
        </w:rPr>
        <w:footnoteReference w:id="177"/>
      </w:r>
      <w:r w:rsidRPr="00B147A6">
        <w:t xml:space="preserve"> These quotes demonstrate a willingness to accept the sun as separate to the rays and therefore light as a separa</w:t>
      </w:r>
      <w:r>
        <w:t>te intention, entity or deity; t</w:t>
      </w:r>
      <w:r w:rsidRPr="00B147A6">
        <w:t xml:space="preserve">his argument will be </w:t>
      </w:r>
      <w:commentRangeStart w:id="72"/>
      <w:r w:rsidRPr="00B147A6">
        <w:t xml:space="preserve">examined in the conclusion.  </w:t>
      </w:r>
      <w:commentRangeEnd w:id="72"/>
      <w:r w:rsidR="005D51B7">
        <w:rPr>
          <w:rStyle w:val="CommentReference"/>
        </w:rPr>
        <w:commentReference w:id="72"/>
      </w:r>
    </w:p>
    <w:p w14:paraId="1D79E248" w14:textId="77777777" w:rsidR="00A97456" w:rsidRDefault="00A97456" w:rsidP="003B1489">
      <w:pPr>
        <w:spacing w:line="360" w:lineRule="auto"/>
      </w:pPr>
    </w:p>
    <w:p w14:paraId="67EAA6D7" w14:textId="77777777" w:rsidR="00A97456" w:rsidRPr="00B147A6" w:rsidRDefault="00A97456" w:rsidP="003B1489">
      <w:pPr>
        <w:spacing w:line="360" w:lineRule="auto"/>
      </w:pPr>
    </w:p>
    <w:p w14:paraId="300F7946" w14:textId="77777777" w:rsidR="00A97456" w:rsidRPr="00B147A6" w:rsidRDefault="00A97456" w:rsidP="0013436D">
      <w:pPr>
        <w:pStyle w:val="Heading2"/>
      </w:pPr>
      <w:bookmarkStart w:id="73" w:name="_Toc398190026"/>
      <w:r w:rsidRPr="00B147A6">
        <w:t>Examples of Christian Annunciation Art</w:t>
      </w:r>
      <w:bookmarkEnd w:id="73"/>
    </w:p>
    <w:p w14:paraId="5CAC2CDF" w14:textId="77777777" w:rsidR="00A97456" w:rsidRPr="00B147A6" w:rsidRDefault="00A97456" w:rsidP="003B1489">
      <w:pPr>
        <w:spacing w:line="360" w:lineRule="auto"/>
      </w:pPr>
    </w:p>
    <w:p w14:paraId="54425AED" w14:textId="77777777" w:rsidR="00A97456" w:rsidRPr="00B147A6" w:rsidRDefault="00A97456" w:rsidP="003B1489">
      <w:pPr>
        <w:spacing w:line="360" w:lineRule="auto"/>
      </w:pPr>
      <w:r w:rsidRPr="00B147A6">
        <w:t>Starting with the Annunciat</w:t>
      </w:r>
      <w:r>
        <w:t>ion Triptych (Mérode alterpiece</w:t>
      </w:r>
      <w:r w:rsidRPr="00B147A6">
        <w:t>), painted by Robert Campin (c.1375–1444</w:t>
      </w:r>
      <w:proofErr w:type="gramStart"/>
      <w:r w:rsidRPr="00B147A6">
        <w:t>)  and</w:t>
      </w:r>
      <w:proofErr w:type="gramEnd"/>
      <w:r w:rsidRPr="00B147A6">
        <w:t xml:space="preserve"> assistant c.1425, and currently housed in the Cloisters Collection  of the Metropolitan Museum of Art, (Figure 10) Freeman observes that Campin gives reality to a popular allegory as stated by Saint Bernard and St Bridget (St Birgitta) that the brilliance of the sun penetrated the window without breaking it and the splendour of the Father entered the virgin chamber.</w:t>
      </w:r>
      <w:r w:rsidRPr="00B147A6">
        <w:rPr>
          <w:vertAlign w:val="superscript"/>
        </w:rPr>
        <w:footnoteReference w:id="178"/>
      </w:r>
      <w:r w:rsidRPr="00B147A6">
        <w:t xml:space="preserve"> Freeman explains that the light shown to be entering the virgin’s chamber is divine light emanating from god rather than ordinary sunlight.</w:t>
      </w:r>
      <w:r w:rsidRPr="00B147A6">
        <w:rPr>
          <w:vertAlign w:val="superscript"/>
        </w:rPr>
        <w:footnoteReference w:id="179"/>
      </w:r>
      <w:r w:rsidRPr="00B147A6">
        <w:t xml:space="preserve"> She emphasises a clear separation of the </w:t>
      </w:r>
      <w:r w:rsidRPr="00B147A6">
        <w:rPr>
          <w:i/>
        </w:rPr>
        <w:t>light</w:t>
      </w:r>
      <w:r w:rsidRPr="00B147A6">
        <w:t xml:space="preserve"> of the sun from the sun, and states that many Annunciation scenes incorporate a dove, despatched by god himself on beams of light.</w:t>
      </w:r>
      <w:r w:rsidRPr="00B147A6">
        <w:rPr>
          <w:vertAlign w:val="superscript"/>
        </w:rPr>
        <w:footnoteReference w:id="180"/>
      </w:r>
      <w:r w:rsidRPr="00B147A6">
        <w:t xml:space="preserve"> The fact that the light rays of the sun can be understood to be a separate entity, or something apart, may help to understand that one part of the solar experience can be thought of as procreative or impregnating, whilst the </w:t>
      </w:r>
      <w:r w:rsidRPr="00B147A6">
        <w:rPr>
          <w:i/>
        </w:rPr>
        <w:t>disc</w:t>
      </w:r>
      <w:r w:rsidRPr="00B147A6">
        <w:t xml:space="preserve"> of the sun is not. Freeman, perhaps </w:t>
      </w:r>
      <w:r w:rsidRPr="00B147A6">
        <w:lastRenderedPageBreak/>
        <w:t>unintentionally, captures the essence of this potential when she writes that `God the Son` is present in the light shining through the window towards Mary.</w:t>
      </w:r>
      <w:r w:rsidRPr="00B147A6">
        <w:rPr>
          <w:vertAlign w:val="superscript"/>
        </w:rPr>
        <w:footnoteReference w:id="181"/>
      </w:r>
      <w:r w:rsidRPr="00B147A6">
        <w:t xml:space="preserve"> This can be seen in the enlarged section of the painting, where a tiny baby streams through the window with the light. (Figure 11)</w:t>
      </w:r>
    </w:p>
    <w:p w14:paraId="10A70FDD" w14:textId="77777777" w:rsidR="00A97456" w:rsidRPr="00B147A6" w:rsidRDefault="00A97456" w:rsidP="003B1489">
      <w:pPr>
        <w:spacing w:line="360" w:lineRule="auto"/>
      </w:pPr>
    </w:p>
    <w:p w14:paraId="74185BFC" w14:textId="77777777" w:rsidR="00A97456" w:rsidRPr="00B147A6" w:rsidRDefault="00A97456" w:rsidP="003B1489">
      <w:pPr>
        <w:keepNext/>
        <w:spacing w:line="360" w:lineRule="auto"/>
      </w:pPr>
      <w:r w:rsidRPr="00B147A6">
        <w:rPr>
          <w:noProof/>
          <w:lang w:eastAsia="en-GB"/>
        </w:rPr>
        <w:drawing>
          <wp:inline distT="0" distB="0" distL="0" distR="0" wp14:anchorId="2DD91ED6" wp14:editId="7D80C31E">
            <wp:extent cx="2956560" cy="3030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6560" cy="3030220"/>
                    </a:xfrm>
                    <a:prstGeom prst="rect">
                      <a:avLst/>
                    </a:prstGeom>
                    <a:noFill/>
                  </pic:spPr>
                </pic:pic>
              </a:graphicData>
            </a:graphic>
          </wp:inline>
        </w:drawing>
      </w:r>
    </w:p>
    <w:p w14:paraId="658DD66B" w14:textId="77777777" w:rsidR="00A97456" w:rsidRPr="00492046" w:rsidRDefault="00A97456" w:rsidP="003B1489">
      <w:pPr>
        <w:spacing w:after="200"/>
        <w:rPr>
          <w:rFonts w:ascii="Arial" w:hAnsi="Arial" w:cs="Arial"/>
          <w:bCs/>
          <w:sz w:val="18"/>
          <w:szCs w:val="18"/>
        </w:rPr>
      </w:pPr>
      <w:bookmarkStart w:id="74" w:name="_Toc398116779"/>
      <w:bookmarkStart w:id="75" w:name="_Toc398124167"/>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10</w:t>
      </w:r>
      <w:r w:rsidRPr="00492046">
        <w:rPr>
          <w:rFonts w:ascii="Arial" w:hAnsi="Arial" w:cs="Arial"/>
          <w:bCs/>
          <w:noProof/>
          <w:sz w:val="18"/>
          <w:szCs w:val="18"/>
        </w:rPr>
        <w:fldChar w:fldCharType="end"/>
      </w:r>
      <w:r w:rsidRPr="00492046">
        <w:rPr>
          <w:rFonts w:ascii="Arial" w:hAnsi="Arial" w:cs="Arial"/>
          <w:bCs/>
          <w:sz w:val="18"/>
          <w:szCs w:val="18"/>
        </w:rPr>
        <w:t xml:space="preserve">. Robert Campin (c.1375–1444) and assistant, </w:t>
      </w:r>
      <w:r w:rsidRPr="00492046">
        <w:rPr>
          <w:rFonts w:ascii="Arial" w:hAnsi="Arial" w:cs="Arial"/>
          <w:bCs/>
          <w:i/>
          <w:sz w:val="18"/>
          <w:szCs w:val="18"/>
        </w:rPr>
        <w:t>Annunciation</w:t>
      </w:r>
      <w:r w:rsidRPr="00492046">
        <w:rPr>
          <w:rFonts w:ascii="Arial" w:hAnsi="Arial" w:cs="Arial"/>
          <w:bCs/>
          <w:sz w:val="18"/>
          <w:szCs w:val="18"/>
        </w:rPr>
        <w:t xml:space="preserve"> Triptych (Mérode Altarpiece) c.1425, oil on wood, 64 x 63 cm, The Metropolitan Museum of Art, The Cloisters Collection. </w:t>
      </w:r>
      <w:r w:rsidRPr="00492046">
        <w:rPr>
          <w:rFonts w:ascii="Arial" w:hAnsi="Arial" w:cs="Arial"/>
          <w:bCs/>
          <w:i/>
          <w:sz w:val="18"/>
          <w:szCs w:val="18"/>
        </w:rPr>
        <w:t>Image</w:t>
      </w:r>
      <w:r w:rsidRPr="00492046">
        <w:rPr>
          <w:rFonts w:ascii="Arial" w:hAnsi="Arial" w:cs="Arial"/>
          <w:bCs/>
          <w:sz w:val="18"/>
          <w:szCs w:val="18"/>
        </w:rPr>
        <w:t>: The Cloisters Collection.</w:t>
      </w:r>
      <w:bookmarkEnd w:id="74"/>
      <w:bookmarkEnd w:id="75"/>
      <w:r w:rsidRPr="00492046">
        <w:rPr>
          <w:rFonts w:ascii="Arial" w:hAnsi="Arial" w:cs="Arial"/>
          <w:bCs/>
          <w:sz w:val="18"/>
          <w:szCs w:val="18"/>
        </w:rPr>
        <w:t xml:space="preserve"> </w:t>
      </w:r>
    </w:p>
    <w:p w14:paraId="0D67BB17" w14:textId="77777777" w:rsidR="00A97456" w:rsidRPr="003E0FDF" w:rsidRDefault="00A97456" w:rsidP="003B1489">
      <w:pPr>
        <w:spacing w:line="360" w:lineRule="auto"/>
      </w:pPr>
    </w:p>
    <w:p w14:paraId="5F810A44" w14:textId="77777777" w:rsidR="00A97456" w:rsidRPr="00B147A6" w:rsidRDefault="00A97456" w:rsidP="003B1489">
      <w:pPr>
        <w:keepNext/>
        <w:spacing w:line="360" w:lineRule="auto"/>
      </w:pPr>
      <w:r w:rsidRPr="00B147A6">
        <w:rPr>
          <w:noProof/>
          <w:lang w:eastAsia="en-GB"/>
        </w:rPr>
        <w:drawing>
          <wp:inline distT="0" distB="0" distL="0" distR="0" wp14:anchorId="4FCA4BC3" wp14:editId="1EC9470B">
            <wp:extent cx="2974975" cy="2176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4975" cy="2176145"/>
                    </a:xfrm>
                    <a:prstGeom prst="rect">
                      <a:avLst/>
                    </a:prstGeom>
                    <a:noFill/>
                  </pic:spPr>
                </pic:pic>
              </a:graphicData>
            </a:graphic>
          </wp:inline>
        </w:drawing>
      </w:r>
    </w:p>
    <w:p w14:paraId="7473B348" w14:textId="77777777" w:rsidR="00A97456" w:rsidRPr="00492046" w:rsidRDefault="00A97456" w:rsidP="003B1489">
      <w:pPr>
        <w:spacing w:after="200"/>
        <w:rPr>
          <w:rFonts w:ascii="Arial" w:hAnsi="Arial" w:cs="Arial"/>
          <w:bCs/>
          <w:sz w:val="18"/>
          <w:szCs w:val="18"/>
        </w:rPr>
      </w:pPr>
      <w:bookmarkStart w:id="76" w:name="_Toc398116780"/>
      <w:bookmarkStart w:id="77" w:name="_Toc398124168"/>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11</w:t>
      </w:r>
      <w:r w:rsidRPr="00492046">
        <w:rPr>
          <w:rFonts w:ascii="Arial" w:hAnsi="Arial" w:cs="Arial"/>
          <w:bCs/>
          <w:noProof/>
          <w:sz w:val="18"/>
          <w:szCs w:val="18"/>
        </w:rPr>
        <w:fldChar w:fldCharType="end"/>
      </w:r>
      <w:r w:rsidRPr="00492046">
        <w:rPr>
          <w:rFonts w:ascii="Arial" w:hAnsi="Arial" w:cs="Arial"/>
          <w:bCs/>
          <w:sz w:val="18"/>
          <w:szCs w:val="18"/>
        </w:rPr>
        <w:t xml:space="preserve">. Robert Campin (c.1375–1444) and assistant, </w:t>
      </w:r>
      <w:r w:rsidRPr="00492046">
        <w:rPr>
          <w:rFonts w:ascii="Arial" w:hAnsi="Arial" w:cs="Arial"/>
          <w:bCs/>
          <w:i/>
          <w:sz w:val="18"/>
          <w:szCs w:val="18"/>
        </w:rPr>
        <w:t>Annunciation</w:t>
      </w:r>
      <w:r w:rsidRPr="00492046">
        <w:rPr>
          <w:rFonts w:ascii="Arial" w:hAnsi="Arial" w:cs="Arial"/>
          <w:bCs/>
          <w:sz w:val="18"/>
          <w:szCs w:val="18"/>
        </w:rPr>
        <w:t xml:space="preserve"> Triptych (Mérode Altarpiece) c.1425, showing child streaming in through the window on a beam </w:t>
      </w:r>
      <w:r w:rsidRPr="00492046">
        <w:rPr>
          <w:rFonts w:ascii="Arial" w:hAnsi="Arial" w:cs="Arial"/>
          <w:bCs/>
          <w:sz w:val="18"/>
          <w:szCs w:val="18"/>
        </w:rPr>
        <w:lastRenderedPageBreak/>
        <w:t xml:space="preserve">of light. The Metropolitan Museum of Art, </w:t>
      </w:r>
      <w:proofErr w:type="gramStart"/>
      <w:r w:rsidRPr="00492046">
        <w:rPr>
          <w:rFonts w:ascii="Arial" w:hAnsi="Arial" w:cs="Arial"/>
          <w:bCs/>
          <w:sz w:val="18"/>
          <w:szCs w:val="18"/>
        </w:rPr>
        <w:t>The</w:t>
      </w:r>
      <w:proofErr w:type="gramEnd"/>
      <w:r w:rsidRPr="00492046">
        <w:rPr>
          <w:rFonts w:ascii="Arial" w:hAnsi="Arial" w:cs="Arial"/>
          <w:bCs/>
          <w:sz w:val="18"/>
          <w:szCs w:val="18"/>
        </w:rPr>
        <w:t xml:space="preserve"> Cloisters Collection. </w:t>
      </w:r>
      <w:r w:rsidRPr="00492046">
        <w:rPr>
          <w:rFonts w:ascii="Arial" w:hAnsi="Arial" w:cs="Arial"/>
          <w:bCs/>
          <w:i/>
          <w:sz w:val="18"/>
          <w:szCs w:val="18"/>
        </w:rPr>
        <w:t>Image</w:t>
      </w:r>
      <w:r w:rsidRPr="00492046">
        <w:rPr>
          <w:rFonts w:ascii="Arial" w:hAnsi="Arial" w:cs="Arial"/>
          <w:bCs/>
          <w:sz w:val="18"/>
          <w:szCs w:val="18"/>
        </w:rPr>
        <w:t>: The Cloisters Collection.</w:t>
      </w:r>
      <w:bookmarkEnd w:id="76"/>
      <w:bookmarkEnd w:id="77"/>
    </w:p>
    <w:p w14:paraId="15B1D688" w14:textId="77777777" w:rsidR="00A97456" w:rsidRPr="00B147A6" w:rsidRDefault="00A97456" w:rsidP="003B1489">
      <w:pPr>
        <w:spacing w:line="360" w:lineRule="auto"/>
      </w:pPr>
    </w:p>
    <w:p w14:paraId="627FDF2B" w14:textId="77777777" w:rsidR="00A97456" w:rsidRPr="00B147A6" w:rsidRDefault="00A97456" w:rsidP="003B1489">
      <w:pPr>
        <w:spacing w:line="360" w:lineRule="auto"/>
      </w:pPr>
      <w:r w:rsidRPr="00B147A6">
        <w:t>It is possible to make a comparison with the light seen in the Mèrode Altarpiece which both carries and will produce a baby, and semen which contains seed and could produce a baby. Since Jesus said `I am the light of the world` in John 8:12 a</w:t>
      </w:r>
      <w:r w:rsidR="00A27135">
        <w:t>nd since he was the son of the G</w:t>
      </w:r>
      <w:r w:rsidRPr="00B147A6">
        <w:t xml:space="preserve">od of the New Testament, </w:t>
      </w:r>
      <w:commentRangeStart w:id="78"/>
      <w:r w:rsidRPr="00B147A6">
        <w:t xml:space="preserve">I am arguing that Jesus can be compared with the </w:t>
      </w:r>
      <w:r w:rsidRPr="00B147A6">
        <w:rPr>
          <w:i/>
        </w:rPr>
        <w:t>light</w:t>
      </w:r>
      <w:r w:rsidRPr="00B147A6">
        <w:t xml:space="preserve"> of the sun, whilst the </w:t>
      </w:r>
      <w:r w:rsidR="00A27135">
        <w:t>disc itself could then be this G</w:t>
      </w:r>
      <w:r w:rsidRPr="00B147A6">
        <w:t>od.</w:t>
      </w:r>
      <w:r w:rsidRPr="00B147A6">
        <w:rPr>
          <w:vertAlign w:val="superscript"/>
        </w:rPr>
        <w:t xml:space="preserve"> </w:t>
      </w:r>
      <w:r w:rsidRPr="00B147A6">
        <w:rPr>
          <w:vertAlign w:val="superscript"/>
        </w:rPr>
        <w:footnoteReference w:id="182"/>
      </w:r>
      <w:r w:rsidRPr="00B147A6">
        <w:t xml:space="preserve"> </w:t>
      </w:r>
      <w:commentRangeEnd w:id="78"/>
      <w:r w:rsidR="00484FC7">
        <w:rPr>
          <w:rStyle w:val="CommentReference"/>
        </w:rPr>
        <w:commentReference w:id="78"/>
      </w:r>
      <w:commentRangeStart w:id="79"/>
      <w:r w:rsidRPr="00B147A6">
        <w:t xml:space="preserve">Jesus is then both the seed and the light. </w:t>
      </w:r>
      <w:commentRangeEnd w:id="79"/>
      <w:r w:rsidR="00484FC7">
        <w:rPr>
          <w:rStyle w:val="CommentReference"/>
        </w:rPr>
        <w:commentReference w:id="79"/>
      </w:r>
    </w:p>
    <w:p w14:paraId="5EA16490" w14:textId="77777777" w:rsidR="00A97456" w:rsidRPr="00B147A6" w:rsidRDefault="00A97456" w:rsidP="003B1489">
      <w:pPr>
        <w:spacing w:line="360" w:lineRule="auto"/>
      </w:pPr>
    </w:p>
    <w:p w14:paraId="709BD063" w14:textId="77777777" w:rsidR="00A97456" w:rsidRPr="00B147A6" w:rsidRDefault="00A97456" w:rsidP="003B1489">
      <w:pPr>
        <w:spacing w:line="360" w:lineRule="auto"/>
      </w:pPr>
      <w:r w:rsidRPr="00B147A6">
        <w:t>Laura Jacobus argues that Giotto di Bondone (1266/7- 1337AD), the artist who painted a chapel fresco in Italy incorporated active, real-time sunlight in his Dedication scene.</w:t>
      </w:r>
      <w:r w:rsidRPr="00B147A6">
        <w:rPr>
          <w:vertAlign w:val="superscript"/>
        </w:rPr>
        <w:footnoteReference w:id="183"/>
      </w:r>
      <w:r w:rsidRPr="00B147A6">
        <w:t xml:space="preserve"> (Figure12) Giotto c</w:t>
      </w:r>
      <w:r w:rsidR="00A27135">
        <w:t>ompleted his work in the Arena C</w:t>
      </w:r>
      <w:r w:rsidRPr="00B147A6">
        <w:t>hapel in the fourteenth century, and Jacobus argues that he designed it to relate to the festival and devotional rituals connected with the Annunciation that had taken place at the site since at least 1278, if not before.</w:t>
      </w:r>
      <w:r w:rsidRPr="00B147A6">
        <w:rPr>
          <w:vertAlign w:val="superscript"/>
        </w:rPr>
        <w:footnoteReference w:id="184"/>
      </w:r>
      <w:r w:rsidRPr="00B147A6">
        <w:t xml:space="preserve"> </w:t>
      </w:r>
    </w:p>
    <w:p w14:paraId="24964B45" w14:textId="77777777" w:rsidR="00A97456" w:rsidRPr="00B147A6" w:rsidRDefault="00A97456" w:rsidP="003B1489">
      <w:pPr>
        <w:spacing w:line="360" w:lineRule="auto"/>
      </w:pPr>
    </w:p>
    <w:p w14:paraId="34D25FB9"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2AB72440" wp14:editId="4EF66804">
            <wp:extent cx="2527540" cy="2131797"/>
            <wp:effectExtent l="0" t="0" r="635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29843" cy="2133739"/>
                    </a:xfrm>
                    <a:prstGeom prst="rect">
                      <a:avLst/>
                    </a:prstGeom>
                    <a:noFill/>
                  </pic:spPr>
                </pic:pic>
              </a:graphicData>
            </a:graphic>
          </wp:inline>
        </w:drawing>
      </w:r>
    </w:p>
    <w:p w14:paraId="05AF04E4" w14:textId="77777777" w:rsidR="00A97456" w:rsidRPr="00492046" w:rsidRDefault="00A97456" w:rsidP="003B1489">
      <w:pPr>
        <w:spacing w:after="200"/>
        <w:rPr>
          <w:rFonts w:ascii="Arial" w:hAnsi="Arial" w:cs="Arial"/>
          <w:bCs/>
          <w:i/>
          <w:sz w:val="16"/>
          <w:szCs w:val="16"/>
        </w:rPr>
      </w:pPr>
      <w:bookmarkStart w:id="80" w:name="_Toc398116781"/>
      <w:bookmarkStart w:id="81" w:name="_Toc398124169"/>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12</w:t>
      </w:r>
      <w:r w:rsidRPr="00492046">
        <w:rPr>
          <w:rFonts w:ascii="Arial" w:hAnsi="Arial" w:cs="Arial"/>
          <w:bCs/>
          <w:noProof/>
          <w:sz w:val="18"/>
          <w:szCs w:val="18"/>
        </w:rPr>
        <w:fldChar w:fldCharType="end"/>
      </w:r>
      <w:r w:rsidRPr="00492046">
        <w:rPr>
          <w:rFonts w:ascii="Arial" w:hAnsi="Arial" w:cs="Arial"/>
          <w:bCs/>
          <w:sz w:val="18"/>
          <w:szCs w:val="18"/>
        </w:rPr>
        <w:t>.</w:t>
      </w:r>
      <w:r w:rsidRPr="00492046">
        <w:rPr>
          <w:rFonts w:ascii="Arial" w:hAnsi="Arial" w:cs="Arial"/>
          <w:bCs/>
          <w:sz w:val="20"/>
          <w:szCs w:val="20"/>
        </w:rPr>
        <w:t xml:space="preserve"> </w:t>
      </w:r>
      <w:r w:rsidRPr="00492046">
        <w:rPr>
          <w:rFonts w:ascii="Arial" w:hAnsi="Arial" w:cs="Arial"/>
          <w:bCs/>
          <w:sz w:val="18"/>
          <w:szCs w:val="18"/>
        </w:rPr>
        <w:t xml:space="preserve">Painted by Giotto di Bondone (1266/7 - 1337) </w:t>
      </w:r>
      <w:r w:rsidRPr="00492046">
        <w:rPr>
          <w:rFonts w:ascii="Arial" w:hAnsi="Arial" w:cs="Arial"/>
          <w:bCs/>
          <w:i/>
          <w:sz w:val="18"/>
          <w:szCs w:val="18"/>
        </w:rPr>
        <w:t xml:space="preserve">The Dedication Scene in the Fresco cycle of ` The Life of the Virgin`. </w:t>
      </w:r>
      <w:r w:rsidRPr="00492046">
        <w:rPr>
          <w:rFonts w:ascii="Arial" w:hAnsi="Arial" w:cs="Arial"/>
          <w:bCs/>
          <w:sz w:val="18"/>
          <w:szCs w:val="18"/>
        </w:rPr>
        <w:t xml:space="preserve">Completed 1306AD. Fresco. Arena Chapel, Padua, Italy. </w:t>
      </w:r>
      <w:r w:rsidRPr="00492046">
        <w:rPr>
          <w:rFonts w:ascii="Arial" w:hAnsi="Arial" w:cs="Arial"/>
          <w:bCs/>
          <w:i/>
          <w:sz w:val="18"/>
          <w:szCs w:val="18"/>
        </w:rPr>
        <w:t>Image</w:t>
      </w:r>
      <w:r w:rsidRPr="00492046">
        <w:rPr>
          <w:rFonts w:ascii="Arial" w:hAnsi="Arial" w:cs="Arial"/>
          <w:bCs/>
          <w:sz w:val="18"/>
          <w:szCs w:val="18"/>
        </w:rPr>
        <w:t xml:space="preserve">: </w:t>
      </w:r>
      <w:r w:rsidR="004F507B">
        <w:rPr>
          <w:rFonts w:ascii="Arial" w:hAnsi="Arial" w:cs="Arial"/>
          <w:bCs/>
          <w:sz w:val="16"/>
          <w:szCs w:val="16"/>
        </w:rPr>
        <w:t>Copyright</w:t>
      </w:r>
      <w:r w:rsidRPr="00492046">
        <w:rPr>
          <w:rFonts w:ascii="Arial" w:hAnsi="Arial" w:cs="Arial"/>
          <w:bCs/>
          <w:sz w:val="16"/>
          <w:szCs w:val="16"/>
        </w:rPr>
        <w:t xml:space="preserve"> 2014 by SUNY Oneonta</w:t>
      </w:r>
      <w:r w:rsidRPr="00492046">
        <w:rPr>
          <w:rFonts w:ascii="Arial" w:hAnsi="Arial" w:cs="Arial"/>
          <w:bCs/>
          <w:i/>
          <w:sz w:val="16"/>
          <w:szCs w:val="16"/>
        </w:rPr>
        <w:t>.</w:t>
      </w:r>
      <w:bookmarkEnd w:id="80"/>
      <w:bookmarkEnd w:id="81"/>
    </w:p>
    <w:p w14:paraId="265B59A6" w14:textId="77777777" w:rsidR="00A97456" w:rsidRPr="00B147A6" w:rsidRDefault="00A97456" w:rsidP="003B1489">
      <w:pPr>
        <w:spacing w:line="360" w:lineRule="auto"/>
      </w:pPr>
      <w:r w:rsidRPr="00B147A6">
        <w:t xml:space="preserve">Just before ten o’clock on the day of the Feast of the Annunciation, </w:t>
      </w:r>
      <w:r w:rsidR="002559D1">
        <w:t xml:space="preserve">(March 25th) </w:t>
      </w:r>
      <w:r w:rsidRPr="00B147A6">
        <w:t>a ray of the sun’s light enters the building through the tracery of a window along the south wall and lands on the Dedication Scene of the fresco on the west wall, appearing to enter the painted doorway of a miniature chapel being offered by Enrico Scrovegni, the owner of the chapel, to the Virgin Mary. The chapel is in the position of Mary’s womb and the beam of light could thus be interpreted as symbolising the light of god entering the womb of the Mary.</w:t>
      </w:r>
      <w:r w:rsidRPr="00B147A6">
        <w:rPr>
          <w:vertAlign w:val="superscript"/>
        </w:rPr>
        <w:t xml:space="preserve"> </w:t>
      </w:r>
      <w:r w:rsidRPr="00B147A6">
        <w:rPr>
          <w:vertAlign w:val="superscript"/>
        </w:rPr>
        <w:footnoteReference w:id="185"/>
      </w:r>
      <w:r w:rsidRPr="00B147A6">
        <w:t xml:space="preserve"> (Figure 13) Jacobus remarks that this is a metaphor for a sunbeam passing through glass.</w:t>
      </w:r>
      <w:r w:rsidRPr="00B147A6">
        <w:rPr>
          <w:vertAlign w:val="superscript"/>
        </w:rPr>
        <w:footnoteReference w:id="186"/>
      </w:r>
      <w:r w:rsidRPr="00B147A6">
        <w:t xml:space="preserve"> This allegory of her impregnation by a shaft of sunlight as a moment in the para-liturgical enactments of the day is plausible; Jacobus claims that much of the real chapel’s artificial and natural lighting is contrived around the wall frescoes, delivering </w:t>
      </w:r>
      <w:commentRangeStart w:id="82"/>
      <w:r w:rsidRPr="00B147A6">
        <w:t>`performing images`, so it unlikely therefore, that this is accidental.</w:t>
      </w:r>
      <w:r w:rsidRPr="00B147A6">
        <w:rPr>
          <w:vertAlign w:val="superscript"/>
        </w:rPr>
        <w:footnoteReference w:id="187"/>
      </w:r>
      <w:r w:rsidRPr="00B147A6">
        <w:t xml:space="preserve"> </w:t>
      </w:r>
      <w:commentRangeEnd w:id="82"/>
      <w:r w:rsidR="00484FC7">
        <w:rPr>
          <w:rStyle w:val="CommentReference"/>
        </w:rPr>
        <w:commentReference w:id="82"/>
      </w:r>
    </w:p>
    <w:p w14:paraId="198AFF56" w14:textId="77777777" w:rsidR="00A97456" w:rsidRPr="00B147A6" w:rsidRDefault="00A97456" w:rsidP="003B1489">
      <w:pPr>
        <w:spacing w:line="360" w:lineRule="auto"/>
      </w:pPr>
    </w:p>
    <w:p w14:paraId="04724B68"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5E014734" wp14:editId="7215895A">
            <wp:extent cx="2605178" cy="1810702"/>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dication scene with sunbeam.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08160" cy="1812775"/>
                    </a:xfrm>
                    <a:prstGeom prst="rect">
                      <a:avLst/>
                    </a:prstGeom>
                  </pic:spPr>
                </pic:pic>
              </a:graphicData>
            </a:graphic>
          </wp:inline>
        </w:drawing>
      </w:r>
    </w:p>
    <w:p w14:paraId="2FC37AFF" w14:textId="77777777" w:rsidR="00A97456" w:rsidRPr="00492046" w:rsidRDefault="00A97456" w:rsidP="003B1489">
      <w:pPr>
        <w:spacing w:after="200"/>
        <w:rPr>
          <w:rFonts w:ascii="Arial" w:hAnsi="Arial" w:cs="Arial"/>
          <w:bCs/>
          <w:sz w:val="18"/>
          <w:szCs w:val="18"/>
        </w:rPr>
      </w:pPr>
      <w:bookmarkStart w:id="83" w:name="_Toc398116782"/>
      <w:bookmarkStart w:id="84" w:name="_Toc398124170"/>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13</w:t>
      </w:r>
      <w:r w:rsidRPr="00492046">
        <w:rPr>
          <w:rFonts w:ascii="Arial" w:hAnsi="Arial" w:cs="Arial"/>
          <w:bCs/>
          <w:noProof/>
          <w:sz w:val="18"/>
          <w:szCs w:val="18"/>
        </w:rPr>
        <w:fldChar w:fldCharType="end"/>
      </w:r>
      <w:r w:rsidRPr="00492046">
        <w:rPr>
          <w:rFonts w:ascii="Arial" w:hAnsi="Arial" w:cs="Arial"/>
          <w:bCs/>
          <w:sz w:val="18"/>
          <w:szCs w:val="18"/>
        </w:rPr>
        <w:t xml:space="preserve">. Painted by Giotto di Bondone (1266/7 - 1337) </w:t>
      </w:r>
      <w:r w:rsidRPr="00492046">
        <w:rPr>
          <w:rFonts w:ascii="Arial" w:hAnsi="Arial" w:cs="Arial"/>
          <w:bCs/>
          <w:i/>
          <w:sz w:val="18"/>
          <w:szCs w:val="18"/>
        </w:rPr>
        <w:t>The Dedication Scene in the Fresco cycle of ` The Life of the Virgin`</w:t>
      </w:r>
      <w:r w:rsidRPr="00492046">
        <w:rPr>
          <w:rFonts w:ascii="Arial" w:hAnsi="Arial" w:cs="Arial"/>
          <w:bCs/>
          <w:sz w:val="18"/>
          <w:szCs w:val="18"/>
        </w:rPr>
        <w:t>. Completed 1306</w:t>
      </w:r>
      <w:r w:rsidR="00A0478B">
        <w:rPr>
          <w:rFonts w:ascii="Arial" w:hAnsi="Arial" w:cs="Arial"/>
          <w:bCs/>
          <w:sz w:val="18"/>
          <w:szCs w:val="18"/>
        </w:rPr>
        <w:t xml:space="preserve"> </w:t>
      </w:r>
      <w:r w:rsidRPr="00492046">
        <w:rPr>
          <w:rFonts w:ascii="Arial" w:hAnsi="Arial" w:cs="Arial"/>
          <w:bCs/>
          <w:sz w:val="18"/>
          <w:szCs w:val="18"/>
        </w:rPr>
        <w:t>A</w:t>
      </w:r>
      <w:r w:rsidR="00544B4A">
        <w:rPr>
          <w:rFonts w:ascii="Arial" w:hAnsi="Arial" w:cs="Arial"/>
          <w:bCs/>
          <w:sz w:val="18"/>
          <w:szCs w:val="18"/>
        </w:rPr>
        <w:t>D</w:t>
      </w:r>
      <w:r w:rsidR="004F507B">
        <w:rPr>
          <w:rFonts w:ascii="Arial" w:hAnsi="Arial" w:cs="Arial"/>
          <w:bCs/>
          <w:sz w:val="18"/>
          <w:szCs w:val="18"/>
        </w:rPr>
        <w:t>.</w:t>
      </w:r>
      <w:r w:rsidRPr="00492046">
        <w:rPr>
          <w:rFonts w:ascii="Arial" w:hAnsi="Arial" w:cs="Arial"/>
          <w:bCs/>
          <w:sz w:val="18"/>
          <w:szCs w:val="18"/>
        </w:rPr>
        <w:t xml:space="preserve"> Fresco. Arena Chapel, Padua, Italy. </w:t>
      </w:r>
      <w:r w:rsidRPr="00492046">
        <w:rPr>
          <w:rFonts w:ascii="Arial" w:hAnsi="Arial" w:cs="Arial"/>
          <w:bCs/>
          <w:i/>
          <w:sz w:val="18"/>
          <w:szCs w:val="18"/>
        </w:rPr>
        <w:t>Image: Hans Michael Thomas.</w:t>
      </w:r>
      <w:bookmarkEnd w:id="83"/>
      <w:bookmarkEnd w:id="84"/>
      <w:r w:rsidR="00544B4A">
        <w:rPr>
          <w:rFonts w:ascii="Arial" w:hAnsi="Arial" w:cs="Arial"/>
          <w:bCs/>
          <w:i/>
          <w:sz w:val="18"/>
          <w:szCs w:val="18"/>
        </w:rPr>
        <w:t>25th March</w:t>
      </w:r>
      <w:proofErr w:type="gramStart"/>
      <w:r w:rsidR="00544B4A">
        <w:rPr>
          <w:rFonts w:ascii="Arial" w:hAnsi="Arial" w:cs="Arial"/>
          <w:bCs/>
          <w:i/>
          <w:sz w:val="18"/>
          <w:szCs w:val="18"/>
        </w:rPr>
        <w:t>.</w:t>
      </w:r>
      <w:r w:rsidR="00544B4A" w:rsidRPr="00544B4A">
        <w:rPr>
          <w:rFonts w:ascii="Arial" w:hAnsi="Arial" w:cs="Arial"/>
          <w:bCs/>
          <w:sz w:val="18"/>
          <w:szCs w:val="18"/>
        </w:rPr>
        <w:t>[</w:t>
      </w:r>
      <w:proofErr w:type="gramEnd"/>
      <w:r w:rsidR="00544B4A" w:rsidRPr="00544B4A">
        <w:rPr>
          <w:rFonts w:ascii="Arial" w:hAnsi="Arial" w:cs="Arial"/>
          <w:bCs/>
          <w:sz w:val="18"/>
          <w:szCs w:val="18"/>
        </w:rPr>
        <w:t>Printed in:</w:t>
      </w:r>
      <w:r w:rsidR="00544B4A">
        <w:rPr>
          <w:rFonts w:ascii="Arial" w:hAnsi="Arial" w:cs="Arial"/>
          <w:bCs/>
          <w:i/>
          <w:sz w:val="18"/>
          <w:szCs w:val="18"/>
        </w:rPr>
        <w:t xml:space="preserve"> </w:t>
      </w:r>
      <w:r w:rsidRPr="00492046">
        <w:rPr>
          <w:rFonts w:ascii="Arial" w:hAnsi="Arial" w:cs="Arial"/>
          <w:bCs/>
          <w:sz w:val="18"/>
          <w:szCs w:val="18"/>
        </w:rPr>
        <w:t xml:space="preserve"> </w:t>
      </w:r>
      <w:r w:rsidR="00544B4A" w:rsidRPr="00544B4A">
        <w:rPr>
          <w:rFonts w:ascii="Arial" w:hAnsi="Arial" w:cs="Arial"/>
          <w:bCs/>
          <w:sz w:val="18"/>
          <w:szCs w:val="18"/>
        </w:rPr>
        <w:t xml:space="preserve">Laura Jacobus, </w:t>
      </w:r>
      <w:r w:rsidR="00544B4A">
        <w:rPr>
          <w:rFonts w:ascii="Arial" w:hAnsi="Arial" w:cs="Arial"/>
          <w:bCs/>
          <w:sz w:val="18"/>
          <w:szCs w:val="18"/>
        </w:rPr>
        <w:t>`</w:t>
      </w:r>
      <w:r w:rsidR="00544B4A" w:rsidRPr="00544B4A">
        <w:rPr>
          <w:rFonts w:ascii="Arial" w:hAnsi="Arial" w:cs="Arial"/>
          <w:bCs/>
          <w:sz w:val="18"/>
          <w:szCs w:val="18"/>
        </w:rPr>
        <w:t>Giotto’s Annunciation in the Arena Chapel, Padua</w:t>
      </w:r>
      <w:r w:rsidR="00544B4A">
        <w:rPr>
          <w:rFonts w:ascii="Arial" w:hAnsi="Arial" w:cs="Arial"/>
          <w:bCs/>
          <w:sz w:val="18"/>
          <w:szCs w:val="18"/>
        </w:rPr>
        <w:t>`</w:t>
      </w:r>
      <w:r w:rsidR="00544B4A" w:rsidRPr="00544B4A">
        <w:rPr>
          <w:rFonts w:ascii="Arial" w:hAnsi="Arial" w:cs="Arial"/>
          <w:bCs/>
          <w:sz w:val="18"/>
          <w:szCs w:val="18"/>
        </w:rPr>
        <w:t xml:space="preserve">, </w:t>
      </w:r>
      <w:r w:rsidR="00544B4A" w:rsidRPr="00544B4A">
        <w:rPr>
          <w:rFonts w:ascii="Arial" w:hAnsi="Arial" w:cs="Arial"/>
          <w:bCs/>
          <w:i/>
          <w:sz w:val="18"/>
          <w:szCs w:val="18"/>
        </w:rPr>
        <w:t>The Art Bulletin</w:t>
      </w:r>
      <w:r w:rsidR="00544B4A" w:rsidRPr="00544B4A">
        <w:rPr>
          <w:rFonts w:ascii="Arial" w:hAnsi="Arial" w:cs="Arial"/>
          <w:bCs/>
          <w:sz w:val="18"/>
          <w:szCs w:val="18"/>
        </w:rPr>
        <w:t>, Vol. 81. No. 1 (Mar. 1999), 93-107.</w:t>
      </w:r>
      <w:r w:rsidR="00544B4A">
        <w:rPr>
          <w:rFonts w:ascii="Arial" w:hAnsi="Arial" w:cs="Arial"/>
          <w:bCs/>
          <w:sz w:val="18"/>
          <w:szCs w:val="18"/>
        </w:rPr>
        <w:t>]</w:t>
      </w:r>
      <w:r w:rsidRPr="00492046">
        <w:rPr>
          <w:rFonts w:ascii="Arial" w:hAnsi="Arial" w:cs="Arial"/>
          <w:bCs/>
          <w:sz w:val="18"/>
          <w:szCs w:val="18"/>
        </w:rPr>
        <w:t xml:space="preserve"> </w:t>
      </w:r>
    </w:p>
    <w:p w14:paraId="79525489" w14:textId="77777777" w:rsidR="00A97456" w:rsidRPr="003434D6" w:rsidRDefault="00A97456" w:rsidP="003B1489">
      <w:pPr>
        <w:spacing w:after="200" w:line="360" w:lineRule="auto"/>
        <w:rPr>
          <w:b/>
          <w:bCs/>
          <w:color w:val="4F81BD" w:themeColor="accent1"/>
          <w:sz w:val="18"/>
          <w:szCs w:val="18"/>
        </w:rPr>
      </w:pPr>
      <w:r>
        <w:t>However, on the other hand, Anne Derbes and Mark Sandona, who do not refer to the sun, argue that the chapel was commissioned to countermand or neutralise male usury with female fecundity.</w:t>
      </w:r>
      <w:r>
        <w:rPr>
          <w:rStyle w:val="FootnoteReference"/>
        </w:rPr>
        <w:footnoteReference w:id="188"/>
      </w:r>
      <w:r>
        <w:t xml:space="preserve"> And they conclude with the possibility that the women of Enrico's family were emblems of his transition from spiritual barrenness.</w:t>
      </w:r>
      <w:r>
        <w:rPr>
          <w:rStyle w:val="FootnoteReference"/>
        </w:rPr>
        <w:footnoteReference w:id="189"/>
      </w:r>
      <w:r>
        <w:t xml:space="preserve"> The arguments of Jacobson and Derbes and Sandona are not incompatible or mutually exclusive </w:t>
      </w:r>
      <w:commentRangeStart w:id="85"/>
      <w:r>
        <w:t xml:space="preserve">however and the chapel could have more than one message of symbolism. </w:t>
      </w:r>
      <w:commentRangeEnd w:id="85"/>
      <w:r w:rsidR="00484FC7">
        <w:rPr>
          <w:rStyle w:val="CommentReference"/>
        </w:rPr>
        <w:commentReference w:id="85"/>
      </w:r>
    </w:p>
    <w:p w14:paraId="66820C0B" w14:textId="77777777" w:rsidR="00A97456" w:rsidRDefault="00A97456" w:rsidP="003B1489">
      <w:pPr>
        <w:spacing w:line="360" w:lineRule="auto"/>
      </w:pPr>
    </w:p>
    <w:p w14:paraId="26150100" w14:textId="77777777" w:rsidR="00A97456" w:rsidRPr="00B147A6" w:rsidRDefault="00A97456" w:rsidP="003B1489">
      <w:pPr>
        <w:spacing w:line="360" w:lineRule="auto"/>
      </w:pPr>
      <w:r w:rsidRPr="00B147A6">
        <w:t>Luke 1:31-35 states that the angel Gabriel told Mary that `thou shalt conceiue in thy wombe` and `The holy Ghost shall come vpon thee, and the power of the Highest shall ouershadow thee</w:t>
      </w:r>
      <w:proofErr w:type="gramStart"/>
      <w:r w:rsidRPr="00B147A6">
        <w:t>.`</w:t>
      </w:r>
      <w:proofErr w:type="gramEnd"/>
      <w:r w:rsidRPr="00B147A6">
        <w:rPr>
          <w:vertAlign w:val="superscript"/>
        </w:rPr>
        <w:footnoteReference w:id="190"/>
      </w:r>
      <w:r w:rsidRPr="00B147A6">
        <w:t xml:space="preserve"> Steinberg points out that this presents western Christian imagination with some problems of construal, for the artists are </w:t>
      </w:r>
      <w:r w:rsidRPr="00B147A6">
        <w:lastRenderedPageBreak/>
        <w:t>unlikely to want to paint Mary cast in shadow and to `come upon` does not lend itself to a clear artistic brief.</w:t>
      </w:r>
      <w:r w:rsidRPr="00B147A6">
        <w:rPr>
          <w:vertAlign w:val="superscript"/>
        </w:rPr>
        <w:footnoteReference w:id="191"/>
      </w:r>
      <w:r w:rsidRPr="00B147A6">
        <w:t xml:space="preserve"> Steinberg explains that earliest western Christianity resorted to two preeminent `similes of penetration` - the falling of dew (most liked by poets) and an infusion of </w:t>
      </w:r>
      <w:r w:rsidR="002559D1">
        <w:t>breath from G</w:t>
      </w:r>
      <w:r w:rsidRPr="00B147A6">
        <w:t>od, which latterly involved the dove as the Holy Ghost on</w:t>
      </w:r>
      <w:r w:rsidR="002559D1">
        <w:t xml:space="preserve"> beams of light emanating from G</w:t>
      </w:r>
      <w:r w:rsidRPr="00B147A6">
        <w:t>od who most often looked like the sun.</w:t>
      </w:r>
      <w:r w:rsidRPr="00B147A6">
        <w:rPr>
          <w:vertAlign w:val="superscript"/>
        </w:rPr>
        <w:footnoteReference w:id="192"/>
      </w:r>
      <w:r w:rsidRPr="00B147A6">
        <w:t xml:space="preserve"> Steinberg’s paper examines how European artists have interpreted the Gospel of Luke. He argues that the celestial rays pointing towards Mary are most commonly divine light, but </w:t>
      </w:r>
      <w:r w:rsidR="002559D1">
        <w:t>if they come from the hands of G</w:t>
      </w:r>
      <w:r w:rsidRPr="00B147A6">
        <w:t xml:space="preserve">od they denote divine operation, </w:t>
      </w:r>
      <w:r w:rsidR="002559D1">
        <w:t>and if they leave the mouth of G</w:t>
      </w:r>
      <w:r w:rsidRPr="00B147A6">
        <w:t>od they are the Word of God entering a sealed virgin womb - most commonly by the ear.</w:t>
      </w:r>
      <w:r w:rsidRPr="00B147A6">
        <w:rPr>
          <w:vertAlign w:val="superscript"/>
        </w:rPr>
        <w:footnoteReference w:id="193"/>
      </w:r>
      <w:r w:rsidRPr="00B147A6">
        <w:t xml:space="preserve"> He does not lean towards a solar allegory at all, concentrating instead on a fifteenth century painting (</w:t>
      </w:r>
      <w:r w:rsidRPr="00B147A6">
        <w:rPr>
          <w:i/>
        </w:rPr>
        <w:t>The Annunciation</w:t>
      </w:r>
      <w:r w:rsidRPr="00B147A6">
        <w:t>) by Filippo Lippi (c.1450-1453) (Fig.14) in which there is no visible sun, observing that in many paintings, the divine effluence is purest light and suggest this is the</w:t>
      </w:r>
      <w:r w:rsidR="002559D1">
        <w:t xml:space="preserve"> most sensible of attribute of G</w:t>
      </w:r>
      <w:r w:rsidRPr="00B147A6">
        <w:t>od since of all substances, light is the most spirit like. He concludes that `the eye is the proper portal of love, so the mating of sight with light` is the exemplary love act and her `virgin womb conceived soul, not semen</w:t>
      </w:r>
      <w:proofErr w:type="gramStart"/>
      <w:r w:rsidRPr="00B147A6">
        <w:t>.`</w:t>
      </w:r>
      <w:proofErr w:type="gramEnd"/>
      <w:r w:rsidRPr="00B147A6">
        <w:rPr>
          <w:vertAlign w:val="superscript"/>
        </w:rPr>
        <w:footnoteReference w:id="194"/>
      </w:r>
    </w:p>
    <w:p w14:paraId="0ED43246"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3F433E60" wp14:editId="11BCCC4F">
            <wp:extent cx="4186807" cy="1889185"/>
            <wp:effectExtent l="0" t="0" r="4445" b="0"/>
            <wp:docPr id="14" name="Picture 14" descr="http://upload.wikimedia.org/wikipedia/commons/thumb/5/5a/Fra_Filippo_Lippi.png/640px-Fra_Filippo_Lip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a/Fra_Filippo_Lippi.png/640px-Fra_Filippo_Lippi.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85050" cy="1888392"/>
                    </a:xfrm>
                    <a:prstGeom prst="rect">
                      <a:avLst/>
                    </a:prstGeom>
                    <a:noFill/>
                    <a:ln>
                      <a:noFill/>
                    </a:ln>
                  </pic:spPr>
                </pic:pic>
              </a:graphicData>
            </a:graphic>
          </wp:inline>
        </w:drawing>
      </w:r>
    </w:p>
    <w:p w14:paraId="7D994FAA" w14:textId="77777777" w:rsidR="00A97456" w:rsidRPr="00492046" w:rsidRDefault="00A97456" w:rsidP="003B1489">
      <w:pPr>
        <w:spacing w:after="200"/>
        <w:rPr>
          <w:rFonts w:ascii="Arial" w:hAnsi="Arial" w:cs="Arial"/>
          <w:bCs/>
          <w:sz w:val="18"/>
          <w:szCs w:val="18"/>
        </w:rPr>
      </w:pPr>
      <w:bookmarkStart w:id="86" w:name="_Toc398116783"/>
      <w:bookmarkStart w:id="87" w:name="_Toc398124171"/>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14</w:t>
      </w:r>
      <w:r w:rsidRPr="00492046">
        <w:rPr>
          <w:rFonts w:ascii="Arial" w:hAnsi="Arial" w:cs="Arial"/>
          <w:bCs/>
          <w:noProof/>
          <w:sz w:val="18"/>
          <w:szCs w:val="18"/>
        </w:rPr>
        <w:fldChar w:fldCharType="end"/>
      </w:r>
      <w:r w:rsidRPr="00492046">
        <w:rPr>
          <w:rFonts w:ascii="Arial" w:hAnsi="Arial" w:cs="Arial"/>
          <w:bCs/>
          <w:sz w:val="18"/>
          <w:szCs w:val="18"/>
        </w:rPr>
        <w:t xml:space="preserve">. Filippo Lippi (1406 – 1469), </w:t>
      </w:r>
      <w:r w:rsidRPr="00492046">
        <w:rPr>
          <w:rFonts w:ascii="Arial" w:hAnsi="Arial" w:cs="Arial"/>
          <w:bCs/>
          <w:i/>
          <w:sz w:val="18"/>
          <w:szCs w:val="18"/>
        </w:rPr>
        <w:t>The Annunciation</w:t>
      </w:r>
      <w:r w:rsidRPr="00492046">
        <w:rPr>
          <w:rFonts w:ascii="Arial" w:hAnsi="Arial" w:cs="Arial"/>
          <w:bCs/>
          <w:sz w:val="18"/>
          <w:szCs w:val="18"/>
        </w:rPr>
        <w:t xml:space="preserve"> (c. 1450-1453), tempera on wood, 68 cm × 151.5 cm (27 in × 59.6 in).</w:t>
      </w:r>
      <w:r w:rsidRPr="00492046">
        <w:rPr>
          <w:rFonts w:ascii="Arial" w:hAnsi="Arial" w:cs="Arial"/>
        </w:rPr>
        <w:t xml:space="preserve"> </w:t>
      </w:r>
      <w:r w:rsidRPr="00492046">
        <w:rPr>
          <w:rFonts w:ascii="Arial" w:hAnsi="Arial" w:cs="Arial"/>
          <w:bCs/>
          <w:sz w:val="18"/>
          <w:szCs w:val="18"/>
        </w:rPr>
        <w:t xml:space="preserve">National Gallery, London. </w:t>
      </w:r>
      <w:r w:rsidRPr="00492046">
        <w:rPr>
          <w:rFonts w:ascii="Arial" w:hAnsi="Arial" w:cs="Arial"/>
          <w:bCs/>
          <w:i/>
          <w:sz w:val="18"/>
          <w:szCs w:val="18"/>
        </w:rPr>
        <w:t>Image</w:t>
      </w:r>
      <w:r w:rsidRPr="00492046">
        <w:rPr>
          <w:rFonts w:ascii="Arial" w:hAnsi="Arial" w:cs="Arial"/>
          <w:bCs/>
          <w:sz w:val="18"/>
          <w:szCs w:val="18"/>
        </w:rPr>
        <w:t>: National Gallery, London.</w:t>
      </w:r>
      <w:bookmarkEnd w:id="86"/>
      <w:bookmarkEnd w:id="87"/>
    </w:p>
    <w:p w14:paraId="7D921B59" w14:textId="77777777" w:rsidR="00A97456" w:rsidRPr="00B147A6" w:rsidRDefault="00A97456" w:rsidP="003B1489">
      <w:pPr>
        <w:spacing w:line="360" w:lineRule="auto"/>
      </w:pPr>
    </w:p>
    <w:p w14:paraId="6930296E" w14:textId="77777777" w:rsidR="00A97456" w:rsidRPr="00B147A6" w:rsidRDefault="00A97456" w:rsidP="003B1489">
      <w:pPr>
        <w:keepNext/>
        <w:spacing w:line="360" w:lineRule="auto"/>
      </w:pPr>
      <w:r w:rsidRPr="00B147A6">
        <w:rPr>
          <w:noProof/>
          <w:lang w:eastAsia="en-GB"/>
        </w:rPr>
        <w:drawing>
          <wp:inline distT="0" distB="0" distL="0" distR="0" wp14:anchorId="12F6A79A" wp14:editId="1B887B91">
            <wp:extent cx="3802837" cy="1889185"/>
            <wp:effectExtent l="0" t="0" r="7620" b="0"/>
            <wp:docPr id="15" name="Picture 15" descr="http://thejesusquestion.files.wordpress.com/2012/05/annunciation-detail_fra-lippo-lip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jesusquestion.files.wordpress.com/2012/05/annunciation-detail_fra-lippo-lippi.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99586" cy="1887570"/>
                    </a:xfrm>
                    <a:prstGeom prst="rect">
                      <a:avLst/>
                    </a:prstGeom>
                    <a:noFill/>
                    <a:ln>
                      <a:noFill/>
                    </a:ln>
                  </pic:spPr>
                </pic:pic>
              </a:graphicData>
            </a:graphic>
          </wp:inline>
        </w:drawing>
      </w:r>
    </w:p>
    <w:p w14:paraId="77B243CA" w14:textId="77777777" w:rsidR="00A97456" w:rsidRPr="00492046" w:rsidRDefault="00A97456" w:rsidP="003B1489">
      <w:pPr>
        <w:spacing w:after="200"/>
        <w:rPr>
          <w:rFonts w:ascii="Arial" w:hAnsi="Arial" w:cs="Arial"/>
          <w:bCs/>
          <w:sz w:val="18"/>
          <w:szCs w:val="18"/>
        </w:rPr>
      </w:pPr>
      <w:bookmarkStart w:id="88" w:name="_Toc398116784"/>
      <w:bookmarkStart w:id="89" w:name="_Toc398124172"/>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15</w:t>
      </w:r>
      <w:r w:rsidRPr="00492046">
        <w:rPr>
          <w:rFonts w:ascii="Arial" w:hAnsi="Arial" w:cs="Arial"/>
          <w:bCs/>
          <w:noProof/>
          <w:sz w:val="18"/>
          <w:szCs w:val="18"/>
        </w:rPr>
        <w:fldChar w:fldCharType="end"/>
      </w:r>
      <w:r w:rsidRPr="00492046">
        <w:rPr>
          <w:rFonts w:ascii="Arial" w:hAnsi="Arial" w:cs="Arial"/>
          <w:bCs/>
          <w:sz w:val="18"/>
          <w:szCs w:val="18"/>
        </w:rPr>
        <w:t xml:space="preserve">. Filippo Lippi (1406 – 1469), </w:t>
      </w:r>
      <w:r w:rsidRPr="00492046">
        <w:rPr>
          <w:rFonts w:ascii="Arial" w:hAnsi="Arial" w:cs="Arial"/>
          <w:bCs/>
          <w:i/>
          <w:sz w:val="18"/>
          <w:szCs w:val="18"/>
        </w:rPr>
        <w:t>The Annunciation</w:t>
      </w:r>
      <w:r w:rsidRPr="00492046">
        <w:rPr>
          <w:rFonts w:ascii="Arial" w:hAnsi="Arial" w:cs="Arial"/>
          <w:bCs/>
          <w:sz w:val="18"/>
          <w:szCs w:val="18"/>
        </w:rPr>
        <w:t xml:space="preserve"> (c. 1450-1453), section showing dove in fiery rings or discs, tempera on wood, 68 cm × 151.5 cm (27 in × 59.6 in). National Gallery, London.</w:t>
      </w:r>
      <w:r w:rsidRPr="00492046">
        <w:rPr>
          <w:rFonts w:ascii="Arial" w:hAnsi="Arial" w:cs="Arial"/>
          <w:bCs/>
          <w:i/>
          <w:sz w:val="18"/>
          <w:szCs w:val="18"/>
        </w:rPr>
        <w:t xml:space="preserve"> Image</w:t>
      </w:r>
      <w:r w:rsidRPr="00492046">
        <w:rPr>
          <w:rFonts w:ascii="Arial" w:hAnsi="Arial" w:cs="Arial"/>
          <w:bCs/>
          <w:sz w:val="18"/>
          <w:szCs w:val="18"/>
        </w:rPr>
        <w:t>: National Gallery, London.</w:t>
      </w:r>
      <w:bookmarkEnd w:id="88"/>
      <w:bookmarkEnd w:id="89"/>
    </w:p>
    <w:p w14:paraId="0CDF8CA1" w14:textId="77777777" w:rsidR="00A97456" w:rsidRPr="00B147A6" w:rsidRDefault="00A97456" w:rsidP="003B1489">
      <w:pPr>
        <w:spacing w:line="360" w:lineRule="auto"/>
      </w:pPr>
    </w:p>
    <w:p w14:paraId="7722B3DB" w14:textId="77777777" w:rsidR="00A97456" w:rsidRPr="00B147A6" w:rsidRDefault="00A97456" w:rsidP="003B1489">
      <w:pPr>
        <w:spacing w:line="360" w:lineRule="auto"/>
      </w:pPr>
      <w:r w:rsidRPr="00B147A6">
        <w:t>I would argue</w:t>
      </w:r>
      <w:r w:rsidR="002559D1">
        <w:t>, however,</w:t>
      </w:r>
      <w:r w:rsidRPr="00B147A6">
        <w:t xml:space="preserve"> that since Lippi uses a string of faintly shown, fiery, disc-shaped rings which deliver the dove and these take their shape from the sun's disc, the solar shape and sunlight symbolism </w:t>
      </w:r>
      <w:commentRangeStart w:id="90"/>
      <w:r w:rsidRPr="00B147A6">
        <w:t>remains, even though the sun itself is not present in the picture. (Figure 15)</w:t>
      </w:r>
      <w:commentRangeEnd w:id="90"/>
      <w:r w:rsidR="00484FC7">
        <w:rPr>
          <w:rStyle w:val="CommentReference"/>
        </w:rPr>
        <w:commentReference w:id="90"/>
      </w:r>
    </w:p>
    <w:p w14:paraId="095AE1AE" w14:textId="77777777" w:rsidR="00A97456" w:rsidRPr="00B147A6" w:rsidRDefault="00A97456" w:rsidP="003B1489">
      <w:pPr>
        <w:spacing w:line="360" w:lineRule="auto"/>
      </w:pPr>
    </w:p>
    <w:p w14:paraId="7E909345" w14:textId="77777777" w:rsidR="00A97456" w:rsidRPr="00B147A6" w:rsidRDefault="00A97456" w:rsidP="003B1489">
      <w:pPr>
        <w:spacing w:line="360" w:lineRule="auto"/>
      </w:pPr>
      <w:r w:rsidRPr="00B147A6">
        <w:t xml:space="preserve">Hirn writes that in Titian’s </w:t>
      </w:r>
      <w:r w:rsidRPr="00B147A6">
        <w:rPr>
          <w:i/>
        </w:rPr>
        <w:t>Annunciation</w:t>
      </w:r>
      <w:r w:rsidRPr="00B147A6">
        <w:t xml:space="preserve"> (Figure 16) ` The light…. streams in rays upon Mary from a sun hidden behind a dark cloud` and `….the stream of light which proceeds from the heaven to the Madonna is seldom missing in representations of </w:t>
      </w:r>
      <w:r w:rsidRPr="00B147A6">
        <w:lastRenderedPageBreak/>
        <w:t>the Annunciation</w:t>
      </w:r>
      <w:proofErr w:type="gramStart"/>
      <w:r w:rsidRPr="00B147A6">
        <w:t>.`</w:t>
      </w:r>
      <w:proofErr w:type="gramEnd"/>
      <w:r w:rsidRPr="00B147A6">
        <w:rPr>
          <w:vertAlign w:val="superscript"/>
        </w:rPr>
        <w:footnoteReference w:id="195"/>
      </w:r>
      <w:r w:rsidRPr="00B147A6">
        <w:t xml:space="preserve"> As with Lippi's </w:t>
      </w:r>
      <w:r w:rsidRPr="00B147A6">
        <w:rPr>
          <w:i/>
        </w:rPr>
        <w:t>Annunciation</w:t>
      </w:r>
      <w:r w:rsidRPr="00B147A6">
        <w:t xml:space="preserve">, I would argue again that although the sun is not depicted in Titian’s </w:t>
      </w:r>
      <w:r w:rsidRPr="00B147A6">
        <w:rPr>
          <w:i/>
        </w:rPr>
        <w:t>Annunciation</w:t>
      </w:r>
      <w:r w:rsidRPr="00B147A6">
        <w:t>, the sky depiction and shaft of light could imply the presence of the sun.</w:t>
      </w:r>
    </w:p>
    <w:p w14:paraId="0B6EADB7" w14:textId="77777777" w:rsidR="00A97456" w:rsidRPr="00B147A6" w:rsidRDefault="00A97456" w:rsidP="003B1489">
      <w:pPr>
        <w:spacing w:line="360" w:lineRule="auto"/>
      </w:pPr>
    </w:p>
    <w:p w14:paraId="300AEB78" w14:textId="77777777" w:rsidR="00A97456" w:rsidRPr="00B147A6" w:rsidRDefault="00A97456" w:rsidP="003B1489">
      <w:pPr>
        <w:keepNext/>
        <w:spacing w:line="360" w:lineRule="auto"/>
      </w:pPr>
      <w:r w:rsidRPr="00B147A6">
        <w:rPr>
          <w:noProof/>
          <w:lang w:eastAsia="en-GB"/>
        </w:rPr>
        <w:drawing>
          <wp:inline distT="0" distB="0" distL="0" distR="0" wp14:anchorId="5DF91B21" wp14:editId="38929655">
            <wp:extent cx="3478845" cy="2177759"/>
            <wp:effectExtent l="0" t="0" r="7620" b="0"/>
            <wp:docPr id="16" name="Picture 16" descr="http://4.bp.blogspot.com/-_urcxQc-BiA/Tl-3o8sdtkI/AAAAAAAAAAw/CVdiBeU9kIE/s640/titian%2527s+annunci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_urcxQc-BiA/Tl-3o8sdtkI/AAAAAAAAAAw/CVdiBeU9kIE/s640/titian%2527s+annunciation.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83608" cy="2180741"/>
                    </a:xfrm>
                    <a:prstGeom prst="rect">
                      <a:avLst/>
                    </a:prstGeom>
                    <a:noFill/>
                    <a:ln>
                      <a:noFill/>
                    </a:ln>
                  </pic:spPr>
                </pic:pic>
              </a:graphicData>
            </a:graphic>
          </wp:inline>
        </w:drawing>
      </w:r>
    </w:p>
    <w:p w14:paraId="2DF837F5" w14:textId="77777777" w:rsidR="00A97456" w:rsidRPr="00492046" w:rsidRDefault="00A97456" w:rsidP="003B1489">
      <w:pPr>
        <w:spacing w:after="200"/>
        <w:rPr>
          <w:rFonts w:ascii="Arial" w:hAnsi="Arial" w:cs="Arial"/>
          <w:bCs/>
          <w:sz w:val="18"/>
          <w:szCs w:val="18"/>
        </w:rPr>
      </w:pPr>
      <w:bookmarkStart w:id="91" w:name="_Toc398116785"/>
      <w:bookmarkStart w:id="92" w:name="_Toc398124173"/>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16</w:t>
      </w:r>
      <w:r w:rsidRPr="00492046">
        <w:rPr>
          <w:rFonts w:ascii="Arial" w:hAnsi="Arial" w:cs="Arial"/>
          <w:bCs/>
          <w:noProof/>
          <w:sz w:val="18"/>
          <w:szCs w:val="18"/>
        </w:rPr>
        <w:fldChar w:fldCharType="end"/>
      </w:r>
      <w:r w:rsidRPr="00492046">
        <w:rPr>
          <w:rFonts w:ascii="Arial" w:hAnsi="Arial" w:cs="Arial"/>
          <w:bCs/>
          <w:sz w:val="18"/>
          <w:szCs w:val="18"/>
        </w:rPr>
        <w:t>.</w:t>
      </w:r>
      <w:r w:rsidRPr="00492046">
        <w:rPr>
          <w:rFonts w:ascii="Arial" w:hAnsi="Arial" w:cs="Arial"/>
          <w:bCs/>
          <w:sz w:val="20"/>
          <w:szCs w:val="20"/>
        </w:rPr>
        <w:t xml:space="preserve"> </w:t>
      </w:r>
      <w:r w:rsidRPr="00492046">
        <w:rPr>
          <w:rFonts w:ascii="Arial" w:hAnsi="Arial" w:cs="Arial"/>
          <w:bCs/>
          <w:sz w:val="18"/>
          <w:szCs w:val="18"/>
        </w:rPr>
        <w:t xml:space="preserve">Titian (c.1488/1490 – 1576CE) </w:t>
      </w:r>
      <w:r w:rsidRPr="00492046">
        <w:rPr>
          <w:rFonts w:ascii="Arial" w:hAnsi="Arial" w:cs="Arial"/>
          <w:bCs/>
          <w:i/>
          <w:sz w:val="18"/>
          <w:szCs w:val="18"/>
        </w:rPr>
        <w:t>The Annunciation</w:t>
      </w:r>
      <w:r w:rsidRPr="00492046">
        <w:rPr>
          <w:rFonts w:ascii="Arial" w:hAnsi="Arial" w:cs="Arial"/>
          <w:bCs/>
          <w:sz w:val="18"/>
          <w:szCs w:val="18"/>
        </w:rPr>
        <w:t xml:space="preserve"> 1559–1564CE., painting, 4.0m x 2.35m, Church of San Salvatore, Venice. </w:t>
      </w:r>
      <w:r w:rsidRPr="00492046">
        <w:rPr>
          <w:rFonts w:ascii="Arial" w:hAnsi="Arial" w:cs="Arial"/>
          <w:bCs/>
          <w:i/>
          <w:sz w:val="18"/>
          <w:szCs w:val="18"/>
        </w:rPr>
        <w:t>Image</w:t>
      </w:r>
      <w:r w:rsidRPr="00492046">
        <w:rPr>
          <w:rFonts w:ascii="Arial" w:hAnsi="Arial" w:cs="Arial"/>
          <w:bCs/>
          <w:sz w:val="18"/>
          <w:szCs w:val="18"/>
        </w:rPr>
        <w:t xml:space="preserve"> Church of San Salvatore.</w:t>
      </w:r>
      <w:bookmarkEnd w:id="91"/>
      <w:bookmarkEnd w:id="92"/>
    </w:p>
    <w:p w14:paraId="268771EB" w14:textId="77777777" w:rsidR="00A97456" w:rsidRPr="00B147A6" w:rsidRDefault="00A97456" w:rsidP="003B1489">
      <w:pPr>
        <w:spacing w:line="360" w:lineRule="auto"/>
      </w:pPr>
      <w:r w:rsidRPr="00B147A6">
        <w:t xml:space="preserve">In Fra Angelico’s </w:t>
      </w:r>
      <w:r w:rsidRPr="00B147A6">
        <w:rPr>
          <w:i/>
        </w:rPr>
        <w:t>The Annunciation</w:t>
      </w:r>
      <w:r w:rsidRPr="00B147A6">
        <w:t xml:space="preserve"> (1425-</w:t>
      </w:r>
      <w:r w:rsidR="002559D1">
        <w:t>1428) (Figure 17), the hand of G</w:t>
      </w:r>
      <w:r w:rsidRPr="00B147A6">
        <w:t xml:space="preserve">od emerges from the something that looks like the sun and a shaft of light speeds towards Mary. </w:t>
      </w:r>
    </w:p>
    <w:p w14:paraId="352A1BE3" w14:textId="77777777" w:rsidR="00A97456" w:rsidRPr="00B147A6" w:rsidRDefault="00A97456" w:rsidP="003B1489">
      <w:pPr>
        <w:spacing w:line="360" w:lineRule="auto"/>
      </w:pPr>
    </w:p>
    <w:p w14:paraId="2B7CB34D" w14:textId="77777777" w:rsidR="00A97456" w:rsidRPr="00B147A6" w:rsidRDefault="00A97456" w:rsidP="003B1489">
      <w:pPr>
        <w:keepNext/>
        <w:spacing w:line="360" w:lineRule="auto"/>
      </w:pPr>
      <w:r w:rsidRPr="00B147A6">
        <w:rPr>
          <w:noProof/>
          <w:lang w:eastAsia="en-GB"/>
        </w:rPr>
        <w:lastRenderedPageBreak/>
        <w:drawing>
          <wp:inline distT="0" distB="0" distL="0" distR="0" wp14:anchorId="6A9E1072" wp14:editId="4CE9CFE3">
            <wp:extent cx="2854997" cy="2467155"/>
            <wp:effectExtent l="0" t="0" r="2540" b="9525"/>
            <wp:docPr id="17" name="Picture 17" descr="http://1.bp.blogspot.com/-kr6NMkE4jp0/T3AQOpA6tuI/AAAAAAAAETg/Tr6UdO6XeVk/s1600/Annunciation_Prado_ca.+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kr6NMkE4jp0/T3AQOpA6tuI/AAAAAAAAETg/Tr6UdO6XeVk/s1600/Annunciation_Prado_ca.+142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60474" cy="2471888"/>
                    </a:xfrm>
                    <a:prstGeom prst="rect">
                      <a:avLst/>
                    </a:prstGeom>
                    <a:noFill/>
                    <a:ln>
                      <a:noFill/>
                    </a:ln>
                  </pic:spPr>
                </pic:pic>
              </a:graphicData>
            </a:graphic>
          </wp:inline>
        </w:drawing>
      </w:r>
    </w:p>
    <w:p w14:paraId="69F750A9" w14:textId="77777777" w:rsidR="00A97456" w:rsidRPr="00492046" w:rsidRDefault="00A97456" w:rsidP="003B1489">
      <w:pPr>
        <w:spacing w:after="200"/>
        <w:rPr>
          <w:rFonts w:ascii="Arial" w:hAnsi="Arial" w:cs="Arial"/>
          <w:bCs/>
          <w:sz w:val="18"/>
          <w:szCs w:val="18"/>
        </w:rPr>
      </w:pPr>
      <w:bookmarkStart w:id="93" w:name="_Toc398116786"/>
      <w:bookmarkStart w:id="94" w:name="_Toc398124174"/>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17</w:t>
      </w:r>
      <w:r w:rsidRPr="00492046">
        <w:rPr>
          <w:rFonts w:ascii="Arial" w:hAnsi="Arial" w:cs="Arial"/>
          <w:bCs/>
          <w:noProof/>
          <w:sz w:val="18"/>
          <w:szCs w:val="18"/>
        </w:rPr>
        <w:fldChar w:fldCharType="end"/>
      </w:r>
      <w:r w:rsidRPr="00492046">
        <w:rPr>
          <w:rFonts w:ascii="Arial" w:hAnsi="Arial" w:cs="Arial"/>
          <w:bCs/>
          <w:sz w:val="18"/>
          <w:szCs w:val="18"/>
        </w:rPr>
        <w:t>.</w:t>
      </w:r>
      <w:r w:rsidRPr="00492046">
        <w:rPr>
          <w:rFonts w:ascii="Arial" w:hAnsi="Arial" w:cs="Arial"/>
          <w:bCs/>
          <w:sz w:val="20"/>
          <w:szCs w:val="20"/>
        </w:rPr>
        <w:t xml:space="preserve"> </w:t>
      </w:r>
      <w:r w:rsidRPr="00492046">
        <w:rPr>
          <w:rFonts w:ascii="Arial" w:hAnsi="Arial" w:cs="Arial"/>
          <w:bCs/>
          <w:sz w:val="18"/>
          <w:szCs w:val="18"/>
        </w:rPr>
        <w:t xml:space="preserve">Fra Angelico (1395 – 1455) </w:t>
      </w:r>
      <w:proofErr w:type="gramStart"/>
      <w:r w:rsidRPr="00492046">
        <w:rPr>
          <w:rFonts w:ascii="Arial" w:hAnsi="Arial" w:cs="Arial"/>
          <w:bCs/>
          <w:i/>
          <w:sz w:val="18"/>
          <w:szCs w:val="18"/>
        </w:rPr>
        <w:t>The</w:t>
      </w:r>
      <w:proofErr w:type="gramEnd"/>
      <w:r w:rsidRPr="00492046">
        <w:rPr>
          <w:rFonts w:ascii="Arial" w:hAnsi="Arial" w:cs="Arial"/>
          <w:bCs/>
          <w:i/>
          <w:sz w:val="18"/>
          <w:szCs w:val="18"/>
        </w:rPr>
        <w:t xml:space="preserve"> Annunciation</w:t>
      </w:r>
      <w:r w:rsidRPr="00492046">
        <w:rPr>
          <w:rFonts w:ascii="Arial" w:hAnsi="Arial" w:cs="Arial"/>
          <w:bCs/>
          <w:sz w:val="18"/>
          <w:szCs w:val="18"/>
        </w:rPr>
        <w:t xml:space="preserve">. 1425 – 1428CE., tempera on wood, 194 cm x 194 </w:t>
      </w:r>
      <w:proofErr w:type="gramStart"/>
      <w:r w:rsidRPr="00492046">
        <w:rPr>
          <w:rFonts w:ascii="Arial" w:hAnsi="Arial" w:cs="Arial"/>
          <w:bCs/>
          <w:sz w:val="18"/>
          <w:szCs w:val="18"/>
        </w:rPr>
        <w:t>cm.,</w:t>
      </w:r>
      <w:proofErr w:type="gramEnd"/>
      <w:r w:rsidRPr="00492046">
        <w:rPr>
          <w:rFonts w:ascii="Arial" w:hAnsi="Arial" w:cs="Arial"/>
          <w:bCs/>
          <w:sz w:val="18"/>
          <w:szCs w:val="18"/>
        </w:rPr>
        <w:t xml:space="preserve"> Museo Nacional del Prado. </w:t>
      </w:r>
      <w:r w:rsidRPr="00492046">
        <w:rPr>
          <w:rFonts w:ascii="Arial" w:hAnsi="Arial" w:cs="Arial"/>
          <w:bCs/>
          <w:i/>
          <w:sz w:val="18"/>
          <w:szCs w:val="18"/>
        </w:rPr>
        <w:t>Image</w:t>
      </w:r>
      <w:r w:rsidRPr="00492046">
        <w:rPr>
          <w:rFonts w:ascii="Arial" w:hAnsi="Arial" w:cs="Arial"/>
          <w:bCs/>
          <w:sz w:val="18"/>
          <w:szCs w:val="18"/>
        </w:rPr>
        <w:t xml:space="preserve">: Museo Nacional </w:t>
      </w:r>
      <w:proofErr w:type="gramStart"/>
      <w:r w:rsidRPr="00492046">
        <w:rPr>
          <w:rFonts w:ascii="Arial" w:hAnsi="Arial" w:cs="Arial"/>
          <w:bCs/>
          <w:sz w:val="18"/>
          <w:szCs w:val="18"/>
        </w:rPr>
        <w:t>del</w:t>
      </w:r>
      <w:proofErr w:type="gramEnd"/>
      <w:r w:rsidRPr="00492046">
        <w:rPr>
          <w:rFonts w:ascii="Arial" w:hAnsi="Arial" w:cs="Arial"/>
          <w:bCs/>
          <w:sz w:val="18"/>
          <w:szCs w:val="18"/>
        </w:rPr>
        <w:t xml:space="preserve"> Prado</w:t>
      </w:r>
      <w:bookmarkEnd w:id="93"/>
      <w:bookmarkEnd w:id="94"/>
    </w:p>
    <w:p w14:paraId="4FDE4C5E" w14:textId="77777777" w:rsidR="00A97456" w:rsidRDefault="00A97456" w:rsidP="003B1489">
      <w:pPr>
        <w:spacing w:line="360" w:lineRule="auto"/>
      </w:pPr>
    </w:p>
    <w:p w14:paraId="1E249E59" w14:textId="77777777" w:rsidR="003E0FDF" w:rsidRPr="00B147A6" w:rsidRDefault="003E0FDF" w:rsidP="003B1489">
      <w:pPr>
        <w:spacing w:line="360" w:lineRule="auto"/>
      </w:pPr>
    </w:p>
    <w:p w14:paraId="7DDB7AE5" w14:textId="77777777" w:rsidR="00A97456" w:rsidRPr="00B147A6" w:rsidRDefault="00A97456" w:rsidP="0013436D">
      <w:pPr>
        <w:pStyle w:val="Heading2"/>
      </w:pPr>
      <w:bookmarkStart w:id="95" w:name="_Toc398190027"/>
      <w:r w:rsidRPr="00B147A6">
        <w:t>Text Based Examp</w:t>
      </w:r>
      <w:r w:rsidR="0013436D">
        <w:t>les of God/Sun/Jesus Metaphors</w:t>
      </w:r>
      <w:bookmarkEnd w:id="95"/>
    </w:p>
    <w:p w14:paraId="680696BB" w14:textId="77777777" w:rsidR="00A97456" w:rsidRPr="00B147A6" w:rsidRDefault="00A97456" w:rsidP="003B1489">
      <w:pPr>
        <w:spacing w:line="360" w:lineRule="auto"/>
      </w:pPr>
    </w:p>
    <w:p w14:paraId="5FD1615E" w14:textId="77777777" w:rsidR="00A97456" w:rsidRPr="00B147A6" w:rsidRDefault="00A97456" w:rsidP="003B1489">
      <w:pPr>
        <w:spacing w:line="360" w:lineRule="auto"/>
      </w:pPr>
      <w:r w:rsidRPr="00B147A6">
        <w:t xml:space="preserve">St. Chrysostom </w:t>
      </w:r>
      <w:r w:rsidR="002559D1">
        <w:t xml:space="preserve">(347 – 407 AD) </w:t>
      </w:r>
      <w:r w:rsidRPr="00B147A6">
        <w:t>wrote that Jesus' birth was well prophesised and therefore irrefutable by using the sun as simile. `For as the sun, though as yet he show not his beams. Doth from afar by his light illumine more than half the world; so likewise Christ, when about to rise from that womb, even before He came forth, shone all over the world.`</w:t>
      </w:r>
      <w:r w:rsidRPr="00B147A6">
        <w:rPr>
          <w:vertAlign w:val="superscript"/>
        </w:rPr>
        <w:footnoteReference w:id="196"/>
      </w:r>
      <w:r w:rsidRPr="00B147A6">
        <w:t xml:space="preserve"> </w:t>
      </w:r>
    </w:p>
    <w:p w14:paraId="7E914064" w14:textId="77777777" w:rsidR="00A97456" w:rsidRPr="00B147A6" w:rsidRDefault="00A97456" w:rsidP="003B1489">
      <w:pPr>
        <w:spacing w:line="360" w:lineRule="auto"/>
      </w:pPr>
    </w:p>
    <w:p w14:paraId="25603617" w14:textId="77777777" w:rsidR="00A97456" w:rsidRPr="00B147A6" w:rsidRDefault="00A97456" w:rsidP="003B1489">
      <w:pPr>
        <w:spacing w:line="360" w:lineRule="auto"/>
      </w:pPr>
      <w:r w:rsidRPr="00B147A6">
        <w:t>Likewise, ev</w:t>
      </w:r>
      <w:r w:rsidR="002559D1">
        <w:t>idence of a solar metaphor for G</w:t>
      </w:r>
      <w:r w:rsidRPr="00B147A6">
        <w:t>od exists in the Bible - Psalms Chapter 19: 1-6,</w:t>
      </w:r>
    </w:p>
    <w:p w14:paraId="7707CA46" w14:textId="77777777" w:rsidR="00A97456" w:rsidRPr="00B147A6" w:rsidRDefault="00A97456" w:rsidP="003B1489">
      <w:pPr>
        <w:spacing w:line="360" w:lineRule="auto"/>
      </w:pPr>
    </w:p>
    <w:p w14:paraId="00E7C8EF" w14:textId="77777777" w:rsidR="00A97456" w:rsidRPr="00B147A6" w:rsidRDefault="00A97456" w:rsidP="003B1489">
      <w:pPr>
        <w:spacing w:line="360" w:lineRule="auto"/>
        <w:ind w:left="720"/>
      </w:pPr>
      <w:r w:rsidRPr="00B147A6">
        <w:lastRenderedPageBreak/>
        <w:t xml:space="preserve">The heauens declare the glory of God: and the firmament sheweth his handy worke…… In them hath he set a tabernacle for the </w:t>
      </w:r>
      <w:proofErr w:type="gramStart"/>
      <w:r w:rsidRPr="00B147A6">
        <w:t>Sunne.</w:t>
      </w:r>
      <w:proofErr w:type="gramEnd"/>
      <w:r w:rsidRPr="00B147A6">
        <w:t xml:space="preserve"> Which is as a bridegrome comming out of his chamber, and reioyceth as a strong man to runne a race. His going forth is from the end of the heauen, and his circuite vnto the ends of it: and there is nothing hidde from the heat thereof.</w:t>
      </w:r>
    </w:p>
    <w:p w14:paraId="571422B5" w14:textId="77777777" w:rsidR="00A97456" w:rsidRPr="00B147A6" w:rsidRDefault="00A97456" w:rsidP="003B1489">
      <w:pPr>
        <w:spacing w:line="360" w:lineRule="auto"/>
      </w:pPr>
    </w:p>
    <w:p w14:paraId="3A846833" w14:textId="77777777" w:rsidR="00A97456" w:rsidRPr="00B147A6" w:rsidRDefault="002559D1" w:rsidP="003B1489">
      <w:pPr>
        <w:spacing w:line="360" w:lineRule="auto"/>
      </w:pPr>
      <w:r>
        <w:t>Reference to G</w:t>
      </w:r>
      <w:r w:rsidR="00A97456" w:rsidRPr="00B147A6">
        <w:t>od as a bridegroom and therefore virile, is also evident when Hirn talks of the angel Gabrielle as the `…heavenly bridegroom’s speaker…`</w:t>
      </w:r>
      <w:r w:rsidR="00A97456" w:rsidRPr="00B147A6">
        <w:rPr>
          <w:vertAlign w:val="superscript"/>
        </w:rPr>
        <w:footnoteReference w:id="197"/>
      </w:r>
      <w:r w:rsidR="00A97456" w:rsidRPr="00B147A6">
        <w:t xml:space="preserve"> This is even more convincing when we read `Thus not only has the virgin been described as a bride, but the Highest Himself has been made into her lover` and the `strength of god, mighty and aflame…. enters the chamber..</w:t>
      </w:r>
      <w:r w:rsidR="00A97456" w:rsidRPr="00B147A6">
        <w:rPr>
          <w:vertAlign w:val="superscript"/>
        </w:rPr>
        <w:footnoteReference w:id="198"/>
      </w:r>
      <w:r w:rsidR="00A97456" w:rsidRPr="00B147A6">
        <w:t xml:space="preserve"> Hirn continues with `…in contrast to the Divinity [Mary] represents the barren Earth as opposed to the fertilising heaven`</w:t>
      </w:r>
      <w:r w:rsidR="00A97456" w:rsidRPr="00B147A6">
        <w:rPr>
          <w:vertAlign w:val="superscript"/>
        </w:rPr>
        <w:footnoteReference w:id="199"/>
      </w:r>
    </w:p>
    <w:p w14:paraId="049E47CB" w14:textId="77777777" w:rsidR="00A97456" w:rsidRPr="00B147A6" w:rsidRDefault="00A97456" w:rsidP="003B1489">
      <w:pPr>
        <w:spacing w:line="360" w:lineRule="auto"/>
      </w:pPr>
    </w:p>
    <w:p w14:paraId="4734F35D" w14:textId="77777777" w:rsidR="00A97456" w:rsidRPr="00B147A6" w:rsidRDefault="00A97456" w:rsidP="003B1489">
      <w:pPr>
        <w:spacing w:line="360" w:lineRule="auto"/>
      </w:pPr>
      <w:r w:rsidRPr="00B147A6">
        <w:t>But however close that interpretation gets to the implication of the sun as the heavenly bridegroom impregnating Mary, Hirn also had to admit that the pious would go no further than regarding Mary as a temple to house divine power with her virginity intact.</w:t>
      </w:r>
      <w:r w:rsidRPr="00B147A6">
        <w:rPr>
          <w:vertAlign w:val="superscript"/>
        </w:rPr>
        <w:footnoteReference w:id="200"/>
      </w:r>
      <w:r w:rsidR="009816C3">
        <w:t xml:space="preserve"> A</w:t>
      </w:r>
      <w:r w:rsidRPr="00B147A6">
        <w:t xml:space="preserve">lthough solar metaphorical and allegorical evidence is evident in Christian art and texts surrounding the mythological conception of Jesus and the Annunciation, it remained chaste and pious. Further evidence that Christ was </w:t>
      </w:r>
      <w:r w:rsidRPr="00B147A6">
        <w:lastRenderedPageBreak/>
        <w:t>identified with the sun lies beneath St Paul’s Basilica where there is a small mausoleum re</w:t>
      </w:r>
      <w:r>
        <w:t xml:space="preserve">decorated by Christians in the third </w:t>
      </w:r>
      <w:r w:rsidRPr="00B147A6">
        <w:t>century.</w:t>
      </w:r>
      <w:r w:rsidRPr="00B147A6">
        <w:rPr>
          <w:vertAlign w:val="superscript"/>
        </w:rPr>
        <w:footnoteReference w:id="201"/>
      </w:r>
      <w:r w:rsidRPr="00B147A6">
        <w:t xml:space="preserve"> In it, Christ is shown as the sun god Helios or Apollo in a chariot being drawn by four horses; this is the earliest example of the Christ sun or `Christus Helios`.</w:t>
      </w:r>
      <w:r w:rsidRPr="00B147A6">
        <w:rPr>
          <w:vertAlign w:val="superscript"/>
        </w:rPr>
        <w:footnoteReference w:id="202"/>
      </w:r>
    </w:p>
    <w:p w14:paraId="55690E9A" w14:textId="77777777" w:rsidR="00A97456" w:rsidRPr="00B147A6" w:rsidRDefault="00A97456" w:rsidP="003B1489">
      <w:pPr>
        <w:spacing w:line="360" w:lineRule="auto"/>
      </w:pPr>
    </w:p>
    <w:p w14:paraId="3A61FF4A" w14:textId="77777777" w:rsidR="00A97456" w:rsidRPr="00B147A6" w:rsidRDefault="00A97456" w:rsidP="003B1489">
      <w:pPr>
        <w:keepNext/>
        <w:spacing w:line="360" w:lineRule="auto"/>
      </w:pPr>
      <w:r w:rsidRPr="00B147A6">
        <w:rPr>
          <w:noProof/>
          <w:lang w:eastAsia="en-GB"/>
        </w:rPr>
        <w:drawing>
          <wp:inline distT="0" distB="0" distL="0" distR="0" wp14:anchorId="40D91593" wp14:editId="631D87A2">
            <wp:extent cx="2380891" cy="2544474"/>
            <wp:effectExtent l="0" t="0" r="635" b="8255"/>
            <wp:docPr id="18" name="Picture 18" descr="File:ChristAsS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hristAsSol.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0963" cy="2544551"/>
                    </a:xfrm>
                    <a:prstGeom prst="rect">
                      <a:avLst/>
                    </a:prstGeom>
                    <a:noFill/>
                    <a:ln>
                      <a:noFill/>
                    </a:ln>
                  </pic:spPr>
                </pic:pic>
              </a:graphicData>
            </a:graphic>
          </wp:inline>
        </w:drawing>
      </w:r>
    </w:p>
    <w:p w14:paraId="5C8B8F73" w14:textId="77777777" w:rsidR="00A97456" w:rsidRPr="00492046" w:rsidRDefault="00A97456" w:rsidP="003B1489">
      <w:pPr>
        <w:spacing w:after="200"/>
        <w:rPr>
          <w:rFonts w:ascii="Arial" w:hAnsi="Arial" w:cs="Arial"/>
          <w:bCs/>
          <w:sz w:val="18"/>
          <w:szCs w:val="18"/>
        </w:rPr>
      </w:pPr>
      <w:bookmarkStart w:id="96" w:name="_Toc398116787"/>
      <w:bookmarkStart w:id="97" w:name="_Toc398124175"/>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18</w:t>
      </w:r>
      <w:r w:rsidRPr="00492046">
        <w:rPr>
          <w:rFonts w:ascii="Arial" w:hAnsi="Arial" w:cs="Arial"/>
          <w:bCs/>
          <w:noProof/>
          <w:sz w:val="18"/>
          <w:szCs w:val="18"/>
        </w:rPr>
        <w:fldChar w:fldCharType="end"/>
      </w:r>
      <w:r w:rsidRPr="00492046">
        <w:rPr>
          <w:rFonts w:ascii="Arial" w:hAnsi="Arial" w:cs="Arial"/>
          <w:bCs/>
          <w:sz w:val="18"/>
          <w:szCs w:val="18"/>
        </w:rPr>
        <w:t>.</w:t>
      </w:r>
      <w:r w:rsidRPr="00492046">
        <w:rPr>
          <w:rFonts w:ascii="Arial" w:hAnsi="Arial" w:cs="Arial"/>
          <w:sz w:val="20"/>
          <w:szCs w:val="20"/>
        </w:rPr>
        <w:t xml:space="preserve"> </w:t>
      </w:r>
      <w:r w:rsidRPr="00492046">
        <w:rPr>
          <w:rFonts w:ascii="Arial" w:hAnsi="Arial" w:cs="Arial"/>
          <w:bCs/>
          <w:sz w:val="18"/>
          <w:szCs w:val="18"/>
        </w:rPr>
        <w:t xml:space="preserve">Unknown artist. Mosaic of Christ as Sol or Apollo-Helios, mosaic, third century CE, Mausoleum M beneath St Paul’s Basilica, Rome. </w:t>
      </w:r>
      <w:r w:rsidRPr="00492046">
        <w:rPr>
          <w:rFonts w:ascii="Arial" w:hAnsi="Arial" w:cs="Arial"/>
          <w:bCs/>
          <w:i/>
          <w:sz w:val="18"/>
          <w:szCs w:val="18"/>
        </w:rPr>
        <w:t>Image</w:t>
      </w:r>
      <w:r w:rsidRPr="00492046">
        <w:rPr>
          <w:rFonts w:ascii="Arial" w:hAnsi="Arial" w:cs="Arial"/>
          <w:bCs/>
          <w:sz w:val="18"/>
          <w:szCs w:val="18"/>
        </w:rPr>
        <w:t>: Public Domain, Wikimedia commons.</w:t>
      </w:r>
      <w:bookmarkEnd w:id="96"/>
      <w:bookmarkEnd w:id="97"/>
    </w:p>
    <w:p w14:paraId="710B193F" w14:textId="77777777" w:rsidR="00A97456" w:rsidRPr="00B147A6" w:rsidRDefault="00A97456" w:rsidP="003B1489">
      <w:pPr>
        <w:spacing w:line="360" w:lineRule="auto"/>
        <w:rPr>
          <w:sz w:val="20"/>
          <w:szCs w:val="20"/>
        </w:rPr>
      </w:pPr>
      <w:r w:rsidRPr="00B147A6">
        <w:t>Engelbert Kirschbaum discussed the wall art and mosaics in a mausoleum underneath St Peter’s Basilica and said: ` It has long been proven from early Christian literature that the sun symbolism of antiquity was transferred to Christ during the first Christian centuries.`</w:t>
      </w:r>
      <w:r w:rsidRPr="00B147A6">
        <w:rPr>
          <w:vertAlign w:val="superscript"/>
        </w:rPr>
        <w:footnoteReference w:id="203"/>
      </w:r>
      <w:r w:rsidRPr="00B147A6">
        <w:t xml:space="preserve"> He then quotes from Franz J. Dolger (1878 – 1940) who states `Sun, darkness and light, Jesus as the true spiritual sun, must inevitably stream across the into the explanation of the liturgy` and goes on to translate this from </w:t>
      </w:r>
      <w:r w:rsidRPr="00B147A6">
        <w:rPr>
          <w:i/>
        </w:rPr>
        <w:lastRenderedPageBreak/>
        <w:t>Liturgiegeschichtliche Forschungen</w:t>
      </w:r>
      <w:r w:rsidRPr="00B147A6">
        <w:t xml:space="preserve"> by Verein zur Pflege der Liturgiewissenschaft:</w:t>
      </w:r>
    </w:p>
    <w:p w14:paraId="51D48A5C" w14:textId="77777777" w:rsidR="00A97456" w:rsidRPr="00B147A6" w:rsidRDefault="00A97456" w:rsidP="003B1489">
      <w:pPr>
        <w:spacing w:line="360" w:lineRule="auto"/>
      </w:pPr>
    </w:p>
    <w:p w14:paraId="61CCCAA7" w14:textId="77777777" w:rsidR="00A97456" w:rsidRPr="00B147A6" w:rsidRDefault="00A97456" w:rsidP="003B1489">
      <w:pPr>
        <w:spacing w:line="360" w:lineRule="auto"/>
      </w:pPr>
      <w:r w:rsidRPr="00B147A6">
        <w:t xml:space="preserve">Awake from sleep, </w:t>
      </w:r>
    </w:p>
    <w:p w14:paraId="088763B4" w14:textId="77777777" w:rsidR="00A97456" w:rsidRPr="00B147A6" w:rsidRDefault="00A97456" w:rsidP="003B1489">
      <w:pPr>
        <w:spacing w:line="360" w:lineRule="auto"/>
      </w:pPr>
      <w:r w:rsidRPr="00B147A6">
        <w:t>Arise from the dead,</w:t>
      </w:r>
    </w:p>
    <w:p w14:paraId="4D08AD9B" w14:textId="77777777" w:rsidR="00A97456" w:rsidRPr="00B147A6" w:rsidRDefault="00A97456" w:rsidP="003B1489">
      <w:pPr>
        <w:spacing w:line="360" w:lineRule="auto"/>
      </w:pPr>
      <w:r w:rsidRPr="00B147A6">
        <w:t>And Christ the Lord, will enlighten thee,</w:t>
      </w:r>
    </w:p>
    <w:p w14:paraId="60F8FC82" w14:textId="77777777" w:rsidR="00A97456" w:rsidRPr="00B147A6" w:rsidRDefault="00A97456" w:rsidP="003B1489">
      <w:pPr>
        <w:spacing w:line="360" w:lineRule="auto"/>
      </w:pPr>
      <w:r w:rsidRPr="00B147A6">
        <w:t xml:space="preserve">The Sun of Resurrection, </w:t>
      </w:r>
    </w:p>
    <w:p w14:paraId="4AFBE1F7" w14:textId="77777777" w:rsidR="00A97456" w:rsidRPr="00B147A6" w:rsidRDefault="00A97456" w:rsidP="003B1489">
      <w:pPr>
        <w:spacing w:line="360" w:lineRule="auto"/>
      </w:pPr>
      <w:r w:rsidRPr="00B147A6">
        <w:t>Fashioned before the morning star,</w:t>
      </w:r>
    </w:p>
    <w:p w14:paraId="3C18994C" w14:textId="77777777" w:rsidR="00A97456" w:rsidRPr="00B147A6" w:rsidRDefault="00A97456" w:rsidP="003B1489">
      <w:pPr>
        <w:spacing w:line="360" w:lineRule="auto"/>
      </w:pPr>
      <w:r w:rsidRPr="00B147A6">
        <w:t>Dispensing life with its radiance.</w:t>
      </w:r>
      <w:r w:rsidRPr="00B147A6">
        <w:rPr>
          <w:vertAlign w:val="superscript"/>
        </w:rPr>
        <w:footnoteReference w:id="204"/>
      </w:r>
      <w:r w:rsidRPr="00B147A6">
        <w:t xml:space="preserve"> </w:t>
      </w:r>
    </w:p>
    <w:p w14:paraId="16BDC6EA" w14:textId="77777777" w:rsidR="00A97456" w:rsidRPr="00B147A6" w:rsidRDefault="00A97456" w:rsidP="003B1489">
      <w:pPr>
        <w:spacing w:line="360" w:lineRule="auto"/>
      </w:pPr>
    </w:p>
    <w:p w14:paraId="0984AB5E" w14:textId="77777777" w:rsidR="00A97456" w:rsidRPr="00B147A6" w:rsidRDefault="00A97456" w:rsidP="003B1489">
      <w:pPr>
        <w:spacing w:line="360" w:lineRule="auto"/>
      </w:pPr>
      <w:r w:rsidRPr="00B147A6">
        <w:t xml:space="preserve">So, if, as suggested by Kirschbaum and the mosaic, early Christian literature and art depicted Christ as the sun or sunlight, then it is apposite to examine his story for any symbolism that might allegorise it as phallic, </w:t>
      </w:r>
      <w:commentRangeStart w:id="98"/>
      <w:r w:rsidRPr="00B147A6">
        <w:t xml:space="preserve">but I could find no evidence of a sexually generative Christ sun.  In the Christian interpretation, the sun and its light are holy and not phallic, but it is still procreative. </w:t>
      </w:r>
      <w:commentRangeEnd w:id="98"/>
      <w:r w:rsidR="00484FC7">
        <w:rPr>
          <w:rStyle w:val="CommentReference"/>
        </w:rPr>
        <w:commentReference w:id="98"/>
      </w:r>
    </w:p>
    <w:p w14:paraId="41AEFD01" w14:textId="77777777" w:rsidR="00A97456" w:rsidRPr="00B147A6" w:rsidRDefault="00A97456" w:rsidP="003B1489">
      <w:pPr>
        <w:spacing w:line="360" w:lineRule="auto"/>
      </w:pPr>
    </w:p>
    <w:p w14:paraId="712CF09E" w14:textId="77777777" w:rsidR="00A97456" w:rsidRPr="00B147A6" w:rsidRDefault="00A97456" w:rsidP="003B1489">
      <w:pPr>
        <w:spacing w:line="360" w:lineRule="auto"/>
      </w:pPr>
      <w:r w:rsidRPr="00B147A6">
        <w:t>In his discussion on mystical light, Eliade suggests that light lifts a man into something transcendent and holy, but that is according to the man’s culture and religion.</w:t>
      </w:r>
      <w:r w:rsidRPr="00B147A6">
        <w:rPr>
          <w:vertAlign w:val="superscript"/>
        </w:rPr>
        <w:footnoteReference w:id="205"/>
      </w:r>
      <w:r w:rsidRPr="00B147A6">
        <w:t xml:space="preserve"> According to Eliade, the meaning of supernatural light speaks to his soul, but it comes `clothed in pre-existent ideology` and each man `discovers what he was spiritually and culturally prepared to discover`.</w:t>
      </w:r>
      <w:r w:rsidRPr="00B147A6">
        <w:rPr>
          <w:vertAlign w:val="superscript"/>
        </w:rPr>
        <w:footnoteReference w:id="206"/>
      </w:r>
      <w:r w:rsidRPr="00B147A6">
        <w:t xml:space="preserve"> So for spiritual people, light is holy, although the </w:t>
      </w:r>
      <w:r w:rsidRPr="00B147A6">
        <w:lastRenderedPageBreak/>
        <w:t xml:space="preserve">individual context is moulded by cultural experience. </w:t>
      </w:r>
      <w:commentRangeStart w:id="99"/>
      <w:r w:rsidRPr="00B147A6">
        <w:t>So the Christians</w:t>
      </w:r>
      <w:r>
        <w:t xml:space="preserve"> may</w:t>
      </w:r>
      <w:r w:rsidRPr="00B147A6">
        <w:t xml:space="preserve"> still use the symbolism </w:t>
      </w:r>
      <w:r w:rsidR="009816C3">
        <w:t>of the sun, even though it is not</w:t>
      </w:r>
      <w:r w:rsidRPr="00B147A6">
        <w:t xml:space="preserve"> sexual for them.</w:t>
      </w:r>
      <w:commentRangeEnd w:id="99"/>
      <w:r w:rsidR="00484FC7">
        <w:rPr>
          <w:rStyle w:val="CommentReference"/>
        </w:rPr>
        <w:commentReference w:id="99"/>
      </w:r>
    </w:p>
    <w:p w14:paraId="6417D4C2" w14:textId="77777777" w:rsidR="00A97456" w:rsidRDefault="00A97456" w:rsidP="003B1489">
      <w:pPr>
        <w:spacing w:line="360" w:lineRule="auto"/>
      </w:pPr>
    </w:p>
    <w:p w14:paraId="0149FDF5" w14:textId="77777777" w:rsidR="00A97456" w:rsidRPr="00B147A6" w:rsidRDefault="00A97456" w:rsidP="003B1489">
      <w:pPr>
        <w:spacing w:line="360" w:lineRule="auto"/>
      </w:pPr>
    </w:p>
    <w:p w14:paraId="0EA04D90" w14:textId="77777777" w:rsidR="00A97456" w:rsidRPr="00B147A6" w:rsidRDefault="00B25AE4" w:rsidP="0013436D">
      <w:pPr>
        <w:pStyle w:val="Heading2"/>
      </w:pPr>
      <w:bookmarkStart w:id="100" w:name="_Toc398190028"/>
      <w:r>
        <w:t>Summary</w:t>
      </w:r>
      <w:r w:rsidR="00955A58">
        <w:t xml:space="preserve"> of </w:t>
      </w:r>
      <w:r w:rsidR="00A97456" w:rsidRPr="00B147A6">
        <w:t>Section</w:t>
      </w:r>
      <w:r w:rsidR="00955A58">
        <w:t xml:space="preserve"> Four</w:t>
      </w:r>
      <w:bookmarkEnd w:id="100"/>
    </w:p>
    <w:p w14:paraId="36CC5193" w14:textId="77777777" w:rsidR="00A97456" w:rsidRPr="00B147A6" w:rsidRDefault="00A97456" w:rsidP="003B1489">
      <w:pPr>
        <w:spacing w:line="360" w:lineRule="auto"/>
      </w:pPr>
    </w:p>
    <w:p w14:paraId="57624596" w14:textId="77777777" w:rsidR="003E0FDF" w:rsidRDefault="00A97456" w:rsidP="003E0FDF">
      <w:pPr>
        <w:spacing w:line="360" w:lineRule="auto"/>
        <w:sectPr w:rsidR="003E0FDF" w:rsidSect="003B1489">
          <w:pgSz w:w="11906" w:h="16838"/>
          <w:pgMar w:top="1440" w:right="2495" w:bottom="1440" w:left="2495" w:header="709" w:footer="709" w:gutter="0"/>
          <w:cols w:space="708"/>
          <w:docGrid w:linePitch="360"/>
        </w:sectPr>
      </w:pPr>
      <w:r w:rsidRPr="00B147A6">
        <w:t xml:space="preserve">After examining examples of Christian art which describe how Mary became pregnant with Jesus, it is apparent the artists used a sky or high source of light or </w:t>
      </w:r>
      <w:r w:rsidR="001E5729">
        <w:t>sunlight</w:t>
      </w:r>
      <w:r w:rsidRPr="00B147A6">
        <w:t xml:space="preserve"> and a dove. So sunlight can apparently be procreative in Christian art and texts, but it isn’t overtly ph</w:t>
      </w:r>
      <w:r w:rsidR="009816C3">
        <w:t>allic and despite Origen’s statement that G</w:t>
      </w:r>
      <w:r w:rsidRPr="00B147A6">
        <w:t>od had nothing to do with the light of the sun, there is an unconscious expression of sunlight in the symbolism of impregnation and the portrayal of shafts of light, even though this is not sexually explicit. As Eliade said, light can lift a human into an appreciation of that which is sacred, but this procreative effect is clothed in their individual con</w:t>
      </w:r>
      <w:r>
        <w:t>text. Hence the Egyptians, having</w:t>
      </w:r>
      <w:r w:rsidRPr="00B147A6">
        <w:t xml:space="preserve"> an open-minded attitude to sexual issues</w:t>
      </w:r>
      <w:r>
        <w:t>,</w:t>
      </w:r>
      <w:r w:rsidRPr="00B147A6">
        <w:t xml:space="preserve"> perceived a sexually virile sun in their theogony, whilst the Christians, whose doctrine reviled the flesh and sexual issues, still saw it as procreative, but without the involvement of the body or matter. But that said, all cultures have a sun, so the spiritual interpretation the Christian human makes as opposed to the Ancient Egyptian or Orphic one may </w:t>
      </w:r>
      <w:r w:rsidRPr="00B147A6">
        <w:rPr>
          <w:i/>
        </w:rPr>
        <w:t>still</w:t>
      </w:r>
      <w:r w:rsidRPr="00B147A6">
        <w:t xml:space="preserve"> be influenced by properties of the sun, no matter how that is portrayed. </w:t>
      </w:r>
      <w:r>
        <w:t xml:space="preserve">The sun is referred to as bridegroom </w:t>
      </w:r>
      <w:r w:rsidRPr="003434D6">
        <w:t>Psalms Chapter 19: 1-6</w:t>
      </w:r>
      <w:r>
        <w:t xml:space="preserve">, and according </w:t>
      </w:r>
      <w:r>
        <w:lastRenderedPageBreak/>
        <w:t xml:space="preserve">to St. </w:t>
      </w:r>
      <w:r w:rsidRPr="00224483">
        <w:t>Chrysostom</w:t>
      </w:r>
      <w:r>
        <w:t>,</w:t>
      </w:r>
      <w:r w:rsidRPr="00224483">
        <w:t xml:space="preserve"> </w:t>
      </w:r>
      <w:r>
        <w:t>Jesus is the light</w:t>
      </w:r>
      <w:r w:rsidRPr="00224483">
        <w:t xml:space="preserve"> </w:t>
      </w:r>
      <w:r>
        <w:t>that shi</w:t>
      </w:r>
      <w:r w:rsidRPr="00224483">
        <w:t>ne</w:t>
      </w:r>
      <w:r>
        <w:t>s</w:t>
      </w:r>
      <w:r w:rsidRPr="00224483">
        <w:t xml:space="preserve"> all over the world</w:t>
      </w:r>
      <w:r>
        <w:t>, before the sun arrives.</w:t>
      </w:r>
      <w:r w:rsidRPr="00224483">
        <w:rPr>
          <w:vertAlign w:val="superscript"/>
        </w:rPr>
        <w:footnoteReference w:id="207"/>
      </w:r>
      <w:r w:rsidR="003E0FDF">
        <w:t xml:space="preserve"> </w:t>
      </w:r>
    </w:p>
    <w:p w14:paraId="70147118" w14:textId="77777777" w:rsidR="00A97456" w:rsidRPr="003E0FDF" w:rsidRDefault="00A97456" w:rsidP="00F27099">
      <w:pPr>
        <w:pStyle w:val="Heading1"/>
      </w:pPr>
      <w:bookmarkStart w:id="101" w:name="_Toc398190029"/>
      <w:r w:rsidRPr="006A0DBB">
        <w:rPr>
          <w:sz w:val="36"/>
          <w:szCs w:val="36"/>
        </w:rPr>
        <w:lastRenderedPageBreak/>
        <w:t>Section Five: Examination o</w:t>
      </w:r>
      <w:r w:rsidR="00F27099">
        <w:rPr>
          <w:sz w:val="36"/>
          <w:szCs w:val="36"/>
        </w:rPr>
        <w:t>f Results and Closing Arguments</w:t>
      </w:r>
      <w:bookmarkEnd w:id="101"/>
    </w:p>
    <w:p w14:paraId="5B438B3F" w14:textId="77777777" w:rsidR="00A97456" w:rsidRDefault="00A97456" w:rsidP="003B1489">
      <w:pPr>
        <w:spacing w:line="360" w:lineRule="auto"/>
      </w:pPr>
    </w:p>
    <w:p w14:paraId="4941CE85" w14:textId="77777777" w:rsidR="00A97456" w:rsidRPr="00B147A6" w:rsidRDefault="00A97456" w:rsidP="003B1489">
      <w:pPr>
        <w:spacing w:line="360" w:lineRule="auto"/>
      </w:pPr>
    </w:p>
    <w:p w14:paraId="7C9CADF6" w14:textId="77777777" w:rsidR="00A97456" w:rsidRPr="00B147A6" w:rsidRDefault="00A97456" w:rsidP="003B1489">
      <w:pPr>
        <w:spacing w:line="360" w:lineRule="auto"/>
      </w:pPr>
      <w:r>
        <w:t>Humanity's</w:t>
      </w:r>
      <w:r w:rsidRPr="00B147A6">
        <w:t xml:space="preserve"> basic dependence on procreation, be it human or vegetative, crosses all cultures, landscapes and climates. Humankind has always witnessed the creation of land from the mouth of a volcano, a blade of grass from a seed, or the creation of a human baby from sexual activity, so it is only natural that humans have speculated on it. And although reproduction has been approached differently by various ethnic groups or cultures, it remains essential to existence and our survival depends on it. Equally, the sky is also a common experience for all humans and features of it have been revered or utilised in myth, or spiritual affairs throughout history. Central to this is our sun, which has the power to light the world and grow vegetation. So sexual reproduction and vegetative reproduction are two phenomena which are necessarily present in the lives of all humans and are linked by the procreative or creational impulse. It would then perhaps be natural for spiritual or religious beliefs around theogony, creation and procreative acts to become entangled.</w:t>
      </w:r>
    </w:p>
    <w:p w14:paraId="21CABAEB" w14:textId="77777777" w:rsidR="00A97456" w:rsidRPr="00B147A6" w:rsidRDefault="00A97456" w:rsidP="003B1489">
      <w:pPr>
        <w:spacing w:line="360" w:lineRule="auto"/>
      </w:pPr>
    </w:p>
    <w:p w14:paraId="79718948" w14:textId="77777777" w:rsidR="003E0FDF" w:rsidRDefault="00A97456" w:rsidP="003E0FDF">
      <w:pPr>
        <w:spacing w:line="360" w:lineRule="auto"/>
        <w:sectPr w:rsidR="003E0FDF" w:rsidSect="003B1489">
          <w:pgSz w:w="11906" w:h="16838"/>
          <w:pgMar w:top="1440" w:right="2495" w:bottom="1440" w:left="2495" w:header="709" w:footer="709" w:gutter="0"/>
          <w:cols w:space="708"/>
          <w:docGrid w:linePitch="360"/>
        </w:sectPr>
      </w:pPr>
      <w:r w:rsidRPr="00B147A6">
        <w:t xml:space="preserve">This dissertation has </w:t>
      </w:r>
      <w:r w:rsidR="00F51F7F">
        <w:t>asked the question `</w:t>
      </w:r>
      <w:r w:rsidR="00F51F7F" w:rsidRPr="00F51F7F">
        <w:t xml:space="preserve">Does imagery of the Egyptian culture and the Orphic </w:t>
      </w:r>
      <w:r w:rsidR="00F51F7F" w:rsidRPr="003B1AE6">
        <w:rPr>
          <w:i/>
        </w:rPr>
        <w:t>Derveni Papyru</w:t>
      </w:r>
      <w:r w:rsidR="003B1AE6" w:rsidRPr="003B1AE6">
        <w:rPr>
          <w:i/>
        </w:rPr>
        <w:t>s</w:t>
      </w:r>
      <w:r w:rsidR="003B1AE6">
        <w:t xml:space="preserve"> demonstrate phallic solarism</w:t>
      </w:r>
      <w:r w:rsidR="00F51F7F" w:rsidRPr="00F51F7F">
        <w:t xml:space="preserve"> and is that reflected in early Christian texts and fourteenth to sixteenth century Annunciation art</w:t>
      </w:r>
      <w:proofErr w:type="gramStart"/>
      <w:r w:rsidR="00F51F7F" w:rsidRPr="00F51F7F">
        <w:t>?</w:t>
      </w:r>
      <w:r w:rsidR="00792D78">
        <w:t>`</w:t>
      </w:r>
      <w:proofErr w:type="gramEnd"/>
      <w:r w:rsidR="00792D78">
        <w:t xml:space="preserve"> I </w:t>
      </w:r>
      <w:r w:rsidRPr="00B147A6">
        <w:t xml:space="preserve">examined imagery from Egyptian culture and the Orphic </w:t>
      </w:r>
      <w:r w:rsidRPr="005F405B">
        <w:rPr>
          <w:i/>
        </w:rPr>
        <w:t>Derveni Papyrus</w:t>
      </w:r>
      <w:r w:rsidRPr="00B147A6">
        <w:t xml:space="preserve"> </w:t>
      </w:r>
      <w:r w:rsidRPr="00B147A6">
        <w:lastRenderedPageBreak/>
        <w:t xml:space="preserve">for evidence of phallic solarism and </w:t>
      </w:r>
      <w:r w:rsidR="00792D78">
        <w:t>compared it to the</w:t>
      </w:r>
      <w:r w:rsidRPr="00B147A6">
        <w:t xml:space="preserve"> Chri</w:t>
      </w:r>
      <w:r w:rsidR="00792D78">
        <w:t>stian material</w:t>
      </w:r>
      <w:r w:rsidRPr="00B147A6">
        <w:t xml:space="preserve"> and the impregnation of the Virgin Mary. </w:t>
      </w:r>
      <w:r w:rsidR="003B1AE6" w:rsidRPr="003B1AE6">
        <w:t>Four themes emerged from this investigation, the first being that of phallic solar</w:t>
      </w:r>
      <w:r w:rsidR="003B1AE6">
        <w:t xml:space="preserve">ism while the </w:t>
      </w:r>
      <w:r>
        <w:t>three</w:t>
      </w:r>
      <w:r w:rsidRPr="00B147A6">
        <w:t xml:space="preserve"> o</w:t>
      </w:r>
      <w:r>
        <w:t>ther spiritual themes or</w:t>
      </w:r>
      <w:r w:rsidRPr="00B147A6">
        <w:t xml:space="preserve"> strands emerged during the research.  </w:t>
      </w:r>
      <w:commentRangeStart w:id="102"/>
      <w:r w:rsidRPr="00B147A6">
        <w:t xml:space="preserve">One of these focussed on the perceived separation of </w:t>
      </w:r>
      <w:r>
        <w:t xml:space="preserve">the </w:t>
      </w:r>
      <w:r w:rsidRPr="00B147A6">
        <w:t>physical</w:t>
      </w:r>
      <w:r>
        <w:t xml:space="preserve"> light from the</w:t>
      </w:r>
      <w:r w:rsidRPr="00B147A6">
        <w:t xml:space="preserve"> sun's disc</w:t>
      </w:r>
      <w:r>
        <w:t>,</w:t>
      </w:r>
      <w:r w:rsidRPr="00B147A6">
        <w:t xml:space="preserve"> with the evidence implying that thes</w:t>
      </w:r>
      <w:r w:rsidR="004249CA">
        <w:t>e were seen as separate entities</w:t>
      </w:r>
      <w:r w:rsidRPr="00B147A6">
        <w:t xml:space="preserve"> or father/sons in Egypt and the Christian </w:t>
      </w:r>
      <w:r>
        <w:t>material, the disc being the father and the light being the son</w:t>
      </w:r>
      <w:commentRangeEnd w:id="102"/>
      <w:r w:rsidR="00B64DEA">
        <w:rPr>
          <w:rStyle w:val="CommentReference"/>
        </w:rPr>
        <w:commentReference w:id="102"/>
      </w:r>
      <w:r>
        <w:t>. This finding led to the emergence of another theme</w:t>
      </w:r>
      <w:r w:rsidRPr="00B147A6">
        <w:t xml:space="preserve"> concerning a broadly similar</w:t>
      </w:r>
      <w:r>
        <w:t>,</w:t>
      </w:r>
      <w:r w:rsidRPr="00B147A6">
        <w:t xml:space="preserve"> male-centred theogony with auto-generative, self-emanatin</w:t>
      </w:r>
      <w:r>
        <w:t>g father-and-son deities</w:t>
      </w:r>
      <w:r w:rsidRPr="00B147A6">
        <w:t xml:space="preserve">. </w:t>
      </w:r>
      <w:r>
        <w:t>The last unexpected strand or theme to emerge was the apparent mystical specialness of the sun and its treatment. It was in some way separated out for its mysteriousness in the Egyptian and Christian evidence. These four</w:t>
      </w:r>
      <w:r w:rsidRPr="00B147A6">
        <w:t xml:space="preserve"> themes have </w:t>
      </w:r>
      <w:r w:rsidR="00D86C8B">
        <w:t>been briefly set out in Table</w:t>
      </w:r>
      <w:r w:rsidRPr="00B147A6">
        <w:t xml:space="preserve"> A to facilitate understanding.</w:t>
      </w:r>
    </w:p>
    <w:p w14:paraId="13AC8D0A" w14:textId="77777777" w:rsidR="004249CA" w:rsidRPr="004249CA" w:rsidRDefault="00D86C8B" w:rsidP="004249CA">
      <w:pPr>
        <w:rPr>
          <w:sz w:val="20"/>
          <w:szCs w:val="20"/>
        </w:rPr>
      </w:pPr>
      <w:r>
        <w:rPr>
          <w:sz w:val="20"/>
          <w:szCs w:val="20"/>
        </w:rPr>
        <w:lastRenderedPageBreak/>
        <w:t>TABLE</w:t>
      </w:r>
      <w:r w:rsidR="004249CA" w:rsidRPr="004249CA">
        <w:rPr>
          <w:sz w:val="20"/>
          <w:szCs w:val="20"/>
        </w:rPr>
        <w:t xml:space="preserve"> `A`</w:t>
      </w:r>
    </w:p>
    <w:tbl>
      <w:tblPr>
        <w:tblStyle w:val="TableGrid"/>
        <w:tblW w:w="0" w:type="auto"/>
        <w:tblLook w:val="04A0" w:firstRow="1" w:lastRow="0" w:firstColumn="1" w:lastColumn="0" w:noHBand="0" w:noVBand="1"/>
      </w:tblPr>
      <w:tblGrid>
        <w:gridCol w:w="2015"/>
        <w:gridCol w:w="1630"/>
        <w:gridCol w:w="1471"/>
        <w:gridCol w:w="2016"/>
      </w:tblGrid>
      <w:tr w:rsidR="004249CA" w:rsidRPr="004249CA" w14:paraId="6E42B98C" w14:textId="77777777" w:rsidTr="00F432FA">
        <w:tc>
          <w:tcPr>
            <w:tcW w:w="3543" w:type="dxa"/>
            <w:shd w:val="clear" w:color="auto" w:fill="FFFFFF" w:themeFill="background1"/>
          </w:tcPr>
          <w:p w14:paraId="5DAB721A" w14:textId="77777777" w:rsidR="004249CA" w:rsidRPr="004249CA" w:rsidRDefault="004249CA" w:rsidP="004249CA">
            <w:pPr>
              <w:rPr>
                <w:sz w:val="20"/>
                <w:szCs w:val="20"/>
              </w:rPr>
            </w:pPr>
          </w:p>
          <w:p w14:paraId="15453580" w14:textId="77777777" w:rsidR="004249CA" w:rsidRPr="004249CA" w:rsidRDefault="004249CA" w:rsidP="004249CA">
            <w:pPr>
              <w:rPr>
                <w:sz w:val="20"/>
                <w:szCs w:val="20"/>
              </w:rPr>
            </w:pPr>
          </w:p>
        </w:tc>
        <w:tc>
          <w:tcPr>
            <w:tcW w:w="3543" w:type="dxa"/>
            <w:shd w:val="clear" w:color="auto" w:fill="B8CCE4" w:themeFill="accent1" w:themeFillTint="66"/>
          </w:tcPr>
          <w:p w14:paraId="1B22321D" w14:textId="77777777" w:rsidR="004249CA" w:rsidRPr="004249CA" w:rsidRDefault="004249CA" w:rsidP="004249CA">
            <w:pPr>
              <w:rPr>
                <w:sz w:val="20"/>
                <w:szCs w:val="20"/>
              </w:rPr>
            </w:pPr>
          </w:p>
          <w:p w14:paraId="09E9485F" w14:textId="77777777" w:rsidR="004249CA" w:rsidRPr="004249CA" w:rsidRDefault="004249CA" w:rsidP="004249CA">
            <w:pPr>
              <w:rPr>
                <w:sz w:val="20"/>
                <w:szCs w:val="20"/>
              </w:rPr>
            </w:pPr>
            <w:r w:rsidRPr="004249CA">
              <w:rPr>
                <w:sz w:val="20"/>
                <w:szCs w:val="20"/>
              </w:rPr>
              <w:t>Egyptian Evidence</w:t>
            </w:r>
          </w:p>
        </w:tc>
        <w:tc>
          <w:tcPr>
            <w:tcW w:w="3544" w:type="dxa"/>
            <w:shd w:val="clear" w:color="auto" w:fill="B8CCE4" w:themeFill="accent1" w:themeFillTint="66"/>
          </w:tcPr>
          <w:p w14:paraId="558A2313" w14:textId="77777777" w:rsidR="004249CA" w:rsidRPr="004249CA" w:rsidRDefault="004249CA" w:rsidP="004249CA">
            <w:pPr>
              <w:rPr>
                <w:sz w:val="20"/>
                <w:szCs w:val="20"/>
              </w:rPr>
            </w:pPr>
          </w:p>
          <w:p w14:paraId="2F708371" w14:textId="77777777" w:rsidR="004249CA" w:rsidRPr="004249CA" w:rsidRDefault="004249CA" w:rsidP="004249CA">
            <w:pPr>
              <w:rPr>
                <w:sz w:val="20"/>
                <w:szCs w:val="20"/>
              </w:rPr>
            </w:pPr>
            <w:r w:rsidRPr="004249CA">
              <w:rPr>
                <w:sz w:val="20"/>
                <w:szCs w:val="20"/>
              </w:rPr>
              <w:t>Orphic Derveni Papyrus</w:t>
            </w:r>
          </w:p>
        </w:tc>
        <w:tc>
          <w:tcPr>
            <w:tcW w:w="3544" w:type="dxa"/>
            <w:shd w:val="clear" w:color="auto" w:fill="B8CCE4" w:themeFill="accent1" w:themeFillTint="66"/>
          </w:tcPr>
          <w:p w14:paraId="0A6F6357" w14:textId="77777777" w:rsidR="004249CA" w:rsidRPr="004249CA" w:rsidRDefault="004249CA" w:rsidP="004249CA">
            <w:pPr>
              <w:rPr>
                <w:sz w:val="20"/>
                <w:szCs w:val="20"/>
              </w:rPr>
            </w:pPr>
            <w:r w:rsidRPr="004249CA">
              <w:rPr>
                <w:sz w:val="20"/>
                <w:szCs w:val="20"/>
              </w:rPr>
              <w:t xml:space="preserve">Christian Early Texts and Annunciation Art of the Fourteenth to Sixteenth Centuries </w:t>
            </w:r>
          </w:p>
        </w:tc>
      </w:tr>
      <w:tr w:rsidR="004249CA" w:rsidRPr="004249CA" w14:paraId="7F3C1975" w14:textId="77777777" w:rsidTr="00F432FA">
        <w:tc>
          <w:tcPr>
            <w:tcW w:w="3543" w:type="dxa"/>
            <w:shd w:val="clear" w:color="auto" w:fill="B8CCE4" w:themeFill="accent1" w:themeFillTint="66"/>
          </w:tcPr>
          <w:p w14:paraId="10D531DD" w14:textId="77777777" w:rsidR="004249CA" w:rsidRPr="004249CA" w:rsidRDefault="004249CA" w:rsidP="004249CA">
            <w:pPr>
              <w:rPr>
                <w:sz w:val="20"/>
                <w:szCs w:val="20"/>
              </w:rPr>
            </w:pPr>
          </w:p>
          <w:p w14:paraId="5DE6A474" w14:textId="77777777" w:rsidR="004249CA" w:rsidRPr="004249CA" w:rsidRDefault="004249CA" w:rsidP="004249CA">
            <w:pPr>
              <w:rPr>
                <w:sz w:val="20"/>
                <w:szCs w:val="20"/>
              </w:rPr>
            </w:pPr>
            <w:r w:rsidRPr="004249CA">
              <w:rPr>
                <w:sz w:val="20"/>
                <w:szCs w:val="20"/>
              </w:rPr>
              <w:t>Evidence of a Phallic Sun or Phallic Solarism</w:t>
            </w:r>
          </w:p>
          <w:p w14:paraId="743FE6AE" w14:textId="77777777" w:rsidR="004249CA" w:rsidRPr="004249CA" w:rsidRDefault="004249CA" w:rsidP="004249CA">
            <w:pPr>
              <w:rPr>
                <w:sz w:val="20"/>
                <w:szCs w:val="20"/>
              </w:rPr>
            </w:pPr>
          </w:p>
        </w:tc>
        <w:tc>
          <w:tcPr>
            <w:tcW w:w="3543" w:type="dxa"/>
          </w:tcPr>
          <w:p w14:paraId="52819AAB" w14:textId="77777777" w:rsidR="004249CA" w:rsidRPr="004249CA" w:rsidRDefault="004249CA" w:rsidP="004249CA">
            <w:pPr>
              <w:rPr>
                <w:sz w:val="20"/>
                <w:szCs w:val="20"/>
              </w:rPr>
            </w:pPr>
          </w:p>
          <w:p w14:paraId="51177CE5" w14:textId="77777777" w:rsidR="004249CA" w:rsidRPr="004249CA" w:rsidRDefault="004249CA" w:rsidP="004249CA">
            <w:pPr>
              <w:rPr>
                <w:sz w:val="20"/>
                <w:szCs w:val="20"/>
              </w:rPr>
            </w:pPr>
            <w:r w:rsidRPr="004249CA">
              <w:rPr>
                <w:sz w:val="20"/>
                <w:szCs w:val="20"/>
              </w:rPr>
              <w:t>The Sun has a phallus.</w:t>
            </w:r>
          </w:p>
          <w:p w14:paraId="0D1F30D1" w14:textId="77777777" w:rsidR="004249CA" w:rsidRPr="004249CA" w:rsidRDefault="004249CA" w:rsidP="004249CA">
            <w:pPr>
              <w:rPr>
                <w:sz w:val="20"/>
                <w:szCs w:val="20"/>
              </w:rPr>
            </w:pPr>
            <w:r w:rsidRPr="004249CA">
              <w:rPr>
                <w:sz w:val="20"/>
                <w:szCs w:val="20"/>
              </w:rPr>
              <w:t>Phallic Solarism is present.</w:t>
            </w:r>
          </w:p>
        </w:tc>
        <w:tc>
          <w:tcPr>
            <w:tcW w:w="3544" w:type="dxa"/>
          </w:tcPr>
          <w:p w14:paraId="00A06A51" w14:textId="77777777" w:rsidR="004249CA" w:rsidRPr="004249CA" w:rsidRDefault="004249CA" w:rsidP="004249CA">
            <w:pPr>
              <w:rPr>
                <w:sz w:val="20"/>
                <w:szCs w:val="20"/>
              </w:rPr>
            </w:pPr>
          </w:p>
          <w:p w14:paraId="251B553B" w14:textId="77777777" w:rsidR="004249CA" w:rsidRPr="004249CA" w:rsidRDefault="004249CA" w:rsidP="004249CA">
            <w:pPr>
              <w:rPr>
                <w:sz w:val="20"/>
                <w:szCs w:val="20"/>
              </w:rPr>
            </w:pPr>
            <w:r w:rsidRPr="004249CA">
              <w:rPr>
                <w:sz w:val="20"/>
                <w:szCs w:val="20"/>
              </w:rPr>
              <w:t>The Sun has a phallus.</w:t>
            </w:r>
          </w:p>
          <w:p w14:paraId="24A18DEE" w14:textId="77777777" w:rsidR="004249CA" w:rsidRPr="004249CA" w:rsidRDefault="004249CA" w:rsidP="004249CA">
            <w:pPr>
              <w:rPr>
                <w:sz w:val="20"/>
                <w:szCs w:val="20"/>
              </w:rPr>
            </w:pPr>
            <w:r w:rsidRPr="004249CA">
              <w:rPr>
                <w:sz w:val="20"/>
                <w:szCs w:val="20"/>
              </w:rPr>
              <w:t>Phallic Solarism is present.</w:t>
            </w:r>
          </w:p>
        </w:tc>
        <w:tc>
          <w:tcPr>
            <w:tcW w:w="3544" w:type="dxa"/>
          </w:tcPr>
          <w:p w14:paraId="64CEAC1A" w14:textId="77777777" w:rsidR="004249CA" w:rsidRPr="004249CA" w:rsidRDefault="004249CA" w:rsidP="004249CA">
            <w:pPr>
              <w:rPr>
                <w:sz w:val="20"/>
                <w:szCs w:val="20"/>
              </w:rPr>
            </w:pPr>
          </w:p>
          <w:p w14:paraId="67AD5253" w14:textId="77777777" w:rsidR="004249CA" w:rsidRPr="004249CA" w:rsidRDefault="004249CA" w:rsidP="004249CA">
            <w:pPr>
              <w:rPr>
                <w:sz w:val="20"/>
                <w:szCs w:val="20"/>
              </w:rPr>
            </w:pPr>
            <w:r w:rsidRPr="004249CA">
              <w:rPr>
                <w:sz w:val="20"/>
                <w:szCs w:val="20"/>
              </w:rPr>
              <w:t>Sun has no phallus. Rejection of sex and flesh. (Light is procreative)</w:t>
            </w:r>
          </w:p>
        </w:tc>
      </w:tr>
      <w:tr w:rsidR="004249CA" w:rsidRPr="004249CA" w14:paraId="1D1A027B" w14:textId="77777777" w:rsidTr="00F432FA">
        <w:tc>
          <w:tcPr>
            <w:tcW w:w="3543" w:type="dxa"/>
            <w:shd w:val="clear" w:color="auto" w:fill="B8CCE4" w:themeFill="accent1" w:themeFillTint="66"/>
          </w:tcPr>
          <w:p w14:paraId="3FA99F81" w14:textId="77777777" w:rsidR="004249CA" w:rsidRPr="004249CA" w:rsidRDefault="004249CA" w:rsidP="004249CA">
            <w:pPr>
              <w:rPr>
                <w:sz w:val="20"/>
                <w:szCs w:val="20"/>
              </w:rPr>
            </w:pPr>
          </w:p>
          <w:p w14:paraId="6958F765" w14:textId="77777777" w:rsidR="004249CA" w:rsidRPr="004249CA" w:rsidRDefault="004249CA" w:rsidP="004249CA">
            <w:pPr>
              <w:rPr>
                <w:sz w:val="20"/>
                <w:szCs w:val="20"/>
              </w:rPr>
            </w:pPr>
          </w:p>
          <w:p w14:paraId="1517CE3D" w14:textId="77777777" w:rsidR="004249CA" w:rsidRPr="004249CA" w:rsidRDefault="004249CA" w:rsidP="004249CA">
            <w:pPr>
              <w:rPr>
                <w:sz w:val="20"/>
                <w:szCs w:val="20"/>
              </w:rPr>
            </w:pPr>
            <w:r w:rsidRPr="004249CA">
              <w:rPr>
                <w:sz w:val="20"/>
                <w:szCs w:val="20"/>
              </w:rPr>
              <w:t>Light as a Separate Entity</w:t>
            </w:r>
          </w:p>
          <w:p w14:paraId="4D4FA6E4" w14:textId="77777777" w:rsidR="004249CA" w:rsidRPr="004249CA" w:rsidRDefault="004249CA" w:rsidP="004249CA">
            <w:pPr>
              <w:rPr>
                <w:sz w:val="20"/>
                <w:szCs w:val="20"/>
              </w:rPr>
            </w:pPr>
          </w:p>
        </w:tc>
        <w:tc>
          <w:tcPr>
            <w:tcW w:w="3543" w:type="dxa"/>
          </w:tcPr>
          <w:p w14:paraId="03C26388" w14:textId="77777777" w:rsidR="004249CA" w:rsidRPr="004249CA" w:rsidRDefault="004249CA" w:rsidP="004249CA">
            <w:pPr>
              <w:rPr>
                <w:sz w:val="20"/>
                <w:szCs w:val="20"/>
              </w:rPr>
            </w:pPr>
          </w:p>
          <w:p w14:paraId="5370FEB2" w14:textId="77777777" w:rsidR="004249CA" w:rsidRPr="004249CA" w:rsidRDefault="004249CA" w:rsidP="004249CA">
            <w:pPr>
              <w:rPr>
                <w:sz w:val="20"/>
                <w:szCs w:val="20"/>
              </w:rPr>
            </w:pPr>
            <w:r w:rsidRPr="004249CA">
              <w:rPr>
                <w:sz w:val="20"/>
                <w:szCs w:val="20"/>
              </w:rPr>
              <w:t>Light is a separate entity from sun disc</w:t>
            </w:r>
          </w:p>
          <w:p w14:paraId="30E7C589" w14:textId="77777777" w:rsidR="004249CA" w:rsidRPr="004249CA" w:rsidRDefault="004249CA" w:rsidP="004249CA">
            <w:pPr>
              <w:rPr>
                <w:sz w:val="20"/>
                <w:szCs w:val="20"/>
              </w:rPr>
            </w:pPr>
          </w:p>
        </w:tc>
        <w:tc>
          <w:tcPr>
            <w:tcW w:w="3544" w:type="dxa"/>
          </w:tcPr>
          <w:p w14:paraId="4691EE90" w14:textId="77777777" w:rsidR="004249CA" w:rsidRPr="004249CA" w:rsidRDefault="004249CA" w:rsidP="004249CA">
            <w:pPr>
              <w:rPr>
                <w:sz w:val="20"/>
                <w:szCs w:val="20"/>
              </w:rPr>
            </w:pPr>
          </w:p>
          <w:p w14:paraId="6779E353" w14:textId="77777777" w:rsidR="004249CA" w:rsidRPr="004249CA" w:rsidRDefault="004249CA" w:rsidP="004249CA">
            <w:pPr>
              <w:rPr>
                <w:sz w:val="20"/>
                <w:szCs w:val="20"/>
              </w:rPr>
            </w:pPr>
            <w:r w:rsidRPr="004249CA">
              <w:rPr>
                <w:sz w:val="20"/>
                <w:szCs w:val="20"/>
              </w:rPr>
              <w:t>No focus on light as a separate entity from disc. Night is eternally present. Light `happens` to it.</w:t>
            </w:r>
          </w:p>
          <w:p w14:paraId="4A12DF43" w14:textId="77777777" w:rsidR="004249CA" w:rsidRPr="004249CA" w:rsidRDefault="004249CA" w:rsidP="004249CA">
            <w:pPr>
              <w:rPr>
                <w:sz w:val="20"/>
                <w:szCs w:val="20"/>
              </w:rPr>
            </w:pPr>
          </w:p>
        </w:tc>
        <w:tc>
          <w:tcPr>
            <w:tcW w:w="3544" w:type="dxa"/>
          </w:tcPr>
          <w:p w14:paraId="510BEDB2" w14:textId="77777777" w:rsidR="004249CA" w:rsidRPr="004249CA" w:rsidRDefault="004249CA" w:rsidP="004249CA">
            <w:pPr>
              <w:rPr>
                <w:sz w:val="20"/>
                <w:szCs w:val="20"/>
              </w:rPr>
            </w:pPr>
          </w:p>
          <w:p w14:paraId="51AAB621" w14:textId="77777777" w:rsidR="004249CA" w:rsidRPr="004249CA" w:rsidRDefault="004249CA" w:rsidP="004249CA">
            <w:pPr>
              <w:rPr>
                <w:sz w:val="20"/>
                <w:szCs w:val="20"/>
              </w:rPr>
            </w:pPr>
            <w:r w:rsidRPr="004249CA">
              <w:rPr>
                <w:sz w:val="20"/>
                <w:szCs w:val="20"/>
              </w:rPr>
              <w:t>Light is a separate entity and a metaphor for impregnation.</w:t>
            </w:r>
          </w:p>
        </w:tc>
      </w:tr>
      <w:tr w:rsidR="004249CA" w:rsidRPr="004249CA" w14:paraId="2E0A1509" w14:textId="77777777" w:rsidTr="00F432FA">
        <w:tc>
          <w:tcPr>
            <w:tcW w:w="3543" w:type="dxa"/>
            <w:shd w:val="clear" w:color="auto" w:fill="B8CCE4" w:themeFill="accent1" w:themeFillTint="66"/>
          </w:tcPr>
          <w:p w14:paraId="09DDF125" w14:textId="77777777" w:rsidR="004249CA" w:rsidRPr="004249CA" w:rsidRDefault="004249CA" w:rsidP="004249CA">
            <w:pPr>
              <w:rPr>
                <w:sz w:val="20"/>
                <w:szCs w:val="20"/>
              </w:rPr>
            </w:pPr>
          </w:p>
          <w:p w14:paraId="2278BE5B" w14:textId="77777777" w:rsidR="004249CA" w:rsidRPr="004249CA" w:rsidRDefault="004249CA" w:rsidP="004249CA">
            <w:pPr>
              <w:rPr>
                <w:sz w:val="20"/>
                <w:szCs w:val="20"/>
              </w:rPr>
            </w:pPr>
            <w:r w:rsidRPr="004249CA">
              <w:rPr>
                <w:sz w:val="20"/>
                <w:szCs w:val="20"/>
              </w:rPr>
              <w:t>Theogony - Self Generation / Auto Generative, Creating a Second Self Called a `Son`.</w:t>
            </w:r>
          </w:p>
          <w:p w14:paraId="0D2B7F74" w14:textId="77777777" w:rsidR="004249CA" w:rsidRPr="004249CA" w:rsidRDefault="004249CA" w:rsidP="004249CA">
            <w:pPr>
              <w:rPr>
                <w:sz w:val="20"/>
                <w:szCs w:val="20"/>
              </w:rPr>
            </w:pPr>
            <w:r w:rsidRPr="004249CA">
              <w:rPr>
                <w:sz w:val="20"/>
                <w:szCs w:val="20"/>
              </w:rPr>
              <w:t>Father and son theme.</w:t>
            </w:r>
          </w:p>
          <w:p w14:paraId="58C5492D" w14:textId="77777777" w:rsidR="004249CA" w:rsidRPr="004249CA" w:rsidRDefault="004249CA" w:rsidP="004249CA">
            <w:pPr>
              <w:rPr>
                <w:sz w:val="20"/>
                <w:szCs w:val="20"/>
              </w:rPr>
            </w:pPr>
          </w:p>
        </w:tc>
        <w:tc>
          <w:tcPr>
            <w:tcW w:w="3543" w:type="dxa"/>
          </w:tcPr>
          <w:p w14:paraId="23951A7E" w14:textId="77777777" w:rsidR="004249CA" w:rsidRPr="004249CA" w:rsidRDefault="004249CA" w:rsidP="004249CA">
            <w:pPr>
              <w:rPr>
                <w:sz w:val="20"/>
                <w:szCs w:val="20"/>
              </w:rPr>
            </w:pPr>
          </w:p>
          <w:p w14:paraId="2A2610C4" w14:textId="77777777" w:rsidR="004249CA" w:rsidRPr="004249CA" w:rsidRDefault="004249CA" w:rsidP="004249CA">
            <w:pPr>
              <w:rPr>
                <w:sz w:val="20"/>
                <w:szCs w:val="20"/>
              </w:rPr>
            </w:pPr>
            <w:r w:rsidRPr="004249CA">
              <w:rPr>
                <w:sz w:val="20"/>
                <w:szCs w:val="20"/>
              </w:rPr>
              <w:t>God auto-generates himself</w:t>
            </w:r>
          </w:p>
          <w:p w14:paraId="115E0380" w14:textId="77777777" w:rsidR="004249CA" w:rsidRPr="004249CA" w:rsidRDefault="004249CA" w:rsidP="004249CA">
            <w:pPr>
              <w:rPr>
                <w:sz w:val="20"/>
                <w:szCs w:val="20"/>
              </w:rPr>
            </w:pPr>
            <w:r w:rsidRPr="004249CA">
              <w:rPr>
                <w:sz w:val="20"/>
                <w:szCs w:val="20"/>
              </w:rPr>
              <w:t>God/sun/father creates a son (and daughter)</w:t>
            </w:r>
          </w:p>
          <w:p w14:paraId="5EB9063D" w14:textId="77777777" w:rsidR="004249CA" w:rsidRPr="004249CA" w:rsidRDefault="004249CA" w:rsidP="004249CA">
            <w:pPr>
              <w:rPr>
                <w:sz w:val="20"/>
                <w:szCs w:val="20"/>
              </w:rPr>
            </w:pPr>
            <w:r w:rsidRPr="004249CA">
              <w:rPr>
                <w:sz w:val="20"/>
                <w:szCs w:val="20"/>
              </w:rPr>
              <w:t>God copulates with mother and creates a second self</w:t>
            </w:r>
          </w:p>
          <w:p w14:paraId="7B312999" w14:textId="77777777" w:rsidR="004249CA" w:rsidRPr="004249CA" w:rsidRDefault="004249CA" w:rsidP="004249CA">
            <w:pPr>
              <w:rPr>
                <w:sz w:val="20"/>
                <w:szCs w:val="20"/>
              </w:rPr>
            </w:pPr>
          </w:p>
        </w:tc>
        <w:tc>
          <w:tcPr>
            <w:tcW w:w="3544" w:type="dxa"/>
          </w:tcPr>
          <w:p w14:paraId="2815D1D0" w14:textId="77777777" w:rsidR="004249CA" w:rsidRPr="004249CA" w:rsidRDefault="004249CA" w:rsidP="004249CA">
            <w:pPr>
              <w:rPr>
                <w:sz w:val="20"/>
                <w:szCs w:val="20"/>
              </w:rPr>
            </w:pPr>
          </w:p>
          <w:p w14:paraId="681EDC85" w14:textId="77777777" w:rsidR="004249CA" w:rsidRPr="004249CA" w:rsidRDefault="004249CA" w:rsidP="004249CA">
            <w:pPr>
              <w:rPr>
                <w:sz w:val="20"/>
                <w:szCs w:val="20"/>
              </w:rPr>
            </w:pPr>
            <w:r w:rsidRPr="004249CA">
              <w:rPr>
                <w:sz w:val="20"/>
                <w:szCs w:val="20"/>
              </w:rPr>
              <w:t>Son swallows phallus/father and gives birth to universe.</w:t>
            </w:r>
          </w:p>
          <w:p w14:paraId="02FED0DB" w14:textId="77777777" w:rsidR="004249CA" w:rsidRPr="004249CA" w:rsidRDefault="004249CA" w:rsidP="004249CA">
            <w:pPr>
              <w:rPr>
                <w:sz w:val="20"/>
                <w:szCs w:val="20"/>
              </w:rPr>
            </w:pPr>
            <w:r w:rsidRPr="004249CA">
              <w:rPr>
                <w:sz w:val="20"/>
                <w:szCs w:val="20"/>
              </w:rPr>
              <w:t>Son copulates with mother, creating himself again?</w:t>
            </w:r>
          </w:p>
        </w:tc>
        <w:tc>
          <w:tcPr>
            <w:tcW w:w="3544" w:type="dxa"/>
            <w:shd w:val="clear" w:color="auto" w:fill="auto"/>
          </w:tcPr>
          <w:p w14:paraId="049F22AD" w14:textId="77777777" w:rsidR="004249CA" w:rsidRPr="004249CA" w:rsidRDefault="004249CA" w:rsidP="004249CA">
            <w:pPr>
              <w:rPr>
                <w:sz w:val="20"/>
                <w:szCs w:val="20"/>
              </w:rPr>
            </w:pPr>
          </w:p>
          <w:p w14:paraId="6801F467" w14:textId="77777777" w:rsidR="004249CA" w:rsidRPr="004249CA" w:rsidRDefault="004249CA" w:rsidP="004249CA">
            <w:pPr>
              <w:rPr>
                <w:sz w:val="20"/>
                <w:szCs w:val="20"/>
              </w:rPr>
            </w:pPr>
            <w:r w:rsidRPr="004249CA">
              <w:rPr>
                <w:sz w:val="20"/>
                <w:szCs w:val="20"/>
              </w:rPr>
              <w:t>Father creates son.</w:t>
            </w:r>
          </w:p>
        </w:tc>
      </w:tr>
      <w:tr w:rsidR="004249CA" w:rsidRPr="004249CA" w14:paraId="2C38C14D" w14:textId="77777777" w:rsidTr="00F432FA">
        <w:tc>
          <w:tcPr>
            <w:tcW w:w="3543" w:type="dxa"/>
            <w:shd w:val="clear" w:color="auto" w:fill="B8CCE4" w:themeFill="accent1" w:themeFillTint="66"/>
          </w:tcPr>
          <w:p w14:paraId="53D5CDF7" w14:textId="77777777" w:rsidR="004249CA" w:rsidRPr="004249CA" w:rsidRDefault="004249CA" w:rsidP="004249CA">
            <w:pPr>
              <w:rPr>
                <w:sz w:val="20"/>
                <w:szCs w:val="20"/>
              </w:rPr>
            </w:pPr>
            <w:r w:rsidRPr="004249CA">
              <w:rPr>
                <w:sz w:val="20"/>
                <w:szCs w:val="20"/>
              </w:rPr>
              <w:t>Sunlight as mysterious/mystical</w:t>
            </w:r>
          </w:p>
        </w:tc>
        <w:tc>
          <w:tcPr>
            <w:tcW w:w="3543" w:type="dxa"/>
          </w:tcPr>
          <w:p w14:paraId="4C4B5273" w14:textId="77777777" w:rsidR="004249CA" w:rsidRPr="004249CA" w:rsidRDefault="004249CA" w:rsidP="004249CA">
            <w:pPr>
              <w:rPr>
                <w:sz w:val="20"/>
                <w:szCs w:val="20"/>
              </w:rPr>
            </w:pPr>
            <w:r w:rsidRPr="004249CA">
              <w:rPr>
                <w:sz w:val="20"/>
                <w:szCs w:val="20"/>
              </w:rPr>
              <w:t>Enigmatic cryptographical texts described as mysterious by Darnell</w:t>
            </w:r>
          </w:p>
        </w:tc>
        <w:tc>
          <w:tcPr>
            <w:tcW w:w="3544" w:type="dxa"/>
          </w:tcPr>
          <w:p w14:paraId="00A6D7D4" w14:textId="77777777" w:rsidR="004249CA" w:rsidRPr="004249CA" w:rsidRDefault="004249CA" w:rsidP="004249CA">
            <w:pPr>
              <w:rPr>
                <w:sz w:val="20"/>
                <w:szCs w:val="20"/>
              </w:rPr>
            </w:pPr>
            <w:r w:rsidRPr="004249CA">
              <w:rPr>
                <w:sz w:val="20"/>
                <w:szCs w:val="20"/>
              </w:rPr>
              <w:t>Sun important and influential, but has a more practical role</w:t>
            </w:r>
          </w:p>
        </w:tc>
        <w:tc>
          <w:tcPr>
            <w:tcW w:w="3544" w:type="dxa"/>
            <w:shd w:val="clear" w:color="auto" w:fill="auto"/>
          </w:tcPr>
          <w:p w14:paraId="1BB28F86" w14:textId="77777777" w:rsidR="004249CA" w:rsidRPr="004249CA" w:rsidRDefault="004249CA" w:rsidP="004249CA">
            <w:pPr>
              <w:rPr>
                <w:sz w:val="20"/>
                <w:szCs w:val="20"/>
              </w:rPr>
            </w:pPr>
            <w:r w:rsidRPr="004249CA">
              <w:rPr>
                <w:sz w:val="20"/>
                <w:szCs w:val="20"/>
              </w:rPr>
              <w:t>Meiss, Origen and Eliade note the mystical/mysterious nature of the sun</w:t>
            </w:r>
          </w:p>
        </w:tc>
      </w:tr>
    </w:tbl>
    <w:p w14:paraId="185C801A" w14:textId="77777777" w:rsidR="004249CA" w:rsidRPr="004249CA" w:rsidRDefault="004249CA" w:rsidP="004249CA">
      <w:pPr>
        <w:rPr>
          <w:sz w:val="20"/>
          <w:szCs w:val="20"/>
        </w:rPr>
      </w:pPr>
    </w:p>
    <w:p w14:paraId="2FAB2E77" w14:textId="77777777" w:rsidR="004249CA" w:rsidRPr="004249CA" w:rsidRDefault="004249CA" w:rsidP="004249CA">
      <w:pPr>
        <w:rPr>
          <w:sz w:val="20"/>
          <w:szCs w:val="20"/>
        </w:rPr>
      </w:pPr>
      <w:r w:rsidRPr="004249CA">
        <w:rPr>
          <w:sz w:val="20"/>
          <w:szCs w:val="20"/>
        </w:rPr>
        <w:t>T</w:t>
      </w:r>
      <w:r w:rsidR="00D86C8B">
        <w:rPr>
          <w:sz w:val="20"/>
          <w:szCs w:val="20"/>
        </w:rPr>
        <w:t>he left hand column shows the four main</w:t>
      </w:r>
      <w:r w:rsidRPr="004249CA">
        <w:rPr>
          <w:sz w:val="20"/>
          <w:szCs w:val="20"/>
        </w:rPr>
        <w:t xml:space="preserve"> themes of the research. </w:t>
      </w:r>
    </w:p>
    <w:p w14:paraId="55225239" w14:textId="77777777" w:rsidR="004249CA" w:rsidRPr="004249CA" w:rsidRDefault="004249CA" w:rsidP="004249CA">
      <w:pPr>
        <w:rPr>
          <w:sz w:val="20"/>
          <w:szCs w:val="20"/>
        </w:rPr>
      </w:pPr>
      <w:r w:rsidRPr="004249CA">
        <w:rPr>
          <w:sz w:val="20"/>
          <w:szCs w:val="20"/>
        </w:rPr>
        <w:t>Underneath the second column is the result of the examination of the Egyptian evidence.</w:t>
      </w:r>
    </w:p>
    <w:p w14:paraId="20B945BD" w14:textId="77777777" w:rsidR="004249CA" w:rsidRPr="004249CA" w:rsidRDefault="004249CA" w:rsidP="004249CA">
      <w:pPr>
        <w:rPr>
          <w:sz w:val="20"/>
          <w:szCs w:val="20"/>
        </w:rPr>
      </w:pPr>
      <w:r w:rsidRPr="004249CA">
        <w:rPr>
          <w:sz w:val="20"/>
          <w:szCs w:val="20"/>
        </w:rPr>
        <w:t xml:space="preserve">Underneath the third column is the result of the examination of the Orphic Derveni Papyrus evidence. </w:t>
      </w:r>
    </w:p>
    <w:p w14:paraId="7EB52A8A" w14:textId="77777777" w:rsidR="004249CA" w:rsidRPr="004249CA" w:rsidRDefault="004249CA" w:rsidP="004249CA">
      <w:pPr>
        <w:rPr>
          <w:sz w:val="20"/>
          <w:szCs w:val="20"/>
        </w:rPr>
      </w:pPr>
      <w:r w:rsidRPr="004249CA">
        <w:rPr>
          <w:sz w:val="20"/>
          <w:szCs w:val="20"/>
        </w:rPr>
        <w:t xml:space="preserve">Underneath the fourth column is the result of the examination of Christian Early Texts and Annunciation Art of the Fourteenth to </w:t>
      </w:r>
      <w:commentRangeStart w:id="103"/>
      <w:r w:rsidRPr="004249CA">
        <w:rPr>
          <w:sz w:val="20"/>
          <w:szCs w:val="20"/>
        </w:rPr>
        <w:t>Sixteenth Centuries</w:t>
      </w:r>
      <w:commentRangeEnd w:id="103"/>
      <w:r w:rsidR="00B64DEA">
        <w:rPr>
          <w:rStyle w:val="CommentReference"/>
        </w:rPr>
        <w:commentReference w:id="103"/>
      </w:r>
    </w:p>
    <w:p w14:paraId="072DE9E5" w14:textId="77777777" w:rsidR="004249CA" w:rsidRDefault="004249CA" w:rsidP="004249CA"/>
    <w:p w14:paraId="0772B01D" w14:textId="77777777" w:rsidR="00A97456" w:rsidRDefault="003B1AE6" w:rsidP="003B1489">
      <w:pPr>
        <w:spacing w:line="360" w:lineRule="auto"/>
      </w:pPr>
      <w:r>
        <w:lastRenderedPageBreak/>
        <w:t>Regarding the mystical effect or mysteriousness</w:t>
      </w:r>
      <w:r w:rsidR="0013436D">
        <w:t>; in</w:t>
      </w:r>
      <w:r w:rsidR="00A97456">
        <w:t xml:space="preserve"> Section One Eliade's identification of the apparent mystical and mysterious nature of the sun is noted. The Egyptian section then quotes from Darnell, who discusses the mysterious and enigmatic features of particular Egyptian texts that describe the sun,</w:t>
      </w:r>
      <w:r w:rsidR="00A97456" w:rsidRPr="00831667">
        <w:t xml:space="preserve"> </w:t>
      </w:r>
      <w:r w:rsidR="00A97456">
        <w:t xml:space="preserve">as did Meiss, Origen and Eliade in the Christian material. However, the </w:t>
      </w:r>
      <w:r w:rsidR="00A97456" w:rsidRPr="005F405B">
        <w:rPr>
          <w:i/>
        </w:rPr>
        <w:t>Derveni Papyrus</w:t>
      </w:r>
      <w:r w:rsidR="00A97456">
        <w:t xml:space="preserve"> has a more practical approach, with the Derveni author intent on de-mystifying Orpheus's work, even though Plato, who was contemporary with the Papyrus, awarded the sun more mystical qualities in fourth century BCE Greece. This de-mystification could stem from the philosophies of the Derveni author who is identified as</w:t>
      </w:r>
      <w:r w:rsidR="00A97456" w:rsidRPr="005C4B9C">
        <w:t xml:space="preserve"> an `Ionian physiolog</w:t>
      </w:r>
      <w:r w:rsidR="00A97456">
        <w:t>os` and therefore challenges traditional religion with `scientific` ideas</w:t>
      </w:r>
      <w:r w:rsidR="00A97456" w:rsidRPr="005C4B9C">
        <w:t>.</w:t>
      </w:r>
      <w:r w:rsidR="00A97456" w:rsidRPr="005C4B9C">
        <w:rPr>
          <w:vertAlign w:val="superscript"/>
        </w:rPr>
        <w:footnoteReference w:id="208"/>
      </w:r>
      <w:r w:rsidR="00A97456" w:rsidRPr="005C4B9C">
        <w:t xml:space="preserve"> </w:t>
      </w:r>
    </w:p>
    <w:p w14:paraId="55DB0BAB" w14:textId="77777777" w:rsidR="00A97456" w:rsidRDefault="00A97456" w:rsidP="003B1489">
      <w:pPr>
        <w:spacing w:line="360" w:lineRule="auto"/>
      </w:pPr>
    </w:p>
    <w:p w14:paraId="4F5B95BB" w14:textId="77777777" w:rsidR="00A97456" w:rsidRPr="00B147A6" w:rsidRDefault="00A97456" w:rsidP="003B1489">
      <w:pPr>
        <w:spacing w:line="360" w:lineRule="auto"/>
      </w:pPr>
      <w:r>
        <w:t xml:space="preserve">In respect of the </w:t>
      </w:r>
      <w:r w:rsidRPr="002E5465">
        <w:t xml:space="preserve">father and son </w:t>
      </w:r>
      <w:r>
        <w:t xml:space="preserve">theme, this </w:t>
      </w:r>
      <w:r w:rsidRPr="002E5465">
        <w:t>symbolism occurs in the Egypt</w:t>
      </w:r>
      <w:r>
        <w:t>ian, Orphic and Christian material</w:t>
      </w:r>
      <w:r w:rsidRPr="002E5465">
        <w:t xml:space="preserve"> covered in this dissertation and the sun is implicated in all the evidence examined. Admittedly in </w:t>
      </w:r>
      <w:r w:rsidR="00B60E2F">
        <w:t>the general field of Egyptology</w:t>
      </w:r>
      <w:r w:rsidRPr="002E5465">
        <w:t xml:space="preserve"> Horus and Osi</w:t>
      </w:r>
      <w:r w:rsidR="00B60E2F">
        <w:t>ris have a strong presence, but</w:t>
      </w:r>
      <w:r w:rsidRPr="002E5465">
        <w:t xml:space="preserve"> as noted by Khalil, it is Shu's role as Atum's </w:t>
      </w:r>
      <w:commentRangeStart w:id="104"/>
      <w:r w:rsidRPr="002E5465">
        <w:t>light that makes comparison to the Christian god and Jesus so striking</w:t>
      </w:r>
      <w:commentRangeEnd w:id="104"/>
      <w:r w:rsidR="00B64DEA">
        <w:rPr>
          <w:rStyle w:val="CommentReference"/>
        </w:rPr>
        <w:commentReference w:id="104"/>
      </w:r>
      <w:r w:rsidRPr="002E5465">
        <w:t>.</w:t>
      </w:r>
      <w:r>
        <w:rPr>
          <w:rStyle w:val="FootnoteReference"/>
        </w:rPr>
        <w:footnoteReference w:id="209"/>
      </w:r>
      <w:r w:rsidRPr="002E5465">
        <w:t xml:space="preserve"> As noted earlier, Hornung writes that Shu was especially suitable helper for the king during his ascent to the sky.  However, </w:t>
      </w:r>
      <w:r>
        <w:t>Khalil's argument seems a little forced s</w:t>
      </w:r>
      <w:r w:rsidRPr="002E5465">
        <w:t>in</w:t>
      </w:r>
      <w:r>
        <w:t>ce, in</w:t>
      </w:r>
      <w:r w:rsidRPr="002E5465">
        <w:t xml:space="preserve"> the Egyptian myths</w:t>
      </w:r>
      <w:r>
        <w:t xml:space="preserve">, Shu has a sister, perhaps nullifying any comparison. However, Khalil maintains that this is a </w:t>
      </w:r>
      <w:r w:rsidRPr="001855EC">
        <w:t xml:space="preserve">`deeply ingrained pattern of thought in Egyptian religion` and is similar to that of the Christian god and Jesus as Father </w:t>
      </w:r>
      <w:r w:rsidRPr="001855EC">
        <w:lastRenderedPageBreak/>
        <w:t>and Son.</w:t>
      </w:r>
      <w:r w:rsidRPr="001855EC">
        <w:rPr>
          <w:vertAlign w:val="superscript"/>
        </w:rPr>
        <w:footnoteReference w:id="210"/>
      </w:r>
      <w:r w:rsidRPr="001855EC">
        <w:t xml:space="preserve"> </w:t>
      </w:r>
      <w:r>
        <w:t xml:space="preserve"> T</w:t>
      </w:r>
      <w:r w:rsidRPr="002E5465">
        <w:t xml:space="preserve">he male succession is an important feature of </w:t>
      </w:r>
      <w:r>
        <w:t>the Orphic material, giving it</w:t>
      </w:r>
      <w:r w:rsidRPr="002E5465">
        <w:t xml:space="preserve"> a strong father/son presence. Hence it appears that, with differing degrees of emphasis, the father/son theme is reflected in the material of the three epochs discussed.</w:t>
      </w:r>
    </w:p>
    <w:p w14:paraId="078C1562" w14:textId="77777777" w:rsidR="00A97456" w:rsidRPr="00B147A6" w:rsidRDefault="00A97456" w:rsidP="003B1489">
      <w:pPr>
        <w:spacing w:line="360" w:lineRule="auto"/>
      </w:pPr>
    </w:p>
    <w:p w14:paraId="241CFA0A" w14:textId="77777777" w:rsidR="00A97456" w:rsidRPr="00B147A6" w:rsidRDefault="00A97456" w:rsidP="003B1489">
      <w:pPr>
        <w:spacing w:line="360" w:lineRule="auto"/>
      </w:pPr>
      <w:r w:rsidRPr="00B147A6">
        <w:t xml:space="preserve">The evidence for phallic solarism in the Egyptian material and the Orphic </w:t>
      </w:r>
      <w:r w:rsidRPr="005F405B">
        <w:rPr>
          <w:i/>
        </w:rPr>
        <w:t>Derveni Papyrus</w:t>
      </w:r>
      <w:r w:rsidRPr="00B147A6">
        <w:t xml:space="preserve"> is present. </w:t>
      </w:r>
      <w:r w:rsidRPr="00505889">
        <w:t>Re was the</w:t>
      </w:r>
      <w:r>
        <w:t xml:space="preserve"> creator sun god and his phallus was involved symbolically in ritual acts of worship or spiritual activities</w:t>
      </w:r>
      <w:r w:rsidRPr="00505889">
        <w:t>.</w:t>
      </w:r>
      <w:r w:rsidRPr="00505889">
        <w:rPr>
          <w:vertAlign w:val="superscript"/>
        </w:rPr>
        <w:footnoteReference w:id="211"/>
      </w:r>
      <w:r>
        <w:t xml:space="preserve"> </w:t>
      </w:r>
      <w:r w:rsidRPr="00B147A6">
        <w:t>In both cases solarism is accompanied by phallic activity. However there is no obvious evidence for this in the Christia</w:t>
      </w:r>
      <w:r>
        <w:t>n material studied, although a</w:t>
      </w:r>
      <w:r w:rsidRPr="00B147A6">
        <w:t xml:space="preserve"> s</w:t>
      </w:r>
      <w:r>
        <w:t>ubtle implication of fertility is present</w:t>
      </w:r>
      <w:r w:rsidRPr="00B147A6">
        <w:t>.</w:t>
      </w:r>
      <w:r w:rsidRPr="00505889">
        <w:t xml:space="preserve"> </w:t>
      </w:r>
      <w:r w:rsidRPr="00B147A6">
        <w:t xml:space="preserve">Light is known to be vegetatively procreative and the Christian myths declare that the light of god enters the Virgin Mary to impregnate her as light though glass. </w:t>
      </w:r>
      <w:commentRangeStart w:id="105"/>
      <w:r w:rsidRPr="00B147A6">
        <w:t>This doesn't make it phallic, but it makes it procreative</w:t>
      </w:r>
      <w:r>
        <w:t xml:space="preserve"> and </w:t>
      </w:r>
      <w:r w:rsidRPr="00193967">
        <w:rPr>
          <w:i/>
        </w:rPr>
        <w:t>fertility</w:t>
      </w:r>
      <w:r>
        <w:t xml:space="preserve"> is a common thread for all three epochs</w:t>
      </w:r>
      <w:r w:rsidR="00B00DD7">
        <w:t xml:space="preserve">. </w:t>
      </w:r>
      <w:commentRangeEnd w:id="105"/>
      <w:r w:rsidR="00B64DEA">
        <w:rPr>
          <w:rStyle w:val="CommentReference"/>
        </w:rPr>
        <w:commentReference w:id="105"/>
      </w:r>
      <w:r w:rsidR="00B00DD7">
        <w:t>Perhaps bowdlerisation</w:t>
      </w:r>
      <w:r w:rsidRPr="00B147A6">
        <w:t xml:space="preserve"> disallowed references to the phallus. If so, the Christian aversion to sexual issues and </w:t>
      </w:r>
      <w:r>
        <w:t>human genitals may be behind an</w:t>
      </w:r>
      <w:r w:rsidRPr="00B147A6">
        <w:t xml:space="preserve"> apparent appropriation of light symbolism to represent that which the phallus represented in Egypt and the </w:t>
      </w:r>
      <w:r w:rsidRPr="005F405B">
        <w:rPr>
          <w:i/>
        </w:rPr>
        <w:t>Derveni Papyrus</w:t>
      </w:r>
      <w:r w:rsidRPr="00B147A6">
        <w:t xml:space="preserve">. This will be given careful consideration shortly, as it is first necessary to consider the role light might play first. </w:t>
      </w:r>
    </w:p>
    <w:p w14:paraId="06B11645" w14:textId="77777777" w:rsidR="00A97456" w:rsidRPr="00B147A6" w:rsidRDefault="00A97456" w:rsidP="003B1489">
      <w:pPr>
        <w:spacing w:line="360" w:lineRule="auto"/>
        <w:rPr>
          <w:color w:val="548DD4" w:themeColor="text2" w:themeTint="99"/>
        </w:rPr>
      </w:pPr>
    </w:p>
    <w:p w14:paraId="52B0173A" w14:textId="77777777" w:rsidR="00A97456" w:rsidRDefault="00A97456" w:rsidP="003B1489">
      <w:pPr>
        <w:spacing w:line="360" w:lineRule="auto"/>
      </w:pPr>
      <w:r w:rsidRPr="00B147A6">
        <w:t>Wi</w:t>
      </w:r>
      <w:r w:rsidR="003B1AE6">
        <w:t>th regard to the</w:t>
      </w:r>
      <w:r w:rsidR="003B1AE6" w:rsidRPr="003B1AE6">
        <w:t xml:space="preserve"> </w:t>
      </w:r>
      <w:r w:rsidR="00A861D1">
        <w:t xml:space="preserve">theme concerning the </w:t>
      </w:r>
      <w:r w:rsidR="003B1AE6" w:rsidRPr="003B1AE6">
        <w:t>separation of the physical light from the sun's disc</w:t>
      </w:r>
      <w:r w:rsidRPr="00B147A6">
        <w:t xml:space="preserve">, it was found that the </w:t>
      </w:r>
      <w:r w:rsidRPr="00B147A6">
        <w:rPr>
          <w:i/>
        </w:rPr>
        <w:t>light</w:t>
      </w:r>
      <w:r w:rsidRPr="00B147A6">
        <w:t xml:space="preserve"> of the sun, the rays or light photons can be understood to be a separate entity or something apart.</w:t>
      </w:r>
      <w:r>
        <w:t xml:space="preserve"> That the disc is separate to </w:t>
      </w:r>
      <w:r>
        <w:lastRenderedPageBreak/>
        <w:t xml:space="preserve">the light was noted in the Egyptian section after looking at evidence from </w:t>
      </w:r>
      <w:r w:rsidRPr="009022E8">
        <w:t>an Eighteenth Dynasty Egyptian hymn</w:t>
      </w:r>
      <w:r>
        <w:t xml:space="preserve"> and the Papyrus of Ani.</w:t>
      </w:r>
      <w:r w:rsidRPr="009022E8">
        <w:rPr>
          <w:vertAlign w:val="superscript"/>
        </w:rPr>
        <w:footnoteReference w:id="212"/>
      </w:r>
      <w:r w:rsidRPr="009022E8">
        <w:t xml:space="preserve"> </w:t>
      </w:r>
      <w:r w:rsidRPr="00B147A6">
        <w:t xml:space="preserve">In the case of the Egyptian and Christian material, the light appears to have been associated with the sons of their gods, </w:t>
      </w:r>
      <w:commentRangeStart w:id="106"/>
      <w:r w:rsidRPr="00B147A6">
        <w:t>Shu and Jesus Christ respectively</w:t>
      </w:r>
      <w:commentRangeEnd w:id="106"/>
      <w:r w:rsidR="00B64DEA">
        <w:rPr>
          <w:rStyle w:val="CommentReference"/>
        </w:rPr>
        <w:commentReference w:id="106"/>
      </w:r>
      <w:r w:rsidRPr="00B147A6">
        <w:t xml:space="preserve">. However, in the </w:t>
      </w:r>
      <w:r w:rsidRPr="005F405B">
        <w:rPr>
          <w:i/>
        </w:rPr>
        <w:t>Derveni Papyrus</w:t>
      </w:r>
      <w:r w:rsidRPr="00B147A6">
        <w:t>, light was more simply something dynamic that `happened` to, or overcame Night and it is not implicated in the theogony - the sun was - but the light was not. In the Christian treatment of light it can be seen that sunlight is a metaphor for the Christian god</w:t>
      </w:r>
      <w:r>
        <w:t>, or more often, his son</w:t>
      </w:r>
      <w:r w:rsidRPr="00B147A6">
        <w:t xml:space="preserve"> Jesus. We are shown that the son is present in the </w:t>
      </w:r>
      <w:r w:rsidR="001E5729">
        <w:t>sunlight</w:t>
      </w:r>
      <w:r w:rsidRPr="00B147A6">
        <w:t xml:space="preserve"> in Figure 11, for instance. St. Chrysostom writes that Christ shone all over the world and Jesus himself said he was the light of the world. There are</w:t>
      </w:r>
      <w:r>
        <w:t xml:space="preserve"> variations of this, Origin teaches</w:t>
      </w:r>
      <w:r w:rsidRPr="00B147A6">
        <w:t xml:space="preserve"> that god is light and his son is the glory of this light, although Athanasius teaches that the word of god </w:t>
      </w:r>
      <w:r w:rsidRPr="00B147A6">
        <w:rPr>
          <w:i/>
        </w:rPr>
        <w:t>and</w:t>
      </w:r>
      <w:r w:rsidRPr="00B147A6">
        <w:t xml:space="preserve"> the son descend from the sun as a divine ray.</w:t>
      </w:r>
      <w:r>
        <w:rPr>
          <w:rStyle w:val="FootnoteReference"/>
        </w:rPr>
        <w:footnoteReference w:id="213"/>
      </w:r>
      <w:r w:rsidRPr="00B147A6">
        <w:t xml:space="preserve"> The early Christian commentators appear to demonstrate a willingness to accept the sun as separate to its rays of light, with the light being or carrying a son, which comes from the disc or </w:t>
      </w:r>
      <w:commentRangeStart w:id="107"/>
      <w:r w:rsidRPr="00B147A6">
        <w:t xml:space="preserve">father. </w:t>
      </w:r>
      <w:commentRangeEnd w:id="107"/>
      <w:r w:rsidR="00D83C86">
        <w:rPr>
          <w:rStyle w:val="CommentReference"/>
        </w:rPr>
        <w:commentReference w:id="107"/>
      </w:r>
      <w:r w:rsidRPr="00B147A6">
        <w:t xml:space="preserve">But although sunlight and solar metaphorical and allegorical evidence is evident in Christian art and texts surrounding the mythological conception of Jesus and the Annunciation, it remained chaste and pious. Although the light penetrates and impregnates, it is </w:t>
      </w:r>
      <w:r>
        <w:t>not thought of as phallic, but it is identified as fertile and mysterious. The s</w:t>
      </w:r>
      <w:r w:rsidRPr="00B147A6">
        <w:t>olarism of earlier epoc</w:t>
      </w:r>
      <w:r w:rsidR="00B00DD7">
        <w:t>hs may have transformed into a light-of-the-world</w:t>
      </w:r>
      <w:r w:rsidRPr="00B147A6">
        <w:t xml:space="preserve"> Christian </w:t>
      </w:r>
      <w:r w:rsidRPr="00B147A6">
        <w:lastRenderedPageBreak/>
        <w:t xml:space="preserve">god, who kept a remote purity and developed an ambiguous light symbolism. But any overtly sexual symbolism was removed in an atmosphere of remorse regarding the weaknesses of the flesh and god became something `higher` and transcendent, so that only metaphors could be used to explain god's work or presence. However, I argue that the symbolism remained distinctly solar in as much as the </w:t>
      </w:r>
      <w:r>
        <w:t xml:space="preserve">Christian </w:t>
      </w:r>
      <w:r w:rsidRPr="00B147A6">
        <w:t>art and texts examined in this dissertation appear t</w:t>
      </w:r>
      <w:r>
        <w:t xml:space="preserve">o </w:t>
      </w:r>
      <w:commentRangeStart w:id="108"/>
      <w:r>
        <w:t xml:space="preserve">refer to the sun. </w:t>
      </w:r>
      <w:commentRangeEnd w:id="108"/>
      <w:r w:rsidR="00D83C86">
        <w:rPr>
          <w:rStyle w:val="CommentReference"/>
        </w:rPr>
        <w:commentReference w:id="108"/>
      </w:r>
      <w:r>
        <w:t xml:space="preserve">Refer to Figures 10, 16 and 17 for instance, where the imagery implies a sun and rays of light from it entering Mary.  </w:t>
      </w:r>
      <w:r w:rsidRPr="00B147A6">
        <w:t xml:space="preserve">Christianity enshrines the belief that light or its spirit impregnates the Virgin Mary as light through glass and therefore no flesh is involved, which is in keeping with a religion where sexual metaphors cannot be used. But I would argue that the imagery could be </w:t>
      </w:r>
      <w:r>
        <w:t>considered more phallic than may have been</w:t>
      </w:r>
      <w:r w:rsidRPr="00B147A6">
        <w:t xml:space="preserve"> intended because </w:t>
      </w:r>
      <w:r>
        <w:t xml:space="preserve">of the shape of a shaft of light and the </w:t>
      </w:r>
      <w:r w:rsidRPr="00B147A6">
        <w:t xml:space="preserve">comparisons </w:t>
      </w:r>
      <w:r w:rsidR="00A861D1">
        <w:t xml:space="preserve">that </w:t>
      </w:r>
      <w:r w:rsidRPr="00B147A6">
        <w:t xml:space="preserve">can be made with Egyptian mythology and </w:t>
      </w:r>
      <w:commentRangeStart w:id="109"/>
      <w:r w:rsidRPr="00B147A6">
        <w:t xml:space="preserve">teachings. </w:t>
      </w:r>
      <w:commentRangeEnd w:id="109"/>
      <w:r w:rsidR="00D83C86">
        <w:rPr>
          <w:rStyle w:val="CommentReference"/>
        </w:rPr>
        <w:commentReference w:id="109"/>
      </w:r>
      <w:r>
        <w:t>It is possible that the symbolism of sunlight impregnating Mary in the Christian material has antecedence in the Egyptian evidence, howe</w:t>
      </w:r>
      <w:r w:rsidR="00B00DD7">
        <w:t>ver unconsciously</w:t>
      </w:r>
      <w:r>
        <w:t xml:space="preserve"> that happened.  To consider this more fully, note that the</w:t>
      </w:r>
      <w:r w:rsidRPr="001B2731">
        <w:t xml:space="preserve"> </w:t>
      </w:r>
      <w:r>
        <w:t>second section of the second shrine of Tutankhamu</w:t>
      </w:r>
      <w:r w:rsidRPr="001B2731">
        <w:t>n is all about rays of light</w:t>
      </w:r>
      <w:r>
        <w:t xml:space="preserve"> which</w:t>
      </w:r>
      <w:r w:rsidRPr="001B2731">
        <w:t xml:space="preserve"> po</w:t>
      </w:r>
      <w:r w:rsidR="00B00DD7">
        <w:t>ur</w:t>
      </w:r>
      <w:r>
        <w:t xml:space="preserve"> directly into their bodies.</w:t>
      </w:r>
      <w:r w:rsidRPr="001B2731">
        <w:rPr>
          <w:vertAlign w:val="superscript"/>
        </w:rPr>
        <w:footnoteReference w:id="214"/>
      </w:r>
    </w:p>
    <w:p w14:paraId="4877F4D2" w14:textId="77777777" w:rsidR="00A97456" w:rsidRDefault="00A97456" w:rsidP="003B1489">
      <w:pPr>
        <w:spacing w:line="360" w:lineRule="auto"/>
      </w:pPr>
    </w:p>
    <w:p w14:paraId="3CF7F395" w14:textId="77777777" w:rsidR="00A97456" w:rsidRPr="00B147A6" w:rsidRDefault="00A97456" w:rsidP="003B1489">
      <w:pPr>
        <w:spacing w:line="360" w:lineRule="auto"/>
      </w:pPr>
      <w:r>
        <w:t>It is useful to compare</w:t>
      </w:r>
      <w:r w:rsidRPr="00B147A6">
        <w:t xml:space="preserve"> close up images</w:t>
      </w:r>
      <w:r>
        <w:t xml:space="preserve"> of Figure 9, an Egyptian sun god ejaculating</w:t>
      </w:r>
      <w:r w:rsidRPr="00B147A6">
        <w:t xml:space="preserve"> fire and a baby</w:t>
      </w:r>
      <w:r>
        <w:t>, and Figure 10, a baby Jesus streaming in with sunlight, as</w:t>
      </w:r>
      <w:r w:rsidRPr="00B147A6">
        <w:t xml:space="preserve"> shown in Figures 19 and 20. Both </w:t>
      </w:r>
      <w:r w:rsidRPr="00B147A6">
        <w:lastRenderedPageBreak/>
        <w:t>of these images portray a god and solar symbolism in an act of child creation. The Egyptian god is ejaculating semen, fire and a child. The Christian example is sunlight and a child. The light is carrying the essence or principle of a baby, it will create a child and it comes from the sun, metaphor for a god.</w:t>
      </w:r>
      <w:r>
        <w:t xml:space="preserve"> </w:t>
      </w:r>
      <w:commentRangeStart w:id="110"/>
      <w:r>
        <w:t xml:space="preserve">The essence of fertility and fecundity is present in both. </w:t>
      </w:r>
      <w:commentRangeEnd w:id="110"/>
      <w:r w:rsidR="00D83C86">
        <w:rPr>
          <w:rStyle w:val="CommentReference"/>
        </w:rPr>
        <w:commentReference w:id="110"/>
      </w:r>
    </w:p>
    <w:p w14:paraId="0F48660F" w14:textId="77777777" w:rsidR="00A97456" w:rsidRPr="00B147A6" w:rsidRDefault="00A97456" w:rsidP="003B1489">
      <w:pPr>
        <w:spacing w:line="360" w:lineRule="auto"/>
      </w:pPr>
    </w:p>
    <w:p w14:paraId="67801980" w14:textId="77777777" w:rsidR="00A97456" w:rsidRPr="00B147A6" w:rsidRDefault="00A97456" w:rsidP="003B1489">
      <w:pPr>
        <w:keepNext/>
        <w:spacing w:line="360" w:lineRule="auto"/>
      </w:pPr>
      <w:r w:rsidRPr="00B147A6">
        <w:rPr>
          <w:noProof/>
          <w:lang w:eastAsia="en-GB"/>
        </w:rPr>
        <w:drawing>
          <wp:inline distT="0" distB="0" distL="0" distR="0" wp14:anchorId="7EE94CE1" wp14:editId="57375DAE">
            <wp:extent cx="2208362" cy="185502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ar god ejaculating fire and a child.jpg"/>
                    <pic:cNvPicPr/>
                  </pic:nvPicPr>
                  <pic:blipFill>
                    <a:blip r:embed="rId30">
                      <a:extLst>
                        <a:ext uri="{28A0092B-C50C-407E-A947-70E740481C1C}">
                          <a14:useLocalDpi xmlns:a14="http://schemas.microsoft.com/office/drawing/2010/main" val="0"/>
                        </a:ext>
                      </a:extLst>
                    </a:blip>
                    <a:stretch>
                      <a:fillRect/>
                    </a:stretch>
                  </pic:blipFill>
                  <pic:spPr>
                    <a:xfrm>
                      <a:off x="0" y="0"/>
                      <a:ext cx="2216726" cy="1862049"/>
                    </a:xfrm>
                    <a:prstGeom prst="rect">
                      <a:avLst/>
                    </a:prstGeom>
                  </pic:spPr>
                </pic:pic>
              </a:graphicData>
            </a:graphic>
          </wp:inline>
        </w:drawing>
      </w:r>
    </w:p>
    <w:p w14:paraId="385F2B5A" w14:textId="77777777" w:rsidR="00A97456" w:rsidRPr="00492046" w:rsidRDefault="00A97456" w:rsidP="003B1489">
      <w:pPr>
        <w:spacing w:after="200"/>
        <w:rPr>
          <w:rFonts w:ascii="Arial" w:hAnsi="Arial" w:cs="Arial"/>
          <w:bCs/>
          <w:sz w:val="18"/>
          <w:szCs w:val="18"/>
        </w:rPr>
      </w:pPr>
      <w:bookmarkStart w:id="111" w:name="_Toc398116788"/>
      <w:bookmarkStart w:id="112" w:name="_Toc398124176"/>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19</w:t>
      </w:r>
      <w:r w:rsidRPr="00492046">
        <w:rPr>
          <w:rFonts w:ascii="Arial" w:hAnsi="Arial" w:cs="Arial"/>
          <w:bCs/>
          <w:sz w:val="18"/>
          <w:szCs w:val="18"/>
        </w:rPr>
        <w:fldChar w:fldCharType="end"/>
      </w:r>
      <w:r w:rsidR="00094FC1">
        <w:rPr>
          <w:rFonts w:ascii="Arial" w:hAnsi="Arial" w:cs="Arial"/>
          <w:bCs/>
          <w:sz w:val="18"/>
          <w:szCs w:val="18"/>
        </w:rPr>
        <w:t>.</w:t>
      </w:r>
      <w:r w:rsidRPr="00492046">
        <w:rPr>
          <w:rFonts w:ascii="Arial" w:hAnsi="Arial" w:cs="Arial"/>
          <w:bCs/>
          <w:sz w:val="18"/>
          <w:szCs w:val="18"/>
        </w:rPr>
        <w:t xml:space="preserve"> North wall of burial chamber of KV9, Ramesses V/VI, Valley of the Kings. Part of the </w:t>
      </w:r>
      <w:r w:rsidRPr="00492046">
        <w:rPr>
          <w:rFonts w:ascii="Arial" w:hAnsi="Arial" w:cs="Arial"/>
          <w:bCs/>
          <w:i/>
          <w:sz w:val="18"/>
          <w:szCs w:val="18"/>
        </w:rPr>
        <w:t>Book of the Earth</w:t>
      </w:r>
      <w:r w:rsidRPr="00492046">
        <w:rPr>
          <w:rFonts w:ascii="Arial" w:hAnsi="Arial" w:cs="Arial"/>
          <w:bCs/>
          <w:sz w:val="18"/>
          <w:szCs w:val="18"/>
        </w:rPr>
        <w:t>. New Kingdom. (</w:t>
      </w:r>
      <w:proofErr w:type="gramStart"/>
      <w:r w:rsidRPr="00492046">
        <w:rPr>
          <w:rFonts w:ascii="Arial" w:hAnsi="Arial" w:cs="Arial"/>
          <w:bCs/>
          <w:sz w:val="18"/>
          <w:szCs w:val="18"/>
        </w:rPr>
        <w:t>c</w:t>
      </w:r>
      <w:proofErr w:type="gramEnd"/>
      <w:r w:rsidRPr="00492046">
        <w:rPr>
          <w:rFonts w:ascii="Arial" w:hAnsi="Arial" w:cs="Arial"/>
          <w:bCs/>
          <w:sz w:val="18"/>
          <w:szCs w:val="18"/>
        </w:rPr>
        <w:t xml:space="preserve">. 1145 – 1133) wall painting. </w:t>
      </w:r>
      <w:r w:rsidRPr="00492046">
        <w:rPr>
          <w:rFonts w:ascii="Arial" w:hAnsi="Arial" w:cs="Arial"/>
          <w:bCs/>
          <w:i/>
          <w:sz w:val="18"/>
          <w:szCs w:val="18"/>
        </w:rPr>
        <w:t>Image:</w:t>
      </w:r>
      <w:r w:rsidRPr="00492046">
        <w:rPr>
          <w:rFonts w:ascii="Arial" w:hAnsi="Arial" w:cs="Arial"/>
          <w:bCs/>
          <w:sz w:val="18"/>
          <w:szCs w:val="18"/>
        </w:rPr>
        <w:t xml:space="preserve"> Francis Dzikowski, Theban Mapping Project.</w:t>
      </w:r>
      <w:bookmarkEnd w:id="111"/>
      <w:bookmarkEnd w:id="112"/>
      <w:r w:rsidRPr="00492046">
        <w:rPr>
          <w:rFonts w:ascii="Arial" w:hAnsi="Arial" w:cs="Arial"/>
          <w:bCs/>
          <w:sz w:val="18"/>
          <w:szCs w:val="18"/>
        </w:rPr>
        <w:t xml:space="preserve"> </w:t>
      </w:r>
    </w:p>
    <w:p w14:paraId="360EEC18" w14:textId="77777777" w:rsidR="00A97456" w:rsidRPr="00B147A6" w:rsidRDefault="00A97456" w:rsidP="003B1489">
      <w:pPr>
        <w:keepNext/>
        <w:spacing w:after="200" w:line="360" w:lineRule="auto"/>
        <w:rPr>
          <w:b/>
          <w:bCs/>
          <w:color w:val="4F81BD" w:themeColor="accent1"/>
          <w:sz w:val="18"/>
          <w:szCs w:val="18"/>
        </w:rPr>
      </w:pPr>
      <w:r w:rsidRPr="00B147A6">
        <w:rPr>
          <w:b/>
          <w:bCs/>
          <w:color w:val="4F81BD" w:themeColor="accent1"/>
          <w:sz w:val="18"/>
          <w:szCs w:val="18"/>
        </w:rPr>
        <w:t xml:space="preserve"> </w:t>
      </w:r>
      <w:r w:rsidRPr="00B147A6">
        <w:rPr>
          <w:b/>
          <w:bCs/>
          <w:noProof/>
          <w:sz w:val="18"/>
          <w:szCs w:val="18"/>
          <w:lang w:eastAsia="en-GB"/>
        </w:rPr>
        <w:drawing>
          <wp:inline distT="0" distB="0" distL="0" distR="0" wp14:anchorId="0211C57D" wp14:editId="7ED207C0">
            <wp:extent cx="2292642" cy="1673524"/>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by in sunlight through window of Merode alterpiec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94206" cy="1674665"/>
                    </a:xfrm>
                    <a:prstGeom prst="rect">
                      <a:avLst/>
                    </a:prstGeom>
                  </pic:spPr>
                </pic:pic>
              </a:graphicData>
            </a:graphic>
          </wp:inline>
        </w:drawing>
      </w:r>
    </w:p>
    <w:p w14:paraId="75842ABC" w14:textId="77777777" w:rsidR="00A97456" w:rsidRPr="00492046" w:rsidRDefault="00A97456" w:rsidP="003B1489">
      <w:pPr>
        <w:spacing w:after="200"/>
        <w:rPr>
          <w:rFonts w:ascii="Arial" w:hAnsi="Arial" w:cs="Arial"/>
          <w:bCs/>
          <w:sz w:val="18"/>
          <w:szCs w:val="18"/>
        </w:rPr>
      </w:pPr>
      <w:bookmarkStart w:id="113" w:name="_Toc398116789"/>
      <w:bookmarkStart w:id="114" w:name="_Toc398124177"/>
      <w:r w:rsidRPr="00492046">
        <w:rPr>
          <w:rFonts w:ascii="Arial" w:hAnsi="Arial" w:cs="Arial"/>
          <w:bCs/>
          <w:sz w:val="18"/>
          <w:szCs w:val="18"/>
        </w:rPr>
        <w:t xml:space="preserve">Figure </w:t>
      </w:r>
      <w:r w:rsidRPr="00492046">
        <w:rPr>
          <w:rFonts w:ascii="Arial" w:hAnsi="Arial" w:cs="Arial"/>
          <w:bCs/>
          <w:sz w:val="18"/>
          <w:szCs w:val="18"/>
        </w:rPr>
        <w:fldChar w:fldCharType="begin"/>
      </w:r>
      <w:r w:rsidRPr="00492046">
        <w:rPr>
          <w:rFonts w:ascii="Arial" w:hAnsi="Arial" w:cs="Arial"/>
          <w:bCs/>
          <w:sz w:val="18"/>
          <w:szCs w:val="18"/>
        </w:rPr>
        <w:instrText xml:space="preserve"> SEQ Figure \* ARABIC </w:instrText>
      </w:r>
      <w:r w:rsidRPr="00492046">
        <w:rPr>
          <w:rFonts w:ascii="Arial" w:hAnsi="Arial" w:cs="Arial"/>
          <w:bCs/>
          <w:sz w:val="18"/>
          <w:szCs w:val="18"/>
        </w:rPr>
        <w:fldChar w:fldCharType="separate"/>
      </w:r>
      <w:r w:rsidR="00BD0ED3">
        <w:rPr>
          <w:rFonts w:ascii="Arial" w:hAnsi="Arial" w:cs="Arial"/>
          <w:bCs/>
          <w:noProof/>
          <w:sz w:val="18"/>
          <w:szCs w:val="18"/>
        </w:rPr>
        <w:t>20</w:t>
      </w:r>
      <w:r w:rsidRPr="00492046">
        <w:rPr>
          <w:rFonts w:ascii="Arial" w:hAnsi="Arial" w:cs="Arial"/>
          <w:bCs/>
          <w:sz w:val="18"/>
          <w:szCs w:val="18"/>
        </w:rPr>
        <w:fldChar w:fldCharType="end"/>
      </w:r>
      <w:r w:rsidR="00094FC1">
        <w:rPr>
          <w:rFonts w:ascii="Arial" w:hAnsi="Arial" w:cs="Arial"/>
          <w:bCs/>
          <w:sz w:val="18"/>
          <w:szCs w:val="18"/>
        </w:rPr>
        <w:t>.</w:t>
      </w:r>
      <w:r w:rsidRPr="00492046">
        <w:rPr>
          <w:rFonts w:ascii="Arial" w:hAnsi="Arial" w:cs="Arial"/>
          <w:bCs/>
          <w:sz w:val="18"/>
          <w:szCs w:val="18"/>
        </w:rPr>
        <w:t xml:space="preserve"> Robert Campin (c.1375–1444) and assistant, </w:t>
      </w:r>
      <w:r w:rsidRPr="00492046">
        <w:rPr>
          <w:rFonts w:ascii="Arial" w:hAnsi="Arial" w:cs="Arial"/>
          <w:bCs/>
          <w:i/>
          <w:sz w:val="18"/>
          <w:szCs w:val="18"/>
        </w:rPr>
        <w:t>Annunciation</w:t>
      </w:r>
      <w:r w:rsidRPr="00492046">
        <w:rPr>
          <w:rFonts w:ascii="Arial" w:hAnsi="Arial" w:cs="Arial"/>
          <w:bCs/>
          <w:sz w:val="18"/>
          <w:szCs w:val="18"/>
        </w:rPr>
        <w:t xml:space="preserve"> Triptych (Mérode Altarpiece) c.1425, showing child streaming in through the window on a beam of light. The Metropolitan Museum of Art, </w:t>
      </w:r>
      <w:proofErr w:type="gramStart"/>
      <w:r w:rsidRPr="00492046">
        <w:rPr>
          <w:rFonts w:ascii="Arial" w:hAnsi="Arial" w:cs="Arial"/>
          <w:bCs/>
          <w:sz w:val="18"/>
          <w:szCs w:val="18"/>
        </w:rPr>
        <w:t>The</w:t>
      </w:r>
      <w:proofErr w:type="gramEnd"/>
      <w:r w:rsidRPr="00492046">
        <w:rPr>
          <w:rFonts w:ascii="Arial" w:hAnsi="Arial" w:cs="Arial"/>
          <w:bCs/>
          <w:sz w:val="18"/>
          <w:szCs w:val="18"/>
        </w:rPr>
        <w:t xml:space="preserve"> Cloisters Collection. </w:t>
      </w:r>
      <w:r w:rsidRPr="00492046">
        <w:rPr>
          <w:rFonts w:ascii="Arial" w:hAnsi="Arial" w:cs="Arial"/>
          <w:bCs/>
          <w:i/>
          <w:sz w:val="18"/>
          <w:szCs w:val="18"/>
        </w:rPr>
        <w:t>Image:</w:t>
      </w:r>
      <w:r w:rsidRPr="00492046">
        <w:rPr>
          <w:rFonts w:ascii="Arial" w:hAnsi="Arial" w:cs="Arial"/>
          <w:bCs/>
          <w:sz w:val="18"/>
          <w:szCs w:val="18"/>
        </w:rPr>
        <w:t xml:space="preserve"> The Cloisters Collection.</w:t>
      </w:r>
      <w:bookmarkEnd w:id="113"/>
      <w:bookmarkEnd w:id="114"/>
      <w:r w:rsidRPr="00492046">
        <w:rPr>
          <w:rFonts w:ascii="Arial" w:hAnsi="Arial" w:cs="Arial"/>
          <w:bCs/>
          <w:sz w:val="18"/>
          <w:szCs w:val="18"/>
        </w:rPr>
        <w:t xml:space="preserve"> </w:t>
      </w:r>
    </w:p>
    <w:p w14:paraId="6A685C37" w14:textId="77777777" w:rsidR="00A97456" w:rsidRDefault="00A97456" w:rsidP="003B1489">
      <w:pPr>
        <w:spacing w:line="360" w:lineRule="auto"/>
      </w:pPr>
    </w:p>
    <w:p w14:paraId="40A695CD" w14:textId="77777777" w:rsidR="00A97456" w:rsidRPr="00B147A6" w:rsidRDefault="00A97456" w:rsidP="003B1489">
      <w:pPr>
        <w:spacing w:line="360" w:lineRule="auto"/>
      </w:pPr>
      <w:r>
        <w:t xml:space="preserve">An argument against similarity between the three sets of material is how gender is utilised. The Egyptian evidence shows, to some degree, an androgynous creating deity, whilst the </w:t>
      </w:r>
      <w:r w:rsidRPr="005F405B">
        <w:rPr>
          <w:i/>
        </w:rPr>
        <w:t>Derveni Papyrus</w:t>
      </w:r>
      <w:r>
        <w:t xml:space="preserve"> reflects an all-male creation and the Christian </w:t>
      </w:r>
      <w:r>
        <w:lastRenderedPageBreak/>
        <w:t>material also shows their god to be masculine.</w:t>
      </w:r>
      <w:r>
        <w:rPr>
          <w:rStyle w:val="FootnoteReference"/>
        </w:rPr>
        <w:footnoteReference w:id="215"/>
      </w:r>
      <w:r>
        <w:t xml:space="preserve"> However, the Egyptian material only gives feminine gender to some body parts supporting the act of onanism and the Christian evidence does show that a female human woman was used as an incubator. It is possible that the shift from androgyny to the more physically accurate, defined sexual role is part of the over-all shifting cultural environment. </w:t>
      </w:r>
    </w:p>
    <w:p w14:paraId="51CDC1EC" w14:textId="77777777" w:rsidR="00A97456" w:rsidRPr="00B147A6" w:rsidRDefault="00A97456" w:rsidP="003B1489">
      <w:pPr>
        <w:spacing w:line="360" w:lineRule="auto"/>
      </w:pPr>
    </w:p>
    <w:p w14:paraId="5D955C84" w14:textId="77777777" w:rsidR="00A97456" w:rsidRDefault="00A97456" w:rsidP="003B1489">
      <w:pPr>
        <w:spacing w:line="360" w:lineRule="auto"/>
      </w:pPr>
      <w:r>
        <w:t xml:space="preserve"> </w:t>
      </w:r>
      <w:r w:rsidRPr="002E5465">
        <w:t xml:space="preserve">If there is a near pan Europe/Middle East conviction that the Sun is phallic or generative it must surely come, at least in part, from the direct evidence that vegetation starved of </w:t>
      </w:r>
      <w:r w:rsidR="001E5729">
        <w:t>sunlight</w:t>
      </w:r>
      <w:r w:rsidRPr="002E5465">
        <w:t xml:space="preserve"> dies and vegetation given ideal amounts of </w:t>
      </w:r>
      <w:r w:rsidR="001E5729">
        <w:t>sunlight</w:t>
      </w:r>
      <w:r w:rsidRPr="002E5465">
        <w:t xml:space="preserve"> lives. And since the phallus was known to produce semen that impregnated or generated life, a comparison was possible. Since the generative qualities of the Sun and the phallus could therefore be regarded as commonly recognised properties, the possibility of coincidental spontaneous origin occurs. It could be argued this comparison i</w:t>
      </w:r>
      <w:r w:rsidR="001657F4">
        <w:t>s not generally made in the twenty first</w:t>
      </w:r>
      <w:r w:rsidRPr="002E5465">
        <w:t xml:space="preserve"> century, but then the imp</w:t>
      </w:r>
      <w:r w:rsidR="001657F4">
        <w:t xml:space="preserve">act of the sexual repression within </w:t>
      </w:r>
      <w:r w:rsidRPr="002E5465">
        <w:t>the dominant monotheistic religions has made such id</w:t>
      </w:r>
      <w:r w:rsidR="001657F4">
        <w:t xml:space="preserve">eas unacceptable and </w:t>
      </w:r>
      <w:r w:rsidR="001657F4" w:rsidRPr="001657F4">
        <w:t>thus the potential for solar phallism in the Christian culture is supressed.</w:t>
      </w:r>
    </w:p>
    <w:p w14:paraId="460B0F5E" w14:textId="77777777" w:rsidR="005A1BE2" w:rsidRDefault="005A1BE2" w:rsidP="003B1489">
      <w:pPr>
        <w:spacing w:line="360" w:lineRule="auto"/>
      </w:pPr>
    </w:p>
    <w:p w14:paraId="315953B4" w14:textId="77777777" w:rsidR="00A97456" w:rsidRDefault="005A1BE2" w:rsidP="003B1489">
      <w:pPr>
        <w:spacing w:line="360" w:lineRule="auto"/>
      </w:pPr>
      <w:r>
        <w:t xml:space="preserve">This investigation </w:t>
      </w:r>
      <w:r w:rsidRPr="00B147A6">
        <w:t xml:space="preserve">provides new insight into the contribution that sky objects have made to history. </w:t>
      </w:r>
      <w:commentRangeStart w:id="115"/>
      <w:r w:rsidRPr="00B147A6">
        <w:t xml:space="preserve">For discovery that the sun and its light could be different deities and that the sun </w:t>
      </w:r>
      <w:commentRangeEnd w:id="115"/>
      <w:r w:rsidR="00D83C86">
        <w:rPr>
          <w:rStyle w:val="CommentReference"/>
        </w:rPr>
        <w:commentReference w:id="115"/>
      </w:r>
      <w:r w:rsidRPr="00B147A6">
        <w:t xml:space="preserve">had a tradition of association with human procreation that emerged in </w:t>
      </w:r>
      <w:proofErr w:type="gramStart"/>
      <w:r w:rsidRPr="00B147A6">
        <w:lastRenderedPageBreak/>
        <w:t>the</w:t>
      </w:r>
      <w:proofErr w:type="gramEnd"/>
      <w:r w:rsidRPr="00B147A6">
        <w:t xml:space="preserve"> Egyptian, Orphic and Christian material studied increases the importance that we award the sun when considering the impact it had on the lives of ancient cultures.</w:t>
      </w:r>
    </w:p>
    <w:p w14:paraId="4AECEFF7" w14:textId="77777777" w:rsidR="005A1BE2" w:rsidRDefault="005A1BE2" w:rsidP="003B1489">
      <w:pPr>
        <w:spacing w:line="360" w:lineRule="auto"/>
      </w:pPr>
    </w:p>
    <w:p w14:paraId="7EBEACD2" w14:textId="77777777" w:rsidR="004B0CEB" w:rsidRDefault="00A97456" w:rsidP="003B1489">
      <w:pPr>
        <w:spacing w:line="360" w:lineRule="auto"/>
        <w:sectPr w:rsidR="004B0CEB" w:rsidSect="003B1489">
          <w:pgSz w:w="11906" w:h="16838"/>
          <w:pgMar w:top="1440" w:right="2495" w:bottom="1440" w:left="2495" w:header="709" w:footer="709" w:gutter="0"/>
          <w:cols w:space="708"/>
          <w:docGrid w:linePitch="360"/>
        </w:sectPr>
      </w:pPr>
      <w:r>
        <w:t xml:space="preserve">In </w:t>
      </w:r>
      <w:r w:rsidR="004D2B40">
        <w:t xml:space="preserve">conclusion, my research shows that </w:t>
      </w:r>
      <w:r w:rsidR="00322E93">
        <w:t xml:space="preserve">the </w:t>
      </w:r>
      <w:r>
        <w:t>sun</w:t>
      </w:r>
      <w:r w:rsidR="00322E93">
        <w:t>'s</w:t>
      </w:r>
      <w:r>
        <w:t xml:space="preserve"> </w:t>
      </w:r>
      <w:r w:rsidR="00322E93">
        <w:t>generative attributes and physical qualities were</w:t>
      </w:r>
      <w:r>
        <w:t xml:space="preserve"> utilised in </w:t>
      </w:r>
      <w:r w:rsidR="007C3A6F">
        <w:t>the procreational imagery of</w:t>
      </w:r>
      <w:r w:rsidR="00CC2A35">
        <w:t xml:space="preserve"> the Egyptian</w:t>
      </w:r>
      <w:r>
        <w:t xml:space="preserve">, </w:t>
      </w:r>
      <w:r w:rsidR="00CC2A35">
        <w:t>Orphic</w:t>
      </w:r>
      <w:r>
        <w:t xml:space="preserve"> and Christian aut</w:t>
      </w:r>
      <w:r w:rsidR="00421024">
        <w:t>hors and artists</w:t>
      </w:r>
      <w:r w:rsidR="0013436D">
        <w:t xml:space="preserve"> examin</w:t>
      </w:r>
      <w:r w:rsidR="00453090">
        <w:t>ed</w:t>
      </w:r>
      <w:r w:rsidR="00421024">
        <w:t>.</w:t>
      </w:r>
      <w:r>
        <w:t xml:space="preserve"> However the phallic solarism found in the Egyptian and Orphic material is not f</w:t>
      </w:r>
      <w:r w:rsidR="00453090">
        <w:t xml:space="preserve">ound in the </w:t>
      </w:r>
      <w:r w:rsidR="00453090" w:rsidRPr="00453090">
        <w:t xml:space="preserve">bowdlerised Christian material </w:t>
      </w:r>
      <w:r w:rsidR="00453090">
        <w:t>which employed</w:t>
      </w:r>
      <w:r w:rsidR="00453090" w:rsidRPr="00453090">
        <w:t xml:space="preserve"> more subtle </w:t>
      </w:r>
      <w:r w:rsidR="00453090">
        <w:t xml:space="preserve">solar </w:t>
      </w:r>
      <w:r w:rsidR="00453090" w:rsidRPr="00453090">
        <w:t>metaphor</w:t>
      </w:r>
      <w:r w:rsidR="00453090">
        <w:t>s to convey impregnation</w:t>
      </w:r>
      <w:r w:rsidR="00322E93">
        <w:t xml:space="preserve"> and fecundity</w:t>
      </w:r>
      <w:r w:rsidR="00453090">
        <w:t xml:space="preserve">. </w:t>
      </w:r>
      <w:bookmarkStart w:id="116" w:name="_GoBack"/>
      <w:commentRangeStart w:id="117"/>
      <w:r w:rsidR="00421024" w:rsidRPr="00421024">
        <w:t>Nevertheless this work reveals that the Christian</w:t>
      </w:r>
      <w:r w:rsidR="00322E93">
        <w:t xml:space="preserve"> imagery has a strong similarity</w:t>
      </w:r>
      <w:r w:rsidR="00421024" w:rsidRPr="00421024">
        <w:t xml:space="preserve"> to the Egyptian art of the Middle and New Kingdoms</w:t>
      </w:r>
      <w:bookmarkEnd w:id="116"/>
      <w:r w:rsidR="00421024" w:rsidRPr="00421024">
        <w:t>.</w:t>
      </w:r>
      <w:r w:rsidR="004B0CEB">
        <w:t xml:space="preserve"> </w:t>
      </w:r>
      <w:commentRangeEnd w:id="117"/>
      <w:r w:rsidR="00D83C86">
        <w:rPr>
          <w:rStyle w:val="CommentReference"/>
        </w:rPr>
        <w:commentReference w:id="117"/>
      </w:r>
    </w:p>
    <w:p w14:paraId="73F8E92D" w14:textId="77777777" w:rsidR="00D94787" w:rsidRDefault="00D94787" w:rsidP="004B0CEB">
      <w:pPr>
        <w:spacing w:line="360" w:lineRule="auto"/>
      </w:pPr>
      <w:r>
        <w:lastRenderedPageBreak/>
        <w:t>BIBLIOGRAPHY</w:t>
      </w:r>
    </w:p>
    <w:p w14:paraId="2F164AFA" w14:textId="77777777" w:rsidR="00D94787" w:rsidRDefault="00D94787" w:rsidP="00D94787"/>
    <w:p w14:paraId="05471464" w14:textId="77777777" w:rsidR="00D94787" w:rsidRPr="00D94787" w:rsidRDefault="00D94787" w:rsidP="00D94787">
      <w:r w:rsidRPr="00D94787">
        <w:t xml:space="preserve">Allen, James P., and Peter Der Manuelian, </w:t>
      </w:r>
      <w:proofErr w:type="gramStart"/>
      <w:r w:rsidRPr="00D94787">
        <w:rPr>
          <w:i/>
        </w:rPr>
        <w:t>The</w:t>
      </w:r>
      <w:proofErr w:type="gramEnd"/>
      <w:r w:rsidRPr="00D94787">
        <w:rPr>
          <w:i/>
        </w:rPr>
        <w:t xml:space="preserve"> Ancient Egyptian Pyramid Texts</w:t>
      </w:r>
      <w:r w:rsidRPr="00D94787">
        <w:t xml:space="preserve"> (The Netherlands: Koninklijke Brill, 2005)</w:t>
      </w:r>
    </w:p>
    <w:p w14:paraId="12E60351" w14:textId="77777777" w:rsidR="00D94787" w:rsidRPr="00D94787" w:rsidRDefault="00D94787" w:rsidP="00D94787">
      <w:r w:rsidRPr="00D94787">
        <w:t xml:space="preserve"> </w:t>
      </w:r>
    </w:p>
    <w:p w14:paraId="1D19FCBD" w14:textId="77777777" w:rsidR="00D94787" w:rsidRPr="00D94787" w:rsidRDefault="00D94787" w:rsidP="00D94787">
      <w:r w:rsidRPr="00D94787">
        <w:t xml:space="preserve">Ani, `A Hymn </w:t>
      </w:r>
      <w:proofErr w:type="gramStart"/>
      <w:r w:rsidRPr="00D94787">
        <w:t>To</w:t>
      </w:r>
      <w:proofErr w:type="gramEnd"/>
      <w:r w:rsidRPr="00D94787">
        <w:t xml:space="preserve"> Ra When He Rises in the East`, in </w:t>
      </w:r>
      <w:r w:rsidRPr="00D94787">
        <w:rPr>
          <w:i/>
        </w:rPr>
        <w:t>Tutankhamen, Amenism and Egyptian Monotheism</w:t>
      </w:r>
      <w:r w:rsidRPr="00D94787">
        <w:t>, E.A. Budge (N. Y. Dover Publications, 1991)</w:t>
      </w:r>
    </w:p>
    <w:p w14:paraId="0901AEFD" w14:textId="77777777" w:rsidR="00D94787" w:rsidRPr="00D94787" w:rsidRDefault="00D94787" w:rsidP="00D94787"/>
    <w:p w14:paraId="20A2C899" w14:textId="77777777" w:rsidR="00D94787" w:rsidRPr="00D94787" w:rsidRDefault="00D94787" w:rsidP="00D94787">
      <w:r w:rsidRPr="00D94787">
        <w:t xml:space="preserve"> Ani, `The Papyrus of Ani,` in </w:t>
      </w:r>
      <w:r w:rsidRPr="00D94787">
        <w:rPr>
          <w:i/>
        </w:rPr>
        <w:t>The Egyptian Book of the Dead, the Book of Going Forth by Day</w:t>
      </w:r>
      <w:r w:rsidRPr="00D94787">
        <w:t>, trans. R. Faulkner (California: Chronicle Books LLC, 1998)</w:t>
      </w:r>
    </w:p>
    <w:p w14:paraId="1FF66143" w14:textId="77777777" w:rsidR="00D94787" w:rsidRPr="00D94787" w:rsidRDefault="00D94787" w:rsidP="00D94787"/>
    <w:p w14:paraId="49FE0C59" w14:textId="77777777" w:rsidR="00D94787" w:rsidRPr="00D94787" w:rsidRDefault="00D94787" w:rsidP="00D94787">
      <w:proofErr w:type="gramStart"/>
      <w:r w:rsidRPr="00D94787">
        <w:t>Assman ,Jan</w:t>
      </w:r>
      <w:proofErr w:type="gramEnd"/>
      <w:r w:rsidRPr="00D94787">
        <w:t xml:space="preserve">, </w:t>
      </w:r>
      <w:r w:rsidRPr="00D94787">
        <w:rPr>
          <w:i/>
        </w:rPr>
        <w:t>Egyptian Solar Religion in the New Kingdom</w:t>
      </w:r>
      <w:r w:rsidRPr="00D94787">
        <w:t>, (London and New York: Kegan Paul International, 1995)</w:t>
      </w:r>
    </w:p>
    <w:p w14:paraId="322C9756" w14:textId="77777777" w:rsidR="00D94787" w:rsidRPr="00D94787" w:rsidRDefault="00D94787" w:rsidP="00D94787"/>
    <w:p w14:paraId="73B69262" w14:textId="77777777" w:rsidR="00D94787" w:rsidRPr="00D94787" w:rsidRDefault="00D94787" w:rsidP="00D94787">
      <w:r w:rsidRPr="00D94787">
        <w:t xml:space="preserve">Assman, Jan, and J. P. Allen, Paul-Alain Beaulieu, Richard Clifford, James Crenshaw, Michael Stausberg, Fritz Graff , `Theology, Theodicy, Philosophy`, in </w:t>
      </w:r>
      <w:r w:rsidRPr="00D94787">
        <w:rPr>
          <w:i/>
        </w:rPr>
        <w:t>Religions of the Ancient World</w:t>
      </w:r>
      <w:r w:rsidRPr="00D94787">
        <w:t xml:space="preserve">, ed-in-chief Sarah Iles Johnston, (Cambridge, Massachusetts, London: The Belknap Press of Havard University Press, 2004) </w:t>
      </w:r>
    </w:p>
    <w:p w14:paraId="3E1AB921" w14:textId="77777777" w:rsidR="00D94787" w:rsidRPr="00D94787" w:rsidRDefault="00D94787" w:rsidP="00D94787"/>
    <w:p w14:paraId="223D06D3" w14:textId="77777777" w:rsidR="00D94787" w:rsidRPr="00D94787" w:rsidRDefault="00D94787" w:rsidP="00D94787">
      <w:r w:rsidRPr="00D94787">
        <w:t xml:space="preserve">Attridge, Harold, `Pollution, Sin, Atonement, Salvation`, in </w:t>
      </w:r>
      <w:r w:rsidRPr="00D94787">
        <w:rPr>
          <w:i/>
        </w:rPr>
        <w:t>Religions of the Ancient World</w:t>
      </w:r>
      <w:r w:rsidRPr="00D94787">
        <w:t xml:space="preserve">, ed. S. Johnston (Cambridge, MA, </w:t>
      </w:r>
      <w:proofErr w:type="gramStart"/>
      <w:r w:rsidRPr="00D94787">
        <w:t>The</w:t>
      </w:r>
      <w:proofErr w:type="gramEnd"/>
      <w:r w:rsidRPr="00D94787">
        <w:t xml:space="preserve"> Belknap Press of Harvard University Press, 2004)</w:t>
      </w:r>
    </w:p>
    <w:p w14:paraId="1A3B8C58" w14:textId="77777777" w:rsidR="00D94787" w:rsidRPr="00D94787" w:rsidRDefault="00D94787" w:rsidP="00D94787"/>
    <w:p w14:paraId="7983CE94" w14:textId="77777777" w:rsidR="00D94787" w:rsidRPr="00D94787" w:rsidRDefault="00D94787" w:rsidP="00D94787">
      <w:r w:rsidRPr="00D94787">
        <w:t>Bell, Lanny, `Luxor Temple and the Cult of the Royal Ka</w:t>
      </w:r>
      <w:proofErr w:type="gramStart"/>
      <w:r w:rsidRPr="00D94787">
        <w:t>.`</w:t>
      </w:r>
      <w:proofErr w:type="gramEnd"/>
      <w:r w:rsidRPr="00D94787">
        <w:t xml:space="preserve"> in </w:t>
      </w:r>
      <w:r w:rsidRPr="00D94787">
        <w:rPr>
          <w:i/>
        </w:rPr>
        <w:t>Journal of Near Eastern Studies</w:t>
      </w:r>
      <w:r w:rsidRPr="00D94787">
        <w:t>, 44.4 (1985), 251-294</w:t>
      </w:r>
    </w:p>
    <w:p w14:paraId="5098EFF6" w14:textId="77777777" w:rsidR="00D94787" w:rsidRPr="00D94787" w:rsidRDefault="00D94787" w:rsidP="00D94787"/>
    <w:p w14:paraId="163A954C" w14:textId="77777777" w:rsidR="00D94787" w:rsidRPr="00D94787" w:rsidRDefault="00D94787" w:rsidP="00D94787">
      <w:r w:rsidRPr="00D94787">
        <w:t xml:space="preserve">Bell, Lanny, ` The New Kingdom “Divine” Temple: The example of Luxor`, in Bryon E. Shafer, ed. </w:t>
      </w:r>
      <w:r w:rsidRPr="00D94787">
        <w:rPr>
          <w:i/>
        </w:rPr>
        <w:t>Temples of Ancient Egypt</w:t>
      </w:r>
      <w:r w:rsidRPr="00D94787">
        <w:t>, (London and New York: Tauris, 1997) 127-184</w:t>
      </w:r>
    </w:p>
    <w:p w14:paraId="607E51C9" w14:textId="77777777" w:rsidR="00D94787" w:rsidRPr="00D94787" w:rsidRDefault="00D94787" w:rsidP="00D94787"/>
    <w:p w14:paraId="6914694E" w14:textId="77777777" w:rsidR="00D94787" w:rsidRPr="00D94787" w:rsidRDefault="00D94787" w:rsidP="00D94787">
      <w:r w:rsidRPr="00D94787">
        <w:t xml:space="preserve">Bernabé, A., </w:t>
      </w:r>
      <w:proofErr w:type="gramStart"/>
      <w:r w:rsidRPr="00D94787">
        <w:t>The</w:t>
      </w:r>
      <w:proofErr w:type="gramEnd"/>
      <w:r w:rsidRPr="00D94787">
        <w:t xml:space="preserve"> Derveni Theogony: Many Questions and Some Answers, </w:t>
      </w:r>
      <w:r w:rsidRPr="00D94787">
        <w:rPr>
          <w:i/>
        </w:rPr>
        <w:t>Harvard Studies in Classical Philology</w:t>
      </w:r>
      <w:r w:rsidRPr="00D94787">
        <w:t xml:space="preserve">, Vol. 103, (2007), 99-133 </w:t>
      </w:r>
    </w:p>
    <w:p w14:paraId="4F18B4A5" w14:textId="77777777" w:rsidR="00D94787" w:rsidRPr="00D94787" w:rsidRDefault="00D94787" w:rsidP="00D94787"/>
    <w:p w14:paraId="01D6F995" w14:textId="77777777" w:rsidR="00D94787" w:rsidRPr="00D94787" w:rsidRDefault="00D94787" w:rsidP="00D94787">
      <w:r w:rsidRPr="00D94787">
        <w:t xml:space="preserve">Betegh, Gabor, </w:t>
      </w:r>
      <w:proofErr w:type="gramStart"/>
      <w:r w:rsidRPr="00D94787">
        <w:rPr>
          <w:i/>
        </w:rPr>
        <w:t>The</w:t>
      </w:r>
      <w:proofErr w:type="gramEnd"/>
      <w:r w:rsidRPr="00D94787">
        <w:rPr>
          <w:i/>
        </w:rPr>
        <w:t xml:space="preserve"> Derveni Papyrus: Cosmology, Theology and Interpretation</w:t>
      </w:r>
      <w:r w:rsidRPr="00D94787">
        <w:t>, (Cambridge: Cambridge University Press, 2004)</w:t>
      </w:r>
    </w:p>
    <w:p w14:paraId="2F31823A" w14:textId="77777777" w:rsidR="00D94787" w:rsidRPr="00D94787" w:rsidRDefault="00D94787" w:rsidP="00D94787"/>
    <w:p w14:paraId="195DAE49" w14:textId="77777777" w:rsidR="00D94787" w:rsidRPr="00D94787" w:rsidRDefault="00D94787" w:rsidP="00D94787">
      <w:pPr>
        <w:rPr>
          <w:lang w:val="en-US"/>
        </w:rPr>
      </w:pPr>
      <w:r w:rsidRPr="00D94787">
        <w:lastRenderedPageBreak/>
        <w:t xml:space="preserve">Birgittae, Sanctae, </w:t>
      </w:r>
      <w:r w:rsidRPr="00D94787">
        <w:rPr>
          <w:i/>
        </w:rPr>
        <w:t>Revelationes</w:t>
      </w:r>
      <w:r w:rsidRPr="00D94787">
        <w:t xml:space="preserve">, cited by </w:t>
      </w:r>
      <w:r w:rsidRPr="00D94787">
        <w:rPr>
          <w:lang w:val="en-US"/>
        </w:rPr>
        <w:t xml:space="preserve">Millard Meiss, ‘Light as Form and Symbol in Some Fifteenth-Century Paintings.’ </w:t>
      </w:r>
      <w:r w:rsidRPr="00D94787">
        <w:rPr>
          <w:i/>
          <w:iCs/>
          <w:lang w:val="en-US"/>
        </w:rPr>
        <w:t>The Art</w:t>
      </w:r>
      <w:r w:rsidRPr="00D94787">
        <w:rPr>
          <w:lang w:val="en-US"/>
        </w:rPr>
        <w:t xml:space="preserve"> </w:t>
      </w:r>
      <w:r w:rsidRPr="00D94787">
        <w:rPr>
          <w:i/>
          <w:iCs/>
          <w:lang w:val="en-US"/>
        </w:rPr>
        <w:t xml:space="preserve">Bulletin </w:t>
      </w:r>
      <w:r w:rsidRPr="00D94787">
        <w:rPr>
          <w:lang w:val="en-US"/>
        </w:rPr>
        <w:t>27, no. 3 (1945), 175-181</w:t>
      </w:r>
    </w:p>
    <w:p w14:paraId="39F3EE60" w14:textId="77777777" w:rsidR="00D94787" w:rsidRPr="00D94787" w:rsidRDefault="00D94787" w:rsidP="00D94787"/>
    <w:p w14:paraId="5E0CBA21" w14:textId="77777777" w:rsidR="00D94787" w:rsidRPr="00D94787" w:rsidRDefault="00D94787" w:rsidP="00D94787">
      <w:r w:rsidRPr="00D94787">
        <w:t xml:space="preserve">Brisson, Luc, `Sky, Sex and Sun. The Meaning of ===== in the Derveni Papyrus`, </w:t>
      </w:r>
      <w:r w:rsidRPr="00D94787">
        <w:rPr>
          <w:i/>
        </w:rPr>
        <w:t>Zeitschrift fur Papyrologie und Epigraphik, Bd</w:t>
      </w:r>
      <w:r w:rsidRPr="00D94787">
        <w:t>. 144 (2003), 19-29</w:t>
      </w:r>
    </w:p>
    <w:p w14:paraId="294D7B5A" w14:textId="77777777" w:rsidR="00D94787" w:rsidRPr="00D94787" w:rsidRDefault="00D94787" w:rsidP="00D94787"/>
    <w:p w14:paraId="1C81ECBC" w14:textId="77777777" w:rsidR="00D94787" w:rsidRPr="00D94787" w:rsidRDefault="00D94787" w:rsidP="00D94787">
      <w:r w:rsidRPr="00D94787">
        <w:t xml:space="preserve">Burkert, Walter, </w:t>
      </w:r>
      <w:r w:rsidRPr="00D94787">
        <w:rPr>
          <w:i/>
        </w:rPr>
        <w:t>Babylon Memphis Persepolis Eastern Contexts of Greek Culture</w:t>
      </w:r>
      <w:r w:rsidRPr="00D94787">
        <w:t>, (Cambridge, Massachusetts, London: Harvard University Press, 2004)</w:t>
      </w:r>
    </w:p>
    <w:p w14:paraId="3F63B540" w14:textId="77777777" w:rsidR="00D94787" w:rsidRPr="00D94787" w:rsidRDefault="00D94787" w:rsidP="00D94787"/>
    <w:p w14:paraId="6F2D20A1" w14:textId="77777777" w:rsidR="00D94787" w:rsidRPr="00D94787" w:rsidRDefault="00D94787" w:rsidP="00D94787">
      <w:r w:rsidRPr="00D94787">
        <w:t xml:space="preserve">Chrysostom, Saint John, `The Homilies on the Gospel of Saint Matthew`,  in </w:t>
      </w:r>
      <w:r w:rsidRPr="00D94787">
        <w:rPr>
          <w:i/>
        </w:rPr>
        <w:t>Nicine and Post Nicene Fathers of the Christian Church, Volume 10</w:t>
      </w:r>
      <w:r w:rsidRPr="00D94787">
        <w:t>, ed. Philip Schaff, (Grand Rapids, MI: WM. B. Eerdmans Publishing Company, 1888), Christian Classics Ethereal Library, http://www.one-fold.com/Resources/Chrysostom/npnf110.pdf [Accessed on 5th November 2013]</w:t>
      </w:r>
    </w:p>
    <w:p w14:paraId="3149AC29" w14:textId="77777777" w:rsidR="00D94787" w:rsidRPr="00D94787" w:rsidRDefault="00D94787" w:rsidP="00D94787"/>
    <w:p w14:paraId="725E7B7B" w14:textId="77777777" w:rsidR="00D94787" w:rsidRPr="00D94787" w:rsidRDefault="00D94787" w:rsidP="00D94787">
      <w:r w:rsidRPr="00D94787">
        <w:t xml:space="preserve">Darnell, John Coleman, </w:t>
      </w:r>
      <w:r w:rsidRPr="00D94787">
        <w:rPr>
          <w:i/>
        </w:rPr>
        <w:t>The Enigmatic Netherworld Books of the Solar Osirian Unity, Cryptographic Compositions in the Tombs of Tutankhamun, Ramesses VI and Ramesses IX</w:t>
      </w:r>
      <w:r w:rsidRPr="00D94787">
        <w:t xml:space="preserve"> (Gottingen:  Fribourg Vandenhoeck &amp; Ruprecht, Academic Press Fribourg, 2004)</w:t>
      </w:r>
    </w:p>
    <w:p w14:paraId="2DB40EAD" w14:textId="77777777" w:rsidR="00D94787" w:rsidRPr="00D94787" w:rsidRDefault="00D94787" w:rsidP="00D94787"/>
    <w:p w14:paraId="6FA3D963" w14:textId="77777777" w:rsidR="00D94787" w:rsidRPr="00D94787" w:rsidRDefault="00D94787" w:rsidP="00D94787">
      <w:r w:rsidRPr="00D94787">
        <w:t xml:space="preserve">De Trafford A., and G. J. Tassie, `Eroticism and Sexuality in the Old Kingdom`, </w:t>
      </w:r>
      <w:r w:rsidRPr="00D94787">
        <w:rPr>
          <w:i/>
        </w:rPr>
        <w:t>Erotica, Eroticism and Sexuality in Ancient Egypt: Proceedings of the International Congress for Young Egyptologists, Lisbon, Oct. 2006</w:t>
      </w:r>
      <w:r w:rsidRPr="00D94787">
        <w:t>, eds L. M. de Araüjo &amp; J. des Candeas Sales (Lisbon: University of Lisbon, 2009), 1-15</w:t>
      </w:r>
    </w:p>
    <w:p w14:paraId="7BD7A34C" w14:textId="77777777" w:rsidR="00D94787" w:rsidRPr="00D94787" w:rsidRDefault="00D94787" w:rsidP="00D94787"/>
    <w:p w14:paraId="1AA09006" w14:textId="77777777" w:rsidR="00D94787" w:rsidRPr="00D94787" w:rsidRDefault="00D94787" w:rsidP="00D94787">
      <w:r w:rsidRPr="00D94787">
        <w:t xml:space="preserve">Derbes, Anne and Mark Sandona, `Barren Metal and the Fruitful Womb: The Program of Giotto's Arena Chapel in Padua`, </w:t>
      </w:r>
      <w:proofErr w:type="gramStart"/>
      <w:r w:rsidRPr="00D94787">
        <w:rPr>
          <w:i/>
        </w:rPr>
        <w:t>The</w:t>
      </w:r>
      <w:proofErr w:type="gramEnd"/>
      <w:r w:rsidRPr="00D94787">
        <w:rPr>
          <w:i/>
        </w:rPr>
        <w:t xml:space="preserve"> Art Bulletin</w:t>
      </w:r>
      <w:r w:rsidRPr="00D94787">
        <w:t>, Vol. 80. No. 2 (June 1998), 274-91</w:t>
      </w:r>
    </w:p>
    <w:p w14:paraId="1CC201EF" w14:textId="77777777" w:rsidR="00D94787" w:rsidRPr="00D94787" w:rsidRDefault="00D94787" w:rsidP="00D94787"/>
    <w:p w14:paraId="59D0F9CD" w14:textId="77777777" w:rsidR="00D94787" w:rsidRPr="00D94787" w:rsidRDefault="00D94787" w:rsidP="00D94787">
      <w:r w:rsidRPr="00D94787">
        <w:t xml:space="preserve">Dods, M., trans, </w:t>
      </w:r>
      <w:r w:rsidRPr="00D94787">
        <w:rPr>
          <w:i/>
        </w:rPr>
        <w:t>Irenaeus, Ante-Nicene Fathers Vol 1, The Apostolic Fathers with Justin Martyr and Irenaeus,</w:t>
      </w:r>
      <w:r w:rsidRPr="00D94787">
        <w:t xml:space="preserve"> ed. Alexander Roberts, James Donaldson and Arthur Cleveland Coxe, http://www.ccel.org/ccel/schaff/anf01.viii.viii.iii.html  [accessed 21/4/2014]</w:t>
      </w:r>
    </w:p>
    <w:p w14:paraId="410C0E5B" w14:textId="77777777" w:rsidR="00D94787" w:rsidRPr="00D94787" w:rsidRDefault="00D94787" w:rsidP="00D94787"/>
    <w:p w14:paraId="068F8D95" w14:textId="77777777" w:rsidR="00D94787" w:rsidRPr="00D94787" w:rsidRDefault="00D94787" w:rsidP="00D94787">
      <w:r w:rsidRPr="00D94787">
        <w:lastRenderedPageBreak/>
        <w:t xml:space="preserve">Dolger, Franz. J., </w:t>
      </w:r>
      <w:r w:rsidRPr="00D94787">
        <w:rPr>
          <w:i/>
        </w:rPr>
        <w:t>Sol Salutis. Gebet und Gesnag im Christlichen Altertum</w:t>
      </w:r>
      <w:r w:rsidRPr="00D94787">
        <w:t xml:space="preserve"> in E. Kirschbaum, </w:t>
      </w:r>
      <w:r w:rsidRPr="00D94787">
        <w:rPr>
          <w:i/>
        </w:rPr>
        <w:t>The Tombs of St Peter and St Paul</w:t>
      </w:r>
      <w:r w:rsidRPr="00D94787">
        <w:t>, tr. J. Murray, (London: Secker and Warburg, 1959)</w:t>
      </w:r>
    </w:p>
    <w:p w14:paraId="4C373C69" w14:textId="77777777" w:rsidR="00D94787" w:rsidRPr="00D94787" w:rsidRDefault="00D94787" w:rsidP="00D94787"/>
    <w:p w14:paraId="7E155338" w14:textId="77777777" w:rsidR="00D94787" w:rsidRPr="00D94787" w:rsidRDefault="00D94787" w:rsidP="00D94787">
      <w:r w:rsidRPr="00D94787">
        <w:t xml:space="preserve">Eliade, Mircea, `Egyptian Religion`, in </w:t>
      </w:r>
      <w:r w:rsidRPr="00D94787">
        <w:rPr>
          <w:i/>
        </w:rPr>
        <w:t>The Encyclopaedia of Religion, Vol. 5</w:t>
      </w:r>
      <w:r w:rsidRPr="00D94787">
        <w:t>, editor-in-chief Mircea Eliade (New York: Macmillan Publishing Co. 1987)</w:t>
      </w:r>
    </w:p>
    <w:p w14:paraId="13268BB3" w14:textId="77777777" w:rsidR="00D94787" w:rsidRPr="00D94787" w:rsidRDefault="00D94787" w:rsidP="00D94787"/>
    <w:p w14:paraId="48CA0B59" w14:textId="77777777" w:rsidR="00D94787" w:rsidRPr="00D94787" w:rsidRDefault="00D94787" w:rsidP="00D94787">
      <w:r w:rsidRPr="00D94787">
        <w:t xml:space="preserve">Eliade, Mircea, </w:t>
      </w:r>
      <w:r w:rsidRPr="00D94787">
        <w:rPr>
          <w:i/>
        </w:rPr>
        <w:t>Patterns in Comparative Religion</w:t>
      </w:r>
      <w:r w:rsidRPr="00D94787">
        <w:t>, (Nebraska: University of Nebraska Press and Bison Books, 1996)</w:t>
      </w:r>
    </w:p>
    <w:p w14:paraId="0A222D74" w14:textId="77777777" w:rsidR="00D94787" w:rsidRPr="00D94787" w:rsidRDefault="00D94787" w:rsidP="00D94787"/>
    <w:p w14:paraId="5C365FA1" w14:textId="77777777" w:rsidR="00D94787" w:rsidRPr="00D94787" w:rsidRDefault="00D94787" w:rsidP="00D94787">
      <w:r w:rsidRPr="00D94787">
        <w:t xml:space="preserve">Eliade Mircea, `Phallus`, </w:t>
      </w:r>
      <w:proofErr w:type="gramStart"/>
      <w:r w:rsidRPr="00D94787">
        <w:rPr>
          <w:i/>
        </w:rPr>
        <w:t>The</w:t>
      </w:r>
      <w:proofErr w:type="gramEnd"/>
      <w:r w:rsidRPr="00D94787">
        <w:rPr>
          <w:i/>
        </w:rPr>
        <w:t xml:space="preserve"> Encyclopedia of Religion</w:t>
      </w:r>
      <w:r w:rsidRPr="00D94787">
        <w:t>, Vol. 13 (New York: Macmillan Publishing Co. 1987) 263-269</w:t>
      </w:r>
    </w:p>
    <w:p w14:paraId="2CFF8EF0" w14:textId="77777777" w:rsidR="00D94787" w:rsidRPr="00D94787" w:rsidRDefault="00D94787" w:rsidP="00D94787"/>
    <w:p w14:paraId="631B52CB" w14:textId="77777777" w:rsidR="00D94787" w:rsidRPr="00D94787" w:rsidRDefault="00D94787" w:rsidP="00D94787">
      <w:r w:rsidRPr="00D94787">
        <w:t xml:space="preserve">Eliade, Mircea, `Sexuality`, in </w:t>
      </w:r>
      <w:proofErr w:type="gramStart"/>
      <w:r w:rsidRPr="00D94787">
        <w:rPr>
          <w:i/>
        </w:rPr>
        <w:t>The</w:t>
      </w:r>
      <w:proofErr w:type="gramEnd"/>
      <w:r w:rsidRPr="00D94787">
        <w:rPr>
          <w:i/>
        </w:rPr>
        <w:t xml:space="preserve"> Encyclopaedia of Religion</w:t>
      </w:r>
      <w:r w:rsidRPr="00D94787">
        <w:t>, Vol. 13, (New York: Macmillan Publishing Co. 1987) 184-188</w:t>
      </w:r>
    </w:p>
    <w:p w14:paraId="2A442C22" w14:textId="77777777" w:rsidR="00D94787" w:rsidRPr="00D94787" w:rsidRDefault="00D94787" w:rsidP="00D94787"/>
    <w:p w14:paraId="145DEDE5" w14:textId="77777777" w:rsidR="00D94787" w:rsidRPr="00D94787" w:rsidRDefault="00D94787" w:rsidP="00D94787">
      <w:r w:rsidRPr="00D94787">
        <w:t xml:space="preserve">Eliade, Mircea, `Spirit, Light and Seed`, </w:t>
      </w:r>
      <w:r w:rsidRPr="00D94787">
        <w:rPr>
          <w:i/>
        </w:rPr>
        <w:t>History of Religions</w:t>
      </w:r>
      <w:r w:rsidRPr="00D94787">
        <w:t>, Vol. 11, No. 1, (Aug 1971), 1-30</w:t>
      </w:r>
    </w:p>
    <w:p w14:paraId="727C1FFD" w14:textId="77777777" w:rsidR="00D94787" w:rsidRPr="00D94787" w:rsidRDefault="00D94787" w:rsidP="00D94787"/>
    <w:p w14:paraId="1EE416C9" w14:textId="77777777" w:rsidR="00D94787" w:rsidRPr="00D94787" w:rsidRDefault="00D94787" w:rsidP="00D94787">
      <w:r w:rsidRPr="00D94787">
        <w:t xml:space="preserve">Faulkner, R. O., </w:t>
      </w:r>
      <w:proofErr w:type="gramStart"/>
      <w:r w:rsidRPr="00D94787">
        <w:rPr>
          <w:i/>
        </w:rPr>
        <w:t>The</w:t>
      </w:r>
      <w:proofErr w:type="gramEnd"/>
      <w:r w:rsidRPr="00D94787">
        <w:rPr>
          <w:i/>
        </w:rPr>
        <w:t xml:space="preserve"> Ancient Egyptian Coffin Texts Vol. 1</w:t>
      </w:r>
      <w:r w:rsidRPr="00D94787">
        <w:t xml:space="preserve">, (Warminster: Aris and Phillips Ltd., 1994) </w:t>
      </w:r>
    </w:p>
    <w:p w14:paraId="2F4AE9D3" w14:textId="77777777" w:rsidR="00D94787" w:rsidRPr="00D94787" w:rsidRDefault="00D94787" w:rsidP="00D94787"/>
    <w:p w14:paraId="67F8FE18" w14:textId="77777777" w:rsidR="00D94787" w:rsidRPr="00D94787" w:rsidRDefault="00D94787" w:rsidP="00D94787">
      <w:r w:rsidRPr="00D94787">
        <w:t xml:space="preserve">Faulkner, R.O., </w:t>
      </w:r>
      <w:proofErr w:type="gramStart"/>
      <w:r w:rsidRPr="00D94787">
        <w:rPr>
          <w:i/>
        </w:rPr>
        <w:t>The</w:t>
      </w:r>
      <w:proofErr w:type="gramEnd"/>
      <w:r w:rsidRPr="00D94787">
        <w:rPr>
          <w:i/>
        </w:rPr>
        <w:t xml:space="preserve"> Ancient Egyptian Coffin Texts Vol. II</w:t>
      </w:r>
      <w:r w:rsidRPr="00D94787">
        <w:t>, (Warminster: Aris and Phillips Ltd., 1994)</w:t>
      </w:r>
    </w:p>
    <w:p w14:paraId="5638D2A2" w14:textId="77777777" w:rsidR="00D94787" w:rsidRPr="00D94787" w:rsidRDefault="00D94787" w:rsidP="00D94787"/>
    <w:p w14:paraId="5CF56A9D" w14:textId="77777777" w:rsidR="00D94787" w:rsidRPr="00D94787" w:rsidRDefault="00D94787" w:rsidP="00D94787">
      <w:r w:rsidRPr="00D94787">
        <w:t xml:space="preserve">Freeman, Margaret, `The Iconography of the Merode Altarpiece`, </w:t>
      </w:r>
      <w:r w:rsidRPr="00D94787">
        <w:rPr>
          <w:i/>
          <w:iCs/>
        </w:rPr>
        <w:t xml:space="preserve">The Metropolitan Museum of Art </w:t>
      </w:r>
      <w:proofErr w:type="gramStart"/>
      <w:r w:rsidRPr="00D94787">
        <w:rPr>
          <w:i/>
          <w:iCs/>
        </w:rPr>
        <w:t>Bulletin</w:t>
      </w:r>
      <w:r w:rsidRPr="00D94787">
        <w:t xml:space="preserve"> ,</w:t>
      </w:r>
      <w:proofErr w:type="gramEnd"/>
      <w:r w:rsidRPr="00D94787">
        <w:t xml:space="preserve"> New Series, Vol. 16, No. 4 (Dec., 1957) , 130-139</w:t>
      </w:r>
    </w:p>
    <w:p w14:paraId="4E07FA1A" w14:textId="77777777" w:rsidR="00D94787" w:rsidRPr="00D94787" w:rsidRDefault="00D94787" w:rsidP="00D94787"/>
    <w:p w14:paraId="231294F5" w14:textId="77777777" w:rsidR="00D94787" w:rsidRPr="00D94787" w:rsidRDefault="00D94787" w:rsidP="00D94787">
      <w:pPr>
        <w:rPr>
          <w:vertAlign w:val="superscript"/>
        </w:rPr>
      </w:pPr>
      <w:r w:rsidRPr="00D94787">
        <w:t xml:space="preserve">Hart, George, </w:t>
      </w:r>
      <w:proofErr w:type="gramStart"/>
      <w:r w:rsidRPr="00D94787">
        <w:rPr>
          <w:i/>
        </w:rPr>
        <w:t>A</w:t>
      </w:r>
      <w:proofErr w:type="gramEnd"/>
      <w:r w:rsidRPr="00D94787">
        <w:rPr>
          <w:i/>
        </w:rPr>
        <w:t xml:space="preserve"> Dictionary of Egyptian Gods and Goddesses</w:t>
      </w:r>
      <w:r w:rsidRPr="00D94787">
        <w:t>, (London: Routledge and Kegan Paul Inc., 1986)</w:t>
      </w:r>
      <w:r w:rsidRPr="00D94787">
        <w:rPr>
          <w:vertAlign w:val="superscript"/>
        </w:rPr>
        <w:t xml:space="preserve"> </w:t>
      </w:r>
    </w:p>
    <w:p w14:paraId="1AE948DB" w14:textId="77777777" w:rsidR="00D94787" w:rsidRPr="00D94787" w:rsidRDefault="00D94787" w:rsidP="00D94787">
      <w:r w:rsidRPr="00D94787">
        <w:t xml:space="preserve"> </w:t>
      </w:r>
    </w:p>
    <w:p w14:paraId="029CC8D6" w14:textId="77777777" w:rsidR="00D94787" w:rsidRPr="00D94787" w:rsidRDefault="00D94787" w:rsidP="00D94787">
      <w:r w:rsidRPr="00D94787">
        <w:t xml:space="preserve">Hart, George, </w:t>
      </w:r>
      <w:proofErr w:type="gramStart"/>
      <w:r w:rsidRPr="00D94787">
        <w:rPr>
          <w:i/>
        </w:rPr>
        <w:t>The</w:t>
      </w:r>
      <w:proofErr w:type="gramEnd"/>
      <w:r w:rsidRPr="00D94787">
        <w:rPr>
          <w:i/>
        </w:rPr>
        <w:t xml:space="preserve"> Routledge Dictionary of Egyptian Gods and Goddesses</w:t>
      </w:r>
      <w:r w:rsidRPr="00D94787">
        <w:t>, (London: Routledge and Kegan Paul Inc., 2005)</w:t>
      </w:r>
    </w:p>
    <w:p w14:paraId="53D173F6" w14:textId="77777777" w:rsidR="00D94787" w:rsidRPr="00D94787" w:rsidRDefault="00D94787" w:rsidP="00D94787"/>
    <w:p w14:paraId="255A8361" w14:textId="77777777" w:rsidR="00D94787" w:rsidRPr="00D94787" w:rsidRDefault="00D94787" w:rsidP="00D94787">
      <w:r w:rsidRPr="00D94787">
        <w:t xml:space="preserve">Hartland, E.S., `Phallism`, </w:t>
      </w:r>
      <w:r w:rsidRPr="00D94787">
        <w:rPr>
          <w:i/>
        </w:rPr>
        <w:t>Encyclopaedia of Religion and Ethics</w:t>
      </w:r>
      <w:r w:rsidRPr="00D94787">
        <w:t>, ed. J. Hastings, vol. 9 (New York, 1917) 815-831</w:t>
      </w:r>
    </w:p>
    <w:p w14:paraId="1C6EF702" w14:textId="77777777" w:rsidR="00D94787" w:rsidRPr="00D94787" w:rsidRDefault="00D94787" w:rsidP="00D94787"/>
    <w:p w14:paraId="6806C83D" w14:textId="77777777" w:rsidR="00D94787" w:rsidRPr="00D94787" w:rsidRDefault="00D94787" w:rsidP="00D94787">
      <w:r w:rsidRPr="00D94787">
        <w:t xml:space="preserve">Hartland, E. S., </w:t>
      </w:r>
      <w:r w:rsidRPr="00D94787">
        <w:rPr>
          <w:i/>
        </w:rPr>
        <w:t>Primitive Paternity, the Myth of Supernatural Birth In Relation to the History of the Family</w:t>
      </w:r>
      <w:r w:rsidRPr="00D94787">
        <w:t xml:space="preserve">, (London: David Nutt, 1909) p. v. </w:t>
      </w:r>
      <w:r w:rsidRPr="00D94787">
        <w:lastRenderedPageBreak/>
        <w:t>https://archive.org/stream/primitivepaterni01hart#page/n9/mode/2up</w:t>
      </w:r>
    </w:p>
    <w:p w14:paraId="673CB50F" w14:textId="77777777" w:rsidR="00D94787" w:rsidRPr="00D94787" w:rsidRDefault="00D94787" w:rsidP="00D94787"/>
    <w:p w14:paraId="1EFAE5AE" w14:textId="77777777" w:rsidR="00D94787" w:rsidRPr="00D94787" w:rsidRDefault="00D94787" w:rsidP="00D94787">
      <w:r w:rsidRPr="00D94787">
        <w:t xml:space="preserve">Hays, Harold M., trans., </w:t>
      </w:r>
      <w:proofErr w:type="gramStart"/>
      <w:r w:rsidRPr="00D94787">
        <w:rPr>
          <w:i/>
        </w:rPr>
        <w:t>The</w:t>
      </w:r>
      <w:proofErr w:type="gramEnd"/>
      <w:r w:rsidRPr="00D94787">
        <w:rPr>
          <w:i/>
        </w:rPr>
        <w:t xml:space="preserve"> Organization of the Pyramid Texts Typology and Disposition, Vol. 2.</w:t>
      </w:r>
      <w:r w:rsidRPr="00D94787">
        <w:t xml:space="preserve"> (The Netherlands: Koninklijke Brill, 2012)</w:t>
      </w:r>
    </w:p>
    <w:p w14:paraId="1A4A06E6" w14:textId="77777777" w:rsidR="00D94787" w:rsidRPr="00D94787" w:rsidRDefault="00D94787" w:rsidP="00D94787"/>
    <w:p w14:paraId="24F7725C" w14:textId="77777777" w:rsidR="00D94787" w:rsidRPr="00D94787" w:rsidRDefault="00D94787" w:rsidP="00D94787">
      <w:r w:rsidRPr="00D94787">
        <w:t xml:space="preserve">Herodotus, </w:t>
      </w:r>
      <w:r w:rsidRPr="00D94787">
        <w:rPr>
          <w:i/>
        </w:rPr>
        <w:t>The History of Herodotus</w:t>
      </w:r>
      <w:r w:rsidRPr="00D94787">
        <w:t>, trans. by G. C. Macauley,</w:t>
      </w:r>
      <w:r w:rsidRPr="00D94787">
        <w:rPr>
          <w:i/>
        </w:rPr>
        <w:t xml:space="preserve"> </w:t>
      </w:r>
      <w:r w:rsidRPr="00D94787">
        <w:t xml:space="preserve">(London and New York: Macmillan, 1890), http://www.sacred-texts.com/cla/hh/hh2140.htm [accessed 26/3/2014] </w:t>
      </w:r>
    </w:p>
    <w:p w14:paraId="43EAEDDE" w14:textId="77777777" w:rsidR="00D94787" w:rsidRPr="00D94787" w:rsidRDefault="00D94787" w:rsidP="00D94787"/>
    <w:p w14:paraId="26B42B33" w14:textId="77777777" w:rsidR="00D94787" w:rsidRPr="00D94787" w:rsidRDefault="00D94787" w:rsidP="00D94787">
      <w:r w:rsidRPr="00D94787">
        <w:t xml:space="preserve">Hesiod, </w:t>
      </w:r>
      <w:r w:rsidRPr="00D94787">
        <w:rPr>
          <w:i/>
        </w:rPr>
        <w:t>The Theogony</w:t>
      </w:r>
      <w:r w:rsidRPr="00D94787">
        <w:t>, trans. Hugh Evelyn-White, http://www.sacred-texts.com/cla/hesiod/theogony.htm [accessed 14/4/2014]</w:t>
      </w:r>
    </w:p>
    <w:p w14:paraId="68EA1D4A" w14:textId="77777777" w:rsidR="00D94787" w:rsidRPr="00D94787" w:rsidRDefault="00D94787" w:rsidP="00D94787"/>
    <w:p w14:paraId="787290F2" w14:textId="77777777" w:rsidR="00D94787" w:rsidRPr="00D94787" w:rsidRDefault="00D94787" w:rsidP="00D94787">
      <w:r w:rsidRPr="00D94787">
        <w:t xml:space="preserve">Hirn Y., </w:t>
      </w:r>
      <w:r w:rsidRPr="00D94787">
        <w:rPr>
          <w:i/>
        </w:rPr>
        <w:t xml:space="preserve">The Sacred Shrine </w:t>
      </w:r>
      <w:proofErr w:type="gramStart"/>
      <w:r w:rsidRPr="00D94787">
        <w:rPr>
          <w:i/>
        </w:rPr>
        <w:t>A</w:t>
      </w:r>
      <w:proofErr w:type="gramEnd"/>
      <w:r w:rsidRPr="00D94787">
        <w:rPr>
          <w:i/>
        </w:rPr>
        <w:t xml:space="preserve"> Study of the Poetry and Art of the Catholic Church</w:t>
      </w:r>
      <w:r w:rsidRPr="00D94787">
        <w:t xml:space="preserve">, (Boston: Beacon Press, 1957), pp. 342 – 344, available at https://archive.org/stream/sacredshrineastu008402mbp#page/n307/mode/2up/search/the+annunciation [accessed: 1st November 2013] </w:t>
      </w:r>
    </w:p>
    <w:p w14:paraId="5E2F97C9" w14:textId="77777777" w:rsidR="00D94787" w:rsidRPr="00D94787" w:rsidRDefault="00D94787" w:rsidP="00D94787"/>
    <w:p w14:paraId="62DEEE3B" w14:textId="77777777" w:rsidR="00D94787" w:rsidRPr="00D94787" w:rsidRDefault="00D94787" w:rsidP="00D94787">
      <w:r w:rsidRPr="00D94787">
        <w:t xml:space="preserve">Hornblower, G. D., `Min and His Functions`, </w:t>
      </w:r>
      <w:r w:rsidRPr="00D94787">
        <w:rPr>
          <w:i/>
        </w:rPr>
        <w:t>MAN</w:t>
      </w:r>
      <w:r w:rsidRPr="00D94787">
        <w:t xml:space="preserve">, vol. 46 (1946), 113-121 </w:t>
      </w:r>
    </w:p>
    <w:p w14:paraId="1D664313" w14:textId="77777777" w:rsidR="00D94787" w:rsidRPr="00D94787" w:rsidRDefault="00D94787" w:rsidP="00D94787"/>
    <w:p w14:paraId="7727EA1E" w14:textId="77777777" w:rsidR="00D94787" w:rsidRPr="00D94787" w:rsidRDefault="00D94787" w:rsidP="00D94787">
      <w:r w:rsidRPr="00D94787">
        <w:t xml:space="preserve">Hornung, Erik, </w:t>
      </w:r>
      <w:proofErr w:type="gramStart"/>
      <w:r w:rsidRPr="00D94787">
        <w:rPr>
          <w:i/>
        </w:rPr>
        <w:t>The</w:t>
      </w:r>
      <w:proofErr w:type="gramEnd"/>
      <w:r w:rsidRPr="00D94787">
        <w:rPr>
          <w:i/>
        </w:rPr>
        <w:t xml:space="preserve"> Ancient Egyptian Books of the Afterlife</w:t>
      </w:r>
      <w:r w:rsidRPr="00D94787">
        <w:t xml:space="preserve">, (New York: Cornell University Press, 1999) </w:t>
      </w:r>
    </w:p>
    <w:p w14:paraId="514D8645" w14:textId="77777777" w:rsidR="00D94787" w:rsidRPr="00D94787" w:rsidRDefault="00D94787" w:rsidP="00D94787"/>
    <w:p w14:paraId="2624EB32" w14:textId="77777777" w:rsidR="00D94787" w:rsidRPr="00D94787" w:rsidRDefault="00D94787" w:rsidP="00D94787">
      <w:r w:rsidRPr="00D94787">
        <w:t xml:space="preserve">Jacobus, Laura, `Giotto’s Annunciation in the Arena Chapel, Padua`, </w:t>
      </w:r>
      <w:r w:rsidRPr="00D94787">
        <w:rPr>
          <w:i/>
        </w:rPr>
        <w:t>The Art Bulletin</w:t>
      </w:r>
      <w:r w:rsidRPr="00D94787">
        <w:t>, Vol. 81. No. 1 (Mar. 1999), 93-107</w:t>
      </w:r>
    </w:p>
    <w:p w14:paraId="715FA6BE" w14:textId="77777777" w:rsidR="00D94787" w:rsidRPr="00D94787" w:rsidRDefault="00D94787" w:rsidP="00D94787"/>
    <w:p w14:paraId="7D8CAF18" w14:textId="77777777" w:rsidR="00D94787" w:rsidRPr="00D94787" w:rsidRDefault="00D94787" w:rsidP="00D94787">
      <w:r w:rsidRPr="00D94787">
        <w:t xml:space="preserve">Janko, R., Review of the Derveni Papyrus, </w:t>
      </w:r>
      <w:r w:rsidRPr="00D94787">
        <w:rPr>
          <w:i/>
        </w:rPr>
        <w:t>Bryn Mawr Classical Review</w:t>
      </w:r>
      <w:r w:rsidRPr="00D94787">
        <w:t xml:space="preserve"> 2006.10.29, http://bmcr.brynmawr.edu/2006/2006-10-29.html [accessed 15th October 2013]</w:t>
      </w:r>
    </w:p>
    <w:p w14:paraId="19263776" w14:textId="77777777" w:rsidR="00D94787" w:rsidRPr="00D94787" w:rsidRDefault="00D94787" w:rsidP="00D94787"/>
    <w:p w14:paraId="6A2A7A90" w14:textId="77777777" w:rsidR="00D94787" w:rsidRPr="00D94787" w:rsidRDefault="00D94787" w:rsidP="00D94787">
      <w:r w:rsidRPr="00D94787">
        <w:t xml:space="preserve">Jennings, Hargrave, </w:t>
      </w:r>
      <w:r w:rsidRPr="00D94787">
        <w:rPr>
          <w:i/>
        </w:rPr>
        <w:t>Phallism: A Description of the Worship of Lingam-Yoni in Various Parts of the World, and in Different Ages, with an Account of Ancient &amp; Modern Crosses Particularly of the Crux Ansata and Other Symbols Connected with the Mysteries of Sex Worship</w:t>
      </w:r>
      <w:r w:rsidRPr="00D94787">
        <w:t xml:space="preserve"> (London: 1889)  p.1. https://archive.org/stream/phallismadescri00jenngoog#page/n3/mode/2up</w:t>
      </w:r>
    </w:p>
    <w:p w14:paraId="7AACD833" w14:textId="77777777" w:rsidR="00D94787" w:rsidRPr="00D94787" w:rsidRDefault="00D94787" w:rsidP="00D94787"/>
    <w:p w14:paraId="53EF2053" w14:textId="77777777" w:rsidR="00D94787" w:rsidRPr="00D94787" w:rsidRDefault="00D94787" w:rsidP="00D94787">
      <w:r w:rsidRPr="00D94787">
        <w:lastRenderedPageBreak/>
        <w:t xml:space="preserve">Johnson, S. I., `Mysteries,` in </w:t>
      </w:r>
      <w:r w:rsidRPr="00D94787">
        <w:rPr>
          <w:i/>
        </w:rPr>
        <w:t>Religions of the Ancient World</w:t>
      </w:r>
      <w:r w:rsidRPr="00D94787">
        <w:t>, ed. S. Johnston (Cambridge, MA, The Belknap Press of Harvard University Press, 2004)</w:t>
      </w:r>
    </w:p>
    <w:p w14:paraId="17B7FD7A" w14:textId="77777777" w:rsidR="00D94787" w:rsidRPr="00D94787" w:rsidRDefault="00D94787" w:rsidP="00D94787">
      <w:r w:rsidRPr="00D94787">
        <w:t xml:space="preserve"> </w:t>
      </w:r>
    </w:p>
    <w:p w14:paraId="0883E553" w14:textId="77777777" w:rsidR="00D94787" w:rsidRPr="00D94787" w:rsidRDefault="00D94787" w:rsidP="00D94787">
      <w:r w:rsidRPr="00D94787">
        <w:t xml:space="preserve">Khalil, Ihab, `“I Was Not Built Up in the Womb, I Was Not Knit Together in the Egg, I was Not Concieved”: The Christian Doctrine of the Eternal Generation of the Son in Its Egyptian Context`, </w:t>
      </w:r>
      <w:r w:rsidRPr="00D94787">
        <w:rPr>
          <w:i/>
        </w:rPr>
        <w:t>Journal of the Canadian Society for Coptic Studies</w:t>
      </w:r>
      <w:r w:rsidRPr="00D94787">
        <w:t>, 6, (2014), 9-24</w:t>
      </w:r>
    </w:p>
    <w:p w14:paraId="470156E0" w14:textId="77777777" w:rsidR="00D94787" w:rsidRPr="00D94787" w:rsidRDefault="00D94787" w:rsidP="00D94787"/>
    <w:p w14:paraId="196EB248" w14:textId="77777777" w:rsidR="00D94787" w:rsidRPr="00D94787" w:rsidRDefault="00D94787" w:rsidP="00D94787">
      <w:r w:rsidRPr="00D94787">
        <w:t>King James Version, `The Holy Bible`, 1611 ed. http://www.kingjamesbibleonline.org</w:t>
      </w:r>
    </w:p>
    <w:p w14:paraId="46BA4501" w14:textId="77777777" w:rsidR="00D94787" w:rsidRPr="00D94787" w:rsidRDefault="00D94787" w:rsidP="00D94787"/>
    <w:p w14:paraId="72F610D3" w14:textId="77777777" w:rsidR="00D94787" w:rsidRPr="00D94787" w:rsidRDefault="00D94787" w:rsidP="00D94787">
      <w:r w:rsidRPr="00D94787">
        <w:t xml:space="preserve">Kirschbaum, E. </w:t>
      </w:r>
      <w:r w:rsidRPr="00D94787">
        <w:rPr>
          <w:i/>
        </w:rPr>
        <w:t>The Tombs of St Peter and St Paul</w:t>
      </w:r>
      <w:r w:rsidRPr="00D94787">
        <w:t xml:space="preserve">, tr. J. Murray, (London: Secker and Warburg, 1959) </w:t>
      </w:r>
    </w:p>
    <w:p w14:paraId="64F06A35" w14:textId="77777777" w:rsidR="00D94787" w:rsidRPr="00D94787" w:rsidRDefault="00D94787" w:rsidP="00D94787"/>
    <w:p w14:paraId="76276152" w14:textId="77777777" w:rsidR="00D94787" w:rsidRPr="00D94787" w:rsidRDefault="00D94787" w:rsidP="00D94787">
      <w:r w:rsidRPr="00D94787">
        <w:t xml:space="preserve">Kirk G. S., J. E. Raven and M. Scofield, </w:t>
      </w:r>
      <w:proofErr w:type="gramStart"/>
      <w:r w:rsidRPr="00D94787">
        <w:rPr>
          <w:i/>
        </w:rPr>
        <w:t>The</w:t>
      </w:r>
      <w:proofErr w:type="gramEnd"/>
      <w:r w:rsidRPr="00D94787">
        <w:rPr>
          <w:i/>
        </w:rPr>
        <w:t xml:space="preserve"> Presocratic Philosophers: A Critical History with a Selection of Texts</w:t>
      </w:r>
      <w:r w:rsidRPr="00D94787">
        <w:t>, (Cambridge: The University of Cambridge, 1957 and 1983)</w:t>
      </w:r>
    </w:p>
    <w:p w14:paraId="5FCD8079" w14:textId="77777777" w:rsidR="00D94787" w:rsidRPr="00D94787" w:rsidRDefault="00D94787" w:rsidP="00D94787"/>
    <w:p w14:paraId="69C67B32" w14:textId="77777777" w:rsidR="00D94787" w:rsidRPr="00D94787" w:rsidRDefault="00D94787" w:rsidP="00D94787">
      <w:r w:rsidRPr="00D94787">
        <w:t xml:space="preserve">Kouremenos, Theokritos, and George M. Parássoglou, Kyriakos Tsantsanoglou, </w:t>
      </w:r>
      <w:proofErr w:type="gramStart"/>
      <w:r w:rsidRPr="00D94787">
        <w:rPr>
          <w:i/>
        </w:rPr>
        <w:t>The</w:t>
      </w:r>
      <w:proofErr w:type="gramEnd"/>
      <w:r w:rsidRPr="00D94787">
        <w:rPr>
          <w:i/>
        </w:rPr>
        <w:t xml:space="preserve"> Derveni Papyrus</w:t>
      </w:r>
      <w:r w:rsidRPr="00D94787">
        <w:t>, (Florence: Casa Editrice Leo S. Olschki, 2006)</w:t>
      </w:r>
    </w:p>
    <w:p w14:paraId="7E7113D0" w14:textId="77777777" w:rsidR="00D94787" w:rsidRPr="00D94787" w:rsidRDefault="00D94787" w:rsidP="00D94787"/>
    <w:p w14:paraId="53120CEB" w14:textId="77777777" w:rsidR="00D94787" w:rsidRPr="00D94787" w:rsidRDefault="00D94787" w:rsidP="00D94787">
      <w:r w:rsidRPr="00D94787">
        <w:t>Leitao</w:t>
      </w:r>
      <w:proofErr w:type="gramStart"/>
      <w:r w:rsidRPr="00D94787">
        <w:t>,David</w:t>
      </w:r>
      <w:proofErr w:type="gramEnd"/>
      <w:r w:rsidRPr="00D94787">
        <w:t xml:space="preserve">, </w:t>
      </w:r>
      <w:r w:rsidRPr="00D94787">
        <w:rPr>
          <w:i/>
        </w:rPr>
        <w:t xml:space="preserve"> The Pregnant Male as Myth and Metaphor in Classical Greek Literature,</w:t>
      </w:r>
      <w:r w:rsidRPr="00D94787">
        <w:t xml:space="preserve"> (Cambridge: Cambridge University Press, 2012)</w:t>
      </w:r>
    </w:p>
    <w:p w14:paraId="76868509" w14:textId="77777777" w:rsidR="00D94787" w:rsidRPr="00D94787" w:rsidRDefault="00D94787" w:rsidP="00D94787"/>
    <w:p w14:paraId="21AA992A" w14:textId="77777777" w:rsidR="00D94787" w:rsidRPr="00D94787" w:rsidRDefault="00D94787" w:rsidP="00D94787">
      <w:r w:rsidRPr="00D94787">
        <w:t xml:space="preserve">Lesher, James, </w:t>
      </w:r>
      <w:r w:rsidRPr="00D94787">
        <w:rPr>
          <w:i/>
        </w:rPr>
        <w:t>Xenophanes of Colophon</w:t>
      </w:r>
      <w:r w:rsidRPr="00D94787">
        <w:t xml:space="preserve">, (Toronto, Buffalo, London: University of Toronto Press Inc. 1992 and 2001) </w:t>
      </w:r>
    </w:p>
    <w:p w14:paraId="28C2B381" w14:textId="77777777" w:rsidR="00D94787" w:rsidRPr="00D94787" w:rsidRDefault="00D94787" w:rsidP="00D94787"/>
    <w:p w14:paraId="506D2E22" w14:textId="77777777" w:rsidR="00D94787" w:rsidRPr="00D94787" w:rsidRDefault="00D94787" w:rsidP="00D94787">
      <w:r w:rsidRPr="00D94787">
        <w:t xml:space="preserve">Lévêque, Pierre, </w:t>
      </w:r>
      <w:proofErr w:type="gramStart"/>
      <w:r w:rsidRPr="00D94787">
        <w:rPr>
          <w:i/>
        </w:rPr>
        <w:t>The</w:t>
      </w:r>
      <w:proofErr w:type="gramEnd"/>
      <w:r w:rsidRPr="00D94787">
        <w:rPr>
          <w:i/>
        </w:rPr>
        <w:t xml:space="preserve"> Greek Adventure</w:t>
      </w:r>
      <w:r w:rsidRPr="00D94787">
        <w:t>, trans. Miriam Kochan (London: Weidenfeld and Nicolson, 1968)</w:t>
      </w:r>
    </w:p>
    <w:p w14:paraId="078FB921" w14:textId="77777777" w:rsidR="00D94787" w:rsidRPr="00D94787" w:rsidRDefault="00D94787" w:rsidP="00D94787"/>
    <w:p w14:paraId="2FBDD43F" w14:textId="77777777" w:rsidR="00D94787" w:rsidRPr="00D94787" w:rsidRDefault="00D94787" w:rsidP="00D94787">
      <w:r w:rsidRPr="00D94787">
        <w:t>Meiss, Millard, `Light as Form and Symbol in Some Fifteenth-Century Paintings</w:t>
      </w:r>
      <w:proofErr w:type="gramStart"/>
      <w:r w:rsidRPr="00D94787">
        <w:t>,`</w:t>
      </w:r>
      <w:proofErr w:type="gramEnd"/>
      <w:r w:rsidRPr="00D94787">
        <w:rPr>
          <w:i/>
        </w:rPr>
        <w:t xml:space="preserve">The </w:t>
      </w:r>
    </w:p>
    <w:p w14:paraId="208443A3" w14:textId="77777777" w:rsidR="00D94787" w:rsidRPr="00D94787" w:rsidRDefault="00D94787" w:rsidP="00D94787">
      <w:r w:rsidRPr="00D94787">
        <w:rPr>
          <w:i/>
        </w:rPr>
        <w:t>Art Bulletin</w:t>
      </w:r>
      <w:r w:rsidRPr="00D94787">
        <w:t>, Vol. 27, No. 3: (Sept. 1945), 175-181</w:t>
      </w:r>
    </w:p>
    <w:p w14:paraId="0D239A63" w14:textId="77777777" w:rsidR="00D94787" w:rsidRPr="00D94787" w:rsidRDefault="00D94787" w:rsidP="00D94787"/>
    <w:p w14:paraId="29E67719" w14:textId="77777777" w:rsidR="00D94787" w:rsidRPr="00D94787" w:rsidRDefault="00D94787" w:rsidP="00D94787">
      <w:r w:rsidRPr="00D94787">
        <w:t xml:space="preserve">Mercer, S. A. B., </w:t>
      </w:r>
      <w:proofErr w:type="gramStart"/>
      <w:r w:rsidRPr="00D94787">
        <w:t>tr</w:t>
      </w:r>
      <w:proofErr w:type="gramEnd"/>
      <w:r w:rsidRPr="00D94787">
        <w:t xml:space="preserve">. </w:t>
      </w:r>
      <w:r w:rsidRPr="00D94787">
        <w:rPr>
          <w:i/>
        </w:rPr>
        <w:t>The Pyramid Texts</w:t>
      </w:r>
      <w:r w:rsidRPr="00D94787">
        <w:t>, Utterance 271 - 390a, p. 92. Sacred Texts. http://www.sacred-texts.com/egy/pyt/pyt12.htm</w:t>
      </w:r>
    </w:p>
    <w:p w14:paraId="0973B73A" w14:textId="77777777" w:rsidR="00D94787" w:rsidRPr="00D94787" w:rsidRDefault="00D94787" w:rsidP="00D94787"/>
    <w:p w14:paraId="3748E7F0" w14:textId="77777777" w:rsidR="00D94787" w:rsidRPr="00D94787" w:rsidRDefault="00D94787" w:rsidP="00D94787">
      <w:r w:rsidRPr="00D94787">
        <w:t xml:space="preserve">Notopoulos, James A., </w:t>
      </w:r>
      <w:proofErr w:type="gramStart"/>
      <w:r w:rsidRPr="00D94787">
        <w:t>The</w:t>
      </w:r>
      <w:proofErr w:type="gramEnd"/>
      <w:r w:rsidRPr="00D94787">
        <w:t xml:space="preserve"> Symbolism of the Sun and Light in the Republic of Plato. II, </w:t>
      </w:r>
      <w:r w:rsidRPr="00D94787">
        <w:rPr>
          <w:i/>
        </w:rPr>
        <w:t>Classical Philology</w:t>
      </w:r>
      <w:r w:rsidRPr="00D94787">
        <w:t>, Vol. 39, No. 4 (Oct., 1944), 223-240</w:t>
      </w:r>
    </w:p>
    <w:p w14:paraId="02F6C10D" w14:textId="77777777" w:rsidR="00D94787" w:rsidRPr="00D94787" w:rsidRDefault="00D94787" w:rsidP="00D94787"/>
    <w:p w14:paraId="4F58C18D" w14:textId="77777777" w:rsidR="00D94787" w:rsidRPr="00D94787" w:rsidRDefault="00D94787" w:rsidP="00D94787">
      <w:r w:rsidRPr="00D94787">
        <w:t xml:space="preserve">O’Callaghan, Roger, “Recent Excavations underneath the Vatican Crypts,” </w:t>
      </w:r>
      <w:r w:rsidRPr="00D94787">
        <w:rPr>
          <w:i/>
        </w:rPr>
        <w:t>The Biblical Archaeologist</w:t>
      </w:r>
      <w:r w:rsidRPr="00D94787">
        <w:t xml:space="preserve"> Vol </w:t>
      </w:r>
      <w:proofErr w:type="gramStart"/>
      <w:r w:rsidRPr="00D94787">
        <w:t>12  No</w:t>
      </w:r>
      <w:proofErr w:type="gramEnd"/>
      <w:r w:rsidRPr="00D94787">
        <w:t xml:space="preserve"> 1 (Feb 1949) </w:t>
      </w:r>
    </w:p>
    <w:p w14:paraId="1B06100D" w14:textId="77777777" w:rsidR="00D94787" w:rsidRPr="00D94787" w:rsidRDefault="00D94787" w:rsidP="00D94787"/>
    <w:p w14:paraId="52A27453" w14:textId="77777777" w:rsidR="00D94787" w:rsidRPr="00D94787" w:rsidRDefault="00D94787" w:rsidP="00D94787">
      <w:r w:rsidRPr="00D94787">
        <w:t>Origen, `On First Principles`, 1.1.6 in</w:t>
      </w:r>
      <w:r w:rsidRPr="00D94787">
        <w:rPr>
          <w:i/>
        </w:rPr>
        <w:t xml:space="preserve"> Ante Nicene Fathers Vol 4</w:t>
      </w:r>
      <w:r w:rsidRPr="00D94787">
        <w:t>, ed. Philip Schaff, (1885) 1-1679. http://www.ccel.org/ccel/schaff/anf04.pdf [accessed 10/5/2014]</w:t>
      </w:r>
    </w:p>
    <w:p w14:paraId="3D55776F" w14:textId="77777777" w:rsidR="00D94787" w:rsidRPr="00D94787" w:rsidRDefault="00D94787" w:rsidP="00D94787"/>
    <w:p w14:paraId="12D3AAA7" w14:textId="77777777" w:rsidR="00D94787" w:rsidRPr="00D94787" w:rsidRDefault="00D94787" w:rsidP="00D94787">
      <w:r w:rsidRPr="00D94787">
        <w:t xml:space="preserve">Orriols-Llonch, Marc, `Divine Copulation in the Pyramid Texts. A Lexical and Cultural Approach`, </w:t>
      </w:r>
      <w:r w:rsidRPr="00D94787">
        <w:rPr>
          <w:i/>
        </w:rPr>
        <w:t>Proceedings of the Ninth International Congress of Egyptologists, Grenoble, 6 – 12 September 2004, Vol 2</w:t>
      </w:r>
      <w:r w:rsidRPr="00D94787">
        <w:t>, eds. Jean-Claude Goyon and Christine Cardin, (Leuven, Paris, Dudley, MA, Uitgeverij Peeters en Departement Oosterse Studies, 2007) 1421-1427</w:t>
      </w:r>
    </w:p>
    <w:p w14:paraId="5D468D87" w14:textId="77777777" w:rsidR="00D94787" w:rsidRPr="00D94787" w:rsidRDefault="00D94787" w:rsidP="00D94787"/>
    <w:p w14:paraId="76B04B1B" w14:textId="77777777" w:rsidR="00D94787" w:rsidRPr="00D94787" w:rsidRDefault="00D94787" w:rsidP="00D94787">
      <w:r w:rsidRPr="00D94787">
        <w:t xml:space="preserve">Orriols-Llonch, Marc, `Semen Ingestion and Oral Sex in Ancient Egyptian Texts`, </w:t>
      </w:r>
      <w:r w:rsidRPr="00D94787">
        <w:rPr>
          <w:i/>
        </w:rPr>
        <w:t>Proceedings of the Tenth International Congress of Egyptologists, University of the Aegean, Rhodes, 22-29 May 2008</w:t>
      </w:r>
      <w:r w:rsidRPr="00D94787">
        <w:t>, eds Kousoulis, P., and Lazaridis, N., (Leuven: Orientalia Lovaniensia Analecta, 2014) 1-10</w:t>
      </w:r>
    </w:p>
    <w:p w14:paraId="643E4D8E" w14:textId="77777777" w:rsidR="00D94787" w:rsidRPr="00D94787" w:rsidRDefault="00D94787" w:rsidP="00D94787"/>
    <w:p w14:paraId="45323F71" w14:textId="77777777" w:rsidR="00D94787" w:rsidRPr="00D94787" w:rsidRDefault="00D94787" w:rsidP="00D94787">
      <w:r w:rsidRPr="00D94787">
        <w:t>Orriols-Llonch, Marc, `Sex and Cosmogony. The Onanism of the Solar Demiurg</w:t>
      </w:r>
      <w:proofErr w:type="gramStart"/>
      <w:r w:rsidRPr="00D94787">
        <w:t>.`</w:t>
      </w:r>
      <w:proofErr w:type="gramEnd"/>
      <w:r w:rsidRPr="00D94787">
        <w:t xml:space="preserve"> </w:t>
      </w:r>
      <w:r w:rsidRPr="00D94787">
        <w:rPr>
          <w:i/>
        </w:rPr>
        <w:t>Göttinger Miszellen Beiträge zur ägyptologischen Diskussion</w:t>
      </w:r>
      <w:r w:rsidRPr="00D94787">
        <w:t>. 233 (2012), 31-42</w:t>
      </w:r>
    </w:p>
    <w:p w14:paraId="33B89962" w14:textId="77777777" w:rsidR="00D94787" w:rsidRPr="00D94787" w:rsidRDefault="00D94787" w:rsidP="00D94787"/>
    <w:p w14:paraId="4BE11B71" w14:textId="77777777" w:rsidR="00D94787" w:rsidRPr="00D94787" w:rsidRDefault="00D94787" w:rsidP="00D94787">
      <w:r w:rsidRPr="00D94787">
        <w:t xml:space="preserve">Piankoff, Alexandre and Nina Rambova, </w:t>
      </w:r>
      <w:proofErr w:type="gramStart"/>
      <w:r w:rsidRPr="00D94787">
        <w:rPr>
          <w:i/>
        </w:rPr>
        <w:t>The</w:t>
      </w:r>
      <w:proofErr w:type="gramEnd"/>
      <w:r w:rsidRPr="00D94787">
        <w:rPr>
          <w:i/>
        </w:rPr>
        <w:t xml:space="preserve"> Tomb of Ramesses VI, Bollingen Series XL-1</w:t>
      </w:r>
      <w:r w:rsidRPr="00D94787">
        <w:t>, (New York: Pantheon Books)</w:t>
      </w:r>
    </w:p>
    <w:p w14:paraId="15E6ABE6" w14:textId="77777777" w:rsidR="00D94787" w:rsidRPr="00D94787" w:rsidRDefault="00D94787" w:rsidP="00D94787"/>
    <w:p w14:paraId="4D5D54F8" w14:textId="77777777" w:rsidR="00D94787" w:rsidRPr="00D94787" w:rsidRDefault="00D94787" w:rsidP="00D94787">
      <w:r w:rsidRPr="00D94787">
        <w:t>Pinch, Geraldine</w:t>
      </w:r>
      <w:proofErr w:type="gramStart"/>
      <w:r w:rsidRPr="00D94787">
        <w:t xml:space="preserve">,  </w:t>
      </w:r>
      <w:r w:rsidRPr="00D94787">
        <w:rPr>
          <w:i/>
        </w:rPr>
        <w:t>Egyptian</w:t>
      </w:r>
      <w:proofErr w:type="gramEnd"/>
      <w:r w:rsidRPr="00D94787">
        <w:rPr>
          <w:i/>
        </w:rPr>
        <w:t xml:space="preserve"> Mythology: A Guide to the Gods, Goddesses, and Traditions of Ancient Egypt</w:t>
      </w:r>
      <w:r w:rsidRPr="00D94787">
        <w:t>, (Oxford: Oxford University Press, 2002)</w:t>
      </w:r>
    </w:p>
    <w:p w14:paraId="109193B3" w14:textId="77777777" w:rsidR="00D94787" w:rsidRPr="00D94787" w:rsidRDefault="00D94787" w:rsidP="00D94787"/>
    <w:p w14:paraId="3BDBF931" w14:textId="77777777" w:rsidR="00D94787" w:rsidRDefault="00D94787" w:rsidP="00D94787">
      <w:r w:rsidRPr="00D94787">
        <w:t xml:space="preserve">Plato, </w:t>
      </w:r>
      <w:r w:rsidRPr="00D94787">
        <w:rPr>
          <w:i/>
        </w:rPr>
        <w:t>Republic</w:t>
      </w:r>
      <w:r w:rsidRPr="00D94787">
        <w:t>, 508.</w:t>
      </w:r>
    </w:p>
    <w:p w14:paraId="00F3AB5D" w14:textId="77777777" w:rsidR="00995052" w:rsidRDefault="00995052" w:rsidP="00D94787"/>
    <w:p w14:paraId="1F01CB1B" w14:textId="77777777" w:rsidR="00995052" w:rsidRPr="00D94787" w:rsidRDefault="00995052" w:rsidP="00D94787">
      <w:r>
        <w:t>Pritchard, James,</w:t>
      </w:r>
      <w:r w:rsidR="006F1AC3">
        <w:t xml:space="preserve"> </w:t>
      </w:r>
      <w:proofErr w:type="gramStart"/>
      <w:r w:rsidR="006F1AC3">
        <w:t>ed</w:t>
      </w:r>
      <w:proofErr w:type="gramEnd"/>
      <w:r w:rsidR="006F1AC3">
        <w:t>,</w:t>
      </w:r>
      <w:r>
        <w:t xml:space="preserve"> </w:t>
      </w:r>
      <w:r w:rsidRPr="00995052">
        <w:rPr>
          <w:i/>
        </w:rPr>
        <w:t>Ancient Near Eastern Texts</w:t>
      </w:r>
      <w:r>
        <w:t>,</w:t>
      </w:r>
      <w:r w:rsidRPr="00995052">
        <w:t xml:space="preserve"> (Princeton: Princeton University Press, 2nd ed. 1955</w:t>
      </w:r>
      <w:r>
        <w:t>)</w:t>
      </w:r>
    </w:p>
    <w:p w14:paraId="22D986C1" w14:textId="77777777" w:rsidR="00D94787" w:rsidRPr="00D94787" w:rsidRDefault="00D94787" w:rsidP="00D94787"/>
    <w:p w14:paraId="0E136515" w14:textId="77777777" w:rsidR="00D94787" w:rsidRPr="00D94787" w:rsidRDefault="00D94787" w:rsidP="00D94787">
      <w:r w:rsidRPr="00D94787">
        <w:t xml:space="preserve">Redford, Donald B., `The Sun-disc in Akhenaten's Program: Its Worship and Antecedents`, </w:t>
      </w:r>
      <w:r w:rsidRPr="00D94787">
        <w:rPr>
          <w:i/>
        </w:rPr>
        <w:t>Journal of the American Research Center in Egypt,</w:t>
      </w:r>
      <w:r w:rsidRPr="00D94787">
        <w:t xml:space="preserve"> Vol. 13 (1976), 47-61 </w:t>
      </w:r>
    </w:p>
    <w:p w14:paraId="191992FD" w14:textId="77777777" w:rsidR="00D94787" w:rsidRPr="00D94787" w:rsidRDefault="00D94787" w:rsidP="00D94787"/>
    <w:p w14:paraId="0528A029" w14:textId="77777777" w:rsidR="00D94787" w:rsidRPr="00D94787" w:rsidRDefault="00D94787" w:rsidP="00D94787">
      <w:r w:rsidRPr="00D94787">
        <w:lastRenderedPageBreak/>
        <w:t xml:space="preserve">Riedel, J.G.F., </w:t>
      </w:r>
      <w:r w:rsidRPr="00D94787">
        <w:rPr>
          <w:i/>
        </w:rPr>
        <w:t>De sluik-en kroesharige Rassen tusschen Selebes en Papua</w:t>
      </w:r>
      <w:r w:rsidRPr="00D94787">
        <w:t xml:space="preserve">, in E.S. Hartland, `Phallism`, </w:t>
      </w:r>
      <w:r w:rsidRPr="00D94787">
        <w:rPr>
          <w:i/>
        </w:rPr>
        <w:t>Encyclopaedia of Religion and Ethics</w:t>
      </w:r>
      <w:r w:rsidRPr="00D94787">
        <w:t>, ed. J. Hastings, vol. 9 (New York, 1917) 815-831</w:t>
      </w:r>
    </w:p>
    <w:p w14:paraId="0294EF1F" w14:textId="77777777" w:rsidR="00D94787" w:rsidRPr="00D94787" w:rsidRDefault="00D94787" w:rsidP="00D94787"/>
    <w:p w14:paraId="26A62628" w14:textId="77777777" w:rsidR="00D94787" w:rsidRPr="00D94787" w:rsidRDefault="00D94787" w:rsidP="00D94787">
      <w:r w:rsidRPr="00D94787">
        <w:t xml:space="preserve">Roberson, Joshua Aaron, </w:t>
      </w:r>
      <w:proofErr w:type="gramStart"/>
      <w:r w:rsidRPr="00D94787">
        <w:rPr>
          <w:i/>
        </w:rPr>
        <w:t>The</w:t>
      </w:r>
      <w:proofErr w:type="gramEnd"/>
      <w:r w:rsidRPr="00D94787">
        <w:rPr>
          <w:i/>
        </w:rPr>
        <w:t xml:space="preserve"> Ancient Egyptian Books of the Earth</w:t>
      </w:r>
      <w:r w:rsidRPr="00D94787">
        <w:t>, (Atlanta, Georgia: Lockward Press, 2012)</w:t>
      </w:r>
    </w:p>
    <w:p w14:paraId="4F129CF8" w14:textId="77777777" w:rsidR="00D94787" w:rsidRPr="00D94787" w:rsidRDefault="00D94787" w:rsidP="00D94787"/>
    <w:p w14:paraId="181CB36B" w14:textId="77777777" w:rsidR="00D94787" w:rsidRPr="00D94787" w:rsidRDefault="00D94787" w:rsidP="00D94787">
      <w:r w:rsidRPr="00D94787">
        <w:t xml:space="preserve">Shaw, I., and P. Nicholson, </w:t>
      </w:r>
      <w:r w:rsidRPr="00D94787">
        <w:rPr>
          <w:i/>
        </w:rPr>
        <w:t>British Museum Dictionary of Ancient Egypt</w:t>
      </w:r>
      <w:r w:rsidRPr="00D94787">
        <w:t xml:space="preserve">, (London: British Museum Press, 1995) </w:t>
      </w:r>
    </w:p>
    <w:p w14:paraId="201BDF72" w14:textId="77777777" w:rsidR="00D94787" w:rsidRPr="00D94787" w:rsidRDefault="00D94787" w:rsidP="00D94787"/>
    <w:p w14:paraId="6857EE81" w14:textId="77777777" w:rsidR="00D94787" w:rsidRPr="00D94787" w:rsidRDefault="00D94787" w:rsidP="00D94787">
      <w:r w:rsidRPr="00D94787">
        <w:t>Steinberg, Leo, `”How Shall This Be?”Reflections on Filippo Lippi’s Annunciation in London, Part 1</w:t>
      </w:r>
      <w:proofErr w:type="gramStart"/>
      <w:r w:rsidRPr="00D94787">
        <w:t>.`</w:t>
      </w:r>
      <w:proofErr w:type="gramEnd"/>
      <w:r w:rsidRPr="00D94787">
        <w:rPr>
          <w:i/>
        </w:rPr>
        <w:t>Artibus et Historiae</w:t>
      </w:r>
      <w:r w:rsidRPr="00D94787">
        <w:t>, Vol. 8, No 16: (1987), 25–44</w:t>
      </w:r>
    </w:p>
    <w:p w14:paraId="1065BFC1" w14:textId="77777777" w:rsidR="00D94787" w:rsidRPr="00D94787" w:rsidRDefault="00D94787" w:rsidP="00D94787"/>
    <w:p w14:paraId="2A7A1061" w14:textId="77777777" w:rsidR="00D94787" w:rsidRPr="00D94787" w:rsidRDefault="00D94787" w:rsidP="00D94787">
      <w:r w:rsidRPr="00D94787">
        <w:t xml:space="preserve">Wake, Staniland C., `The Influence of the Phallic Idea in the Religions of Antiquity,` </w:t>
      </w:r>
      <w:r w:rsidRPr="00D94787">
        <w:rPr>
          <w:i/>
        </w:rPr>
        <w:t>Journal of Anthropology</w:t>
      </w:r>
      <w:r w:rsidRPr="00D94787">
        <w:t>, Vol. 1, No. 1, (1870), 97–105</w:t>
      </w:r>
    </w:p>
    <w:p w14:paraId="27D314BC" w14:textId="77777777" w:rsidR="00D94787" w:rsidRPr="00D94787" w:rsidRDefault="00D94787" w:rsidP="00D94787"/>
    <w:p w14:paraId="67CF2C50" w14:textId="77777777" w:rsidR="00D94787" w:rsidRPr="00D94787" w:rsidRDefault="00D94787" w:rsidP="00D94787">
      <w:r w:rsidRPr="00D94787">
        <w:t xml:space="preserve">Watterson, Barbara, </w:t>
      </w:r>
      <w:r w:rsidRPr="00D94787">
        <w:rPr>
          <w:i/>
        </w:rPr>
        <w:t>Gods of Ancient Egypt</w:t>
      </w:r>
      <w:r w:rsidRPr="00D94787">
        <w:t>, paperback ed. (Stroud: Sutton Publishing Ltd., 1996)</w:t>
      </w:r>
    </w:p>
    <w:p w14:paraId="11E3E5DD" w14:textId="77777777" w:rsidR="00D94787" w:rsidRPr="00D94787" w:rsidRDefault="00D94787" w:rsidP="00D94787"/>
    <w:p w14:paraId="6EF5F8DE" w14:textId="77777777" w:rsidR="00D94787" w:rsidRPr="00D94787" w:rsidRDefault="00D94787" w:rsidP="00D94787">
      <w:r w:rsidRPr="00D94787">
        <w:t xml:space="preserve">Weightman, Barbara A., `Sacred Landscapes and the Phenomenon of Light`, </w:t>
      </w:r>
      <w:r w:rsidRPr="00D94787">
        <w:rPr>
          <w:i/>
        </w:rPr>
        <w:t>Geographical Review</w:t>
      </w:r>
      <w:r w:rsidRPr="00D94787">
        <w:t xml:space="preserve">, Vol. 86, No. 1 (Jan., 1996), 59-71 </w:t>
      </w:r>
    </w:p>
    <w:p w14:paraId="6D595595" w14:textId="77777777" w:rsidR="00D94787" w:rsidRPr="00D94787" w:rsidRDefault="00D94787" w:rsidP="00D94787"/>
    <w:p w14:paraId="17351590" w14:textId="77777777" w:rsidR="00D94787" w:rsidRPr="00D94787" w:rsidRDefault="00D94787" w:rsidP="00D94787">
      <w:r w:rsidRPr="00D94787">
        <w:t xml:space="preserve">Weeks, Kent. R., ed., </w:t>
      </w:r>
      <w:proofErr w:type="gramStart"/>
      <w:r w:rsidRPr="00D94787">
        <w:rPr>
          <w:i/>
        </w:rPr>
        <w:t>The</w:t>
      </w:r>
      <w:proofErr w:type="gramEnd"/>
      <w:r w:rsidRPr="00D94787">
        <w:rPr>
          <w:i/>
        </w:rPr>
        <w:t xml:space="preserve"> Treasures of the Valley of the Kings, Tombs and Temples of the Theban West Bank in Luxor</w:t>
      </w:r>
      <w:r w:rsidRPr="00D94787">
        <w:t>, (Cairo: the American University in Cairo Press, 2001)</w:t>
      </w:r>
    </w:p>
    <w:p w14:paraId="6A890675" w14:textId="77777777" w:rsidR="00D94787" w:rsidRPr="00D94787" w:rsidRDefault="00D94787" w:rsidP="00D94787"/>
    <w:p w14:paraId="25C9ABD8" w14:textId="77777777" w:rsidR="00D94787" w:rsidRPr="00D94787" w:rsidRDefault="00D94787" w:rsidP="00D94787">
      <w:r w:rsidRPr="00D94787">
        <w:t xml:space="preserve">Wilkinson, Richard H., </w:t>
      </w:r>
      <w:proofErr w:type="gramStart"/>
      <w:r w:rsidRPr="00D94787">
        <w:rPr>
          <w:i/>
        </w:rPr>
        <w:t>The</w:t>
      </w:r>
      <w:proofErr w:type="gramEnd"/>
      <w:r w:rsidRPr="00D94787">
        <w:rPr>
          <w:i/>
        </w:rPr>
        <w:t xml:space="preserve"> Complete Gods and Goddesses or Ancient Egypt</w:t>
      </w:r>
      <w:r w:rsidRPr="00D94787">
        <w:t>, (London: Thames and Hudson, 2003)</w:t>
      </w:r>
    </w:p>
    <w:p w14:paraId="44D2422E" w14:textId="77777777" w:rsidR="00D94787" w:rsidRPr="00D94787" w:rsidRDefault="00D94787" w:rsidP="00D94787">
      <w:pPr>
        <w:rPr>
          <w:lang w:val="en-US"/>
        </w:rPr>
      </w:pPr>
      <w:r w:rsidRPr="00D94787">
        <w:t xml:space="preserve"> </w:t>
      </w:r>
    </w:p>
    <w:p w14:paraId="5141A7D7" w14:textId="77777777" w:rsidR="00D94787" w:rsidRPr="00D94787" w:rsidRDefault="00D94787" w:rsidP="00D94787">
      <w:r w:rsidRPr="00D94787">
        <w:t xml:space="preserve">The British Museum, http://www.britishmuseum.org/research/collection_online/collection_object_details.aspx?objectId=114314&amp;partId=1 </w:t>
      </w:r>
    </w:p>
    <w:p w14:paraId="5ED0C7BC" w14:textId="77777777" w:rsidR="00D94787" w:rsidRPr="00D94787" w:rsidRDefault="00D94787" w:rsidP="00D94787"/>
    <w:p w14:paraId="0A8B4EF7" w14:textId="77777777" w:rsidR="00A1156E" w:rsidRDefault="00D94787" w:rsidP="00D94787">
      <w:pPr>
        <w:sectPr w:rsidR="00A1156E" w:rsidSect="003B1489">
          <w:pgSz w:w="11906" w:h="16838"/>
          <w:pgMar w:top="1440" w:right="2495" w:bottom="1440" w:left="2495" w:header="709" w:footer="709" w:gutter="0"/>
          <w:cols w:space="708"/>
          <w:docGrid w:linePitch="360"/>
        </w:sectPr>
      </w:pPr>
      <w:r w:rsidRPr="00D94787">
        <w:t>Information Center, `Rise, Set, and Twilight Definitions`, Astronomical Applications Department, USNO (7/10/2011</w:t>
      </w:r>
      <w:proofErr w:type="gramStart"/>
      <w:r w:rsidRPr="00D94787">
        <w:t>)  http</w:t>
      </w:r>
      <w:proofErr w:type="gramEnd"/>
      <w:r w:rsidRPr="00D94787">
        <w:t>://www.suncalc.net ; http://aa.usno.navy.mil/f</w:t>
      </w:r>
      <w:r w:rsidR="00431E10">
        <w:t>aq/docs/RST_defs.php [5/11/2013]</w:t>
      </w:r>
    </w:p>
    <w:tbl>
      <w:tblPr>
        <w:tblW w:w="0" w:type="auto"/>
        <w:tblInd w:w="-72" w:type="dxa"/>
        <w:tblLook w:val="0000" w:firstRow="0" w:lastRow="0" w:firstColumn="0" w:lastColumn="0" w:noHBand="0" w:noVBand="0"/>
      </w:tblPr>
      <w:tblGrid>
        <w:gridCol w:w="4266"/>
        <w:gridCol w:w="2164"/>
        <w:gridCol w:w="2164"/>
      </w:tblGrid>
      <w:tr w:rsidR="0032491F" w:rsidRPr="0032491F" w14:paraId="075E3B93" w14:textId="77777777" w:rsidTr="00613D59">
        <w:trPr>
          <w:trHeight w:val="1255"/>
        </w:trPr>
        <w:tc>
          <w:tcPr>
            <w:tcW w:w="2818" w:type="dxa"/>
            <w:vAlign w:val="center"/>
          </w:tcPr>
          <w:p w14:paraId="1D612124" w14:textId="77777777" w:rsidR="0032491F" w:rsidRPr="0032491F" w:rsidRDefault="0032491F" w:rsidP="0032491F">
            <w:pPr>
              <w:jc w:val="center"/>
              <w:rPr>
                <w:rFonts w:ascii="Times New Roman" w:eastAsia="Times New Roman" w:hAnsi="Times New Roman" w:cs="Times New Roman"/>
                <w:b/>
                <w:sz w:val="28"/>
                <w:szCs w:val="28"/>
              </w:rPr>
            </w:pPr>
            <w:r w:rsidRPr="0032491F">
              <w:rPr>
                <w:rFonts w:ascii="Times New Roman" w:eastAsia="Times New Roman" w:hAnsi="Times New Roman" w:cs="Times New Roman"/>
                <w:b/>
                <w:noProof/>
                <w:sz w:val="28"/>
                <w:szCs w:val="28"/>
                <w:lang w:eastAsia="en-GB"/>
              </w:rPr>
              <w:lastRenderedPageBreak/>
              <w:drawing>
                <wp:inline distT="0" distB="0" distL="0" distR="0" wp14:anchorId="5A804B8F" wp14:editId="06DF92A1">
                  <wp:extent cx="2562225" cy="828675"/>
                  <wp:effectExtent l="0" t="0" r="9525" b="9525"/>
                  <wp:docPr id="22" name="Picture 2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32411987" w14:textId="77777777" w:rsidR="0032491F" w:rsidRPr="0032491F" w:rsidRDefault="0032491F" w:rsidP="0032491F">
            <w:pPr>
              <w:jc w:val="center"/>
              <w:rPr>
                <w:rFonts w:ascii="Times New Roman" w:eastAsia="Times New Roman" w:hAnsi="Times New Roman" w:cs="Times New Roman"/>
                <w:b/>
                <w:sz w:val="28"/>
                <w:szCs w:val="28"/>
              </w:rPr>
            </w:pPr>
          </w:p>
        </w:tc>
        <w:tc>
          <w:tcPr>
            <w:tcW w:w="2819" w:type="dxa"/>
            <w:vAlign w:val="center"/>
          </w:tcPr>
          <w:p w14:paraId="067D1368" w14:textId="77777777" w:rsidR="0032491F" w:rsidRPr="0032491F" w:rsidRDefault="0032491F" w:rsidP="0032491F">
            <w:pPr>
              <w:jc w:val="center"/>
              <w:rPr>
                <w:rFonts w:ascii="Times New Roman" w:eastAsia="Times New Roman" w:hAnsi="Times New Roman" w:cs="Times New Roman"/>
                <w:b/>
                <w:sz w:val="28"/>
                <w:szCs w:val="28"/>
              </w:rPr>
            </w:pPr>
          </w:p>
        </w:tc>
      </w:tr>
    </w:tbl>
    <w:p w14:paraId="4520321F" w14:textId="77777777" w:rsidR="0032491F" w:rsidRPr="0032491F" w:rsidRDefault="0032491F" w:rsidP="0032491F">
      <w:pPr>
        <w:rPr>
          <w:rFonts w:ascii="Times New Roman" w:eastAsia="Times New Roman" w:hAnsi="Times New Roman" w:cs="Times New Roman"/>
          <w:szCs w:val="24"/>
        </w:rPr>
      </w:pPr>
    </w:p>
    <w:p w14:paraId="7F2FA02E" w14:textId="77777777" w:rsidR="0032491F" w:rsidRPr="0032491F" w:rsidRDefault="0032491F" w:rsidP="0032491F">
      <w:pPr>
        <w:rPr>
          <w:rFonts w:ascii="Times New Roman" w:eastAsia="Times New Roman" w:hAnsi="Times New Roman" w:cs="Times New Roman"/>
          <w:szCs w:val="24"/>
        </w:rPr>
      </w:pPr>
    </w:p>
    <w:p w14:paraId="61210B81" w14:textId="77777777" w:rsidR="0032491F" w:rsidRPr="0032491F" w:rsidRDefault="0032491F" w:rsidP="0032491F">
      <w:pPr>
        <w:jc w:val="center"/>
        <w:rPr>
          <w:rFonts w:ascii="Arial" w:eastAsia="Times New Roman" w:hAnsi="Arial" w:cs="Arial"/>
          <w:b/>
          <w:sz w:val="32"/>
          <w:szCs w:val="32"/>
        </w:rPr>
      </w:pPr>
      <w:r w:rsidRPr="0032491F">
        <w:rPr>
          <w:rFonts w:ascii="Arial" w:eastAsia="Times New Roman" w:hAnsi="Arial" w:cs="Arial"/>
          <w:b/>
          <w:sz w:val="32"/>
          <w:szCs w:val="32"/>
        </w:rPr>
        <w:t>Faculty of Humanities</w:t>
      </w:r>
    </w:p>
    <w:p w14:paraId="4BC34B60" w14:textId="77777777" w:rsidR="0032491F" w:rsidRPr="0032491F" w:rsidRDefault="0032491F" w:rsidP="0032491F">
      <w:pPr>
        <w:rPr>
          <w:rFonts w:ascii="Times New Roman" w:eastAsia="Times New Roman" w:hAnsi="Times New Roman" w:cs="Times New Roman"/>
          <w:szCs w:val="24"/>
        </w:rPr>
      </w:pPr>
    </w:p>
    <w:p w14:paraId="1E2F70DA" w14:textId="77777777" w:rsidR="0032491F" w:rsidRPr="0032491F" w:rsidRDefault="0032491F" w:rsidP="0032491F">
      <w:pPr>
        <w:jc w:val="center"/>
        <w:rPr>
          <w:rFonts w:ascii="Arial" w:eastAsia="Times New Roman" w:hAnsi="Arial" w:cs="Arial"/>
          <w:b/>
          <w:sz w:val="28"/>
          <w:szCs w:val="28"/>
        </w:rPr>
      </w:pPr>
      <w:r w:rsidRPr="0032491F">
        <w:rPr>
          <w:rFonts w:ascii="Arial" w:eastAsia="Times New Roman" w:hAnsi="Arial" w:cs="Arial"/>
          <w:b/>
          <w:sz w:val="28"/>
          <w:szCs w:val="28"/>
        </w:rPr>
        <w:t>MA Dissertation Approval Form</w:t>
      </w:r>
    </w:p>
    <w:p w14:paraId="1D091FE8" w14:textId="77777777" w:rsidR="0032491F" w:rsidRPr="0032491F" w:rsidRDefault="0032491F" w:rsidP="0032491F">
      <w:pPr>
        <w:jc w:val="center"/>
        <w:rPr>
          <w:rFonts w:ascii="Arial" w:eastAsia="Times New Roman" w:hAnsi="Arial" w:cs="Arial"/>
          <w:b/>
          <w:sz w:val="28"/>
          <w:szCs w:val="28"/>
        </w:rPr>
      </w:pPr>
      <w:r w:rsidRPr="0032491F">
        <w:rPr>
          <w:rFonts w:ascii="Arial" w:eastAsia="Times New Roman" w:hAnsi="Arial" w:cs="Arial"/>
          <w:b/>
          <w:sz w:val="28"/>
          <w:szCs w:val="28"/>
        </w:rPr>
        <w:t>Please read the notes at the end of this form.</w:t>
      </w:r>
    </w:p>
    <w:p w14:paraId="0219D06A" w14:textId="77777777" w:rsidR="0032491F" w:rsidRPr="0032491F" w:rsidRDefault="0032491F" w:rsidP="0032491F">
      <w:pPr>
        <w:jc w:val="center"/>
        <w:rPr>
          <w:rFonts w:ascii="Arial" w:eastAsia="Times New Roman" w:hAnsi="Arial" w:cs="Arial"/>
          <w:b/>
          <w:sz w:val="28"/>
          <w:szCs w:val="28"/>
        </w:rPr>
      </w:pPr>
    </w:p>
    <w:p w14:paraId="335D30C6" w14:textId="77777777" w:rsidR="0032491F" w:rsidRPr="0032491F" w:rsidRDefault="0032491F" w:rsidP="0032491F">
      <w:pPr>
        <w:rPr>
          <w:rFonts w:ascii="Arial" w:eastAsia="Times New Roman" w:hAnsi="Arial" w:cs="Arial"/>
          <w:szCs w:val="24"/>
        </w:rPr>
      </w:pPr>
    </w:p>
    <w:p w14:paraId="1924F39A" w14:textId="77777777" w:rsidR="0032491F" w:rsidRPr="0032491F" w:rsidRDefault="0032491F" w:rsidP="0032491F">
      <w:pPr>
        <w:rPr>
          <w:rFonts w:ascii="Arial" w:eastAsia="Times New Roman"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477"/>
      </w:tblGrid>
      <w:tr w:rsidR="0032491F" w:rsidRPr="0032491F" w14:paraId="4DCF0014" w14:textId="77777777" w:rsidTr="00613D59">
        <w:tc>
          <w:tcPr>
            <w:tcW w:w="2088" w:type="dxa"/>
            <w:vAlign w:val="center"/>
          </w:tcPr>
          <w:p w14:paraId="39A212FE"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Student Name</w:t>
            </w:r>
          </w:p>
        </w:tc>
        <w:tc>
          <w:tcPr>
            <w:tcW w:w="6768" w:type="dxa"/>
          </w:tcPr>
          <w:p w14:paraId="19BF6F05" w14:textId="77777777" w:rsidR="0032491F" w:rsidRPr="0032491F" w:rsidRDefault="0032491F" w:rsidP="0032491F">
            <w:pPr>
              <w:rPr>
                <w:rFonts w:ascii="Times New Roman" w:eastAsia="Times New Roman" w:hAnsi="Times New Roman" w:cs="Times New Roman"/>
                <w:szCs w:val="24"/>
              </w:rPr>
            </w:pPr>
          </w:p>
          <w:p w14:paraId="6012D70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Alison Chester-Lambert</w:t>
            </w:r>
          </w:p>
        </w:tc>
      </w:tr>
      <w:tr w:rsidR="0032491F" w:rsidRPr="0032491F" w14:paraId="7B6AE492" w14:textId="77777777" w:rsidTr="00613D59">
        <w:tc>
          <w:tcPr>
            <w:tcW w:w="2088" w:type="dxa"/>
            <w:vAlign w:val="center"/>
          </w:tcPr>
          <w:p w14:paraId="1942DA6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Degree Scheme</w:t>
            </w:r>
          </w:p>
        </w:tc>
        <w:tc>
          <w:tcPr>
            <w:tcW w:w="6768" w:type="dxa"/>
          </w:tcPr>
          <w:p w14:paraId="34C09048" w14:textId="77777777" w:rsidR="0032491F" w:rsidRPr="0032491F" w:rsidRDefault="0032491F" w:rsidP="0032491F">
            <w:pPr>
              <w:rPr>
                <w:rFonts w:ascii="Times New Roman" w:eastAsia="Times New Roman" w:hAnsi="Times New Roman" w:cs="Times New Roman"/>
                <w:szCs w:val="24"/>
              </w:rPr>
            </w:pPr>
          </w:p>
          <w:p w14:paraId="5A6BFA37"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MA CULTURAL ASTRONOMY AND ASTROLOGY</w:t>
            </w:r>
          </w:p>
        </w:tc>
      </w:tr>
      <w:tr w:rsidR="0032491F" w:rsidRPr="0032491F" w14:paraId="69F5CD50" w14:textId="77777777" w:rsidTr="00613D59">
        <w:tc>
          <w:tcPr>
            <w:tcW w:w="2088" w:type="dxa"/>
            <w:vAlign w:val="center"/>
          </w:tcPr>
          <w:p w14:paraId="4ECFB803"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Module code </w:t>
            </w:r>
          </w:p>
        </w:tc>
        <w:tc>
          <w:tcPr>
            <w:tcW w:w="6768" w:type="dxa"/>
          </w:tcPr>
          <w:p w14:paraId="11D3386A" w14:textId="77777777" w:rsidR="0032491F" w:rsidRPr="0032491F" w:rsidRDefault="0032491F" w:rsidP="0032491F">
            <w:pPr>
              <w:rPr>
                <w:rFonts w:ascii="Times New Roman" w:eastAsia="Times New Roman" w:hAnsi="Times New Roman" w:cs="Times New Roman"/>
                <w:szCs w:val="24"/>
              </w:rPr>
            </w:pPr>
          </w:p>
          <w:p w14:paraId="6F27EE81"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AHAN 7025</w:t>
            </w:r>
          </w:p>
        </w:tc>
      </w:tr>
      <w:tr w:rsidR="0032491F" w:rsidRPr="0032491F" w14:paraId="50341E74" w14:textId="77777777" w:rsidTr="00613D59">
        <w:tc>
          <w:tcPr>
            <w:tcW w:w="2088" w:type="dxa"/>
            <w:vAlign w:val="center"/>
          </w:tcPr>
          <w:p w14:paraId="15D2590C"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Start date</w:t>
            </w:r>
          </w:p>
          <w:p w14:paraId="41AED2D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(This will be after you have completed your 6th module) </w:t>
            </w:r>
          </w:p>
        </w:tc>
        <w:tc>
          <w:tcPr>
            <w:tcW w:w="6768" w:type="dxa"/>
          </w:tcPr>
          <w:p w14:paraId="6ADA4AE7" w14:textId="77777777" w:rsidR="0032491F" w:rsidRPr="0032491F" w:rsidRDefault="0032491F" w:rsidP="0032491F">
            <w:pPr>
              <w:rPr>
                <w:rFonts w:ascii="Times New Roman" w:eastAsia="Times New Roman" w:hAnsi="Times New Roman" w:cs="Times New Roman"/>
                <w:szCs w:val="24"/>
              </w:rPr>
            </w:pPr>
          </w:p>
          <w:p w14:paraId="53787BD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October 2013</w:t>
            </w:r>
          </w:p>
        </w:tc>
      </w:tr>
      <w:tr w:rsidR="0032491F" w:rsidRPr="0032491F" w14:paraId="2BD490D8" w14:textId="77777777" w:rsidTr="00613D59">
        <w:tc>
          <w:tcPr>
            <w:tcW w:w="2088" w:type="dxa"/>
            <w:vAlign w:val="center"/>
          </w:tcPr>
          <w:p w14:paraId="7A81342F"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Completion Date</w:t>
            </w:r>
          </w:p>
          <w:p w14:paraId="49BBEC6E"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(The date when your MA registration ends)</w:t>
            </w:r>
          </w:p>
          <w:p w14:paraId="496A0D74" w14:textId="77777777" w:rsidR="0032491F" w:rsidRPr="0032491F" w:rsidRDefault="0032491F" w:rsidP="0032491F">
            <w:pPr>
              <w:rPr>
                <w:rFonts w:ascii="Times New Roman" w:eastAsia="Times New Roman" w:hAnsi="Times New Roman" w:cs="Times New Roman"/>
                <w:szCs w:val="24"/>
              </w:rPr>
            </w:pPr>
          </w:p>
        </w:tc>
        <w:tc>
          <w:tcPr>
            <w:tcW w:w="6768" w:type="dxa"/>
          </w:tcPr>
          <w:p w14:paraId="0492FEA6" w14:textId="77777777" w:rsidR="0032491F" w:rsidRPr="0032491F" w:rsidRDefault="0032491F" w:rsidP="0032491F">
            <w:pPr>
              <w:rPr>
                <w:rFonts w:ascii="Times New Roman" w:eastAsia="Times New Roman" w:hAnsi="Times New Roman" w:cs="Times New Roman"/>
                <w:szCs w:val="24"/>
              </w:rPr>
            </w:pPr>
          </w:p>
          <w:p w14:paraId="163FE22D"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30 September 2014</w:t>
            </w:r>
          </w:p>
        </w:tc>
      </w:tr>
    </w:tbl>
    <w:p w14:paraId="14C586AA" w14:textId="77777777" w:rsidR="0032491F" w:rsidRPr="0032491F" w:rsidRDefault="0032491F" w:rsidP="0032491F">
      <w:pPr>
        <w:rPr>
          <w:rFonts w:ascii="Times New Roman" w:eastAsia="Times New Roman" w:hAnsi="Times New Roman" w:cs="Times New Roman"/>
          <w:szCs w:val="24"/>
        </w:rPr>
      </w:pPr>
    </w:p>
    <w:p w14:paraId="78CBD337" w14:textId="77777777" w:rsidR="0032491F" w:rsidRPr="0032491F" w:rsidRDefault="0032491F" w:rsidP="0032491F">
      <w:pPr>
        <w:rPr>
          <w:rFonts w:ascii="Times New Roman" w:eastAsia="Times New Roman" w:hAnsi="Times New Roman" w:cs="Times New Roman"/>
          <w:color w:val="4F81BD"/>
          <w:szCs w:val="24"/>
        </w:rPr>
      </w:pPr>
    </w:p>
    <w:p w14:paraId="3E72CC4F" w14:textId="77777777" w:rsidR="0032491F" w:rsidRPr="0032491F" w:rsidRDefault="0032491F" w:rsidP="0032491F">
      <w:pPr>
        <w:rPr>
          <w:rFonts w:ascii="Times New Roman" w:eastAsia="Times New Roman" w:hAnsi="Times New Roman" w:cs="Times New Roman"/>
          <w:szCs w:val="24"/>
        </w:rPr>
      </w:pPr>
    </w:p>
    <w:p w14:paraId="5514B8C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I have </w:t>
      </w:r>
      <w:proofErr w:type="gramStart"/>
      <w:r w:rsidRPr="0032491F">
        <w:rPr>
          <w:rFonts w:ascii="Times New Roman" w:eastAsia="Times New Roman" w:hAnsi="Times New Roman" w:cs="Times New Roman"/>
          <w:szCs w:val="24"/>
        </w:rPr>
        <w:t>completed  Part</w:t>
      </w:r>
      <w:proofErr w:type="gramEnd"/>
      <w:r w:rsidRPr="0032491F">
        <w:rPr>
          <w:rFonts w:ascii="Times New Roman" w:eastAsia="Times New Roman" w:hAnsi="Times New Roman" w:cs="Times New Roman"/>
          <w:szCs w:val="24"/>
        </w:rPr>
        <w:t xml:space="preserve"> 1 of my degree.</w:t>
      </w:r>
    </w:p>
    <w:p w14:paraId="1700BDF3" w14:textId="77777777" w:rsidR="0032491F" w:rsidRPr="0032491F" w:rsidRDefault="0032491F" w:rsidP="0032491F">
      <w:pPr>
        <w:rPr>
          <w:rFonts w:ascii="Times New Roman" w:eastAsia="Times New Roman" w:hAnsi="Times New Roman" w:cs="Times New Roman"/>
          <w:szCs w:val="24"/>
        </w:rPr>
      </w:pPr>
    </w:p>
    <w:p w14:paraId="1283D418"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WORD COUNT 1,486</w:t>
      </w:r>
    </w:p>
    <w:p w14:paraId="666C54C3" w14:textId="77777777" w:rsidR="0032491F" w:rsidRPr="0032491F" w:rsidRDefault="0032491F" w:rsidP="0032491F">
      <w:pPr>
        <w:rPr>
          <w:rFonts w:ascii="Times New Roman" w:eastAsia="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32491F" w:rsidRPr="0032491F" w14:paraId="2EE0DC97" w14:textId="77777777" w:rsidTr="00613D59">
        <w:tc>
          <w:tcPr>
            <w:tcW w:w="8856" w:type="dxa"/>
          </w:tcPr>
          <w:p w14:paraId="64FCB7F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Title of Dissertation: </w:t>
            </w:r>
          </w:p>
          <w:p w14:paraId="4E29A976" w14:textId="77777777" w:rsidR="0032491F" w:rsidRPr="0032491F" w:rsidRDefault="0032491F" w:rsidP="0032491F">
            <w:pPr>
              <w:rPr>
                <w:rFonts w:ascii="Times New Roman" w:eastAsia="Times New Roman" w:hAnsi="Times New Roman" w:cs="Times New Roman"/>
                <w:szCs w:val="24"/>
              </w:rPr>
            </w:pPr>
          </w:p>
          <w:p w14:paraId="2F56F8F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Does an exploration of extant texts and artefacts from the Ancient Eastern Mediterranean and Europe provide evidence that the Sun or its light was associated with generative or phallic power?</w:t>
            </w:r>
          </w:p>
          <w:p w14:paraId="36993707" w14:textId="77777777" w:rsidR="0032491F" w:rsidRPr="0032491F" w:rsidRDefault="0032491F" w:rsidP="0032491F">
            <w:pPr>
              <w:rPr>
                <w:rFonts w:ascii="Times New Roman" w:eastAsia="Times New Roman" w:hAnsi="Times New Roman" w:cs="Times New Roman"/>
                <w:szCs w:val="24"/>
              </w:rPr>
            </w:pPr>
          </w:p>
        </w:tc>
      </w:tr>
      <w:tr w:rsidR="0032491F" w:rsidRPr="0032491F" w14:paraId="08E0D7FB" w14:textId="77777777" w:rsidTr="00613D59">
        <w:tc>
          <w:tcPr>
            <w:tcW w:w="8856" w:type="dxa"/>
          </w:tcPr>
          <w:p w14:paraId="037B468E"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Aims and Objectives:</w:t>
            </w:r>
          </w:p>
          <w:p w14:paraId="2B4E63D1" w14:textId="77777777" w:rsidR="0032491F" w:rsidRPr="0032491F" w:rsidRDefault="0032491F" w:rsidP="0032491F">
            <w:pPr>
              <w:rPr>
                <w:rFonts w:ascii="Times New Roman" w:eastAsia="Times New Roman" w:hAnsi="Times New Roman" w:cs="Times New Roman"/>
                <w:szCs w:val="24"/>
              </w:rPr>
            </w:pPr>
          </w:p>
          <w:p w14:paraId="7958258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According to both the Derveni Papyrus and a patient’s records in C. Jung’s (1875 – 1961) journals, the Sun contains, or can be likened to a phallus.</w:t>
            </w:r>
            <w:r w:rsidRPr="0032491F">
              <w:rPr>
                <w:rFonts w:ascii="Times New Roman" w:eastAsia="Times New Roman" w:hAnsi="Times New Roman" w:cs="Times New Roman"/>
                <w:szCs w:val="24"/>
                <w:vertAlign w:val="superscript"/>
              </w:rPr>
              <w:footnoteReference w:id="216"/>
            </w:r>
            <w:r w:rsidRPr="0032491F">
              <w:rPr>
                <w:rFonts w:ascii="Times New Roman" w:eastAsia="Times New Roman" w:hAnsi="Times New Roman" w:cs="Times New Roman"/>
                <w:szCs w:val="24"/>
              </w:rPr>
              <w:t xml:space="preserve">  This dissertation will explore various occurrences and uses of the sun or sunlight as generative, symbolising a phallus, or having phallic power in literature and art from the Ancient Eastern Mediterranean and Europe. The notion of a generative Sun might subtly permeate Christian literature and art, with M. Meiss (1904 – 1975) noting that painters of the fifteenth century used the Sun and other sources of light to explain Christian mysteries including the conception.</w:t>
            </w:r>
            <w:r w:rsidRPr="0032491F">
              <w:rPr>
                <w:rFonts w:ascii="Times New Roman" w:eastAsia="Times New Roman" w:hAnsi="Times New Roman" w:cs="Times New Roman"/>
                <w:szCs w:val="24"/>
                <w:vertAlign w:val="superscript"/>
              </w:rPr>
              <w:footnoteReference w:id="217"/>
            </w:r>
            <w:r w:rsidRPr="0032491F">
              <w:rPr>
                <w:rFonts w:ascii="Times New Roman" w:eastAsia="Times New Roman" w:hAnsi="Times New Roman" w:cs="Times New Roman"/>
                <w:szCs w:val="24"/>
              </w:rPr>
              <w:t xml:space="preserve"> Jacobus notes that a sunbeam entering the portal of a miniature chapel held by the Virgin Mary in the Dedication scene of Giotto’s </w:t>
            </w:r>
            <w:r w:rsidRPr="0032491F">
              <w:rPr>
                <w:rFonts w:ascii="Times New Roman" w:eastAsia="Times New Roman" w:hAnsi="Times New Roman" w:cs="Times New Roman"/>
                <w:i/>
                <w:szCs w:val="24"/>
              </w:rPr>
              <w:t>Annunciation</w:t>
            </w:r>
            <w:r w:rsidRPr="0032491F">
              <w:rPr>
                <w:rFonts w:ascii="Times New Roman" w:eastAsia="Times New Roman" w:hAnsi="Times New Roman" w:cs="Times New Roman"/>
                <w:szCs w:val="24"/>
              </w:rPr>
              <w:t xml:space="preserve"> in the Arena Chapel at Padua may have been deliberately manipulated to act as a metaphor to illustrate the impregnation of Mary.</w:t>
            </w:r>
            <w:r w:rsidRPr="0032491F">
              <w:rPr>
                <w:rFonts w:ascii="Times New Roman" w:eastAsia="Times New Roman" w:hAnsi="Times New Roman" w:cs="Times New Roman"/>
                <w:szCs w:val="24"/>
                <w:vertAlign w:val="superscript"/>
              </w:rPr>
              <w:footnoteReference w:id="218"/>
            </w:r>
            <w:r w:rsidRPr="0032491F">
              <w:rPr>
                <w:rFonts w:ascii="Times New Roman" w:eastAsia="Times New Roman" w:hAnsi="Times New Roman" w:cs="Times New Roman"/>
                <w:szCs w:val="24"/>
              </w:rPr>
              <w:t xml:space="preserve"> Whilst Hirn (1870 – 1952) uses quotes from A. Neckham (1157 – 1217) and Saint Birgitta (1303 – 1373) to explain that Mary’s virginity had not been lost during her impregnation because she had been entered by God `like the passage of light through glass`.</w:t>
            </w:r>
            <w:r w:rsidRPr="0032491F">
              <w:rPr>
                <w:rFonts w:ascii="Times New Roman" w:eastAsia="Times New Roman" w:hAnsi="Times New Roman" w:cs="Times New Roman"/>
                <w:szCs w:val="24"/>
                <w:vertAlign w:val="superscript"/>
              </w:rPr>
              <w:footnoteReference w:id="219"/>
            </w:r>
            <w:r w:rsidRPr="0032491F">
              <w:rPr>
                <w:rFonts w:ascii="Times New Roman" w:eastAsia="Times New Roman" w:hAnsi="Times New Roman" w:cs="Times New Roman"/>
                <w:szCs w:val="24"/>
              </w:rPr>
              <w:t xml:space="preserve"> The light of the Sun or the actual rays themselves may have been understood to be the phallic aspect of it, rather than the disc. For the disc and the rays could be understood to be separate phenomena. </w:t>
            </w:r>
          </w:p>
          <w:p w14:paraId="45A4E617" w14:textId="77777777" w:rsidR="0032491F" w:rsidRPr="0032491F" w:rsidRDefault="0032491F" w:rsidP="0032491F">
            <w:pPr>
              <w:rPr>
                <w:rFonts w:ascii="Times New Roman" w:eastAsia="Times New Roman" w:hAnsi="Times New Roman" w:cs="Times New Roman"/>
                <w:szCs w:val="24"/>
              </w:rPr>
            </w:pPr>
          </w:p>
          <w:p w14:paraId="621BDACB"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Elsewhere, in an Egyptian Hymn to the Sun God, we see </w:t>
            </w:r>
            <w:r w:rsidRPr="0032491F">
              <w:rPr>
                <w:rFonts w:ascii="Times New Roman" w:eastAsia="Times New Roman" w:hAnsi="Times New Roman" w:cs="Times New Roman"/>
                <w:szCs w:val="24"/>
                <w:lang w:eastAsia="en-GB"/>
              </w:rPr>
              <w:t>how the disc, which in reality can only be seen at rise and set, is identified as the god himself:</w:t>
            </w:r>
          </w:p>
          <w:p w14:paraId="61A580CD" w14:textId="77777777" w:rsidR="0032491F" w:rsidRPr="0032491F" w:rsidRDefault="0032491F" w:rsidP="0032491F">
            <w:pPr>
              <w:rPr>
                <w:rFonts w:ascii="Times New Roman" w:eastAsia="Times New Roman" w:hAnsi="Times New Roman" w:cs="Times New Roman"/>
                <w:szCs w:val="24"/>
                <w:lang w:eastAsia="en-GB"/>
              </w:rPr>
            </w:pPr>
          </w:p>
          <w:p w14:paraId="254B1742" w14:textId="77777777" w:rsidR="0032491F" w:rsidRPr="0032491F" w:rsidRDefault="0032491F" w:rsidP="0032491F">
            <w:pPr>
              <w:rPr>
                <w:rFonts w:ascii="Times New Roman" w:eastAsia="Times New Roman" w:hAnsi="Times New Roman" w:cs="Times New Roman"/>
                <w:szCs w:val="24"/>
                <w:lang w:eastAsia="en-GB"/>
              </w:rPr>
            </w:pPr>
            <w:r w:rsidRPr="0032491F">
              <w:rPr>
                <w:rFonts w:ascii="Times New Roman" w:eastAsia="Times New Roman" w:hAnsi="Times New Roman" w:cs="Times New Roman"/>
                <w:szCs w:val="24"/>
                <w:lang w:eastAsia="en-GB"/>
              </w:rPr>
              <w:t>`Thou passest over the sky, every face watches thy course, thou thyself being unseen. Thou showest thyself at dawn and at eve daily</w:t>
            </w:r>
            <w:proofErr w:type="gramStart"/>
            <w:r w:rsidRPr="0032491F">
              <w:rPr>
                <w:rFonts w:ascii="Times New Roman" w:eastAsia="Times New Roman" w:hAnsi="Times New Roman" w:cs="Times New Roman"/>
                <w:szCs w:val="24"/>
                <w:lang w:eastAsia="en-GB"/>
              </w:rPr>
              <w:t>.`</w:t>
            </w:r>
            <w:proofErr w:type="gramEnd"/>
            <w:r w:rsidRPr="0032491F">
              <w:rPr>
                <w:rFonts w:ascii="Times New Roman" w:eastAsia="Times New Roman" w:hAnsi="Times New Roman" w:cs="Times New Roman"/>
                <w:szCs w:val="24"/>
                <w:vertAlign w:val="superscript"/>
                <w:lang w:eastAsia="en-GB"/>
              </w:rPr>
              <w:footnoteReference w:id="220"/>
            </w:r>
          </w:p>
          <w:p w14:paraId="4CC81033" w14:textId="77777777" w:rsidR="0032491F" w:rsidRPr="0032491F" w:rsidRDefault="0032491F" w:rsidP="0032491F">
            <w:pPr>
              <w:rPr>
                <w:rFonts w:ascii="Times New Roman" w:eastAsia="Times New Roman" w:hAnsi="Times New Roman" w:cs="Times New Roman"/>
                <w:szCs w:val="24"/>
                <w:lang w:eastAsia="en-GB"/>
              </w:rPr>
            </w:pPr>
          </w:p>
          <w:p w14:paraId="32224A7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lang w:eastAsia="en-GB"/>
              </w:rPr>
              <w:t>Also, `O Sun-disk, Lord of the sunbeams</w:t>
            </w:r>
            <w:proofErr w:type="gramStart"/>
            <w:r w:rsidRPr="0032491F">
              <w:rPr>
                <w:rFonts w:ascii="Times New Roman" w:eastAsia="Times New Roman" w:hAnsi="Times New Roman" w:cs="Times New Roman"/>
                <w:szCs w:val="24"/>
                <w:lang w:eastAsia="en-GB"/>
              </w:rPr>
              <w:t>,…</w:t>
            </w:r>
            <w:proofErr w:type="gramEnd"/>
            <w:r w:rsidRPr="0032491F">
              <w:rPr>
                <w:rFonts w:ascii="Times New Roman" w:eastAsia="Times New Roman" w:hAnsi="Times New Roman" w:cs="Times New Roman"/>
                <w:szCs w:val="24"/>
                <w:lang w:eastAsia="en-GB"/>
              </w:rPr>
              <w:t>`</w:t>
            </w:r>
            <w:r w:rsidRPr="0032491F">
              <w:rPr>
                <w:rFonts w:ascii="Times New Roman" w:eastAsia="Times New Roman" w:hAnsi="Times New Roman" w:cs="Times New Roman"/>
                <w:szCs w:val="24"/>
                <w:vertAlign w:val="superscript"/>
                <w:lang w:eastAsia="en-GB"/>
              </w:rPr>
              <w:footnoteReference w:id="221"/>
            </w:r>
          </w:p>
          <w:p w14:paraId="688FC48B" w14:textId="77777777" w:rsidR="0032491F" w:rsidRPr="0032491F" w:rsidRDefault="0032491F" w:rsidP="0032491F">
            <w:pPr>
              <w:rPr>
                <w:rFonts w:ascii="Times New Roman" w:eastAsia="Times New Roman" w:hAnsi="Times New Roman" w:cs="Times New Roman"/>
                <w:color w:val="0070C0"/>
                <w:szCs w:val="24"/>
              </w:rPr>
            </w:pPr>
          </w:p>
          <w:p w14:paraId="6E73F85D"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The Corpus Hermeticum also differentiates between the Mind or highest deity and the son of that god. “I am the light you saw, mind, your god… The lightgiving word who comes from mind is the son of god.”</w:t>
            </w:r>
            <w:r w:rsidRPr="0032491F">
              <w:rPr>
                <w:rFonts w:ascii="Times New Roman" w:eastAsia="Times New Roman" w:hAnsi="Times New Roman" w:cs="Times New Roman"/>
                <w:szCs w:val="24"/>
                <w:vertAlign w:val="superscript"/>
              </w:rPr>
              <w:footnoteReference w:id="222"/>
            </w:r>
            <w:r w:rsidRPr="0032491F">
              <w:rPr>
                <w:rFonts w:ascii="Times New Roman" w:eastAsia="Times New Roman" w:hAnsi="Times New Roman" w:cs="Times New Roman"/>
                <w:szCs w:val="24"/>
              </w:rPr>
              <w:t xml:space="preserve"> Returning to Christianity, Jesus said `I am the </w:t>
            </w:r>
            <w:r w:rsidRPr="0032491F">
              <w:rPr>
                <w:rFonts w:ascii="Times New Roman" w:eastAsia="Times New Roman" w:hAnsi="Times New Roman" w:cs="Times New Roman"/>
                <w:szCs w:val="24"/>
              </w:rPr>
              <w:lastRenderedPageBreak/>
              <w:t>light of the world` and he was the son of god.</w:t>
            </w:r>
            <w:r w:rsidRPr="0032491F">
              <w:rPr>
                <w:rFonts w:ascii="Times New Roman" w:eastAsia="Times New Roman" w:hAnsi="Times New Roman" w:cs="Times New Roman"/>
                <w:szCs w:val="24"/>
                <w:vertAlign w:val="superscript"/>
              </w:rPr>
              <w:footnoteReference w:id="223"/>
            </w:r>
            <w:r w:rsidRPr="0032491F">
              <w:rPr>
                <w:rFonts w:ascii="Times New Roman" w:eastAsia="Times New Roman" w:hAnsi="Times New Roman" w:cs="Times New Roman"/>
                <w:szCs w:val="24"/>
              </w:rPr>
              <w:t xml:space="preserve"> Could Jesus be compared with the light of the Sun, whilst the disc itself is god? An argument against this can be made by examining the trinity of father, son and holy ghost, where the holy ghost may be the light. There may then, be a connection or general progression from the notion of the Sun as phallic, to the hierarchy of divinity in Christianity which is another possible line of exploration. </w:t>
            </w:r>
          </w:p>
          <w:p w14:paraId="720BE8E4" w14:textId="77777777" w:rsidR="0032491F" w:rsidRPr="0032491F" w:rsidRDefault="0032491F" w:rsidP="0032491F">
            <w:pPr>
              <w:rPr>
                <w:rFonts w:ascii="Times New Roman" w:eastAsia="Times New Roman" w:hAnsi="Times New Roman" w:cs="Times New Roman"/>
                <w:szCs w:val="24"/>
              </w:rPr>
            </w:pPr>
          </w:p>
          <w:p w14:paraId="4DF25C4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An interesting aspect may be introduced by an examination of the Old Kingdom worship of Ra and the perceived powerful holy state of regeneration or rejuvenation of the Sun at the point when it is half way between sunset and sunrise.</w:t>
            </w:r>
            <w:r w:rsidRPr="0032491F">
              <w:rPr>
                <w:rFonts w:ascii="Times New Roman" w:eastAsia="Times New Roman" w:hAnsi="Times New Roman" w:cs="Times New Roman"/>
                <w:szCs w:val="24"/>
                <w:vertAlign w:val="superscript"/>
              </w:rPr>
              <w:footnoteReference w:id="224"/>
            </w:r>
            <w:r w:rsidRPr="0032491F">
              <w:rPr>
                <w:rFonts w:ascii="Times New Roman" w:eastAsia="Times New Roman" w:hAnsi="Times New Roman" w:cs="Times New Roman"/>
                <w:szCs w:val="24"/>
              </w:rPr>
              <w:t xml:space="preserve"> Conman argues that the rising of certain stars in the dead of night marks the hour that the Sun (on the far side of Earth) `is regenerating in the presence of Osiris`.</w:t>
            </w:r>
            <w:r w:rsidRPr="0032491F">
              <w:rPr>
                <w:rFonts w:ascii="Times New Roman" w:eastAsia="Times New Roman" w:hAnsi="Times New Roman" w:cs="Times New Roman"/>
                <w:szCs w:val="24"/>
                <w:vertAlign w:val="superscript"/>
              </w:rPr>
              <w:footnoteReference w:id="225"/>
            </w:r>
            <w:r w:rsidRPr="0032491F">
              <w:rPr>
                <w:rFonts w:ascii="Times New Roman" w:eastAsia="Times New Roman" w:hAnsi="Times New Roman" w:cs="Times New Roman"/>
                <w:szCs w:val="24"/>
              </w:rPr>
              <w:t xml:space="preserve"> This is the point when the sun is midway between setting and rising, when it is at a turning point. Conman examines various texts to suggest the symbolism of bulls battling and creating off-spring and rejuvenation and suggests a parallel between the regenerative energy of this turning point/dark hour of the night and the sun’s yearly regeneration at the winter solstice. This regenerative notion is analogous to that of a phallic Sun.</w:t>
            </w:r>
          </w:p>
          <w:p w14:paraId="65C9F2F7" w14:textId="77777777" w:rsidR="0032491F" w:rsidRPr="0032491F" w:rsidRDefault="0032491F" w:rsidP="0032491F">
            <w:pPr>
              <w:rPr>
                <w:rFonts w:ascii="Times New Roman" w:eastAsia="Times New Roman" w:hAnsi="Times New Roman" w:cs="Times New Roman"/>
                <w:szCs w:val="24"/>
              </w:rPr>
            </w:pPr>
          </w:p>
          <w:p w14:paraId="0F7AE744"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 contra argument to the `Sun as a penis` may arise from an examination of the Sun as feminine gender, for the solar deity in the RasShamra texts, Shapash and Sekhmet in Egypt were both female.</w:t>
            </w:r>
            <w:r w:rsidRPr="0032491F">
              <w:rPr>
                <w:rFonts w:ascii="Times New Roman" w:eastAsia="Times New Roman" w:hAnsi="Times New Roman" w:cs="Times New Roman"/>
                <w:szCs w:val="24"/>
                <w:vertAlign w:val="superscript"/>
              </w:rPr>
              <w:footnoteReference w:id="226"/>
            </w:r>
            <w:r w:rsidRPr="0032491F">
              <w:rPr>
                <w:rFonts w:ascii="Times New Roman" w:eastAsia="Times New Roman" w:hAnsi="Times New Roman" w:cs="Times New Roman"/>
                <w:szCs w:val="24"/>
              </w:rPr>
              <w:t xml:space="preserve"> I will investigate the generative powers ascribed to them.</w:t>
            </w:r>
          </w:p>
          <w:p w14:paraId="7906E701" w14:textId="77777777" w:rsidR="0032491F" w:rsidRPr="0032491F" w:rsidRDefault="0032491F" w:rsidP="0032491F">
            <w:pPr>
              <w:rPr>
                <w:rFonts w:ascii="Times New Roman" w:eastAsia="Times New Roman" w:hAnsi="Times New Roman" w:cs="Times New Roman"/>
                <w:color w:val="0070C0"/>
                <w:szCs w:val="24"/>
              </w:rPr>
            </w:pPr>
          </w:p>
          <w:p w14:paraId="18D90043"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I will consider possible connections between the various artefacts or examples under consideration. It may be appropriate to explore panhuman spiritual beliefs or invisible, cultural mechanisms which might enable the symbolism of a phallic or generative Sun to emerge as a `significant universal underpinning symbolic culture.`</w:t>
            </w:r>
            <w:r w:rsidRPr="0032491F">
              <w:rPr>
                <w:rFonts w:ascii="Times New Roman" w:eastAsia="Times New Roman" w:hAnsi="Times New Roman" w:cs="Times New Roman"/>
                <w:szCs w:val="24"/>
                <w:vertAlign w:val="superscript"/>
              </w:rPr>
              <w:footnoteReference w:id="227"/>
            </w:r>
            <w:r w:rsidRPr="0032491F">
              <w:rPr>
                <w:rFonts w:ascii="Times New Roman" w:eastAsia="Times New Roman" w:hAnsi="Times New Roman" w:cs="Times New Roman"/>
                <w:szCs w:val="24"/>
              </w:rPr>
              <w:t xml:space="preserve"> Theoretical models or mechanisms such as Jungian archetypes may provide possibilities, along with direct transmission.</w:t>
            </w:r>
            <w:r w:rsidRPr="0032491F">
              <w:rPr>
                <w:rFonts w:ascii="Times New Roman" w:eastAsia="Times New Roman" w:hAnsi="Times New Roman" w:cs="Times New Roman"/>
                <w:szCs w:val="24"/>
                <w:vertAlign w:val="superscript"/>
              </w:rPr>
              <w:footnoteReference w:id="228"/>
            </w:r>
            <w:r w:rsidRPr="0032491F">
              <w:rPr>
                <w:rFonts w:ascii="Times New Roman" w:eastAsia="Times New Roman" w:hAnsi="Times New Roman" w:cs="Times New Roman"/>
                <w:szCs w:val="24"/>
              </w:rPr>
              <w:t xml:space="preserve"> Although Eliade (1907 – 1986) may contradict this by stating that Sun worship is found in few parts of the world and `divine figures of the sun are rare`</w:t>
            </w:r>
            <w:r w:rsidRPr="0032491F">
              <w:rPr>
                <w:rFonts w:ascii="Times New Roman" w:eastAsia="Times New Roman" w:hAnsi="Times New Roman" w:cs="Times New Roman"/>
                <w:szCs w:val="24"/>
                <w:vertAlign w:val="superscript"/>
              </w:rPr>
              <w:footnoteReference w:id="229"/>
            </w:r>
            <w:r w:rsidRPr="0032491F">
              <w:rPr>
                <w:rFonts w:ascii="Times New Roman" w:eastAsia="Times New Roman" w:hAnsi="Times New Roman" w:cs="Times New Roman"/>
                <w:szCs w:val="24"/>
              </w:rPr>
              <w:t xml:space="preserve"> However, there may not need to be evidence of actual Sun worship as defined by Eliade, for there to be evidence of the Sun or sunlight being generative or phallic. </w:t>
            </w:r>
          </w:p>
          <w:p w14:paraId="57EBB739" w14:textId="77777777" w:rsidR="0032491F" w:rsidRPr="0032491F" w:rsidRDefault="0032491F" w:rsidP="0032491F">
            <w:pPr>
              <w:rPr>
                <w:rFonts w:ascii="Times New Roman" w:eastAsia="Times New Roman" w:hAnsi="Times New Roman" w:cs="Times New Roman"/>
                <w:szCs w:val="24"/>
              </w:rPr>
            </w:pPr>
          </w:p>
        </w:tc>
      </w:tr>
      <w:tr w:rsidR="0032491F" w:rsidRPr="0032491F" w14:paraId="63F6CD51" w14:textId="77777777" w:rsidTr="00613D59">
        <w:tc>
          <w:tcPr>
            <w:tcW w:w="8856" w:type="dxa"/>
          </w:tcPr>
          <w:p w14:paraId="34CA7C98"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lastRenderedPageBreak/>
              <w:t>Abstract</w:t>
            </w:r>
          </w:p>
          <w:p w14:paraId="571AA6D6" w14:textId="77777777" w:rsidR="0032491F" w:rsidRPr="0032491F" w:rsidRDefault="0032491F" w:rsidP="0032491F">
            <w:pPr>
              <w:rPr>
                <w:rFonts w:ascii="Times New Roman" w:eastAsia="Times New Roman" w:hAnsi="Times New Roman" w:cs="Times New Roman"/>
                <w:szCs w:val="24"/>
              </w:rPr>
            </w:pPr>
          </w:p>
          <w:p w14:paraId="347F54DB"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The Sun has been identified as phallic, with a shaft of sun light being seen as generative or having the capability to impregnate with the divine `light` of god.</w:t>
            </w:r>
            <w:r w:rsidRPr="0032491F">
              <w:rPr>
                <w:rFonts w:ascii="Times New Roman" w:eastAsia="Times New Roman" w:hAnsi="Times New Roman" w:cs="Times New Roman"/>
                <w:szCs w:val="24"/>
                <w:vertAlign w:val="superscript"/>
              </w:rPr>
              <w:footnoteReference w:id="230"/>
            </w:r>
            <w:r w:rsidRPr="0032491F">
              <w:rPr>
                <w:rFonts w:ascii="Times New Roman" w:eastAsia="Times New Roman" w:hAnsi="Times New Roman" w:cs="Times New Roman"/>
                <w:szCs w:val="24"/>
              </w:rPr>
              <w:t xml:space="preserve">  This dissertation explores the theme of the Sun as a symbol of phallic virility or generative power in the texts, art and religions of the Ancient Eastern Mediterranean and Europe. It also explores the Sun as the generater of light which is then perceived as its son. </w:t>
            </w:r>
          </w:p>
          <w:p w14:paraId="13E72BBB" w14:textId="77777777" w:rsidR="0032491F" w:rsidRPr="0032491F" w:rsidRDefault="0032491F" w:rsidP="0032491F">
            <w:pPr>
              <w:rPr>
                <w:rFonts w:ascii="Times New Roman" w:eastAsia="Times New Roman" w:hAnsi="Times New Roman" w:cs="Times New Roman"/>
                <w:szCs w:val="24"/>
              </w:rPr>
            </w:pPr>
          </w:p>
          <w:p w14:paraId="26855411" w14:textId="77777777" w:rsidR="0032491F" w:rsidRPr="0032491F" w:rsidRDefault="0032491F" w:rsidP="0032491F">
            <w:pPr>
              <w:rPr>
                <w:rFonts w:ascii="Times New Roman" w:eastAsia="Times New Roman" w:hAnsi="Times New Roman" w:cs="Times New Roman"/>
                <w:szCs w:val="24"/>
              </w:rPr>
            </w:pPr>
          </w:p>
        </w:tc>
      </w:tr>
      <w:tr w:rsidR="0032491F" w:rsidRPr="0032491F" w14:paraId="2D1BA77B" w14:textId="77777777" w:rsidTr="00613D59">
        <w:tc>
          <w:tcPr>
            <w:tcW w:w="8856" w:type="dxa"/>
          </w:tcPr>
          <w:p w14:paraId="0E2F7EA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lastRenderedPageBreak/>
              <w:t>Methodology</w:t>
            </w:r>
          </w:p>
          <w:p w14:paraId="4F1AD1E4" w14:textId="77777777" w:rsidR="0032491F" w:rsidRPr="0032491F" w:rsidRDefault="0032491F" w:rsidP="0032491F">
            <w:pPr>
              <w:rPr>
                <w:rFonts w:ascii="Times New Roman" w:eastAsia="Times New Roman" w:hAnsi="Times New Roman" w:cs="Times New Roman"/>
                <w:szCs w:val="24"/>
              </w:rPr>
            </w:pPr>
          </w:p>
          <w:p w14:paraId="52F2F005"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An examination of extant texts, paintings or objects that contain narrative or expressions of spiritual and religious beliefs concerning the Sun and its generative potential. An exploration and comparison of commentary in secondary sources. </w:t>
            </w:r>
          </w:p>
          <w:p w14:paraId="4CEEC1A3" w14:textId="77777777" w:rsidR="0032491F" w:rsidRPr="0032491F" w:rsidRDefault="0032491F" w:rsidP="0032491F">
            <w:pPr>
              <w:rPr>
                <w:rFonts w:ascii="Times New Roman" w:eastAsia="Times New Roman" w:hAnsi="Times New Roman" w:cs="Times New Roman"/>
                <w:szCs w:val="24"/>
              </w:rPr>
            </w:pPr>
          </w:p>
          <w:p w14:paraId="7E87718A" w14:textId="77777777" w:rsidR="0032491F" w:rsidRPr="0032491F" w:rsidRDefault="0032491F" w:rsidP="0032491F">
            <w:pPr>
              <w:rPr>
                <w:rFonts w:ascii="Times New Roman" w:eastAsia="Times New Roman" w:hAnsi="Times New Roman" w:cs="Times New Roman"/>
                <w:szCs w:val="24"/>
              </w:rPr>
            </w:pPr>
          </w:p>
        </w:tc>
      </w:tr>
      <w:tr w:rsidR="0032491F" w:rsidRPr="0032491F" w14:paraId="55ABAD6B" w14:textId="77777777" w:rsidTr="00613D59">
        <w:tc>
          <w:tcPr>
            <w:tcW w:w="8856" w:type="dxa"/>
          </w:tcPr>
          <w:p w14:paraId="18F4E657"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Short Introductory Bibliography: 1. Secondary Sources (Scholarly Works)</w:t>
            </w:r>
          </w:p>
          <w:p w14:paraId="0635441E" w14:textId="77777777" w:rsidR="0032491F" w:rsidRPr="0032491F" w:rsidRDefault="0032491F" w:rsidP="0032491F">
            <w:pPr>
              <w:rPr>
                <w:rFonts w:ascii="Times New Roman" w:eastAsia="Times New Roman" w:hAnsi="Times New Roman" w:cs="Times New Roman"/>
                <w:szCs w:val="24"/>
              </w:rPr>
            </w:pPr>
          </w:p>
          <w:p w14:paraId="4482E254"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Brisson</w:t>
            </w:r>
            <w:proofErr w:type="gramStart"/>
            <w:r w:rsidRPr="0032491F">
              <w:rPr>
                <w:rFonts w:ascii="Times New Roman" w:eastAsia="Times New Roman" w:hAnsi="Times New Roman" w:cs="Times New Roman"/>
                <w:szCs w:val="24"/>
              </w:rPr>
              <w:t>,L</w:t>
            </w:r>
            <w:proofErr w:type="gramEnd"/>
            <w:r w:rsidRPr="0032491F">
              <w:rPr>
                <w:rFonts w:ascii="Times New Roman" w:eastAsia="Times New Roman" w:hAnsi="Times New Roman" w:cs="Times New Roman"/>
                <w:szCs w:val="24"/>
              </w:rPr>
              <w:t xml:space="preserve">., Sky, Sex and the Sun, the meaning of +++++ in the Derveni Papyrus, </w:t>
            </w:r>
            <w:r w:rsidRPr="0032491F">
              <w:rPr>
                <w:rFonts w:ascii="Times New Roman" w:eastAsia="Times New Roman" w:hAnsi="Times New Roman" w:cs="Times New Roman"/>
                <w:i/>
                <w:szCs w:val="24"/>
              </w:rPr>
              <w:t>Zeitschrift Fur Papyrologie und Epigraphik</w:t>
            </w:r>
            <w:r w:rsidRPr="0032491F">
              <w:rPr>
                <w:rFonts w:ascii="Times New Roman" w:eastAsia="Times New Roman" w:hAnsi="Times New Roman" w:cs="Times New Roman"/>
                <w:szCs w:val="24"/>
              </w:rPr>
              <w:t>, Bd. 144 (2003), pp. 19-29.</w:t>
            </w:r>
          </w:p>
          <w:p w14:paraId="6C318987" w14:textId="77777777" w:rsidR="0032491F" w:rsidRPr="0032491F" w:rsidRDefault="0032491F" w:rsidP="0032491F">
            <w:pPr>
              <w:rPr>
                <w:rFonts w:ascii="Times New Roman" w:eastAsia="Times New Roman" w:hAnsi="Times New Roman" w:cs="Times New Roman"/>
                <w:szCs w:val="24"/>
              </w:rPr>
            </w:pPr>
          </w:p>
          <w:p w14:paraId="4375F827"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Campion, N., </w:t>
            </w:r>
            <w:r w:rsidRPr="0032491F">
              <w:rPr>
                <w:rFonts w:ascii="Times New Roman" w:eastAsia="Times New Roman" w:hAnsi="Times New Roman" w:cs="Times New Roman"/>
                <w:i/>
                <w:szCs w:val="24"/>
              </w:rPr>
              <w:t>A History of Western Astrology</w:t>
            </w:r>
            <w:proofErr w:type="gramStart"/>
            <w:r w:rsidRPr="0032491F">
              <w:rPr>
                <w:rFonts w:ascii="Times New Roman" w:eastAsia="Times New Roman" w:hAnsi="Times New Roman" w:cs="Times New Roman"/>
                <w:i/>
                <w:szCs w:val="24"/>
              </w:rPr>
              <w:t>,</w:t>
            </w:r>
            <w:r w:rsidRPr="0032491F">
              <w:rPr>
                <w:rFonts w:ascii="Times New Roman" w:eastAsia="Times New Roman" w:hAnsi="Times New Roman" w:cs="Times New Roman"/>
                <w:szCs w:val="24"/>
              </w:rPr>
              <w:t>Vol</w:t>
            </w:r>
            <w:proofErr w:type="gramEnd"/>
            <w:r w:rsidRPr="0032491F">
              <w:rPr>
                <w:rFonts w:ascii="Times New Roman" w:eastAsia="Times New Roman" w:hAnsi="Times New Roman" w:cs="Times New Roman"/>
                <w:szCs w:val="24"/>
              </w:rPr>
              <w:t xml:space="preserve"> 1. The Ancient World, (London: Continuum, 2009)</w:t>
            </w:r>
          </w:p>
          <w:p w14:paraId="1FBDD09A" w14:textId="77777777" w:rsidR="0032491F" w:rsidRPr="0032491F" w:rsidRDefault="0032491F" w:rsidP="0032491F">
            <w:pPr>
              <w:rPr>
                <w:rFonts w:ascii="Times New Roman" w:eastAsia="Times New Roman" w:hAnsi="Times New Roman" w:cs="Times New Roman"/>
                <w:szCs w:val="24"/>
              </w:rPr>
            </w:pPr>
          </w:p>
          <w:p w14:paraId="4FF87504" w14:textId="77777777" w:rsidR="0032491F" w:rsidRPr="0032491F" w:rsidRDefault="0032491F" w:rsidP="0032491F">
            <w:pPr>
              <w:rPr>
                <w:rFonts w:ascii="Times New Roman" w:eastAsia="Times New Roman" w:hAnsi="Times New Roman" w:cs="Times New Roman"/>
                <w:szCs w:val="24"/>
                <w:lang w:val="nl-BE"/>
              </w:rPr>
            </w:pPr>
            <w:r w:rsidRPr="0032491F">
              <w:rPr>
                <w:rFonts w:ascii="Times New Roman" w:eastAsia="Times New Roman" w:hAnsi="Times New Roman" w:cs="Times New Roman"/>
                <w:szCs w:val="24"/>
              </w:rPr>
              <w:t>Conman</w:t>
            </w:r>
            <w:proofErr w:type="gramStart"/>
            <w:r w:rsidRPr="0032491F">
              <w:rPr>
                <w:rFonts w:ascii="Times New Roman" w:eastAsia="Times New Roman" w:hAnsi="Times New Roman" w:cs="Times New Roman"/>
                <w:szCs w:val="24"/>
              </w:rPr>
              <w:t>,J</w:t>
            </w:r>
            <w:proofErr w:type="gramEnd"/>
            <w:r w:rsidRPr="0032491F">
              <w:rPr>
                <w:rFonts w:ascii="Times New Roman" w:eastAsia="Times New Roman" w:hAnsi="Times New Roman" w:cs="Times New Roman"/>
                <w:szCs w:val="24"/>
              </w:rPr>
              <w:t xml:space="preserve">., `Speculation on Special Sunlight and the ws3w Hour`. </w:t>
            </w:r>
            <w:r w:rsidRPr="0032491F">
              <w:rPr>
                <w:rFonts w:ascii="Times New Roman" w:eastAsia="Times New Roman" w:hAnsi="Times New Roman" w:cs="Times New Roman"/>
                <w:i/>
                <w:szCs w:val="24"/>
                <w:lang w:val="nl-BE"/>
              </w:rPr>
              <w:t>Apuntes de Egiptologia</w:t>
            </w:r>
            <w:r w:rsidRPr="0032491F">
              <w:rPr>
                <w:rFonts w:ascii="Times New Roman" w:eastAsia="Times New Roman" w:hAnsi="Times New Roman" w:cs="Times New Roman"/>
                <w:szCs w:val="24"/>
                <w:lang w:val="nl-BE"/>
              </w:rPr>
              <w:t>, vol.3, (2007), pp. 1-11.</w:t>
            </w:r>
          </w:p>
          <w:p w14:paraId="09AE08D3" w14:textId="77777777" w:rsidR="0032491F" w:rsidRPr="0032491F" w:rsidRDefault="0032491F" w:rsidP="0032491F">
            <w:pPr>
              <w:rPr>
                <w:rFonts w:ascii="Times New Roman" w:eastAsia="Times New Roman" w:hAnsi="Times New Roman" w:cs="Times New Roman"/>
                <w:szCs w:val="24"/>
                <w:lang w:val="nl-BE"/>
              </w:rPr>
            </w:pPr>
          </w:p>
          <w:p w14:paraId="74954F7B"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Edmonds</w:t>
            </w:r>
            <w:proofErr w:type="gramStart"/>
            <w:r w:rsidRPr="0032491F">
              <w:rPr>
                <w:rFonts w:ascii="Times New Roman" w:eastAsia="Times New Roman" w:hAnsi="Times New Roman" w:cs="Times New Roman"/>
                <w:szCs w:val="24"/>
              </w:rPr>
              <w:t>,R</w:t>
            </w:r>
            <w:proofErr w:type="gramEnd"/>
            <w:r w:rsidRPr="0032491F">
              <w:rPr>
                <w:rFonts w:ascii="Times New Roman" w:eastAsia="Times New Roman" w:hAnsi="Times New Roman" w:cs="Times New Roman"/>
                <w:szCs w:val="24"/>
              </w:rPr>
              <w:t xml:space="preserve">., `Did the Mithraists Inhale? A Technique of Theurgic Ascent in the Mithras Liturgy, the Chaldean Oracles, and some Mithraic Frescoes`, </w:t>
            </w:r>
            <w:r w:rsidRPr="0032491F">
              <w:rPr>
                <w:rFonts w:ascii="Times New Roman" w:eastAsia="Times New Roman" w:hAnsi="Times New Roman" w:cs="Times New Roman"/>
                <w:i/>
                <w:szCs w:val="24"/>
              </w:rPr>
              <w:t>The Ancient World Mystery Religions and Philosophy of Late Antiquity</w:t>
            </w:r>
            <w:r w:rsidRPr="0032491F">
              <w:rPr>
                <w:rFonts w:ascii="Times New Roman" w:eastAsia="Times New Roman" w:hAnsi="Times New Roman" w:cs="Times New Roman"/>
                <w:szCs w:val="24"/>
              </w:rPr>
              <w:t>, Vol. XXXII, no.1 (2001), pp. 10-24.</w:t>
            </w:r>
          </w:p>
          <w:p w14:paraId="1F1710CE" w14:textId="77777777" w:rsidR="0032491F" w:rsidRPr="0032491F" w:rsidRDefault="0032491F" w:rsidP="0032491F">
            <w:pPr>
              <w:rPr>
                <w:rFonts w:ascii="Times New Roman" w:eastAsia="Times New Roman" w:hAnsi="Times New Roman" w:cs="Times New Roman"/>
                <w:szCs w:val="24"/>
              </w:rPr>
            </w:pPr>
          </w:p>
          <w:p w14:paraId="52EC70B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Goldman</w:t>
            </w:r>
            <w:proofErr w:type="gramStart"/>
            <w:r w:rsidRPr="0032491F">
              <w:rPr>
                <w:rFonts w:ascii="Times New Roman" w:eastAsia="Times New Roman" w:hAnsi="Times New Roman" w:cs="Times New Roman"/>
                <w:szCs w:val="24"/>
              </w:rPr>
              <w:t>,B</w:t>
            </w:r>
            <w:proofErr w:type="gramEnd"/>
            <w:r w:rsidRPr="0032491F">
              <w:rPr>
                <w:rFonts w:ascii="Times New Roman" w:eastAsia="Times New Roman" w:hAnsi="Times New Roman" w:cs="Times New Roman"/>
                <w:szCs w:val="24"/>
              </w:rPr>
              <w:t>., `An Oriental Solar Motif and It’s Western Extension,`</w:t>
            </w:r>
            <w:r w:rsidRPr="0032491F">
              <w:rPr>
                <w:rFonts w:ascii="Times New Roman" w:eastAsia="Times New Roman" w:hAnsi="Times New Roman" w:cs="Times New Roman"/>
                <w:i/>
                <w:szCs w:val="24"/>
              </w:rPr>
              <w:t>Journal of Near Eastern Studies</w:t>
            </w:r>
            <w:r w:rsidRPr="0032491F">
              <w:rPr>
                <w:rFonts w:ascii="Times New Roman" w:eastAsia="Times New Roman" w:hAnsi="Times New Roman" w:cs="Times New Roman"/>
                <w:szCs w:val="24"/>
              </w:rPr>
              <w:t>, Vol. 20, No. 4 (Oct. 1961), pp.239-247.</w:t>
            </w:r>
          </w:p>
          <w:p w14:paraId="53AC4FE7" w14:textId="77777777" w:rsidR="0032491F" w:rsidRPr="0032491F" w:rsidRDefault="0032491F" w:rsidP="0032491F">
            <w:pPr>
              <w:rPr>
                <w:rFonts w:ascii="Times New Roman" w:eastAsia="Times New Roman" w:hAnsi="Times New Roman" w:cs="Times New Roman"/>
                <w:szCs w:val="24"/>
              </w:rPr>
            </w:pPr>
          </w:p>
          <w:p w14:paraId="148238B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Hellinck</w:t>
            </w:r>
            <w:proofErr w:type="gramStart"/>
            <w:r w:rsidRPr="0032491F">
              <w:rPr>
                <w:rFonts w:ascii="Times New Roman" w:eastAsia="Times New Roman" w:hAnsi="Times New Roman" w:cs="Times New Roman"/>
                <w:szCs w:val="24"/>
              </w:rPr>
              <w:t>,B</w:t>
            </w:r>
            <w:proofErr w:type="gramEnd"/>
            <w:r w:rsidRPr="0032491F">
              <w:rPr>
                <w:rFonts w:ascii="Times New Roman" w:eastAsia="Times New Roman" w:hAnsi="Times New Roman" w:cs="Times New Roman"/>
                <w:szCs w:val="24"/>
              </w:rPr>
              <w:t xml:space="preserve">., The Symbolic Assimilation of Head and Sun as Expressed by Headrests. </w:t>
            </w:r>
            <w:r w:rsidRPr="0032491F">
              <w:rPr>
                <w:rFonts w:ascii="Times New Roman" w:eastAsia="Times New Roman" w:hAnsi="Times New Roman" w:cs="Times New Roman"/>
                <w:i/>
                <w:szCs w:val="24"/>
              </w:rPr>
              <w:t>StudienzurAltagyptischenKulture</w:t>
            </w:r>
            <w:r w:rsidRPr="0032491F">
              <w:rPr>
                <w:rFonts w:ascii="Times New Roman" w:eastAsia="Times New Roman" w:hAnsi="Times New Roman" w:cs="Times New Roman"/>
                <w:szCs w:val="24"/>
              </w:rPr>
              <w:t>, Bd. 29 (2001), pp. 61-95.</w:t>
            </w:r>
          </w:p>
          <w:p w14:paraId="62C5CE18" w14:textId="77777777" w:rsidR="0032491F" w:rsidRPr="0032491F" w:rsidRDefault="0032491F" w:rsidP="0032491F">
            <w:pPr>
              <w:rPr>
                <w:rFonts w:ascii="Times New Roman" w:eastAsia="Times New Roman" w:hAnsi="Times New Roman" w:cs="Times New Roman"/>
                <w:szCs w:val="24"/>
              </w:rPr>
            </w:pPr>
          </w:p>
          <w:p w14:paraId="598048DB"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Jacobus</w:t>
            </w:r>
            <w:proofErr w:type="gramStart"/>
            <w:r w:rsidRPr="0032491F">
              <w:rPr>
                <w:rFonts w:ascii="Times New Roman" w:eastAsia="Times New Roman" w:hAnsi="Times New Roman" w:cs="Times New Roman"/>
                <w:szCs w:val="24"/>
              </w:rPr>
              <w:t>,L</w:t>
            </w:r>
            <w:proofErr w:type="gramEnd"/>
            <w:r w:rsidRPr="0032491F">
              <w:rPr>
                <w:rFonts w:ascii="Times New Roman" w:eastAsia="Times New Roman" w:hAnsi="Times New Roman" w:cs="Times New Roman"/>
                <w:szCs w:val="24"/>
              </w:rPr>
              <w:t xml:space="preserve">., Giotto’s Annunciation in the Arena Chapel, Padua, </w:t>
            </w:r>
            <w:r w:rsidRPr="0032491F">
              <w:rPr>
                <w:rFonts w:ascii="Times New Roman" w:eastAsia="Times New Roman" w:hAnsi="Times New Roman" w:cs="Times New Roman"/>
                <w:i/>
                <w:szCs w:val="24"/>
              </w:rPr>
              <w:t>The Art Bulletin</w:t>
            </w:r>
            <w:r w:rsidRPr="0032491F">
              <w:rPr>
                <w:rFonts w:ascii="Times New Roman" w:eastAsia="Times New Roman" w:hAnsi="Times New Roman" w:cs="Times New Roman"/>
                <w:szCs w:val="24"/>
              </w:rPr>
              <w:t>, Vol. 81. No. 1 (Mar. 1999), pp. 93-107.</w:t>
            </w:r>
          </w:p>
          <w:p w14:paraId="2977E71B" w14:textId="77777777" w:rsidR="0032491F" w:rsidRPr="0032491F" w:rsidRDefault="0032491F" w:rsidP="0032491F">
            <w:pPr>
              <w:rPr>
                <w:rFonts w:ascii="Times New Roman" w:eastAsia="Times New Roman" w:hAnsi="Times New Roman" w:cs="Times New Roman"/>
                <w:szCs w:val="24"/>
              </w:rPr>
            </w:pPr>
          </w:p>
          <w:p w14:paraId="77E9BFB6"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Jung</w:t>
            </w:r>
            <w:proofErr w:type="gramStart"/>
            <w:r w:rsidRPr="0032491F">
              <w:rPr>
                <w:rFonts w:ascii="Times New Roman" w:eastAsia="Times New Roman" w:hAnsi="Times New Roman" w:cs="Times New Roman"/>
                <w:szCs w:val="24"/>
              </w:rPr>
              <w:t>,C</w:t>
            </w:r>
            <w:proofErr w:type="gramEnd"/>
            <w:r w:rsidRPr="0032491F">
              <w:rPr>
                <w:rFonts w:ascii="Times New Roman" w:eastAsia="Times New Roman" w:hAnsi="Times New Roman" w:cs="Times New Roman"/>
                <w:szCs w:val="24"/>
              </w:rPr>
              <w:t xml:space="preserve">., </w:t>
            </w:r>
            <w:r w:rsidRPr="0032491F">
              <w:rPr>
                <w:rFonts w:ascii="Times New Roman" w:eastAsia="Times New Roman" w:hAnsi="Times New Roman" w:cs="Times New Roman"/>
                <w:i/>
                <w:szCs w:val="24"/>
              </w:rPr>
              <w:t>The Archetypes and the Collective Unconscious</w:t>
            </w:r>
            <w:r w:rsidRPr="0032491F">
              <w:rPr>
                <w:rFonts w:ascii="Times New Roman" w:eastAsia="Times New Roman" w:hAnsi="Times New Roman" w:cs="Times New Roman"/>
                <w:szCs w:val="24"/>
              </w:rPr>
              <w:t>, (Oxon: Routledge, 1991).</w:t>
            </w:r>
          </w:p>
          <w:p w14:paraId="5D6C9F34" w14:textId="77777777" w:rsidR="0032491F" w:rsidRPr="0032491F" w:rsidRDefault="0032491F" w:rsidP="0032491F">
            <w:pPr>
              <w:rPr>
                <w:rFonts w:ascii="Times New Roman" w:eastAsia="Times New Roman" w:hAnsi="Times New Roman" w:cs="Times New Roman"/>
                <w:szCs w:val="24"/>
              </w:rPr>
            </w:pPr>
          </w:p>
          <w:p w14:paraId="2B2471EC"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lastRenderedPageBreak/>
              <w:t>McKay</w:t>
            </w:r>
            <w:proofErr w:type="gramStart"/>
            <w:r w:rsidRPr="0032491F">
              <w:rPr>
                <w:rFonts w:ascii="Times New Roman" w:eastAsia="Times New Roman" w:hAnsi="Times New Roman" w:cs="Times New Roman"/>
                <w:szCs w:val="24"/>
              </w:rPr>
              <w:t>,J</w:t>
            </w:r>
            <w:proofErr w:type="gramEnd"/>
            <w:r w:rsidRPr="0032491F">
              <w:rPr>
                <w:rFonts w:ascii="Times New Roman" w:eastAsia="Times New Roman" w:hAnsi="Times New Roman" w:cs="Times New Roman"/>
                <w:szCs w:val="24"/>
              </w:rPr>
              <w:t xml:space="preserve">., </w:t>
            </w:r>
            <w:r w:rsidRPr="0032491F">
              <w:rPr>
                <w:rFonts w:ascii="Times New Roman" w:eastAsia="Times New Roman" w:hAnsi="Times New Roman" w:cs="Times New Roman"/>
                <w:i/>
                <w:szCs w:val="24"/>
              </w:rPr>
              <w:t>Religion in Judah under the Assyrians</w:t>
            </w:r>
            <w:r w:rsidRPr="0032491F">
              <w:rPr>
                <w:rFonts w:ascii="Times New Roman" w:eastAsia="Times New Roman" w:hAnsi="Times New Roman" w:cs="Times New Roman"/>
                <w:szCs w:val="24"/>
              </w:rPr>
              <w:t>, (London: SCM Press, 1973).</w:t>
            </w:r>
          </w:p>
          <w:p w14:paraId="30333105" w14:textId="77777777" w:rsidR="0032491F" w:rsidRPr="0032491F" w:rsidRDefault="0032491F" w:rsidP="0032491F">
            <w:pPr>
              <w:rPr>
                <w:rFonts w:ascii="Times New Roman" w:eastAsia="Times New Roman" w:hAnsi="Times New Roman" w:cs="Times New Roman"/>
                <w:szCs w:val="24"/>
              </w:rPr>
            </w:pPr>
          </w:p>
          <w:p w14:paraId="36EC4ED4"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Meiss</w:t>
            </w:r>
            <w:proofErr w:type="gramStart"/>
            <w:r w:rsidRPr="0032491F">
              <w:rPr>
                <w:rFonts w:ascii="Times New Roman" w:eastAsia="Times New Roman" w:hAnsi="Times New Roman" w:cs="Times New Roman"/>
                <w:szCs w:val="24"/>
              </w:rPr>
              <w:t>,M</w:t>
            </w:r>
            <w:proofErr w:type="gramEnd"/>
            <w:r w:rsidRPr="0032491F">
              <w:rPr>
                <w:rFonts w:ascii="Times New Roman" w:eastAsia="Times New Roman" w:hAnsi="Times New Roman" w:cs="Times New Roman"/>
                <w:szCs w:val="24"/>
              </w:rPr>
              <w:t>., `Light as Form and Symbol in Some Fifteenth-Century Paintings,`</w:t>
            </w:r>
            <w:r w:rsidRPr="0032491F">
              <w:rPr>
                <w:rFonts w:ascii="Times New Roman" w:eastAsia="Times New Roman" w:hAnsi="Times New Roman" w:cs="Times New Roman"/>
                <w:i/>
                <w:szCs w:val="24"/>
              </w:rPr>
              <w:t>The Art Bulletin</w:t>
            </w:r>
            <w:r w:rsidRPr="0032491F">
              <w:rPr>
                <w:rFonts w:ascii="Times New Roman" w:eastAsia="Times New Roman" w:hAnsi="Times New Roman" w:cs="Times New Roman"/>
                <w:szCs w:val="24"/>
              </w:rPr>
              <w:t>, Vol. 27, No. 3: (Sept. 1945), pp. 175 – 181.</w:t>
            </w:r>
          </w:p>
          <w:p w14:paraId="2298F5D5" w14:textId="77777777" w:rsidR="0032491F" w:rsidRPr="0032491F" w:rsidRDefault="0032491F" w:rsidP="0032491F">
            <w:pPr>
              <w:rPr>
                <w:rFonts w:ascii="Times New Roman" w:eastAsia="Times New Roman" w:hAnsi="Times New Roman" w:cs="Times New Roman"/>
                <w:szCs w:val="24"/>
              </w:rPr>
            </w:pPr>
          </w:p>
          <w:p w14:paraId="611BA58C"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Meyer,M., </w:t>
            </w:r>
            <w:r w:rsidRPr="0032491F">
              <w:rPr>
                <w:rFonts w:ascii="Times New Roman" w:eastAsia="Times New Roman" w:hAnsi="Times New Roman" w:cs="Times New Roman"/>
                <w:i/>
                <w:szCs w:val="24"/>
              </w:rPr>
              <w:t>The “Mithras” Liturgy from the Paris Codex</w:t>
            </w:r>
            <w:r w:rsidRPr="0032491F">
              <w:rPr>
                <w:rFonts w:ascii="Times New Roman" w:eastAsia="Times New Roman" w:hAnsi="Times New Roman" w:cs="Times New Roman"/>
                <w:szCs w:val="24"/>
              </w:rPr>
              <w:t>, http://hermetic.com/pgm/mithras-liturgy.html [accessed 13/10/2013]</w:t>
            </w:r>
          </w:p>
          <w:p w14:paraId="7CAADC66" w14:textId="77777777" w:rsidR="0032491F" w:rsidRPr="0032491F" w:rsidRDefault="0032491F" w:rsidP="0032491F">
            <w:pPr>
              <w:rPr>
                <w:rFonts w:ascii="Times New Roman" w:eastAsia="Times New Roman" w:hAnsi="Times New Roman" w:cs="Times New Roman"/>
                <w:szCs w:val="24"/>
              </w:rPr>
            </w:pPr>
          </w:p>
          <w:p w14:paraId="41D62E83"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Steinberg, L., `”How Shall This Be?”Reflections on Filippo Lippi’s Annunciation in London, Part 1</w:t>
            </w:r>
            <w:proofErr w:type="gramStart"/>
            <w:r w:rsidRPr="0032491F">
              <w:rPr>
                <w:rFonts w:ascii="Times New Roman" w:eastAsia="Times New Roman" w:hAnsi="Times New Roman" w:cs="Times New Roman"/>
                <w:szCs w:val="24"/>
              </w:rPr>
              <w:t>.`</w:t>
            </w:r>
            <w:proofErr w:type="gramEnd"/>
            <w:r w:rsidRPr="0032491F">
              <w:rPr>
                <w:rFonts w:ascii="Times New Roman" w:eastAsia="Times New Roman" w:hAnsi="Times New Roman" w:cs="Times New Roman"/>
                <w:i/>
                <w:szCs w:val="24"/>
              </w:rPr>
              <w:t>Artibus et Historiae</w:t>
            </w:r>
            <w:r w:rsidRPr="0032491F">
              <w:rPr>
                <w:rFonts w:ascii="Times New Roman" w:eastAsia="Times New Roman" w:hAnsi="Times New Roman" w:cs="Times New Roman"/>
                <w:szCs w:val="24"/>
              </w:rPr>
              <w:t>, Vol. 8, No 16: (1987), 25 - 44.</w:t>
            </w:r>
          </w:p>
          <w:p w14:paraId="50C3425D" w14:textId="77777777" w:rsidR="0032491F" w:rsidRPr="0032491F" w:rsidRDefault="0032491F" w:rsidP="0032491F">
            <w:pPr>
              <w:rPr>
                <w:rFonts w:ascii="Times New Roman" w:eastAsia="Times New Roman" w:hAnsi="Times New Roman" w:cs="Times New Roman"/>
                <w:szCs w:val="24"/>
              </w:rPr>
            </w:pPr>
          </w:p>
          <w:p w14:paraId="6DD5BD67"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Ulansey</w:t>
            </w:r>
            <w:proofErr w:type="gramStart"/>
            <w:r w:rsidRPr="0032491F">
              <w:rPr>
                <w:rFonts w:ascii="Times New Roman" w:eastAsia="Times New Roman" w:hAnsi="Times New Roman" w:cs="Times New Roman"/>
                <w:szCs w:val="24"/>
              </w:rPr>
              <w:t>,D</w:t>
            </w:r>
            <w:proofErr w:type="gramEnd"/>
            <w:r w:rsidRPr="0032491F">
              <w:rPr>
                <w:rFonts w:ascii="Times New Roman" w:eastAsia="Times New Roman" w:hAnsi="Times New Roman" w:cs="Times New Roman"/>
                <w:szCs w:val="24"/>
              </w:rPr>
              <w:t xml:space="preserve">., </w:t>
            </w:r>
            <w:r w:rsidRPr="0032491F">
              <w:rPr>
                <w:rFonts w:ascii="Times New Roman" w:eastAsia="Times New Roman" w:hAnsi="Times New Roman" w:cs="Times New Roman"/>
                <w:i/>
                <w:szCs w:val="24"/>
              </w:rPr>
              <w:t>The Origins of the Mithraic Mysteries: Cosmology and Salvation in the Ancient World,</w:t>
            </w:r>
            <w:r w:rsidRPr="0032491F">
              <w:rPr>
                <w:rFonts w:ascii="Times New Roman" w:eastAsia="Times New Roman" w:hAnsi="Times New Roman" w:cs="Times New Roman"/>
                <w:szCs w:val="24"/>
              </w:rPr>
              <w:t xml:space="preserve"> New York, (Oxford: Oxford University Press, 1989).</w:t>
            </w:r>
          </w:p>
          <w:p w14:paraId="3BD00D88" w14:textId="77777777" w:rsidR="0032491F" w:rsidRPr="0032491F" w:rsidRDefault="0032491F" w:rsidP="0032491F">
            <w:pPr>
              <w:rPr>
                <w:rFonts w:ascii="Times New Roman" w:eastAsia="Times New Roman" w:hAnsi="Times New Roman" w:cs="Times New Roman"/>
                <w:szCs w:val="24"/>
              </w:rPr>
            </w:pPr>
          </w:p>
          <w:p w14:paraId="37A3F0A6"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Watts</w:t>
            </w:r>
            <w:proofErr w:type="gramStart"/>
            <w:r w:rsidRPr="0032491F">
              <w:rPr>
                <w:rFonts w:ascii="Times New Roman" w:eastAsia="Times New Roman" w:hAnsi="Times New Roman" w:cs="Times New Roman"/>
                <w:szCs w:val="24"/>
              </w:rPr>
              <w:t>,I</w:t>
            </w:r>
            <w:proofErr w:type="gramEnd"/>
            <w:r w:rsidRPr="0032491F">
              <w:rPr>
                <w:rFonts w:ascii="Times New Roman" w:eastAsia="Times New Roman" w:hAnsi="Times New Roman" w:cs="Times New Roman"/>
                <w:szCs w:val="24"/>
              </w:rPr>
              <w:t>., “`</w:t>
            </w:r>
            <w:r w:rsidRPr="0032491F">
              <w:rPr>
                <w:rFonts w:ascii="Times New Roman" w:eastAsia="Times New Roman" w:hAnsi="Times New Roman" w:cs="Times New Roman"/>
                <w:i/>
                <w:szCs w:val="24"/>
              </w:rPr>
              <w:t>Time, Too, Grows on the Moon`: Some Evidence for Knight’s theory of a Human Universal</w:t>
            </w:r>
            <w:r w:rsidRPr="0032491F">
              <w:rPr>
                <w:rFonts w:ascii="Times New Roman" w:eastAsia="Times New Roman" w:hAnsi="Times New Roman" w:cs="Times New Roman"/>
                <w:szCs w:val="24"/>
              </w:rPr>
              <w:t xml:space="preserve">”, ed. W. James and D. Mills in </w:t>
            </w:r>
            <w:r w:rsidRPr="0032491F">
              <w:rPr>
                <w:rFonts w:ascii="Times New Roman" w:eastAsia="Times New Roman" w:hAnsi="Times New Roman" w:cs="Times New Roman"/>
                <w:i/>
                <w:szCs w:val="24"/>
              </w:rPr>
              <w:t>The Qualities of Time Anthropological Approaches,</w:t>
            </w:r>
            <w:r w:rsidRPr="0032491F">
              <w:rPr>
                <w:rFonts w:ascii="Times New Roman" w:eastAsia="Times New Roman" w:hAnsi="Times New Roman" w:cs="Times New Roman"/>
                <w:szCs w:val="24"/>
              </w:rPr>
              <w:t>(Oxford: Berg 2005).</w:t>
            </w:r>
          </w:p>
          <w:p w14:paraId="2753ECC5" w14:textId="77777777" w:rsidR="0032491F" w:rsidRPr="0032491F" w:rsidRDefault="0032491F" w:rsidP="0032491F">
            <w:pPr>
              <w:rPr>
                <w:rFonts w:ascii="Times New Roman" w:eastAsia="Times New Roman" w:hAnsi="Times New Roman" w:cs="Times New Roman"/>
                <w:szCs w:val="24"/>
              </w:rPr>
            </w:pPr>
          </w:p>
          <w:p w14:paraId="59AEFA96" w14:textId="77777777" w:rsidR="0032491F" w:rsidRPr="0032491F" w:rsidRDefault="0032491F" w:rsidP="0032491F">
            <w:pPr>
              <w:rPr>
                <w:rFonts w:ascii="Times New Roman" w:eastAsia="Times New Roman" w:hAnsi="Times New Roman" w:cs="Times New Roman"/>
                <w:szCs w:val="24"/>
              </w:rPr>
            </w:pPr>
          </w:p>
          <w:p w14:paraId="28D02F19" w14:textId="77777777" w:rsidR="0032491F" w:rsidRPr="0032491F" w:rsidRDefault="0032491F" w:rsidP="0032491F">
            <w:pPr>
              <w:rPr>
                <w:rFonts w:ascii="Times New Roman" w:eastAsia="Times New Roman" w:hAnsi="Times New Roman" w:cs="Times New Roman"/>
                <w:szCs w:val="24"/>
              </w:rPr>
            </w:pPr>
          </w:p>
        </w:tc>
      </w:tr>
      <w:tr w:rsidR="0032491F" w:rsidRPr="0032491F" w14:paraId="296F8A5E" w14:textId="77777777" w:rsidTr="00613D59">
        <w:tc>
          <w:tcPr>
            <w:tcW w:w="8856" w:type="dxa"/>
          </w:tcPr>
          <w:p w14:paraId="3628CBD2" w14:textId="77777777" w:rsidR="0032491F" w:rsidRPr="0032491F" w:rsidRDefault="0032491F" w:rsidP="0032491F">
            <w:pPr>
              <w:rPr>
                <w:rFonts w:ascii="Times New Roman" w:eastAsia="Times New Roman" w:hAnsi="Times New Roman" w:cs="Times New Roman"/>
                <w:szCs w:val="24"/>
              </w:rPr>
            </w:pPr>
          </w:p>
          <w:p w14:paraId="56200AFC"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Short Introductory Bibliography: 2 Primary Sources (Original Works/ Documents)</w:t>
            </w:r>
          </w:p>
          <w:p w14:paraId="26523B44" w14:textId="77777777" w:rsidR="0032491F" w:rsidRPr="0032491F" w:rsidRDefault="0032491F" w:rsidP="0032491F">
            <w:pPr>
              <w:rPr>
                <w:rFonts w:ascii="Times New Roman" w:eastAsia="Times New Roman" w:hAnsi="Times New Roman" w:cs="Times New Roman"/>
                <w:szCs w:val="24"/>
              </w:rPr>
            </w:pPr>
          </w:p>
          <w:p w14:paraId="3BB871C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i/>
                <w:szCs w:val="24"/>
              </w:rPr>
              <w:t>Dedication scene from Giotto’s Annunciation</w:t>
            </w:r>
            <w:r w:rsidRPr="0032491F">
              <w:rPr>
                <w:rFonts w:ascii="Times New Roman" w:eastAsia="Times New Roman" w:hAnsi="Times New Roman" w:cs="Times New Roman"/>
                <w:szCs w:val="24"/>
              </w:rPr>
              <w:t xml:space="preserve">. Completed 1305CE. Giotto di Bondone. Fresco cycle, Arena Chapel, Padua, Veneto, Italy. </w:t>
            </w:r>
          </w:p>
          <w:p w14:paraId="2DF0A89F" w14:textId="77777777" w:rsidR="0032491F" w:rsidRPr="0032491F" w:rsidRDefault="0032491F" w:rsidP="0032491F">
            <w:pPr>
              <w:rPr>
                <w:rFonts w:ascii="Times New Roman" w:eastAsia="Times New Roman" w:hAnsi="Times New Roman" w:cs="Times New Roman"/>
                <w:szCs w:val="24"/>
              </w:rPr>
            </w:pPr>
          </w:p>
          <w:p w14:paraId="04819563"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King James Version, `The Holy Bible`, 1611 ed. http://www.kingjamesbibleonline.org/1611-Bible/</w:t>
            </w:r>
          </w:p>
          <w:p w14:paraId="7A4C9E39" w14:textId="77777777" w:rsidR="0032491F" w:rsidRPr="0032491F" w:rsidRDefault="0032491F" w:rsidP="0032491F">
            <w:pPr>
              <w:rPr>
                <w:rFonts w:ascii="Times New Roman" w:eastAsia="Times New Roman" w:hAnsi="Times New Roman" w:cs="Times New Roman"/>
                <w:szCs w:val="24"/>
              </w:rPr>
            </w:pPr>
          </w:p>
          <w:p w14:paraId="685EF7CD"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Raymond Faulkner, trans., </w:t>
            </w:r>
            <w:r w:rsidRPr="0032491F">
              <w:rPr>
                <w:rFonts w:ascii="Times New Roman" w:eastAsia="Times New Roman" w:hAnsi="Times New Roman" w:cs="Times New Roman"/>
                <w:i/>
                <w:szCs w:val="24"/>
              </w:rPr>
              <w:t>The Egyptian Book of the Dead, the Book of Going Forth by Day</w:t>
            </w:r>
            <w:r w:rsidRPr="0032491F">
              <w:rPr>
                <w:rFonts w:ascii="Times New Roman" w:eastAsia="Times New Roman" w:hAnsi="Times New Roman" w:cs="Times New Roman"/>
                <w:szCs w:val="24"/>
              </w:rPr>
              <w:t>, (San Francisco: Chronicle Books, revised second edition, 1998).</w:t>
            </w:r>
          </w:p>
          <w:p w14:paraId="1E55607F" w14:textId="77777777" w:rsidR="0032491F" w:rsidRPr="0032491F" w:rsidRDefault="0032491F" w:rsidP="0032491F">
            <w:pPr>
              <w:rPr>
                <w:rFonts w:ascii="Times New Roman" w:eastAsia="Times New Roman" w:hAnsi="Times New Roman" w:cs="Times New Roman"/>
                <w:szCs w:val="24"/>
              </w:rPr>
            </w:pPr>
          </w:p>
          <w:p w14:paraId="4C63A6A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T. Kouremenos, G. Parassoglou, K. Tsantsanoglou, </w:t>
            </w:r>
            <w:r w:rsidRPr="0032491F">
              <w:rPr>
                <w:rFonts w:ascii="Times New Roman" w:eastAsia="Times New Roman" w:hAnsi="Times New Roman" w:cs="Times New Roman"/>
                <w:i/>
                <w:szCs w:val="24"/>
              </w:rPr>
              <w:t>The Derveni Papyrus</w:t>
            </w:r>
            <w:r w:rsidRPr="0032491F">
              <w:rPr>
                <w:rFonts w:ascii="Times New Roman" w:eastAsia="Times New Roman" w:hAnsi="Times New Roman" w:cs="Times New Roman"/>
                <w:szCs w:val="24"/>
              </w:rPr>
              <w:t>, (Florence: Olschki, 2006).</w:t>
            </w:r>
          </w:p>
          <w:p w14:paraId="25FC34B3" w14:textId="77777777" w:rsidR="0032491F" w:rsidRPr="0032491F" w:rsidRDefault="0032491F" w:rsidP="0032491F">
            <w:pPr>
              <w:rPr>
                <w:rFonts w:ascii="Times New Roman" w:eastAsia="Times New Roman" w:hAnsi="Times New Roman" w:cs="Times New Roman"/>
                <w:szCs w:val="24"/>
              </w:rPr>
            </w:pPr>
          </w:p>
          <w:p w14:paraId="577E721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Carrawburgh Temple of Mithras in Northumberland and the reconstruction at Newcastle University's Museum of Antiquities. </w:t>
            </w:r>
          </w:p>
          <w:p w14:paraId="28EAFB7A" w14:textId="77777777" w:rsidR="0032491F" w:rsidRPr="0032491F" w:rsidRDefault="0032491F" w:rsidP="0032491F">
            <w:pPr>
              <w:rPr>
                <w:rFonts w:ascii="Times New Roman" w:eastAsia="Times New Roman" w:hAnsi="Times New Roman" w:cs="Times New Roman"/>
                <w:szCs w:val="24"/>
              </w:rPr>
            </w:pPr>
          </w:p>
          <w:p w14:paraId="59BE301D"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Elephant's Tomb in the Roman necropolis of Carmona, Seville, Spain.http://www.sciencedaily.com/releases/2013/05/130510075521.htm </w:t>
            </w:r>
          </w:p>
          <w:p w14:paraId="7048BC99" w14:textId="77777777" w:rsidR="0032491F" w:rsidRPr="0032491F" w:rsidRDefault="0032491F" w:rsidP="0032491F">
            <w:pPr>
              <w:rPr>
                <w:rFonts w:ascii="Times New Roman" w:eastAsia="Times New Roman" w:hAnsi="Times New Roman" w:cs="Times New Roman"/>
                <w:szCs w:val="24"/>
              </w:rPr>
            </w:pPr>
          </w:p>
          <w:p w14:paraId="3178214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Texts, photographs or descriptions of the archaeological remains and art of the Ancient Near East, Europe and Classical Antiquity, either in situ or in museums.</w:t>
            </w:r>
          </w:p>
          <w:p w14:paraId="68A1AFFB" w14:textId="77777777" w:rsidR="0032491F" w:rsidRPr="0032491F" w:rsidRDefault="0032491F" w:rsidP="0032491F">
            <w:pPr>
              <w:rPr>
                <w:rFonts w:ascii="Times New Roman" w:eastAsia="Times New Roman" w:hAnsi="Times New Roman" w:cs="Times New Roman"/>
                <w:szCs w:val="24"/>
              </w:rPr>
            </w:pPr>
          </w:p>
          <w:p w14:paraId="1DE90E7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Examples of the early `phallus` shaped Sun glyph i.e. L 497. Square Horoscope dated 28 October 497.inO. Neugebauer and H.B. Van Hoesen, </w:t>
            </w:r>
            <w:r w:rsidRPr="0032491F">
              <w:rPr>
                <w:rFonts w:ascii="Times New Roman" w:eastAsia="Times New Roman" w:hAnsi="Times New Roman" w:cs="Times New Roman"/>
                <w:i/>
                <w:szCs w:val="24"/>
              </w:rPr>
              <w:t>Greek Horoscopes</w:t>
            </w:r>
            <w:r w:rsidRPr="0032491F">
              <w:rPr>
                <w:rFonts w:ascii="Times New Roman" w:eastAsia="Times New Roman" w:hAnsi="Times New Roman" w:cs="Times New Roman"/>
                <w:szCs w:val="24"/>
              </w:rPr>
              <w:t>, (Philadelphia: The American Philosophical Society, 1987).</w:t>
            </w:r>
          </w:p>
          <w:p w14:paraId="10DBF239" w14:textId="77777777" w:rsidR="0032491F" w:rsidRPr="0032491F" w:rsidRDefault="0032491F" w:rsidP="0032491F">
            <w:pPr>
              <w:rPr>
                <w:rFonts w:ascii="Times New Roman" w:eastAsia="Times New Roman" w:hAnsi="Times New Roman" w:cs="Times New Roman"/>
                <w:szCs w:val="24"/>
              </w:rPr>
            </w:pPr>
          </w:p>
          <w:p w14:paraId="60E8412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Winged </w:t>
            </w:r>
            <w:proofErr w:type="gramStart"/>
            <w:r w:rsidRPr="0032491F">
              <w:rPr>
                <w:rFonts w:ascii="Times New Roman" w:eastAsia="Times New Roman" w:hAnsi="Times New Roman" w:cs="Times New Roman"/>
                <w:szCs w:val="24"/>
              </w:rPr>
              <w:t>phallus’</w:t>
            </w:r>
            <w:proofErr w:type="gramEnd"/>
            <w:r w:rsidRPr="0032491F">
              <w:rPr>
                <w:rFonts w:ascii="Times New Roman" w:eastAsia="Times New Roman" w:hAnsi="Times New Roman" w:cs="Times New Roman"/>
                <w:szCs w:val="24"/>
              </w:rPr>
              <w:t xml:space="preserve"> in British Museum.</w:t>
            </w:r>
          </w:p>
          <w:p w14:paraId="491799AE" w14:textId="77777777" w:rsidR="0032491F" w:rsidRPr="0032491F" w:rsidRDefault="0032491F" w:rsidP="0032491F">
            <w:pPr>
              <w:rPr>
                <w:rFonts w:ascii="Times New Roman" w:eastAsia="Times New Roman" w:hAnsi="Times New Roman" w:cs="Times New Roman"/>
                <w:szCs w:val="24"/>
              </w:rPr>
            </w:pPr>
          </w:p>
        </w:tc>
      </w:tr>
      <w:tr w:rsidR="0032491F" w:rsidRPr="0032491F" w14:paraId="214AEA29" w14:textId="77777777" w:rsidTr="00613D59">
        <w:tc>
          <w:tcPr>
            <w:tcW w:w="8856" w:type="dxa"/>
          </w:tcPr>
          <w:p w14:paraId="371C100A"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lastRenderedPageBreak/>
              <w:t>Time Schedule:</w:t>
            </w:r>
          </w:p>
          <w:p w14:paraId="4AA02BF2" w14:textId="77777777" w:rsidR="0032491F" w:rsidRPr="0032491F" w:rsidRDefault="0032491F" w:rsidP="0032491F">
            <w:pPr>
              <w:rPr>
                <w:rFonts w:ascii="Times New Roman" w:eastAsia="Times New Roman" w:hAnsi="Times New Roman" w:cs="Times New Roman"/>
                <w:szCs w:val="24"/>
              </w:rPr>
            </w:pPr>
          </w:p>
          <w:p w14:paraId="7DC2B45C"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2.  Chapter Outline </w:t>
            </w:r>
          </w:p>
          <w:p w14:paraId="318E1845" w14:textId="77777777" w:rsidR="0032491F" w:rsidRPr="0032491F" w:rsidRDefault="0032491F" w:rsidP="0032491F">
            <w:pPr>
              <w:rPr>
                <w:rFonts w:ascii="Times New Roman" w:eastAsia="Times New Roman" w:hAnsi="Times New Roman" w:cs="Times New Roman"/>
                <w:szCs w:val="24"/>
              </w:rPr>
            </w:pPr>
          </w:p>
          <w:p w14:paraId="3345E9CE"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Initial Chapter Outline to Supervisor due by: 31st January 2014</w:t>
            </w:r>
          </w:p>
          <w:p w14:paraId="1C275C67" w14:textId="77777777" w:rsidR="0032491F" w:rsidRPr="0032491F" w:rsidRDefault="0032491F" w:rsidP="0032491F">
            <w:pPr>
              <w:rPr>
                <w:rFonts w:ascii="Times New Roman" w:eastAsia="Times New Roman" w:hAnsi="Times New Roman" w:cs="Times New Roman"/>
                <w:szCs w:val="24"/>
              </w:rPr>
            </w:pPr>
          </w:p>
          <w:p w14:paraId="2D10A9B8"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3. Literature Review </w:t>
            </w:r>
          </w:p>
          <w:p w14:paraId="734BCA90" w14:textId="77777777" w:rsidR="0032491F" w:rsidRPr="0032491F" w:rsidRDefault="0032491F" w:rsidP="0032491F">
            <w:pPr>
              <w:rPr>
                <w:rFonts w:ascii="Times New Roman" w:eastAsia="Times New Roman" w:hAnsi="Times New Roman" w:cs="Times New Roman"/>
                <w:szCs w:val="24"/>
              </w:rPr>
            </w:pPr>
          </w:p>
          <w:p w14:paraId="3DA6E488"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Your literature review should constitute most of your early work. A draft of this chapter will need to be submitted to your supervisor so that they can give you feedback and comments. </w:t>
            </w:r>
          </w:p>
          <w:p w14:paraId="469A16BD" w14:textId="77777777" w:rsidR="0032491F" w:rsidRPr="0032491F" w:rsidRDefault="0032491F" w:rsidP="0032491F">
            <w:pPr>
              <w:rPr>
                <w:rFonts w:ascii="Times New Roman" w:eastAsia="Times New Roman" w:hAnsi="Times New Roman" w:cs="Times New Roman"/>
                <w:szCs w:val="24"/>
              </w:rPr>
            </w:pPr>
          </w:p>
          <w:p w14:paraId="206728A1"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Literature Review Draft to Supervisor due by: 28th February 2014</w:t>
            </w:r>
          </w:p>
          <w:p w14:paraId="308E6568" w14:textId="77777777" w:rsidR="0032491F" w:rsidRPr="0032491F" w:rsidRDefault="0032491F" w:rsidP="0032491F">
            <w:pPr>
              <w:rPr>
                <w:rFonts w:ascii="Times New Roman" w:eastAsia="Times New Roman" w:hAnsi="Times New Roman" w:cs="Times New Roman"/>
                <w:szCs w:val="24"/>
              </w:rPr>
            </w:pPr>
          </w:p>
          <w:p w14:paraId="61D5141B"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4. Draft Chapters </w:t>
            </w:r>
          </w:p>
          <w:p w14:paraId="46713B08"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ab/>
              <w:t xml:space="preserve"> </w:t>
            </w:r>
          </w:p>
          <w:p w14:paraId="00F278FA"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Draft chapter/s due to supervisor by: 30th March 2014</w:t>
            </w:r>
          </w:p>
          <w:p w14:paraId="7117C4D7"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Draft chapter/s due to supervisor by: 30 April 2014</w:t>
            </w:r>
          </w:p>
          <w:p w14:paraId="37E76AE3"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Draft chapter/s due to supervisor by: 30th May 2014</w:t>
            </w:r>
          </w:p>
          <w:p w14:paraId="43FC525E" w14:textId="77777777" w:rsidR="0032491F" w:rsidRPr="0032491F" w:rsidRDefault="0032491F" w:rsidP="0032491F">
            <w:pPr>
              <w:rPr>
                <w:rFonts w:ascii="Times New Roman" w:eastAsia="Times New Roman" w:hAnsi="Times New Roman" w:cs="Times New Roman"/>
                <w:szCs w:val="24"/>
              </w:rPr>
            </w:pPr>
          </w:p>
          <w:p w14:paraId="41F0BA10" w14:textId="77777777" w:rsidR="0032491F" w:rsidRPr="0032491F" w:rsidRDefault="0032491F" w:rsidP="0032491F">
            <w:pPr>
              <w:rPr>
                <w:rFonts w:ascii="Times New Roman" w:eastAsia="Times New Roman" w:hAnsi="Times New Roman" w:cs="Times New Roman"/>
                <w:szCs w:val="24"/>
              </w:rPr>
            </w:pPr>
          </w:p>
          <w:p w14:paraId="4B1ED074"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5. Introduction and Conclusion</w:t>
            </w:r>
          </w:p>
          <w:p w14:paraId="782FC768" w14:textId="77777777" w:rsidR="0032491F" w:rsidRPr="0032491F" w:rsidRDefault="0032491F" w:rsidP="0032491F">
            <w:pPr>
              <w:rPr>
                <w:rFonts w:ascii="Times New Roman" w:eastAsia="Times New Roman" w:hAnsi="Times New Roman" w:cs="Times New Roman"/>
                <w:szCs w:val="24"/>
              </w:rPr>
            </w:pPr>
          </w:p>
          <w:p w14:paraId="5C01D5BE"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Draft Introduction/Conclusion due by: 30th June 2014</w:t>
            </w:r>
          </w:p>
          <w:p w14:paraId="4D71C8B1" w14:textId="77777777" w:rsidR="0032491F" w:rsidRPr="0032491F" w:rsidRDefault="0032491F" w:rsidP="0032491F">
            <w:pPr>
              <w:rPr>
                <w:rFonts w:ascii="Times New Roman" w:eastAsia="Times New Roman" w:hAnsi="Times New Roman" w:cs="Times New Roman"/>
                <w:szCs w:val="24"/>
              </w:rPr>
            </w:pPr>
          </w:p>
          <w:p w14:paraId="212D1302"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6. Complete Dissertation</w:t>
            </w:r>
          </w:p>
          <w:p w14:paraId="593EEBFF" w14:textId="77777777" w:rsidR="0032491F" w:rsidRPr="0032491F" w:rsidRDefault="0032491F" w:rsidP="0032491F">
            <w:pPr>
              <w:rPr>
                <w:rFonts w:ascii="Times New Roman" w:eastAsia="Times New Roman" w:hAnsi="Times New Roman" w:cs="Times New Roman"/>
                <w:szCs w:val="24"/>
              </w:rPr>
            </w:pPr>
          </w:p>
          <w:p w14:paraId="5DF07F4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Dissertation completed and ready for final reading and or editing: 15 July 2014</w:t>
            </w:r>
          </w:p>
          <w:p w14:paraId="6E4FF1B4" w14:textId="77777777" w:rsidR="0032491F" w:rsidRPr="0032491F" w:rsidRDefault="0032491F" w:rsidP="0032491F">
            <w:pPr>
              <w:rPr>
                <w:rFonts w:ascii="Times New Roman" w:eastAsia="Times New Roman" w:hAnsi="Times New Roman" w:cs="Times New Roman"/>
                <w:szCs w:val="24"/>
              </w:rPr>
            </w:pPr>
          </w:p>
          <w:p w14:paraId="0BF86C99"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 xml:space="preserve">7. Preparation for Submission – this date should be the same as the completion date set at the top of this form.     Completion Date: 30 July 2014                        </w:t>
            </w:r>
          </w:p>
          <w:p w14:paraId="546AD3C4" w14:textId="77777777" w:rsidR="0032491F" w:rsidRPr="0032491F" w:rsidRDefault="0032491F" w:rsidP="0032491F">
            <w:pPr>
              <w:rPr>
                <w:rFonts w:ascii="Times New Roman" w:eastAsia="Times New Roman" w:hAnsi="Times New Roman" w:cs="Times New Roman"/>
                <w:szCs w:val="24"/>
              </w:rPr>
            </w:pPr>
          </w:p>
        </w:tc>
      </w:tr>
      <w:tr w:rsidR="0032491F" w:rsidRPr="0032491F" w14:paraId="53D42E3F" w14:textId="77777777" w:rsidTr="00613D59">
        <w:tc>
          <w:tcPr>
            <w:tcW w:w="8856" w:type="dxa"/>
          </w:tcPr>
          <w:p w14:paraId="5205E635"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Proposed Supervisor:</w:t>
            </w:r>
          </w:p>
          <w:p w14:paraId="475D6BC0" w14:textId="77777777" w:rsidR="0032491F" w:rsidRPr="0032491F" w:rsidRDefault="0032491F" w:rsidP="0032491F">
            <w:pPr>
              <w:rPr>
                <w:rFonts w:ascii="Times New Roman" w:eastAsia="Times New Roman" w:hAnsi="Times New Roman" w:cs="Times New Roman"/>
                <w:szCs w:val="24"/>
              </w:rPr>
            </w:pPr>
          </w:p>
          <w:p w14:paraId="65FB7F30" w14:textId="77777777" w:rsidR="0032491F" w:rsidRPr="0032491F" w:rsidRDefault="0032491F" w:rsidP="0032491F">
            <w:pPr>
              <w:rPr>
                <w:rFonts w:ascii="Times New Roman" w:eastAsia="Times New Roman" w:hAnsi="Times New Roman" w:cs="Times New Roman"/>
                <w:szCs w:val="24"/>
              </w:rPr>
            </w:pPr>
            <w:r w:rsidRPr="0032491F">
              <w:rPr>
                <w:rFonts w:ascii="Times New Roman" w:eastAsia="Times New Roman" w:hAnsi="Times New Roman" w:cs="Times New Roman"/>
                <w:szCs w:val="24"/>
              </w:rPr>
              <w:t>Dr Amy Whitehead</w:t>
            </w:r>
          </w:p>
          <w:p w14:paraId="7C4B377D" w14:textId="77777777" w:rsidR="0032491F" w:rsidRPr="0032491F" w:rsidRDefault="0032491F" w:rsidP="0032491F">
            <w:pPr>
              <w:rPr>
                <w:rFonts w:ascii="Times New Roman" w:eastAsia="Times New Roman" w:hAnsi="Times New Roman" w:cs="Times New Roman"/>
                <w:szCs w:val="24"/>
              </w:rPr>
            </w:pPr>
          </w:p>
          <w:p w14:paraId="6C9CBB8E" w14:textId="77777777" w:rsidR="0032491F" w:rsidRPr="0032491F" w:rsidRDefault="0032491F" w:rsidP="0032491F">
            <w:pPr>
              <w:rPr>
                <w:rFonts w:ascii="Times New Roman" w:eastAsia="Times New Roman" w:hAnsi="Times New Roman" w:cs="Times New Roman"/>
                <w:szCs w:val="24"/>
              </w:rPr>
            </w:pPr>
          </w:p>
        </w:tc>
      </w:tr>
    </w:tbl>
    <w:p w14:paraId="0DFF03E0" w14:textId="77777777" w:rsidR="0032491F" w:rsidRPr="0032491F" w:rsidRDefault="0032491F" w:rsidP="0032491F">
      <w:pPr>
        <w:rPr>
          <w:rFonts w:ascii="Arial" w:eastAsia="Times New Roman" w:hAnsi="Arial" w:cs="Arial"/>
          <w:szCs w:val="24"/>
        </w:rPr>
      </w:pPr>
    </w:p>
    <w:p w14:paraId="0B446BD0" w14:textId="77777777" w:rsidR="0032491F" w:rsidRPr="0032491F" w:rsidRDefault="0032491F" w:rsidP="0032491F">
      <w:pPr>
        <w:rPr>
          <w:rFonts w:ascii="Arial" w:eastAsia="Times New Roman" w:hAnsi="Arial" w:cs="Arial"/>
          <w:szCs w:val="24"/>
        </w:rPr>
      </w:pPr>
    </w:p>
    <w:p w14:paraId="5AE8D052"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Please indicate whether ethical approval for project is needed – NO</w:t>
      </w:r>
    </w:p>
    <w:p w14:paraId="308CB7C0"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(This will only be relevant if you are undertaking qualitative research)</w:t>
      </w:r>
    </w:p>
    <w:p w14:paraId="2172120D" w14:textId="77777777" w:rsidR="0032491F" w:rsidRPr="0032491F" w:rsidRDefault="0032491F" w:rsidP="0032491F">
      <w:pPr>
        <w:rPr>
          <w:rFonts w:ascii="Arial" w:eastAsia="Times New Roman" w:hAnsi="Arial" w:cs="Arial"/>
          <w:szCs w:val="24"/>
        </w:rPr>
      </w:pPr>
    </w:p>
    <w:p w14:paraId="302B3346"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Please indicate whether sufficient resources are available for the project – YES</w:t>
      </w:r>
    </w:p>
    <w:p w14:paraId="045AC0E7" w14:textId="77777777" w:rsidR="0032491F" w:rsidRPr="0032491F" w:rsidRDefault="0032491F" w:rsidP="0032491F">
      <w:pPr>
        <w:rPr>
          <w:rFonts w:ascii="Arial" w:eastAsia="Times New Roman" w:hAnsi="Arial" w:cs="Arial"/>
          <w:szCs w:val="24"/>
        </w:rPr>
      </w:pPr>
    </w:p>
    <w:p w14:paraId="28A70170" w14:textId="77777777" w:rsidR="0032491F" w:rsidRPr="0032491F" w:rsidRDefault="0032491F" w:rsidP="0032491F">
      <w:pPr>
        <w:rPr>
          <w:rFonts w:ascii="Arial" w:eastAsia="Times New Roman" w:hAnsi="Arial" w:cs="Arial"/>
          <w:szCs w:val="24"/>
        </w:rPr>
      </w:pPr>
    </w:p>
    <w:p w14:paraId="29EEDCE9"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 xml:space="preserve">The above topic, proposal, and supervisor have been agreed:  </w:t>
      </w:r>
    </w:p>
    <w:p w14:paraId="4B9DAB77" w14:textId="77777777" w:rsidR="0032491F" w:rsidRPr="0032491F" w:rsidRDefault="0032491F" w:rsidP="0032491F">
      <w:pPr>
        <w:rPr>
          <w:rFonts w:ascii="Arial" w:eastAsia="Times New Roman" w:hAnsi="Arial" w:cs="Arial"/>
          <w:szCs w:val="24"/>
        </w:rPr>
      </w:pPr>
    </w:p>
    <w:p w14:paraId="7AC7BF61"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Signed : ……………………………………………………..Programme Coordinator</w:t>
      </w:r>
    </w:p>
    <w:p w14:paraId="5C05F38F" w14:textId="77777777" w:rsidR="0032491F" w:rsidRPr="0032491F" w:rsidRDefault="0032491F" w:rsidP="0032491F">
      <w:pPr>
        <w:rPr>
          <w:rFonts w:ascii="Arial" w:eastAsia="Times New Roman" w:hAnsi="Arial" w:cs="Arial"/>
          <w:szCs w:val="24"/>
        </w:rPr>
      </w:pPr>
    </w:p>
    <w:p w14:paraId="6B5D9096" w14:textId="77777777" w:rsidR="0032491F" w:rsidRPr="0032491F" w:rsidRDefault="0032491F" w:rsidP="0032491F">
      <w:pPr>
        <w:rPr>
          <w:rFonts w:ascii="Arial" w:eastAsia="Times New Roman" w:hAnsi="Arial" w:cs="Arial"/>
          <w:szCs w:val="24"/>
        </w:rPr>
      </w:pPr>
      <w:r w:rsidRPr="0032491F">
        <w:rPr>
          <w:rFonts w:ascii="Arial" w:eastAsia="Times New Roman" w:hAnsi="Arial" w:cs="Arial"/>
          <w:szCs w:val="24"/>
        </w:rPr>
        <w:t>Date</w:t>
      </w:r>
      <w:proofErr w:type="gramStart"/>
      <w:r w:rsidRPr="0032491F">
        <w:rPr>
          <w:rFonts w:ascii="Arial" w:eastAsia="Times New Roman" w:hAnsi="Arial" w:cs="Arial"/>
          <w:szCs w:val="24"/>
        </w:rPr>
        <w:t>:……………………………………………………</w:t>
      </w:r>
      <w:proofErr w:type="gramEnd"/>
    </w:p>
    <w:p w14:paraId="7F80A9F3" w14:textId="77777777" w:rsidR="0032491F" w:rsidRPr="0032491F" w:rsidRDefault="0032491F" w:rsidP="0032491F">
      <w:pPr>
        <w:rPr>
          <w:rFonts w:ascii="Arial" w:eastAsia="Times New Roman" w:hAnsi="Arial" w:cs="Arial"/>
          <w:szCs w:val="24"/>
        </w:rPr>
      </w:pPr>
    </w:p>
    <w:p w14:paraId="0604B901" w14:textId="77777777" w:rsidR="0032491F" w:rsidRPr="0032491F" w:rsidRDefault="0032491F" w:rsidP="0032491F">
      <w:pPr>
        <w:rPr>
          <w:rFonts w:ascii="Arial" w:eastAsia="Times New Roman" w:hAnsi="Arial" w:cs="Arial"/>
          <w:szCs w:val="24"/>
        </w:rPr>
      </w:pPr>
    </w:p>
    <w:p w14:paraId="7E3A1A3A" w14:textId="77777777" w:rsidR="0032491F" w:rsidRPr="0032491F" w:rsidRDefault="0032491F" w:rsidP="0032491F">
      <w:pPr>
        <w:rPr>
          <w:rFonts w:ascii="Arial" w:eastAsia="Times New Roman" w:hAnsi="Arial" w:cs="Arial"/>
          <w:szCs w:val="24"/>
        </w:rPr>
      </w:pPr>
    </w:p>
    <w:p w14:paraId="160D0C1F" w14:textId="77777777" w:rsidR="0032491F" w:rsidRPr="0032491F" w:rsidRDefault="0032491F" w:rsidP="0032491F">
      <w:pPr>
        <w:rPr>
          <w:rFonts w:ascii="Arial" w:eastAsia="Times New Roman" w:hAnsi="Arial" w:cs="Arial"/>
          <w:szCs w:val="24"/>
        </w:rPr>
      </w:pPr>
      <w:r w:rsidRPr="0032491F">
        <w:rPr>
          <w:rFonts w:ascii="Arial" w:eastAsia="Times New Roman" w:hAnsi="Arial" w:cs="Arial"/>
          <w:b/>
          <w:szCs w:val="24"/>
        </w:rPr>
        <w:t xml:space="preserve">Please return this draft form to your dissertation supervisor. When completed then send Dr Bernadette </w:t>
      </w:r>
      <w:proofErr w:type="gramStart"/>
      <w:r w:rsidRPr="0032491F">
        <w:rPr>
          <w:rFonts w:ascii="Arial" w:eastAsia="Times New Roman" w:hAnsi="Arial" w:cs="Arial"/>
          <w:b/>
          <w:szCs w:val="24"/>
        </w:rPr>
        <w:t>Brady  email</w:t>
      </w:r>
      <w:proofErr w:type="gramEnd"/>
      <w:r w:rsidRPr="0032491F">
        <w:rPr>
          <w:rFonts w:ascii="Arial" w:eastAsia="Times New Roman" w:hAnsi="Arial" w:cs="Arial"/>
          <w:b/>
          <w:szCs w:val="24"/>
        </w:rPr>
        <w:t>: b.brady@tsd.ac.uk</w:t>
      </w:r>
    </w:p>
    <w:p w14:paraId="0D96CE37" w14:textId="77777777" w:rsidR="0032491F" w:rsidRPr="0032491F" w:rsidRDefault="0032491F" w:rsidP="0032491F">
      <w:pPr>
        <w:rPr>
          <w:rFonts w:eastAsia="Times New Roman" w:cs="Times New Roman"/>
          <w:szCs w:val="24"/>
          <w:lang w:eastAsia="en-GB"/>
        </w:rPr>
      </w:pPr>
    </w:p>
    <w:p w14:paraId="6D71DC5C" w14:textId="77777777" w:rsidR="0032491F" w:rsidRPr="0032491F" w:rsidRDefault="0032491F" w:rsidP="0032491F">
      <w:pPr>
        <w:rPr>
          <w:rFonts w:eastAsia="Times New Roman" w:cs="Times New Roman"/>
          <w:szCs w:val="24"/>
          <w:lang w:eastAsia="en-GB"/>
        </w:rPr>
      </w:pPr>
    </w:p>
    <w:p w14:paraId="441FA118" w14:textId="77777777" w:rsidR="0032491F" w:rsidRPr="0032491F" w:rsidRDefault="0032491F" w:rsidP="0032491F">
      <w:pPr>
        <w:rPr>
          <w:rFonts w:eastAsia="Times New Roman" w:cs="Times New Roman"/>
          <w:szCs w:val="24"/>
          <w:lang w:eastAsia="en-GB"/>
        </w:rPr>
      </w:pPr>
    </w:p>
    <w:p w14:paraId="0C73F04F" w14:textId="77777777" w:rsidR="00D94787" w:rsidRDefault="00D94787" w:rsidP="00431E10">
      <w:pPr>
        <w:spacing w:line="360" w:lineRule="auto"/>
      </w:pPr>
    </w:p>
    <w:sectPr w:rsidR="00D94787" w:rsidSect="00613D59">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Bernadette Brady" w:date="2015-01-16T09:39:00Z" w:initials="BB">
    <w:p w14:paraId="71918BE9" w14:textId="77777777" w:rsidR="00613D59" w:rsidRDefault="00613D59">
      <w:pPr>
        <w:pStyle w:val="CommentText"/>
      </w:pPr>
      <w:r>
        <w:rPr>
          <w:rStyle w:val="CommentReference"/>
        </w:rPr>
        <w:annotationRef/>
      </w:r>
      <w:r>
        <w:t xml:space="preserve">Good point, an important distinction. </w:t>
      </w:r>
    </w:p>
  </w:comment>
  <w:comment w:id="7" w:author="Bernadette Brady" w:date="2015-01-16T09:40:00Z" w:initials="BB">
    <w:p w14:paraId="77B1613A" w14:textId="77777777" w:rsidR="00613D59" w:rsidRDefault="00613D59">
      <w:pPr>
        <w:pStyle w:val="CommentText"/>
      </w:pPr>
      <w:r>
        <w:rPr>
          <w:rStyle w:val="CommentReference"/>
        </w:rPr>
        <w:annotationRef/>
      </w:r>
      <w:r>
        <w:t xml:space="preserve">Good point, it takes the horizon to make the disk of the sun. </w:t>
      </w:r>
    </w:p>
  </w:comment>
  <w:comment w:id="9" w:author="Bernadette Brady" w:date="2015-01-16T09:44:00Z" w:initials="BB">
    <w:p w14:paraId="6AEBEA60" w14:textId="77777777" w:rsidR="00376013" w:rsidRDefault="00376013">
      <w:pPr>
        <w:pStyle w:val="CommentText"/>
      </w:pPr>
      <w:r>
        <w:rPr>
          <w:rStyle w:val="CommentReference"/>
        </w:rPr>
        <w:annotationRef/>
      </w:r>
      <w:r>
        <w:t xml:space="preserve">Good clear definitions. </w:t>
      </w:r>
    </w:p>
  </w:comment>
  <w:comment w:id="11" w:author="Bernadette Brady" w:date="2015-01-16T09:46:00Z" w:initials="BB">
    <w:p w14:paraId="778B4BE6" w14:textId="77777777" w:rsidR="00376013" w:rsidRDefault="00376013">
      <w:pPr>
        <w:pStyle w:val="CommentText"/>
      </w:pPr>
      <w:r>
        <w:rPr>
          <w:rStyle w:val="CommentReference"/>
        </w:rPr>
        <w:annotationRef/>
      </w:r>
      <w:r>
        <w:t xml:space="preserve">Rarely implies that there have been a few comments – if so what are they? </w:t>
      </w:r>
    </w:p>
  </w:comment>
  <w:comment w:id="12" w:author="Bernadette Brady" w:date="2015-01-16T09:48:00Z" w:initials="BB">
    <w:p w14:paraId="35EBAD78" w14:textId="77777777" w:rsidR="00376013" w:rsidRDefault="00376013">
      <w:pPr>
        <w:pStyle w:val="CommentText"/>
      </w:pPr>
      <w:r>
        <w:rPr>
          <w:rStyle w:val="CommentReference"/>
        </w:rPr>
        <w:annotationRef/>
      </w:r>
      <w:r>
        <w:t xml:space="preserve">Nice point. </w:t>
      </w:r>
    </w:p>
  </w:comment>
  <w:comment w:id="13" w:author="Bernadette Brady" w:date="2015-01-16T09:50:00Z" w:initials="BB">
    <w:p w14:paraId="2D6A9243" w14:textId="77777777" w:rsidR="00376013" w:rsidRDefault="00376013">
      <w:pPr>
        <w:pStyle w:val="CommentText"/>
      </w:pPr>
      <w:r>
        <w:rPr>
          <w:rStyle w:val="CommentReference"/>
        </w:rPr>
        <w:annotationRef/>
      </w:r>
      <w:r>
        <w:t xml:space="preserve">Good critic of Eliade’s thinking in this area. </w:t>
      </w:r>
    </w:p>
  </w:comment>
  <w:comment w:id="15" w:author="Bernadette Brady" w:date="2015-01-16T09:51:00Z" w:initials="BB">
    <w:p w14:paraId="6C79DA9F" w14:textId="77777777" w:rsidR="00376013" w:rsidRDefault="00376013">
      <w:pPr>
        <w:pStyle w:val="CommentText"/>
      </w:pPr>
      <w:r>
        <w:rPr>
          <w:rStyle w:val="CommentReference"/>
        </w:rPr>
        <w:annotationRef/>
      </w:r>
      <w:r>
        <w:t>Good introduction to the question</w:t>
      </w:r>
      <w:proofErr w:type="gramStart"/>
      <w:r>
        <w:t>,  academic</w:t>
      </w:r>
      <w:proofErr w:type="gramEnd"/>
      <w:r>
        <w:t xml:space="preserve"> rational and your methodology. </w:t>
      </w:r>
    </w:p>
  </w:comment>
  <w:comment w:id="19" w:author="Bernadette Brady" w:date="2015-01-16T09:54:00Z" w:initials="BB">
    <w:p w14:paraId="19C4EE24" w14:textId="77777777" w:rsidR="00EE0658" w:rsidRDefault="00EE0658">
      <w:pPr>
        <w:pStyle w:val="CommentText"/>
      </w:pPr>
      <w:r>
        <w:rPr>
          <w:rStyle w:val="CommentReference"/>
        </w:rPr>
        <w:annotationRef/>
      </w:r>
      <w:r>
        <w:t xml:space="preserve">You need to define this term, ithyphallic god, a god with an erect penis. </w:t>
      </w:r>
    </w:p>
  </w:comment>
  <w:comment w:id="21" w:author="Bernadette Brady" w:date="2015-01-16T09:56:00Z" w:initials="BB">
    <w:p w14:paraId="32F08F9B" w14:textId="77777777" w:rsidR="00EE0658" w:rsidRDefault="00EE0658">
      <w:pPr>
        <w:pStyle w:val="CommentText"/>
      </w:pPr>
      <w:r>
        <w:rPr>
          <w:rStyle w:val="CommentReference"/>
        </w:rPr>
        <w:annotationRef/>
      </w:r>
      <w:r>
        <w:t xml:space="preserve">Yes it is important that you acknowledge the cultural shifts of the span of the Egyptian history. </w:t>
      </w:r>
    </w:p>
  </w:comment>
  <w:comment w:id="22" w:author="Bernadette Brady" w:date="2015-01-16T09:59:00Z" w:initials="BB">
    <w:p w14:paraId="51C1ED72" w14:textId="77777777" w:rsidR="00EE0658" w:rsidRDefault="00EE0658">
      <w:pPr>
        <w:pStyle w:val="CommentText"/>
      </w:pPr>
      <w:r>
        <w:rPr>
          <w:rStyle w:val="CommentReference"/>
        </w:rPr>
        <w:annotationRef/>
      </w:r>
      <w:r>
        <w:t xml:space="preserve">Good observation. Good use of your primary source material. </w:t>
      </w:r>
    </w:p>
  </w:comment>
  <w:comment w:id="23" w:author="Bernadette Brady" w:date="2015-01-16T10:00:00Z" w:initials="BB">
    <w:p w14:paraId="17BF1AD7" w14:textId="77777777" w:rsidR="00EE0658" w:rsidRDefault="00EE0658">
      <w:pPr>
        <w:pStyle w:val="CommentText"/>
      </w:pPr>
      <w:r>
        <w:rPr>
          <w:rStyle w:val="CommentReference"/>
        </w:rPr>
        <w:annotationRef/>
      </w:r>
      <w:r>
        <w:t xml:space="preserve">Middle and New Kingdom periods. </w:t>
      </w:r>
    </w:p>
  </w:comment>
  <w:comment w:id="24" w:author="Bernadette Brady" w:date="2015-01-16T10:00:00Z" w:initials="BB">
    <w:p w14:paraId="19755737" w14:textId="77777777" w:rsidR="00EE0658" w:rsidRDefault="00EE0658">
      <w:pPr>
        <w:pStyle w:val="CommentText"/>
      </w:pPr>
      <w:r>
        <w:rPr>
          <w:rStyle w:val="CommentReference"/>
        </w:rPr>
        <w:annotationRef/>
      </w:r>
      <w:r>
        <w:t xml:space="preserve">Above you are talking about Middle and New Kingdom, so place the Eighteenth Dynasty into that frame work.  It was at the beginning of the New Kingdom. </w:t>
      </w:r>
    </w:p>
    <w:p w14:paraId="459F99CB" w14:textId="77777777" w:rsidR="00EE0658" w:rsidRDefault="00EE0658">
      <w:pPr>
        <w:pStyle w:val="CommentText"/>
      </w:pPr>
    </w:p>
    <w:p w14:paraId="16DBDF29" w14:textId="77777777" w:rsidR="00EE0658" w:rsidRDefault="00EE0658">
      <w:pPr>
        <w:pStyle w:val="CommentText"/>
      </w:pPr>
    </w:p>
  </w:comment>
  <w:comment w:id="25" w:author="Bernadette Brady" w:date="2015-01-16T10:06:00Z" w:initials="BB">
    <w:p w14:paraId="0C0CD647" w14:textId="77777777" w:rsidR="00EE0658" w:rsidRDefault="00EE0658">
      <w:pPr>
        <w:pStyle w:val="CommentText"/>
      </w:pPr>
      <w:r>
        <w:rPr>
          <w:rStyle w:val="CommentReference"/>
        </w:rPr>
        <w:annotationRef/>
      </w:r>
      <w:r>
        <w:t xml:space="preserve">In your text you need to introduce the quote - name </w:t>
      </w:r>
      <w:proofErr w:type="gramStart"/>
      <w:r>
        <w:t>the  source</w:t>
      </w:r>
      <w:proofErr w:type="gramEnd"/>
      <w:r>
        <w:t xml:space="preserve">,    </w:t>
      </w:r>
      <w:r w:rsidRPr="00452BEE">
        <w:t xml:space="preserve">`A Hymn To Ra When He Rises in the East`, in </w:t>
      </w:r>
      <w:r w:rsidRPr="00452BEE">
        <w:rPr>
          <w:i/>
        </w:rPr>
        <w:t>Tutankhamen</w:t>
      </w:r>
      <w:r>
        <w:rPr>
          <w:i/>
        </w:rPr>
        <w:t xml:space="preserve">. </w:t>
      </w:r>
      <w:r>
        <w:t xml:space="preserve"> </w:t>
      </w:r>
    </w:p>
  </w:comment>
  <w:comment w:id="26" w:author="Bernadette Brady" w:date="2015-01-16T10:10:00Z" w:initials="BB">
    <w:p w14:paraId="638525FA" w14:textId="77777777" w:rsidR="00EE0658" w:rsidRDefault="00EE0658">
      <w:pPr>
        <w:pStyle w:val="CommentText"/>
      </w:pPr>
      <w:r>
        <w:rPr>
          <w:rStyle w:val="CommentReference"/>
        </w:rPr>
        <w:annotationRef/>
      </w:r>
      <w:r>
        <w:t xml:space="preserve">Yes, good point. </w:t>
      </w:r>
    </w:p>
  </w:comment>
  <w:comment w:id="27" w:author="Bernadette Brady" w:date="2015-01-16T10:11:00Z" w:initials="BB">
    <w:p w14:paraId="060ECCE7" w14:textId="77777777" w:rsidR="00EE0658" w:rsidRDefault="00EE0658">
      <w:pPr>
        <w:pStyle w:val="CommentText"/>
      </w:pPr>
      <w:r>
        <w:rPr>
          <w:rStyle w:val="CommentReference"/>
        </w:rPr>
        <w:annotationRef/>
      </w:r>
      <w:r>
        <w:t xml:space="preserve">This needs a little more unpacking. You needed to name Hart in your text, as this is his opinion, and add a few sentence showing why this distinction was important. </w:t>
      </w:r>
    </w:p>
  </w:comment>
  <w:comment w:id="28" w:author="Bernadette Brady" w:date="2015-01-16T10:12:00Z" w:initials="BB">
    <w:p w14:paraId="00D76EAC" w14:textId="77777777" w:rsidR="00EE0658" w:rsidRDefault="00EE0658">
      <w:pPr>
        <w:pStyle w:val="CommentText"/>
      </w:pPr>
      <w:r>
        <w:rPr>
          <w:rStyle w:val="CommentReference"/>
        </w:rPr>
        <w:annotationRef/>
      </w:r>
      <w:r>
        <w:t xml:space="preserve">Why do you make this comparison? You have not presented the views of other Egyptologist in your work so this </w:t>
      </w:r>
      <w:r w:rsidR="006239FE">
        <w:t xml:space="preserve">therefore reads as </w:t>
      </w:r>
      <w:r>
        <w:t xml:space="preserve">a personal opinion not based in </w:t>
      </w:r>
      <w:r w:rsidR="006239FE">
        <w:t>the</w:t>
      </w:r>
      <w:r>
        <w:t xml:space="preserve"> presented evidence. </w:t>
      </w:r>
    </w:p>
  </w:comment>
  <w:comment w:id="29" w:author="Bernadette Brady" w:date="2015-01-16T10:15:00Z" w:initials="BB">
    <w:p w14:paraId="63BD6B2A" w14:textId="77777777" w:rsidR="006239FE" w:rsidRDefault="006239FE">
      <w:pPr>
        <w:pStyle w:val="CommentText"/>
      </w:pPr>
      <w:r>
        <w:rPr>
          <w:rStyle w:val="CommentReference"/>
        </w:rPr>
        <w:annotationRef/>
      </w:r>
      <w:r>
        <w:t>Can you offer any critic of Orriols-Llonch’s work? If he alone is drawing in sexual themes to this material, do other Egyptologist agree?</w:t>
      </w:r>
    </w:p>
  </w:comment>
  <w:comment w:id="30" w:author="Bernadette Brady" w:date="2015-01-16T10:25:00Z" w:initials="BB">
    <w:p w14:paraId="74C50A50" w14:textId="77777777" w:rsidR="00DE369A" w:rsidRDefault="00DE369A">
      <w:pPr>
        <w:pStyle w:val="CommentText"/>
      </w:pPr>
      <w:r>
        <w:rPr>
          <w:rStyle w:val="CommentReference"/>
        </w:rPr>
        <w:annotationRef/>
      </w:r>
      <w:r>
        <w:t>Of the Old Kingdom.</w:t>
      </w:r>
    </w:p>
  </w:comment>
  <w:comment w:id="31" w:author="Bernadette Brady" w:date="2015-01-16T10:25:00Z" w:initials="BB">
    <w:p w14:paraId="4629A57C" w14:textId="77777777" w:rsidR="00DE369A" w:rsidRDefault="00DE369A">
      <w:pPr>
        <w:pStyle w:val="CommentText"/>
      </w:pPr>
      <w:r>
        <w:rPr>
          <w:rStyle w:val="CommentReference"/>
        </w:rPr>
        <w:annotationRef/>
      </w:r>
      <w:r>
        <w:t xml:space="preserve">Your reader is not an Egyptologist, so what is the relationship in time between the Twentieth </w:t>
      </w:r>
      <w:proofErr w:type="gramStart"/>
      <w:r>
        <w:t>Dynasty  -</w:t>
      </w:r>
      <w:proofErr w:type="gramEnd"/>
      <w:r>
        <w:t xml:space="preserve"> it is over a thousand years so you need to state that in your text. </w:t>
      </w:r>
    </w:p>
  </w:comment>
  <w:comment w:id="34" w:author="Bernadette Brady" w:date="2015-01-16T10:30:00Z" w:initials="BB">
    <w:p w14:paraId="46BE5ACA" w14:textId="77777777" w:rsidR="00DE369A" w:rsidRDefault="00DE369A">
      <w:pPr>
        <w:pStyle w:val="CommentText"/>
      </w:pPr>
      <w:r>
        <w:rPr>
          <w:rStyle w:val="CommentReference"/>
        </w:rPr>
        <w:annotationRef/>
      </w:r>
      <w:r>
        <w:t>Or rather suggests….?</w:t>
      </w:r>
    </w:p>
  </w:comment>
  <w:comment w:id="35" w:author="Bernadette Brady" w:date="2015-01-16T10:30:00Z" w:initials="BB">
    <w:p w14:paraId="0FADE1EF" w14:textId="77777777" w:rsidR="00DE369A" w:rsidRDefault="00DE369A">
      <w:pPr>
        <w:pStyle w:val="CommentText"/>
      </w:pPr>
      <w:r>
        <w:rPr>
          <w:rStyle w:val="CommentReference"/>
        </w:rPr>
        <w:annotationRef/>
      </w:r>
      <w:r>
        <w:t xml:space="preserve">Of the Old Kingdom period, thus covering a period of just under two thousand years. </w:t>
      </w:r>
    </w:p>
  </w:comment>
  <w:comment w:id="36" w:author="Bernadette Brady" w:date="2015-01-16T10:34:00Z" w:initials="BB">
    <w:p w14:paraId="1CC14C8B" w14:textId="77777777" w:rsidR="00D953C7" w:rsidRDefault="00D953C7">
      <w:pPr>
        <w:pStyle w:val="CommentText"/>
      </w:pPr>
      <w:r>
        <w:rPr>
          <w:rStyle w:val="CommentReference"/>
        </w:rPr>
        <w:annotationRef/>
      </w:r>
      <w:r>
        <w:t>By whom?</w:t>
      </w:r>
    </w:p>
  </w:comment>
  <w:comment w:id="37" w:author="Bernadette Brady" w:date="2015-01-16T10:38:00Z" w:initials="BB">
    <w:p w14:paraId="1EDD73AA" w14:textId="786DFCF9" w:rsidR="001775F9" w:rsidRDefault="001775F9">
      <w:pPr>
        <w:pStyle w:val="CommentText"/>
      </w:pPr>
      <w:r>
        <w:rPr>
          <w:rStyle w:val="CommentReference"/>
        </w:rPr>
        <w:annotationRef/>
      </w:r>
      <w:r>
        <w:t xml:space="preserve">You need to state what an Ennead is, ie a collection of nine gods. </w:t>
      </w:r>
    </w:p>
  </w:comment>
  <w:comment w:id="38" w:author="Bernadette Brady" w:date="2015-01-16T10:39:00Z" w:initials="BB">
    <w:p w14:paraId="2E8EC92E" w14:textId="54B46C26" w:rsidR="001775F9" w:rsidRDefault="001775F9">
      <w:pPr>
        <w:pStyle w:val="CommentText"/>
      </w:pPr>
      <w:r>
        <w:rPr>
          <w:rStyle w:val="CommentReference"/>
        </w:rPr>
        <w:annotationRef/>
      </w:r>
      <w:r>
        <w:t xml:space="preserve">Do you mean nine? If he is foremost of the Ennead?  </w:t>
      </w:r>
    </w:p>
  </w:comment>
  <w:comment w:id="49" w:author="Bernadette Brady" w:date="2015-01-16T10:47:00Z" w:initials="BB">
    <w:p w14:paraId="0232A961" w14:textId="3151A4A0" w:rsidR="002F66C5" w:rsidRDefault="002F66C5">
      <w:pPr>
        <w:pStyle w:val="CommentText"/>
      </w:pPr>
      <w:r>
        <w:rPr>
          <w:rStyle w:val="CommentReference"/>
        </w:rPr>
        <w:annotationRef/>
      </w:r>
      <w:r>
        <w:t xml:space="preserve">This is important as it also lends support to </w:t>
      </w:r>
      <w:r w:rsidRPr="00107B5A">
        <w:t>Orriols</w:t>
      </w:r>
      <w:r>
        <w:t>-Llonch</w:t>
      </w:r>
      <w:r>
        <w:t xml:space="preserve">’s arguments of some feminine elements involved in the imagery. </w:t>
      </w:r>
    </w:p>
  </w:comment>
  <w:comment w:id="52" w:author="Bernadette Brady" w:date="2015-01-16T10:53:00Z" w:initials="BB">
    <w:p w14:paraId="24255935" w14:textId="608084A4" w:rsidR="002F66C5" w:rsidRDefault="002F66C5">
      <w:pPr>
        <w:pStyle w:val="CommentText"/>
      </w:pPr>
      <w:r>
        <w:rPr>
          <w:rStyle w:val="CommentReference"/>
        </w:rPr>
        <w:annotationRef/>
      </w:r>
      <w:proofErr w:type="gramStart"/>
      <w:r>
        <w:t>Point  well</w:t>
      </w:r>
      <w:proofErr w:type="gramEnd"/>
      <w:r>
        <w:t xml:space="preserve"> made. </w:t>
      </w:r>
    </w:p>
  </w:comment>
  <w:comment w:id="54" w:author="Bernadette Brady" w:date="2015-01-16T10:55:00Z" w:initials="BB">
    <w:p w14:paraId="3D694B3C" w14:textId="41AB7A6B" w:rsidR="002F66C5" w:rsidRDefault="002F66C5">
      <w:pPr>
        <w:pStyle w:val="CommentText"/>
      </w:pPr>
      <w:r>
        <w:rPr>
          <w:rStyle w:val="CommentReference"/>
        </w:rPr>
        <w:annotationRef/>
      </w:r>
      <w:r>
        <w:t xml:space="preserve">Good summary of a the chapter. </w:t>
      </w:r>
    </w:p>
  </w:comment>
  <w:comment w:id="56" w:author="Bernadette Brady" w:date="2015-01-16T11:35:00Z" w:initials="BB">
    <w:p w14:paraId="30786F91" w14:textId="5D8D19C7" w:rsidR="00DD4B37" w:rsidRDefault="00DD4B37">
      <w:pPr>
        <w:pStyle w:val="CommentText"/>
      </w:pPr>
      <w:r>
        <w:rPr>
          <w:rStyle w:val="CommentReference"/>
        </w:rPr>
        <w:annotationRef/>
      </w:r>
      <w:r>
        <w:t xml:space="preserve">A good introduction to your primary source. </w:t>
      </w:r>
    </w:p>
  </w:comment>
  <w:comment w:id="59" w:author="Bernadette Brady" w:date="2015-01-16T11:42:00Z" w:initials="BB">
    <w:p w14:paraId="6390CE50" w14:textId="6ABDE035" w:rsidR="00DD4B37" w:rsidRDefault="00DD4B37">
      <w:pPr>
        <w:pStyle w:val="CommentText"/>
      </w:pPr>
      <w:r>
        <w:rPr>
          <w:rStyle w:val="CommentReference"/>
        </w:rPr>
        <w:annotationRef/>
      </w:r>
      <w:r>
        <w:t xml:space="preserve">Good point, a nice link between your two primary sources. </w:t>
      </w:r>
    </w:p>
  </w:comment>
  <w:comment w:id="60" w:author="Bernadette Brady" w:date="2015-01-16T11:44:00Z" w:initials="BB">
    <w:p w14:paraId="7F3CE22A" w14:textId="41F5F437" w:rsidR="00DD4B37" w:rsidRDefault="00DD4B37">
      <w:pPr>
        <w:pStyle w:val="CommentText"/>
      </w:pPr>
      <w:r>
        <w:rPr>
          <w:rStyle w:val="CommentReference"/>
        </w:rPr>
        <w:annotationRef/>
      </w:r>
      <w:r>
        <w:t xml:space="preserve">Yes, good comparison. </w:t>
      </w:r>
    </w:p>
  </w:comment>
  <w:comment w:id="61" w:author="Bernadette Brady" w:date="2015-01-16T11:45:00Z" w:initials="BB">
    <w:p w14:paraId="13A6C8C9" w14:textId="60F4598F" w:rsidR="00DD4B37" w:rsidRDefault="00DD4B37">
      <w:pPr>
        <w:pStyle w:val="CommentText"/>
      </w:pPr>
      <w:r>
        <w:rPr>
          <w:rStyle w:val="CommentReference"/>
        </w:rPr>
        <w:annotationRef/>
      </w:r>
      <w:r>
        <w:t xml:space="preserve">This is an important point and could have been expanded as Plato’s views on the sun would have been absorbed into Christian thought. </w:t>
      </w:r>
    </w:p>
  </w:comment>
  <w:comment w:id="65" w:author="Bernadette Brady" w:date="2015-01-16T11:51:00Z" w:initials="BB">
    <w:p w14:paraId="6EA574B9" w14:textId="6A5F00BB" w:rsidR="002C427D" w:rsidRDefault="002C427D">
      <w:pPr>
        <w:pStyle w:val="CommentText"/>
      </w:pPr>
      <w:r>
        <w:rPr>
          <w:rStyle w:val="CommentReference"/>
        </w:rPr>
        <w:annotationRef/>
      </w:r>
      <w:r>
        <w:t xml:space="preserve">Good point to make, as it is key for your argument. Well done. </w:t>
      </w:r>
    </w:p>
  </w:comment>
  <w:comment w:id="67" w:author="Bernadette Brady" w:date="2015-01-16T11:53:00Z" w:initials="BB">
    <w:p w14:paraId="59ABFE6B" w14:textId="78791D26" w:rsidR="002C427D" w:rsidRDefault="002C427D">
      <w:pPr>
        <w:pStyle w:val="CommentText"/>
      </w:pPr>
      <w:r>
        <w:rPr>
          <w:rStyle w:val="CommentReference"/>
        </w:rPr>
        <w:annotationRef/>
      </w:r>
      <w:r>
        <w:t xml:space="preserve">Probably extending Plato’s doctrines that the body held the desires but soul belonged to the divine.  </w:t>
      </w:r>
    </w:p>
  </w:comment>
  <w:comment w:id="68" w:author="Bernadette Brady" w:date="2015-01-16T11:55:00Z" w:initials="BB">
    <w:p w14:paraId="59602700" w14:textId="1B00EAA4" w:rsidR="002C427D" w:rsidRDefault="002C427D">
      <w:pPr>
        <w:pStyle w:val="CommentText"/>
      </w:pPr>
      <w:r>
        <w:rPr>
          <w:rStyle w:val="CommentReference"/>
        </w:rPr>
        <w:annotationRef/>
      </w:r>
      <w:r>
        <w:t xml:space="preserve">Yes, </w:t>
      </w:r>
      <w:proofErr w:type="gramStart"/>
      <w:r>
        <w:t>an  important</w:t>
      </w:r>
      <w:proofErr w:type="gramEnd"/>
      <w:r>
        <w:t xml:space="preserve"> position to establish. </w:t>
      </w:r>
    </w:p>
  </w:comment>
  <w:comment w:id="70" w:author="Bernadette Brady" w:date="2015-01-16T11:56:00Z" w:initials="BB">
    <w:p w14:paraId="68419BC6" w14:textId="695015CF" w:rsidR="005D51B7" w:rsidRDefault="005D51B7">
      <w:pPr>
        <w:pStyle w:val="CommentText"/>
      </w:pPr>
      <w:r>
        <w:rPr>
          <w:rStyle w:val="CommentReference"/>
        </w:rPr>
        <w:annotationRef/>
      </w:r>
      <w:r>
        <w:t xml:space="preserve">Good insight on Eliade’s views. </w:t>
      </w:r>
    </w:p>
  </w:comment>
  <w:comment w:id="71" w:author="Bernadette Brady" w:date="2015-01-16T11:57:00Z" w:initials="BB">
    <w:p w14:paraId="40618B0E" w14:textId="69CE44A7" w:rsidR="005D51B7" w:rsidRDefault="005D51B7">
      <w:pPr>
        <w:pStyle w:val="CommentText"/>
      </w:pPr>
      <w:r>
        <w:rPr>
          <w:rStyle w:val="CommentReference"/>
        </w:rPr>
        <w:annotationRef/>
      </w:r>
      <w:r>
        <w:t xml:space="preserve">Good primary source, well done. </w:t>
      </w:r>
    </w:p>
  </w:comment>
  <w:comment w:id="72" w:author="Bernadette Brady" w:date="2015-01-16T11:59:00Z" w:initials="BB">
    <w:p w14:paraId="58DA93A4" w14:textId="77777777" w:rsidR="005D51B7" w:rsidRDefault="005D51B7">
      <w:pPr>
        <w:pStyle w:val="CommentText"/>
      </w:pPr>
      <w:r>
        <w:rPr>
          <w:rStyle w:val="CommentReference"/>
        </w:rPr>
        <w:annotationRef/>
      </w:r>
      <w:r>
        <w:t xml:space="preserve">This is a good use of </w:t>
      </w:r>
      <w:r w:rsidRPr="00B147A6">
        <w:t>Origen</w:t>
      </w:r>
      <w:r>
        <w:t xml:space="preserve">’s views as it bridges the ancient solar views into the Christian doctrine. Well done.  </w:t>
      </w:r>
    </w:p>
    <w:p w14:paraId="545ED88A" w14:textId="77777777" w:rsidR="005D51B7" w:rsidRDefault="005D51B7">
      <w:pPr>
        <w:pStyle w:val="CommentText"/>
      </w:pPr>
    </w:p>
    <w:p w14:paraId="2B18A0A6" w14:textId="36D78FEB" w:rsidR="005D51B7" w:rsidRDefault="005D51B7">
      <w:pPr>
        <w:pStyle w:val="CommentText"/>
      </w:pPr>
      <w:r>
        <w:t xml:space="preserve">But there is 1400 years between his thinking and the Annunciation art you are discussing. </w:t>
      </w:r>
    </w:p>
  </w:comment>
  <w:comment w:id="78" w:author="Bernadette Brady" w:date="2015-01-16T12:07:00Z" w:initials="BB">
    <w:p w14:paraId="3D3DC116" w14:textId="5A7129D7" w:rsidR="00484FC7" w:rsidRDefault="00484FC7">
      <w:pPr>
        <w:pStyle w:val="CommentText"/>
      </w:pPr>
      <w:r>
        <w:rPr>
          <w:rStyle w:val="CommentReference"/>
        </w:rPr>
        <w:annotationRef/>
      </w:r>
      <w:r>
        <w:t xml:space="preserve">Note: A small style point. If you are arguing this then why are your referencing this sentence? The reference implies that this is not your point but one coming from elsewhere. </w:t>
      </w:r>
    </w:p>
  </w:comment>
  <w:comment w:id="79" w:author="Bernadette Brady" w:date="2015-01-16T12:08:00Z" w:initials="BB">
    <w:p w14:paraId="425F10DF" w14:textId="126E390E" w:rsidR="00484FC7" w:rsidRDefault="00484FC7">
      <w:pPr>
        <w:pStyle w:val="CommentText"/>
      </w:pPr>
      <w:r>
        <w:rPr>
          <w:rStyle w:val="CommentReference"/>
        </w:rPr>
        <w:annotationRef/>
      </w:r>
      <w:r>
        <w:t xml:space="preserve">This is a key point that you are making. </w:t>
      </w:r>
    </w:p>
  </w:comment>
  <w:comment w:id="82" w:author="Bernadette Brady" w:date="2015-01-16T12:10:00Z" w:initials="BB">
    <w:p w14:paraId="298F847C" w14:textId="654350F7" w:rsidR="00484FC7" w:rsidRDefault="00484FC7">
      <w:pPr>
        <w:pStyle w:val="CommentText"/>
      </w:pPr>
      <w:r>
        <w:rPr>
          <w:rStyle w:val="CommentReference"/>
        </w:rPr>
        <w:annotationRef/>
      </w:r>
      <w:r>
        <w:t xml:space="preserve">Yes, a key piece of research for your work. </w:t>
      </w:r>
    </w:p>
  </w:comment>
  <w:comment w:id="85" w:author="Bernadette Brady" w:date="2015-01-16T12:10:00Z" w:initials="BB">
    <w:p w14:paraId="6285F1C4" w14:textId="7AA068F5" w:rsidR="00484FC7" w:rsidRDefault="00484FC7">
      <w:pPr>
        <w:pStyle w:val="CommentText"/>
      </w:pPr>
      <w:r>
        <w:rPr>
          <w:rStyle w:val="CommentReference"/>
        </w:rPr>
        <w:annotationRef/>
      </w:r>
      <w:r>
        <w:t xml:space="preserve">A good conclusion. </w:t>
      </w:r>
    </w:p>
  </w:comment>
  <w:comment w:id="90" w:author="Bernadette Brady" w:date="2015-01-16T12:12:00Z" w:initials="BB">
    <w:p w14:paraId="76E77C0E" w14:textId="74820F06" w:rsidR="00484FC7" w:rsidRDefault="00484FC7">
      <w:pPr>
        <w:pStyle w:val="CommentText"/>
      </w:pPr>
      <w:r>
        <w:rPr>
          <w:rStyle w:val="CommentReference"/>
        </w:rPr>
        <w:annotationRef/>
      </w:r>
      <w:r>
        <w:t xml:space="preserve">Yes, good point. </w:t>
      </w:r>
    </w:p>
  </w:comment>
  <w:comment w:id="98" w:author="Bernadette Brady" w:date="2015-01-16T12:14:00Z" w:initials="BB">
    <w:p w14:paraId="3C8740E2" w14:textId="3B44BB75" w:rsidR="00484FC7" w:rsidRDefault="00484FC7">
      <w:pPr>
        <w:pStyle w:val="CommentText"/>
      </w:pPr>
      <w:r>
        <w:rPr>
          <w:rStyle w:val="CommentReference"/>
        </w:rPr>
        <w:annotationRef/>
      </w:r>
      <w:r>
        <w:t xml:space="preserve">Good honest assessment of your research. </w:t>
      </w:r>
    </w:p>
  </w:comment>
  <w:comment w:id="99" w:author="Bernadette Brady" w:date="2015-01-16T12:15:00Z" w:initials="BB">
    <w:p w14:paraId="56D84188" w14:textId="3E591C0A" w:rsidR="00484FC7" w:rsidRDefault="00484FC7">
      <w:pPr>
        <w:pStyle w:val="CommentText"/>
      </w:pPr>
      <w:r>
        <w:rPr>
          <w:rStyle w:val="CommentReference"/>
        </w:rPr>
        <w:annotationRef/>
      </w:r>
      <w:r>
        <w:t xml:space="preserve">Yes, a point well made. </w:t>
      </w:r>
    </w:p>
  </w:comment>
  <w:comment w:id="102" w:author="Bernadette Brady" w:date="2015-01-16T12:19:00Z" w:initials="BB">
    <w:p w14:paraId="0AB5328D" w14:textId="07C8B04E" w:rsidR="00B64DEA" w:rsidRDefault="00B64DEA">
      <w:pPr>
        <w:pStyle w:val="CommentText"/>
      </w:pPr>
      <w:r>
        <w:rPr>
          <w:rStyle w:val="CommentReference"/>
        </w:rPr>
        <w:annotationRef/>
      </w:r>
      <w:r>
        <w:t xml:space="preserve">This is an important finding that you could develop as it emphasise the importance of the line of </w:t>
      </w:r>
      <w:proofErr w:type="gramStart"/>
      <w:r>
        <w:t>the  horizon</w:t>
      </w:r>
      <w:proofErr w:type="gramEnd"/>
      <w:r>
        <w:t xml:space="preserve">. </w:t>
      </w:r>
    </w:p>
  </w:comment>
  <w:comment w:id="103" w:author="Bernadette Brady" w:date="2015-01-16T12:21:00Z" w:initials="BB">
    <w:p w14:paraId="392057C9" w14:textId="38B669A3" w:rsidR="00B64DEA" w:rsidRDefault="00B64DEA">
      <w:pPr>
        <w:pStyle w:val="CommentText"/>
      </w:pPr>
      <w:r>
        <w:rPr>
          <w:rStyle w:val="CommentReference"/>
        </w:rPr>
        <w:annotationRef/>
      </w:r>
      <w:r>
        <w:t xml:space="preserve">A good tool to help clarify your findings. </w:t>
      </w:r>
    </w:p>
  </w:comment>
  <w:comment w:id="104" w:author="Bernadette Brady" w:date="2015-01-16T12:22:00Z" w:initials="BB">
    <w:p w14:paraId="48FF5A98" w14:textId="3ABF3852" w:rsidR="00B64DEA" w:rsidRDefault="00B64DEA">
      <w:pPr>
        <w:pStyle w:val="CommentText"/>
      </w:pPr>
      <w:r>
        <w:rPr>
          <w:rStyle w:val="CommentReference"/>
        </w:rPr>
        <w:annotationRef/>
      </w:r>
      <w:r>
        <w:t>Note: Does Khalil make this comparison to the Christian imagery? The way you are referenced this sentence implies that he does. However is this not your conclusion based on your research?</w:t>
      </w:r>
    </w:p>
  </w:comment>
  <w:comment w:id="105" w:author="Bernadette Brady" w:date="2015-01-16T12:26:00Z" w:initials="BB">
    <w:p w14:paraId="0195C5BB" w14:textId="4FDF55E5" w:rsidR="00B64DEA" w:rsidRDefault="00B64DEA">
      <w:pPr>
        <w:pStyle w:val="CommentText"/>
      </w:pPr>
      <w:r>
        <w:rPr>
          <w:rStyle w:val="CommentReference"/>
        </w:rPr>
        <w:annotationRef/>
      </w:r>
      <w:r>
        <w:t xml:space="preserve">Yes, well argued. </w:t>
      </w:r>
    </w:p>
  </w:comment>
  <w:comment w:id="106" w:author="Bernadette Brady" w:date="2015-01-16T12:27:00Z" w:initials="BB">
    <w:p w14:paraId="45EF18EB" w14:textId="73AE0C59" w:rsidR="00B64DEA" w:rsidRDefault="00B64DEA">
      <w:pPr>
        <w:pStyle w:val="CommentText"/>
      </w:pPr>
      <w:r>
        <w:rPr>
          <w:rStyle w:val="CommentReference"/>
        </w:rPr>
        <w:annotationRef/>
      </w:r>
      <w:r>
        <w:t xml:space="preserve">Excellent point. </w:t>
      </w:r>
    </w:p>
  </w:comment>
  <w:comment w:id="107" w:author="Bernadette Brady" w:date="2015-01-16T12:28:00Z" w:initials="BB">
    <w:p w14:paraId="24AA4E21" w14:textId="473E8B4C" w:rsidR="00D83C86" w:rsidRDefault="00D83C86">
      <w:pPr>
        <w:pStyle w:val="CommentText"/>
      </w:pPr>
      <w:r>
        <w:rPr>
          <w:rStyle w:val="CommentReference"/>
        </w:rPr>
        <w:annotationRef/>
      </w:r>
      <w:r>
        <w:t xml:space="preserve">Ann important point to bring out in your conclusion. </w:t>
      </w:r>
    </w:p>
  </w:comment>
  <w:comment w:id="108" w:author="Bernadette Brady" w:date="2015-01-16T12:29:00Z" w:initials="BB">
    <w:p w14:paraId="3ADA9480" w14:textId="38E2EADD" w:rsidR="00D83C86" w:rsidRDefault="00D83C86">
      <w:pPr>
        <w:pStyle w:val="CommentText"/>
      </w:pPr>
      <w:r>
        <w:rPr>
          <w:rStyle w:val="CommentReference"/>
        </w:rPr>
        <w:annotationRef/>
      </w:r>
      <w:r>
        <w:t xml:space="preserve">Yes, well done. </w:t>
      </w:r>
    </w:p>
  </w:comment>
  <w:comment w:id="109" w:author="Bernadette Brady" w:date="2015-01-16T12:29:00Z" w:initials="BB">
    <w:p w14:paraId="7458EDD5" w14:textId="791EBA14" w:rsidR="00D83C86" w:rsidRDefault="00D83C86">
      <w:pPr>
        <w:pStyle w:val="CommentText"/>
      </w:pPr>
      <w:r>
        <w:rPr>
          <w:rStyle w:val="CommentReference"/>
        </w:rPr>
        <w:annotationRef/>
      </w:r>
      <w:r>
        <w:t xml:space="preserve">Good point. </w:t>
      </w:r>
    </w:p>
  </w:comment>
  <w:comment w:id="110" w:author="Bernadette Brady" w:date="2015-01-16T12:30:00Z" w:initials="BB">
    <w:p w14:paraId="2AD57CB7" w14:textId="779057FD" w:rsidR="00D83C86" w:rsidRDefault="00D83C86">
      <w:pPr>
        <w:pStyle w:val="CommentText"/>
      </w:pPr>
      <w:r>
        <w:rPr>
          <w:rStyle w:val="CommentReference"/>
        </w:rPr>
        <w:annotationRef/>
      </w:r>
      <w:r>
        <w:t xml:space="preserve">Yes, an powerful comparison which strongly supports your argument. </w:t>
      </w:r>
    </w:p>
  </w:comment>
  <w:comment w:id="115" w:author="Bernadette Brady" w:date="2015-01-16T12:32:00Z" w:initials="BB">
    <w:p w14:paraId="778C88DB" w14:textId="5CD6081F" w:rsidR="00D83C86" w:rsidRDefault="00D83C86">
      <w:pPr>
        <w:pStyle w:val="CommentText"/>
      </w:pPr>
      <w:r>
        <w:rPr>
          <w:rStyle w:val="CommentReference"/>
        </w:rPr>
        <w:annotationRef/>
      </w:r>
      <w:r>
        <w:t xml:space="preserve">A key finding. </w:t>
      </w:r>
    </w:p>
  </w:comment>
  <w:comment w:id="117" w:author="Bernadette Brady" w:date="2015-01-16T12:32:00Z" w:initials="BB">
    <w:p w14:paraId="1A027112" w14:textId="001942A3" w:rsidR="00D83C86" w:rsidRDefault="00D83C86">
      <w:pPr>
        <w:pStyle w:val="CommentText"/>
      </w:pPr>
      <w:r>
        <w:rPr>
          <w:rStyle w:val="CommentReference"/>
        </w:rPr>
        <w:annotationRef/>
      </w:r>
      <w:r>
        <w:t xml:space="preserve">An original insight which is well argued and supported with your evidence.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918BE9" w15:done="0"/>
  <w15:commentEx w15:paraId="77B1613A" w15:done="0"/>
  <w15:commentEx w15:paraId="6AEBEA60" w15:done="0"/>
  <w15:commentEx w15:paraId="778B4BE6" w15:done="0"/>
  <w15:commentEx w15:paraId="35EBAD78" w15:done="0"/>
  <w15:commentEx w15:paraId="2D6A9243" w15:done="0"/>
  <w15:commentEx w15:paraId="6C79DA9F" w15:done="0"/>
  <w15:commentEx w15:paraId="19C4EE24" w15:done="0"/>
  <w15:commentEx w15:paraId="32F08F9B" w15:done="0"/>
  <w15:commentEx w15:paraId="51C1ED72" w15:done="0"/>
  <w15:commentEx w15:paraId="17BF1AD7" w15:done="0"/>
  <w15:commentEx w15:paraId="16DBDF29" w15:done="0"/>
  <w15:commentEx w15:paraId="0C0CD647" w15:done="0"/>
  <w15:commentEx w15:paraId="638525FA" w15:done="0"/>
  <w15:commentEx w15:paraId="060ECCE7" w15:done="0"/>
  <w15:commentEx w15:paraId="00D76EAC" w15:done="0"/>
  <w15:commentEx w15:paraId="63BD6B2A" w15:done="0"/>
  <w15:commentEx w15:paraId="74C50A50" w15:done="0"/>
  <w15:commentEx w15:paraId="4629A57C" w15:done="0"/>
  <w15:commentEx w15:paraId="46BE5ACA" w15:done="0"/>
  <w15:commentEx w15:paraId="0FADE1EF" w15:done="0"/>
  <w15:commentEx w15:paraId="1CC14C8B" w15:done="0"/>
  <w15:commentEx w15:paraId="1EDD73AA" w15:done="0"/>
  <w15:commentEx w15:paraId="2E8EC92E" w15:done="0"/>
  <w15:commentEx w15:paraId="0232A961" w15:done="0"/>
  <w15:commentEx w15:paraId="24255935" w15:done="0"/>
  <w15:commentEx w15:paraId="3D694B3C" w15:done="0"/>
  <w15:commentEx w15:paraId="30786F91" w15:done="0"/>
  <w15:commentEx w15:paraId="6390CE50" w15:done="0"/>
  <w15:commentEx w15:paraId="7F3CE22A" w15:done="0"/>
  <w15:commentEx w15:paraId="13A6C8C9" w15:done="0"/>
  <w15:commentEx w15:paraId="6EA574B9" w15:done="0"/>
  <w15:commentEx w15:paraId="59ABFE6B" w15:done="0"/>
  <w15:commentEx w15:paraId="59602700" w15:done="0"/>
  <w15:commentEx w15:paraId="68419BC6" w15:done="0"/>
  <w15:commentEx w15:paraId="40618B0E" w15:done="0"/>
  <w15:commentEx w15:paraId="2B18A0A6" w15:done="0"/>
  <w15:commentEx w15:paraId="3D3DC116" w15:done="0"/>
  <w15:commentEx w15:paraId="425F10DF" w15:done="0"/>
  <w15:commentEx w15:paraId="298F847C" w15:done="0"/>
  <w15:commentEx w15:paraId="6285F1C4" w15:done="0"/>
  <w15:commentEx w15:paraId="76E77C0E" w15:done="0"/>
  <w15:commentEx w15:paraId="3C8740E2" w15:done="0"/>
  <w15:commentEx w15:paraId="56D84188" w15:done="0"/>
  <w15:commentEx w15:paraId="0AB5328D" w15:done="0"/>
  <w15:commentEx w15:paraId="392057C9" w15:done="0"/>
  <w15:commentEx w15:paraId="48FF5A98" w15:done="0"/>
  <w15:commentEx w15:paraId="0195C5BB" w15:done="0"/>
  <w15:commentEx w15:paraId="45EF18EB" w15:done="0"/>
  <w15:commentEx w15:paraId="24AA4E21" w15:done="0"/>
  <w15:commentEx w15:paraId="3ADA9480" w15:done="0"/>
  <w15:commentEx w15:paraId="7458EDD5" w15:done="0"/>
  <w15:commentEx w15:paraId="2AD57CB7" w15:done="0"/>
  <w15:commentEx w15:paraId="778C88DB" w15:done="0"/>
  <w15:commentEx w15:paraId="1A02711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9A7E8" w14:textId="77777777" w:rsidR="00254D12" w:rsidRDefault="00254D12" w:rsidP="00A97456">
      <w:r>
        <w:separator/>
      </w:r>
    </w:p>
  </w:endnote>
  <w:endnote w:type="continuationSeparator" w:id="0">
    <w:p w14:paraId="5CC53A4F" w14:textId="77777777" w:rsidR="00254D12" w:rsidRDefault="00254D12" w:rsidP="00A97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05724" w14:textId="77777777" w:rsidR="00254D12" w:rsidRDefault="00254D12" w:rsidP="00A97456">
      <w:r>
        <w:separator/>
      </w:r>
    </w:p>
  </w:footnote>
  <w:footnote w:type="continuationSeparator" w:id="0">
    <w:p w14:paraId="340883FF" w14:textId="77777777" w:rsidR="00254D12" w:rsidRDefault="00254D12" w:rsidP="00A97456">
      <w:r>
        <w:continuationSeparator/>
      </w:r>
    </w:p>
  </w:footnote>
  <w:footnote w:id="1">
    <w:p w14:paraId="2884835C" w14:textId="77777777" w:rsidR="00613D59" w:rsidRPr="00333825" w:rsidRDefault="00613D59" w:rsidP="00A97456">
      <w:pPr>
        <w:pStyle w:val="FootnoteText"/>
      </w:pPr>
      <w:r>
        <w:rPr>
          <w:rStyle w:val="FootnoteReference"/>
        </w:rPr>
        <w:footnoteRef/>
      </w:r>
      <w:r w:rsidRPr="00333825">
        <w:t>M. Meiss, `Light as Form and Symbol in Some Fifteenth-Century Paintings</w:t>
      </w:r>
      <w:proofErr w:type="gramStart"/>
      <w:r w:rsidRPr="00333825">
        <w:t>,`</w:t>
      </w:r>
      <w:proofErr w:type="gramEnd"/>
      <w:r>
        <w:t xml:space="preserve"> </w:t>
      </w:r>
      <w:r w:rsidRPr="00333825">
        <w:rPr>
          <w:i/>
        </w:rPr>
        <w:t>The Art Bulletin</w:t>
      </w:r>
      <w:r w:rsidRPr="00333825">
        <w:t>, Vol. 27, No. 3:</w:t>
      </w:r>
      <w:r>
        <w:t xml:space="preserve"> (Sept. 1945), 175 – 181.; Laura </w:t>
      </w:r>
      <w:r w:rsidRPr="00177374">
        <w:t xml:space="preserve">Jacobus, </w:t>
      </w:r>
      <w:r>
        <w:t>`</w:t>
      </w:r>
      <w:r w:rsidRPr="00177374">
        <w:t>Giotto’s Annunciation in the Arena Chapel, Padua</w:t>
      </w:r>
      <w:r>
        <w:t>`</w:t>
      </w:r>
      <w:r w:rsidRPr="00177374">
        <w:t xml:space="preserve">, </w:t>
      </w:r>
      <w:r w:rsidRPr="00544B4A">
        <w:rPr>
          <w:i/>
        </w:rPr>
        <w:t>The Art Bulletin</w:t>
      </w:r>
      <w:r w:rsidRPr="00177374">
        <w:t xml:space="preserve">, Vol. 81. No. </w:t>
      </w:r>
      <w:r>
        <w:t xml:space="preserve">1 (Mar. 1999), </w:t>
      </w:r>
      <w:r w:rsidRPr="00177374">
        <w:t>93-107.</w:t>
      </w:r>
      <w:r>
        <w:t xml:space="preserve">; </w:t>
      </w:r>
      <w:r w:rsidRPr="00333825">
        <w:t>L</w:t>
      </w:r>
      <w:r>
        <w:t>eo</w:t>
      </w:r>
      <w:r w:rsidRPr="00333825">
        <w:t xml:space="preserve"> Steinberg, `”How Shall This Be?”Reflections on Filippo Lippi’s Annunciation in London, Part 1</w:t>
      </w:r>
      <w:proofErr w:type="gramStart"/>
      <w:r w:rsidRPr="00333825">
        <w:t>.`</w:t>
      </w:r>
      <w:proofErr w:type="gramEnd"/>
      <w:r>
        <w:t xml:space="preserve"> </w:t>
      </w:r>
      <w:r w:rsidRPr="00333825">
        <w:rPr>
          <w:i/>
        </w:rPr>
        <w:t>Artibus et Historiae</w:t>
      </w:r>
      <w:r>
        <w:t>, Vol. 8, No 16: (1987), 25-</w:t>
      </w:r>
      <w:r w:rsidRPr="00333825">
        <w:t>44.</w:t>
      </w:r>
    </w:p>
    <w:p w14:paraId="7EB036A9" w14:textId="77777777" w:rsidR="00613D59" w:rsidRDefault="00613D59" w:rsidP="00A97456">
      <w:pPr>
        <w:pStyle w:val="FootnoteText"/>
      </w:pPr>
    </w:p>
  </w:footnote>
  <w:footnote w:id="2">
    <w:p w14:paraId="492DF438" w14:textId="77777777" w:rsidR="00613D59" w:rsidRDefault="00613D59" w:rsidP="00A97456">
      <w:pPr>
        <w:pStyle w:val="FootnoteText"/>
      </w:pPr>
      <w:r>
        <w:rPr>
          <w:rStyle w:val="FootnoteReference"/>
        </w:rPr>
        <w:footnoteRef/>
      </w:r>
      <w:r>
        <w:t xml:space="preserve"> Margaret Freeman, `The Iconography of the Mérode Altarpiece`, </w:t>
      </w:r>
      <w:r w:rsidRPr="00755335">
        <w:rPr>
          <w:i/>
          <w:iCs/>
        </w:rPr>
        <w:t xml:space="preserve">The Metropolitan Museum of Art </w:t>
      </w:r>
      <w:proofErr w:type="gramStart"/>
      <w:r w:rsidRPr="00755335">
        <w:rPr>
          <w:i/>
          <w:iCs/>
        </w:rPr>
        <w:t>Bulletin</w:t>
      </w:r>
      <w:r w:rsidRPr="00755335">
        <w:t xml:space="preserve"> ,</w:t>
      </w:r>
      <w:proofErr w:type="gramEnd"/>
      <w:r w:rsidRPr="00755335">
        <w:t xml:space="preserve"> New Series, Vo</w:t>
      </w:r>
      <w:r>
        <w:t xml:space="preserve">l. 16, No. 4 (Dec., 1957) , </w:t>
      </w:r>
      <w:r w:rsidRPr="00755335">
        <w:t>130-139</w:t>
      </w:r>
      <w:r>
        <w:t xml:space="preserve">. p. 133.; </w:t>
      </w:r>
      <w:r w:rsidRPr="00755335">
        <w:t xml:space="preserve">Y. Hirn, </w:t>
      </w:r>
      <w:r w:rsidRPr="00755335">
        <w:rPr>
          <w:i/>
        </w:rPr>
        <w:t>The Sacred Shrine A Study of the Poetry and Art of the Catholic Church</w:t>
      </w:r>
      <w:r w:rsidRPr="00755335">
        <w:t>, (Boston: Beacon Press, 19</w:t>
      </w:r>
      <w:r>
        <w:t>57), pp. 342-344,</w:t>
      </w:r>
      <w:r w:rsidRPr="00755335">
        <w:t xml:space="preserve"> https://archive.org/stream/sacredshrineastu008402mbp#page/n307/mode/2up/search/the+annunciation [accessed: 1st November 2013]</w:t>
      </w:r>
      <w:r>
        <w:t>; L. Jacobus,</w:t>
      </w:r>
      <w:r w:rsidRPr="00755335">
        <w:t xml:space="preserve"> p. 104.</w:t>
      </w:r>
      <w:r>
        <w:t>; M. Meiss,</w:t>
      </w:r>
      <w:r w:rsidRPr="00755335">
        <w:t xml:space="preserve"> p. 175.</w:t>
      </w:r>
      <w:r>
        <w:t>; See also Leo Steinberg, 25-</w:t>
      </w:r>
      <w:r w:rsidRPr="00755335">
        <w:t>44.</w:t>
      </w:r>
    </w:p>
  </w:footnote>
  <w:footnote w:id="3">
    <w:p w14:paraId="02FEE7E2" w14:textId="77777777" w:rsidR="00613D59" w:rsidRDefault="00613D59" w:rsidP="00A97456">
      <w:pPr>
        <w:pStyle w:val="FootnoteText"/>
      </w:pPr>
      <w:r>
        <w:rPr>
          <w:rStyle w:val="FootnoteReference"/>
        </w:rPr>
        <w:footnoteRef/>
      </w:r>
      <w:r>
        <w:t xml:space="preserve"> </w:t>
      </w:r>
      <w:r w:rsidRPr="00421817">
        <w:t>Donald B. Redford</w:t>
      </w:r>
      <w:r>
        <w:t xml:space="preserve">, </w:t>
      </w:r>
      <w:r w:rsidRPr="00421817">
        <w:t xml:space="preserve">The </w:t>
      </w:r>
      <w:r>
        <w:t>Sun</w:t>
      </w:r>
      <w:r w:rsidRPr="00421817">
        <w:t>-disc in Akhenaten's Program: Its Worship and Antecedents</w:t>
      </w:r>
      <w:r>
        <w:t xml:space="preserve">, </w:t>
      </w:r>
      <w:r w:rsidRPr="00421817">
        <w:rPr>
          <w:i/>
        </w:rPr>
        <w:t>Journal of the American Research Centre in Egypt,</w:t>
      </w:r>
      <w:r>
        <w:t xml:space="preserve"> Vol. 13 (1976), </w:t>
      </w:r>
      <w:r w:rsidRPr="00421817">
        <w:t>47-61</w:t>
      </w:r>
      <w:r>
        <w:t xml:space="preserve">; </w:t>
      </w:r>
      <w:r w:rsidRPr="00B52229">
        <w:t>Donald B. Redford</w:t>
      </w:r>
      <w:r>
        <w:t xml:space="preserve">, </w:t>
      </w:r>
      <w:r w:rsidRPr="00B52229">
        <w:t xml:space="preserve">The </w:t>
      </w:r>
      <w:r>
        <w:t>Sun</w:t>
      </w:r>
      <w:r w:rsidRPr="00B52229">
        <w:t>-Disc in Akhenaten's Program: Its Worship and Antecedents, II</w:t>
      </w:r>
      <w:r>
        <w:t xml:space="preserve">, </w:t>
      </w:r>
      <w:r w:rsidRPr="00B52229">
        <w:rPr>
          <w:i/>
        </w:rPr>
        <w:t>Journal of the American Research Center in Egypt</w:t>
      </w:r>
      <w:r>
        <w:t>, Vol. 17 (1980),</w:t>
      </w:r>
      <w:r w:rsidRPr="00B52229">
        <w:t xml:space="preserve"> 21</w:t>
      </w:r>
      <w:r w:rsidRPr="00B52229">
        <w:rPr>
          <w:i/>
        </w:rPr>
        <w:t>-</w:t>
      </w:r>
      <w:r w:rsidRPr="00B52229">
        <w:t>38</w:t>
      </w:r>
      <w:r>
        <w:t xml:space="preserve">.; </w:t>
      </w:r>
      <w:r w:rsidRPr="00373048">
        <w:t>Barbara A. Weightman</w:t>
      </w:r>
      <w:r>
        <w:t xml:space="preserve">, </w:t>
      </w:r>
      <w:r w:rsidRPr="00373048">
        <w:t>Sacred Landscapes and th</w:t>
      </w:r>
      <w:r>
        <w:t>e Phenomenon of Light,</w:t>
      </w:r>
      <w:r w:rsidRPr="00373048">
        <w:t xml:space="preserve"> </w:t>
      </w:r>
      <w:r w:rsidRPr="00373048">
        <w:rPr>
          <w:i/>
        </w:rPr>
        <w:t>Geographical Review</w:t>
      </w:r>
      <w:r w:rsidRPr="00373048">
        <w:t>, V</w:t>
      </w:r>
      <w:r>
        <w:t xml:space="preserve">ol. 86, No. 1 (Jan., 1996), </w:t>
      </w:r>
      <w:r w:rsidRPr="00373048">
        <w:t>59-71</w:t>
      </w:r>
      <w:r>
        <w:t xml:space="preserve"> (p.59).; R. O. Faulkner, </w:t>
      </w:r>
      <w:r w:rsidRPr="00A948FA">
        <w:rPr>
          <w:i/>
        </w:rPr>
        <w:t xml:space="preserve">The Ancient Egyptian </w:t>
      </w:r>
      <w:r w:rsidRPr="005F405B">
        <w:rPr>
          <w:i/>
        </w:rPr>
        <w:t>Coffin Texts</w:t>
      </w:r>
      <w:r>
        <w:t xml:space="preserve"> Vol. 1,</w:t>
      </w:r>
      <w:r w:rsidRPr="00373048">
        <w:rPr>
          <w:sz w:val="24"/>
          <w:szCs w:val="24"/>
        </w:rPr>
        <w:t xml:space="preserve"> </w:t>
      </w:r>
      <w:r w:rsidRPr="00373048">
        <w:t>(Warminster: Aris and Phillips Ltd., 1994)</w:t>
      </w:r>
      <w:r>
        <w:t xml:space="preserve">, Spell 47, 51,. </w:t>
      </w:r>
    </w:p>
  </w:footnote>
  <w:footnote w:id="4">
    <w:p w14:paraId="08126CEC" w14:textId="77777777" w:rsidR="00613D59" w:rsidRDefault="00613D59" w:rsidP="00A97456">
      <w:pPr>
        <w:pStyle w:val="FootnoteText"/>
      </w:pPr>
      <w:r>
        <w:rPr>
          <w:rStyle w:val="FootnoteReference"/>
        </w:rPr>
        <w:footnoteRef/>
      </w:r>
      <w:r>
        <w:t xml:space="preserve"> Information Center, `</w:t>
      </w:r>
      <w:r w:rsidRPr="00783682">
        <w:t>Rise, Set, and Twiligh</w:t>
      </w:r>
      <w:r>
        <w:t>t</w:t>
      </w:r>
      <w:r w:rsidRPr="009A622B">
        <w:t xml:space="preserve"> </w:t>
      </w:r>
      <w:r w:rsidRPr="00783682">
        <w:t>Definitions</w:t>
      </w:r>
      <w:r>
        <w:t xml:space="preserve">`, </w:t>
      </w:r>
      <w:r w:rsidRPr="00783682">
        <w:t>Astronomical Applications Department</w:t>
      </w:r>
      <w:r>
        <w:t xml:space="preserve">, USNO (7/10/2011) </w:t>
      </w:r>
      <w:r w:rsidRPr="00783682">
        <w:t xml:space="preserve"> </w:t>
      </w:r>
      <w:r w:rsidRPr="0043127D">
        <w:t>http://www.</w:t>
      </w:r>
      <w:r>
        <w:t>sun</w:t>
      </w:r>
      <w:r w:rsidRPr="0043127D">
        <w:t>calc.net</w:t>
      </w:r>
      <w:r>
        <w:t xml:space="preserve"> ; </w:t>
      </w:r>
      <w:r w:rsidRPr="0043127D">
        <w:t>http://aa.usno.navy.mil/faq/docs/RST_defs.php</w:t>
      </w:r>
      <w:r>
        <w:t xml:space="preserve"> [5/11/2013]</w:t>
      </w:r>
    </w:p>
  </w:footnote>
  <w:footnote w:id="5">
    <w:p w14:paraId="45E94678" w14:textId="77777777" w:rsidR="00613D59" w:rsidRDefault="00613D59" w:rsidP="00A97456">
      <w:pPr>
        <w:pStyle w:val="FootnoteText"/>
      </w:pPr>
      <w:r>
        <w:rPr>
          <w:rStyle w:val="FootnoteReference"/>
        </w:rPr>
        <w:footnoteRef/>
      </w:r>
      <w:r>
        <w:t xml:space="preserve"> </w:t>
      </w:r>
      <w:r w:rsidRPr="003A342C">
        <w:t xml:space="preserve">E.S. Hartland, `Phallism`, </w:t>
      </w:r>
      <w:r w:rsidRPr="003A342C">
        <w:rPr>
          <w:i/>
        </w:rPr>
        <w:t>Encyclopaedia of Religion and Ethics</w:t>
      </w:r>
      <w:r w:rsidRPr="003A342C">
        <w:t>, ed. J. Hasting</w:t>
      </w:r>
      <w:r>
        <w:t>s, vol. 9 (New York, 1917) 815-831 (p. 815).</w:t>
      </w:r>
    </w:p>
  </w:footnote>
  <w:footnote w:id="6">
    <w:p w14:paraId="214144ED" w14:textId="77777777" w:rsidR="00613D59" w:rsidRDefault="00613D59" w:rsidP="00A97456">
      <w:pPr>
        <w:pStyle w:val="FootnoteText"/>
      </w:pPr>
      <w:r>
        <w:rPr>
          <w:rStyle w:val="FootnoteReference"/>
        </w:rPr>
        <w:footnoteRef/>
      </w:r>
      <w:r>
        <w:t xml:space="preserve"> Hargrave Jennings, </w:t>
      </w:r>
      <w:r w:rsidRPr="00EA28F8">
        <w:rPr>
          <w:i/>
        </w:rPr>
        <w:t>Phallism: A Description of the Worship of Lingam-Yoni in Various Parts of the World, and in Different Ages, with an Account of Ancient &amp; Modern Crosses Particularly of the Crux Ansata and Other Symbols Connected with the Mysteries of Sex Worship</w:t>
      </w:r>
      <w:r>
        <w:t xml:space="preserve"> (London: 1889)  p.1. </w:t>
      </w:r>
      <w:r w:rsidRPr="00DE183C">
        <w:t>https://archive.org/stream/phallismadescri00jenngoog#page/n3/mode/2up</w:t>
      </w:r>
    </w:p>
  </w:footnote>
  <w:footnote w:id="7">
    <w:p w14:paraId="5FFDEC65" w14:textId="77777777" w:rsidR="00613D59" w:rsidRDefault="00613D59" w:rsidP="00A97456">
      <w:pPr>
        <w:pStyle w:val="FootnoteText"/>
      </w:pPr>
      <w:r>
        <w:rPr>
          <w:rStyle w:val="FootnoteReference"/>
        </w:rPr>
        <w:footnoteRef/>
      </w:r>
      <w:r>
        <w:t xml:space="preserve"> E.S. Hartland, p. 816 + 822.</w:t>
      </w:r>
    </w:p>
  </w:footnote>
  <w:footnote w:id="8">
    <w:p w14:paraId="2B62D6A7" w14:textId="77777777" w:rsidR="00613D59" w:rsidRDefault="00613D59" w:rsidP="00A97456">
      <w:pPr>
        <w:pStyle w:val="FootnoteText"/>
      </w:pPr>
      <w:r>
        <w:rPr>
          <w:rStyle w:val="FootnoteReference"/>
        </w:rPr>
        <w:footnoteRef/>
      </w:r>
      <w:r>
        <w:t xml:space="preserve"> </w:t>
      </w:r>
      <w:r w:rsidRPr="001620CC">
        <w:t xml:space="preserve">M. Eliade, </w:t>
      </w:r>
      <w:r>
        <w:t>`</w:t>
      </w:r>
      <w:r w:rsidRPr="001620CC">
        <w:t>Phallus</w:t>
      </w:r>
      <w:r>
        <w:t>`,</w:t>
      </w:r>
      <w:r w:rsidRPr="001620CC">
        <w:t xml:space="preserve"> </w:t>
      </w:r>
      <w:proofErr w:type="gramStart"/>
      <w:r w:rsidRPr="001620CC">
        <w:rPr>
          <w:i/>
        </w:rPr>
        <w:t>The</w:t>
      </w:r>
      <w:proofErr w:type="gramEnd"/>
      <w:r w:rsidRPr="001620CC">
        <w:rPr>
          <w:i/>
        </w:rPr>
        <w:t xml:space="preserve"> Encyclopedia of Religion</w:t>
      </w:r>
      <w:r w:rsidRPr="001620CC">
        <w:t>, Vol. 13 (New York: Macmi</w:t>
      </w:r>
      <w:r>
        <w:t>llan Publishing Co. 1987) 263-</w:t>
      </w:r>
      <w:r w:rsidRPr="001620CC">
        <w:t xml:space="preserve">269. </w:t>
      </w:r>
      <w:r>
        <w:t>(</w:t>
      </w:r>
      <w:r w:rsidRPr="001620CC">
        <w:t>p. 263</w:t>
      </w:r>
      <w:r>
        <w:t>)</w:t>
      </w:r>
      <w:r w:rsidRPr="001620CC">
        <w:t>.</w:t>
      </w:r>
    </w:p>
  </w:footnote>
  <w:footnote w:id="9">
    <w:p w14:paraId="09D19718" w14:textId="77777777" w:rsidR="00613D59" w:rsidRDefault="00613D59" w:rsidP="00A97456">
      <w:pPr>
        <w:pStyle w:val="FootnoteText"/>
      </w:pPr>
      <w:r>
        <w:rPr>
          <w:rStyle w:val="FootnoteReference"/>
        </w:rPr>
        <w:footnoteRef/>
      </w:r>
      <w:r>
        <w:t xml:space="preserve"> C. Staniland Wake, `The Influence of the Phallic Idea in the Religions of Antiquity,` </w:t>
      </w:r>
      <w:r w:rsidRPr="006450A3">
        <w:rPr>
          <w:i/>
        </w:rPr>
        <w:t>Journal of Anthropology</w:t>
      </w:r>
      <w:r>
        <w:t>, Vol. 1, No. 1, (1870), 97-105 (p. 98).</w:t>
      </w:r>
    </w:p>
  </w:footnote>
  <w:footnote w:id="10">
    <w:p w14:paraId="489E1FB4" w14:textId="77777777" w:rsidR="00613D59" w:rsidRDefault="00613D59" w:rsidP="00A97456">
      <w:pPr>
        <w:pStyle w:val="FootnoteText"/>
      </w:pPr>
      <w:r>
        <w:rPr>
          <w:rStyle w:val="FootnoteReference"/>
        </w:rPr>
        <w:footnoteRef/>
      </w:r>
      <w:r>
        <w:t xml:space="preserve"> C. Staniland Wake, 97-</w:t>
      </w:r>
      <w:r w:rsidRPr="006450A3">
        <w:t xml:space="preserve">105 </w:t>
      </w:r>
      <w:r>
        <w:t>(p. 98 - 9).</w:t>
      </w:r>
    </w:p>
  </w:footnote>
  <w:footnote w:id="11">
    <w:p w14:paraId="753307C4" w14:textId="77777777" w:rsidR="00613D59" w:rsidRDefault="00613D59" w:rsidP="00A97456">
      <w:pPr>
        <w:pStyle w:val="FootnoteText"/>
      </w:pPr>
      <w:r>
        <w:rPr>
          <w:rStyle w:val="FootnoteReference"/>
        </w:rPr>
        <w:footnoteRef/>
      </w:r>
      <w:r>
        <w:t xml:space="preserve"> C. Staniland Wake, 97-</w:t>
      </w:r>
      <w:r w:rsidRPr="006450A3">
        <w:t xml:space="preserve">105 </w:t>
      </w:r>
      <w:r>
        <w:t>(p. 98 – 9).</w:t>
      </w:r>
    </w:p>
  </w:footnote>
  <w:footnote w:id="12">
    <w:p w14:paraId="41BDE011" w14:textId="77777777" w:rsidR="00613D59" w:rsidRDefault="00613D59" w:rsidP="00A97456">
      <w:pPr>
        <w:pStyle w:val="FootnoteText"/>
      </w:pPr>
      <w:r>
        <w:rPr>
          <w:rStyle w:val="FootnoteReference"/>
        </w:rPr>
        <w:footnoteRef/>
      </w:r>
      <w:r>
        <w:t xml:space="preserve"> </w:t>
      </w:r>
      <w:r w:rsidRPr="00F939F7">
        <w:t xml:space="preserve">E. S. Hartland, </w:t>
      </w:r>
      <w:r w:rsidRPr="00E35C89">
        <w:rPr>
          <w:i/>
        </w:rPr>
        <w:t>Primitive Paternity, the Myth of Supernatural Birth In Relation to the History of the Family</w:t>
      </w:r>
      <w:r w:rsidRPr="00F939F7">
        <w:t>, (London: David Nutt, 1909)</w:t>
      </w:r>
      <w:r>
        <w:t xml:space="preserve"> p. v. </w:t>
      </w:r>
      <w:r w:rsidRPr="00BD4D4B">
        <w:t>https://archive.org/stream/primitivepaterni01hart#page/n9/mode/2up</w:t>
      </w:r>
    </w:p>
  </w:footnote>
  <w:footnote w:id="13">
    <w:p w14:paraId="2C49BB60" w14:textId="77777777" w:rsidR="00613D59" w:rsidRDefault="00613D59" w:rsidP="00A97456">
      <w:pPr>
        <w:pStyle w:val="FootnoteText"/>
      </w:pPr>
      <w:r>
        <w:rPr>
          <w:rStyle w:val="FootnoteReference"/>
        </w:rPr>
        <w:footnoteRef/>
      </w:r>
      <w:r>
        <w:t xml:space="preserve"> E.S. Hartland, 815-831 (p. 818).; S. I. Johnson, `Mysteries,` in </w:t>
      </w:r>
      <w:r w:rsidRPr="00494BD8">
        <w:rPr>
          <w:i/>
        </w:rPr>
        <w:t>Religions of the Ancient World</w:t>
      </w:r>
      <w:r>
        <w:t xml:space="preserve">, </w:t>
      </w:r>
      <w:r w:rsidRPr="00494BD8">
        <w:t>ed. S. Johnston (Cambridge, MA, The Belknap Press of Harvard University Press, 2004)</w:t>
      </w:r>
      <w:r>
        <w:t xml:space="preserve">, p.101. </w:t>
      </w:r>
    </w:p>
  </w:footnote>
  <w:footnote w:id="14">
    <w:p w14:paraId="23A62B7E" w14:textId="77777777" w:rsidR="00613D59" w:rsidRDefault="00613D59" w:rsidP="00A97456">
      <w:pPr>
        <w:pStyle w:val="FootnoteText"/>
      </w:pPr>
      <w:r>
        <w:rPr>
          <w:rStyle w:val="FootnoteReference"/>
        </w:rPr>
        <w:footnoteRef/>
      </w:r>
      <w:r>
        <w:t xml:space="preserve"> </w:t>
      </w:r>
      <w:r w:rsidRPr="00C20804">
        <w:t xml:space="preserve">J.G.F. Riedel, </w:t>
      </w:r>
      <w:r w:rsidRPr="00C20804">
        <w:rPr>
          <w:i/>
        </w:rPr>
        <w:t>De sluik-en kroesharige Rassen tusschen Selebes en Papua</w:t>
      </w:r>
      <w:r w:rsidRPr="00C20804">
        <w:t xml:space="preserve">, in E.S. Hartland, `Phallism`, </w:t>
      </w:r>
      <w:r w:rsidRPr="00C20804">
        <w:rPr>
          <w:i/>
        </w:rPr>
        <w:t>Encyclopaedia of Religion and Ethics</w:t>
      </w:r>
      <w:r w:rsidRPr="00C20804">
        <w:t>, ed. J. Hastings, vol. 9 (New York, 1917) 81</w:t>
      </w:r>
      <w:r>
        <w:t>5-</w:t>
      </w:r>
      <w:r w:rsidRPr="00C20804">
        <w:t xml:space="preserve">831 </w:t>
      </w:r>
      <w:r>
        <w:t>(p. 822-</w:t>
      </w:r>
      <w:r w:rsidRPr="00C20804">
        <w:t>823</w:t>
      </w:r>
      <w:r>
        <w:t>).</w:t>
      </w:r>
    </w:p>
  </w:footnote>
  <w:footnote w:id="15">
    <w:p w14:paraId="38DF3D8B" w14:textId="77777777" w:rsidR="00613D59" w:rsidRDefault="00613D59" w:rsidP="00A97456">
      <w:pPr>
        <w:pStyle w:val="FootnoteText"/>
      </w:pPr>
      <w:r>
        <w:rPr>
          <w:rStyle w:val="FootnoteReference"/>
        </w:rPr>
        <w:footnoteRef/>
      </w:r>
      <w:r>
        <w:t xml:space="preserve"> J.G.F. Riedel, 815-831 (p. 822-823)</w:t>
      </w:r>
      <w:r w:rsidRPr="00302EE1">
        <w:t>.</w:t>
      </w:r>
    </w:p>
  </w:footnote>
  <w:footnote w:id="16">
    <w:p w14:paraId="6748BCE2" w14:textId="77777777" w:rsidR="00613D59" w:rsidRDefault="00613D59" w:rsidP="00A97456">
      <w:pPr>
        <w:pStyle w:val="FootnoteText"/>
      </w:pPr>
      <w:r>
        <w:rPr>
          <w:rStyle w:val="FootnoteReference"/>
        </w:rPr>
        <w:footnoteRef/>
      </w:r>
      <w:r>
        <w:t xml:space="preserve"> </w:t>
      </w:r>
      <w:r w:rsidRPr="004F3972">
        <w:t xml:space="preserve">M. Eliade, </w:t>
      </w:r>
      <w:r w:rsidRPr="004F3972">
        <w:rPr>
          <w:i/>
        </w:rPr>
        <w:t>Patterns in Comparative Religion</w:t>
      </w:r>
      <w:r>
        <w:t>, p.133.</w:t>
      </w:r>
    </w:p>
  </w:footnote>
  <w:footnote w:id="17">
    <w:p w14:paraId="6C831D90" w14:textId="77777777" w:rsidR="00613D59" w:rsidRDefault="00613D59" w:rsidP="00A97456">
      <w:pPr>
        <w:pStyle w:val="FootnoteText"/>
      </w:pPr>
      <w:r>
        <w:rPr>
          <w:rStyle w:val="FootnoteReference"/>
        </w:rPr>
        <w:footnoteRef/>
      </w:r>
      <w:r>
        <w:t xml:space="preserve"> </w:t>
      </w:r>
      <w:r w:rsidRPr="00E35C89">
        <w:t xml:space="preserve">E. S. Hartland, </w:t>
      </w:r>
      <w:r>
        <w:rPr>
          <w:i/>
        </w:rPr>
        <w:t>Primitive Paternity,</w:t>
      </w:r>
      <w:r>
        <w:t xml:space="preserve"> p.25.</w:t>
      </w:r>
    </w:p>
  </w:footnote>
  <w:footnote w:id="18">
    <w:p w14:paraId="7D1219FD" w14:textId="77777777" w:rsidR="00613D59" w:rsidRDefault="00613D59" w:rsidP="00A97456">
      <w:pPr>
        <w:pStyle w:val="FootnoteText"/>
      </w:pPr>
      <w:r>
        <w:rPr>
          <w:rStyle w:val="FootnoteReference"/>
        </w:rPr>
        <w:footnoteRef/>
      </w:r>
      <w:r>
        <w:t xml:space="preserve"> </w:t>
      </w:r>
      <w:r w:rsidRPr="00E35C89">
        <w:t xml:space="preserve">E. S. Hartland, </w:t>
      </w:r>
      <w:r>
        <w:rPr>
          <w:i/>
        </w:rPr>
        <w:t>Primitive Paternity,</w:t>
      </w:r>
      <w:r w:rsidRPr="00E35C89">
        <w:t xml:space="preserve"> p.25.</w:t>
      </w:r>
    </w:p>
  </w:footnote>
  <w:footnote w:id="19">
    <w:p w14:paraId="3A7C08B4" w14:textId="77777777" w:rsidR="00613D59" w:rsidRDefault="00613D59" w:rsidP="00A97456">
      <w:pPr>
        <w:pStyle w:val="FootnoteText"/>
      </w:pPr>
      <w:r>
        <w:rPr>
          <w:rStyle w:val="FootnoteReference"/>
        </w:rPr>
        <w:footnoteRef/>
      </w:r>
      <w:r>
        <w:t xml:space="preserve"> Jan Assmann, J. P. Allen, Paul-Alain Beaulieu, Richard Clifford, James Crenshaw, Michael Stausberg, Fritz Graff , `Theology, Theodicy, Philosophy`, in </w:t>
      </w:r>
      <w:r w:rsidRPr="003C6699">
        <w:rPr>
          <w:i/>
        </w:rPr>
        <w:t>Religions of the Ancient World</w:t>
      </w:r>
      <w:r>
        <w:t xml:space="preserve">, ed-in-chief Sarah Iles Johnston, (Cambridge, Massachusetts, London: The Belknap Press of Havard University Press, 2004) pp. 531-545. </w:t>
      </w:r>
    </w:p>
  </w:footnote>
  <w:footnote w:id="20">
    <w:p w14:paraId="4366BCBA" w14:textId="77777777" w:rsidR="00613D59" w:rsidRDefault="00613D59" w:rsidP="00A97456">
      <w:pPr>
        <w:pStyle w:val="FootnoteText"/>
      </w:pPr>
      <w:r>
        <w:rPr>
          <w:rStyle w:val="FootnoteReference"/>
        </w:rPr>
        <w:footnoteRef/>
      </w:r>
      <w:r>
        <w:t xml:space="preserve"> </w:t>
      </w:r>
      <w:r w:rsidRPr="00992452">
        <w:t xml:space="preserve">E. S. Hartland, </w:t>
      </w:r>
      <w:r>
        <w:rPr>
          <w:i/>
        </w:rPr>
        <w:t xml:space="preserve">Primitive Paternity, </w:t>
      </w:r>
      <w:r>
        <w:t>p. 89-90.</w:t>
      </w:r>
    </w:p>
  </w:footnote>
  <w:footnote w:id="21">
    <w:p w14:paraId="57631585" w14:textId="77777777" w:rsidR="00613D59" w:rsidRDefault="00613D59" w:rsidP="00A97456">
      <w:pPr>
        <w:pStyle w:val="FootnoteText"/>
      </w:pPr>
      <w:r>
        <w:rPr>
          <w:rStyle w:val="FootnoteReference"/>
        </w:rPr>
        <w:footnoteRef/>
      </w:r>
      <w:r>
        <w:t xml:space="preserve"> </w:t>
      </w:r>
      <w:r w:rsidRPr="00BF4BE3">
        <w:t xml:space="preserve">M. Eliade, </w:t>
      </w:r>
      <w:r w:rsidRPr="00C22428">
        <w:rPr>
          <w:i/>
        </w:rPr>
        <w:t>Patterns in Comparative Religion</w:t>
      </w:r>
      <w:r>
        <w:t xml:space="preserve">, </w:t>
      </w:r>
      <w:r w:rsidRPr="00230E48">
        <w:t xml:space="preserve">(Nebraska: University of Nebraska Press and Bison Books, 1996), </w:t>
      </w:r>
      <w:r>
        <w:t>p. 31.</w:t>
      </w:r>
    </w:p>
  </w:footnote>
  <w:footnote w:id="22">
    <w:p w14:paraId="0F3D6304" w14:textId="77777777" w:rsidR="00613D59" w:rsidRDefault="00613D59" w:rsidP="00A97456">
      <w:pPr>
        <w:pStyle w:val="FootnoteText"/>
      </w:pPr>
      <w:r>
        <w:rPr>
          <w:rStyle w:val="FootnoteReference"/>
        </w:rPr>
        <w:footnoteRef/>
      </w:r>
      <w:r>
        <w:t xml:space="preserve"> </w:t>
      </w:r>
      <w:r w:rsidRPr="00DB1F57">
        <w:t xml:space="preserve">M. Eliade, </w:t>
      </w:r>
      <w:r w:rsidRPr="00DB1F57">
        <w:rPr>
          <w:i/>
        </w:rPr>
        <w:t>Patterns in Comparative Religion</w:t>
      </w:r>
      <w:r>
        <w:t>, p. 125.</w:t>
      </w:r>
    </w:p>
  </w:footnote>
  <w:footnote w:id="23">
    <w:p w14:paraId="410C3FCF" w14:textId="77777777" w:rsidR="00613D59" w:rsidRDefault="00613D59" w:rsidP="00A97456">
      <w:pPr>
        <w:pStyle w:val="FootnoteText"/>
      </w:pPr>
      <w:r>
        <w:rPr>
          <w:rStyle w:val="FootnoteReference"/>
        </w:rPr>
        <w:footnoteRef/>
      </w:r>
      <w:r>
        <w:t xml:space="preserve"> </w:t>
      </w:r>
      <w:r w:rsidRPr="00187E45">
        <w:t xml:space="preserve">M. Eliade, </w:t>
      </w:r>
      <w:r w:rsidRPr="00187E45">
        <w:rPr>
          <w:i/>
        </w:rPr>
        <w:t>Patterns in Comparative Religion</w:t>
      </w:r>
      <w:r>
        <w:t>, p. 124-151.</w:t>
      </w:r>
    </w:p>
  </w:footnote>
  <w:footnote w:id="24">
    <w:p w14:paraId="0DF8BA40" w14:textId="77777777" w:rsidR="00613D59" w:rsidRDefault="00613D59" w:rsidP="00A97456">
      <w:pPr>
        <w:pStyle w:val="FootnoteText"/>
      </w:pPr>
      <w:r>
        <w:rPr>
          <w:rStyle w:val="FootnoteReference"/>
        </w:rPr>
        <w:footnoteRef/>
      </w:r>
      <w:r>
        <w:t xml:space="preserve"> M. Eliade, `Spirit, Light and Seed`, </w:t>
      </w:r>
      <w:r w:rsidRPr="00F94570">
        <w:rPr>
          <w:i/>
        </w:rPr>
        <w:t>History of Religions</w:t>
      </w:r>
      <w:r>
        <w:t>, Vol. 11, No. 1, (Aug 1971), 1-30, p.2.</w:t>
      </w:r>
    </w:p>
  </w:footnote>
  <w:footnote w:id="25">
    <w:p w14:paraId="1A0DD8C2" w14:textId="77777777" w:rsidR="00613D59" w:rsidRDefault="00613D59" w:rsidP="00A97456">
      <w:pPr>
        <w:pStyle w:val="FootnoteText"/>
      </w:pPr>
      <w:r>
        <w:rPr>
          <w:rStyle w:val="FootnoteReference"/>
        </w:rPr>
        <w:footnoteRef/>
      </w:r>
      <w:r>
        <w:t xml:space="preserve"> </w:t>
      </w:r>
      <w:r w:rsidRPr="001F095D">
        <w:t xml:space="preserve">M. Eliade, </w:t>
      </w:r>
      <w:r w:rsidRPr="001F095D">
        <w:rPr>
          <w:i/>
        </w:rPr>
        <w:t>Patterns in Comparative Religion</w:t>
      </w:r>
      <w:r w:rsidRPr="001F095D">
        <w:t xml:space="preserve">, </w:t>
      </w:r>
      <w:r>
        <w:t>p. 125</w:t>
      </w:r>
      <w:r w:rsidRPr="001F095D">
        <w:t>.</w:t>
      </w:r>
    </w:p>
  </w:footnote>
  <w:footnote w:id="26">
    <w:p w14:paraId="20414419" w14:textId="77777777" w:rsidR="00613D59" w:rsidRDefault="00613D59" w:rsidP="00A97456">
      <w:pPr>
        <w:pStyle w:val="FootnoteText"/>
      </w:pPr>
      <w:r>
        <w:rPr>
          <w:rStyle w:val="FootnoteReference"/>
        </w:rPr>
        <w:footnoteRef/>
      </w:r>
      <w:r>
        <w:t xml:space="preserve"> </w:t>
      </w:r>
      <w:r w:rsidRPr="00230E48">
        <w:t>M. Eliade, `Spirit, Light and Seed`</w:t>
      </w:r>
      <w:r>
        <w:t>, p. 2.</w:t>
      </w:r>
    </w:p>
  </w:footnote>
  <w:footnote w:id="27">
    <w:p w14:paraId="02DE40B6" w14:textId="77777777" w:rsidR="00613D59" w:rsidRDefault="00613D59" w:rsidP="00A97456">
      <w:pPr>
        <w:pStyle w:val="FootnoteText"/>
      </w:pPr>
      <w:r>
        <w:rPr>
          <w:rStyle w:val="FootnoteReference"/>
        </w:rPr>
        <w:footnoteRef/>
      </w:r>
      <w:r>
        <w:t xml:space="preserve"> M. Eliade, `Significations de la "Lumière Intérieure,"` Eranos-Jahrbuch 25 (1957), 189-242.</w:t>
      </w:r>
    </w:p>
  </w:footnote>
  <w:footnote w:id="28">
    <w:p w14:paraId="2365407D" w14:textId="77777777" w:rsidR="00613D59" w:rsidRDefault="00613D59" w:rsidP="00A97456">
      <w:pPr>
        <w:pStyle w:val="FootnoteText"/>
      </w:pPr>
      <w:r>
        <w:rPr>
          <w:rStyle w:val="FootnoteReference"/>
        </w:rPr>
        <w:footnoteRef/>
      </w:r>
      <w:r>
        <w:t xml:space="preserve"> Marc Orriols-Llonch, `Semen Ingestion and Oral Sex in Ancient Egyptian Texts`, </w:t>
      </w:r>
      <w:r w:rsidRPr="00D60D8F">
        <w:rPr>
          <w:i/>
        </w:rPr>
        <w:t>Proceedings of the Tenth International Congress of Egyptologists, University of the Aegean, Rhodes, 22-29 May 2008</w:t>
      </w:r>
      <w:r>
        <w:t>, eds</w:t>
      </w:r>
      <w:r w:rsidRPr="003D7F54">
        <w:t xml:space="preserve"> Kousouli</w:t>
      </w:r>
      <w:r>
        <w:t>s, P., and Lazaridis, N.,</w:t>
      </w:r>
      <w:r w:rsidRPr="003D7F54">
        <w:t xml:space="preserve"> (Leuven</w:t>
      </w:r>
      <w:r>
        <w:t>:</w:t>
      </w:r>
      <w:r w:rsidRPr="003D7F54">
        <w:t xml:space="preserve"> O</w:t>
      </w:r>
      <w:r>
        <w:t xml:space="preserve">rientalia Lovaniensia Analecta, in press) 1-10.; </w:t>
      </w:r>
      <w:r w:rsidRPr="00D60D8F">
        <w:t>Marc Orriols-Llonch</w:t>
      </w:r>
      <w:r>
        <w:t>, `</w:t>
      </w:r>
      <w:r w:rsidRPr="00D60D8F">
        <w:t xml:space="preserve">Divine Copulation in the </w:t>
      </w:r>
      <w:r w:rsidRPr="005F405B">
        <w:rPr>
          <w:i/>
        </w:rPr>
        <w:t>Pyramid Texts</w:t>
      </w:r>
      <w:r w:rsidRPr="00D60D8F">
        <w:t>. A Lexical and Cultural Approach</w:t>
      </w:r>
      <w:r>
        <w:t xml:space="preserve">`, </w:t>
      </w:r>
      <w:r w:rsidRPr="005B49E8">
        <w:rPr>
          <w:i/>
        </w:rPr>
        <w:t>Proceedings of the Ninth International Congress of Egyptologists, Grenoble, 6 – 12 September 2004, Vol 2</w:t>
      </w:r>
      <w:r>
        <w:t>, eds. Jean-Claude Goyon and Christine Cardin, (Leuven, Paris, Dudley, MA, Uitgeverij Peeters en Departement Oosterse Studies, 2007) 1421-1427.; Marc Orriols-Llonch,</w:t>
      </w:r>
      <w:r w:rsidRPr="003F2514">
        <w:t xml:space="preserve"> </w:t>
      </w:r>
      <w:r>
        <w:t>`</w:t>
      </w:r>
      <w:r w:rsidRPr="003F2514">
        <w:t>Sex and Cosmogony. The Onanism of the Solar Demiurg</w:t>
      </w:r>
      <w:r>
        <w:t>`</w:t>
      </w:r>
      <w:r w:rsidRPr="003F2514">
        <w:t xml:space="preserve">, </w:t>
      </w:r>
      <w:r w:rsidRPr="003F2514">
        <w:rPr>
          <w:i/>
        </w:rPr>
        <w:t>Göttinger Miszellen 233, Göttingen</w:t>
      </w:r>
      <w:r w:rsidRPr="003F2514">
        <w:t xml:space="preserve">, </w:t>
      </w:r>
      <w:r>
        <w:t>(</w:t>
      </w:r>
      <w:r w:rsidRPr="003F2514">
        <w:t>2012</w:t>
      </w:r>
      <w:r>
        <w:t>),</w:t>
      </w:r>
      <w:r w:rsidRPr="003F2514">
        <w:t xml:space="preserve"> 31-42</w:t>
      </w:r>
      <w:r>
        <w:t xml:space="preserve">. </w:t>
      </w:r>
    </w:p>
  </w:footnote>
  <w:footnote w:id="29">
    <w:p w14:paraId="7E67C1FE" w14:textId="77777777" w:rsidR="00613D59" w:rsidRDefault="00613D59" w:rsidP="00A97456">
      <w:pPr>
        <w:pStyle w:val="FootnoteText"/>
      </w:pPr>
      <w:r>
        <w:rPr>
          <w:rStyle w:val="FootnoteReference"/>
        </w:rPr>
        <w:footnoteRef/>
      </w:r>
      <w:r>
        <w:t xml:space="preserve"> </w:t>
      </w:r>
      <w:r w:rsidRPr="00BA22A9">
        <w:t>A. De Trafford and G. J. Tassie</w:t>
      </w:r>
      <w:r>
        <w:t>, `Eroticism and Sexuality in the Old Kingdom`,</w:t>
      </w:r>
      <w:r w:rsidRPr="00317929">
        <w:t xml:space="preserve"> </w:t>
      </w:r>
      <w:r w:rsidRPr="00D1329C">
        <w:rPr>
          <w:i/>
        </w:rPr>
        <w:t>Erotica, Eroticism and Sexuality in Ancient Egypt: Proceedings of the International Congress for Young Egyptologists, Lisbon, Oct. 2006</w:t>
      </w:r>
      <w:r>
        <w:t>, eds</w:t>
      </w:r>
      <w:r w:rsidRPr="00317929">
        <w:t xml:space="preserve"> L. M. de Araü</w:t>
      </w:r>
      <w:r>
        <w:t xml:space="preserve">jo &amp; J. des Candeas Sales (Lisbon: University of Lisbon, 2009), 1-15. </w:t>
      </w:r>
    </w:p>
  </w:footnote>
  <w:footnote w:id="30">
    <w:p w14:paraId="6D8A2229" w14:textId="77777777" w:rsidR="00613D59" w:rsidRDefault="00613D59" w:rsidP="00A97456">
      <w:pPr>
        <w:pStyle w:val="FootnoteText"/>
      </w:pPr>
      <w:r>
        <w:rPr>
          <w:rStyle w:val="FootnoteReference"/>
        </w:rPr>
        <w:footnoteRef/>
      </w:r>
      <w:r>
        <w:t xml:space="preserve"> </w:t>
      </w:r>
      <w:r w:rsidRPr="006F3711">
        <w:t xml:space="preserve">G. D. Hornblower, `Min and His Functions`, </w:t>
      </w:r>
      <w:r w:rsidRPr="006F3711">
        <w:rPr>
          <w:i/>
        </w:rPr>
        <w:t>MAN</w:t>
      </w:r>
      <w:r>
        <w:t>, vol. 46 (1946), 113-</w:t>
      </w:r>
      <w:r w:rsidRPr="006F3711">
        <w:t>121</w:t>
      </w:r>
      <w:r>
        <w:t>;</w:t>
      </w:r>
      <w:r w:rsidRPr="006F3711">
        <w:rPr>
          <w:rFonts w:eastAsiaTheme="minorHAnsi" w:cstheme="minorBidi"/>
          <w:sz w:val="24"/>
          <w:szCs w:val="22"/>
          <w:lang w:eastAsia="en-US"/>
        </w:rPr>
        <w:t xml:space="preserve"> </w:t>
      </w:r>
      <w:r w:rsidRPr="006F3711">
        <w:t xml:space="preserve">Barbara Watterson, </w:t>
      </w:r>
      <w:r w:rsidRPr="006F3711">
        <w:rPr>
          <w:i/>
        </w:rPr>
        <w:t>Gods of Ancient Egypt</w:t>
      </w:r>
      <w:r>
        <w:t xml:space="preserve">, </w:t>
      </w:r>
      <w:r w:rsidRPr="006F3711">
        <w:t>(Stroud: Sutton Publishing Ltd., 1996)</w:t>
      </w:r>
      <w:r>
        <w:t>;</w:t>
      </w:r>
      <w:r w:rsidRPr="00377EA8">
        <w:rPr>
          <w:rFonts w:eastAsiaTheme="minorHAnsi" w:cstheme="minorBidi"/>
          <w:sz w:val="24"/>
          <w:szCs w:val="22"/>
          <w:lang w:eastAsia="en-US"/>
        </w:rPr>
        <w:t xml:space="preserve"> </w:t>
      </w:r>
      <w:r w:rsidRPr="00377EA8">
        <w:t xml:space="preserve">Lanny Bell, `Luxor Temple and the Cult of the Royal Ka.` in </w:t>
      </w:r>
      <w:r>
        <w:rPr>
          <w:i/>
        </w:rPr>
        <w:t>Journal of Near E</w:t>
      </w:r>
      <w:r w:rsidRPr="00377EA8">
        <w:rPr>
          <w:i/>
        </w:rPr>
        <w:t>astern Studies</w:t>
      </w:r>
      <w:r>
        <w:t>, 44.4 (1985), 251-</w:t>
      </w:r>
      <w:r w:rsidRPr="00377EA8">
        <w:t>294</w:t>
      </w:r>
      <w:r>
        <w:t xml:space="preserve">; </w:t>
      </w:r>
      <w:r w:rsidRPr="00377EA8">
        <w:t xml:space="preserve">Richard H. Wilkinson, </w:t>
      </w:r>
      <w:r w:rsidRPr="00377EA8">
        <w:rPr>
          <w:i/>
        </w:rPr>
        <w:t>The Complete Gods and Goddesses or Ancient Egypt</w:t>
      </w:r>
      <w:r w:rsidRPr="00377EA8">
        <w:t>, (London: Thames and Hudson, 2003)</w:t>
      </w:r>
    </w:p>
  </w:footnote>
  <w:footnote w:id="31">
    <w:p w14:paraId="674D6685" w14:textId="77777777" w:rsidR="00613D59" w:rsidRDefault="00613D59" w:rsidP="00A97456">
      <w:pPr>
        <w:pStyle w:val="FootnoteText"/>
      </w:pPr>
      <w:r>
        <w:rPr>
          <w:rStyle w:val="FootnoteReference"/>
        </w:rPr>
        <w:footnoteRef/>
      </w:r>
      <w:r>
        <w:t xml:space="preserve"> </w:t>
      </w:r>
      <w:r w:rsidRPr="006F3711">
        <w:t xml:space="preserve">Alexandre Piankoff and Nina Rambova, </w:t>
      </w:r>
      <w:r w:rsidRPr="006F3711">
        <w:rPr>
          <w:i/>
        </w:rPr>
        <w:t>The Tomb of Ramesses VI, Bollingen Series XL-1</w:t>
      </w:r>
      <w:r>
        <w:t xml:space="preserve">, (New York: Pantheon Books); </w:t>
      </w:r>
      <w:r w:rsidRPr="006F3711">
        <w:t xml:space="preserve">Joshua Aaron Roberson, </w:t>
      </w:r>
      <w:r w:rsidRPr="006F3711">
        <w:rPr>
          <w:i/>
        </w:rPr>
        <w:t>The Ancient Egyptian Books of the Earth</w:t>
      </w:r>
      <w:r w:rsidRPr="006F3711">
        <w:t>, (Atlanta, Georgia: Lockward Press, 2012)</w:t>
      </w:r>
    </w:p>
  </w:footnote>
  <w:footnote w:id="32">
    <w:p w14:paraId="1F62DE40" w14:textId="77777777" w:rsidR="00613D59" w:rsidRDefault="00613D59" w:rsidP="00A97456">
      <w:pPr>
        <w:pStyle w:val="FootnoteText"/>
      </w:pPr>
      <w:r>
        <w:rPr>
          <w:rStyle w:val="FootnoteReference"/>
        </w:rPr>
        <w:footnoteRef/>
      </w:r>
      <w:r>
        <w:t xml:space="preserve"> </w:t>
      </w:r>
      <w:r w:rsidRPr="006F3711">
        <w:t xml:space="preserve">Ihab Khalil, `“I Was Not Built Up in the Womb, I Was Not Knit Together in the Egg, I was Not Concieved”: The Christian Doctrine of the Eternal Generation of the Son in Its Egyptian Context`, </w:t>
      </w:r>
      <w:r w:rsidRPr="006F3711">
        <w:rPr>
          <w:i/>
        </w:rPr>
        <w:t>Journal of the Canadian Society for Coptic Studies</w:t>
      </w:r>
      <w:r>
        <w:t>, 6, (2014), 9-</w:t>
      </w:r>
      <w:r w:rsidRPr="006F3711">
        <w:t>24</w:t>
      </w:r>
    </w:p>
  </w:footnote>
  <w:footnote w:id="33">
    <w:p w14:paraId="2EF5003D" w14:textId="77777777" w:rsidR="00613D59" w:rsidRDefault="00613D59" w:rsidP="00A97456">
      <w:pPr>
        <w:pStyle w:val="FootnoteText"/>
      </w:pPr>
      <w:r>
        <w:rPr>
          <w:rStyle w:val="FootnoteReference"/>
        </w:rPr>
        <w:footnoteRef/>
      </w:r>
      <w:r>
        <w:t xml:space="preserve"> </w:t>
      </w:r>
      <w:r w:rsidRPr="006F3711">
        <w:t xml:space="preserve">John Coleman Darnell, </w:t>
      </w:r>
      <w:r w:rsidRPr="006F3711">
        <w:rPr>
          <w:i/>
        </w:rPr>
        <w:t>The Enigmatic Netherworld Books of the Solar Osirian Unity, Cryptographic Compositions in the Tombs of Tutankhamun, Ramesses VI and Ramesses IX</w:t>
      </w:r>
      <w:r w:rsidRPr="006F3711">
        <w:t xml:space="preserve"> (Gottingen:  Fribourg Vandenhoeck &amp; Ruprecht, Academic Press Fribourg, 2004)</w:t>
      </w:r>
      <w:r>
        <w:t xml:space="preserve">; </w:t>
      </w:r>
      <w:r w:rsidRPr="006F3711">
        <w:t xml:space="preserve">Erik Hornung, </w:t>
      </w:r>
      <w:r w:rsidRPr="006F3711">
        <w:rPr>
          <w:i/>
        </w:rPr>
        <w:t>The Ancient Egyptian Books of the Afterlife</w:t>
      </w:r>
      <w:r w:rsidRPr="006F3711">
        <w:t>, (New York: Cornell University Press, 1999)</w:t>
      </w:r>
    </w:p>
  </w:footnote>
  <w:footnote w:id="34">
    <w:p w14:paraId="0816E67A" w14:textId="77777777" w:rsidR="00613D59" w:rsidRDefault="00613D59" w:rsidP="00A97456">
      <w:pPr>
        <w:pStyle w:val="FootnoteText"/>
      </w:pPr>
      <w:r>
        <w:rPr>
          <w:rStyle w:val="FootnoteReference"/>
        </w:rPr>
        <w:footnoteRef/>
      </w:r>
      <w:r>
        <w:t xml:space="preserve"> Mircea Eliade, `Egyptian Religion`, in </w:t>
      </w:r>
      <w:r w:rsidRPr="00007799">
        <w:rPr>
          <w:i/>
        </w:rPr>
        <w:t>The Encyclopaedia of Religion, Vol. 5</w:t>
      </w:r>
      <w:r>
        <w:t>, editor-in-chief Mircea Eliade (New York: Macmillan Publishing Co. 1987) p. 37.</w:t>
      </w:r>
    </w:p>
  </w:footnote>
  <w:footnote w:id="35">
    <w:p w14:paraId="71948047" w14:textId="77777777" w:rsidR="00613D59" w:rsidRDefault="00613D59" w:rsidP="00A97456">
      <w:pPr>
        <w:pStyle w:val="FootnoteText"/>
      </w:pPr>
      <w:r>
        <w:rPr>
          <w:rStyle w:val="FootnoteReference"/>
        </w:rPr>
        <w:footnoteRef/>
      </w:r>
      <w:r>
        <w:t xml:space="preserve"> Erik Hornung, p. 1.</w:t>
      </w:r>
    </w:p>
  </w:footnote>
  <w:footnote w:id="36">
    <w:p w14:paraId="690A1934" w14:textId="77777777" w:rsidR="00613D59" w:rsidRDefault="00613D59" w:rsidP="00A97456">
      <w:pPr>
        <w:pStyle w:val="FootnoteText"/>
      </w:pPr>
      <w:r>
        <w:rPr>
          <w:rStyle w:val="FootnoteReference"/>
        </w:rPr>
        <w:footnoteRef/>
      </w:r>
      <w:r>
        <w:t xml:space="preserve"> </w:t>
      </w:r>
      <w:r w:rsidRPr="0091020B">
        <w:t>James P. Allen and Peter Der</w:t>
      </w:r>
      <w:r>
        <w:t xml:space="preserve"> Manuelian, </w:t>
      </w:r>
      <w:proofErr w:type="gramStart"/>
      <w:r w:rsidRPr="0091020B">
        <w:rPr>
          <w:i/>
        </w:rPr>
        <w:t>The</w:t>
      </w:r>
      <w:proofErr w:type="gramEnd"/>
      <w:r w:rsidRPr="0091020B">
        <w:rPr>
          <w:i/>
        </w:rPr>
        <w:t xml:space="preserve"> Ancient Egyptian </w:t>
      </w:r>
      <w:r w:rsidRPr="005F405B">
        <w:rPr>
          <w:i/>
        </w:rPr>
        <w:t>Pyramid Texts</w:t>
      </w:r>
      <w:r w:rsidRPr="0091020B">
        <w:t xml:space="preserve"> (The Netherlands: Koninklijke Brill, 2005)</w:t>
      </w:r>
      <w:r>
        <w:t xml:space="preserve"> p. 9. </w:t>
      </w:r>
    </w:p>
  </w:footnote>
  <w:footnote w:id="37">
    <w:p w14:paraId="4375D202" w14:textId="77777777" w:rsidR="00613D59" w:rsidRDefault="00613D59" w:rsidP="00A97456">
      <w:pPr>
        <w:pStyle w:val="FootnoteText"/>
      </w:pPr>
      <w:r>
        <w:rPr>
          <w:rStyle w:val="FootnoteReference"/>
        </w:rPr>
        <w:footnoteRef/>
      </w:r>
      <w:r>
        <w:t xml:space="preserve"> </w:t>
      </w:r>
      <w:r w:rsidRPr="002073BF">
        <w:t xml:space="preserve">James P. Allen and Peter Der Manuelian, </w:t>
      </w:r>
      <w:r>
        <w:t>pp. 7-9.</w:t>
      </w:r>
    </w:p>
  </w:footnote>
  <w:footnote w:id="38">
    <w:p w14:paraId="1A0662B5" w14:textId="77777777" w:rsidR="00613D59" w:rsidRDefault="00613D59" w:rsidP="00A97456">
      <w:pPr>
        <w:pStyle w:val="FootnoteText"/>
      </w:pPr>
      <w:r>
        <w:rPr>
          <w:rStyle w:val="FootnoteReference"/>
        </w:rPr>
        <w:footnoteRef/>
      </w:r>
      <w:r>
        <w:t xml:space="preserve"> </w:t>
      </w:r>
      <w:r w:rsidRPr="0091020B">
        <w:t>James P.</w:t>
      </w:r>
      <w:r>
        <w:t xml:space="preserve"> Allen and Peter Der Manuelian, </w:t>
      </w:r>
      <w:r w:rsidRPr="0091020B">
        <w:t>pp. 7-8.</w:t>
      </w:r>
      <w:r>
        <w:t>; George</w:t>
      </w:r>
      <w:r w:rsidRPr="00ED76FE">
        <w:t xml:space="preserve"> Hart, </w:t>
      </w:r>
      <w:r w:rsidRPr="00ED76FE">
        <w:rPr>
          <w:i/>
        </w:rPr>
        <w:t>The Routledge Dictionary of Egyptian Gods and Goddesses</w:t>
      </w:r>
      <w:r w:rsidRPr="00ED76FE">
        <w:t xml:space="preserve">, (London: Routledge and Kegan Paul Inc., 2005), p. 134.; S. A. B. Mercer, tr. </w:t>
      </w:r>
      <w:r w:rsidRPr="00ED76FE">
        <w:rPr>
          <w:i/>
        </w:rPr>
        <w:t xml:space="preserve">The </w:t>
      </w:r>
      <w:r w:rsidRPr="005F405B">
        <w:rPr>
          <w:i/>
        </w:rPr>
        <w:t>Pyramid Texts</w:t>
      </w:r>
      <w:r w:rsidRPr="00ED76FE">
        <w:t>, Utterance 271 - 390a, p. 92. Sacred Texts. http://www.sacred-texts.com/egy/pyt/pyt12.htm</w:t>
      </w:r>
    </w:p>
  </w:footnote>
  <w:footnote w:id="39">
    <w:p w14:paraId="02057447" w14:textId="77777777" w:rsidR="00613D59" w:rsidRDefault="00613D59" w:rsidP="00A97456">
      <w:pPr>
        <w:pStyle w:val="FootnoteText"/>
      </w:pPr>
      <w:r>
        <w:rPr>
          <w:rStyle w:val="FootnoteReference"/>
        </w:rPr>
        <w:footnoteRef/>
      </w:r>
      <w:r>
        <w:t xml:space="preserve"> Erik Hornung, p. 6. </w:t>
      </w:r>
    </w:p>
  </w:footnote>
  <w:footnote w:id="40">
    <w:p w14:paraId="264A75F3" w14:textId="77777777" w:rsidR="00613D59" w:rsidRDefault="00613D59" w:rsidP="00A97456">
      <w:pPr>
        <w:pStyle w:val="FootnoteText"/>
      </w:pPr>
      <w:r>
        <w:rPr>
          <w:rStyle w:val="FootnoteReference"/>
        </w:rPr>
        <w:footnoteRef/>
      </w:r>
      <w:r>
        <w:t xml:space="preserve"> George</w:t>
      </w:r>
      <w:r w:rsidRPr="00A50CF0">
        <w:t xml:space="preserve"> Hart, </w:t>
      </w:r>
      <w:proofErr w:type="gramStart"/>
      <w:r>
        <w:rPr>
          <w:i/>
        </w:rPr>
        <w:t>The</w:t>
      </w:r>
      <w:proofErr w:type="gramEnd"/>
      <w:r>
        <w:rPr>
          <w:i/>
        </w:rPr>
        <w:t xml:space="preserve"> Routledge </w:t>
      </w:r>
      <w:r w:rsidRPr="00A50CF0">
        <w:rPr>
          <w:i/>
        </w:rPr>
        <w:t>Dicti</w:t>
      </w:r>
      <w:r>
        <w:rPr>
          <w:i/>
        </w:rPr>
        <w:t>onary,</w:t>
      </w:r>
      <w:r w:rsidRPr="00A50CF0">
        <w:t xml:space="preserve"> p.</w:t>
      </w:r>
      <w:r>
        <w:t xml:space="preserve"> 41.</w:t>
      </w:r>
    </w:p>
  </w:footnote>
  <w:footnote w:id="41">
    <w:p w14:paraId="119BC0ED" w14:textId="77777777" w:rsidR="00613D59" w:rsidRDefault="00613D59" w:rsidP="00A97456">
      <w:pPr>
        <w:pStyle w:val="FootnoteText"/>
      </w:pPr>
      <w:r>
        <w:rPr>
          <w:rStyle w:val="FootnoteReference"/>
        </w:rPr>
        <w:footnoteRef/>
      </w:r>
      <w:r>
        <w:t xml:space="preserve"> S. A. B. Mercer, </w:t>
      </w:r>
      <w:proofErr w:type="gramStart"/>
      <w:r>
        <w:t>tr</w:t>
      </w:r>
      <w:proofErr w:type="gramEnd"/>
      <w:r>
        <w:t xml:space="preserve">. The </w:t>
      </w:r>
      <w:r w:rsidRPr="005F405B">
        <w:rPr>
          <w:i/>
        </w:rPr>
        <w:t>Pyramid Texts</w:t>
      </w:r>
      <w:r>
        <w:t>, Utterance 527, 1248a – d. p.206.</w:t>
      </w:r>
    </w:p>
  </w:footnote>
  <w:footnote w:id="42">
    <w:p w14:paraId="1F44FFD1" w14:textId="77777777" w:rsidR="00613D59" w:rsidRDefault="00613D59" w:rsidP="00A97456">
      <w:pPr>
        <w:pStyle w:val="FootnoteText"/>
      </w:pPr>
      <w:r>
        <w:rPr>
          <w:rStyle w:val="FootnoteReference"/>
        </w:rPr>
        <w:footnoteRef/>
      </w:r>
      <w:r>
        <w:t xml:space="preserve"> Erik Hornung, p. 5.</w:t>
      </w:r>
    </w:p>
  </w:footnote>
  <w:footnote w:id="43">
    <w:p w14:paraId="3516C5D9" w14:textId="77777777" w:rsidR="00613D59" w:rsidRDefault="00613D59" w:rsidP="00A97456">
      <w:pPr>
        <w:pStyle w:val="FootnoteText"/>
      </w:pPr>
      <w:r>
        <w:rPr>
          <w:rStyle w:val="FootnoteReference"/>
        </w:rPr>
        <w:footnoteRef/>
      </w:r>
      <w:r>
        <w:t xml:space="preserve"> </w:t>
      </w:r>
      <w:r w:rsidRPr="0085668D">
        <w:t xml:space="preserve">G. Hart, </w:t>
      </w:r>
      <w:proofErr w:type="gramStart"/>
      <w:r w:rsidRPr="0085668D">
        <w:rPr>
          <w:i/>
        </w:rPr>
        <w:t>The</w:t>
      </w:r>
      <w:proofErr w:type="gramEnd"/>
      <w:r w:rsidRPr="0085668D">
        <w:rPr>
          <w:i/>
        </w:rPr>
        <w:t xml:space="preserve"> Routledge Dictionar</w:t>
      </w:r>
      <w:r>
        <w:rPr>
          <w:i/>
        </w:rPr>
        <w:t xml:space="preserve">y. </w:t>
      </w:r>
      <w:r w:rsidRPr="008F4B61">
        <w:t>p</w:t>
      </w:r>
      <w:r>
        <w:t xml:space="preserve">. </w:t>
      </w:r>
      <w:proofErr w:type="gramStart"/>
      <w:r>
        <w:t>133.;</w:t>
      </w:r>
      <w:proofErr w:type="gramEnd"/>
      <w:r>
        <w:t xml:space="preserve"> I. Shaw and P.</w:t>
      </w:r>
      <w:r w:rsidRPr="007B24C2">
        <w:t xml:space="preserve"> Nicholson,</w:t>
      </w:r>
      <w:r>
        <w:t xml:space="preserve"> </w:t>
      </w:r>
      <w:r w:rsidRPr="007B24C2">
        <w:rPr>
          <w:i/>
        </w:rPr>
        <w:t>British Museum Dictionary of Ancient Egypt</w:t>
      </w:r>
      <w:r>
        <w:t>, (</w:t>
      </w:r>
      <w:r w:rsidRPr="007B24C2">
        <w:t>London</w:t>
      </w:r>
      <w:r>
        <w:t>:</w:t>
      </w:r>
      <w:r w:rsidRPr="007B24C2">
        <w:t xml:space="preserve"> </w:t>
      </w:r>
      <w:r>
        <w:t>B</w:t>
      </w:r>
      <w:r w:rsidRPr="007B24C2">
        <w:t>rit</w:t>
      </w:r>
      <w:r>
        <w:t>ish Museum P</w:t>
      </w:r>
      <w:r w:rsidRPr="007B24C2">
        <w:t>ress</w:t>
      </w:r>
      <w:r>
        <w:t xml:space="preserve">, </w:t>
      </w:r>
      <w:r w:rsidRPr="007B24C2">
        <w:t>1995</w:t>
      </w:r>
      <w:r>
        <w:t>)</w:t>
      </w:r>
      <w:r w:rsidRPr="007B24C2">
        <w:t xml:space="preserve"> p. 301</w:t>
      </w:r>
      <w:r>
        <w:t>.</w:t>
      </w:r>
    </w:p>
  </w:footnote>
  <w:footnote w:id="44">
    <w:p w14:paraId="45B0F644" w14:textId="77777777" w:rsidR="00613D59" w:rsidRDefault="00613D59" w:rsidP="00A97456">
      <w:pPr>
        <w:pStyle w:val="FootnoteText"/>
      </w:pPr>
      <w:r>
        <w:rPr>
          <w:rStyle w:val="FootnoteReference"/>
        </w:rPr>
        <w:footnoteRef/>
      </w:r>
      <w:r>
        <w:t xml:space="preserve"> George</w:t>
      </w:r>
      <w:r w:rsidRPr="006764E9">
        <w:t xml:space="preserve"> Hart, </w:t>
      </w:r>
      <w:proofErr w:type="gramStart"/>
      <w:r w:rsidRPr="006764E9">
        <w:rPr>
          <w:i/>
        </w:rPr>
        <w:t>A</w:t>
      </w:r>
      <w:proofErr w:type="gramEnd"/>
      <w:r w:rsidRPr="006764E9">
        <w:rPr>
          <w:i/>
        </w:rPr>
        <w:t xml:space="preserve"> Dictionary of Egyptian Gods and Goddesses</w:t>
      </w:r>
      <w:r w:rsidRPr="006764E9">
        <w:t>, (London: Routledge and Kegan Paul Inc., 1986), p.</w:t>
      </w:r>
      <w:r>
        <w:t xml:space="preserve"> 179.</w:t>
      </w:r>
    </w:p>
  </w:footnote>
  <w:footnote w:id="45">
    <w:p w14:paraId="30E45FC7" w14:textId="77777777" w:rsidR="00613D59" w:rsidRDefault="00613D59" w:rsidP="00A97456">
      <w:pPr>
        <w:pStyle w:val="FootnoteText"/>
      </w:pPr>
      <w:r>
        <w:rPr>
          <w:rStyle w:val="FootnoteReference"/>
        </w:rPr>
        <w:footnoteRef/>
      </w:r>
      <w:r>
        <w:t xml:space="preserve"> R.O. Faulkner, </w:t>
      </w:r>
      <w:r w:rsidRPr="006151BA">
        <w:rPr>
          <w:i/>
        </w:rPr>
        <w:t xml:space="preserve">The Ancient Egyptian </w:t>
      </w:r>
      <w:r w:rsidRPr="005F405B">
        <w:rPr>
          <w:i/>
        </w:rPr>
        <w:t>Coffin Texts</w:t>
      </w:r>
      <w:r w:rsidRPr="006151BA">
        <w:rPr>
          <w:i/>
        </w:rPr>
        <w:t xml:space="preserve"> Vol. II</w:t>
      </w:r>
      <w:r>
        <w:t xml:space="preserve">, (Warminster: Aris and Phillips Ltd., 1994), p.144.; </w:t>
      </w:r>
      <w:r w:rsidRPr="0016308D">
        <w:t xml:space="preserve">Ani, `The Papyrus of Ani,` in </w:t>
      </w:r>
      <w:r w:rsidRPr="0016308D">
        <w:rPr>
          <w:i/>
        </w:rPr>
        <w:t>The Egyptian Book of the Dead, the Book of Going Forth by Day</w:t>
      </w:r>
      <w:r w:rsidRPr="0016308D">
        <w:t xml:space="preserve">, trans. R. Faulkner (California: Chronicle Books LLC, 1998), </w:t>
      </w:r>
      <w:r>
        <w:t>chapter 15, plate 18</w:t>
      </w:r>
      <w:r w:rsidRPr="0016308D">
        <w:t>.</w:t>
      </w:r>
    </w:p>
  </w:footnote>
  <w:footnote w:id="46">
    <w:p w14:paraId="443B1D4D" w14:textId="77777777" w:rsidR="00613D59" w:rsidRDefault="00613D59" w:rsidP="00A97456">
      <w:pPr>
        <w:pStyle w:val="FootnoteText"/>
      </w:pPr>
      <w:r>
        <w:rPr>
          <w:rStyle w:val="FootnoteReference"/>
        </w:rPr>
        <w:footnoteRef/>
      </w:r>
      <w:r>
        <w:t xml:space="preserve"> </w:t>
      </w:r>
      <w:r w:rsidRPr="009D193F">
        <w:t>Geraldine Pinch</w:t>
      </w:r>
      <w:r>
        <w:t>,</w:t>
      </w:r>
      <w:r w:rsidRPr="009D193F">
        <w:t xml:space="preserve"> </w:t>
      </w:r>
      <w:r w:rsidRPr="006151BA">
        <w:rPr>
          <w:i/>
        </w:rPr>
        <w:t>Egyptian Mythology: A Guide to the Gods, Goddesses, and Traditions of Ancient Egypt</w:t>
      </w:r>
      <w:r>
        <w:t>, (Oxford: Oxford University Press, 2002)</w:t>
      </w:r>
      <w:r w:rsidRPr="009D193F">
        <w:t xml:space="preserve"> </w:t>
      </w:r>
      <w:r>
        <w:t>p. 184.</w:t>
      </w:r>
    </w:p>
  </w:footnote>
  <w:footnote w:id="47">
    <w:p w14:paraId="2ADFDBCE" w14:textId="77777777" w:rsidR="00613D59" w:rsidRDefault="00613D59" w:rsidP="00A97456">
      <w:pPr>
        <w:pStyle w:val="FootnoteText"/>
      </w:pPr>
      <w:r>
        <w:rPr>
          <w:rStyle w:val="FootnoteReference"/>
        </w:rPr>
        <w:footnoteRef/>
      </w:r>
      <w:r w:rsidRPr="00452BEE">
        <w:t xml:space="preserve">Ani, `A Hymn </w:t>
      </w:r>
      <w:proofErr w:type="gramStart"/>
      <w:r w:rsidRPr="00452BEE">
        <w:t>To</w:t>
      </w:r>
      <w:proofErr w:type="gramEnd"/>
      <w:r w:rsidRPr="00452BEE">
        <w:t xml:space="preserve"> Ra When He Rises in the East`, in </w:t>
      </w:r>
      <w:r w:rsidRPr="00452BEE">
        <w:rPr>
          <w:i/>
        </w:rPr>
        <w:t>Tutankhamen, Amenism and Egyptian Monotheism</w:t>
      </w:r>
      <w:r w:rsidRPr="00452BEE">
        <w:t>, E.A. Budge (N. Y. Dover Publications, 1991), p.13</w:t>
      </w:r>
      <w:r>
        <w:t>9.</w:t>
      </w:r>
    </w:p>
  </w:footnote>
  <w:footnote w:id="48">
    <w:p w14:paraId="69003697" w14:textId="77777777" w:rsidR="00613D59" w:rsidRDefault="00613D59" w:rsidP="00A97456">
      <w:pPr>
        <w:pStyle w:val="FootnoteText"/>
      </w:pPr>
      <w:r>
        <w:rPr>
          <w:rStyle w:val="FootnoteReference"/>
        </w:rPr>
        <w:footnoteRef/>
      </w:r>
      <w:r>
        <w:t xml:space="preserve">Ani, `The Papyrus of Ani,` in </w:t>
      </w:r>
      <w:r w:rsidRPr="000B5452">
        <w:rPr>
          <w:i/>
        </w:rPr>
        <w:t>The Egyptian Book of the Dead, the Book of Going Forth by Day</w:t>
      </w:r>
      <w:r>
        <w:t>, trans. R. Faulkner (California: Chronicle Books LLC, 1998), plate 20.</w:t>
      </w:r>
    </w:p>
  </w:footnote>
  <w:footnote w:id="49">
    <w:p w14:paraId="483B2701" w14:textId="77777777" w:rsidR="00613D59" w:rsidRDefault="00613D59" w:rsidP="00A97456">
      <w:pPr>
        <w:pStyle w:val="FootnoteText"/>
      </w:pPr>
      <w:r>
        <w:rPr>
          <w:rStyle w:val="FootnoteReference"/>
        </w:rPr>
        <w:footnoteRef/>
      </w:r>
      <w:r>
        <w:t xml:space="preserve"> </w:t>
      </w:r>
      <w:r w:rsidRPr="00FB6945">
        <w:t xml:space="preserve">G. Hart, </w:t>
      </w:r>
      <w:proofErr w:type="gramStart"/>
      <w:r w:rsidRPr="00FB6945">
        <w:rPr>
          <w:i/>
        </w:rPr>
        <w:t>The</w:t>
      </w:r>
      <w:proofErr w:type="gramEnd"/>
      <w:r w:rsidRPr="00FB6945">
        <w:rPr>
          <w:i/>
        </w:rPr>
        <w:t xml:space="preserve"> Routledge Dictionar</w:t>
      </w:r>
      <w:r>
        <w:rPr>
          <w:i/>
        </w:rPr>
        <w:t>y.</w:t>
      </w:r>
      <w:r>
        <w:t xml:space="preserve"> p.5.</w:t>
      </w:r>
    </w:p>
  </w:footnote>
  <w:footnote w:id="50">
    <w:p w14:paraId="20543DA3" w14:textId="77777777" w:rsidR="00613D59" w:rsidRDefault="00613D59" w:rsidP="00A97456">
      <w:pPr>
        <w:pStyle w:val="FootnoteText"/>
      </w:pPr>
      <w:r>
        <w:rPr>
          <w:rStyle w:val="FootnoteReference"/>
        </w:rPr>
        <w:footnoteRef/>
      </w:r>
      <w:r>
        <w:t xml:space="preserve"> R. O. Faulkner, </w:t>
      </w:r>
      <w:r w:rsidRPr="00390079">
        <w:rPr>
          <w:i/>
        </w:rPr>
        <w:t xml:space="preserve">The Ancient Egyptian </w:t>
      </w:r>
      <w:r w:rsidRPr="005F405B">
        <w:rPr>
          <w:i/>
        </w:rPr>
        <w:t>Coffin Texts</w:t>
      </w:r>
      <w:r w:rsidRPr="00390079">
        <w:rPr>
          <w:i/>
        </w:rPr>
        <w:t xml:space="preserve">, Vol </w:t>
      </w:r>
      <w:proofErr w:type="gramStart"/>
      <w:r w:rsidRPr="00390079">
        <w:rPr>
          <w:i/>
        </w:rPr>
        <w:t>1</w:t>
      </w:r>
      <w:r>
        <w:t>.,</w:t>
      </w:r>
      <w:proofErr w:type="gramEnd"/>
      <w:r>
        <w:t xml:space="preserve"> (Warminster: Aris and Phillips Ltd., 1973) p. v.ii. </w:t>
      </w:r>
    </w:p>
  </w:footnote>
  <w:footnote w:id="51">
    <w:p w14:paraId="5ACD5BBF" w14:textId="77777777" w:rsidR="00613D59" w:rsidRDefault="00613D59" w:rsidP="00A97456">
      <w:pPr>
        <w:pStyle w:val="FootnoteText"/>
      </w:pPr>
      <w:r>
        <w:rPr>
          <w:rStyle w:val="FootnoteReference"/>
        </w:rPr>
        <w:footnoteRef/>
      </w:r>
      <w:r>
        <w:t xml:space="preserve"> Marc Orriols-Llonch, `Sex and Cosmogony. The Onanism of the Solar Demiurg</w:t>
      </w:r>
      <w:proofErr w:type="gramStart"/>
      <w:r>
        <w:t>.`</w:t>
      </w:r>
      <w:proofErr w:type="gramEnd"/>
      <w:r>
        <w:t xml:space="preserve"> </w:t>
      </w:r>
      <w:r w:rsidRPr="00174FC4">
        <w:rPr>
          <w:i/>
        </w:rPr>
        <w:t>Göttinger Miszellen Beiträge zur ägyptologischen Diskussion</w:t>
      </w:r>
      <w:r>
        <w:t>. 233 (2012), 31-42 (p.37).</w:t>
      </w:r>
    </w:p>
  </w:footnote>
  <w:footnote w:id="52">
    <w:p w14:paraId="13459DCF" w14:textId="77777777" w:rsidR="00613D59" w:rsidRDefault="00613D59" w:rsidP="00A97456">
      <w:pPr>
        <w:pStyle w:val="FootnoteText"/>
      </w:pPr>
      <w:r>
        <w:rPr>
          <w:rStyle w:val="FootnoteReference"/>
        </w:rPr>
        <w:footnoteRef/>
      </w:r>
      <w:r>
        <w:t xml:space="preserve"> </w:t>
      </w:r>
      <w:r w:rsidRPr="00D2461C">
        <w:t>Marc Orriols</w:t>
      </w:r>
      <w:r>
        <w:t>-Llonch, Sex and Cosmogony.</w:t>
      </w:r>
      <w:r w:rsidRPr="00D2461C">
        <w:t xml:space="preserve"> 31-42 (p</w:t>
      </w:r>
      <w:r>
        <w:t>. 38).</w:t>
      </w:r>
    </w:p>
  </w:footnote>
  <w:footnote w:id="53">
    <w:p w14:paraId="70C3C57E" w14:textId="77777777" w:rsidR="00613D59" w:rsidRDefault="00613D59" w:rsidP="00A97456">
      <w:pPr>
        <w:pStyle w:val="FootnoteText"/>
      </w:pPr>
      <w:r>
        <w:rPr>
          <w:rStyle w:val="FootnoteReference"/>
        </w:rPr>
        <w:footnoteRef/>
      </w:r>
      <w:r>
        <w:t xml:space="preserve"> </w:t>
      </w:r>
      <w:r w:rsidRPr="00107B5A">
        <w:t>Marc Orriols</w:t>
      </w:r>
      <w:r>
        <w:t>-Llonch, Sex and Cosmogony. 31-42 (p.36)</w:t>
      </w:r>
      <w:r w:rsidRPr="00107B5A">
        <w:t>.</w:t>
      </w:r>
    </w:p>
  </w:footnote>
  <w:footnote w:id="54">
    <w:p w14:paraId="217C74ED" w14:textId="77777777" w:rsidR="00613D59" w:rsidRDefault="00613D59" w:rsidP="00A97456">
      <w:pPr>
        <w:pStyle w:val="FootnoteText"/>
      </w:pPr>
      <w:r>
        <w:rPr>
          <w:rStyle w:val="FootnoteReference"/>
        </w:rPr>
        <w:footnoteRef/>
      </w:r>
      <w:r>
        <w:t xml:space="preserve"> Marc Orriols I Llonch, `Divine Copulation in the </w:t>
      </w:r>
      <w:r w:rsidRPr="005F405B">
        <w:rPr>
          <w:i/>
        </w:rPr>
        <w:t>Pyramid Texts</w:t>
      </w:r>
      <w:r>
        <w:t>. A Lexical Approach`. Proceedings of the Ninth International congress of Egyptologists, ed. Jean-Claude Goyon and Christine Cardin (2004), 1421-1427. (p. 1424).</w:t>
      </w:r>
    </w:p>
  </w:footnote>
  <w:footnote w:id="55">
    <w:p w14:paraId="3E9E6F34" w14:textId="77777777" w:rsidR="00613D59" w:rsidRDefault="00613D59" w:rsidP="00A97456">
      <w:pPr>
        <w:pStyle w:val="FootnoteText"/>
      </w:pPr>
      <w:r>
        <w:rPr>
          <w:rStyle w:val="FootnoteReference"/>
        </w:rPr>
        <w:footnoteRef/>
      </w:r>
      <w:r>
        <w:t xml:space="preserve"> London, The British Museum, </w:t>
      </w:r>
      <w:r w:rsidRPr="006B3180">
        <w:rPr>
          <w:i/>
        </w:rPr>
        <w:t>Sheet 2 of Book of the Dead of Henuttawy</w:t>
      </w:r>
      <w:r>
        <w:t xml:space="preserve">, </w:t>
      </w:r>
      <w:r w:rsidRPr="00BC03CC">
        <w:t>http://www.britishmuseum.org/research/collection_online/collection_object_details.aspx?objectId=114314&amp;partId=1</w:t>
      </w:r>
    </w:p>
  </w:footnote>
  <w:footnote w:id="56">
    <w:p w14:paraId="5F1D0630" w14:textId="77777777" w:rsidR="00613D59" w:rsidRDefault="00613D59" w:rsidP="00A97456">
      <w:pPr>
        <w:pStyle w:val="FootnoteText"/>
      </w:pPr>
      <w:r>
        <w:rPr>
          <w:rStyle w:val="FootnoteReference"/>
        </w:rPr>
        <w:footnoteRef/>
      </w:r>
      <w:r>
        <w:t xml:space="preserve"> </w:t>
      </w:r>
      <w:r w:rsidRPr="0050154F">
        <w:t xml:space="preserve">G. Hart, </w:t>
      </w:r>
      <w:proofErr w:type="gramStart"/>
      <w:r w:rsidRPr="0050154F">
        <w:rPr>
          <w:i/>
        </w:rPr>
        <w:t>The</w:t>
      </w:r>
      <w:proofErr w:type="gramEnd"/>
      <w:r w:rsidRPr="0050154F">
        <w:rPr>
          <w:i/>
        </w:rPr>
        <w:t xml:space="preserve"> Rout</w:t>
      </w:r>
      <w:r>
        <w:rPr>
          <w:i/>
        </w:rPr>
        <w:t>ledge Dictionary.</w:t>
      </w:r>
      <w:r w:rsidRPr="0050154F">
        <w:t xml:space="preserve"> p.</w:t>
      </w:r>
      <w:r>
        <w:t xml:space="preserve"> 110.</w:t>
      </w:r>
    </w:p>
  </w:footnote>
  <w:footnote w:id="57">
    <w:p w14:paraId="778359A4" w14:textId="77777777" w:rsidR="00613D59" w:rsidRDefault="00613D59" w:rsidP="00A97456">
      <w:pPr>
        <w:pStyle w:val="FootnoteText"/>
      </w:pPr>
      <w:r>
        <w:rPr>
          <w:rStyle w:val="FootnoteReference"/>
        </w:rPr>
        <w:footnoteRef/>
      </w:r>
      <w:r>
        <w:t xml:space="preserve"> </w:t>
      </w:r>
      <w:r w:rsidRPr="00BC03CC">
        <w:rPr>
          <w:bCs/>
          <w:i/>
        </w:rPr>
        <w:t>Sheet 2 of Book of the Dead of Henuttawy</w:t>
      </w:r>
      <w:r>
        <w:t>.</w:t>
      </w:r>
    </w:p>
  </w:footnote>
  <w:footnote w:id="58">
    <w:p w14:paraId="0512F29A" w14:textId="77777777" w:rsidR="00613D59" w:rsidRDefault="00613D59" w:rsidP="00A97456">
      <w:pPr>
        <w:pStyle w:val="FootnoteText"/>
      </w:pPr>
      <w:r>
        <w:rPr>
          <w:rStyle w:val="FootnoteReference"/>
        </w:rPr>
        <w:footnoteRef/>
      </w:r>
      <w:r>
        <w:t xml:space="preserve"> </w:t>
      </w:r>
      <w:r w:rsidRPr="006863FE">
        <w:rPr>
          <w:bCs/>
          <w:i/>
        </w:rPr>
        <w:t>Sheet 2 of Book of the Dead of Henuttawy</w:t>
      </w:r>
      <w:r w:rsidRPr="006863FE">
        <w:t>.</w:t>
      </w:r>
    </w:p>
  </w:footnote>
  <w:footnote w:id="59">
    <w:p w14:paraId="42F1A189" w14:textId="77777777" w:rsidR="00613D59" w:rsidRDefault="00613D59" w:rsidP="00A97456">
      <w:pPr>
        <w:pStyle w:val="FootnoteText"/>
      </w:pPr>
      <w:r>
        <w:rPr>
          <w:rStyle w:val="FootnoteReference"/>
        </w:rPr>
        <w:footnoteRef/>
      </w:r>
      <w:r>
        <w:t xml:space="preserve"> Geraldine Pinch, </w:t>
      </w:r>
      <w:r w:rsidRPr="00A948FA">
        <w:rPr>
          <w:i/>
        </w:rPr>
        <w:t>A Guide to the Gods, Goddesses and Traditions of</w:t>
      </w:r>
      <w:r>
        <w:t xml:space="preserve">, p.184.; Kent R. Weeks, ed., </w:t>
      </w:r>
      <w:r w:rsidRPr="0018014D">
        <w:rPr>
          <w:i/>
        </w:rPr>
        <w:t>The Treasures of the Valley of the Kings, Tombs and Temples of the Theban West Bank in Luxor</w:t>
      </w:r>
      <w:r>
        <w:t>, ed. (Cairo: the American University in Cairo Press, 2001) p.269.</w:t>
      </w:r>
    </w:p>
  </w:footnote>
  <w:footnote w:id="60">
    <w:p w14:paraId="4ACEE953" w14:textId="77777777" w:rsidR="00613D59" w:rsidRDefault="00613D59" w:rsidP="00A97456">
      <w:pPr>
        <w:pStyle w:val="FootnoteText"/>
      </w:pPr>
      <w:r>
        <w:rPr>
          <w:rStyle w:val="FootnoteReference"/>
        </w:rPr>
        <w:footnoteRef/>
      </w:r>
      <w:r>
        <w:t xml:space="preserve"> </w:t>
      </w:r>
      <w:r w:rsidRPr="008275F5">
        <w:rPr>
          <w:bCs/>
          <w:i/>
        </w:rPr>
        <w:t xml:space="preserve">Sheet 2 of Book of the Dead of </w:t>
      </w:r>
      <w:proofErr w:type="gramStart"/>
      <w:r w:rsidRPr="008275F5">
        <w:rPr>
          <w:bCs/>
          <w:i/>
        </w:rPr>
        <w:t>Henuttawy</w:t>
      </w:r>
      <w:r w:rsidRPr="008275F5">
        <w:t>.</w:t>
      </w:r>
      <w:r>
        <w:t>;</w:t>
      </w:r>
      <w:proofErr w:type="gramEnd"/>
      <w:r>
        <w:t xml:space="preserve"> Olaf Kaper, `The Astronomical Ceiling of Deir El-Haggar in the Dakhleh Oasis`,</w:t>
      </w:r>
      <w:r w:rsidRPr="00754C8B">
        <w:t xml:space="preserve"> </w:t>
      </w:r>
      <w:r w:rsidRPr="008275F5">
        <w:rPr>
          <w:i/>
        </w:rPr>
        <w:t>Journal of Egyptian Archaeology</w:t>
      </w:r>
      <w:r>
        <w:rPr>
          <w:i/>
        </w:rPr>
        <w:t>,</w:t>
      </w:r>
      <w:r>
        <w:t xml:space="preserve"> 81 (1995),</w:t>
      </w:r>
      <w:r w:rsidRPr="00754C8B">
        <w:t xml:space="preserve"> </w:t>
      </w:r>
      <w:r>
        <w:t xml:space="preserve">175-95 (pp. </w:t>
      </w:r>
      <w:r w:rsidRPr="00754C8B">
        <w:t>179-82</w:t>
      </w:r>
      <w:r>
        <w:t>, + 189).</w:t>
      </w:r>
    </w:p>
  </w:footnote>
  <w:footnote w:id="61">
    <w:p w14:paraId="7ED9E5D9" w14:textId="77777777" w:rsidR="00613D59" w:rsidRDefault="00613D59" w:rsidP="00A97456">
      <w:pPr>
        <w:pStyle w:val="FootnoteText"/>
      </w:pPr>
      <w:r>
        <w:rPr>
          <w:rStyle w:val="FootnoteReference"/>
        </w:rPr>
        <w:footnoteRef/>
      </w:r>
      <w:r>
        <w:t xml:space="preserve"> </w:t>
      </w:r>
      <w:r w:rsidRPr="00CD71F6">
        <w:rPr>
          <w:bCs/>
          <w:i/>
        </w:rPr>
        <w:t xml:space="preserve">Sheet 2 of Book of the Dead of </w:t>
      </w:r>
      <w:proofErr w:type="gramStart"/>
      <w:r w:rsidRPr="00CD71F6">
        <w:rPr>
          <w:bCs/>
          <w:i/>
        </w:rPr>
        <w:t>Henuttawy</w:t>
      </w:r>
      <w:r w:rsidRPr="00CD71F6">
        <w:t>.;</w:t>
      </w:r>
      <w:proofErr w:type="gramEnd"/>
      <w:r w:rsidRPr="00CD71F6">
        <w:t xml:space="preserve"> Olaf Kaper, `The Astronomical Ceiling of Deir El-Haggar in the Dakhleh Oasis`, </w:t>
      </w:r>
      <w:r w:rsidRPr="00CD71F6">
        <w:rPr>
          <w:i/>
        </w:rPr>
        <w:t>Journal of Egyptian Archaeology,</w:t>
      </w:r>
      <w:r w:rsidRPr="00CD71F6">
        <w:t xml:space="preserve"> 81 (1995), 179-82.</w:t>
      </w:r>
      <w:r>
        <w:t xml:space="preserve"> (p.180).</w:t>
      </w:r>
    </w:p>
  </w:footnote>
  <w:footnote w:id="62">
    <w:p w14:paraId="0853A7BA" w14:textId="77777777" w:rsidR="00613D59" w:rsidRDefault="00613D59" w:rsidP="00A97456">
      <w:pPr>
        <w:pStyle w:val="FootnoteText"/>
      </w:pPr>
      <w:r>
        <w:rPr>
          <w:rStyle w:val="FootnoteReference"/>
        </w:rPr>
        <w:footnoteRef/>
      </w:r>
      <w:r>
        <w:t xml:space="preserve"> </w:t>
      </w:r>
      <w:r w:rsidRPr="00B12E2F">
        <w:t xml:space="preserve">Olaf Kaper, `The Astronomical Ceiling of Deir El-Haggar in the Dakhleh Oasis`, </w:t>
      </w:r>
      <w:r w:rsidRPr="00B12E2F">
        <w:rPr>
          <w:i/>
        </w:rPr>
        <w:t>Journal of Egyptian Archaeology,</w:t>
      </w:r>
      <w:r w:rsidRPr="00B12E2F">
        <w:t xml:space="preserve"> 81 (1995), 179-82. (p.18</w:t>
      </w:r>
      <w:r>
        <w:t>1).</w:t>
      </w:r>
    </w:p>
  </w:footnote>
  <w:footnote w:id="63">
    <w:p w14:paraId="0C5641A5" w14:textId="77777777" w:rsidR="00613D59" w:rsidRDefault="00613D59" w:rsidP="00A97456">
      <w:pPr>
        <w:pStyle w:val="FootnoteText"/>
      </w:pPr>
      <w:r>
        <w:rPr>
          <w:rStyle w:val="FootnoteReference"/>
        </w:rPr>
        <w:footnoteRef/>
      </w:r>
      <w:r>
        <w:t xml:space="preserve"> John C.</w:t>
      </w:r>
      <w:r w:rsidRPr="00596B9F">
        <w:t xml:space="preserve"> Darnell, </w:t>
      </w:r>
      <w:r>
        <w:t>p.</w:t>
      </w:r>
      <w:r w:rsidRPr="00596B9F">
        <w:t xml:space="preserve"> 452.</w:t>
      </w:r>
    </w:p>
  </w:footnote>
  <w:footnote w:id="64">
    <w:p w14:paraId="64211DD2" w14:textId="77777777" w:rsidR="00613D59" w:rsidRDefault="00613D59" w:rsidP="00A97456">
      <w:pPr>
        <w:pStyle w:val="FootnoteText"/>
      </w:pPr>
      <w:r>
        <w:rPr>
          <w:rStyle w:val="FootnoteReference"/>
        </w:rPr>
        <w:footnoteRef/>
      </w:r>
      <w:r>
        <w:t xml:space="preserve"> </w:t>
      </w:r>
      <w:r w:rsidRPr="002E1C92">
        <w:t xml:space="preserve">Erik Hornung, p. </w:t>
      </w:r>
      <w:r>
        <w:t>78.</w:t>
      </w:r>
    </w:p>
  </w:footnote>
  <w:footnote w:id="65">
    <w:p w14:paraId="6581FB0C" w14:textId="77777777" w:rsidR="00613D59" w:rsidRDefault="00613D59" w:rsidP="00A97456">
      <w:pPr>
        <w:pStyle w:val="FootnoteText"/>
      </w:pPr>
      <w:r>
        <w:rPr>
          <w:rStyle w:val="FootnoteReference"/>
        </w:rPr>
        <w:footnoteRef/>
      </w:r>
      <w:r>
        <w:t xml:space="preserve"> Erik Hornung, </w:t>
      </w:r>
      <w:r w:rsidRPr="00CD3342">
        <w:t xml:space="preserve">p. </w:t>
      </w:r>
      <w:r>
        <w:t>79.</w:t>
      </w:r>
    </w:p>
  </w:footnote>
  <w:footnote w:id="66">
    <w:p w14:paraId="4688DB91" w14:textId="77777777" w:rsidR="00613D59" w:rsidRDefault="00613D59" w:rsidP="00A97456">
      <w:pPr>
        <w:pStyle w:val="FootnoteText"/>
      </w:pPr>
      <w:r>
        <w:rPr>
          <w:rStyle w:val="FootnoteReference"/>
        </w:rPr>
        <w:footnoteRef/>
      </w:r>
      <w:r>
        <w:t xml:space="preserve"> Erik Hornung,</w:t>
      </w:r>
      <w:r w:rsidRPr="00776938">
        <w:t xml:space="preserve"> p. </w:t>
      </w:r>
      <w:r>
        <w:t>80.</w:t>
      </w:r>
    </w:p>
  </w:footnote>
  <w:footnote w:id="67">
    <w:p w14:paraId="0B5C2C36" w14:textId="77777777" w:rsidR="00613D59" w:rsidRDefault="00613D59" w:rsidP="00A97456">
      <w:pPr>
        <w:pStyle w:val="FootnoteText"/>
      </w:pPr>
      <w:r>
        <w:rPr>
          <w:rStyle w:val="FootnoteReference"/>
        </w:rPr>
        <w:footnoteRef/>
      </w:r>
      <w:r>
        <w:t xml:space="preserve"> Barbara Watterson, p. 193.</w:t>
      </w:r>
    </w:p>
  </w:footnote>
  <w:footnote w:id="68">
    <w:p w14:paraId="6A18C19F" w14:textId="77777777" w:rsidR="00613D59" w:rsidRDefault="00613D59" w:rsidP="00A97456">
      <w:pPr>
        <w:pStyle w:val="FootnoteText"/>
      </w:pPr>
      <w:r>
        <w:rPr>
          <w:rStyle w:val="FootnoteReference"/>
        </w:rPr>
        <w:footnoteRef/>
      </w:r>
      <w:r>
        <w:t xml:space="preserve"> </w:t>
      </w:r>
      <w:r w:rsidRPr="00924C75">
        <w:t>G. D. Hornb</w:t>
      </w:r>
      <w:r>
        <w:t xml:space="preserve">lower, </w:t>
      </w:r>
      <w:proofErr w:type="gramStart"/>
      <w:r>
        <w:t>p.114.;</w:t>
      </w:r>
      <w:proofErr w:type="gramEnd"/>
      <w:r>
        <w:t xml:space="preserve"> Barbara Watterson, </w:t>
      </w:r>
      <w:r w:rsidRPr="00924C75">
        <w:t>p. 193</w:t>
      </w:r>
      <w:r>
        <w:t>.;</w:t>
      </w:r>
      <w:r w:rsidRPr="00AD0A92">
        <w:t xml:space="preserve"> Harold M. Hays</w:t>
      </w:r>
      <w:r>
        <w:t>, trans.</w:t>
      </w:r>
      <w:r w:rsidRPr="00AD0A92">
        <w:t xml:space="preserve"> </w:t>
      </w:r>
      <w:r w:rsidRPr="00AD0A92">
        <w:rPr>
          <w:i/>
        </w:rPr>
        <w:t xml:space="preserve">The Organization of the </w:t>
      </w:r>
      <w:r w:rsidRPr="005F405B">
        <w:rPr>
          <w:i/>
        </w:rPr>
        <w:t>Pyramid Texts</w:t>
      </w:r>
      <w:r w:rsidRPr="00AD0A92">
        <w:rPr>
          <w:i/>
        </w:rPr>
        <w:t xml:space="preserve"> Typology and </w:t>
      </w:r>
      <w:proofErr w:type="gramStart"/>
      <w:r w:rsidRPr="00AD0A92">
        <w:rPr>
          <w:i/>
        </w:rPr>
        <w:t>Disposition .</w:t>
      </w:r>
      <w:proofErr w:type="gramEnd"/>
      <w:r w:rsidRPr="00AD0A92">
        <w:rPr>
          <w:i/>
        </w:rPr>
        <w:t xml:space="preserve"> Vol. 2.</w:t>
      </w:r>
      <w:r>
        <w:t xml:space="preserve"> </w:t>
      </w:r>
      <w:r w:rsidRPr="00AD0A92">
        <w:t>(The Netherlands: Koninklijke Brill, 2012)</w:t>
      </w:r>
      <w:r>
        <w:t>,</w:t>
      </w:r>
      <w:r w:rsidRPr="00FB72F3">
        <w:t xml:space="preserve"> </w:t>
      </w:r>
      <w:r w:rsidRPr="00AD0A92">
        <w:t>PT 666A, 1928b-d</w:t>
      </w:r>
      <w:r>
        <w:t>.</w:t>
      </w:r>
    </w:p>
  </w:footnote>
  <w:footnote w:id="69">
    <w:p w14:paraId="52C8DED5" w14:textId="77777777" w:rsidR="00613D59" w:rsidRDefault="00613D59" w:rsidP="00A97456">
      <w:pPr>
        <w:pStyle w:val="FootnoteText"/>
      </w:pPr>
      <w:r>
        <w:rPr>
          <w:rStyle w:val="FootnoteReference"/>
        </w:rPr>
        <w:footnoteRef/>
      </w:r>
      <w:r>
        <w:t xml:space="preserve"> Herodotus, </w:t>
      </w:r>
      <w:r w:rsidRPr="004F3BB3">
        <w:rPr>
          <w:i/>
        </w:rPr>
        <w:t>The History of Herodotus</w:t>
      </w:r>
      <w:r>
        <w:t>, trans. G. C. Macauley, (London and New York: Macmillan, 1890),</w:t>
      </w:r>
      <w:r w:rsidRPr="004F3BB3">
        <w:t xml:space="preserve"> </w:t>
      </w:r>
      <w:r>
        <w:t xml:space="preserve">Book 2 Euterpe, para. 145. </w:t>
      </w:r>
      <w:r w:rsidRPr="00BF4B9E">
        <w:t>http://www.sacred-texts.com/cla/hh/hh2140.htm</w:t>
      </w:r>
      <w:r>
        <w:t xml:space="preserve"> [accessed 26/3/2014] </w:t>
      </w:r>
    </w:p>
  </w:footnote>
  <w:footnote w:id="70">
    <w:p w14:paraId="7F1964B2" w14:textId="77777777" w:rsidR="00613D59" w:rsidRDefault="00613D59" w:rsidP="00A97456">
      <w:pPr>
        <w:pStyle w:val="FootnoteText"/>
      </w:pPr>
      <w:r>
        <w:rPr>
          <w:rStyle w:val="FootnoteReference"/>
        </w:rPr>
        <w:footnoteRef/>
      </w:r>
      <w:r>
        <w:t xml:space="preserve"> </w:t>
      </w:r>
      <w:r w:rsidRPr="005615C0">
        <w:t>Lanny Bell</w:t>
      </w:r>
      <w:proofErr w:type="gramStart"/>
      <w:r w:rsidRPr="005615C0">
        <w:t>,`</w:t>
      </w:r>
      <w:proofErr w:type="gramEnd"/>
      <w:r w:rsidRPr="005615C0">
        <w:t xml:space="preserve"> The New Kingdom “Divine” Temple: The example of Luxor`, in Bryon E. Shafer, ed. Temples of Ancient Egypt, (London an</w:t>
      </w:r>
      <w:r>
        <w:t>d New York: Tauris, 1997) 127-</w:t>
      </w:r>
      <w:r w:rsidRPr="005615C0">
        <w:t>184. (</w:t>
      </w:r>
      <w:proofErr w:type="gramStart"/>
      <w:r w:rsidRPr="005615C0">
        <w:t>notes</w:t>
      </w:r>
      <w:proofErr w:type="gramEnd"/>
      <w:r w:rsidRPr="005615C0">
        <w:t xml:space="preserve"> to page 160 on p. 294).</w:t>
      </w:r>
    </w:p>
  </w:footnote>
  <w:footnote w:id="71">
    <w:p w14:paraId="0C390045" w14:textId="77777777" w:rsidR="00613D59" w:rsidRDefault="00613D59" w:rsidP="00A97456">
      <w:pPr>
        <w:pStyle w:val="FootnoteText"/>
      </w:pPr>
      <w:r>
        <w:rPr>
          <w:rStyle w:val="FootnoteReference"/>
        </w:rPr>
        <w:footnoteRef/>
      </w:r>
      <w:r>
        <w:t xml:space="preserve"> Lanny Bell, The New Kingdom “Divine” Temple, p.174. </w:t>
      </w:r>
    </w:p>
  </w:footnote>
  <w:footnote w:id="72">
    <w:p w14:paraId="01CC176F" w14:textId="77777777" w:rsidR="00613D59" w:rsidRDefault="00613D59" w:rsidP="00A97456">
      <w:pPr>
        <w:pStyle w:val="FootnoteText"/>
      </w:pPr>
      <w:r>
        <w:rPr>
          <w:rStyle w:val="FootnoteReference"/>
        </w:rPr>
        <w:footnoteRef/>
      </w:r>
      <w:r>
        <w:t xml:space="preserve"> Richard H. Wilkinson, </w:t>
      </w:r>
      <w:r w:rsidRPr="0069449F">
        <w:rPr>
          <w:i/>
        </w:rPr>
        <w:t>The Complete Gods and Goddesses or Ancient Egypt</w:t>
      </w:r>
      <w:r>
        <w:t xml:space="preserve">, (London: Thames and Hudson, 2003), p.93. </w:t>
      </w:r>
    </w:p>
  </w:footnote>
  <w:footnote w:id="73">
    <w:p w14:paraId="0DABB1ED" w14:textId="77777777" w:rsidR="00613D59" w:rsidRDefault="00613D59" w:rsidP="00A97456">
      <w:pPr>
        <w:pStyle w:val="FootnoteText"/>
      </w:pPr>
      <w:r>
        <w:rPr>
          <w:rStyle w:val="FootnoteReference"/>
        </w:rPr>
        <w:footnoteRef/>
      </w:r>
      <w:r>
        <w:t xml:space="preserve"> </w:t>
      </w:r>
      <w:r w:rsidRPr="00012AEB">
        <w:t>Lanny Bell, `Luxor Temple and the Cult of the Royal Ka</w:t>
      </w:r>
      <w:proofErr w:type="gramStart"/>
      <w:r w:rsidRPr="00012AEB">
        <w:t>.`</w:t>
      </w:r>
      <w:proofErr w:type="gramEnd"/>
      <w:r w:rsidRPr="00012AEB">
        <w:t xml:space="preserve"> in </w:t>
      </w:r>
      <w:r w:rsidRPr="00012AEB">
        <w:rPr>
          <w:i/>
        </w:rPr>
        <w:t>Journal of Near eastern Studies</w:t>
      </w:r>
      <w:r>
        <w:t>, 44.4 (1985), 251-</w:t>
      </w:r>
      <w:r w:rsidRPr="00012AEB">
        <w:t>294 (p.259).</w:t>
      </w:r>
    </w:p>
  </w:footnote>
  <w:footnote w:id="74">
    <w:p w14:paraId="0ED59836" w14:textId="77777777" w:rsidR="00613D59" w:rsidRDefault="00613D59" w:rsidP="00A97456">
      <w:pPr>
        <w:pStyle w:val="FootnoteText"/>
      </w:pPr>
      <w:r>
        <w:rPr>
          <w:rStyle w:val="FootnoteReference"/>
        </w:rPr>
        <w:footnoteRef/>
      </w:r>
      <w:r>
        <w:t xml:space="preserve"> </w:t>
      </w:r>
      <w:r w:rsidRPr="00DB4712">
        <w:t>G. D. Hornb</w:t>
      </w:r>
      <w:r>
        <w:t>lower, 113-</w:t>
      </w:r>
      <w:r w:rsidRPr="00DB4712">
        <w:t>121 (p.113)</w:t>
      </w:r>
    </w:p>
  </w:footnote>
  <w:footnote w:id="75">
    <w:p w14:paraId="333D0232" w14:textId="77777777" w:rsidR="00613D59" w:rsidRDefault="00613D59" w:rsidP="00A97456">
      <w:pPr>
        <w:pStyle w:val="FootnoteText"/>
      </w:pPr>
      <w:r>
        <w:rPr>
          <w:rStyle w:val="FootnoteReference"/>
        </w:rPr>
        <w:footnoteRef/>
      </w:r>
      <w:r>
        <w:t xml:space="preserve"> </w:t>
      </w:r>
      <w:r w:rsidRPr="009945B8">
        <w:t>G. D. Hornb</w:t>
      </w:r>
      <w:r>
        <w:t>lower, 113-</w:t>
      </w:r>
      <w:r w:rsidRPr="009945B8">
        <w:t xml:space="preserve">121 </w:t>
      </w:r>
      <w:r>
        <w:t>(p.115</w:t>
      </w:r>
      <w:r w:rsidRPr="009945B8">
        <w:t>)</w:t>
      </w:r>
    </w:p>
  </w:footnote>
  <w:footnote w:id="76">
    <w:p w14:paraId="468A02F1" w14:textId="77777777" w:rsidR="00613D59" w:rsidRDefault="00613D59" w:rsidP="00A97456">
      <w:pPr>
        <w:pStyle w:val="FootnoteText"/>
      </w:pPr>
      <w:r>
        <w:rPr>
          <w:rStyle w:val="FootnoteReference"/>
        </w:rPr>
        <w:footnoteRef/>
      </w:r>
      <w:r>
        <w:t xml:space="preserve"> Lanny Bell, Luxor Temple, 251-294 (p.28</w:t>
      </w:r>
      <w:r w:rsidRPr="002C26E2">
        <w:t>9).</w:t>
      </w:r>
    </w:p>
  </w:footnote>
  <w:footnote w:id="77">
    <w:p w14:paraId="379FBC08" w14:textId="77777777" w:rsidR="00613D59" w:rsidRDefault="00613D59" w:rsidP="00A97456">
      <w:pPr>
        <w:pStyle w:val="FootnoteText"/>
      </w:pPr>
      <w:r>
        <w:rPr>
          <w:rStyle w:val="FootnoteReference"/>
        </w:rPr>
        <w:footnoteRef/>
      </w:r>
      <w:r>
        <w:t xml:space="preserve"> Lanny Bell, Luxor Temple, 251- 294 (p.290</w:t>
      </w:r>
      <w:r w:rsidRPr="00B73C74">
        <w:t>).</w:t>
      </w:r>
    </w:p>
  </w:footnote>
  <w:footnote w:id="78">
    <w:p w14:paraId="05FD48A4" w14:textId="77777777" w:rsidR="00613D59" w:rsidRDefault="00613D59" w:rsidP="00A97456">
      <w:pPr>
        <w:pStyle w:val="FootnoteText"/>
      </w:pPr>
      <w:r>
        <w:rPr>
          <w:rStyle w:val="FootnoteReference"/>
        </w:rPr>
        <w:footnoteRef/>
      </w:r>
      <w:r>
        <w:t xml:space="preserve"> John Coleman Darnell, p. 469.</w:t>
      </w:r>
    </w:p>
  </w:footnote>
  <w:footnote w:id="79">
    <w:p w14:paraId="60D864DD" w14:textId="77777777" w:rsidR="00613D59" w:rsidRDefault="00613D59" w:rsidP="00A97456">
      <w:pPr>
        <w:pStyle w:val="FootnoteText"/>
      </w:pPr>
      <w:r>
        <w:rPr>
          <w:rStyle w:val="FootnoteReference"/>
        </w:rPr>
        <w:footnoteRef/>
      </w:r>
      <w:r>
        <w:t xml:space="preserve"> John Coleman Darnell, p.6.</w:t>
      </w:r>
    </w:p>
  </w:footnote>
  <w:footnote w:id="80">
    <w:p w14:paraId="68A24F58" w14:textId="77777777" w:rsidR="00613D59" w:rsidRDefault="00613D59" w:rsidP="00A97456">
      <w:pPr>
        <w:pStyle w:val="FootnoteText"/>
      </w:pPr>
      <w:r>
        <w:rPr>
          <w:rStyle w:val="FootnoteReference"/>
        </w:rPr>
        <w:footnoteRef/>
      </w:r>
      <w:r>
        <w:t xml:space="preserve"> </w:t>
      </w:r>
      <w:r w:rsidRPr="008633AD">
        <w:t>John Colema</w:t>
      </w:r>
      <w:r>
        <w:t xml:space="preserve">n Darnell, p. 452. </w:t>
      </w:r>
    </w:p>
  </w:footnote>
  <w:footnote w:id="81">
    <w:p w14:paraId="35CAD3BD" w14:textId="77777777" w:rsidR="00613D59" w:rsidRDefault="00613D59" w:rsidP="00A97456">
      <w:pPr>
        <w:pStyle w:val="FootnoteText"/>
      </w:pPr>
      <w:r>
        <w:rPr>
          <w:rStyle w:val="FootnoteReference"/>
        </w:rPr>
        <w:footnoteRef/>
      </w:r>
      <w:r>
        <w:t xml:space="preserve"> </w:t>
      </w:r>
      <w:r w:rsidRPr="00003DF6">
        <w:t xml:space="preserve">Erik Hornung, </w:t>
      </w:r>
      <w:proofErr w:type="gramStart"/>
      <w:r w:rsidRPr="00003DF6">
        <w:rPr>
          <w:i/>
        </w:rPr>
        <w:t>The</w:t>
      </w:r>
      <w:proofErr w:type="gramEnd"/>
      <w:r w:rsidRPr="00003DF6">
        <w:rPr>
          <w:i/>
        </w:rPr>
        <w:t xml:space="preserve"> Ancient Egyptian Books of the Afterlife</w:t>
      </w:r>
      <w:r w:rsidRPr="00003DF6">
        <w:t>, (New York: Corne</w:t>
      </w:r>
      <w:r>
        <w:t>ll University Press, 1999) p. 77.</w:t>
      </w:r>
    </w:p>
  </w:footnote>
  <w:footnote w:id="82">
    <w:p w14:paraId="4129BB4C" w14:textId="77777777" w:rsidR="00613D59" w:rsidRDefault="00613D59" w:rsidP="00A97456">
      <w:pPr>
        <w:pStyle w:val="FootnoteText"/>
      </w:pPr>
      <w:r>
        <w:rPr>
          <w:rStyle w:val="FootnoteReference"/>
        </w:rPr>
        <w:footnoteRef/>
      </w:r>
      <w:r>
        <w:t xml:space="preserve"> </w:t>
      </w:r>
      <w:r w:rsidRPr="00596B9F">
        <w:t>John Coleman Darne</w:t>
      </w:r>
      <w:r>
        <w:t>ll, p. 452.</w:t>
      </w:r>
    </w:p>
  </w:footnote>
  <w:footnote w:id="83">
    <w:p w14:paraId="790330F1" w14:textId="77777777" w:rsidR="00613D59" w:rsidRDefault="00613D59" w:rsidP="00A97456">
      <w:pPr>
        <w:pStyle w:val="FootnoteText"/>
      </w:pPr>
      <w:r>
        <w:rPr>
          <w:rStyle w:val="FootnoteReference"/>
        </w:rPr>
        <w:footnoteRef/>
      </w:r>
      <w:r>
        <w:t xml:space="preserve"> </w:t>
      </w:r>
      <w:r w:rsidRPr="00596B9F">
        <w:t>John Coleman Darne</w:t>
      </w:r>
      <w:r>
        <w:t>ll, p. 452.</w:t>
      </w:r>
    </w:p>
  </w:footnote>
  <w:footnote w:id="84">
    <w:p w14:paraId="0A7981B1" w14:textId="77777777" w:rsidR="00613D59" w:rsidRDefault="00613D59" w:rsidP="00A97456">
      <w:pPr>
        <w:pStyle w:val="FootnoteText"/>
      </w:pPr>
      <w:r>
        <w:rPr>
          <w:rStyle w:val="FootnoteReference"/>
        </w:rPr>
        <w:footnoteRef/>
      </w:r>
      <w:r>
        <w:t xml:space="preserve"> </w:t>
      </w:r>
      <w:r w:rsidRPr="0071346F">
        <w:t xml:space="preserve">Erik Hornung, </w:t>
      </w:r>
      <w:proofErr w:type="gramStart"/>
      <w:r w:rsidRPr="0071346F">
        <w:rPr>
          <w:i/>
        </w:rPr>
        <w:t>The</w:t>
      </w:r>
      <w:proofErr w:type="gramEnd"/>
      <w:r w:rsidRPr="0071346F">
        <w:rPr>
          <w:i/>
        </w:rPr>
        <w:t xml:space="preserve"> Ancient Egyptian Books of the Afterlife</w:t>
      </w:r>
      <w:r w:rsidRPr="0071346F">
        <w:t xml:space="preserve">, (New York: Cornell University Press, 1999) p. </w:t>
      </w:r>
      <w:r>
        <w:t>78.</w:t>
      </w:r>
    </w:p>
  </w:footnote>
  <w:footnote w:id="85">
    <w:p w14:paraId="72712BC1" w14:textId="77777777" w:rsidR="00613D59" w:rsidRDefault="00613D59" w:rsidP="00A97456">
      <w:pPr>
        <w:pStyle w:val="FootnoteText"/>
      </w:pPr>
      <w:r>
        <w:rPr>
          <w:rStyle w:val="FootnoteReference"/>
        </w:rPr>
        <w:footnoteRef/>
      </w:r>
      <w:r>
        <w:t xml:space="preserve"> John Coleman Darnell, p. 452. </w:t>
      </w:r>
    </w:p>
  </w:footnote>
  <w:footnote w:id="86">
    <w:p w14:paraId="7AA87DC0" w14:textId="77777777" w:rsidR="00613D59" w:rsidRDefault="00613D59" w:rsidP="00A97456">
      <w:pPr>
        <w:pStyle w:val="FootnoteText"/>
      </w:pPr>
      <w:r>
        <w:rPr>
          <w:rStyle w:val="FootnoteReference"/>
        </w:rPr>
        <w:footnoteRef/>
      </w:r>
      <w:r>
        <w:t xml:space="preserve"> </w:t>
      </w:r>
      <w:r w:rsidRPr="004121A9">
        <w:t>John Coleman Darnell,</w:t>
      </w:r>
      <w:r>
        <w:t xml:space="preserve"> p. 473.</w:t>
      </w:r>
    </w:p>
  </w:footnote>
  <w:footnote w:id="87">
    <w:p w14:paraId="2CED2BA8" w14:textId="77777777" w:rsidR="00613D59" w:rsidRDefault="00613D59" w:rsidP="00A97456">
      <w:pPr>
        <w:pStyle w:val="FootnoteText"/>
      </w:pPr>
      <w:r>
        <w:rPr>
          <w:rStyle w:val="FootnoteReference"/>
        </w:rPr>
        <w:footnoteRef/>
      </w:r>
      <w:r>
        <w:t xml:space="preserve"> John Coleman Darnell, p. 481.</w:t>
      </w:r>
    </w:p>
  </w:footnote>
  <w:footnote w:id="88">
    <w:p w14:paraId="21B09E14" w14:textId="77777777" w:rsidR="00613D59" w:rsidRDefault="00613D59" w:rsidP="00A97456">
      <w:pPr>
        <w:pStyle w:val="FootnoteText"/>
      </w:pPr>
      <w:r>
        <w:rPr>
          <w:rStyle w:val="FootnoteReference"/>
        </w:rPr>
        <w:footnoteRef/>
      </w:r>
      <w:r>
        <w:t xml:space="preserve"> John Coleman Darnell, p. 481.</w:t>
      </w:r>
    </w:p>
  </w:footnote>
  <w:footnote w:id="89">
    <w:p w14:paraId="0FAD3B23" w14:textId="77777777" w:rsidR="00613D59" w:rsidRDefault="00613D59" w:rsidP="00A97456">
      <w:pPr>
        <w:pStyle w:val="FootnoteText"/>
      </w:pPr>
      <w:r>
        <w:rPr>
          <w:rStyle w:val="FootnoteReference"/>
        </w:rPr>
        <w:footnoteRef/>
      </w:r>
      <w:r>
        <w:t xml:space="preserve"> </w:t>
      </w:r>
      <w:r w:rsidRPr="004121A9">
        <w:t>Joh</w:t>
      </w:r>
      <w:r>
        <w:t>n Coleman Darnell, p. 481.</w:t>
      </w:r>
    </w:p>
  </w:footnote>
  <w:footnote w:id="90">
    <w:p w14:paraId="03C26757" w14:textId="77777777" w:rsidR="00613D59" w:rsidRDefault="00613D59" w:rsidP="00A97456">
      <w:pPr>
        <w:pStyle w:val="FootnoteText"/>
      </w:pPr>
      <w:r>
        <w:rPr>
          <w:rStyle w:val="FootnoteReference"/>
        </w:rPr>
        <w:footnoteRef/>
      </w:r>
      <w:r>
        <w:t xml:space="preserve"> </w:t>
      </w:r>
      <w:r w:rsidRPr="004121A9">
        <w:t>John Co</w:t>
      </w:r>
      <w:r>
        <w:t xml:space="preserve">leman Darnell, p. 481. </w:t>
      </w:r>
    </w:p>
  </w:footnote>
  <w:footnote w:id="91">
    <w:p w14:paraId="54031BDE" w14:textId="77777777" w:rsidR="00613D59" w:rsidRDefault="00613D59" w:rsidP="00A97456">
      <w:pPr>
        <w:pStyle w:val="FootnoteText"/>
      </w:pPr>
      <w:r>
        <w:rPr>
          <w:rStyle w:val="FootnoteReference"/>
        </w:rPr>
        <w:footnoteRef/>
      </w:r>
      <w:r>
        <w:t xml:space="preserve"> </w:t>
      </w:r>
      <w:r w:rsidRPr="004121A9">
        <w:t>John Colem</w:t>
      </w:r>
      <w:r>
        <w:t xml:space="preserve">an Darnell, p. 482. </w:t>
      </w:r>
    </w:p>
  </w:footnote>
  <w:footnote w:id="92">
    <w:p w14:paraId="1650F462" w14:textId="77777777" w:rsidR="00613D59" w:rsidRDefault="00613D59" w:rsidP="00A97456">
      <w:pPr>
        <w:pStyle w:val="FootnoteText"/>
      </w:pPr>
      <w:r>
        <w:rPr>
          <w:rStyle w:val="FootnoteReference"/>
        </w:rPr>
        <w:footnoteRef/>
      </w:r>
      <w:r>
        <w:t xml:space="preserve"> </w:t>
      </w:r>
      <w:r w:rsidRPr="004121A9">
        <w:t xml:space="preserve">John Coleman </w:t>
      </w:r>
      <w:r>
        <w:t xml:space="preserve">Darnell, p. 482. </w:t>
      </w:r>
    </w:p>
  </w:footnote>
  <w:footnote w:id="93">
    <w:p w14:paraId="3ABC1A2F" w14:textId="77777777" w:rsidR="00613D59" w:rsidRDefault="00613D59" w:rsidP="00A97456">
      <w:pPr>
        <w:pStyle w:val="FootnoteText"/>
      </w:pPr>
      <w:r>
        <w:rPr>
          <w:rStyle w:val="FootnoteReference"/>
        </w:rPr>
        <w:footnoteRef/>
      </w:r>
      <w:r>
        <w:t xml:space="preserve"> Jan Assmann, </w:t>
      </w:r>
      <w:r w:rsidRPr="002F1EC4">
        <w:rPr>
          <w:i/>
        </w:rPr>
        <w:t>Egyptian Solar Religion in the New Kingdom</w:t>
      </w:r>
      <w:r>
        <w:t>, (London and New York: Kegan Paul International, 1995) pp. 26-37.</w:t>
      </w:r>
    </w:p>
  </w:footnote>
  <w:footnote w:id="94">
    <w:p w14:paraId="5D455AF5" w14:textId="77777777" w:rsidR="00613D59" w:rsidRPr="002F1EC4" w:rsidRDefault="00613D59" w:rsidP="00A97456">
      <w:pPr>
        <w:pStyle w:val="FootnoteText"/>
      </w:pPr>
      <w:r>
        <w:rPr>
          <w:rStyle w:val="FootnoteReference"/>
        </w:rPr>
        <w:footnoteRef/>
      </w:r>
      <w:r>
        <w:t xml:space="preserve"> </w:t>
      </w:r>
      <w:r w:rsidRPr="002F1EC4">
        <w:t xml:space="preserve">Jan </w:t>
      </w:r>
      <w:r>
        <w:t>Assmann</w:t>
      </w:r>
      <w:r w:rsidRPr="002F1EC4">
        <w:t xml:space="preserve">, </w:t>
      </w:r>
      <w:r w:rsidRPr="002F1EC4">
        <w:rPr>
          <w:i/>
        </w:rPr>
        <w:t>Egyptian S</w:t>
      </w:r>
      <w:r>
        <w:rPr>
          <w:i/>
        </w:rPr>
        <w:t>olar Religion</w:t>
      </w:r>
      <w:r>
        <w:t>, p.37.</w:t>
      </w:r>
    </w:p>
  </w:footnote>
  <w:footnote w:id="95">
    <w:p w14:paraId="48BF59B2" w14:textId="77777777" w:rsidR="00613D59" w:rsidRDefault="00613D59" w:rsidP="00A97456">
      <w:pPr>
        <w:pStyle w:val="FootnoteText"/>
      </w:pPr>
      <w:r>
        <w:rPr>
          <w:rStyle w:val="FootnoteReference"/>
        </w:rPr>
        <w:footnoteRef/>
      </w:r>
      <w:r>
        <w:t xml:space="preserve"> Alexandre Piankoff and Nina Rambova, </w:t>
      </w:r>
      <w:proofErr w:type="gramStart"/>
      <w:r w:rsidRPr="00E30EF6">
        <w:rPr>
          <w:i/>
        </w:rPr>
        <w:t>The</w:t>
      </w:r>
      <w:proofErr w:type="gramEnd"/>
      <w:r w:rsidRPr="00E30EF6">
        <w:rPr>
          <w:i/>
        </w:rPr>
        <w:t xml:space="preserve"> Tomb of Ramesses VI, Bollingen Series XL-1</w:t>
      </w:r>
      <w:r>
        <w:t xml:space="preserve">, (New York: Pantheon Books), pp. 338-340. </w:t>
      </w:r>
    </w:p>
  </w:footnote>
  <w:footnote w:id="96">
    <w:p w14:paraId="6FE0E2B2" w14:textId="77777777" w:rsidR="00613D59" w:rsidRDefault="00613D59" w:rsidP="00A97456">
      <w:pPr>
        <w:pStyle w:val="FootnoteText"/>
      </w:pPr>
      <w:r>
        <w:rPr>
          <w:rStyle w:val="FootnoteReference"/>
        </w:rPr>
        <w:footnoteRef/>
      </w:r>
      <w:r>
        <w:t xml:space="preserve"> Joshua Aaron Roberson, </w:t>
      </w:r>
      <w:proofErr w:type="gramStart"/>
      <w:r w:rsidRPr="00026FBA">
        <w:rPr>
          <w:i/>
        </w:rPr>
        <w:t>The</w:t>
      </w:r>
      <w:proofErr w:type="gramEnd"/>
      <w:r w:rsidRPr="00026FBA">
        <w:rPr>
          <w:i/>
        </w:rPr>
        <w:t xml:space="preserve"> Ancient Egyptian Books of the Earth</w:t>
      </w:r>
      <w:r>
        <w:t>, (Atlanta, Georgia: Lockward Press, 2012), pp. 179-188.</w:t>
      </w:r>
    </w:p>
  </w:footnote>
  <w:footnote w:id="97">
    <w:p w14:paraId="2165A91F" w14:textId="77777777" w:rsidR="00613D59" w:rsidRDefault="00613D59" w:rsidP="00A97456">
      <w:pPr>
        <w:pStyle w:val="FootnoteText"/>
      </w:pPr>
      <w:r>
        <w:rPr>
          <w:rStyle w:val="FootnoteReference"/>
        </w:rPr>
        <w:footnoteRef/>
      </w:r>
      <w:r>
        <w:t xml:space="preserve"> </w:t>
      </w:r>
      <w:r w:rsidRPr="00026FBA">
        <w:t>Alexa</w:t>
      </w:r>
      <w:r>
        <w:t>ndre Piankoff and Nina Rambova, pp. 338-</w:t>
      </w:r>
      <w:r w:rsidRPr="00026FBA">
        <w:t>340.</w:t>
      </w:r>
    </w:p>
  </w:footnote>
  <w:footnote w:id="98">
    <w:p w14:paraId="5415D7D0" w14:textId="77777777" w:rsidR="00613D59" w:rsidRDefault="00613D59" w:rsidP="00A97456">
      <w:pPr>
        <w:pStyle w:val="FootnoteText"/>
      </w:pPr>
      <w:r>
        <w:rPr>
          <w:rStyle w:val="FootnoteReference"/>
        </w:rPr>
        <w:footnoteRef/>
      </w:r>
      <w:r>
        <w:t xml:space="preserve"> </w:t>
      </w:r>
      <w:r w:rsidRPr="00026FBA">
        <w:t>J</w:t>
      </w:r>
      <w:r>
        <w:t>oshua Aaron Roberson, pp. 179-</w:t>
      </w:r>
      <w:r w:rsidRPr="00026FBA">
        <w:t>188.</w:t>
      </w:r>
    </w:p>
  </w:footnote>
  <w:footnote w:id="99">
    <w:p w14:paraId="65052053" w14:textId="77777777" w:rsidR="00613D59" w:rsidRDefault="00613D59" w:rsidP="00A97456">
      <w:pPr>
        <w:pStyle w:val="FootnoteText"/>
      </w:pPr>
      <w:r>
        <w:rPr>
          <w:rStyle w:val="FootnoteReference"/>
        </w:rPr>
        <w:footnoteRef/>
      </w:r>
      <w:r>
        <w:t xml:space="preserve"> Joshua Aaron Roberson, pp. 179-</w:t>
      </w:r>
      <w:r w:rsidRPr="00026FBA">
        <w:t>188.</w:t>
      </w:r>
    </w:p>
  </w:footnote>
  <w:footnote w:id="100">
    <w:p w14:paraId="10B60139" w14:textId="77777777" w:rsidR="00613D59" w:rsidRDefault="00613D59" w:rsidP="00A97456">
      <w:pPr>
        <w:pStyle w:val="FootnoteText"/>
      </w:pPr>
      <w:r>
        <w:rPr>
          <w:rStyle w:val="FootnoteReference"/>
        </w:rPr>
        <w:footnoteRef/>
      </w:r>
      <w:r>
        <w:t xml:space="preserve"> </w:t>
      </w:r>
      <w:r w:rsidRPr="00AF64A8">
        <w:t xml:space="preserve">George Hart, </w:t>
      </w:r>
      <w:proofErr w:type="gramStart"/>
      <w:r w:rsidRPr="00AF64A8">
        <w:rPr>
          <w:i/>
        </w:rPr>
        <w:t>The</w:t>
      </w:r>
      <w:proofErr w:type="gramEnd"/>
      <w:r w:rsidRPr="00AF64A8">
        <w:rPr>
          <w:i/>
        </w:rPr>
        <w:t xml:space="preserve"> Routledge Dictionar</w:t>
      </w:r>
      <w:r>
        <w:rPr>
          <w:i/>
        </w:rPr>
        <w:t>y,</w:t>
      </w:r>
      <w:r w:rsidRPr="00AF64A8">
        <w:t xml:space="preserve"> p.</w:t>
      </w:r>
      <w:r>
        <w:t xml:space="preserve"> 147.</w:t>
      </w:r>
    </w:p>
  </w:footnote>
  <w:footnote w:id="101">
    <w:p w14:paraId="31599EDB" w14:textId="77777777" w:rsidR="00613D59" w:rsidRDefault="00613D59" w:rsidP="00A97456">
      <w:pPr>
        <w:pStyle w:val="FootnoteText"/>
      </w:pPr>
      <w:r>
        <w:rPr>
          <w:rStyle w:val="FootnoteReference"/>
        </w:rPr>
        <w:footnoteRef/>
      </w:r>
      <w:r>
        <w:t xml:space="preserve"> </w:t>
      </w:r>
      <w:r w:rsidRPr="001349F3">
        <w:t xml:space="preserve">George Hart, </w:t>
      </w:r>
      <w:proofErr w:type="gramStart"/>
      <w:r w:rsidRPr="001349F3">
        <w:rPr>
          <w:i/>
        </w:rPr>
        <w:t>The</w:t>
      </w:r>
      <w:proofErr w:type="gramEnd"/>
      <w:r w:rsidRPr="001349F3">
        <w:rPr>
          <w:i/>
        </w:rPr>
        <w:t xml:space="preserve"> Routledge Dictionar</w:t>
      </w:r>
      <w:r>
        <w:rPr>
          <w:i/>
        </w:rPr>
        <w:t xml:space="preserve">y, </w:t>
      </w:r>
      <w:r w:rsidRPr="001349F3">
        <w:t>p. 147.</w:t>
      </w:r>
    </w:p>
  </w:footnote>
  <w:footnote w:id="102">
    <w:p w14:paraId="56300568" w14:textId="77777777" w:rsidR="00613D59" w:rsidRDefault="00613D59" w:rsidP="00A97456">
      <w:pPr>
        <w:pStyle w:val="FootnoteText"/>
      </w:pPr>
      <w:r>
        <w:rPr>
          <w:rStyle w:val="FootnoteReference"/>
        </w:rPr>
        <w:footnoteRef/>
      </w:r>
      <w:r>
        <w:t xml:space="preserve"> </w:t>
      </w:r>
      <w:r w:rsidRPr="00DD059B">
        <w:t xml:space="preserve">R. O. Faulkner, </w:t>
      </w:r>
      <w:r w:rsidRPr="00DD059B">
        <w:rPr>
          <w:i/>
        </w:rPr>
        <w:t xml:space="preserve">The Ancient Egyptian </w:t>
      </w:r>
      <w:r w:rsidRPr="005F405B">
        <w:rPr>
          <w:i/>
        </w:rPr>
        <w:t>Coffin Texts</w:t>
      </w:r>
      <w:r w:rsidRPr="00DD059B">
        <w:rPr>
          <w:i/>
        </w:rPr>
        <w:t xml:space="preserve">, Vol </w:t>
      </w:r>
      <w:proofErr w:type="gramStart"/>
      <w:r w:rsidRPr="00DD059B">
        <w:rPr>
          <w:i/>
        </w:rPr>
        <w:t>1</w:t>
      </w:r>
      <w:r>
        <w:t>.,</w:t>
      </w:r>
      <w:proofErr w:type="gramEnd"/>
      <w:r>
        <w:t xml:space="preserve"> p. 80.</w:t>
      </w:r>
    </w:p>
  </w:footnote>
  <w:footnote w:id="103">
    <w:p w14:paraId="0B4C5C6C" w14:textId="77777777" w:rsidR="00613D59" w:rsidRDefault="00613D59" w:rsidP="00A97456">
      <w:pPr>
        <w:pStyle w:val="FootnoteText"/>
      </w:pPr>
      <w:r>
        <w:rPr>
          <w:rStyle w:val="FootnoteReference"/>
        </w:rPr>
        <w:footnoteRef/>
      </w:r>
      <w:r>
        <w:t xml:space="preserve"> </w:t>
      </w:r>
      <w:r w:rsidRPr="00DD059B">
        <w:t xml:space="preserve">R. O. Faulkner, </w:t>
      </w:r>
      <w:r w:rsidRPr="00DD059B">
        <w:rPr>
          <w:i/>
        </w:rPr>
        <w:t xml:space="preserve">The Ancient Egyptian </w:t>
      </w:r>
      <w:r w:rsidRPr="005F405B">
        <w:rPr>
          <w:i/>
        </w:rPr>
        <w:t>Coffin Texts</w:t>
      </w:r>
      <w:r w:rsidRPr="00DD059B">
        <w:rPr>
          <w:i/>
        </w:rPr>
        <w:t xml:space="preserve">, Vol </w:t>
      </w:r>
      <w:proofErr w:type="gramStart"/>
      <w:r w:rsidRPr="00DD059B">
        <w:rPr>
          <w:i/>
        </w:rPr>
        <w:t>1</w:t>
      </w:r>
      <w:r>
        <w:t>.,</w:t>
      </w:r>
      <w:proofErr w:type="gramEnd"/>
      <w:r>
        <w:t xml:space="preserve"> p. 83.</w:t>
      </w:r>
    </w:p>
  </w:footnote>
  <w:footnote w:id="104">
    <w:p w14:paraId="0B825575" w14:textId="77777777" w:rsidR="00613D59" w:rsidRDefault="00613D59" w:rsidP="00A97456">
      <w:pPr>
        <w:pStyle w:val="FootnoteText"/>
      </w:pPr>
      <w:r>
        <w:rPr>
          <w:rStyle w:val="FootnoteReference"/>
        </w:rPr>
        <w:footnoteRef/>
      </w:r>
      <w:r>
        <w:t xml:space="preserve"> </w:t>
      </w:r>
      <w:r w:rsidRPr="000F4103">
        <w:t xml:space="preserve">Ihab Khalil, `“I Was Not Built Up in the Womb, I Was Not Knit Together in the Egg, I was Not Concieved”: The Christian Doctrine of the Eternal Generation of the Son in Its Egyptian Context`, </w:t>
      </w:r>
      <w:r w:rsidRPr="000F4103">
        <w:rPr>
          <w:i/>
        </w:rPr>
        <w:t>Journal of the Canadian Society for Coptic Studies</w:t>
      </w:r>
      <w:r>
        <w:t xml:space="preserve">, 6, (2014), 9-24 (p. 18). </w:t>
      </w:r>
    </w:p>
  </w:footnote>
  <w:footnote w:id="105">
    <w:p w14:paraId="22152227" w14:textId="77777777" w:rsidR="00613D59" w:rsidRDefault="00613D59" w:rsidP="00A97456">
      <w:pPr>
        <w:pStyle w:val="FootnoteText"/>
      </w:pPr>
      <w:r>
        <w:rPr>
          <w:rStyle w:val="FootnoteReference"/>
        </w:rPr>
        <w:footnoteRef/>
      </w:r>
      <w:r>
        <w:t xml:space="preserve"> </w:t>
      </w:r>
      <w:r w:rsidRPr="00F85F35">
        <w:t>Ihab Khalil,</w:t>
      </w:r>
      <w:r>
        <w:t xml:space="preserve"> 9-24 (p. 19</w:t>
      </w:r>
      <w:r w:rsidRPr="00F85F35">
        <w:t>).</w:t>
      </w:r>
    </w:p>
  </w:footnote>
  <w:footnote w:id="106">
    <w:p w14:paraId="1FCBF1EF" w14:textId="77777777" w:rsidR="00613D59" w:rsidRPr="009B79E6" w:rsidRDefault="00613D59" w:rsidP="00A97456">
      <w:pPr>
        <w:pStyle w:val="FootnoteText"/>
      </w:pPr>
      <w:r>
        <w:rPr>
          <w:rStyle w:val="FootnoteReference"/>
        </w:rPr>
        <w:footnoteRef/>
      </w:r>
      <w:r>
        <w:t xml:space="preserve"> Ihab Khalil, 9-24 (p. 20</w:t>
      </w:r>
      <w:r w:rsidRPr="009B79E6">
        <w:t xml:space="preserve">). </w:t>
      </w:r>
    </w:p>
    <w:p w14:paraId="6E0D2767" w14:textId="77777777" w:rsidR="00613D59" w:rsidRDefault="00613D59" w:rsidP="00A97456">
      <w:pPr>
        <w:pStyle w:val="FootnoteText"/>
      </w:pPr>
    </w:p>
  </w:footnote>
  <w:footnote w:id="107">
    <w:p w14:paraId="09AD827F" w14:textId="77777777" w:rsidR="00613D59" w:rsidRDefault="00613D59" w:rsidP="00A97456">
      <w:pPr>
        <w:pStyle w:val="FootnoteText"/>
      </w:pPr>
      <w:r>
        <w:rPr>
          <w:rStyle w:val="FootnoteReference"/>
        </w:rPr>
        <w:footnoteRef/>
      </w:r>
      <w:r>
        <w:t xml:space="preserve"> A. Bernabé, </w:t>
      </w:r>
      <w:proofErr w:type="gramStart"/>
      <w:r>
        <w:t>The</w:t>
      </w:r>
      <w:proofErr w:type="gramEnd"/>
      <w:r>
        <w:t xml:space="preserve"> Derveni Theogony: Many Questions and Some Answers, </w:t>
      </w:r>
      <w:r w:rsidRPr="00D42D72">
        <w:rPr>
          <w:i/>
        </w:rPr>
        <w:t>Harvard Studies in Classical Philology</w:t>
      </w:r>
      <w:r>
        <w:t xml:space="preserve">, Vol. 103, (2007), 99-133. p. </w:t>
      </w:r>
      <w:proofErr w:type="gramStart"/>
      <w:r>
        <w:t>99.;</w:t>
      </w:r>
      <w:proofErr w:type="gramEnd"/>
      <w:r>
        <w:t xml:space="preserve"> T. Kouremenos et al., </w:t>
      </w:r>
      <w:r w:rsidRPr="00D42D72">
        <w:rPr>
          <w:i/>
        </w:rPr>
        <w:t xml:space="preserve">The </w:t>
      </w:r>
      <w:r w:rsidRPr="005F405B">
        <w:rPr>
          <w:i/>
        </w:rPr>
        <w:t>Derveni Papyrus</w:t>
      </w:r>
      <w:r>
        <w:t>, (Florence: Casa Editrice Leo S. Olschki, 2006), pp. 9-10.</w:t>
      </w:r>
    </w:p>
  </w:footnote>
  <w:footnote w:id="108">
    <w:p w14:paraId="60740126" w14:textId="77777777" w:rsidR="00613D59" w:rsidRDefault="00613D59" w:rsidP="00A97456">
      <w:pPr>
        <w:pStyle w:val="FootnoteText"/>
      </w:pPr>
      <w:r>
        <w:rPr>
          <w:rStyle w:val="FootnoteReference"/>
        </w:rPr>
        <w:footnoteRef/>
      </w:r>
      <w:r>
        <w:t xml:space="preserve"> </w:t>
      </w:r>
      <w:r w:rsidRPr="0020089F">
        <w:t xml:space="preserve">T. Kouremenos et al., </w:t>
      </w:r>
      <w:r w:rsidRPr="0020089F">
        <w:rPr>
          <w:i/>
        </w:rPr>
        <w:t xml:space="preserve">The </w:t>
      </w:r>
      <w:r w:rsidRPr="005F405B">
        <w:rPr>
          <w:i/>
        </w:rPr>
        <w:t>Derveni Papyrus</w:t>
      </w:r>
      <w:r>
        <w:t>, p.19-20.</w:t>
      </w:r>
    </w:p>
  </w:footnote>
  <w:footnote w:id="109">
    <w:p w14:paraId="5D5D05CA" w14:textId="77777777" w:rsidR="00613D59" w:rsidRDefault="00613D59" w:rsidP="00A97456">
      <w:pPr>
        <w:pStyle w:val="FootnoteText"/>
      </w:pPr>
      <w:r>
        <w:rPr>
          <w:rStyle w:val="FootnoteReference"/>
        </w:rPr>
        <w:footnoteRef/>
      </w:r>
      <w:r>
        <w:t xml:space="preserve"> R. Janko, Review of the </w:t>
      </w:r>
      <w:r w:rsidRPr="005F405B">
        <w:rPr>
          <w:i/>
        </w:rPr>
        <w:t>Derveni Papyrus</w:t>
      </w:r>
      <w:r>
        <w:t xml:space="preserve">, </w:t>
      </w:r>
      <w:r w:rsidRPr="00D42D72">
        <w:rPr>
          <w:i/>
        </w:rPr>
        <w:t>Bryn Mawr Classical Review</w:t>
      </w:r>
      <w:r>
        <w:t xml:space="preserve"> 2006.10.29, </w:t>
      </w:r>
      <w:r w:rsidRPr="002E35FA">
        <w:t>http://bmcr.brynmawr.edu/2006/2006-10-29.html</w:t>
      </w:r>
      <w:r>
        <w:t xml:space="preserve"> [accessed 15th October 2013]</w:t>
      </w:r>
    </w:p>
  </w:footnote>
  <w:footnote w:id="110">
    <w:p w14:paraId="54B4014E" w14:textId="77777777" w:rsidR="00613D59" w:rsidRDefault="00613D59" w:rsidP="00A97456">
      <w:pPr>
        <w:pStyle w:val="FootnoteText"/>
      </w:pPr>
      <w:r>
        <w:rPr>
          <w:rStyle w:val="FootnoteReference"/>
        </w:rPr>
        <w:footnoteRef/>
      </w:r>
      <w:r>
        <w:t xml:space="preserve"> R. Janko, Review. </w:t>
      </w:r>
    </w:p>
  </w:footnote>
  <w:footnote w:id="111">
    <w:p w14:paraId="18A2EEE5" w14:textId="77777777" w:rsidR="00613D59" w:rsidRDefault="00613D59" w:rsidP="00A97456">
      <w:pPr>
        <w:pStyle w:val="FootnoteText"/>
      </w:pPr>
      <w:r>
        <w:rPr>
          <w:rStyle w:val="FootnoteReference"/>
        </w:rPr>
        <w:footnoteRef/>
      </w:r>
      <w:r>
        <w:t xml:space="preserve"> Pierre </w:t>
      </w:r>
      <w:r w:rsidRPr="001B583D">
        <w:t xml:space="preserve">Lévêque, </w:t>
      </w:r>
      <w:r w:rsidRPr="001B583D">
        <w:rPr>
          <w:i/>
        </w:rPr>
        <w:t>The Greek Adventure</w:t>
      </w:r>
      <w:r w:rsidRPr="001B583D">
        <w:t>, trans. Miriam Kochan (London: Weidenfeld and Nic</w:t>
      </w:r>
      <w:r>
        <w:t>olson, 1968), p.276.</w:t>
      </w:r>
    </w:p>
  </w:footnote>
  <w:footnote w:id="112">
    <w:p w14:paraId="3DB38DB3" w14:textId="77777777" w:rsidR="00613D59" w:rsidRDefault="00613D59" w:rsidP="00A97456">
      <w:pPr>
        <w:pStyle w:val="FootnoteText"/>
      </w:pPr>
      <w:r>
        <w:rPr>
          <w:rStyle w:val="FootnoteReference"/>
        </w:rPr>
        <w:footnoteRef/>
      </w:r>
      <w:r>
        <w:t xml:space="preserve">  Walter Burkert, </w:t>
      </w:r>
      <w:r w:rsidRPr="00547833">
        <w:rPr>
          <w:i/>
        </w:rPr>
        <w:t>Babylon Memphis Persepolis Eastern Contexts of Greek Culture</w:t>
      </w:r>
      <w:r>
        <w:t xml:space="preserve">, (Cambridge, Massachusetts, London: Harvard University Press, 2004) pp. 93 - </w:t>
      </w:r>
      <w:proofErr w:type="gramStart"/>
      <w:r>
        <w:t>94.;</w:t>
      </w:r>
      <w:proofErr w:type="gramEnd"/>
      <w:r>
        <w:t xml:space="preserve"> David Leitao, </w:t>
      </w:r>
      <w:r w:rsidRPr="002052D9">
        <w:rPr>
          <w:i/>
        </w:rPr>
        <w:t xml:space="preserve"> The Pregnant Male as Myth and Metaphor in Classical Greek Literature,</w:t>
      </w:r>
      <w:r>
        <w:t xml:space="preserve"> (Cambridge: Cambridge University Press, 2012) pp. 105-106.</w:t>
      </w:r>
    </w:p>
  </w:footnote>
  <w:footnote w:id="113">
    <w:p w14:paraId="2C4FE2F2" w14:textId="77777777" w:rsidR="00613D59" w:rsidRPr="00FA1CA8" w:rsidRDefault="00613D59" w:rsidP="00A97456">
      <w:pPr>
        <w:pStyle w:val="FootnoteText"/>
        <w:rPr>
          <w:color w:val="FF0000"/>
        </w:rPr>
      </w:pPr>
      <w:r>
        <w:rPr>
          <w:rStyle w:val="FootnoteReference"/>
        </w:rPr>
        <w:footnoteRef/>
      </w:r>
      <w:r>
        <w:t xml:space="preserve"> Walter Burkert,</w:t>
      </w:r>
      <w:r w:rsidRPr="00A4121E">
        <w:t xml:space="preserve"> p</w:t>
      </w:r>
      <w:r>
        <w:t xml:space="preserve">. </w:t>
      </w:r>
      <w:proofErr w:type="gramStart"/>
      <w:r>
        <w:t>92.;</w:t>
      </w:r>
      <w:proofErr w:type="gramEnd"/>
      <w:r>
        <w:t xml:space="preserve"> Luc Brisson,</w:t>
      </w:r>
      <w:r w:rsidRPr="00FA1CA8">
        <w:t xml:space="preserve"> </w:t>
      </w:r>
      <w:r>
        <w:t>`</w:t>
      </w:r>
      <w:r w:rsidRPr="00FA1CA8">
        <w:t xml:space="preserve">Sky, Sex and </w:t>
      </w:r>
      <w:r>
        <w:t>Sun</w:t>
      </w:r>
      <w:r w:rsidRPr="00FA1CA8">
        <w:t xml:space="preserve">. The Meaning of ===== in the </w:t>
      </w:r>
      <w:r w:rsidRPr="005F405B">
        <w:rPr>
          <w:i/>
        </w:rPr>
        <w:t>Derveni Papyrus</w:t>
      </w:r>
      <w:r>
        <w:t>`</w:t>
      </w:r>
      <w:r w:rsidRPr="00FA1CA8">
        <w:t xml:space="preserve">, </w:t>
      </w:r>
      <w:r w:rsidRPr="00FA1CA8">
        <w:rPr>
          <w:i/>
        </w:rPr>
        <w:t>Zeitschrift fur Papyrologie und Epigraphik, Bd</w:t>
      </w:r>
      <w:r>
        <w:t>. 144 (2003),</w:t>
      </w:r>
      <w:r w:rsidRPr="00FA1CA8">
        <w:t xml:space="preserve"> 19-29, p</w:t>
      </w:r>
      <w:r>
        <w:t xml:space="preserve">. 27.; </w:t>
      </w:r>
      <w:r w:rsidRPr="00FA1CA8">
        <w:t xml:space="preserve">T. Kouremenos et al., </w:t>
      </w:r>
      <w:r>
        <w:t xml:space="preserve">p.26 footnote.; Albrecht Goetze, tr. `Hittite Myths, Epics, and Legends`, in </w:t>
      </w:r>
      <w:r w:rsidRPr="00046354">
        <w:rPr>
          <w:i/>
        </w:rPr>
        <w:t>Ancient Near East</w:t>
      </w:r>
      <w:r>
        <w:rPr>
          <w:i/>
        </w:rPr>
        <w:t>ern</w:t>
      </w:r>
      <w:r w:rsidRPr="00046354">
        <w:rPr>
          <w:i/>
        </w:rPr>
        <w:t xml:space="preserve"> Texts</w:t>
      </w:r>
      <w:r>
        <w:t xml:space="preserve">, ed. James B Pritchard (Princeton: Princeton University Press, 2nd ed. 1955), p. 120. </w:t>
      </w:r>
    </w:p>
  </w:footnote>
  <w:footnote w:id="114">
    <w:p w14:paraId="0FC22C5E" w14:textId="77777777" w:rsidR="00613D59" w:rsidRDefault="00613D59" w:rsidP="00A97456">
      <w:pPr>
        <w:pStyle w:val="FootnoteText"/>
      </w:pPr>
      <w:r>
        <w:rPr>
          <w:rStyle w:val="FootnoteReference"/>
        </w:rPr>
        <w:footnoteRef/>
      </w:r>
      <w:r>
        <w:t xml:space="preserve"> Walter Burkert, </w:t>
      </w:r>
      <w:r w:rsidRPr="00A4121E">
        <w:t>p</w:t>
      </w:r>
      <w:r>
        <w:t xml:space="preserve">. 93. </w:t>
      </w:r>
    </w:p>
  </w:footnote>
  <w:footnote w:id="115">
    <w:p w14:paraId="272CCC72" w14:textId="77777777" w:rsidR="00613D59" w:rsidRDefault="00613D59" w:rsidP="00A97456">
      <w:pPr>
        <w:pStyle w:val="FootnoteText"/>
      </w:pPr>
      <w:r>
        <w:rPr>
          <w:rStyle w:val="FootnoteReference"/>
        </w:rPr>
        <w:footnoteRef/>
      </w:r>
      <w:r>
        <w:t xml:space="preserve"> T. Kouremenos et al., p.26 footnote.</w:t>
      </w:r>
    </w:p>
  </w:footnote>
  <w:footnote w:id="116">
    <w:p w14:paraId="7CABF106" w14:textId="77777777" w:rsidR="00613D59" w:rsidRDefault="00613D59" w:rsidP="00A97456">
      <w:pPr>
        <w:pStyle w:val="FootnoteText"/>
      </w:pPr>
      <w:r>
        <w:rPr>
          <w:rStyle w:val="FootnoteReference"/>
        </w:rPr>
        <w:footnoteRef/>
      </w:r>
      <w:r>
        <w:t xml:space="preserve"> Luc Brisson, p.27.</w:t>
      </w:r>
    </w:p>
  </w:footnote>
  <w:footnote w:id="117">
    <w:p w14:paraId="6B4A7B8C" w14:textId="77777777" w:rsidR="00613D59" w:rsidRDefault="00613D59" w:rsidP="00A97456">
      <w:pPr>
        <w:pStyle w:val="FootnoteText"/>
      </w:pPr>
      <w:r>
        <w:rPr>
          <w:rStyle w:val="FootnoteReference"/>
        </w:rPr>
        <w:footnoteRef/>
      </w:r>
      <w:r>
        <w:t xml:space="preserve">  </w:t>
      </w:r>
      <w:r w:rsidRPr="001C2CA6">
        <w:t>T. Kouremenos et al.,</w:t>
      </w:r>
      <w:r>
        <w:t xml:space="preserve"> </w:t>
      </w:r>
      <w:r w:rsidRPr="00C61D30">
        <w:t>p.1</w:t>
      </w:r>
      <w:r>
        <w:t>4.</w:t>
      </w:r>
    </w:p>
  </w:footnote>
  <w:footnote w:id="118">
    <w:p w14:paraId="23729A2E" w14:textId="77777777" w:rsidR="00613D59" w:rsidRDefault="00613D59" w:rsidP="00A97456">
      <w:pPr>
        <w:pStyle w:val="FootnoteText"/>
      </w:pPr>
      <w:r>
        <w:rPr>
          <w:rStyle w:val="FootnoteReference"/>
        </w:rPr>
        <w:footnoteRef/>
      </w:r>
      <w:r>
        <w:t xml:space="preserve"> James Lesher, </w:t>
      </w:r>
      <w:r w:rsidRPr="006829BC">
        <w:rPr>
          <w:i/>
        </w:rPr>
        <w:t>Xenophanes of Colophon</w:t>
      </w:r>
      <w:r>
        <w:t xml:space="preserve">, (Toronto, Buffalo, London: University of Toronto Press Inc. 1992 and 2001), Introduction, p. 4. </w:t>
      </w:r>
    </w:p>
  </w:footnote>
  <w:footnote w:id="119">
    <w:p w14:paraId="7E9194F9" w14:textId="77777777" w:rsidR="00613D59" w:rsidRDefault="00613D59" w:rsidP="00A97456">
      <w:pPr>
        <w:pStyle w:val="FootnoteText"/>
      </w:pPr>
      <w:r>
        <w:rPr>
          <w:rStyle w:val="FootnoteReference"/>
        </w:rPr>
        <w:footnoteRef/>
      </w:r>
      <w:r>
        <w:t xml:space="preserve"> </w:t>
      </w:r>
      <w:r w:rsidRPr="00911401">
        <w:t>T. Kouremen</w:t>
      </w:r>
      <w:r>
        <w:t>os et al., p. 131, 176-182.</w:t>
      </w:r>
    </w:p>
  </w:footnote>
  <w:footnote w:id="120">
    <w:p w14:paraId="320D127D" w14:textId="77777777" w:rsidR="00613D59" w:rsidRDefault="00613D59" w:rsidP="00A97456">
      <w:pPr>
        <w:pStyle w:val="FootnoteText"/>
      </w:pPr>
      <w:r>
        <w:rPr>
          <w:rStyle w:val="FootnoteReference"/>
        </w:rPr>
        <w:footnoteRef/>
      </w:r>
      <w:r>
        <w:t xml:space="preserve"> T. Kouremenos et al., p. 133.</w:t>
      </w:r>
    </w:p>
  </w:footnote>
  <w:footnote w:id="121">
    <w:p w14:paraId="3A8B0CF8" w14:textId="77777777" w:rsidR="00613D59" w:rsidRDefault="00613D59" w:rsidP="00A97456">
      <w:pPr>
        <w:pStyle w:val="FootnoteText"/>
      </w:pPr>
      <w:r>
        <w:rPr>
          <w:rStyle w:val="FootnoteReference"/>
        </w:rPr>
        <w:footnoteRef/>
      </w:r>
      <w:r>
        <w:t xml:space="preserve"> </w:t>
      </w:r>
      <w:r w:rsidRPr="00D42D72">
        <w:t xml:space="preserve">T. Kouremenos et al., p. </w:t>
      </w:r>
      <w:r>
        <w:t>133.</w:t>
      </w:r>
    </w:p>
  </w:footnote>
  <w:footnote w:id="122">
    <w:p w14:paraId="037D4B7B" w14:textId="77777777" w:rsidR="00613D59" w:rsidRDefault="00613D59" w:rsidP="00A97456">
      <w:pPr>
        <w:pStyle w:val="FootnoteText"/>
      </w:pPr>
      <w:r>
        <w:rPr>
          <w:rStyle w:val="FootnoteReference"/>
        </w:rPr>
        <w:footnoteRef/>
      </w:r>
      <w:r>
        <w:t xml:space="preserve"> T. Kouremenos et al., p. 200.</w:t>
      </w:r>
    </w:p>
  </w:footnote>
  <w:footnote w:id="123">
    <w:p w14:paraId="78C568CD" w14:textId="77777777" w:rsidR="00613D59" w:rsidRDefault="00613D59" w:rsidP="00A97456">
      <w:pPr>
        <w:pStyle w:val="FootnoteText"/>
      </w:pPr>
      <w:r>
        <w:rPr>
          <w:rStyle w:val="FootnoteReference"/>
        </w:rPr>
        <w:footnoteRef/>
      </w:r>
      <w:r>
        <w:t xml:space="preserve"> </w:t>
      </w:r>
      <w:r w:rsidRPr="00D42D72">
        <w:t>T. Kouremenos et al., p.</w:t>
      </w:r>
      <w:r>
        <w:t xml:space="preserve"> 134.</w:t>
      </w:r>
    </w:p>
  </w:footnote>
  <w:footnote w:id="124">
    <w:p w14:paraId="48526660" w14:textId="77777777" w:rsidR="00613D59" w:rsidRDefault="00613D59" w:rsidP="00A97456">
      <w:pPr>
        <w:pStyle w:val="FootnoteText"/>
      </w:pPr>
      <w:r>
        <w:rPr>
          <w:rStyle w:val="FootnoteReference"/>
        </w:rPr>
        <w:footnoteRef/>
      </w:r>
      <w:r>
        <w:t xml:space="preserve"> T. Kouremenos et al.,</w:t>
      </w:r>
      <w:r w:rsidRPr="00D42D72">
        <w:t xml:space="preserve"> p.</w:t>
      </w:r>
      <w:r>
        <w:t xml:space="preserve"> 134.</w:t>
      </w:r>
    </w:p>
  </w:footnote>
  <w:footnote w:id="125">
    <w:p w14:paraId="1C2E4BEA" w14:textId="77777777" w:rsidR="00613D59" w:rsidRDefault="00613D59" w:rsidP="00A97456">
      <w:pPr>
        <w:pStyle w:val="FootnoteText"/>
      </w:pPr>
      <w:r>
        <w:rPr>
          <w:rStyle w:val="FootnoteReference"/>
        </w:rPr>
        <w:footnoteRef/>
      </w:r>
      <w:r>
        <w:t xml:space="preserve"> </w:t>
      </w:r>
      <w:r w:rsidRPr="00D42D72">
        <w:t>T. Kouremenos et al., p.</w:t>
      </w:r>
      <w:r>
        <w:t xml:space="preserve"> 139.</w:t>
      </w:r>
    </w:p>
  </w:footnote>
  <w:footnote w:id="126">
    <w:p w14:paraId="37231E15" w14:textId="77777777" w:rsidR="00613D59" w:rsidRDefault="00613D59" w:rsidP="00A97456">
      <w:pPr>
        <w:pStyle w:val="FootnoteText"/>
      </w:pPr>
      <w:r>
        <w:rPr>
          <w:rStyle w:val="FootnoteReference"/>
        </w:rPr>
        <w:footnoteRef/>
      </w:r>
      <w:r>
        <w:t xml:space="preserve"> </w:t>
      </w:r>
      <w:r w:rsidRPr="003F2DB1">
        <w:t xml:space="preserve">Gabor Betegh, </w:t>
      </w:r>
      <w:r w:rsidRPr="003F2DB1">
        <w:rPr>
          <w:i/>
        </w:rPr>
        <w:t xml:space="preserve">The </w:t>
      </w:r>
      <w:r w:rsidRPr="005F405B">
        <w:rPr>
          <w:i/>
        </w:rPr>
        <w:t>Derveni Papyrus</w:t>
      </w:r>
      <w:r w:rsidRPr="003F2DB1">
        <w:rPr>
          <w:i/>
        </w:rPr>
        <w:t>: Cosmology, Theology and Interpretation</w:t>
      </w:r>
      <w:r w:rsidRPr="003F2DB1">
        <w:t>, (Cambridge: Cambridge</w:t>
      </w:r>
      <w:r>
        <w:t xml:space="preserve"> University Press, 2004)</w:t>
      </w:r>
    </w:p>
  </w:footnote>
  <w:footnote w:id="127">
    <w:p w14:paraId="5945EFCF" w14:textId="77777777" w:rsidR="00613D59" w:rsidRDefault="00613D59" w:rsidP="00A97456">
      <w:pPr>
        <w:pStyle w:val="FootnoteText"/>
      </w:pPr>
      <w:r>
        <w:rPr>
          <w:rStyle w:val="FootnoteReference"/>
        </w:rPr>
        <w:footnoteRef/>
      </w:r>
      <w:r>
        <w:t xml:space="preserve"> Gabor Betegh,</w:t>
      </w:r>
      <w:r w:rsidRPr="00D32493">
        <w:t xml:space="preserve"> p</w:t>
      </w:r>
      <w:r>
        <w:t>. 111.</w:t>
      </w:r>
    </w:p>
  </w:footnote>
  <w:footnote w:id="128">
    <w:p w14:paraId="6B0DAC6B" w14:textId="77777777" w:rsidR="00613D59" w:rsidRDefault="00613D59" w:rsidP="00A97456">
      <w:pPr>
        <w:pStyle w:val="FootnoteText"/>
      </w:pPr>
      <w:r>
        <w:rPr>
          <w:rStyle w:val="FootnoteReference"/>
        </w:rPr>
        <w:footnoteRef/>
      </w:r>
      <w:r>
        <w:t xml:space="preserve"> </w:t>
      </w:r>
      <w:r w:rsidRPr="00D32493">
        <w:t xml:space="preserve">Gabor Betegh, </w:t>
      </w:r>
      <w:r>
        <w:t>p. 112.</w:t>
      </w:r>
    </w:p>
  </w:footnote>
  <w:footnote w:id="129">
    <w:p w14:paraId="069C6502" w14:textId="77777777" w:rsidR="00613D59" w:rsidRDefault="00613D59" w:rsidP="00A97456">
      <w:pPr>
        <w:pStyle w:val="FootnoteText"/>
      </w:pPr>
      <w:r>
        <w:rPr>
          <w:rStyle w:val="FootnoteReference"/>
        </w:rPr>
        <w:footnoteRef/>
      </w:r>
      <w:r>
        <w:t xml:space="preserve"> Gabor Betegh, pp. 119-120.</w:t>
      </w:r>
    </w:p>
  </w:footnote>
  <w:footnote w:id="130">
    <w:p w14:paraId="38DBB300" w14:textId="77777777" w:rsidR="00613D59" w:rsidRDefault="00613D59" w:rsidP="00A97456">
      <w:pPr>
        <w:pStyle w:val="FootnoteText"/>
      </w:pPr>
      <w:r>
        <w:rPr>
          <w:rStyle w:val="FootnoteReference"/>
        </w:rPr>
        <w:footnoteRef/>
      </w:r>
      <w:r>
        <w:t xml:space="preserve"> T. Kouremenos et al., p. 26.</w:t>
      </w:r>
    </w:p>
  </w:footnote>
  <w:footnote w:id="131">
    <w:p w14:paraId="5F6EE675" w14:textId="77777777" w:rsidR="00613D59" w:rsidRDefault="00613D59" w:rsidP="00A97456">
      <w:pPr>
        <w:pStyle w:val="FootnoteText"/>
      </w:pPr>
      <w:r>
        <w:rPr>
          <w:rStyle w:val="FootnoteReference"/>
        </w:rPr>
        <w:footnoteRef/>
      </w:r>
      <w:r>
        <w:t xml:space="preserve"> </w:t>
      </w:r>
      <w:r w:rsidRPr="008C063B">
        <w:t xml:space="preserve">G. S. Kirk, J. E. Raven and M. Scofield, </w:t>
      </w:r>
      <w:proofErr w:type="gramStart"/>
      <w:r w:rsidRPr="008C063B">
        <w:rPr>
          <w:i/>
        </w:rPr>
        <w:t>The</w:t>
      </w:r>
      <w:proofErr w:type="gramEnd"/>
      <w:r w:rsidRPr="008C063B">
        <w:rPr>
          <w:i/>
        </w:rPr>
        <w:t xml:space="preserve"> Presocratic Philosophers: A Critical History with a Selection of Texts</w:t>
      </w:r>
      <w:r w:rsidRPr="008C063B">
        <w:t>, (Cambridge: The University of Cambridge, 1957 and 1983)</w:t>
      </w:r>
      <w:r>
        <w:t xml:space="preserve"> p. 33.</w:t>
      </w:r>
    </w:p>
  </w:footnote>
  <w:footnote w:id="132">
    <w:p w14:paraId="3C8C0014" w14:textId="77777777" w:rsidR="00613D59" w:rsidRDefault="00613D59" w:rsidP="00A97456">
      <w:pPr>
        <w:pStyle w:val="FootnoteText"/>
      </w:pPr>
      <w:r>
        <w:rPr>
          <w:rStyle w:val="FootnoteReference"/>
        </w:rPr>
        <w:footnoteRef/>
      </w:r>
      <w:r>
        <w:t xml:space="preserve"> </w:t>
      </w:r>
      <w:r w:rsidRPr="00495462">
        <w:t>Gabor Betegh, p</w:t>
      </w:r>
      <w:r>
        <w:t>p. 119-120 and 131.</w:t>
      </w:r>
    </w:p>
  </w:footnote>
  <w:footnote w:id="133">
    <w:p w14:paraId="61EBD67B" w14:textId="77777777" w:rsidR="00613D59" w:rsidRDefault="00613D59" w:rsidP="00A97456">
      <w:pPr>
        <w:pStyle w:val="FootnoteText"/>
      </w:pPr>
      <w:r>
        <w:rPr>
          <w:rStyle w:val="FootnoteReference"/>
        </w:rPr>
        <w:footnoteRef/>
      </w:r>
      <w:r>
        <w:t xml:space="preserve"> T. Kouremenos et al., p. 27</w:t>
      </w:r>
      <w:r w:rsidRPr="00922136">
        <w:t>.</w:t>
      </w:r>
    </w:p>
  </w:footnote>
  <w:footnote w:id="134">
    <w:p w14:paraId="2F901702" w14:textId="77777777" w:rsidR="00613D59" w:rsidRDefault="00613D59" w:rsidP="00A97456">
      <w:pPr>
        <w:pStyle w:val="FootnoteText"/>
      </w:pPr>
      <w:r>
        <w:rPr>
          <w:rStyle w:val="FootnoteReference"/>
        </w:rPr>
        <w:footnoteRef/>
      </w:r>
      <w:r>
        <w:t xml:space="preserve"> </w:t>
      </w:r>
      <w:r w:rsidRPr="00AD4F9B">
        <w:t xml:space="preserve">A. </w:t>
      </w:r>
      <w:r>
        <w:t>Bernabé,</w:t>
      </w:r>
      <w:r w:rsidRPr="00AD4F9B">
        <w:t xml:space="preserve"> p.</w:t>
      </w:r>
      <w:r>
        <w:t xml:space="preserve"> 108.</w:t>
      </w:r>
    </w:p>
  </w:footnote>
  <w:footnote w:id="135">
    <w:p w14:paraId="45CF77E6" w14:textId="77777777" w:rsidR="00613D59" w:rsidRDefault="00613D59" w:rsidP="00A97456">
      <w:pPr>
        <w:pStyle w:val="FootnoteText"/>
      </w:pPr>
      <w:r>
        <w:rPr>
          <w:rStyle w:val="FootnoteReference"/>
        </w:rPr>
        <w:footnoteRef/>
      </w:r>
      <w:r>
        <w:t xml:space="preserve"> </w:t>
      </w:r>
      <w:r w:rsidRPr="0062175F">
        <w:t xml:space="preserve">L. Brisson, Sky, Sex and </w:t>
      </w:r>
      <w:r>
        <w:t xml:space="preserve">Sun. </w:t>
      </w:r>
      <w:r w:rsidRPr="0062175F">
        <w:t>19-29, p</w:t>
      </w:r>
      <w:r>
        <w:t>p</w:t>
      </w:r>
      <w:r w:rsidRPr="0062175F">
        <w:t>.</w:t>
      </w:r>
      <w:r>
        <w:t xml:space="preserve"> 24-25.</w:t>
      </w:r>
    </w:p>
  </w:footnote>
  <w:footnote w:id="136">
    <w:p w14:paraId="43379A08" w14:textId="77777777" w:rsidR="00613D59" w:rsidRDefault="00613D59" w:rsidP="00A97456">
      <w:pPr>
        <w:pStyle w:val="FootnoteText"/>
      </w:pPr>
      <w:r>
        <w:rPr>
          <w:rStyle w:val="FootnoteReference"/>
        </w:rPr>
        <w:footnoteRef/>
      </w:r>
      <w:r>
        <w:t xml:space="preserve"> </w:t>
      </w:r>
      <w:r w:rsidRPr="005133D0">
        <w:t xml:space="preserve">Hesiod, </w:t>
      </w:r>
      <w:r w:rsidRPr="005133D0">
        <w:rPr>
          <w:i/>
        </w:rPr>
        <w:t>The Theogony</w:t>
      </w:r>
      <w:r w:rsidRPr="005133D0">
        <w:t>, trans. Hugh Evelyn-White, http://www.sacred-texts.com/cla/hesiod/theogony.htm [accessed 14/4/2014]</w:t>
      </w:r>
    </w:p>
  </w:footnote>
  <w:footnote w:id="137">
    <w:p w14:paraId="471CF8D3" w14:textId="77777777" w:rsidR="00613D59" w:rsidRDefault="00613D59" w:rsidP="00A97456">
      <w:pPr>
        <w:pStyle w:val="FootnoteText"/>
      </w:pPr>
      <w:r>
        <w:rPr>
          <w:rStyle w:val="FootnoteReference"/>
        </w:rPr>
        <w:footnoteRef/>
      </w:r>
      <w:r>
        <w:t xml:space="preserve"> Hesiod, </w:t>
      </w:r>
      <w:r w:rsidRPr="003F1960">
        <w:rPr>
          <w:i/>
        </w:rPr>
        <w:t>The Theogony</w:t>
      </w:r>
      <w:r>
        <w:t xml:space="preserve">, part </w:t>
      </w:r>
      <w:r w:rsidRPr="003F1960">
        <w:t>11</w:t>
      </w:r>
      <w:r>
        <w:t>, 176-</w:t>
      </w:r>
      <w:r w:rsidRPr="003F1960">
        <w:t>206</w:t>
      </w:r>
      <w:r>
        <w:t>, [accessed 14/4/2014]</w:t>
      </w:r>
      <w:r w:rsidRPr="003F1960">
        <w:t>.</w:t>
      </w:r>
    </w:p>
  </w:footnote>
  <w:footnote w:id="138">
    <w:p w14:paraId="3D82A147" w14:textId="77777777" w:rsidR="00613D59" w:rsidRDefault="00613D59" w:rsidP="00A97456">
      <w:pPr>
        <w:pStyle w:val="FootnoteText"/>
      </w:pPr>
      <w:r>
        <w:rPr>
          <w:rStyle w:val="FootnoteReference"/>
        </w:rPr>
        <w:footnoteRef/>
      </w:r>
      <w:r>
        <w:t xml:space="preserve"> </w:t>
      </w:r>
      <w:r w:rsidRPr="003F1960">
        <w:t xml:space="preserve">Hesiod, </w:t>
      </w:r>
      <w:r w:rsidRPr="003F1960">
        <w:rPr>
          <w:i/>
        </w:rPr>
        <w:t>The Theogony</w:t>
      </w:r>
      <w:r w:rsidRPr="003F1960">
        <w:t>, part</w:t>
      </w:r>
      <w:r>
        <w:t xml:space="preserve"> 11, </w:t>
      </w:r>
      <w:r w:rsidRPr="003F1960">
        <w:t>492-596</w:t>
      </w:r>
      <w:r>
        <w:t>,</w:t>
      </w:r>
      <w:r w:rsidRPr="003F1960">
        <w:t xml:space="preserve"> [accessed 14/4/2014]</w:t>
      </w:r>
      <w:r>
        <w:t xml:space="preserve">. </w:t>
      </w:r>
    </w:p>
  </w:footnote>
  <w:footnote w:id="139">
    <w:p w14:paraId="5771E67A" w14:textId="77777777" w:rsidR="00613D59" w:rsidRDefault="00613D59" w:rsidP="00A97456">
      <w:pPr>
        <w:pStyle w:val="FootnoteText"/>
      </w:pPr>
      <w:r>
        <w:rPr>
          <w:rStyle w:val="FootnoteReference"/>
        </w:rPr>
        <w:footnoteRef/>
      </w:r>
      <w:r>
        <w:t xml:space="preserve"> G. S. Kirk, J. E. Raven and M. Scofield, p. 33.</w:t>
      </w:r>
    </w:p>
  </w:footnote>
  <w:footnote w:id="140">
    <w:p w14:paraId="47A3AD50" w14:textId="77777777" w:rsidR="00613D59" w:rsidRDefault="00613D59" w:rsidP="00A97456">
      <w:pPr>
        <w:pStyle w:val="FootnoteText"/>
      </w:pPr>
      <w:r>
        <w:rPr>
          <w:rStyle w:val="FootnoteReference"/>
        </w:rPr>
        <w:footnoteRef/>
      </w:r>
      <w:r>
        <w:t xml:space="preserve"> </w:t>
      </w:r>
      <w:r w:rsidRPr="00BE6545">
        <w:t>G. S. Kirk, J. E. Raven and M. Scofield, p</w:t>
      </w:r>
      <w:r>
        <w:t>. 58.</w:t>
      </w:r>
    </w:p>
  </w:footnote>
  <w:footnote w:id="141">
    <w:p w14:paraId="6D3CAB7A" w14:textId="77777777" w:rsidR="00613D59" w:rsidRDefault="00613D59" w:rsidP="00A97456">
      <w:pPr>
        <w:pStyle w:val="FootnoteText"/>
      </w:pPr>
      <w:r>
        <w:rPr>
          <w:rStyle w:val="FootnoteReference"/>
        </w:rPr>
        <w:footnoteRef/>
      </w:r>
      <w:r>
        <w:t xml:space="preserve"> Walter Burkert, p. 93.</w:t>
      </w:r>
    </w:p>
  </w:footnote>
  <w:footnote w:id="142">
    <w:p w14:paraId="4B8B6A38" w14:textId="77777777" w:rsidR="00613D59" w:rsidRDefault="00613D59" w:rsidP="00A97456">
      <w:pPr>
        <w:pStyle w:val="FootnoteText"/>
      </w:pPr>
      <w:r>
        <w:rPr>
          <w:rStyle w:val="FootnoteReference"/>
        </w:rPr>
        <w:footnoteRef/>
      </w:r>
      <w:r>
        <w:t xml:space="preserve"> Walter Burkert, p. 87-88.</w:t>
      </w:r>
    </w:p>
  </w:footnote>
  <w:footnote w:id="143">
    <w:p w14:paraId="3E76CCC5" w14:textId="77777777" w:rsidR="00613D59" w:rsidRDefault="00613D59" w:rsidP="00A97456">
      <w:pPr>
        <w:pStyle w:val="FootnoteText"/>
      </w:pPr>
      <w:r>
        <w:rPr>
          <w:rStyle w:val="FootnoteReference"/>
        </w:rPr>
        <w:footnoteRef/>
      </w:r>
      <w:r>
        <w:t xml:space="preserve"> </w:t>
      </w:r>
      <w:r w:rsidRPr="00474D5D">
        <w:t>G. S. Kirk, J. E. Raven and M. Scofield, p</w:t>
      </w:r>
      <w:r>
        <w:t>. 58.</w:t>
      </w:r>
    </w:p>
  </w:footnote>
  <w:footnote w:id="144">
    <w:p w14:paraId="6E9A8704" w14:textId="77777777" w:rsidR="00613D59" w:rsidRDefault="00613D59" w:rsidP="00A97456">
      <w:pPr>
        <w:pStyle w:val="FootnoteText"/>
      </w:pPr>
      <w:r>
        <w:rPr>
          <w:rStyle w:val="FootnoteReference"/>
        </w:rPr>
        <w:footnoteRef/>
      </w:r>
      <w:r>
        <w:t xml:space="preserve"> A. Bernabé, Questions, </w:t>
      </w:r>
      <w:r w:rsidRPr="00EF1F1F">
        <w:t xml:space="preserve">99-133. </w:t>
      </w:r>
      <w:r>
        <w:t>(</w:t>
      </w:r>
      <w:r w:rsidRPr="00EF1F1F">
        <w:t>p.</w:t>
      </w:r>
      <w:r>
        <w:t xml:space="preserve"> 117, 119.)</w:t>
      </w:r>
    </w:p>
  </w:footnote>
  <w:footnote w:id="145">
    <w:p w14:paraId="393AA269" w14:textId="77777777" w:rsidR="00613D59" w:rsidRDefault="00613D59" w:rsidP="00A97456">
      <w:pPr>
        <w:pStyle w:val="FootnoteText"/>
      </w:pPr>
      <w:r>
        <w:rPr>
          <w:rStyle w:val="FootnoteReference"/>
        </w:rPr>
        <w:footnoteRef/>
      </w:r>
      <w:r>
        <w:t xml:space="preserve"> T. Kouremenos et al., p. 184.</w:t>
      </w:r>
    </w:p>
  </w:footnote>
  <w:footnote w:id="146">
    <w:p w14:paraId="197556A9" w14:textId="77777777" w:rsidR="00613D59" w:rsidRDefault="00613D59" w:rsidP="00A97456">
      <w:pPr>
        <w:pStyle w:val="FootnoteText"/>
      </w:pPr>
      <w:r>
        <w:rPr>
          <w:rStyle w:val="FootnoteReference"/>
        </w:rPr>
        <w:footnoteRef/>
      </w:r>
      <w:r>
        <w:t xml:space="preserve"> T. Kouremenos et al., pp. 184-85.</w:t>
      </w:r>
    </w:p>
  </w:footnote>
  <w:footnote w:id="147">
    <w:p w14:paraId="458A53EE" w14:textId="77777777" w:rsidR="00613D59" w:rsidRDefault="00613D59" w:rsidP="00A97456">
      <w:pPr>
        <w:pStyle w:val="FootnoteText"/>
      </w:pPr>
      <w:r>
        <w:rPr>
          <w:rStyle w:val="FootnoteReference"/>
        </w:rPr>
        <w:footnoteRef/>
      </w:r>
      <w:r>
        <w:t xml:space="preserve"> T. Kouremenos et al.</w:t>
      </w:r>
      <w:r w:rsidRPr="00C72D13">
        <w:t xml:space="preserve">, </w:t>
      </w:r>
      <w:r>
        <w:t>p. 186.</w:t>
      </w:r>
    </w:p>
  </w:footnote>
  <w:footnote w:id="148">
    <w:p w14:paraId="66C2B6B0" w14:textId="77777777" w:rsidR="00613D59" w:rsidRDefault="00613D59" w:rsidP="00A97456">
      <w:pPr>
        <w:pStyle w:val="FootnoteText"/>
      </w:pPr>
      <w:r>
        <w:rPr>
          <w:rStyle w:val="FootnoteReference"/>
        </w:rPr>
        <w:footnoteRef/>
      </w:r>
      <w:r>
        <w:t xml:space="preserve"> T. Kouremenos et al.</w:t>
      </w:r>
      <w:r w:rsidRPr="00885DA2">
        <w:t xml:space="preserve">, </w:t>
      </w:r>
      <w:r>
        <w:t>p. 185.</w:t>
      </w:r>
    </w:p>
  </w:footnote>
  <w:footnote w:id="149">
    <w:p w14:paraId="56E766FC" w14:textId="77777777" w:rsidR="00613D59" w:rsidRDefault="00613D59" w:rsidP="00A97456">
      <w:pPr>
        <w:pStyle w:val="FootnoteText"/>
      </w:pPr>
      <w:r>
        <w:rPr>
          <w:rStyle w:val="FootnoteReference"/>
        </w:rPr>
        <w:footnoteRef/>
      </w:r>
      <w:r>
        <w:t xml:space="preserve"> T. Kouremenos et al.,</w:t>
      </w:r>
      <w:r w:rsidRPr="0081557F">
        <w:t xml:space="preserve"> p.</w:t>
      </w:r>
      <w:r>
        <w:t xml:space="preserve"> 198.</w:t>
      </w:r>
    </w:p>
  </w:footnote>
  <w:footnote w:id="150">
    <w:p w14:paraId="0666C4B7" w14:textId="77777777" w:rsidR="00613D59" w:rsidRDefault="00613D59" w:rsidP="00A97456">
      <w:pPr>
        <w:pStyle w:val="FootnoteText"/>
      </w:pPr>
      <w:r>
        <w:rPr>
          <w:rStyle w:val="FootnoteReference"/>
        </w:rPr>
        <w:footnoteRef/>
      </w:r>
      <w:r>
        <w:t xml:space="preserve"> James A. Notopoulos, </w:t>
      </w:r>
      <w:proofErr w:type="gramStart"/>
      <w:r>
        <w:t>The</w:t>
      </w:r>
      <w:proofErr w:type="gramEnd"/>
      <w:r>
        <w:t xml:space="preserve"> Symbolism of the Sun and Light in the Republic of Plato. II, </w:t>
      </w:r>
      <w:r w:rsidRPr="00965738">
        <w:rPr>
          <w:i/>
        </w:rPr>
        <w:t>Classical Philology</w:t>
      </w:r>
      <w:r>
        <w:t>, Vol. 39, No. 4 (Oct., 1944), 223 – 240.</w:t>
      </w:r>
    </w:p>
  </w:footnote>
  <w:footnote w:id="151">
    <w:p w14:paraId="2F955AED" w14:textId="77777777" w:rsidR="00613D59" w:rsidRDefault="00613D59" w:rsidP="00A97456">
      <w:pPr>
        <w:pStyle w:val="FootnoteText"/>
      </w:pPr>
      <w:r>
        <w:rPr>
          <w:rStyle w:val="FootnoteReference"/>
        </w:rPr>
        <w:footnoteRef/>
      </w:r>
      <w:r>
        <w:t xml:space="preserve"> Plato, </w:t>
      </w:r>
      <w:r w:rsidRPr="00B46964">
        <w:rPr>
          <w:i/>
        </w:rPr>
        <w:t>Republic</w:t>
      </w:r>
      <w:r>
        <w:t>, 508.</w:t>
      </w:r>
    </w:p>
  </w:footnote>
  <w:footnote w:id="152">
    <w:p w14:paraId="0FCE03A7" w14:textId="77777777" w:rsidR="00613D59" w:rsidRDefault="00613D59" w:rsidP="00A97456">
      <w:pPr>
        <w:pStyle w:val="FootnoteText"/>
      </w:pPr>
      <w:r>
        <w:rPr>
          <w:rStyle w:val="FootnoteReference"/>
        </w:rPr>
        <w:footnoteRef/>
      </w:r>
      <w:r>
        <w:t xml:space="preserve"> </w:t>
      </w:r>
      <w:r w:rsidRPr="00B46964">
        <w:t>James A. N</w:t>
      </w:r>
      <w:r>
        <w:t xml:space="preserve">otopoulos, (p. 223.) </w:t>
      </w:r>
    </w:p>
  </w:footnote>
  <w:footnote w:id="153">
    <w:p w14:paraId="6D6ED111" w14:textId="77777777" w:rsidR="00613D59" w:rsidRDefault="00613D59" w:rsidP="00A97456">
      <w:pPr>
        <w:pStyle w:val="FootnoteText"/>
      </w:pPr>
      <w:r>
        <w:rPr>
          <w:rStyle w:val="FootnoteReference"/>
        </w:rPr>
        <w:footnoteRef/>
      </w:r>
      <w:r>
        <w:t xml:space="preserve"> James A. Notopoulos, (p. 223 + 240.) </w:t>
      </w:r>
    </w:p>
  </w:footnote>
  <w:footnote w:id="154">
    <w:p w14:paraId="4F576A3E" w14:textId="77777777" w:rsidR="00613D59" w:rsidRDefault="00613D59" w:rsidP="00A97456">
      <w:pPr>
        <w:pStyle w:val="FootnoteText"/>
      </w:pPr>
      <w:r>
        <w:rPr>
          <w:rStyle w:val="FootnoteReference"/>
        </w:rPr>
        <w:footnoteRef/>
      </w:r>
      <w:r>
        <w:t xml:space="preserve"> </w:t>
      </w:r>
      <w:r w:rsidRPr="001C2CA6">
        <w:t xml:space="preserve">Walter Burkert, p. </w:t>
      </w:r>
      <w:r>
        <w:t xml:space="preserve">87 – 88, </w:t>
      </w:r>
      <w:r w:rsidRPr="001C2CA6">
        <w:t>93.</w:t>
      </w:r>
    </w:p>
  </w:footnote>
  <w:footnote w:id="155">
    <w:p w14:paraId="6793AA1B" w14:textId="77777777" w:rsidR="00613D59" w:rsidRDefault="00613D59" w:rsidP="00A97456">
      <w:pPr>
        <w:pStyle w:val="FootnoteText"/>
      </w:pPr>
      <w:r>
        <w:rPr>
          <w:rStyle w:val="FootnoteReference"/>
        </w:rPr>
        <w:footnoteRef/>
      </w:r>
      <w:r>
        <w:t xml:space="preserve"> </w:t>
      </w:r>
      <w:r w:rsidRPr="00AB1DA4">
        <w:t xml:space="preserve">Plato, </w:t>
      </w:r>
      <w:r w:rsidRPr="00AB1DA4">
        <w:rPr>
          <w:i/>
        </w:rPr>
        <w:t>Republic</w:t>
      </w:r>
      <w:r w:rsidRPr="00AB1DA4">
        <w:t>, 508</w:t>
      </w:r>
      <w:r>
        <w:t>.</w:t>
      </w:r>
    </w:p>
  </w:footnote>
  <w:footnote w:id="156">
    <w:p w14:paraId="26F1C8FE" w14:textId="77777777" w:rsidR="00613D59" w:rsidRDefault="00613D59" w:rsidP="00A97456">
      <w:pPr>
        <w:pStyle w:val="FootnoteText"/>
      </w:pPr>
      <w:r>
        <w:rPr>
          <w:rStyle w:val="FootnoteReference"/>
        </w:rPr>
        <w:footnoteRef/>
      </w:r>
      <w:r>
        <w:t xml:space="preserve"> </w:t>
      </w:r>
      <w:r w:rsidRPr="00A20D04">
        <w:t>James Lesher,</w:t>
      </w:r>
      <w:r>
        <w:t xml:space="preserve"> p.4.; </w:t>
      </w:r>
      <w:r w:rsidRPr="001C2CA6">
        <w:t>T. Kouremenos et al., p.14.</w:t>
      </w:r>
    </w:p>
  </w:footnote>
  <w:footnote w:id="157">
    <w:p w14:paraId="24B8836E" w14:textId="77777777" w:rsidR="00613D59" w:rsidRDefault="00613D59" w:rsidP="00A97456">
      <w:pPr>
        <w:pStyle w:val="FootnoteText"/>
      </w:pPr>
      <w:r>
        <w:rPr>
          <w:rStyle w:val="FootnoteReference"/>
        </w:rPr>
        <w:footnoteRef/>
      </w:r>
      <w:r>
        <w:t xml:space="preserve"> Millard Meiss, 175-181, (p. 175). See also Leo Steinberg, 25-44.</w:t>
      </w:r>
    </w:p>
  </w:footnote>
  <w:footnote w:id="158">
    <w:p w14:paraId="5596CD8E" w14:textId="77777777" w:rsidR="00613D59" w:rsidRDefault="00613D59" w:rsidP="00A97456">
      <w:pPr>
        <w:pStyle w:val="FootnoteText"/>
      </w:pPr>
      <w:r>
        <w:rPr>
          <w:rStyle w:val="FootnoteReference"/>
        </w:rPr>
        <w:footnoteRef/>
      </w:r>
      <w:r>
        <w:t xml:space="preserve"> Leo Steinberg, 25-44 (p. 26).</w:t>
      </w:r>
    </w:p>
  </w:footnote>
  <w:footnote w:id="159">
    <w:p w14:paraId="15589C14" w14:textId="77777777" w:rsidR="00613D59" w:rsidRDefault="00613D59" w:rsidP="00A97456">
      <w:pPr>
        <w:pStyle w:val="FootnoteText"/>
      </w:pPr>
      <w:r>
        <w:rPr>
          <w:rStyle w:val="FootnoteReference"/>
        </w:rPr>
        <w:footnoteRef/>
      </w:r>
      <w:r>
        <w:t xml:space="preserve"> </w:t>
      </w:r>
      <w:r w:rsidRPr="00130373">
        <w:t>Millard Meiss,</w:t>
      </w:r>
      <w:r>
        <w:t xml:space="preserve"> </w:t>
      </w:r>
      <w:r w:rsidRPr="00130373">
        <w:t>175 – 181, (pp. 175 – 178)</w:t>
      </w:r>
      <w:r>
        <w:t xml:space="preserve">; </w:t>
      </w:r>
      <w:r w:rsidRPr="00075776">
        <w:t xml:space="preserve">Y. Hirn, </w:t>
      </w:r>
      <w:r w:rsidRPr="00094EF1">
        <w:rPr>
          <w:i/>
        </w:rPr>
        <w:t>The Sacred Shrine A Study of the Poetry and Art of the Catholic Church</w:t>
      </w:r>
      <w:r w:rsidRPr="00075776">
        <w:t xml:space="preserve">, (Boston: Beacon Press, 1957), </w:t>
      </w:r>
      <w:r>
        <w:t>pp. 342-344,</w:t>
      </w:r>
      <w:r w:rsidRPr="00075776">
        <w:t xml:space="preserve"> https://archive.org/stream/sacredshrineastu008402mbp#page/n307/mo</w:t>
      </w:r>
      <w:r>
        <w:t>de/2up/search/the+annunciation [accessed: 1st November 2013]</w:t>
      </w:r>
    </w:p>
  </w:footnote>
  <w:footnote w:id="160">
    <w:p w14:paraId="0368566E" w14:textId="77777777" w:rsidR="00613D59" w:rsidRDefault="00613D59" w:rsidP="00A97456">
      <w:pPr>
        <w:pStyle w:val="FootnoteText"/>
      </w:pPr>
      <w:r>
        <w:rPr>
          <w:rStyle w:val="FootnoteReference"/>
        </w:rPr>
        <w:footnoteRef/>
      </w:r>
      <w:r>
        <w:t xml:space="preserve"> Margaret Freeman,</w:t>
      </w:r>
      <w:r w:rsidRPr="00F36283">
        <w:t xml:space="preserve"> 130-139</w:t>
      </w:r>
      <w:r>
        <w:t xml:space="preserve"> (p. 133).</w:t>
      </w:r>
    </w:p>
  </w:footnote>
  <w:footnote w:id="161">
    <w:p w14:paraId="54C85F0D" w14:textId="77777777" w:rsidR="00613D59" w:rsidRDefault="00613D59" w:rsidP="00A97456">
      <w:pPr>
        <w:pStyle w:val="FootnoteText"/>
      </w:pPr>
      <w:r>
        <w:rPr>
          <w:rStyle w:val="FootnoteReference"/>
        </w:rPr>
        <w:footnoteRef/>
      </w:r>
      <w:r>
        <w:t xml:space="preserve"> Laura Jacobus, 93-107 (p. 104). </w:t>
      </w:r>
    </w:p>
  </w:footnote>
  <w:footnote w:id="162">
    <w:p w14:paraId="25F34C31" w14:textId="77777777" w:rsidR="00613D59" w:rsidRDefault="00613D59" w:rsidP="00A97456">
      <w:pPr>
        <w:pStyle w:val="FootnoteText"/>
      </w:pPr>
      <w:r>
        <w:rPr>
          <w:rStyle w:val="FootnoteReference"/>
        </w:rPr>
        <w:footnoteRef/>
      </w:r>
      <w:r>
        <w:t xml:space="preserve"> </w:t>
      </w:r>
      <w:r w:rsidRPr="00D1159D">
        <w:t xml:space="preserve">Irenaeus, </w:t>
      </w:r>
      <w:r w:rsidRPr="00A84D23">
        <w:rPr>
          <w:i/>
        </w:rPr>
        <w:t>Ante-Nicene Fathers Vol 1, The Apostolic Fathers with Justin Martyr and Irenaeus</w:t>
      </w:r>
      <w:r w:rsidRPr="00D1159D">
        <w:t>, ed. Alexander Roberts, James Donaldson and Arthur Cleveland Coxe, tr. M. Dods, chapters iii</w:t>
      </w:r>
      <w:r>
        <w:t xml:space="preserve"> - v</w:t>
      </w:r>
      <w:r w:rsidRPr="00D1159D">
        <w:t xml:space="preserve">, </w:t>
      </w:r>
      <w:r w:rsidRPr="0030537A">
        <w:t>http://www.ccel.org/ccel/schaff/anf01.viii.viii.iii.html</w:t>
      </w:r>
      <w:r w:rsidRPr="00D1159D">
        <w:t xml:space="preserve">  (accessed 21/4/2014)</w:t>
      </w:r>
    </w:p>
  </w:footnote>
  <w:footnote w:id="163">
    <w:p w14:paraId="01BEBECF" w14:textId="77777777" w:rsidR="00613D59" w:rsidRDefault="00613D59" w:rsidP="00A97456">
      <w:pPr>
        <w:pStyle w:val="FootnoteText"/>
      </w:pPr>
      <w:r>
        <w:rPr>
          <w:rStyle w:val="FootnoteReference"/>
        </w:rPr>
        <w:footnoteRef/>
      </w:r>
      <w:r>
        <w:t xml:space="preserve"> Irenaeus,</w:t>
      </w:r>
      <w:r w:rsidRPr="00A84D23">
        <w:rPr>
          <w:i/>
        </w:rPr>
        <w:t xml:space="preserve"> Ante-Nicene Fathers Vol 1</w:t>
      </w:r>
      <w:r>
        <w:t xml:space="preserve">, (accessed 21/4/2014) </w:t>
      </w:r>
    </w:p>
  </w:footnote>
  <w:footnote w:id="164">
    <w:p w14:paraId="0DAAB7DC" w14:textId="77777777" w:rsidR="00613D59" w:rsidRDefault="00613D59" w:rsidP="00A97456">
      <w:pPr>
        <w:pStyle w:val="FootnoteText"/>
      </w:pPr>
      <w:r>
        <w:rPr>
          <w:rStyle w:val="FootnoteReference"/>
        </w:rPr>
        <w:footnoteRef/>
      </w:r>
      <w:r>
        <w:t xml:space="preserve"> Harold Attridge, `Pollution, Sin, Atonement, Salvation`, in </w:t>
      </w:r>
      <w:r w:rsidRPr="00043F61">
        <w:rPr>
          <w:i/>
        </w:rPr>
        <w:t>Religions of the Ancient World</w:t>
      </w:r>
      <w:r w:rsidRPr="00043F61">
        <w:t xml:space="preserve">, ed. S. Johnston (Cambridge, MA, </w:t>
      </w:r>
      <w:proofErr w:type="gramStart"/>
      <w:r w:rsidRPr="00043F61">
        <w:t>The</w:t>
      </w:r>
      <w:proofErr w:type="gramEnd"/>
      <w:r w:rsidRPr="00043F61">
        <w:t xml:space="preserve"> Belknap Press of Harvard U</w:t>
      </w:r>
      <w:r>
        <w:t>niversity Press, 2004). p. 83.</w:t>
      </w:r>
    </w:p>
  </w:footnote>
  <w:footnote w:id="165">
    <w:p w14:paraId="695C304A" w14:textId="77777777" w:rsidR="00613D59" w:rsidRDefault="00613D59" w:rsidP="00A97456">
      <w:pPr>
        <w:pStyle w:val="FootnoteText"/>
      </w:pPr>
      <w:r>
        <w:rPr>
          <w:rStyle w:val="FootnoteReference"/>
        </w:rPr>
        <w:footnoteRef/>
      </w:r>
      <w:r>
        <w:t xml:space="preserve"> </w:t>
      </w:r>
      <w:r w:rsidRPr="00D74E4E">
        <w:t xml:space="preserve">M. Eliade, `Sexuality`, in </w:t>
      </w:r>
      <w:proofErr w:type="gramStart"/>
      <w:r w:rsidRPr="00D74E4E">
        <w:rPr>
          <w:i/>
        </w:rPr>
        <w:t>The</w:t>
      </w:r>
      <w:proofErr w:type="gramEnd"/>
      <w:r w:rsidRPr="00D74E4E">
        <w:rPr>
          <w:i/>
        </w:rPr>
        <w:t xml:space="preserve"> Encyclopaedia of Religion</w:t>
      </w:r>
      <w:r w:rsidRPr="00D74E4E">
        <w:t>, Vol 13, (New York: Macmillan Publis</w:t>
      </w:r>
      <w:r>
        <w:t>hing Co. 1987) 184-188. pp. 186-187.</w:t>
      </w:r>
    </w:p>
  </w:footnote>
  <w:footnote w:id="166">
    <w:p w14:paraId="10B56EA9" w14:textId="77777777" w:rsidR="00613D59" w:rsidRDefault="00613D59" w:rsidP="00A97456">
      <w:pPr>
        <w:pStyle w:val="FootnoteText"/>
      </w:pPr>
      <w:r>
        <w:rPr>
          <w:rStyle w:val="FootnoteReference"/>
        </w:rPr>
        <w:footnoteRef/>
      </w:r>
      <w:r>
        <w:t xml:space="preserve"> </w:t>
      </w:r>
      <w:r w:rsidRPr="00367EA0">
        <w:t>Millard Meiss,</w:t>
      </w:r>
      <w:r>
        <w:t xml:space="preserve"> 175-</w:t>
      </w:r>
      <w:r w:rsidRPr="00367EA0">
        <w:t xml:space="preserve">181, </w:t>
      </w:r>
      <w:r>
        <w:t>(</w:t>
      </w:r>
      <w:r w:rsidRPr="00367EA0">
        <w:t>p</w:t>
      </w:r>
      <w:r>
        <w:t>p</w:t>
      </w:r>
      <w:r w:rsidRPr="00367EA0">
        <w:t>. 175</w:t>
      </w:r>
      <w:r>
        <w:t>-178)</w:t>
      </w:r>
    </w:p>
  </w:footnote>
  <w:footnote w:id="167">
    <w:p w14:paraId="1B6312D4" w14:textId="77777777" w:rsidR="00613D59" w:rsidRPr="000D0DC2" w:rsidRDefault="00613D59" w:rsidP="00A97456">
      <w:pPr>
        <w:pStyle w:val="FootnoteText"/>
        <w:rPr>
          <w:lang w:val="en-US"/>
        </w:rPr>
      </w:pPr>
      <w:r>
        <w:rPr>
          <w:rStyle w:val="FootnoteReference"/>
        </w:rPr>
        <w:footnoteRef/>
      </w:r>
      <w:r>
        <w:t xml:space="preserve"> </w:t>
      </w:r>
      <w:r w:rsidRPr="000D0DC2">
        <w:t xml:space="preserve">Revelationes Sanctae Birgittae, </w:t>
      </w:r>
      <w:r w:rsidRPr="000D0DC2">
        <w:rPr>
          <w:i/>
        </w:rPr>
        <w:t>Revelations</w:t>
      </w:r>
      <w:r w:rsidRPr="000D0DC2">
        <w:t xml:space="preserve"> </w:t>
      </w:r>
      <w:r w:rsidRPr="00894B69">
        <w:rPr>
          <w:i/>
        </w:rPr>
        <w:t>Rome, 1628</w:t>
      </w:r>
      <w:r>
        <w:t>,</w:t>
      </w:r>
      <w:r w:rsidRPr="000D0DC2">
        <w:t xml:space="preserve"> cited in </w:t>
      </w:r>
      <w:r w:rsidRPr="000D0DC2">
        <w:rPr>
          <w:lang w:val="en-US"/>
        </w:rPr>
        <w:t>Meiss,</w:t>
      </w:r>
    </w:p>
    <w:p w14:paraId="42D602CB" w14:textId="77777777" w:rsidR="00613D59" w:rsidRPr="00894B69" w:rsidRDefault="00613D59" w:rsidP="00A97456">
      <w:pPr>
        <w:pStyle w:val="FootnoteText"/>
        <w:rPr>
          <w:i/>
          <w:iCs/>
          <w:lang w:val="en-US"/>
        </w:rPr>
      </w:pPr>
      <w:r w:rsidRPr="000D0DC2">
        <w:rPr>
          <w:lang w:val="en-US"/>
        </w:rPr>
        <w:t xml:space="preserve">Millard. ‘Light as Form and Symbol in Some Fifteenth-Century Paintings.’ </w:t>
      </w:r>
      <w:r>
        <w:rPr>
          <w:i/>
          <w:iCs/>
          <w:lang w:val="en-US"/>
        </w:rPr>
        <w:t xml:space="preserve">The Art </w:t>
      </w:r>
      <w:r w:rsidRPr="000D0DC2">
        <w:rPr>
          <w:i/>
          <w:iCs/>
          <w:lang w:val="en-US"/>
        </w:rPr>
        <w:t xml:space="preserve">Bulletin </w:t>
      </w:r>
      <w:r>
        <w:rPr>
          <w:lang w:val="en-US"/>
        </w:rPr>
        <w:t>27, no. 3 (1945): 175-181 (p. 177).</w:t>
      </w:r>
    </w:p>
  </w:footnote>
  <w:footnote w:id="168">
    <w:p w14:paraId="2735ECEE" w14:textId="77777777" w:rsidR="00613D59" w:rsidRDefault="00613D59" w:rsidP="00A97456">
      <w:pPr>
        <w:pStyle w:val="FootnoteText"/>
      </w:pPr>
      <w:r>
        <w:rPr>
          <w:rStyle w:val="FootnoteReference"/>
        </w:rPr>
        <w:footnoteRef/>
      </w:r>
      <w:r>
        <w:t xml:space="preserve"> </w:t>
      </w:r>
      <w:r w:rsidRPr="005D7BB2">
        <w:t>Mill</w:t>
      </w:r>
      <w:r>
        <w:t>ard Meiss, 175-181, (p. 177).</w:t>
      </w:r>
    </w:p>
  </w:footnote>
  <w:footnote w:id="169">
    <w:p w14:paraId="5ACF2F5D" w14:textId="77777777" w:rsidR="00613D59" w:rsidRDefault="00613D59" w:rsidP="00A97456">
      <w:pPr>
        <w:pStyle w:val="FootnoteText"/>
      </w:pPr>
      <w:r>
        <w:rPr>
          <w:rStyle w:val="FootnoteReference"/>
        </w:rPr>
        <w:footnoteRef/>
      </w:r>
      <w:r>
        <w:t xml:space="preserve"> </w:t>
      </w:r>
      <w:r w:rsidRPr="001A0BAE">
        <w:t>Millard Meiss,</w:t>
      </w:r>
      <w:r>
        <w:t xml:space="preserve"> 175-181, (footnotes p. 177).</w:t>
      </w:r>
    </w:p>
  </w:footnote>
  <w:footnote w:id="170">
    <w:p w14:paraId="5958F8DF" w14:textId="77777777" w:rsidR="00613D59" w:rsidRDefault="00613D59" w:rsidP="00A97456">
      <w:pPr>
        <w:pStyle w:val="FootnoteText"/>
      </w:pPr>
      <w:r>
        <w:rPr>
          <w:rStyle w:val="FootnoteReference"/>
        </w:rPr>
        <w:footnoteRef/>
      </w:r>
      <w:r>
        <w:t xml:space="preserve"> </w:t>
      </w:r>
      <w:r w:rsidRPr="008D50EF">
        <w:t>Mircea Eliade, `Sp</w:t>
      </w:r>
      <w:r>
        <w:t>irit, Light and Seed`, 1-30, p. 2</w:t>
      </w:r>
      <w:r w:rsidRPr="008D50EF">
        <w:t>-3.</w:t>
      </w:r>
    </w:p>
  </w:footnote>
  <w:footnote w:id="171">
    <w:p w14:paraId="4550670A" w14:textId="77777777" w:rsidR="00613D59" w:rsidRDefault="00613D59" w:rsidP="00A97456">
      <w:pPr>
        <w:pStyle w:val="FootnoteText"/>
      </w:pPr>
      <w:r>
        <w:rPr>
          <w:rStyle w:val="FootnoteReference"/>
        </w:rPr>
        <w:footnoteRef/>
      </w:r>
      <w:r>
        <w:t xml:space="preserve"> </w:t>
      </w:r>
      <w:r w:rsidRPr="00DC7D46">
        <w:t>Mircea El</w:t>
      </w:r>
      <w:r>
        <w:t>iade, `Spirit, Light and Seed`, 1-</w:t>
      </w:r>
      <w:r w:rsidRPr="00DC7D46">
        <w:t xml:space="preserve">30, p. </w:t>
      </w:r>
      <w:r>
        <w:t>1-3.</w:t>
      </w:r>
    </w:p>
  </w:footnote>
  <w:footnote w:id="172">
    <w:p w14:paraId="388DD748" w14:textId="77777777" w:rsidR="00613D59" w:rsidRDefault="00613D59" w:rsidP="00A97456">
      <w:pPr>
        <w:pStyle w:val="FootnoteText"/>
      </w:pPr>
      <w:r>
        <w:rPr>
          <w:rStyle w:val="FootnoteReference"/>
        </w:rPr>
        <w:footnoteRef/>
      </w:r>
      <w:r>
        <w:t xml:space="preserve"> </w:t>
      </w:r>
      <w:r w:rsidRPr="00C213F9">
        <w:t xml:space="preserve">Mircea Eliade, `Spirit, Light </w:t>
      </w:r>
      <w:r>
        <w:t>and Seed`, 1-</w:t>
      </w:r>
      <w:r w:rsidRPr="00C213F9">
        <w:t>30, p. 3.</w:t>
      </w:r>
    </w:p>
  </w:footnote>
  <w:footnote w:id="173">
    <w:p w14:paraId="3488A72B" w14:textId="77777777" w:rsidR="00613D59" w:rsidRDefault="00613D59" w:rsidP="00A97456">
      <w:pPr>
        <w:pStyle w:val="FootnoteText"/>
      </w:pPr>
      <w:r>
        <w:rPr>
          <w:rStyle w:val="FootnoteReference"/>
        </w:rPr>
        <w:footnoteRef/>
      </w:r>
      <w:r>
        <w:t xml:space="preserve"> Millard Meiss, 175-</w:t>
      </w:r>
      <w:r w:rsidRPr="00642796">
        <w:t xml:space="preserve">181, </w:t>
      </w:r>
      <w:r>
        <w:t>(</w:t>
      </w:r>
      <w:r w:rsidRPr="00642796">
        <w:t>p. 175</w:t>
      </w:r>
      <w:r>
        <w:t>)</w:t>
      </w:r>
      <w:r w:rsidRPr="00642796">
        <w:t>.</w:t>
      </w:r>
    </w:p>
  </w:footnote>
  <w:footnote w:id="174">
    <w:p w14:paraId="7981F76E" w14:textId="77777777" w:rsidR="00613D59" w:rsidRDefault="00613D59" w:rsidP="00A97456">
      <w:pPr>
        <w:pStyle w:val="FootnoteText"/>
      </w:pPr>
      <w:r>
        <w:rPr>
          <w:rStyle w:val="FootnoteReference"/>
        </w:rPr>
        <w:footnoteRef/>
      </w:r>
      <w:r>
        <w:t xml:space="preserve"> </w:t>
      </w:r>
      <w:r w:rsidRPr="00EB5EFE">
        <w:t>M. Eliade, `Spirit, Light and Seed`</w:t>
      </w:r>
      <w:r>
        <w:t>, p. 6.</w:t>
      </w:r>
    </w:p>
  </w:footnote>
  <w:footnote w:id="175">
    <w:p w14:paraId="09FE3CDD" w14:textId="77777777" w:rsidR="00613D59" w:rsidRDefault="00613D59" w:rsidP="00A97456">
      <w:pPr>
        <w:pStyle w:val="FootnoteText"/>
      </w:pPr>
      <w:r>
        <w:rPr>
          <w:rStyle w:val="FootnoteReference"/>
        </w:rPr>
        <w:footnoteRef/>
      </w:r>
      <w:r>
        <w:t xml:space="preserve"> Origen, `On First Principles`, 1.1.6 in</w:t>
      </w:r>
      <w:r w:rsidRPr="00B53662">
        <w:rPr>
          <w:i/>
        </w:rPr>
        <w:t xml:space="preserve"> Ante Nicene Fathers Vol 4</w:t>
      </w:r>
      <w:r>
        <w:t xml:space="preserve">, ed. Philip Schaff, (1885) 1-1679. </w:t>
      </w:r>
      <w:r w:rsidRPr="00B53662">
        <w:t>http://www.ccel.org/ccel/schaff/anf04.pdf</w:t>
      </w:r>
      <w:r>
        <w:t xml:space="preserve"> [accessed 10/5/2014]</w:t>
      </w:r>
    </w:p>
  </w:footnote>
  <w:footnote w:id="176">
    <w:p w14:paraId="79718E2C" w14:textId="77777777" w:rsidR="00613D59" w:rsidRDefault="00613D59" w:rsidP="00A97456">
      <w:pPr>
        <w:pStyle w:val="FootnoteText"/>
      </w:pPr>
      <w:r>
        <w:rPr>
          <w:rStyle w:val="FootnoteReference"/>
        </w:rPr>
        <w:footnoteRef/>
      </w:r>
      <w:r>
        <w:t xml:space="preserve"> Origen, On First Principles, 1.2.6 </w:t>
      </w:r>
    </w:p>
  </w:footnote>
  <w:footnote w:id="177">
    <w:p w14:paraId="14682E6A" w14:textId="77777777" w:rsidR="00613D59" w:rsidRDefault="00613D59" w:rsidP="00A97456">
      <w:pPr>
        <w:pStyle w:val="FootnoteText"/>
      </w:pPr>
      <w:r>
        <w:rPr>
          <w:rStyle w:val="FootnoteReference"/>
        </w:rPr>
        <w:footnoteRef/>
      </w:r>
      <w:r>
        <w:t xml:space="preserve"> </w:t>
      </w:r>
      <w:r w:rsidRPr="002A2306">
        <w:t>O</w:t>
      </w:r>
      <w:r>
        <w:t>rigen, On First Principles, 1.2.7</w:t>
      </w:r>
    </w:p>
  </w:footnote>
  <w:footnote w:id="178">
    <w:p w14:paraId="7BC958DE" w14:textId="77777777" w:rsidR="00613D59" w:rsidRDefault="00613D59" w:rsidP="00A97456">
      <w:pPr>
        <w:pStyle w:val="FootnoteText"/>
      </w:pPr>
      <w:r>
        <w:rPr>
          <w:rStyle w:val="FootnoteReference"/>
        </w:rPr>
        <w:footnoteRef/>
      </w:r>
      <w:r>
        <w:t xml:space="preserve"> Margaret B. Freeman, </w:t>
      </w:r>
      <w:r w:rsidRPr="001867FE">
        <w:t>130-139 (p.133).</w:t>
      </w:r>
    </w:p>
  </w:footnote>
  <w:footnote w:id="179">
    <w:p w14:paraId="76633DF9" w14:textId="77777777" w:rsidR="00613D59" w:rsidRDefault="00613D59" w:rsidP="00A97456">
      <w:pPr>
        <w:pStyle w:val="FootnoteText"/>
      </w:pPr>
      <w:r>
        <w:rPr>
          <w:rStyle w:val="FootnoteReference"/>
        </w:rPr>
        <w:footnoteRef/>
      </w:r>
      <w:r>
        <w:t xml:space="preserve"> </w:t>
      </w:r>
      <w:r w:rsidRPr="00903E29">
        <w:t>Margare</w:t>
      </w:r>
      <w:r>
        <w:t xml:space="preserve">t B. Freeman, </w:t>
      </w:r>
      <w:r w:rsidRPr="00903E29">
        <w:t>130-139 (p.133).</w:t>
      </w:r>
    </w:p>
  </w:footnote>
  <w:footnote w:id="180">
    <w:p w14:paraId="584D6713" w14:textId="77777777" w:rsidR="00613D59" w:rsidRDefault="00613D59" w:rsidP="00A97456">
      <w:pPr>
        <w:pStyle w:val="FootnoteText"/>
      </w:pPr>
      <w:r>
        <w:rPr>
          <w:rStyle w:val="FootnoteReference"/>
        </w:rPr>
        <w:footnoteRef/>
      </w:r>
      <w:r>
        <w:t xml:space="preserve"> Margaret B. Freeman, </w:t>
      </w:r>
      <w:r w:rsidRPr="00903E29">
        <w:t>130-139 (p.133).</w:t>
      </w:r>
    </w:p>
  </w:footnote>
  <w:footnote w:id="181">
    <w:p w14:paraId="2C783A37" w14:textId="77777777" w:rsidR="00613D59" w:rsidRDefault="00613D59" w:rsidP="00A97456">
      <w:pPr>
        <w:pStyle w:val="FootnoteText"/>
      </w:pPr>
      <w:r>
        <w:rPr>
          <w:rStyle w:val="FootnoteReference"/>
        </w:rPr>
        <w:footnoteRef/>
      </w:r>
      <w:r>
        <w:t xml:space="preserve"> Margaret B. Freeman, </w:t>
      </w:r>
      <w:r w:rsidRPr="00903E29">
        <w:t>130-139 (p.133).</w:t>
      </w:r>
    </w:p>
  </w:footnote>
  <w:footnote w:id="182">
    <w:p w14:paraId="1B5E228E" w14:textId="77777777" w:rsidR="00613D59" w:rsidRDefault="00613D59" w:rsidP="00A97456">
      <w:pPr>
        <w:pStyle w:val="FootnoteText"/>
      </w:pPr>
      <w:r>
        <w:rPr>
          <w:rStyle w:val="FootnoteReference"/>
        </w:rPr>
        <w:footnoteRef/>
      </w:r>
      <w:r w:rsidRPr="00862A58">
        <w:t>King James Version, `The Ho</w:t>
      </w:r>
      <w:r>
        <w:t xml:space="preserve">ly Bible`, 1611 ed. John 8:12. </w:t>
      </w:r>
      <w:r w:rsidRPr="00862A58">
        <w:t>http://www.kingjamesbibleonline.org/1611_John-Chapter-8/</w:t>
      </w:r>
    </w:p>
  </w:footnote>
  <w:footnote w:id="183">
    <w:p w14:paraId="05605B82" w14:textId="77777777" w:rsidR="00613D59" w:rsidRDefault="00613D59" w:rsidP="00A97456">
      <w:pPr>
        <w:pStyle w:val="FootnoteText"/>
      </w:pPr>
      <w:r>
        <w:rPr>
          <w:rStyle w:val="FootnoteReference"/>
        </w:rPr>
        <w:footnoteRef/>
      </w:r>
      <w:r>
        <w:t xml:space="preserve"> </w:t>
      </w:r>
      <w:r w:rsidRPr="0086337B">
        <w:t>L</w:t>
      </w:r>
      <w:r>
        <w:t>aura Jacobus,</w:t>
      </w:r>
      <w:r w:rsidRPr="0086337B">
        <w:t xml:space="preserve"> 93-107</w:t>
      </w:r>
      <w:r>
        <w:t xml:space="preserve"> (p.93).</w:t>
      </w:r>
    </w:p>
  </w:footnote>
  <w:footnote w:id="184">
    <w:p w14:paraId="5CA34D5C" w14:textId="77777777" w:rsidR="00613D59" w:rsidRDefault="00613D59" w:rsidP="00A97456">
      <w:pPr>
        <w:pStyle w:val="FootnoteText"/>
      </w:pPr>
      <w:r>
        <w:rPr>
          <w:rStyle w:val="FootnoteReference"/>
        </w:rPr>
        <w:footnoteRef/>
      </w:r>
      <w:r>
        <w:t xml:space="preserve"> Laura Jacobus, </w:t>
      </w:r>
      <w:r w:rsidRPr="007E546F">
        <w:t>93-107</w:t>
      </w:r>
      <w:r>
        <w:t xml:space="preserve"> (pp.93-97).</w:t>
      </w:r>
    </w:p>
  </w:footnote>
  <w:footnote w:id="185">
    <w:p w14:paraId="7FDBB908" w14:textId="77777777" w:rsidR="00613D59" w:rsidRDefault="00613D59" w:rsidP="00A97456">
      <w:pPr>
        <w:pStyle w:val="FootnoteText"/>
      </w:pPr>
      <w:r>
        <w:rPr>
          <w:rStyle w:val="FootnoteReference"/>
        </w:rPr>
        <w:footnoteRef/>
      </w:r>
      <w:r>
        <w:t xml:space="preserve"> </w:t>
      </w:r>
      <w:r w:rsidRPr="002F45AA">
        <w:t>La</w:t>
      </w:r>
      <w:r>
        <w:t xml:space="preserve">ura Jacobus, </w:t>
      </w:r>
      <w:r w:rsidRPr="002F45AA">
        <w:t>93-107</w:t>
      </w:r>
      <w:r>
        <w:t xml:space="preserve"> (p. 104).</w:t>
      </w:r>
    </w:p>
  </w:footnote>
  <w:footnote w:id="186">
    <w:p w14:paraId="2B56565A" w14:textId="77777777" w:rsidR="00613D59" w:rsidRDefault="00613D59" w:rsidP="00A97456">
      <w:pPr>
        <w:pStyle w:val="FootnoteText"/>
      </w:pPr>
      <w:r>
        <w:rPr>
          <w:rStyle w:val="FootnoteReference"/>
        </w:rPr>
        <w:footnoteRef/>
      </w:r>
      <w:r>
        <w:t xml:space="preserve"> Laura Jacobus, </w:t>
      </w:r>
      <w:r w:rsidRPr="00D74738">
        <w:t>93-107 (p. 104).</w:t>
      </w:r>
    </w:p>
  </w:footnote>
  <w:footnote w:id="187">
    <w:p w14:paraId="2A3B8AA5" w14:textId="77777777" w:rsidR="00613D59" w:rsidRDefault="00613D59" w:rsidP="00A97456">
      <w:pPr>
        <w:pStyle w:val="FootnoteText"/>
      </w:pPr>
      <w:r>
        <w:rPr>
          <w:rStyle w:val="FootnoteReference"/>
        </w:rPr>
        <w:footnoteRef/>
      </w:r>
      <w:r>
        <w:t xml:space="preserve"> </w:t>
      </w:r>
      <w:r w:rsidRPr="00235CD4">
        <w:t>La</w:t>
      </w:r>
      <w:r>
        <w:t xml:space="preserve">ura Jacobus, </w:t>
      </w:r>
      <w:r w:rsidRPr="00235CD4">
        <w:t>93-107</w:t>
      </w:r>
      <w:r>
        <w:t xml:space="preserve"> (pp. 104-5).</w:t>
      </w:r>
    </w:p>
  </w:footnote>
  <w:footnote w:id="188">
    <w:p w14:paraId="4942AE83" w14:textId="77777777" w:rsidR="00613D59" w:rsidRDefault="00613D59" w:rsidP="00A97456">
      <w:pPr>
        <w:pStyle w:val="FootnoteText"/>
      </w:pPr>
      <w:r>
        <w:rPr>
          <w:rStyle w:val="FootnoteReference"/>
        </w:rPr>
        <w:footnoteRef/>
      </w:r>
      <w:r>
        <w:t xml:space="preserve"> Anne Derbes and Mark Sandona, `Barren Metal and the Fruitful Womb: The Program of Giotto's Arena Chapel in Padua`, </w:t>
      </w:r>
      <w:proofErr w:type="gramStart"/>
      <w:r w:rsidRPr="00953901">
        <w:rPr>
          <w:i/>
        </w:rPr>
        <w:t>The</w:t>
      </w:r>
      <w:proofErr w:type="gramEnd"/>
      <w:r w:rsidRPr="00953901">
        <w:rPr>
          <w:i/>
        </w:rPr>
        <w:t xml:space="preserve"> Art Bulletin</w:t>
      </w:r>
      <w:r>
        <w:t>, Vol. 80. No. 2 (June 1998), 274-91. p. 287.</w:t>
      </w:r>
    </w:p>
  </w:footnote>
  <w:footnote w:id="189">
    <w:p w14:paraId="1E2DB7E0" w14:textId="77777777" w:rsidR="00613D59" w:rsidRDefault="00613D59" w:rsidP="00A97456">
      <w:pPr>
        <w:pStyle w:val="FootnoteText"/>
      </w:pPr>
      <w:r>
        <w:rPr>
          <w:rStyle w:val="FootnoteReference"/>
        </w:rPr>
        <w:footnoteRef/>
      </w:r>
      <w:r>
        <w:t xml:space="preserve"> </w:t>
      </w:r>
      <w:r w:rsidRPr="00953901">
        <w:t>Anne Derbes and Mark Sandona</w:t>
      </w:r>
      <w:r>
        <w:t xml:space="preserve">, p. 287. </w:t>
      </w:r>
    </w:p>
  </w:footnote>
  <w:footnote w:id="190">
    <w:p w14:paraId="5AF3CF82" w14:textId="77777777" w:rsidR="00613D59" w:rsidRDefault="00613D59" w:rsidP="00A97456">
      <w:pPr>
        <w:pStyle w:val="FootnoteText"/>
      </w:pPr>
      <w:r>
        <w:rPr>
          <w:rStyle w:val="FootnoteReference"/>
        </w:rPr>
        <w:footnoteRef/>
      </w:r>
      <w:r>
        <w:t xml:space="preserve"> </w:t>
      </w:r>
      <w:r w:rsidRPr="00F87204">
        <w:t>King James Version, `The Ho</w:t>
      </w:r>
      <w:r>
        <w:t>ly Bible`, 1611 ed. Luke 1:31-35.</w:t>
      </w:r>
      <w:r w:rsidRPr="00F87204">
        <w:t xml:space="preserve"> http://www.kingjamesbibleonline.org/1611_Luke-Chapter-1/ </w:t>
      </w:r>
    </w:p>
  </w:footnote>
  <w:footnote w:id="191">
    <w:p w14:paraId="566CA4D6" w14:textId="77777777" w:rsidR="00613D59" w:rsidRDefault="00613D59" w:rsidP="00A97456">
      <w:pPr>
        <w:pStyle w:val="FootnoteText"/>
      </w:pPr>
      <w:r>
        <w:rPr>
          <w:rStyle w:val="FootnoteReference"/>
        </w:rPr>
        <w:footnoteRef/>
      </w:r>
      <w:r>
        <w:t xml:space="preserve"> </w:t>
      </w:r>
      <w:r w:rsidRPr="0069582C">
        <w:t>Leo St</w:t>
      </w:r>
      <w:r>
        <w:t>einberg, 25 – 44 (p. 25</w:t>
      </w:r>
      <w:r w:rsidRPr="0069582C">
        <w:t>).</w:t>
      </w:r>
    </w:p>
  </w:footnote>
  <w:footnote w:id="192">
    <w:p w14:paraId="20FC9430" w14:textId="77777777" w:rsidR="00613D59" w:rsidRDefault="00613D59" w:rsidP="00A97456">
      <w:pPr>
        <w:pStyle w:val="FootnoteText"/>
      </w:pPr>
      <w:r>
        <w:rPr>
          <w:rStyle w:val="FootnoteReference"/>
        </w:rPr>
        <w:footnoteRef/>
      </w:r>
      <w:r>
        <w:t xml:space="preserve"> </w:t>
      </w:r>
      <w:r w:rsidRPr="00C75A09">
        <w:t>Leo St</w:t>
      </w:r>
      <w:r>
        <w:t>einberg, 25 – 44 (p. 25</w:t>
      </w:r>
      <w:r w:rsidRPr="00C75A09">
        <w:t>).</w:t>
      </w:r>
    </w:p>
  </w:footnote>
  <w:footnote w:id="193">
    <w:p w14:paraId="14CDC53D" w14:textId="77777777" w:rsidR="00613D59" w:rsidRDefault="00613D59" w:rsidP="00A97456">
      <w:pPr>
        <w:pStyle w:val="FootnoteText"/>
      </w:pPr>
      <w:r>
        <w:rPr>
          <w:rStyle w:val="FootnoteReference"/>
        </w:rPr>
        <w:footnoteRef/>
      </w:r>
      <w:r>
        <w:t xml:space="preserve"> </w:t>
      </w:r>
      <w:r w:rsidRPr="006459E1">
        <w:t>Leo</w:t>
      </w:r>
      <w:r>
        <w:t xml:space="preserve"> Steinberg, 25 – 44 (p. 26</w:t>
      </w:r>
      <w:r w:rsidRPr="006459E1">
        <w:t>).</w:t>
      </w:r>
    </w:p>
  </w:footnote>
  <w:footnote w:id="194">
    <w:p w14:paraId="351479CC" w14:textId="77777777" w:rsidR="00613D59" w:rsidRDefault="00613D59" w:rsidP="00A97456">
      <w:pPr>
        <w:pStyle w:val="FootnoteText"/>
      </w:pPr>
      <w:r>
        <w:rPr>
          <w:rStyle w:val="FootnoteReference"/>
        </w:rPr>
        <w:footnoteRef/>
      </w:r>
      <w:r>
        <w:t xml:space="preserve"> </w:t>
      </w:r>
      <w:r w:rsidRPr="00007161">
        <w:t>Leo St</w:t>
      </w:r>
      <w:r>
        <w:t>einberg, 25 – 44 (p. 40</w:t>
      </w:r>
      <w:r w:rsidRPr="00007161">
        <w:t>).</w:t>
      </w:r>
    </w:p>
  </w:footnote>
  <w:footnote w:id="195">
    <w:p w14:paraId="6D914945" w14:textId="77777777" w:rsidR="00613D59" w:rsidRDefault="00613D59" w:rsidP="00A97456">
      <w:pPr>
        <w:pStyle w:val="FootnoteText"/>
      </w:pPr>
      <w:r>
        <w:rPr>
          <w:rStyle w:val="FootnoteReference"/>
        </w:rPr>
        <w:footnoteRef/>
      </w:r>
      <w:r>
        <w:t xml:space="preserve"> </w:t>
      </w:r>
      <w:r w:rsidRPr="00C50EA4">
        <w:t>Y</w:t>
      </w:r>
      <w:r>
        <w:t>rjo</w:t>
      </w:r>
      <w:r w:rsidRPr="00C50EA4">
        <w:t xml:space="preserve"> Hirn, </w:t>
      </w:r>
      <w:proofErr w:type="gramStart"/>
      <w:r w:rsidRPr="00C50EA4">
        <w:t>The</w:t>
      </w:r>
      <w:proofErr w:type="gramEnd"/>
      <w:r w:rsidRPr="00C50EA4">
        <w:t xml:space="preserve"> Sacred Shrine A Study of the Poetry and Art of the Catholic Church, (Boston: Beacon Press, 1957), </w:t>
      </w:r>
      <w:r>
        <w:t>p. 313-4.</w:t>
      </w:r>
      <w:r w:rsidRPr="00C50EA4">
        <w:t xml:space="preserve"> https://archive.org/stream/sacredshrineastu008402mbp#page/n307/mode/2up/search/the+annunciation (Accessed: 1st November 2013)</w:t>
      </w:r>
    </w:p>
  </w:footnote>
  <w:footnote w:id="196">
    <w:p w14:paraId="79B4C4D0" w14:textId="77777777" w:rsidR="00613D59" w:rsidRDefault="00613D59" w:rsidP="00A97456">
      <w:pPr>
        <w:pStyle w:val="FootnoteText"/>
      </w:pPr>
      <w:r>
        <w:rPr>
          <w:rStyle w:val="FootnoteReference"/>
        </w:rPr>
        <w:footnoteRef/>
      </w:r>
      <w:r>
        <w:t xml:space="preserve"> </w:t>
      </w:r>
      <w:r w:rsidRPr="00670576">
        <w:t xml:space="preserve">Saint John Chrysostom, `The Homilies on the Gospel of Saint Matthew`,  in </w:t>
      </w:r>
      <w:r w:rsidRPr="00894B69">
        <w:rPr>
          <w:i/>
        </w:rPr>
        <w:t>Nicine and Post Nicene Fathers of the Christian Church, Volume 10</w:t>
      </w:r>
      <w:r w:rsidRPr="00670576">
        <w:t xml:space="preserve">, ed. Philip Schaff, (Grand Rapids, MI: WM. B. Eerdmans </w:t>
      </w:r>
      <w:r>
        <w:t>Publishing Company, 1888), p. 57</w:t>
      </w:r>
      <w:r w:rsidRPr="00670576">
        <w:t xml:space="preserve">. Available at Christian Classics Ethereal Library http://www.one-fold.com/Resources/Chrysostom/npnf110.pdf </w:t>
      </w:r>
      <w:r>
        <w:t>[Accessed on 5th November 2013]</w:t>
      </w:r>
    </w:p>
  </w:footnote>
  <w:footnote w:id="197">
    <w:p w14:paraId="26EF5D5E" w14:textId="77777777" w:rsidR="00613D59" w:rsidRDefault="00613D59" w:rsidP="00A97456">
      <w:pPr>
        <w:pStyle w:val="FootnoteText"/>
      </w:pPr>
      <w:r>
        <w:rPr>
          <w:rStyle w:val="FootnoteReference"/>
        </w:rPr>
        <w:footnoteRef/>
      </w:r>
      <w:r>
        <w:t xml:space="preserve"> Yrjo</w:t>
      </w:r>
      <w:r w:rsidRPr="006A01E5">
        <w:t xml:space="preserve"> Hirn, The Sacred Shrine </w:t>
      </w:r>
      <w:r>
        <w:t xml:space="preserve">p.286. </w:t>
      </w:r>
    </w:p>
  </w:footnote>
  <w:footnote w:id="198">
    <w:p w14:paraId="47DDB817" w14:textId="77777777" w:rsidR="00613D59" w:rsidRDefault="00613D59" w:rsidP="00A97456">
      <w:pPr>
        <w:pStyle w:val="FootnoteText"/>
      </w:pPr>
      <w:r>
        <w:rPr>
          <w:rStyle w:val="FootnoteReference"/>
        </w:rPr>
        <w:footnoteRef/>
      </w:r>
      <w:r>
        <w:t xml:space="preserve"> Yrjo Hirn, </w:t>
      </w:r>
      <w:proofErr w:type="gramStart"/>
      <w:r>
        <w:t>The</w:t>
      </w:r>
      <w:proofErr w:type="gramEnd"/>
      <w:r>
        <w:t xml:space="preserve"> Sacred Shrine p. 292-3. </w:t>
      </w:r>
    </w:p>
  </w:footnote>
  <w:footnote w:id="199">
    <w:p w14:paraId="1FEC1523" w14:textId="77777777" w:rsidR="00613D59" w:rsidRDefault="00613D59" w:rsidP="00A97456">
      <w:pPr>
        <w:pStyle w:val="FootnoteText"/>
      </w:pPr>
      <w:r>
        <w:rPr>
          <w:rStyle w:val="FootnoteReference"/>
        </w:rPr>
        <w:footnoteRef/>
      </w:r>
      <w:r>
        <w:t xml:space="preserve"> </w:t>
      </w:r>
      <w:r w:rsidRPr="00CE276E">
        <w:t xml:space="preserve">Yrjo Hirn, </w:t>
      </w:r>
      <w:proofErr w:type="gramStart"/>
      <w:r w:rsidRPr="00CE276E">
        <w:t>The</w:t>
      </w:r>
      <w:proofErr w:type="gramEnd"/>
      <w:r w:rsidRPr="00CE276E">
        <w:t xml:space="preserve"> Sa</w:t>
      </w:r>
      <w:r>
        <w:t xml:space="preserve">cred Shrine p. 305. </w:t>
      </w:r>
    </w:p>
  </w:footnote>
  <w:footnote w:id="200">
    <w:p w14:paraId="3EF39DD5" w14:textId="77777777" w:rsidR="00613D59" w:rsidRDefault="00613D59" w:rsidP="00A97456">
      <w:pPr>
        <w:pStyle w:val="FootnoteText"/>
      </w:pPr>
      <w:r>
        <w:rPr>
          <w:rStyle w:val="FootnoteReference"/>
        </w:rPr>
        <w:footnoteRef/>
      </w:r>
      <w:r>
        <w:t xml:space="preserve"> </w:t>
      </w:r>
      <w:r w:rsidRPr="001A60D1">
        <w:t xml:space="preserve">Yrjo Hirn, </w:t>
      </w:r>
      <w:proofErr w:type="gramStart"/>
      <w:r w:rsidRPr="001A60D1">
        <w:t>The</w:t>
      </w:r>
      <w:proofErr w:type="gramEnd"/>
      <w:r w:rsidRPr="001A60D1">
        <w:t xml:space="preserve"> Sa</w:t>
      </w:r>
      <w:r>
        <w:t xml:space="preserve">cred Shrine p. 342. </w:t>
      </w:r>
    </w:p>
  </w:footnote>
  <w:footnote w:id="201">
    <w:p w14:paraId="22FABE1C" w14:textId="77777777" w:rsidR="00613D59" w:rsidRDefault="00613D59" w:rsidP="00A97456">
      <w:pPr>
        <w:pStyle w:val="FootnoteText"/>
      </w:pPr>
      <w:r>
        <w:rPr>
          <w:rStyle w:val="FootnoteReference"/>
        </w:rPr>
        <w:footnoteRef/>
      </w:r>
      <w:r>
        <w:t xml:space="preserve"> </w:t>
      </w:r>
      <w:r w:rsidRPr="005B5560">
        <w:t xml:space="preserve">Roger O’Callaghan, “Recent Excavations underneath the Vatican Crypts,” </w:t>
      </w:r>
      <w:r w:rsidRPr="005B5560">
        <w:rPr>
          <w:i/>
        </w:rPr>
        <w:t>The Biblical Archaeologist</w:t>
      </w:r>
      <w:r w:rsidRPr="005B5560">
        <w:t xml:space="preserve"> Vol </w:t>
      </w:r>
      <w:proofErr w:type="gramStart"/>
      <w:r w:rsidRPr="005B5560">
        <w:t>12  No</w:t>
      </w:r>
      <w:proofErr w:type="gramEnd"/>
      <w:r w:rsidRPr="005B5560">
        <w:t xml:space="preserve"> 1 (F</w:t>
      </w:r>
      <w:r>
        <w:t>eb 1949)</w:t>
      </w:r>
      <w:r w:rsidRPr="005B5560">
        <w:t xml:space="preserve"> p. 2-3. </w:t>
      </w:r>
    </w:p>
  </w:footnote>
  <w:footnote w:id="202">
    <w:p w14:paraId="085C07D3" w14:textId="77777777" w:rsidR="00613D59" w:rsidRDefault="00613D59" w:rsidP="00A97456">
      <w:pPr>
        <w:pStyle w:val="FootnoteText"/>
      </w:pPr>
      <w:r>
        <w:rPr>
          <w:rStyle w:val="FootnoteReference"/>
        </w:rPr>
        <w:footnoteRef/>
      </w:r>
      <w:r>
        <w:t xml:space="preserve"> </w:t>
      </w:r>
      <w:r w:rsidRPr="005B5560">
        <w:t>Roger O</w:t>
      </w:r>
      <w:r>
        <w:t xml:space="preserve">’Callaghan, </w:t>
      </w:r>
      <w:r w:rsidRPr="005B5560">
        <w:t xml:space="preserve">p. 2-3. </w:t>
      </w:r>
      <w:r>
        <w:t xml:space="preserve"> </w:t>
      </w:r>
    </w:p>
  </w:footnote>
  <w:footnote w:id="203">
    <w:p w14:paraId="4DA4E059" w14:textId="77777777" w:rsidR="00613D59" w:rsidRDefault="00613D59" w:rsidP="00A97456">
      <w:pPr>
        <w:pStyle w:val="FootnoteText"/>
      </w:pPr>
      <w:r>
        <w:rPr>
          <w:rStyle w:val="FootnoteReference"/>
        </w:rPr>
        <w:footnoteRef/>
      </w:r>
      <w:r>
        <w:t xml:space="preserve"> </w:t>
      </w:r>
      <w:r w:rsidRPr="00FA7958">
        <w:t>E. Kirschbaum</w:t>
      </w:r>
      <w:r>
        <w:t xml:space="preserve">, </w:t>
      </w:r>
      <w:r w:rsidRPr="00FA7958">
        <w:rPr>
          <w:i/>
        </w:rPr>
        <w:t>The Tombs of St Peter and St Paul</w:t>
      </w:r>
      <w:r>
        <w:t xml:space="preserve">, tr. J. Murray, (London: Secker and Warburg, 1959) p. 40. </w:t>
      </w:r>
    </w:p>
  </w:footnote>
  <w:footnote w:id="204">
    <w:p w14:paraId="493FA719" w14:textId="77777777" w:rsidR="00613D59" w:rsidRDefault="00613D59" w:rsidP="00A97456">
      <w:pPr>
        <w:pStyle w:val="FootnoteText"/>
      </w:pPr>
      <w:r>
        <w:rPr>
          <w:rStyle w:val="FootnoteReference"/>
        </w:rPr>
        <w:footnoteRef/>
      </w:r>
      <w:r>
        <w:t xml:space="preserve"> Franz. J. Dolger, </w:t>
      </w:r>
      <w:r w:rsidRPr="00512AC4">
        <w:rPr>
          <w:i/>
        </w:rPr>
        <w:t>Sol Salutis. Gebet und Gesnag im Christlichen Altertum</w:t>
      </w:r>
      <w:r>
        <w:t xml:space="preserve"> in </w:t>
      </w:r>
      <w:r w:rsidRPr="00FA7958">
        <w:t>E. Kirschbaum</w:t>
      </w:r>
      <w:r>
        <w:t xml:space="preserve">, </w:t>
      </w:r>
      <w:r w:rsidRPr="00FA7958">
        <w:rPr>
          <w:i/>
        </w:rPr>
        <w:t>The Tombs of St Peter and St Paul</w:t>
      </w:r>
      <w:r>
        <w:t>, tr. J. Murray, (London: Secker and Warburg, 1959) p. 41.</w:t>
      </w:r>
    </w:p>
  </w:footnote>
  <w:footnote w:id="205">
    <w:p w14:paraId="29FA5216" w14:textId="77777777" w:rsidR="00613D59" w:rsidRDefault="00613D59" w:rsidP="00A97456">
      <w:pPr>
        <w:pStyle w:val="FootnoteText"/>
      </w:pPr>
      <w:r>
        <w:rPr>
          <w:rStyle w:val="FootnoteReference"/>
        </w:rPr>
        <w:footnoteRef/>
      </w:r>
      <w:r>
        <w:t xml:space="preserve"> Mircea Eliade, Spirit, Light and Seed, 1-30, p. 1.</w:t>
      </w:r>
    </w:p>
  </w:footnote>
  <w:footnote w:id="206">
    <w:p w14:paraId="032BCDF8" w14:textId="77777777" w:rsidR="00613D59" w:rsidRDefault="00613D59" w:rsidP="00A97456">
      <w:pPr>
        <w:pStyle w:val="FootnoteText"/>
      </w:pPr>
      <w:r>
        <w:rPr>
          <w:rStyle w:val="FootnoteReference"/>
        </w:rPr>
        <w:footnoteRef/>
      </w:r>
      <w:r>
        <w:t xml:space="preserve"> Mircea Eliade, Spirit, Light and Seed, 1-</w:t>
      </w:r>
      <w:r w:rsidRPr="0073500A">
        <w:t>30, p. 1</w:t>
      </w:r>
    </w:p>
  </w:footnote>
  <w:footnote w:id="207">
    <w:p w14:paraId="42894A82" w14:textId="77777777" w:rsidR="00613D59" w:rsidRDefault="00613D59" w:rsidP="00A97456">
      <w:pPr>
        <w:pStyle w:val="FootnoteText"/>
      </w:pPr>
      <w:r>
        <w:rPr>
          <w:rStyle w:val="FootnoteReference"/>
        </w:rPr>
        <w:footnoteRef/>
      </w:r>
      <w:r>
        <w:t xml:space="preserve"> </w:t>
      </w:r>
      <w:r w:rsidRPr="00670576">
        <w:t>Saint John Chrysostom, `The Homil</w:t>
      </w:r>
      <w:r>
        <w:t>ies …`, p. 57.</w:t>
      </w:r>
    </w:p>
  </w:footnote>
  <w:footnote w:id="208">
    <w:p w14:paraId="27FC2589" w14:textId="77777777" w:rsidR="00613D59" w:rsidRDefault="00613D59" w:rsidP="00A97456">
      <w:pPr>
        <w:pStyle w:val="FootnoteText"/>
      </w:pPr>
      <w:r>
        <w:rPr>
          <w:rStyle w:val="FootnoteReference"/>
        </w:rPr>
        <w:footnoteRef/>
      </w:r>
      <w:r>
        <w:t xml:space="preserve">  </w:t>
      </w:r>
      <w:r w:rsidRPr="001C2CA6">
        <w:t>T. Kouremenos et al.,</w:t>
      </w:r>
      <w:r>
        <w:t xml:space="preserve"> </w:t>
      </w:r>
      <w:proofErr w:type="gramStart"/>
      <w:r w:rsidRPr="00C61D30">
        <w:t>p.1</w:t>
      </w:r>
      <w:r>
        <w:t>4.;</w:t>
      </w:r>
      <w:proofErr w:type="gramEnd"/>
      <w:r>
        <w:t xml:space="preserve"> </w:t>
      </w:r>
      <w:r w:rsidRPr="005C4B9C">
        <w:t>James Lesher,</w:t>
      </w:r>
      <w:r>
        <w:t xml:space="preserve"> p. 4. </w:t>
      </w:r>
    </w:p>
  </w:footnote>
  <w:footnote w:id="209">
    <w:p w14:paraId="0F38CE1E" w14:textId="77777777" w:rsidR="00613D59" w:rsidRDefault="00613D59" w:rsidP="00A97456">
      <w:pPr>
        <w:pStyle w:val="FootnoteText"/>
      </w:pPr>
      <w:r>
        <w:rPr>
          <w:rStyle w:val="FootnoteReference"/>
        </w:rPr>
        <w:footnoteRef/>
      </w:r>
      <w:r>
        <w:t xml:space="preserve"> </w:t>
      </w:r>
      <w:r w:rsidRPr="00103DEF">
        <w:t>Ihab Khalil,</w:t>
      </w:r>
      <w:r>
        <w:t xml:space="preserve"> 9-24.</w:t>
      </w:r>
    </w:p>
  </w:footnote>
  <w:footnote w:id="210">
    <w:p w14:paraId="1148041B" w14:textId="77777777" w:rsidR="00613D59" w:rsidRDefault="00613D59" w:rsidP="00A97456">
      <w:pPr>
        <w:pStyle w:val="FootnoteText"/>
      </w:pPr>
      <w:r>
        <w:rPr>
          <w:rStyle w:val="FootnoteReference"/>
        </w:rPr>
        <w:footnoteRef/>
      </w:r>
      <w:r>
        <w:t xml:space="preserve"> Ihab Khalil, 9-24 (p. 20). </w:t>
      </w:r>
    </w:p>
  </w:footnote>
  <w:footnote w:id="211">
    <w:p w14:paraId="12D243EC" w14:textId="77777777" w:rsidR="00613D59" w:rsidRDefault="00613D59" w:rsidP="00A97456">
      <w:pPr>
        <w:pStyle w:val="FootnoteText"/>
      </w:pPr>
      <w:r>
        <w:rPr>
          <w:rStyle w:val="FootnoteReference"/>
        </w:rPr>
        <w:footnoteRef/>
      </w:r>
      <w:r>
        <w:t xml:space="preserve"> George</w:t>
      </w:r>
      <w:r w:rsidRPr="006764E9">
        <w:t xml:space="preserve"> Hart, </w:t>
      </w:r>
      <w:proofErr w:type="gramStart"/>
      <w:r w:rsidRPr="006764E9">
        <w:rPr>
          <w:i/>
        </w:rPr>
        <w:t>A</w:t>
      </w:r>
      <w:proofErr w:type="gramEnd"/>
      <w:r w:rsidRPr="006764E9">
        <w:rPr>
          <w:i/>
        </w:rPr>
        <w:t xml:space="preserve"> Dictionary of Egyptian Gods and Goddesses</w:t>
      </w:r>
      <w:r>
        <w:t xml:space="preserve">, </w:t>
      </w:r>
      <w:r w:rsidRPr="006764E9">
        <w:t>p.</w:t>
      </w:r>
      <w:r>
        <w:t xml:space="preserve"> 179.</w:t>
      </w:r>
    </w:p>
  </w:footnote>
  <w:footnote w:id="212">
    <w:p w14:paraId="27846C7C" w14:textId="77777777" w:rsidR="00613D59" w:rsidRDefault="00613D59" w:rsidP="00A97456">
      <w:pPr>
        <w:pStyle w:val="FootnoteText"/>
      </w:pPr>
      <w:r>
        <w:rPr>
          <w:rStyle w:val="FootnoteReference"/>
        </w:rPr>
        <w:footnoteRef/>
      </w:r>
      <w:r w:rsidRPr="00452BEE">
        <w:t>Ani, `A Hymn To Ra</w:t>
      </w:r>
      <w:r>
        <w:t xml:space="preserve"> When He Rises in the East`; </w:t>
      </w:r>
      <w:r w:rsidRPr="009022E8">
        <w:t>Ani, `The Papyrus of Ani</w:t>
      </w:r>
      <w:r>
        <w:t xml:space="preserve">`; </w:t>
      </w:r>
      <w:r w:rsidRPr="009022E8">
        <w:t xml:space="preserve">G. Hart, </w:t>
      </w:r>
      <w:r w:rsidRPr="009022E8">
        <w:rPr>
          <w:i/>
        </w:rPr>
        <w:t>The Routledge Dictionary.</w:t>
      </w:r>
      <w:r w:rsidRPr="009022E8">
        <w:t xml:space="preserve"> p.</w:t>
      </w:r>
      <w:r>
        <w:t xml:space="preserve"> </w:t>
      </w:r>
      <w:r w:rsidRPr="009022E8">
        <w:t>5.</w:t>
      </w:r>
    </w:p>
  </w:footnote>
  <w:footnote w:id="213">
    <w:p w14:paraId="1E4289EB" w14:textId="77777777" w:rsidR="00613D59" w:rsidRDefault="00613D59" w:rsidP="00A97456">
      <w:pPr>
        <w:pStyle w:val="FootnoteText"/>
      </w:pPr>
      <w:r>
        <w:rPr>
          <w:rStyle w:val="FootnoteReference"/>
        </w:rPr>
        <w:footnoteRef/>
      </w:r>
      <w:r>
        <w:t xml:space="preserve"> </w:t>
      </w:r>
      <w:r w:rsidRPr="00103DEF">
        <w:t xml:space="preserve">Origen, </w:t>
      </w:r>
      <w:r>
        <w:t>`</w:t>
      </w:r>
      <w:r w:rsidRPr="00103DEF">
        <w:t>On First Principles</w:t>
      </w:r>
      <w:r>
        <w:t>`</w:t>
      </w:r>
      <w:r w:rsidRPr="00103DEF">
        <w:t>, 1.2.7</w:t>
      </w:r>
      <w:r>
        <w:t>.; Millard Meiss, 175-</w:t>
      </w:r>
      <w:r w:rsidRPr="00103DEF">
        <w:t>181, (footnotes p. 177)</w:t>
      </w:r>
    </w:p>
  </w:footnote>
  <w:footnote w:id="214">
    <w:p w14:paraId="79B1D109" w14:textId="77777777" w:rsidR="00613D59" w:rsidRDefault="00613D59" w:rsidP="00A97456">
      <w:pPr>
        <w:pStyle w:val="FootnoteText"/>
      </w:pPr>
      <w:r>
        <w:rPr>
          <w:rStyle w:val="FootnoteReference"/>
        </w:rPr>
        <w:footnoteRef/>
      </w:r>
      <w:r>
        <w:t xml:space="preserve"> </w:t>
      </w:r>
      <w:r w:rsidRPr="00CD3342">
        <w:t>Erik H</w:t>
      </w:r>
      <w:r>
        <w:t>ornung,</w:t>
      </w:r>
      <w:r w:rsidRPr="00CD3342">
        <w:t xml:space="preserve"> p. </w:t>
      </w:r>
      <w:r>
        <w:t>79.</w:t>
      </w:r>
    </w:p>
  </w:footnote>
  <w:footnote w:id="215">
    <w:p w14:paraId="35AD5037" w14:textId="77777777" w:rsidR="00613D59" w:rsidRPr="00BB0580" w:rsidRDefault="00613D59" w:rsidP="00A97456">
      <w:pPr>
        <w:pStyle w:val="FootnoteText"/>
      </w:pPr>
      <w:r>
        <w:rPr>
          <w:rStyle w:val="FootnoteReference"/>
        </w:rPr>
        <w:footnoteRef/>
      </w:r>
      <w:r>
        <w:t xml:space="preserve"> </w:t>
      </w:r>
      <w:r w:rsidRPr="004E4087">
        <w:t>Marc Orriols-Llonch, Sex and Cosmogony.</w:t>
      </w:r>
      <w:r>
        <w:t xml:space="preserve"> 31-42.; John C.</w:t>
      </w:r>
      <w:r w:rsidRPr="00BB0580">
        <w:t xml:space="preserve"> Darne</w:t>
      </w:r>
      <w:r>
        <w:t>ll, p</w:t>
      </w:r>
      <w:r w:rsidRPr="00BB0580">
        <w:t>.</w:t>
      </w:r>
      <w:r>
        <w:t xml:space="preserve"> </w:t>
      </w:r>
      <w:r w:rsidRPr="00BB0580">
        <w:t>452</w:t>
      </w:r>
      <w:r>
        <w:t>.</w:t>
      </w:r>
      <w:r w:rsidRPr="00BB0580">
        <w:t xml:space="preserve"> </w:t>
      </w:r>
    </w:p>
    <w:p w14:paraId="54EB10E4" w14:textId="77777777" w:rsidR="00613D59" w:rsidRDefault="00613D59" w:rsidP="00A97456">
      <w:pPr>
        <w:pStyle w:val="FootnoteText"/>
      </w:pPr>
    </w:p>
  </w:footnote>
  <w:footnote w:id="216">
    <w:p w14:paraId="58F3DC89" w14:textId="77777777" w:rsidR="00613D59" w:rsidRDefault="00613D59" w:rsidP="0032491F">
      <w:pPr>
        <w:pStyle w:val="FootnoteText"/>
      </w:pPr>
      <w:r>
        <w:rPr>
          <w:rStyle w:val="FootnoteReference"/>
        </w:rPr>
        <w:footnoteRef/>
      </w:r>
      <w:r w:rsidRPr="006857DD">
        <w:t xml:space="preserve">T. Kouremenos, G. Parassoglou, K. Tsantsanoglou, </w:t>
      </w:r>
      <w:r w:rsidRPr="006857DD">
        <w:rPr>
          <w:i/>
        </w:rPr>
        <w:t>The Derveni Papyrus</w:t>
      </w:r>
      <w:r>
        <w:t>, Florence: (Olschki, 2006) Col. XIII, XVI; C.</w:t>
      </w:r>
      <w:r w:rsidRPr="007160F0">
        <w:t xml:space="preserve"> Jung, </w:t>
      </w:r>
      <w:r w:rsidRPr="0095401D">
        <w:rPr>
          <w:i/>
        </w:rPr>
        <w:t>The Archetypes and the Collective Unconscious</w:t>
      </w:r>
      <w:r w:rsidRPr="007160F0">
        <w:t xml:space="preserve">, (Oxon: Routledge, 1991) ¶ 7  </w:t>
      </w:r>
    </w:p>
  </w:footnote>
  <w:footnote w:id="217">
    <w:p w14:paraId="1E604837" w14:textId="77777777" w:rsidR="00613D59" w:rsidRDefault="00613D59" w:rsidP="0032491F">
      <w:pPr>
        <w:pStyle w:val="FootnoteText"/>
      </w:pPr>
      <w:r>
        <w:rPr>
          <w:rStyle w:val="FootnoteReference"/>
        </w:rPr>
        <w:footnoteRef/>
      </w:r>
      <w:r>
        <w:t xml:space="preserve"> M. Meiss, `Light as Form and Symbol in Some Fifteenth-Century Paintings</w:t>
      </w:r>
      <w:proofErr w:type="gramStart"/>
      <w:r>
        <w:t>,`</w:t>
      </w:r>
      <w:proofErr w:type="gramEnd"/>
      <w:r w:rsidRPr="00094EF1">
        <w:rPr>
          <w:i/>
        </w:rPr>
        <w:t>The Art Bulletin</w:t>
      </w:r>
      <w:r>
        <w:t>, Vol. 27, No. 3: (Sept. 1945), 175 – 181, p. 175. See also L. Steinberg, `”How Shall This Be?”Reflections on Filippo Lippi’s Annunciation in London, Part 1</w:t>
      </w:r>
      <w:proofErr w:type="gramStart"/>
      <w:r>
        <w:t>.`</w:t>
      </w:r>
      <w:proofErr w:type="gramEnd"/>
      <w:r w:rsidRPr="00A3563B">
        <w:rPr>
          <w:i/>
        </w:rPr>
        <w:t>Artibus et Historiae</w:t>
      </w:r>
      <w:r>
        <w:t>, Vol. 8, No 16: (1987), 25 - 44.</w:t>
      </w:r>
    </w:p>
  </w:footnote>
  <w:footnote w:id="218">
    <w:p w14:paraId="6EBF34A7" w14:textId="77777777" w:rsidR="00613D59" w:rsidRDefault="00613D59" w:rsidP="0032491F">
      <w:pPr>
        <w:pStyle w:val="FootnoteText"/>
      </w:pPr>
      <w:r>
        <w:rPr>
          <w:rStyle w:val="FootnoteReference"/>
        </w:rPr>
        <w:footnoteRef/>
      </w:r>
      <w:r>
        <w:t>L.</w:t>
      </w:r>
      <w:r w:rsidRPr="00075776">
        <w:t xml:space="preserve">Jacobus, </w:t>
      </w:r>
      <w:r>
        <w:t>`</w:t>
      </w:r>
      <w:r w:rsidRPr="00075776">
        <w:t>Giotto’s Annunciation in the Arena Chapel, Padua</w:t>
      </w:r>
      <w:proofErr w:type="gramStart"/>
      <w:r w:rsidRPr="00075776">
        <w:t>,</w:t>
      </w:r>
      <w:r>
        <w:t>`</w:t>
      </w:r>
      <w:proofErr w:type="gramEnd"/>
      <w:r w:rsidRPr="00094EF1">
        <w:rPr>
          <w:i/>
        </w:rPr>
        <w:t>The Art Bulletin</w:t>
      </w:r>
      <w:r w:rsidRPr="00075776">
        <w:t>,</w:t>
      </w:r>
      <w:r>
        <w:t xml:space="preserve"> Vol. 81. No. 1: (Mar. 1999), 93-107 p. 104. </w:t>
      </w:r>
    </w:p>
  </w:footnote>
  <w:footnote w:id="219">
    <w:p w14:paraId="3853E03B" w14:textId="77777777" w:rsidR="00613D59" w:rsidRDefault="00613D59" w:rsidP="0032491F">
      <w:pPr>
        <w:pStyle w:val="FootnoteText"/>
      </w:pPr>
      <w:r>
        <w:rPr>
          <w:rStyle w:val="FootnoteReference"/>
        </w:rPr>
        <w:footnoteRef/>
      </w:r>
      <w:r w:rsidRPr="00075776">
        <w:t xml:space="preserve">Y. Hirn, </w:t>
      </w:r>
      <w:r w:rsidRPr="00094EF1">
        <w:rPr>
          <w:i/>
        </w:rPr>
        <w:t>The Sacred Shrine A Study of the Poetry and Art of the Catholic Church</w:t>
      </w:r>
      <w:r w:rsidRPr="00075776">
        <w:t xml:space="preserve">, (Boston: Beacon Press, 1957), </w:t>
      </w:r>
      <w:r>
        <w:t xml:space="preserve">pp. 342 – 344, </w:t>
      </w:r>
      <w:r w:rsidRPr="00075776">
        <w:t>available at https://archive.org/stream/sacredshrineastu008402mbp#page/n307/mo</w:t>
      </w:r>
      <w:r>
        <w:t>de/2up/search/the+annunciation [accessed: 1st November 2013]</w:t>
      </w:r>
    </w:p>
  </w:footnote>
  <w:footnote w:id="220">
    <w:p w14:paraId="04CE1120" w14:textId="77777777" w:rsidR="00613D59" w:rsidRDefault="00613D59" w:rsidP="0032491F">
      <w:pPr>
        <w:pStyle w:val="FootnoteText"/>
      </w:pPr>
      <w:r>
        <w:rPr>
          <w:rStyle w:val="FootnoteReference"/>
        </w:rPr>
        <w:footnoteRef/>
      </w:r>
      <w:r w:rsidRPr="00452BEE">
        <w:t xml:space="preserve">Ani, `A Hymn </w:t>
      </w:r>
      <w:proofErr w:type="gramStart"/>
      <w:r w:rsidRPr="00452BEE">
        <w:t>To</w:t>
      </w:r>
      <w:proofErr w:type="gramEnd"/>
      <w:r w:rsidRPr="00452BEE">
        <w:t xml:space="preserve"> Ra When He Rises in the East`, in </w:t>
      </w:r>
      <w:r w:rsidRPr="00452BEE">
        <w:rPr>
          <w:i/>
        </w:rPr>
        <w:t>Tutankhamen, Amenism and Egyptian Monotheism</w:t>
      </w:r>
      <w:r w:rsidRPr="00452BEE">
        <w:t>, E.A. Budge (N. Y. Dover Publications, 1991), p.13</w:t>
      </w:r>
      <w:r>
        <w:t>9.</w:t>
      </w:r>
    </w:p>
  </w:footnote>
  <w:footnote w:id="221">
    <w:p w14:paraId="7073BC5C" w14:textId="77777777" w:rsidR="00613D59" w:rsidRDefault="00613D59" w:rsidP="0032491F">
      <w:pPr>
        <w:pStyle w:val="FootnoteText"/>
      </w:pPr>
      <w:r>
        <w:rPr>
          <w:rStyle w:val="FootnoteReference"/>
        </w:rPr>
        <w:footnoteRef/>
      </w:r>
      <w:r>
        <w:t xml:space="preserve">Ani, `The Papyrus of Ani,` in </w:t>
      </w:r>
      <w:r w:rsidRPr="000B5452">
        <w:rPr>
          <w:i/>
        </w:rPr>
        <w:t>The Egyptian Book of the Dead, the Book of Going Forth by Day</w:t>
      </w:r>
      <w:r>
        <w:t>, trans. R. Faulkner (California: Chronicle Books LLC, 1998), plate 20.</w:t>
      </w:r>
    </w:p>
  </w:footnote>
  <w:footnote w:id="222">
    <w:p w14:paraId="230DF70E" w14:textId="77777777" w:rsidR="00613D59" w:rsidRDefault="00613D59" w:rsidP="0032491F">
      <w:pPr>
        <w:pStyle w:val="FootnoteText"/>
      </w:pPr>
      <w:r>
        <w:rPr>
          <w:rStyle w:val="FootnoteReference"/>
        </w:rPr>
        <w:footnoteRef/>
      </w:r>
      <w:r>
        <w:t xml:space="preserve">Brian Copenhaver, trans., “Corpus Hermeticum 1” in </w:t>
      </w:r>
      <w:r w:rsidRPr="009313C2">
        <w:rPr>
          <w:i/>
        </w:rPr>
        <w:t>Hermetica</w:t>
      </w:r>
      <w:proofErr w:type="gramStart"/>
      <w:r>
        <w:t>.(</w:t>
      </w:r>
      <w:proofErr w:type="gramEnd"/>
      <w:r>
        <w:t>Cambridge: Cambridge University Press, 1992), p.2.</w:t>
      </w:r>
    </w:p>
  </w:footnote>
  <w:footnote w:id="223">
    <w:p w14:paraId="69CBA1A2" w14:textId="77777777" w:rsidR="00613D59" w:rsidRDefault="00613D59" w:rsidP="0032491F">
      <w:pPr>
        <w:pStyle w:val="FootnoteText"/>
      </w:pPr>
      <w:r>
        <w:rPr>
          <w:rStyle w:val="FootnoteReference"/>
        </w:rPr>
        <w:footnoteRef/>
      </w:r>
      <w:r w:rsidRPr="00862A58">
        <w:t>King James Version, `The Ho</w:t>
      </w:r>
      <w:r>
        <w:t xml:space="preserve">ly Bible`, 1611 ed. John 8:12. </w:t>
      </w:r>
      <w:r w:rsidRPr="00862A58">
        <w:t>http://www.kingjamesbibleonline.org/1611_John-Chapter-8/</w:t>
      </w:r>
    </w:p>
  </w:footnote>
  <w:footnote w:id="224">
    <w:p w14:paraId="4404C3FB" w14:textId="77777777" w:rsidR="00613D59" w:rsidRPr="003D179B" w:rsidRDefault="00613D59" w:rsidP="0032491F">
      <w:pPr>
        <w:pStyle w:val="FootnoteText"/>
        <w:rPr>
          <w:lang w:val="nl-BE"/>
        </w:rPr>
      </w:pPr>
      <w:r>
        <w:rPr>
          <w:rStyle w:val="FootnoteReference"/>
        </w:rPr>
        <w:footnoteRef/>
      </w:r>
      <w:r w:rsidRPr="00177374">
        <w:t xml:space="preserve">J. Conman, Speculation on Special Sunlight and the ws3w Hour. </w:t>
      </w:r>
      <w:r w:rsidRPr="003D179B">
        <w:rPr>
          <w:lang w:val="nl-BE"/>
        </w:rPr>
        <w:t>Apuntes de Egiptologia, vol.3, (2007), [hereafter Conman] 1-11.</w:t>
      </w:r>
    </w:p>
  </w:footnote>
  <w:footnote w:id="225">
    <w:p w14:paraId="05DF3EE4" w14:textId="77777777" w:rsidR="00613D59" w:rsidRDefault="00613D59" w:rsidP="0032491F">
      <w:pPr>
        <w:pStyle w:val="FootnoteText"/>
      </w:pPr>
      <w:r>
        <w:rPr>
          <w:rStyle w:val="FootnoteReference"/>
        </w:rPr>
        <w:footnoteRef/>
      </w:r>
      <w:r>
        <w:t>Conman.</w:t>
      </w:r>
    </w:p>
  </w:footnote>
  <w:footnote w:id="226">
    <w:p w14:paraId="607C67F9" w14:textId="77777777" w:rsidR="00613D59" w:rsidRDefault="00613D59" w:rsidP="0032491F">
      <w:pPr>
        <w:pStyle w:val="FootnoteText"/>
      </w:pPr>
      <w:r>
        <w:rPr>
          <w:rStyle w:val="FootnoteReference"/>
        </w:rPr>
        <w:footnoteRef/>
      </w:r>
      <w:r w:rsidRPr="00F32FFC">
        <w:t xml:space="preserve">J. McKay, </w:t>
      </w:r>
      <w:r w:rsidRPr="00F32FFC">
        <w:rPr>
          <w:i/>
        </w:rPr>
        <w:t>Religion in Judah under the Assyrians</w:t>
      </w:r>
      <w:r w:rsidRPr="00F32FFC">
        <w:t xml:space="preserve">, </w:t>
      </w:r>
      <w:r>
        <w:t>(</w:t>
      </w:r>
      <w:r w:rsidRPr="00F32FFC">
        <w:t>London: SCM Press. 1973</w:t>
      </w:r>
      <w:r>
        <w:t>), 45 – 59.</w:t>
      </w:r>
    </w:p>
  </w:footnote>
  <w:footnote w:id="227">
    <w:p w14:paraId="1FADAFAC" w14:textId="77777777" w:rsidR="00613D59" w:rsidRDefault="00613D59" w:rsidP="0032491F">
      <w:pPr>
        <w:pStyle w:val="FootnoteText"/>
      </w:pPr>
      <w:r>
        <w:rPr>
          <w:rStyle w:val="FootnoteReference"/>
        </w:rPr>
        <w:footnoteRef/>
      </w:r>
      <w:r w:rsidRPr="00177374">
        <w:t>I. Watts, “`Time, Too, Grows on the Moon`: Some Evidence for Knight’s theory of a Human Universal”, ed. W. James and D. Mills in The Qualities of Time Anthropological Approaches, (Oxford: Berg 2005).</w:t>
      </w:r>
      <w:r>
        <w:t xml:space="preserve"> 95 – 118.</w:t>
      </w:r>
    </w:p>
  </w:footnote>
  <w:footnote w:id="228">
    <w:p w14:paraId="653928C2" w14:textId="77777777" w:rsidR="00613D59" w:rsidRDefault="00613D59" w:rsidP="0032491F">
      <w:pPr>
        <w:pStyle w:val="FootnoteText"/>
      </w:pPr>
      <w:r>
        <w:rPr>
          <w:rStyle w:val="FootnoteReference"/>
        </w:rPr>
        <w:footnoteRef/>
      </w:r>
      <w:r>
        <w:t xml:space="preserve"> </w:t>
      </w:r>
      <w:r w:rsidRPr="00F07EC2">
        <w:t xml:space="preserve">Carl Jung, </w:t>
      </w:r>
      <w:r w:rsidRPr="00F07EC2">
        <w:rPr>
          <w:i/>
        </w:rPr>
        <w:t>The Archetypes and the Collective Unconscious</w:t>
      </w:r>
      <w:r w:rsidRPr="00F07EC2">
        <w:t>, (Oxon: Routledge, 1991) ¶ 7</w:t>
      </w:r>
    </w:p>
  </w:footnote>
  <w:footnote w:id="229">
    <w:p w14:paraId="5CDD7B0F" w14:textId="77777777" w:rsidR="00613D59" w:rsidRDefault="00613D59" w:rsidP="0032491F">
      <w:pPr>
        <w:pStyle w:val="FootnoteText"/>
      </w:pPr>
      <w:r>
        <w:rPr>
          <w:rStyle w:val="FootnoteReference"/>
        </w:rPr>
        <w:footnoteRef/>
      </w:r>
      <w:r>
        <w:t xml:space="preserve"> </w:t>
      </w:r>
      <w:r w:rsidRPr="0068752D">
        <w:t xml:space="preserve">M. Eliade, </w:t>
      </w:r>
      <w:r w:rsidRPr="0068752D">
        <w:rPr>
          <w:i/>
        </w:rPr>
        <w:t>Patterns in Comparative Religion</w:t>
      </w:r>
      <w:r w:rsidRPr="0068752D">
        <w:t xml:space="preserve"> (Nebraska: University of Nebraska Press, Bison Books, 1996). p. 124.</w:t>
      </w:r>
    </w:p>
  </w:footnote>
  <w:footnote w:id="230">
    <w:p w14:paraId="37C6CD76" w14:textId="77777777" w:rsidR="00613D59" w:rsidRPr="00333825" w:rsidRDefault="00613D59" w:rsidP="0032491F">
      <w:pPr>
        <w:pStyle w:val="FootnoteText"/>
      </w:pPr>
      <w:r>
        <w:rPr>
          <w:rStyle w:val="FootnoteReference"/>
        </w:rPr>
        <w:footnoteRef/>
      </w:r>
      <w:r w:rsidRPr="00333825">
        <w:t>M. Meiss, `Light as Form and Symbol in Some Fifteenth-Century Paintings</w:t>
      </w:r>
      <w:proofErr w:type="gramStart"/>
      <w:r w:rsidRPr="00333825">
        <w:t>,`</w:t>
      </w:r>
      <w:proofErr w:type="gramEnd"/>
      <w:r w:rsidRPr="00333825">
        <w:rPr>
          <w:i/>
        </w:rPr>
        <w:t>The Art Bulletin</w:t>
      </w:r>
      <w:r w:rsidRPr="00333825">
        <w:t>, Vol. 27, No. 3:</w:t>
      </w:r>
      <w:r>
        <w:t xml:space="preserve"> (Sept. 1945), 175 – 181.; L.</w:t>
      </w:r>
      <w:r w:rsidRPr="00177374">
        <w:t xml:space="preserve">Jacobus, Giotto’s Annunciation in the Arena Chapel, Padua, The Art Bulletin, Vol. 81. No. </w:t>
      </w:r>
      <w:r>
        <w:t xml:space="preserve">1 (Mar. 1999), </w:t>
      </w:r>
      <w:r w:rsidRPr="00177374">
        <w:t>93-107.</w:t>
      </w:r>
      <w:proofErr w:type="gramStart"/>
      <w:r>
        <w:t xml:space="preserve">; </w:t>
      </w:r>
      <w:r w:rsidRPr="00333825">
        <w:t xml:space="preserve"> L</w:t>
      </w:r>
      <w:proofErr w:type="gramEnd"/>
      <w:r w:rsidRPr="00333825">
        <w:t>. Steinberg, `”How Shall This Be?”Reflections on Filippo Lippi’s Annunciation in London, Part 1</w:t>
      </w:r>
      <w:proofErr w:type="gramStart"/>
      <w:r w:rsidRPr="00333825">
        <w:t>.`</w:t>
      </w:r>
      <w:proofErr w:type="gramEnd"/>
      <w:r w:rsidRPr="00333825">
        <w:rPr>
          <w:i/>
        </w:rPr>
        <w:t>Artibus et Historiae</w:t>
      </w:r>
      <w:r w:rsidRPr="00333825">
        <w:t>, Vol. 8, No 16: (1987), 25 - 44.</w:t>
      </w:r>
    </w:p>
    <w:p w14:paraId="60C4E7A1" w14:textId="77777777" w:rsidR="00613D59" w:rsidRDefault="00613D59" w:rsidP="0032491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AD1CC" w14:textId="77777777" w:rsidR="00613D59" w:rsidRPr="004F392F" w:rsidRDefault="00613D59">
    <w:pPr>
      <w:pStyle w:val="Header"/>
      <w:pBdr>
        <w:bottom w:val="single" w:sz="4" w:space="1" w:color="D9D9D9" w:themeColor="background1" w:themeShade="D9"/>
      </w:pBdr>
      <w:jc w:val="right"/>
      <w:rPr>
        <w:b/>
        <w:bCs/>
        <w:sz w:val="16"/>
        <w:szCs w:val="16"/>
      </w:rPr>
    </w:pPr>
    <w:r w:rsidRPr="004F392F">
      <w:rPr>
        <w:color w:val="808080" w:themeColor="background1" w:themeShade="80"/>
        <w:spacing w:val="60"/>
        <w:sz w:val="16"/>
        <w:szCs w:val="16"/>
      </w:rPr>
      <w:t xml:space="preserve">   </w:t>
    </w:r>
  </w:p>
  <w:p w14:paraId="00AF69BD" w14:textId="77777777" w:rsidR="00613D59" w:rsidRDefault="00613D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6722D" w14:textId="77777777" w:rsidR="00613D59" w:rsidRPr="004F392F" w:rsidRDefault="00613D59">
    <w:pPr>
      <w:pStyle w:val="Header"/>
      <w:pBdr>
        <w:bottom w:val="single" w:sz="4" w:space="1" w:color="D9D9D9" w:themeColor="background1" w:themeShade="D9"/>
      </w:pBdr>
      <w:jc w:val="right"/>
      <w:rPr>
        <w:b/>
        <w:bCs/>
        <w:sz w:val="16"/>
        <w:szCs w:val="16"/>
      </w:rPr>
    </w:pPr>
    <w:r w:rsidRPr="004F392F">
      <w:rPr>
        <w:color w:val="808080" w:themeColor="background1" w:themeShade="80"/>
        <w:spacing w:val="60"/>
        <w:sz w:val="16"/>
        <w:szCs w:val="16"/>
      </w:rPr>
      <w:t xml:space="preserve">   </w:t>
    </w:r>
    <w:sdt>
      <w:sdtPr>
        <w:rPr>
          <w:color w:val="808080" w:themeColor="background1" w:themeShade="80"/>
          <w:spacing w:val="60"/>
          <w:sz w:val="16"/>
          <w:szCs w:val="16"/>
        </w:rPr>
        <w:id w:val="265045995"/>
        <w:docPartObj>
          <w:docPartGallery w:val="Page Numbers (Top of Page)"/>
          <w:docPartUnique/>
        </w:docPartObj>
      </w:sdtPr>
      <w:sdtEndPr>
        <w:rPr>
          <w:b/>
          <w:bCs/>
          <w:noProof/>
          <w:color w:val="auto"/>
          <w:spacing w:val="0"/>
        </w:rPr>
      </w:sdtEndPr>
      <w:sdtContent>
        <w:proofErr w:type="gramStart"/>
        <w:r w:rsidRPr="004F392F">
          <w:rPr>
            <w:color w:val="808080" w:themeColor="background1" w:themeShade="80"/>
            <w:spacing w:val="60"/>
            <w:sz w:val="16"/>
            <w:szCs w:val="16"/>
          </w:rPr>
          <w:t>Page</w:t>
        </w:r>
        <w:r w:rsidRPr="004F392F">
          <w:rPr>
            <w:sz w:val="16"/>
            <w:szCs w:val="16"/>
          </w:rPr>
          <w:t xml:space="preserve">  </w:t>
        </w:r>
        <w:proofErr w:type="gramEnd"/>
        <w:r w:rsidRPr="004F392F">
          <w:rPr>
            <w:sz w:val="16"/>
            <w:szCs w:val="16"/>
          </w:rPr>
          <w:fldChar w:fldCharType="begin"/>
        </w:r>
        <w:r w:rsidRPr="004F392F">
          <w:rPr>
            <w:sz w:val="16"/>
            <w:szCs w:val="16"/>
          </w:rPr>
          <w:instrText xml:space="preserve"> PAGE   \* MERGEFORMAT </w:instrText>
        </w:r>
        <w:r w:rsidRPr="004F392F">
          <w:rPr>
            <w:sz w:val="16"/>
            <w:szCs w:val="16"/>
          </w:rPr>
          <w:fldChar w:fldCharType="separate"/>
        </w:r>
        <w:r w:rsidR="00D83C86" w:rsidRPr="00D83C86">
          <w:rPr>
            <w:b/>
            <w:bCs/>
            <w:noProof/>
            <w:sz w:val="16"/>
            <w:szCs w:val="16"/>
          </w:rPr>
          <w:t>93</w:t>
        </w:r>
        <w:r w:rsidRPr="004F392F">
          <w:rPr>
            <w:b/>
            <w:bCs/>
            <w:noProof/>
            <w:sz w:val="16"/>
            <w:szCs w:val="16"/>
          </w:rPr>
          <w:fldChar w:fldCharType="end"/>
        </w:r>
      </w:sdtContent>
    </w:sdt>
  </w:p>
  <w:p w14:paraId="6E27093A" w14:textId="77777777" w:rsidR="00613D59" w:rsidRDefault="00613D59">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456"/>
    <w:rsid w:val="00014898"/>
    <w:rsid w:val="00035173"/>
    <w:rsid w:val="00046354"/>
    <w:rsid w:val="00094FC1"/>
    <w:rsid w:val="000A39E5"/>
    <w:rsid w:val="000D0306"/>
    <w:rsid w:val="001308F8"/>
    <w:rsid w:val="0013278D"/>
    <w:rsid w:val="0013436D"/>
    <w:rsid w:val="00155DCB"/>
    <w:rsid w:val="00156B09"/>
    <w:rsid w:val="001657F4"/>
    <w:rsid w:val="001735BC"/>
    <w:rsid w:val="001775F9"/>
    <w:rsid w:val="00190C05"/>
    <w:rsid w:val="001C4B9E"/>
    <w:rsid w:val="001E5729"/>
    <w:rsid w:val="001F19DD"/>
    <w:rsid w:val="001F3D19"/>
    <w:rsid w:val="0021053B"/>
    <w:rsid w:val="00224642"/>
    <w:rsid w:val="0023053E"/>
    <w:rsid w:val="00254D12"/>
    <w:rsid w:val="002559D1"/>
    <w:rsid w:val="002A1F35"/>
    <w:rsid w:val="002B256D"/>
    <w:rsid w:val="002B52EE"/>
    <w:rsid w:val="002C427D"/>
    <w:rsid w:val="002F66C5"/>
    <w:rsid w:val="00322E93"/>
    <w:rsid w:val="0032491F"/>
    <w:rsid w:val="00335E5F"/>
    <w:rsid w:val="00376013"/>
    <w:rsid w:val="003B1489"/>
    <w:rsid w:val="003B1AE6"/>
    <w:rsid w:val="003B6C21"/>
    <w:rsid w:val="003C7527"/>
    <w:rsid w:val="003D2D90"/>
    <w:rsid w:val="003E0FDF"/>
    <w:rsid w:val="00403ADC"/>
    <w:rsid w:val="00421024"/>
    <w:rsid w:val="004249CA"/>
    <w:rsid w:val="004302C2"/>
    <w:rsid w:val="00431E10"/>
    <w:rsid w:val="00444FEE"/>
    <w:rsid w:val="00453090"/>
    <w:rsid w:val="00484FC7"/>
    <w:rsid w:val="00492046"/>
    <w:rsid w:val="004B0CEB"/>
    <w:rsid w:val="004D2B40"/>
    <w:rsid w:val="004E4C2C"/>
    <w:rsid w:val="004E7A8F"/>
    <w:rsid w:val="004F507B"/>
    <w:rsid w:val="00513A06"/>
    <w:rsid w:val="00544B4A"/>
    <w:rsid w:val="00560A41"/>
    <w:rsid w:val="0057219E"/>
    <w:rsid w:val="005721C0"/>
    <w:rsid w:val="00575892"/>
    <w:rsid w:val="005A1BE2"/>
    <w:rsid w:val="005C55A3"/>
    <w:rsid w:val="005D1B91"/>
    <w:rsid w:val="005D51B7"/>
    <w:rsid w:val="005E353D"/>
    <w:rsid w:val="006057E9"/>
    <w:rsid w:val="00613D59"/>
    <w:rsid w:val="006239FE"/>
    <w:rsid w:val="0063438B"/>
    <w:rsid w:val="006B0248"/>
    <w:rsid w:val="006F1AC3"/>
    <w:rsid w:val="0072638D"/>
    <w:rsid w:val="00772F2E"/>
    <w:rsid w:val="00792AD8"/>
    <w:rsid w:val="00792D78"/>
    <w:rsid w:val="00794DA8"/>
    <w:rsid w:val="007B0499"/>
    <w:rsid w:val="007C3A6F"/>
    <w:rsid w:val="007D0FAC"/>
    <w:rsid w:val="007D564B"/>
    <w:rsid w:val="007F263C"/>
    <w:rsid w:val="00807657"/>
    <w:rsid w:val="00816E4D"/>
    <w:rsid w:val="00834B60"/>
    <w:rsid w:val="0085199B"/>
    <w:rsid w:val="00862266"/>
    <w:rsid w:val="00871EFB"/>
    <w:rsid w:val="0087705F"/>
    <w:rsid w:val="00894B69"/>
    <w:rsid w:val="008A1BE1"/>
    <w:rsid w:val="008A4D7D"/>
    <w:rsid w:val="009146B4"/>
    <w:rsid w:val="009220BC"/>
    <w:rsid w:val="0095373C"/>
    <w:rsid w:val="00955A58"/>
    <w:rsid w:val="009802B3"/>
    <w:rsid w:val="009816C3"/>
    <w:rsid w:val="00995052"/>
    <w:rsid w:val="009B3118"/>
    <w:rsid w:val="009E3319"/>
    <w:rsid w:val="009F561E"/>
    <w:rsid w:val="00A0478B"/>
    <w:rsid w:val="00A1156E"/>
    <w:rsid w:val="00A151A5"/>
    <w:rsid w:val="00A27135"/>
    <w:rsid w:val="00A45551"/>
    <w:rsid w:val="00A45896"/>
    <w:rsid w:val="00A550AF"/>
    <w:rsid w:val="00A84D23"/>
    <w:rsid w:val="00A852E8"/>
    <w:rsid w:val="00A861D1"/>
    <w:rsid w:val="00A91235"/>
    <w:rsid w:val="00A97456"/>
    <w:rsid w:val="00B00DD7"/>
    <w:rsid w:val="00B0621E"/>
    <w:rsid w:val="00B25AE4"/>
    <w:rsid w:val="00B25F1F"/>
    <w:rsid w:val="00B41DEC"/>
    <w:rsid w:val="00B60E2F"/>
    <w:rsid w:val="00B64DEA"/>
    <w:rsid w:val="00B73C63"/>
    <w:rsid w:val="00B9344B"/>
    <w:rsid w:val="00B96695"/>
    <w:rsid w:val="00BD0ED3"/>
    <w:rsid w:val="00BD21AD"/>
    <w:rsid w:val="00BF6A6E"/>
    <w:rsid w:val="00C0654C"/>
    <w:rsid w:val="00C63AFF"/>
    <w:rsid w:val="00C71A69"/>
    <w:rsid w:val="00CC2A35"/>
    <w:rsid w:val="00CC64EC"/>
    <w:rsid w:val="00CD0CDB"/>
    <w:rsid w:val="00CD3881"/>
    <w:rsid w:val="00D02441"/>
    <w:rsid w:val="00D53BC7"/>
    <w:rsid w:val="00D83C86"/>
    <w:rsid w:val="00D86C8B"/>
    <w:rsid w:val="00D94787"/>
    <w:rsid w:val="00D953C7"/>
    <w:rsid w:val="00DB0D8E"/>
    <w:rsid w:val="00DD4B37"/>
    <w:rsid w:val="00DE369A"/>
    <w:rsid w:val="00E34E02"/>
    <w:rsid w:val="00EA1C57"/>
    <w:rsid w:val="00EB373C"/>
    <w:rsid w:val="00EE0658"/>
    <w:rsid w:val="00F27099"/>
    <w:rsid w:val="00F432FA"/>
    <w:rsid w:val="00F51F7F"/>
    <w:rsid w:val="00F81BB1"/>
    <w:rsid w:val="00F96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31F0BB"/>
  <w15:docId w15:val="{3AD0DF87-0090-4EB8-B467-25A0100C4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alatino Linotype" w:eastAsiaTheme="minorHAnsi" w:hAnsi="Palatino Linotype"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78B"/>
  </w:style>
  <w:style w:type="paragraph" w:styleId="Heading1">
    <w:name w:val="heading 1"/>
    <w:basedOn w:val="Normal"/>
    <w:next w:val="Normal"/>
    <w:link w:val="Heading1Char"/>
    <w:uiPriority w:val="9"/>
    <w:rsid w:val="0013278D"/>
    <w:pPr>
      <w:keepNext/>
      <w:keepLines/>
      <w:spacing w:before="48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rsid w:val="0013436D"/>
    <w:pPr>
      <w:keepNext/>
      <w:keepLines/>
      <w:spacing w:before="200"/>
      <w:outlineLvl w:val="1"/>
    </w:pPr>
    <w:rPr>
      <w:rFonts w:asciiTheme="majorHAnsi" w:eastAsiaTheme="majorEastAsia" w:hAnsiTheme="majorHAnsi" w:cstheme="majorBidi"/>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A97456"/>
  </w:style>
  <w:style w:type="paragraph" w:styleId="Header">
    <w:name w:val="header"/>
    <w:basedOn w:val="Normal"/>
    <w:link w:val="HeaderChar"/>
    <w:uiPriority w:val="99"/>
    <w:unhideWhenUsed/>
    <w:rsid w:val="00A97456"/>
    <w:pPr>
      <w:tabs>
        <w:tab w:val="center" w:pos="4513"/>
        <w:tab w:val="right" w:pos="9026"/>
      </w:tabs>
    </w:pPr>
  </w:style>
  <w:style w:type="character" w:customStyle="1" w:styleId="HeaderChar1">
    <w:name w:val="Header Char1"/>
    <w:basedOn w:val="DefaultParagraphFont"/>
    <w:uiPriority w:val="99"/>
    <w:semiHidden/>
    <w:rsid w:val="00A97456"/>
  </w:style>
  <w:style w:type="character" w:customStyle="1" w:styleId="FootnoteTextChar">
    <w:name w:val="Footnote Text Char"/>
    <w:basedOn w:val="DefaultParagraphFont"/>
    <w:link w:val="FootnoteText"/>
    <w:rsid w:val="00A97456"/>
    <w:rPr>
      <w:rFonts w:eastAsia="Times New Roman" w:cs="Times New Roman"/>
      <w:sz w:val="20"/>
      <w:szCs w:val="20"/>
      <w:lang w:eastAsia="en-GB"/>
    </w:rPr>
  </w:style>
  <w:style w:type="paragraph" w:styleId="FootnoteText">
    <w:name w:val="footnote text"/>
    <w:basedOn w:val="Normal"/>
    <w:link w:val="FootnoteTextChar"/>
    <w:rsid w:val="00A97456"/>
    <w:rPr>
      <w:rFonts w:eastAsia="Times New Roman" w:cs="Times New Roman"/>
      <w:sz w:val="20"/>
      <w:szCs w:val="20"/>
      <w:lang w:eastAsia="en-GB"/>
    </w:rPr>
  </w:style>
  <w:style w:type="character" w:customStyle="1" w:styleId="FootnoteTextChar1">
    <w:name w:val="Footnote Text Char1"/>
    <w:basedOn w:val="DefaultParagraphFont"/>
    <w:uiPriority w:val="99"/>
    <w:semiHidden/>
    <w:rsid w:val="00A97456"/>
    <w:rPr>
      <w:sz w:val="20"/>
      <w:szCs w:val="20"/>
    </w:rPr>
  </w:style>
  <w:style w:type="character" w:customStyle="1" w:styleId="BalloonTextChar">
    <w:name w:val="Balloon Text Char"/>
    <w:basedOn w:val="DefaultParagraphFont"/>
    <w:link w:val="BalloonText"/>
    <w:uiPriority w:val="99"/>
    <w:semiHidden/>
    <w:rsid w:val="00A97456"/>
    <w:rPr>
      <w:rFonts w:ascii="Tahoma" w:hAnsi="Tahoma" w:cs="Tahoma"/>
      <w:sz w:val="16"/>
      <w:szCs w:val="16"/>
    </w:rPr>
  </w:style>
  <w:style w:type="paragraph" w:styleId="BalloonText">
    <w:name w:val="Balloon Text"/>
    <w:basedOn w:val="Normal"/>
    <w:link w:val="BalloonTextChar"/>
    <w:uiPriority w:val="99"/>
    <w:semiHidden/>
    <w:unhideWhenUsed/>
    <w:rsid w:val="00A97456"/>
    <w:rPr>
      <w:rFonts w:ascii="Tahoma" w:hAnsi="Tahoma" w:cs="Tahoma"/>
      <w:sz w:val="16"/>
      <w:szCs w:val="16"/>
    </w:rPr>
  </w:style>
  <w:style w:type="character" w:customStyle="1" w:styleId="BalloonTextChar1">
    <w:name w:val="Balloon Text Char1"/>
    <w:basedOn w:val="DefaultParagraphFont"/>
    <w:uiPriority w:val="99"/>
    <w:semiHidden/>
    <w:rsid w:val="00A97456"/>
    <w:rPr>
      <w:rFonts w:ascii="Tahoma" w:hAnsi="Tahoma" w:cs="Tahoma"/>
      <w:sz w:val="16"/>
      <w:szCs w:val="16"/>
    </w:rPr>
  </w:style>
  <w:style w:type="character" w:customStyle="1" w:styleId="FooterChar">
    <w:name w:val="Footer Char"/>
    <w:basedOn w:val="DefaultParagraphFont"/>
    <w:link w:val="Footer"/>
    <w:uiPriority w:val="99"/>
    <w:rsid w:val="00A97456"/>
  </w:style>
  <w:style w:type="paragraph" w:styleId="Footer">
    <w:name w:val="footer"/>
    <w:basedOn w:val="Normal"/>
    <w:link w:val="FooterChar"/>
    <w:uiPriority w:val="99"/>
    <w:unhideWhenUsed/>
    <w:rsid w:val="00A97456"/>
    <w:pPr>
      <w:tabs>
        <w:tab w:val="center" w:pos="4513"/>
        <w:tab w:val="right" w:pos="9026"/>
      </w:tabs>
    </w:pPr>
  </w:style>
  <w:style w:type="character" w:customStyle="1" w:styleId="FooterChar1">
    <w:name w:val="Footer Char1"/>
    <w:basedOn w:val="DefaultParagraphFont"/>
    <w:uiPriority w:val="99"/>
    <w:semiHidden/>
    <w:rsid w:val="00A97456"/>
  </w:style>
  <w:style w:type="character" w:styleId="FootnoteReference">
    <w:name w:val="footnote reference"/>
    <w:basedOn w:val="DefaultParagraphFont"/>
    <w:rsid w:val="00A97456"/>
    <w:rPr>
      <w:vertAlign w:val="superscript"/>
    </w:rPr>
  </w:style>
  <w:style w:type="table" w:styleId="TableGrid">
    <w:name w:val="Table Grid"/>
    <w:basedOn w:val="TableNormal"/>
    <w:uiPriority w:val="59"/>
    <w:rsid w:val="004249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3278D"/>
    <w:rPr>
      <w:rFonts w:asciiTheme="majorHAnsi" w:eastAsiaTheme="majorEastAsia" w:hAnsiTheme="majorHAnsi" w:cstheme="majorBidi"/>
      <w:b/>
      <w:bCs/>
      <w:sz w:val="32"/>
      <w:szCs w:val="28"/>
    </w:rPr>
  </w:style>
  <w:style w:type="paragraph" w:styleId="Title">
    <w:name w:val="Title"/>
    <w:basedOn w:val="Normal"/>
    <w:next w:val="Normal"/>
    <w:link w:val="TitleChar"/>
    <w:uiPriority w:val="10"/>
    <w:rsid w:val="0013278D"/>
    <w:pPr>
      <w:pBdr>
        <w:bottom w:val="single" w:sz="8" w:space="4" w:color="4F81BD" w:themeColor="accent1"/>
      </w:pBdr>
      <w:spacing w:after="300"/>
      <w:contextualSpacing/>
    </w:pPr>
    <w:rPr>
      <w:rFonts w:ascii="Arial" w:eastAsiaTheme="majorEastAsia" w:hAnsi="Arial" w:cstheme="majorBidi"/>
      <w:spacing w:val="5"/>
      <w:kern w:val="28"/>
      <w:sz w:val="52"/>
      <w:szCs w:val="52"/>
    </w:rPr>
  </w:style>
  <w:style w:type="character" w:customStyle="1" w:styleId="TitleChar">
    <w:name w:val="Title Char"/>
    <w:basedOn w:val="DefaultParagraphFont"/>
    <w:link w:val="Title"/>
    <w:uiPriority w:val="10"/>
    <w:rsid w:val="0013278D"/>
    <w:rPr>
      <w:rFonts w:ascii="Arial" w:eastAsiaTheme="majorEastAsia" w:hAnsi="Arial" w:cstheme="majorBidi"/>
      <w:spacing w:val="5"/>
      <w:kern w:val="28"/>
      <w:sz w:val="52"/>
      <w:szCs w:val="52"/>
    </w:rPr>
  </w:style>
  <w:style w:type="character" w:customStyle="1" w:styleId="Heading2Char">
    <w:name w:val="Heading 2 Char"/>
    <w:basedOn w:val="DefaultParagraphFont"/>
    <w:link w:val="Heading2"/>
    <w:uiPriority w:val="9"/>
    <w:rsid w:val="0013436D"/>
    <w:rPr>
      <w:rFonts w:asciiTheme="majorHAnsi" w:eastAsiaTheme="majorEastAsia" w:hAnsiTheme="majorHAnsi" w:cstheme="majorBidi"/>
      <w:bCs/>
      <w:sz w:val="26"/>
      <w:szCs w:val="26"/>
    </w:rPr>
  </w:style>
  <w:style w:type="paragraph" w:styleId="TOCHeading">
    <w:name w:val="TOC Heading"/>
    <w:basedOn w:val="Heading1"/>
    <w:next w:val="Normal"/>
    <w:uiPriority w:val="39"/>
    <w:semiHidden/>
    <w:unhideWhenUsed/>
    <w:qFormat/>
    <w:rsid w:val="00B25AE4"/>
    <w:pPr>
      <w:spacing w:line="276" w:lineRule="auto"/>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B25AE4"/>
    <w:pPr>
      <w:spacing w:after="100"/>
    </w:pPr>
  </w:style>
  <w:style w:type="paragraph" w:styleId="TOC2">
    <w:name w:val="toc 2"/>
    <w:basedOn w:val="Normal"/>
    <w:next w:val="Normal"/>
    <w:autoRedefine/>
    <w:uiPriority w:val="39"/>
    <w:unhideWhenUsed/>
    <w:rsid w:val="00B25AE4"/>
    <w:pPr>
      <w:spacing w:after="100"/>
      <w:ind w:left="240"/>
    </w:pPr>
  </w:style>
  <w:style w:type="character" w:styleId="Hyperlink">
    <w:name w:val="Hyperlink"/>
    <w:basedOn w:val="DefaultParagraphFont"/>
    <w:uiPriority w:val="99"/>
    <w:unhideWhenUsed/>
    <w:rsid w:val="00B25AE4"/>
    <w:rPr>
      <w:color w:val="0000FF" w:themeColor="hyperlink"/>
      <w:u w:val="single"/>
    </w:rPr>
  </w:style>
  <w:style w:type="paragraph" w:styleId="TableofFigures">
    <w:name w:val="table of figures"/>
    <w:basedOn w:val="Normal"/>
    <w:next w:val="Normal"/>
    <w:uiPriority w:val="99"/>
    <w:unhideWhenUsed/>
    <w:rsid w:val="005D1B91"/>
  </w:style>
  <w:style w:type="character" w:styleId="CommentReference">
    <w:name w:val="annotation reference"/>
    <w:basedOn w:val="DefaultParagraphFont"/>
    <w:uiPriority w:val="99"/>
    <w:semiHidden/>
    <w:unhideWhenUsed/>
    <w:rsid w:val="00613D59"/>
    <w:rPr>
      <w:sz w:val="16"/>
      <w:szCs w:val="16"/>
    </w:rPr>
  </w:style>
  <w:style w:type="paragraph" w:styleId="CommentText">
    <w:name w:val="annotation text"/>
    <w:basedOn w:val="Normal"/>
    <w:link w:val="CommentTextChar"/>
    <w:uiPriority w:val="99"/>
    <w:semiHidden/>
    <w:unhideWhenUsed/>
    <w:rsid w:val="00613D59"/>
    <w:rPr>
      <w:sz w:val="20"/>
      <w:szCs w:val="20"/>
    </w:rPr>
  </w:style>
  <w:style w:type="character" w:customStyle="1" w:styleId="CommentTextChar">
    <w:name w:val="Comment Text Char"/>
    <w:basedOn w:val="DefaultParagraphFont"/>
    <w:link w:val="CommentText"/>
    <w:uiPriority w:val="99"/>
    <w:semiHidden/>
    <w:rsid w:val="00613D59"/>
    <w:rPr>
      <w:sz w:val="20"/>
      <w:szCs w:val="20"/>
    </w:rPr>
  </w:style>
  <w:style w:type="paragraph" w:styleId="CommentSubject">
    <w:name w:val="annotation subject"/>
    <w:basedOn w:val="CommentText"/>
    <w:next w:val="CommentText"/>
    <w:link w:val="CommentSubjectChar"/>
    <w:uiPriority w:val="99"/>
    <w:semiHidden/>
    <w:unhideWhenUsed/>
    <w:rsid w:val="00613D59"/>
    <w:rPr>
      <w:b/>
      <w:bCs/>
    </w:rPr>
  </w:style>
  <w:style w:type="character" w:customStyle="1" w:styleId="CommentSubjectChar">
    <w:name w:val="Comment Subject Char"/>
    <w:basedOn w:val="CommentTextChar"/>
    <w:link w:val="CommentSubject"/>
    <w:uiPriority w:val="99"/>
    <w:semiHidden/>
    <w:rsid w:val="00613D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png"/><Relationship Id="rId34" Type="http://schemas.microsoft.com/office/2011/relationships/people" Target="people.xml"/><Relationship Id="rId7" Type="http://schemas.openxmlformats.org/officeDocument/2006/relationships/header" Target="header1.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10" Type="http://schemas.openxmlformats.org/officeDocument/2006/relationships/comments" Target="comments.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E5855-03F0-4DBC-A66B-D2003A757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98</Pages>
  <Words>18513</Words>
  <Characters>105526</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Bernadette Brady</cp:lastModifiedBy>
  <cp:revision>10</cp:revision>
  <cp:lastPrinted>2014-09-11T11:58:00Z</cp:lastPrinted>
  <dcterms:created xsi:type="dcterms:W3CDTF">2014-09-11T11:56:00Z</dcterms:created>
  <dcterms:modified xsi:type="dcterms:W3CDTF">2015-01-16T12:41:00Z</dcterms:modified>
</cp:coreProperties>
</file>