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D61FBC" w14:textId="77777777" w:rsidR="000D7496" w:rsidRDefault="000D7496" w:rsidP="00C50A22"/>
    <w:p w14:paraId="73094925" w14:textId="2D69E07E" w:rsidR="00C50A22" w:rsidRDefault="00FA4356" w:rsidP="00C50A22">
      <w:r>
        <w:rPr>
          <w:noProof/>
        </w:rPr>
        <w:drawing>
          <wp:inline distT="0" distB="0" distL="0" distR="0" wp14:anchorId="6C3423E8" wp14:editId="27527CE9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48027B" w14:textId="77777777" w:rsidR="00C50A22" w:rsidRDefault="00C50A22" w:rsidP="00C50A22"/>
    <w:p w14:paraId="53941434" w14:textId="77777777" w:rsidR="00C50A22" w:rsidRDefault="00C50A22" w:rsidP="00C50A22"/>
    <w:tbl>
      <w:tblPr>
        <w:tblStyle w:val="TableGrid"/>
        <w:tblW w:w="9627" w:type="dxa"/>
        <w:tblLook w:val="04A0" w:firstRow="1" w:lastRow="0" w:firstColumn="1" w:lastColumn="0" w:noHBand="0" w:noVBand="1"/>
      </w:tblPr>
      <w:tblGrid>
        <w:gridCol w:w="2855"/>
        <w:gridCol w:w="2629"/>
        <w:gridCol w:w="2693"/>
        <w:gridCol w:w="1450"/>
      </w:tblGrid>
      <w:tr w:rsidR="008C04AA" w14:paraId="1E8181E2" w14:textId="5ADE2B57" w:rsidTr="008C04AA">
        <w:trPr>
          <w:gridAfter w:val="2"/>
          <w:wAfter w:w="4143" w:type="dxa"/>
          <w:trHeight w:val="445"/>
        </w:trPr>
        <w:tc>
          <w:tcPr>
            <w:tcW w:w="2855" w:type="dxa"/>
          </w:tcPr>
          <w:p w14:paraId="7AE055A7" w14:textId="57B55C5E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Name</w:t>
            </w:r>
          </w:p>
        </w:tc>
        <w:tc>
          <w:tcPr>
            <w:tcW w:w="2629" w:type="dxa"/>
          </w:tcPr>
          <w:p w14:paraId="70F9C527" w14:textId="5B5A527F" w:rsidR="008C04AA" w:rsidRDefault="008C04AA" w:rsidP="00C50A22">
            <w:r>
              <w:t>Princila Manu</w:t>
            </w:r>
          </w:p>
        </w:tc>
      </w:tr>
      <w:tr w:rsidR="008C04AA" w14:paraId="5900B46C" w14:textId="485B0E26" w:rsidTr="008C04AA">
        <w:trPr>
          <w:gridAfter w:val="2"/>
          <w:wAfter w:w="4143" w:type="dxa"/>
          <w:trHeight w:val="901"/>
        </w:trPr>
        <w:tc>
          <w:tcPr>
            <w:tcW w:w="2855" w:type="dxa"/>
          </w:tcPr>
          <w:p w14:paraId="69608FEB" w14:textId="6F3ECDF2" w:rsidR="008C04AA" w:rsidRPr="008C04AA" w:rsidRDefault="008C04AA" w:rsidP="00C50A22">
            <w:pPr>
              <w:rPr>
                <w:b/>
                <w:bCs/>
              </w:rPr>
            </w:pPr>
            <w:proofErr w:type="spellStart"/>
            <w:r w:rsidRPr="008C04AA">
              <w:rPr>
                <w:b/>
                <w:bCs/>
              </w:rPr>
              <w:t>Programme</w:t>
            </w:r>
            <w:proofErr w:type="spellEnd"/>
            <w:r w:rsidRPr="008C04AA">
              <w:rPr>
                <w:b/>
                <w:bCs/>
              </w:rPr>
              <w:t>:</w:t>
            </w:r>
          </w:p>
        </w:tc>
        <w:tc>
          <w:tcPr>
            <w:tcW w:w="2629" w:type="dxa"/>
          </w:tcPr>
          <w:p w14:paraId="50C16827" w14:textId="12FB54A5" w:rsidR="008C04AA" w:rsidRDefault="008C04AA" w:rsidP="00C50A22">
            <w:r>
              <w:t>BSc Health and Social Care</w:t>
            </w:r>
          </w:p>
        </w:tc>
      </w:tr>
      <w:tr w:rsidR="008C04AA" w14:paraId="53315163" w14:textId="02D3B93A" w:rsidTr="008C04AA">
        <w:trPr>
          <w:gridAfter w:val="2"/>
          <w:wAfter w:w="4143" w:type="dxa"/>
          <w:trHeight w:val="2248"/>
        </w:trPr>
        <w:tc>
          <w:tcPr>
            <w:tcW w:w="2855" w:type="dxa"/>
          </w:tcPr>
          <w:p w14:paraId="0B166EBA" w14:textId="576FADCB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Module:</w:t>
            </w:r>
          </w:p>
        </w:tc>
        <w:tc>
          <w:tcPr>
            <w:tcW w:w="2629" w:type="dxa"/>
          </w:tcPr>
          <w:p w14:paraId="049DE598" w14:textId="4CF13ED2" w:rsidR="008C04AA" w:rsidRDefault="008C04AA" w:rsidP="00C50A22">
            <w:r>
              <w:t>Protecting and Supporting Families in Health and Care</w:t>
            </w:r>
          </w:p>
        </w:tc>
      </w:tr>
      <w:tr w:rsidR="008C04AA" w14:paraId="36330D6E" w14:textId="4574C517" w:rsidTr="008C04AA">
        <w:trPr>
          <w:trHeight w:val="1802"/>
        </w:trPr>
        <w:tc>
          <w:tcPr>
            <w:tcW w:w="2855" w:type="dxa"/>
          </w:tcPr>
          <w:p w14:paraId="260C1982" w14:textId="726B2421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Module Code:</w:t>
            </w:r>
          </w:p>
        </w:tc>
        <w:tc>
          <w:tcPr>
            <w:tcW w:w="2629" w:type="dxa"/>
          </w:tcPr>
          <w:p w14:paraId="4AABE0C1" w14:textId="505E6804" w:rsidR="008C04AA" w:rsidRDefault="008C04AA" w:rsidP="00C50A22">
            <w:r>
              <w:t>BMHP5021</w:t>
            </w:r>
          </w:p>
        </w:tc>
        <w:tc>
          <w:tcPr>
            <w:tcW w:w="2693" w:type="dxa"/>
          </w:tcPr>
          <w:p w14:paraId="393B6233" w14:textId="61135031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Contribution to Overall Module Assessment (%):</w:t>
            </w:r>
          </w:p>
        </w:tc>
        <w:tc>
          <w:tcPr>
            <w:tcW w:w="1450" w:type="dxa"/>
          </w:tcPr>
          <w:p w14:paraId="2BB9CA50" w14:textId="1A5D8083" w:rsidR="008C04AA" w:rsidRDefault="008C04AA" w:rsidP="00C50A22">
            <w:r>
              <w:t>50%</w:t>
            </w:r>
          </w:p>
        </w:tc>
      </w:tr>
      <w:tr w:rsidR="008C04AA" w14:paraId="6C2A67D4" w14:textId="4EB4AA7B" w:rsidTr="008C04AA">
        <w:trPr>
          <w:trHeight w:val="901"/>
        </w:trPr>
        <w:tc>
          <w:tcPr>
            <w:tcW w:w="2855" w:type="dxa"/>
          </w:tcPr>
          <w:p w14:paraId="5F96F2B3" w14:textId="1355E899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Lecturer:</w:t>
            </w:r>
          </w:p>
        </w:tc>
        <w:tc>
          <w:tcPr>
            <w:tcW w:w="2629" w:type="dxa"/>
          </w:tcPr>
          <w:p w14:paraId="535BE2E3" w14:textId="7182A1CC" w:rsidR="008C04AA" w:rsidRDefault="008C04AA" w:rsidP="00C50A22">
            <w:r>
              <w:t>Phillip Jones</w:t>
            </w:r>
          </w:p>
        </w:tc>
        <w:tc>
          <w:tcPr>
            <w:tcW w:w="2693" w:type="dxa"/>
          </w:tcPr>
          <w:p w14:paraId="3CE9B0A4" w14:textId="3B54E277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Internal Verifier:</w:t>
            </w:r>
          </w:p>
        </w:tc>
        <w:tc>
          <w:tcPr>
            <w:tcW w:w="1450" w:type="dxa"/>
          </w:tcPr>
          <w:p w14:paraId="03FD0189" w14:textId="58E7B7D0" w:rsidR="008C04AA" w:rsidRDefault="008C04AA" w:rsidP="00C50A22">
            <w:r>
              <w:t>Chloe Harris</w:t>
            </w:r>
          </w:p>
        </w:tc>
      </w:tr>
      <w:tr w:rsidR="008C04AA" w14:paraId="59A012BE" w14:textId="030387E4" w:rsidTr="008C04AA">
        <w:trPr>
          <w:trHeight w:val="1791"/>
        </w:trPr>
        <w:tc>
          <w:tcPr>
            <w:tcW w:w="2855" w:type="dxa"/>
          </w:tcPr>
          <w:p w14:paraId="31DE3191" w14:textId="61C8EA8E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Assignment Title:</w:t>
            </w:r>
          </w:p>
        </w:tc>
        <w:tc>
          <w:tcPr>
            <w:tcW w:w="2629" w:type="dxa"/>
          </w:tcPr>
          <w:p w14:paraId="590E631E" w14:textId="3EB788E7" w:rsidR="008C04AA" w:rsidRDefault="008C04AA" w:rsidP="00C50A22">
            <w:r>
              <w:t>Component 2: Written Report</w:t>
            </w:r>
          </w:p>
        </w:tc>
        <w:tc>
          <w:tcPr>
            <w:tcW w:w="2693" w:type="dxa"/>
          </w:tcPr>
          <w:p w14:paraId="342063C4" w14:textId="680F7D28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Word count (or equivalent):</w:t>
            </w:r>
          </w:p>
        </w:tc>
        <w:tc>
          <w:tcPr>
            <w:tcW w:w="1450" w:type="dxa"/>
          </w:tcPr>
          <w:p w14:paraId="3980DBD1" w14:textId="232E37D8" w:rsidR="008C04AA" w:rsidRDefault="008C04AA" w:rsidP="00C50A22">
            <w:r>
              <w:t>2000 words (+/- 10%)</w:t>
            </w:r>
          </w:p>
        </w:tc>
      </w:tr>
      <w:tr w:rsidR="008C04AA" w14:paraId="4F5944AF" w14:textId="510ACDEC" w:rsidTr="008C04AA">
        <w:trPr>
          <w:trHeight w:val="1802"/>
        </w:trPr>
        <w:tc>
          <w:tcPr>
            <w:tcW w:w="2855" w:type="dxa"/>
          </w:tcPr>
          <w:p w14:paraId="6CFBFA3B" w14:textId="73DB3388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Submission Deadline:</w:t>
            </w:r>
          </w:p>
        </w:tc>
        <w:tc>
          <w:tcPr>
            <w:tcW w:w="2629" w:type="dxa"/>
          </w:tcPr>
          <w:p w14:paraId="06546163" w14:textId="77777777" w:rsidR="008C04AA" w:rsidRDefault="008C04AA" w:rsidP="00C50A22">
            <w:r>
              <w:t>Sunday 29</w:t>
            </w:r>
            <w:r w:rsidRPr="000D7496">
              <w:rPr>
                <w:vertAlign w:val="superscript"/>
              </w:rPr>
              <w:t>th</w:t>
            </w:r>
            <w:r>
              <w:t xml:space="preserve"> March 2026 </w:t>
            </w:r>
          </w:p>
          <w:p w14:paraId="6BC37903" w14:textId="3F33A274" w:rsidR="008C04AA" w:rsidRDefault="008C04AA" w:rsidP="00C50A22">
            <w:r>
              <w:t>14:00 (2PM) – Week 11</w:t>
            </w:r>
          </w:p>
        </w:tc>
        <w:tc>
          <w:tcPr>
            <w:tcW w:w="2693" w:type="dxa"/>
          </w:tcPr>
          <w:p w14:paraId="19BBA944" w14:textId="4280C506" w:rsidR="008C04AA" w:rsidRPr="008C04AA" w:rsidRDefault="008C04AA" w:rsidP="00C50A22">
            <w:pPr>
              <w:rPr>
                <w:b/>
                <w:bCs/>
              </w:rPr>
            </w:pPr>
            <w:r w:rsidRPr="008C04AA">
              <w:rPr>
                <w:b/>
                <w:bCs/>
              </w:rPr>
              <w:t>Return date of provisional marks &amp; written feedback:</w:t>
            </w:r>
          </w:p>
        </w:tc>
        <w:tc>
          <w:tcPr>
            <w:tcW w:w="1450" w:type="dxa"/>
          </w:tcPr>
          <w:p w14:paraId="268AB765" w14:textId="59914A43" w:rsidR="008C04AA" w:rsidRDefault="008C04AA" w:rsidP="00C50A22">
            <w:r>
              <w:t>29</w:t>
            </w:r>
            <w:r w:rsidRPr="008C04AA">
              <w:rPr>
                <w:vertAlign w:val="superscript"/>
              </w:rPr>
              <w:t>th</w:t>
            </w:r>
            <w:r>
              <w:t xml:space="preserve"> April 2026</w:t>
            </w:r>
          </w:p>
        </w:tc>
      </w:tr>
    </w:tbl>
    <w:p w14:paraId="63CB1448" w14:textId="40BDE886" w:rsidR="00C50A22" w:rsidRDefault="00C50A22" w:rsidP="00C50A22"/>
    <w:p w14:paraId="00D5E826" w14:textId="77777777" w:rsidR="00C50A22" w:rsidRDefault="00C50A22" w:rsidP="00C50A22">
      <w:pPr>
        <w:spacing w:after="160" w:line="278" w:lineRule="auto"/>
        <w:jc w:val="left"/>
      </w:pPr>
      <w:r>
        <w:br w:type="page"/>
      </w:r>
    </w:p>
    <w:sdt>
      <w:sdtPr>
        <w:rPr>
          <w:lang w:val="en-GB"/>
        </w:rPr>
        <w:id w:val="1640068625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color w:val="auto"/>
          <w:kern w:val="2"/>
          <w:sz w:val="22"/>
          <w:szCs w:val="30"/>
          <w:lang w:val="en-US"/>
          <w14:ligatures w14:val="standardContextual"/>
        </w:rPr>
      </w:sdtEndPr>
      <w:sdtContent>
        <w:p w14:paraId="61B133F0" w14:textId="77777777" w:rsidR="001222FE" w:rsidRDefault="001222FE" w:rsidP="001222FE">
          <w:pPr>
            <w:pStyle w:val="TOCHeading"/>
            <w:rPr>
              <w:lang w:val="en-GB"/>
            </w:rPr>
          </w:pPr>
          <w:r>
            <w:rPr>
              <w:lang w:val="en-GB"/>
            </w:rPr>
            <w:t>Table of Contents</w:t>
          </w:r>
        </w:p>
        <w:p w14:paraId="6AFF58AB" w14:textId="24DDD303" w:rsidR="001222FE" w:rsidRPr="001222FE" w:rsidRDefault="001222FE" w:rsidP="001222FE">
          <w:pPr>
            <w:rPr>
              <w:szCs w:val="22"/>
              <w:lang w:val="en-GB"/>
            </w:rPr>
          </w:pPr>
          <w:r w:rsidRPr="001222FE">
            <w:rPr>
              <w:szCs w:val="22"/>
              <w:lang w:val="en-GB"/>
            </w:rPr>
            <w:t>Introduction</w:t>
          </w:r>
          <w:r>
            <w:rPr>
              <w:szCs w:val="22"/>
              <w:lang w:val="en-GB"/>
            </w:rPr>
            <w:t xml:space="preserve"> ……………………………………………………………………………………. 3</w:t>
          </w:r>
        </w:p>
        <w:p w14:paraId="01AD38CF" w14:textId="7FB5555B" w:rsidR="001222FE" w:rsidRPr="001222FE" w:rsidRDefault="001222FE" w:rsidP="001222FE">
          <w:pPr>
            <w:rPr>
              <w:szCs w:val="22"/>
              <w:lang w:val="en-GB"/>
            </w:rPr>
          </w:pPr>
          <w:r w:rsidRPr="001222FE">
            <w:rPr>
              <w:szCs w:val="22"/>
              <w:lang w:val="en-GB"/>
            </w:rPr>
            <w:t>An Explanation of The Early Help System</w:t>
          </w:r>
          <w:r>
            <w:rPr>
              <w:szCs w:val="22"/>
              <w:lang w:val="en-GB"/>
            </w:rPr>
            <w:t xml:space="preserve"> …………………………………………………. 3</w:t>
          </w:r>
        </w:p>
        <w:p w14:paraId="1D4C4A25" w14:textId="77F0CBC3" w:rsidR="001222FE" w:rsidRPr="001222FE" w:rsidRDefault="001222FE" w:rsidP="001222FE">
          <w:pPr>
            <w:rPr>
              <w:szCs w:val="22"/>
              <w:lang w:val="en-GB"/>
            </w:rPr>
          </w:pPr>
          <w:r w:rsidRPr="001222FE">
            <w:rPr>
              <w:szCs w:val="22"/>
              <w:lang w:val="en-GB"/>
            </w:rPr>
            <w:t>An Explanation of Multi Agency Working</w:t>
          </w:r>
          <w:r>
            <w:rPr>
              <w:szCs w:val="22"/>
              <w:lang w:val="en-GB"/>
            </w:rPr>
            <w:t xml:space="preserve"> …………………………………………………... 4</w:t>
          </w:r>
        </w:p>
        <w:p w14:paraId="77BF91D3" w14:textId="1C8D9C63" w:rsidR="001222FE" w:rsidRPr="001222FE" w:rsidRDefault="001222FE" w:rsidP="001222FE">
          <w:pPr>
            <w:rPr>
              <w:szCs w:val="22"/>
              <w:lang w:val="en-GB"/>
            </w:rPr>
          </w:pPr>
          <w:r w:rsidRPr="001222FE">
            <w:rPr>
              <w:szCs w:val="22"/>
              <w:lang w:val="en-GB"/>
            </w:rPr>
            <w:t>An Evaluation of Three of Your Local Authority Websites</w:t>
          </w:r>
          <w:r>
            <w:rPr>
              <w:szCs w:val="22"/>
              <w:lang w:val="en-GB"/>
            </w:rPr>
            <w:t xml:space="preserve"> ………………………………... 5</w:t>
          </w:r>
        </w:p>
        <w:p w14:paraId="364F0F9B" w14:textId="6A84AC52" w:rsidR="001222FE" w:rsidRPr="001222FE" w:rsidRDefault="001222FE" w:rsidP="001222FE">
          <w:pPr>
            <w:tabs>
              <w:tab w:val="right" w:pos="9026"/>
            </w:tabs>
            <w:rPr>
              <w:szCs w:val="22"/>
            </w:rPr>
          </w:pPr>
          <w:r w:rsidRPr="001222FE">
            <w:rPr>
              <w:szCs w:val="22"/>
            </w:rPr>
            <w:t>A comparative analysis of the main strengths and weakness</w:t>
          </w:r>
          <w:r>
            <w:rPr>
              <w:szCs w:val="22"/>
            </w:rPr>
            <w:t xml:space="preserve"> …………………………… 7</w:t>
          </w:r>
          <w:r w:rsidRPr="001222FE">
            <w:rPr>
              <w:szCs w:val="22"/>
            </w:rPr>
            <w:tab/>
          </w:r>
        </w:p>
        <w:p w14:paraId="12169025" w14:textId="0ACE313B" w:rsidR="001222FE" w:rsidRPr="001222FE" w:rsidRDefault="001222FE" w:rsidP="001222FE">
          <w:pPr>
            <w:rPr>
              <w:szCs w:val="22"/>
            </w:rPr>
          </w:pPr>
          <w:r w:rsidRPr="001222FE">
            <w:rPr>
              <w:szCs w:val="22"/>
            </w:rPr>
            <w:t>Conclusion with recommendations for areas for improvement</w:t>
          </w:r>
          <w:r>
            <w:rPr>
              <w:szCs w:val="22"/>
            </w:rPr>
            <w:t xml:space="preserve"> ………………………….. 8</w:t>
          </w:r>
        </w:p>
        <w:p w14:paraId="426B2044" w14:textId="31FA4563" w:rsidR="001222FE" w:rsidRPr="001222FE" w:rsidRDefault="001222FE" w:rsidP="001222FE">
          <w:pPr>
            <w:tabs>
              <w:tab w:val="right" w:pos="9026"/>
            </w:tabs>
            <w:rPr>
              <w:lang w:val="en-GB"/>
            </w:rPr>
          </w:pPr>
          <w:r w:rsidRPr="001222FE">
            <w:rPr>
              <w:szCs w:val="22"/>
              <w:lang w:val="en-GB"/>
            </w:rPr>
            <w:t>Reference List</w:t>
          </w:r>
          <w:r>
            <w:rPr>
              <w:szCs w:val="22"/>
              <w:lang w:val="en-GB"/>
            </w:rPr>
            <w:t xml:space="preserve"> ………………………………………………………………………………… 9</w:t>
          </w:r>
        </w:p>
      </w:sdtContent>
    </w:sdt>
    <w:p w14:paraId="79526E58" w14:textId="15E83625" w:rsidR="00C50A22" w:rsidRDefault="00C50A22" w:rsidP="0074149D">
      <w:r>
        <w:br w:type="page"/>
      </w:r>
    </w:p>
    <w:p w14:paraId="14DE61E8" w14:textId="1C83BC18" w:rsidR="0074149D" w:rsidRPr="0074149D" w:rsidRDefault="0074149D" w:rsidP="00C50A22">
      <w:pPr>
        <w:rPr>
          <w:b/>
          <w:bCs/>
          <w:sz w:val="32"/>
          <w:szCs w:val="32"/>
          <w:u w:val="single"/>
        </w:rPr>
      </w:pPr>
      <w:r w:rsidRPr="0074149D">
        <w:rPr>
          <w:b/>
          <w:bCs/>
          <w:sz w:val="32"/>
          <w:szCs w:val="32"/>
          <w:u w:val="single"/>
        </w:rPr>
        <w:lastRenderedPageBreak/>
        <w:t>Introduction</w:t>
      </w:r>
    </w:p>
    <w:p w14:paraId="6A601443" w14:textId="0871E803" w:rsidR="00C50A22" w:rsidRDefault="00C50A22" w:rsidP="00C50A22">
      <w:r>
        <w:t xml:space="preserve">The report is going to </w:t>
      </w:r>
      <w:r>
        <w:t>look at</w:t>
      </w:r>
      <w:r>
        <w:t xml:space="preserve"> how the </w:t>
      </w:r>
      <w:r w:rsidRPr="000B421C">
        <w:t>‘Early Help’ system is communicated to families through local authority websites</w:t>
      </w:r>
      <w:r>
        <w:t xml:space="preserve"> in the UK. Basically, the “Early Help” system is expected to play effective role in preventing </w:t>
      </w:r>
      <w:r w:rsidRPr="000B421C">
        <w:t xml:space="preserve">the escalation of difficulties </w:t>
      </w:r>
      <w:r>
        <w:t xml:space="preserve">before they escalate to devastation </w:t>
      </w:r>
      <w:r w:rsidRPr="000B421C">
        <w:t>by offering timely support to children and families</w:t>
      </w:r>
      <w:r>
        <w:t xml:space="preserve"> who are experiencing</w:t>
      </w:r>
      <w:r>
        <w:t xml:space="preserve"> difficulties</w:t>
      </w:r>
      <w:r w:rsidRPr="000B421C">
        <w:t>.</w:t>
      </w:r>
      <w:r>
        <w:t xml:space="preserve"> The study analyses different organisation’s websites to understand how they make the best uses of “Early Help” system to support the local people through their guidelines posted on websites. The </w:t>
      </w:r>
      <w:r w:rsidRPr="00114C92">
        <w:t>Leeds City Council, Norfolk County Council, and Tower Hamlets Council</w:t>
      </w:r>
      <w:r>
        <w:t xml:space="preserve"> have been chosen to explore their websites and necessary information regarding ‘Early Help’ system. This study will </w:t>
      </w:r>
      <w:r>
        <w:t>look at</w:t>
      </w:r>
      <w:r>
        <w:t xml:space="preserve"> how </w:t>
      </w:r>
      <w:r w:rsidRPr="00114C92">
        <w:t xml:space="preserve">each website presents information regarding </w:t>
      </w:r>
      <w:r>
        <w:t>‘</w:t>
      </w:r>
      <w:r w:rsidRPr="00114C92">
        <w:t>Early Help</w:t>
      </w:r>
      <w:r>
        <w:t>’</w:t>
      </w:r>
      <w:r w:rsidRPr="00114C92">
        <w:t xml:space="preserve"> and related family services.</w:t>
      </w:r>
      <w:r>
        <w:t xml:space="preserve"> The report also examines and analyses the </w:t>
      </w:r>
      <w:r w:rsidRPr="00114C92">
        <w:t>role of multi-agency working in delivering coordinated support</w:t>
      </w:r>
      <w:r>
        <w:t xml:space="preserve"> regarding early help. After that a </w:t>
      </w:r>
      <w:r>
        <w:t>thorough</w:t>
      </w:r>
      <w:r>
        <w:t xml:space="preserve"> comparison among these organisations and their roles to Early Help system have been critical analysed and compared.</w:t>
      </w:r>
    </w:p>
    <w:p w14:paraId="746EB956" w14:textId="77777777" w:rsidR="0074149D" w:rsidRDefault="0074149D" w:rsidP="00C50A22"/>
    <w:p w14:paraId="5EBD7C2E" w14:textId="7447A84B" w:rsidR="0074149D" w:rsidRPr="0074149D" w:rsidRDefault="0074149D" w:rsidP="00C50A22">
      <w:pPr>
        <w:rPr>
          <w:b/>
          <w:bCs/>
          <w:sz w:val="32"/>
          <w:szCs w:val="32"/>
          <w:u w:val="single"/>
        </w:rPr>
      </w:pPr>
      <w:r w:rsidRPr="0074149D">
        <w:rPr>
          <w:b/>
          <w:bCs/>
          <w:sz w:val="32"/>
          <w:szCs w:val="32"/>
          <w:u w:val="single"/>
        </w:rPr>
        <w:t>An Explanation of the Early Help System</w:t>
      </w:r>
    </w:p>
    <w:p w14:paraId="3A98258E" w14:textId="009C5C15" w:rsidR="00C50A22" w:rsidRDefault="00C50A22" w:rsidP="00C50A22">
      <w:r w:rsidRPr="00114C92">
        <w:t>‘Early Help’</w:t>
      </w:r>
      <w:r>
        <w:t xml:space="preserve"> is referred a system that is applied to prevent the disease before its outbreak aiming </w:t>
      </w:r>
      <w:r w:rsidRPr="00114C92">
        <w:t>to identify and address emerging needs of children and families</w:t>
      </w:r>
      <w:r w:rsidRPr="00B63065">
        <w:t xml:space="preserve"> (Breen, 2019)</w:t>
      </w:r>
      <w:r>
        <w:t xml:space="preserve">. The early help system is effective to determine the needs or preventives measures before the problem </w:t>
      </w:r>
      <w:r w:rsidRPr="00114C92">
        <w:t>escalate into more serious safeguarding concerns.</w:t>
      </w:r>
      <w:r>
        <w:t xml:space="preserve"> </w:t>
      </w:r>
      <w:r w:rsidRPr="00114C92">
        <w:t>According to the Early Help System Guide</w:t>
      </w:r>
      <w:r>
        <w:t xml:space="preserve">, “Early Help” system involves in delivering support </w:t>
      </w:r>
      <w:r>
        <w:t>on time</w:t>
      </w:r>
      <w:r>
        <w:t xml:space="preserve">, </w:t>
      </w:r>
      <w:proofErr w:type="spellStart"/>
      <w:r>
        <w:t>organising</w:t>
      </w:r>
      <w:proofErr w:type="spellEnd"/>
      <w:r>
        <w:t xml:space="preserve"> the supporting to improve the outcomes and to decline the </w:t>
      </w:r>
      <w:r w:rsidRPr="00114C92">
        <w:t>need for statutory intervention</w:t>
      </w:r>
      <w:r>
        <w:t xml:space="preserve"> </w:t>
      </w:r>
      <w:r w:rsidRPr="00DD09E0">
        <w:t>(Allard et al., 2020)</w:t>
      </w:r>
      <w:r w:rsidRPr="00114C92">
        <w:t>.</w:t>
      </w:r>
      <w:r>
        <w:t xml:space="preserve"> This early help system prevents the full outbreak of the problem and it sometimes disregards the intermediation of the statutory guidelines of government. </w:t>
      </w:r>
    </w:p>
    <w:p w14:paraId="79E579FF" w14:textId="356A3F8B" w:rsidR="00C50A22" w:rsidRDefault="00C50A22" w:rsidP="00C50A22">
      <w:r>
        <w:t xml:space="preserve">“Early Help” system is </w:t>
      </w:r>
      <w:r>
        <w:t>followed</w:t>
      </w:r>
      <w:r>
        <w:t xml:space="preserve"> to the</w:t>
      </w:r>
      <w:r w:rsidRPr="005005CA">
        <w:t xml:space="preserve"> principle</w:t>
      </w:r>
      <w:r>
        <w:t xml:space="preserve"> that the </w:t>
      </w:r>
      <w:r w:rsidRPr="005005CA">
        <w:t>difficulties such as poor school attendance, family conflict, or financial hardship</w:t>
      </w:r>
      <w:r>
        <w:t xml:space="preserve"> might be addressed through the early identification and supports targeting the specific problem. The early identification and early support approach reflects the </w:t>
      </w:r>
      <w:r w:rsidRPr="005005CA">
        <w:t>reactive to proactive practice within health and social care.</w:t>
      </w:r>
      <w:r>
        <w:t xml:space="preserve"> the early help system </w:t>
      </w:r>
      <w:r>
        <w:t>combines</w:t>
      </w:r>
      <w:r>
        <w:t xml:space="preserve"> </w:t>
      </w:r>
      <w:r w:rsidRPr="005005CA">
        <w:t>multi-layered system</w:t>
      </w:r>
      <w:r>
        <w:t xml:space="preserve"> offering </w:t>
      </w:r>
      <w:r w:rsidRPr="005005CA">
        <w:t>assessment tools such as the Early Help Assessment (EHA), and coordinated intervention plans delivered through partnership working.</w:t>
      </w:r>
      <w:r>
        <w:t xml:space="preserve"> The early help system is not isolated system focusing a single problem rather its offers </w:t>
      </w:r>
      <w:r>
        <w:t>diverse</w:t>
      </w:r>
      <w:r>
        <w:t xml:space="preserve"> stakeholder’s support to prevent the problem in the society. </w:t>
      </w:r>
    </w:p>
    <w:p w14:paraId="7386326E" w14:textId="1DAFB430" w:rsidR="00C50A22" w:rsidRDefault="00C50A22" w:rsidP="00C50A22">
      <w:r>
        <w:t xml:space="preserve">The success of the approach surely </w:t>
      </w:r>
      <w:r w:rsidRPr="005005CA">
        <w:t xml:space="preserve">depends on how well it is </w:t>
      </w:r>
      <w:r>
        <w:t>showed</w:t>
      </w:r>
      <w:r w:rsidRPr="005005CA">
        <w:t xml:space="preserve"> and accessed by families.</w:t>
      </w:r>
      <w:r>
        <w:t xml:space="preserve"> Unclear information or vague direction from the families, might lead to failure </w:t>
      </w:r>
      <w:r w:rsidRPr="005005CA">
        <w:t>to engage at the earliest stage, increasing the risk of crisis intervention.</w:t>
      </w:r>
      <w:r>
        <w:t xml:space="preserve"> It can be </w:t>
      </w:r>
      <w:r>
        <w:t>explained</w:t>
      </w:r>
      <w:r>
        <w:t xml:space="preserve"> through an example, a parent </w:t>
      </w:r>
      <w:r w:rsidRPr="005005CA">
        <w:t xml:space="preserve">experiencing housing </w:t>
      </w:r>
      <w:r w:rsidR="00AC3BA1">
        <w:t>problems</w:t>
      </w:r>
      <w:r>
        <w:t xml:space="preserve"> and can be benefited from the </w:t>
      </w:r>
      <w:r>
        <w:lastRenderedPageBreak/>
        <w:t xml:space="preserve">Early Help approach but </w:t>
      </w:r>
      <w:r w:rsidRPr="005005CA">
        <w:t>without clear online guidance,</w:t>
      </w:r>
      <w:r>
        <w:t xml:space="preserve"> could not take the best benefit from the system.</w:t>
      </w:r>
    </w:p>
    <w:p w14:paraId="7E499D78" w14:textId="5C554994" w:rsidR="00C50A22" w:rsidRDefault="00C50A22" w:rsidP="00C50A22">
      <w:r>
        <w:t xml:space="preserve">The early system focuses on </w:t>
      </w:r>
      <w:r w:rsidRPr="005005CA">
        <w:t>consistency across local authorities</w:t>
      </w:r>
      <w:r>
        <w:t xml:space="preserve"> though the </w:t>
      </w:r>
      <w:r w:rsidRPr="005005CA">
        <w:t>delivery and communication vary significantly</w:t>
      </w:r>
      <w:r>
        <w:t xml:space="preserve"> </w:t>
      </w:r>
      <w:r w:rsidRPr="00B63065">
        <w:t>(Connor, 2020)</w:t>
      </w:r>
      <w:r w:rsidRPr="005005CA">
        <w:t>.</w:t>
      </w:r>
      <w:r>
        <w:t xml:space="preserve"> Inconsistencies in responding to crisis and </w:t>
      </w:r>
      <w:r w:rsidR="00AC3BA1">
        <w:t>taking</w:t>
      </w:r>
      <w:r>
        <w:t xml:space="preserve"> </w:t>
      </w:r>
      <w:r w:rsidR="00AC3BA1">
        <w:t>enough</w:t>
      </w:r>
      <w:r>
        <w:t xml:space="preserve"> information might </w:t>
      </w:r>
      <w:r w:rsidRPr="002B2F18">
        <w:t>create inequalities in access, where some families receive timely support</w:t>
      </w:r>
      <w:r>
        <w:t xml:space="preserve"> but some others might </w:t>
      </w:r>
      <w:r w:rsidRPr="002B2F18">
        <w:t>face barriers due to poor digital communication.</w:t>
      </w:r>
      <w:r>
        <w:t xml:space="preserve"> So, the stakeholders must be accessed to information or websites of the </w:t>
      </w:r>
      <w:proofErr w:type="spellStart"/>
      <w:r>
        <w:t>organisation</w:t>
      </w:r>
      <w:proofErr w:type="spellEnd"/>
      <w:r>
        <w:t xml:space="preserve"> which involves in delivering Early Help supports.</w:t>
      </w:r>
    </w:p>
    <w:p w14:paraId="78CD0095" w14:textId="77777777" w:rsidR="0074149D" w:rsidRDefault="0074149D" w:rsidP="00C50A22"/>
    <w:p w14:paraId="17EDFED9" w14:textId="2F4EE9C4" w:rsidR="0074149D" w:rsidRPr="0074149D" w:rsidRDefault="0074149D" w:rsidP="00C50A22">
      <w:pPr>
        <w:rPr>
          <w:b/>
          <w:bCs/>
          <w:sz w:val="32"/>
          <w:szCs w:val="32"/>
          <w:u w:val="single"/>
        </w:rPr>
      </w:pPr>
      <w:r w:rsidRPr="0074149D">
        <w:rPr>
          <w:b/>
          <w:bCs/>
          <w:sz w:val="32"/>
          <w:szCs w:val="32"/>
          <w:u w:val="single"/>
        </w:rPr>
        <w:t>An Explanation of Multi Agency Working</w:t>
      </w:r>
    </w:p>
    <w:p w14:paraId="30C5EA7B" w14:textId="11CA460C" w:rsidR="00C50A22" w:rsidRDefault="00C50A22" w:rsidP="00C50A22">
      <w:r w:rsidRPr="002B2F18">
        <w:t xml:space="preserve">Multi-agency working refers to the </w:t>
      </w:r>
      <w:r w:rsidR="00AC3BA1">
        <w:t>teamwork</w:t>
      </w:r>
      <w:r w:rsidRPr="002B2F18">
        <w:t xml:space="preserve"> between professionals from different sectors</w:t>
      </w:r>
      <w:r>
        <w:t xml:space="preserve">. Though these come from different expertise they can play interlinked performance to address the social problem by identifying the problem and </w:t>
      </w:r>
      <w:r w:rsidR="00AC3BA1">
        <w:t>reducing</w:t>
      </w:r>
      <w:r>
        <w:t xml:space="preserve"> the </w:t>
      </w:r>
      <w:r w:rsidR="00AC3BA1">
        <w:t>cause</w:t>
      </w:r>
      <w:r>
        <w:t xml:space="preserve"> of the problem. For example, they </w:t>
      </w:r>
      <w:r w:rsidR="00AC3BA1">
        <w:t>include</w:t>
      </w:r>
      <w:r>
        <w:t xml:space="preserve"> </w:t>
      </w:r>
      <w:r w:rsidRPr="002B2F18">
        <w:t>health,</w:t>
      </w:r>
      <w:r>
        <w:t xml:space="preserve"> government authorities,</w:t>
      </w:r>
      <w:r w:rsidRPr="002B2F18">
        <w:t xml:space="preserve"> education, social care, and voluntary organisations</w:t>
      </w:r>
      <w:r>
        <w:t xml:space="preserve"> and they can play role in supporting </w:t>
      </w:r>
      <w:r w:rsidRPr="002B2F18">
        <w:t>children and families effectively.</w:t>
      </w:r>
      <w:r>
        <w:t xml:space="preserve"> </w:t>
      </w:r>
      <w:r w:rsidRPr="002B2F18">
        <w:t>Working Together to Safeguard Children 2023</w:t>
      </w:r>
      <w:r>
        <w:t xml:space="preserve"> argued that the Early Help approach will be most effective once it welcomes muti-professional in the process of identifying the needs and delivering the needs because </w:t>
      </w:r>
      <w:r w:rsidRPr="002B2F18">
        <w:t>agencies share information, assess needs collectively, and deliver integrated support.</w:t>
      </w:r>
      <w:r>
        <w:t xml:space="preserve"> </w:t>
      </w:r>
    </w:p>
    <w:p w14:paraId="33C13CA9" w14:textId="44443829" w:rsidR="00C50A22" w:rsidRDefault="00C50A22" w:rsidP="00C50A22">
      <w:r>
        <w:t xml:space="preserve">The </w:t>
      </w:r>
      <w:r w:rsidRPr="002B2F18">
        <w:t>Early Help system</w:t>
      </w:r>
      <w:r>
        <w:t xml:space="preserve"> is grounded with the multi-agency approach because </w:t>
      </w:r>
      <w:r w:rsidRPr="002B2F18">
        <w:t xml:space="preserve">single agency can </w:t>
      </w:r>
      <w:r w:rsidR="00AC3BA1">
        <w:t>only</w:t>
      </w:r>
      <w:r>
        <w:t xml:space="preserve"> </w:t>
      </w:r>
      <w:r w:rsidRPr="002B2F18">
        <w:t xml:space="preserve">address the complex and </w:t>
      </w:r>
      <w:r w:rsidR="00AC3BA1">
        <w:t>related</w:t>
      </w:r>
      <w:r w:rsidRPr="002B2F18">
        <w:t xml:space="preserve"> needs of families.</w:t>
      </w:r>
      <w:r>
        <w:t xml:space="preserve"> When a child feels neglected from society and </w:t>
      </w:r>
      <w:r w:rsidRPr="002B2F18">
        <w:t>face educational challenges and health issues</w:t>
      </w:r>
      <w:r>
        <w:t xml:space="preserve"> </w:t>
      </w:r>
      <w:r w:rsidRPr="00B63065">
        <w:t>(Dari et al., 2019)</w:t>
      </w:r>
      <w:r>
        <w:t xml:space="preserve">. Here the teacher can’t solve this problem singly rather it requires collaboration among the </w:t>
      </w:r>
      <w:r w:rsidRPr="00191370">
        <w:t>teachers, social workers, and healthcare professionals</w:t>
      </w:r>
      <w:r>
        <w:t xml:space="preserve"> in order to ensure the support is </w:t>
      </w:r>
      <w:r w:rsidR="00AC3BA1">
        <w:t>a full</w:t>
      </w:r>
      <w:r w:rsidRPr="00191370">
        <w:t xml:space="preserve"> response</w:t>
      </w:r>
      <w:r>
        <w:t>.</w:t>
      </w:r>
    </w:p>
    <w:p w14:paraId="17410048" w14:textId="09F098CB" w:rsidR="00C50A22" w:rsidRDefault="00C50A22" w:rsidP="00C50A22">
      <w:r>
        <w:t xml:space="preserve">The multi-agency approach </w:t>
      </w:r>
      <w:r w:rsidR="00AC3BA1">
        <w:t>depends heavily</w:t>
      </w:r>
      <w:r>
        <w:t xml:space="preserve"> on</w:t>
      </w:r>
      <w:r w:rsidRPr="00191370">
        <w:t xml:space="preserve"> clear communication pathways, both between professionals and with families.</w:t>
      </w:r>
      <w:r>
        <w:t xml:space="preserve"> Here the local authority has effective role to play </w:t>
      </w:r>
      <w:r w:rsidRPr="00191370">
        <w:t>acting as a public access point for services.</w:t>
      </w:r>
      <w:r>
        <w:t xml:space="preserve"> Once the </w:t>
      </w:r>
      <w:r w:rsidRPr="00191370">
        <w:t>referral processes, available services, and contact details</w:t>
      </w:r>
      <w:r>
        <w:t xml:space="preserve"> are outlined in the websites for respective agencies, this process is expected to </w:t>
      </w:r>
      <w:r w:rsidR="00AC3BA1">
        <w:t>improve</w:t>
      </w:r>
      <w:r w:rsidRPr="00191370">
        <w:t xml:space="preserve"> coordination and early engagement.</w:t>
      </w:r>
      <w:r>
        <w:t xml:space="preserve"> Poorly structured website leads to confusion, messed up of roles identification for multi-agencies and </w:t>
      </w:r>
      <w:r w:rsidRPr="00191370">
        <w:t>limit</w:t>
      </w:r>
      <w:r>
        <w:t>s</w:t>
      </w:r>
      <w:r w:rsidRPr="00191370">
        <w:t xml:space="preserve"> both professional referrals and family self-referrals.</w:t>
      </w:r>
    </w:p>
    <w:p w14:paraId="33B47850" w14:textId="7C4A36FD" w:rsidR="00C50A22" w:rsidRDefault="00C50A22" w:rsidP="00C50A22">
      <w:r w:rsidRPr="00191370">
        <w:t>Working Together 2023</w:t>
      </w:r>
      <w:r>
        <w:t xml:space="preserve"> also </w:t>
      </w:r>
      <w:proofErr w:type="spellStart"/>
      <w:r>
        <w:t>emphasi</w:t>
      </w:r>
      <w:r w:rsidR="00AC3BA1">
        <w:t>s</w:t>
      </w:r>
      <w:r>
        <w:t>ed</w:t>
      </w:r>
      <w:proofErr w:type="spellEnd"/>
      <w:r>
        <w:t xml:space="preserve"> over the </w:t>
      </w:r>
      <w:r w:rsidRPr="00191370">
        <w:t>accountability and shared responsibility among agencies</w:t>
      </w:r>
      <w:r>
        <w:t xml:space="preserve"> because shared responsibilities improve the effectiveness of the task </w:t>
      </w:r>
      <w:r w:rsidRPr="00B63065">
        <w:t>(Dari et al., 2019)</w:t>
      </w:r>
      <w:r>
        <w:t xml:space="preserve">. Here the government agencies have effective role to play because the </w:t>
      </w:r>
      <w:r w:rsidRPr="00191370">
        <w:t xml:space="preserve">how local authorities present multi-agency support online can affect </w:t>
      </w:r>
      <w:r w:rsidR="00AC3BA1">
        <w:t>openness</w:t>
      </w:r>
      <w:r w:rsidRPr="00191370">
        <w:t>.</w:t>
      </w:r>
      <w:r>
        <w:t xml:space="preserve"> Some websites </w:t>
      </w:r>
      <w:r w:rsidRPr="00191370">
        <w:t xml:space="preserve">provide </w:t>
      </w:r>
      <w:r w:rsidR="00AC3BA1">
        <w:lastRenderedPageBreak/>
        <w:t>incomplete</w:t>
      </w:r>
      <w:r w:rsidRPr="00191370">
        <w:t xml:space="preserve"> information</w:t>
      </w:r>
      <w:r>
        <w:t xml:space="preserve"> that leading </w:t>
      </w:r>
      <w:r w:rsidRPr="00F17DAC">
        <w:t>difficult for families to understand the support network available to them</w:t>
      </w:r>
      <w:r w:rsidR="00AC3BA1">
        <w:t>.</w:t>
      </w:r>
    </w:p>
    <w:p w14:paraId="2E8B2379" w14:textId="77777777" w:rsidR="004A2CFC" w:rsidRDefault="004A2CFC" w:rsidP="00C50A22"/>
    <w:p w14:paraId="2D786AB5" w14:textId="2ADC97C0" w:rsidR="00C50A22" w:rsidRPr="0074149D" w:rsidRDefault="004A2CFC" w:rsidP="00C50A22">
      <w:pPr>
        <w:rPr>
          <w:b/>
          <w:bCs/>
          <w:sz w:val="32"/>
          <w:szCs w:val="32"/>
          <w:u w:val="single"/>
        </w:rPr>
      </w:pPr>
      <w:r w:rsidRPr="0074149D">
        <w:rPr>
          <w:b/>
          <w:bCs/>
          <w:sz w:val="32"/>
          <w:szCs w:val="32"/>
          <w:u w:val="single"/>
        </w:rPr>
        <w:t>An evaluation of each of your three local authority websites</w:t>
      </w:r>
    </w:p>
    <w:p w14:paraId="1536015F" w14:textId="77777777" w:rsidR="00C50A22" w:rsidRPr="007A06C4" w:rsidRDefault="00C50A22" w:rsidP="00C50A22">
      <w:pPr>
        <w:rPr>
          <w:b/>
          <w:bCs/>
        </w:rPr>
      </w:pPr>
      <w:r w:rsidRPr="007A06C4">
        <w:rPr>
          <w:b/>
          <w:bCs/>
        </w:rPr>
        <w:t xml:space="preserve">Leeds City Council </w:t>
      </w:r>
    </w:p>
    <w:p w14:paraId="53DF52D5" w14:textId="25E43708" w:rsidR="00C50A22" w:rsidRDefault="00C50A22" w:rsidP="00C50A22">
      <w:r w:rsidRPr="00DF318F">
        <w:t>The website of Leeds City Council</w:t>
      </w:r>
      <w:r>
        <w:t xml:space="preserve"> implemented the “Early Help” in websites with necessities regarding the early intervention. The website is </w:t>
      </w:r>
      <w:r w:rsidRPr="00DF318F">
        <w:t>clear structure</w:t>
      </w:r>
      <w:r>
        <w:t>d</w:t>
      </w:r>
      <w:r w:rsidRPr="00DF318F">
        <w:t xml:space="preserve"> and accessibl</w:t>
      </w:r>
      <w:r>
        <w:t xml:space="preserve">e that is the strength of the </w:t>
      </w:r>
      <w:proofErr w:type="spellStart"/>
      <w:r>
        <w:t>organisation</w:t>
      </w:r>
      <w:proofErr w:type="spellEnd"/>
      <w:r>
        <w:t xml:space="preserve"> and the “Early Help” </w:t>
      </w:r>
      <w:r w:rsidRPr="007A06C4">
        <w:t xml:space="preserve">is </w:t>
      </w:r>
      <w:r w:rsidR="00AC3BA1">
        <w:t>clearly</w:t>
      </w:r>
      <w:r w:rsidRPr="007A06C4">
        <w:t xml:space="preserve"> </w:t>
      </w:r>
      <w:r w:rsidR="00AC3BA1">
        <w:t>placed</w:t>
      </w:r>
      <w:r w:rsidRPr="007A06C4">
        <w:t xml:space="preserve"> within children and family services</w:t>
      </w:r>
      <w:r>
        <w:t xml:space="preserve"> </w:t>
      </w:r>
      <w:r w:rsidRPr="00B63065">
        <w:t>(Feldman, 2018)</w:t>
      </w:r>
      <w:r w:rsidRPr="007A06C4">
        <w:t>.</w:t>
      </w:r>
      <w:r>
        <w:t xml:space="preserve"> For this reason, the users can identify the </w:t>
      </w:r>
      <w:r w:rsidRPr="007A06C4">
        <w:t xml:space="preserve">relevant content with minimal navigation, which is </w:t>
      </w:r>
      <w:r w:rsidR="00AC3BA1">
        <w:t>important</w:t>
      </w:r>
      <w:r w:rsidRPr="007A06C4">
        <w:t xml:space="preserve"> for families seeking urgent support.</w:t>
      </w:r>
      <w:r>
        <w:t xml:space="preserve"> The website also delivers the </w:t>
      </w:r>
      <w:r w:rsidRPr="007A06C4">
        <w:t>clear explanation of Early Help</w:t>
      </w:r>
      <w:r>
        <w:t xml:space="preserve">. Here the reader can take a view over the </w:t>
      </w:r>
      <w:r w:rsidRPr="007A06C4">
        <w:t>purpose, eligibility, and the types of support available, including parenting programmes and youth services.</w:t>
      </w:r>
      <w:r>
        <w:t xml:space="preserve"> For this reason, it has been very easy for the stakeholders, government authorities to understand purposes of “Early Help” approach set by </w:t>
      </w:r>
      <w:r w:rsidRPr="007A06C4">
        <w:t>Leeds City Council</w:t>
      </w:r>
      <w:r>
        <w:t>.</w:t>
      </w:r>
    </w:p>
    <w:p w14:paraId="39798D7F" w14:textId="48EDC036" w:rsidR="00C50A22" w:rsidRDefault="00C50A22" w:rsidP="00C50A22">
      <w:r w:rsidRPr="007A06C4">
        <w:t xml:space="preserve">Leeds City Council </w:t>
      </w:r>
      <w:r>
        <w:t xml:space="preserve">implements a </w:t>
      </w:r>
      <w:r w:rsidRPr="007A06C4">
        <w:t>user</w:t>
      </w:r>
      <w:r w:rsidR="00AC3BA1">
        <w:t xml:space="preserve"> based</w:t>
      </w:r>
      <w:r w:rsidRPr="007A06C4">
        <w:t xml:space="preserve"> communication styl</w:t>
      </w:r>
      <w:r>
        <w:t xml:space="preserve">e that uses the </w:t>
      </w:r>
      <w:r w:rsidRPr="007A06C4">
        <w:t xml:space="preserve">plain English to ensure accessibility for a wide audience. </w:t>
      </w:r>
      <w:r>
        <w:t xml:space="preserve">This action of the </w:t>
      </w:r>
      <w:proofErr w:type="spellStart"/>
      <w:r>
        <w:t>organisation</w:t>
      </w:r>
      <w:proofErr w:type="spellEnd"/>
      <w:r>
        <w:t xml:space="preserve"> represents the </w:t>
      </w:r>
      <w:r w:rsidRPr="007A06C4">
        <w:t>principles of early intervention</w:t>
      </w:r>
      <w:r>
        <w:t xml:space="preserve"> because families feel valued and engaged once they find the information easy to understand. The </w:t>
      </w:r>
      <w:r w:rsidRPr="007A06C4">
        <w:t xml:space="preserve">self-referral pathways and visible contact details </w:t>
      </w:r>
      <w:r>
        <w:t xml:space="preserve">have improved the access helping the families seek </w:t>
      </w:r>
      <w:r w:rsidRPr="007A06C4">
        <w:t>help independently</w:t>
      </w:r>
      <w:r>
        <w:t xml:space="preserve"> whenever they need help.</w:t>
      </w:r>
    </w:p>
    <w:p w14:paraId="07360BFE" w14:textId="77777777" w:rsidR="00C50A22" w:rsidRDefault="00C50A22" w:rsidP="00C50A22">
      <w:pPr>
        <w:rPr>
          <w:b/>
          <w:bCs/>
        </w:rPr>
      </w:pPr>
      <w:r w:rsidRPr="007A06C4">
        <w:rPr>
          <w:b/>
          <w:bCs/>
        </w:rPr>
        <w:t>Norfolk County Council</w:t>
      </w:r>
    </w:p>
    <w:p w14:paraId="3F76D45C" w14:textId="16ACA1BB" w:rsidR="00C50A22" w:rsidRDefault="00C50A22" w:rsidP="00C50A22">
      <w:r w:rsidRPr="007A06C4">
        <w:t>Norfolk County Council</w:t>
      </w:r>
      <w:r>
        <w:t xml:space="preserve"> is </w:t>
      </w:r>
      <w:r w:rsidR="00AC3BA1">
        <w:t>known</w:t>
      </w:r>
      <w:r>
        <w:t xml:space="preserve"> for delivering early intervention approach for the people and </w:t>
      </w:r>
      <w:r w:rsidRPr="007A06C4">
        <w:t xml:space="preserve">provides a </w:t>
      </w:r>
      <w:r w:rsidR="00AC3BA1">
        <w:t>detailed</w:t>
      </w:r>
      <w:r w:rsidRPr="007A06C4">
        <w:t xml:space="preserve"> but less accessible presentation of Early Help services.</w:t>
      </w:r>
      <w:r>
        <w:t xml:space="preserve"> The website of the </w:t>
      </w:r>
      <w:proofErr w:type="spellStart"/>
      <w:r>
        <w:t>organisation</w:t>
      </w:r>
      <w:proofErr w:type="spellEnd"/>
      <w:r>
        <w:t xml:space="preserve"> also presents necessary information regarding the available support like </w:t>
      </w:r>
      <w:r w:rsidRPr="007A06C4">
        <w:t>safeguarding processes and assessment frameworks</w:t>
      </w:r>
      <w:r>
        <w:t xml:space="preserve"> </w:t>
      </w:r>
      <w:r w:rsidRPr="00B63065">
        <w:t>(Gire, 2023)</w:t>
      </w:r>
      <w:r w:rsidRPr="007A06C4">
        <w:t>.</w:t>
      </w:r>
      <w:r>
        <w:t xml:space="preserve"> The presentation of the necessary information of the </w:t>
      </w:r>
      <w:proofErr w:type="spellStart"/>
      <w:r>
        <w:t>organisation</w:t>
      </w:r>
      <w:proofErr w:type="spellEnd"/>
      <w:r>
        <w:t xml:space="preserve"> regarding Early Help also is </w:t>
      </w:r>
      <w:r w:rsidR="00AC3BA1">
        <w:t>in line</w:t>
      </w:r>
      <w:r>
        <w:t xml:space="preserve"> with the </w:t>
      </w:r>
      <w:r w:rsidRPr="007A06C4">
        <w:t>statutory guidance.</w:t>
      </w:r>
    </w:p>
    <w:p w14:paraId="4CBD9308" w14:textId="1C50C478" w:rsidR="00C50A22" w:rsidRDefault="00C50A22" w:rsidP="00C50A22">
      <w:r>
        <w:t xml:space="preserve">But the website does not reflect easiness and flexibilities regarding the information collection. The </w:t>
      </w:r>
      <w:r w:rsidRPr="00D27120">
        <w:t>effectiveness of this information is limited by complex navigation and formal language.</w:t>
      </w:r>
      <w:r>
        <w:t xml:space="preserve"> Here the users are expected to </w:t>
      </w:r>
      <w:r w:rsidRPr="00D27120">
        <w:t>move through multiple sections</w:t>
      </w:r>
      <w:r>
        <w:t xml:space="preserve"> to extract information and locate the </w:t>
      </w:r>
      <w:r w:rsidR="00AC3BA1">
        <w:t>similar</w:t>
      </w:r>
      <w:r>
        <w:t xml:space="preserve"> </w:t>
      </w:r>
      <w:r w:rsidRPr="00D27120">
        <w:t>details</w:t>
      </w:r>
      <w:r>
        <w:t xml:space="preserve"> and detailed services they are expecting. This messed up presentation creates </w:t>
      </w:r>
      <w:r w:rsidRPr="00D27120">
        <w:t>barriers for families experiencing stress or crisis</w:t>
      </w:r>
      <w:r>
        <w:t xml:space="preserve"> </w:t>
      </w:r>
      <w:r w:rsidRPr="00B63065">
        <w:t>(Valença and Oliveira, 2025)</w:t>
      </w:r>
      <w:r w:rsidRPr="00D27120">
        <w:t>.</w:t>
      </w:r>
      <w:r>
        <w:t xml:space="preserve"> However, the </w:t>
      </w:r>
      <w:r w:rsidRPr="00D27120">
        <w:t>use of technical terminology</w:t>
      </w:r>
      <w:r>
        <w:t xml:space="preserve"> </w:t>
      </w:r>
      <w:r w:rsidR="00AC3BA1">
        <w:t>increases</w:t>
      </w:r>
      <w:r>
        <w:t xml:space="preserve"> the </w:t>
      </w:r>
      <w:r w:rsidR="00AC3BA1">
        <w:t>difficulties</w:t>
      </w:r>
      <w:r>
        <w:t xml:space="preserve"> of the information understanding without the intervention of the </w:t>
      </w:r>
      <w:r w:rsidRPr="00D27120">
        <w:t>professional knowledge of health and social care systems.</w:t>
      </w:r>
      <w:r>
        <w:t xml:space="preserve"> More importantly, the </w:t>
      </w:r>
      <w:r w:rsidRPr="006523EB">
        <w:t>referral information is available</w:t>
      </w:r>
      <w:r>
        <w:t xml:space="preserve"> but the presentation or lay out of the information is not </w:t>
      </w:r>
      <w:r w:rsidRPr="006523EB">
        <w:t>clear, step-by-step format</w:t>
      </w:r>
      <w:r>
        <w:t xml:space="preserve"> discouraging the users to get referral. </w:t>
      </w:r>
      <w:r w:rsidR="00AC3BA1">
        <w:lastRenderedPageBreak/>
        <w:t>Ho</w:t>
      </w:r>
      <w:r>
        <w:t xml:space="preserve">wever, </w:t>
      </w:r>
      <w:r w:rsidRPr="006523EB">
        <w:t>Norfolk’s website</w:t>
      </w:r>
      <w:r>
        <w:t xml:space="preserve"> has been able to </w:t>
      </w:r>
      <w:r w:rsidRPr="006523EB">
        <w:t>provide valuable resources</w:t>
      </w:r>
      <w:r>
        <w:t xml:space="preserve"> that are necessary for the families going through crisis.</w:t>
      </w:r>
    </w:p>
    <w:p w14:paraId="1FBE69EF" w14:textId="77777777" w:rsidR="00C50A22" w:rsidRPr="006523EB" w:rsidRDefault="00C50A22" w:rsidP="00C50A22">
      <w:pPr>
        <w:rPr>
          <w:b/>
          <w:bCs/>
        </w:rPr>
      </w:pPr>
      <w:r w:rsidRPr="006523EB">
        <w:rPr>
          <w:b/>
          <w:bCs/>
        </w:rPr>
        <w:t>Tower Hamlets Council</w:t>
      </w:r>
    </w:p>
    <w:p w14:paraId="66F2A900" w14:textId="65939197" w:rsidR="00C50A22" w:rsidRDefault="00C50A22" w:rsidP="00C50A22">
      <w:r>
        <w:t xml:space="preserve">The </w:t>
      </w:r>
      <w:r w:rsidRPr="006523EB">
        <w:t>website</w:t>
      </w:r>
      <w:r>
        <w:t xml:space="preserve"> of </w:t>
      </w:r>
      <w:r w:rsidRPr="006523EB">
        <w:t>Tower Hamlets Council</w:t>
      </w:r>
      <w:r>
        <w:t xml:space="preserve"> </w:t>
      </w:r>
      <w:r w:rsidRPr="006523EB">
        <w:t>presents Early Help services in a more limited and less structured manner</w:t>
      </w:r>
      <w:r>
        <w:t xml:space="preserve"> that does not reflects accessibility to local people, effective communication </w:t>
      </w:r>
      <w:r w:rsidRPr="00B63065">
        <w:t>(Griffiths, 2020)</w:t>
      </w:r>
      <w:r>
        <w:t>. In addition, E</w:t>
      </w:r>
      <w:r w:rsidRPr="006523EB">
        <w:t xml:space="preserve">arly Help is not always clearly defined or </w:t>
      </w:r>
      <w:r w:rsidR="004A2CFC">
        <w:t>easy to find</w:t>
      </w:r>
      <w:r>
        <w:t xml:space="preserve">, though there available some information for </w:t>
      </w:r>
      <w:r w:rsidRPr="006523EB">
        <w:t>family support services</w:t>
      </w:r>
      <w:r>
        <w:t xml:space="preserve">. More importantly, </w:t>
      </w:r>
      <w:r w:rsidRPr="006523EB">
        <w:t>lack of visibility</w:t>
      </w:r>
      <w:r>
        <w:t xml:space="preserve"> of information, guidelines and signposts </w:t>
      </w:r>
      <w:r w:rsidRPr="006523EB">
        <w:t xml:space="preserve">prevent families from </w:t>
      </w:r>
      <w:proofErr w:type="spellStart"/>
      <w:r w:rsidRPr="006523EB">
        <w:t>recognising</w:t>
      </w:r>
      <w:proofErr w:type="spellEnd"/>
      <w:r w:rsidRPr="006523EB">
        <w:t xml:space="preserve"> the availability of </w:t>
      </w:r>
      <w:r w:rsidR="004A2CFC">
        <w:t>preventing</w:t>
      </w:r>
      <w:r w:rsidRPr="006523EB">
        <w:t xml:space="preserve"> support.</w:t>
      </w:r>
    </w:p>
    <w:p w14:paraId="064A412A" w14:textId="0FF20A47" w:rsidR="00C50A22" w:rsidRDefault="00C50A22" w:rsidP="00C50A22">
      <w:r>
        <w:t xml:space="preserve">The </w:t>
      </w:r>
      <w:r w:rsidRPr="006523EB">
        <w:t>lack of detailed explanation</w:t>
      </w:r>
      <w:r>
        <w:t xml:space="preserve"> is found as the key limitation of the </w:t>
      </w:r>
      <w:proofErr w:type="spellStart"/>
      <w:r>
        <w:t>organisation</w:t>
      </w:r>
      <w:proofErr w:type="spellEnd"/>
      <w:r>
        <w:t xml:space="preserve"> and the </w:t>
      </w:r>
      <w:r w:rsidR="004A2CFC">
        <w:t>scale</w:t>
      </w:r>
      <w:r>
        <w:t xml:space="preserve"> of early help is limited. This </w:t>
      </w:r>
      <w:proofErr w:type="spellStart"/>
      <w:r>
        <w:t>organisation</w:t>
      </w:r>
      <w:proofErr w:type="spellEnd"/>
      <w:r>
        <w:t xml:space="preserve"> simply </w:t>
      </w:r>
      <w:r w:rsidRPr="006523EB">
        <w:t>provides only brief descriptions</w:t>
      </w:r>
      <w:r>
        <w:t xml:space="preserve"> regarding the service they offer through the websites. In addition, this information </w:t>
      </w:r>
      <w:r w:rsidRPr="006523EB">
        <w:t xml:space="preserve">may not be </w:t>
      </w:r>
      <w:r w:rsidR="004A2CFC">
        <w:t>enough</w:t>
      </w:r>
      <w:r w:rsidRPr="006523EB">
        <w:t xml:space="preserve"> for families to understand how support can meet their specific needs.</w:t>
      </w:r>
      <w:r>
        <w:t xml:space="preserve"> The referral processes they </w:t>
      </w:r>
      <w:proofErr w:type="spellStart"/>
      <w:r>
        <w:t>organisation</w:t>
      </w:r>
      <w:proofErr w:type="spellEnd"/>
      <w:r>
        <w:t xml:space="preserve"> offers does not reflect </w:t>
      </w:r>
      <w:r w:rsidR="004A2CFC">
        <w:t>explaination</w:t>
      </w:r>
      <w:r>
        <w:t xml:space="preserve">, understanding and creates </w:t>
      </w:r>
      <w:r w:rsidRPr="00562417">
        <w:t>confusion about how to access services.</w:t>
      </w:r>
      <w:r>
        <w:t xml:space="preserve"> The website also presents </w:t>
      </w:r>
      <w:r w:rsidRPr="00562417">
        <w:t>minimal information on multi-agency working</w:t>
      </w:r>
      <w:r>
        <w:t xml:space="preserve"> that limits the </w:t>
      </w:r>
      <w:r w:rsidRPr="00562417">
        <w:t>transparency regarding how services are coordinated</w:t>
      </w:r>
      <w:r>
        <w:t xml:space="preserve"> </w:t>
      </w:r>
      <w:r w:rsidRPr="00B63065">
        <w:t xml:space="preserve">(Pillai, </w:t>
      </w:r>
      <w:proofErr w:type="spellStart"/>
      <w:r w:rsidRPr="00B63065">
        <w:t>Maamouri</w:t>
      </w:r>
      <w:proofErr w:type="spellEnd"/>
      <w:r w:rsidRPr="00B63065">
        <w:t xml:space="preserve"> and Temte, 2024)</w:t>
      </w:r>
      <w:r w:rsidRPr="00562417">
        <w:t>.</w:t>
      </w:r>
      <w:r>
        <w:t xml:space="preserve"> The professional intervention and intermediation in understanding the process might clarify the understanding.</w:t>
      </w:r>
    </w:p>
    <w:p w14:paraId="69B2ABC4" w14:textId="77777777" w:rsidR="00C50A22" w:rsidRDefault="00C50A22" w:rsidP="00C50A22"/>
    <w:p w14:paraId="3C2B2416" w14:textId="017208EA" w:rsidR="00C50A22" w:rsidRDefault="00C50A22" w:rsidP="004A2CFC">
      <w:r>
        <w:br w:type="page"/>
      </w:r>
    </w:p>
    <w:tbl>
      <w:tblPr>
        <w:tblStyle w:val="TableGrid"/>
        <w:tblpPr w:leftFromText="180" w:rightFromText="180" w:vertAnchor="page" w:horzAnchor="margin" w:tblpXSpec="center" w:tblpY="2531"/>
        <w:tblW w:w="10170" w:type="dxa"/>
        <w:tblLook w:val="04A0" w:firstRow="1" w:lastRow="0" w:firstColumn="1" w:lastColumn="0" w:noHBand="0" w:noVBand="1"/>
      </w:tblPr>
      <w:tblGrid>
        <w:gridCol w:w="1620"/>
        <w:gridCol w:w="3097"/>
        <w:gridCol w:w="2531"/>
        <w:gridCol w:w="2922"/>
      </w:tblGrid>
      <w:tr w:rsidR="00C50A22" w:rsidRPr="00194660" w14:paraId="5CC08572" w14:textId="77777777" w:rsidTr="0074149D">
        <w:tc>
          <w:tcPr>
            <w:tcW w:w="1620" w:type="dxa"/>
            <w:shd w:val="clear" w:color="auto" w:fill="000000" w:themeFill="text1"/>
            <w:hideMark/>
          </w:tcPr>
          <w:p w14:paraId="5E1431AA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lastRenderedPageBreak/>
              <w:t>Aspect</w:t>
            </w:r>
          </w:p>
        </w:tc>
        <w:tc>
          <w:tcPr>
            <w:tcW w:w="3097" w:type="dxa"/>
            <w:shd w:val="clear" w:color="auto" w:fill="000000" w:themeFill="text1"/>
            <w:hideMark/>
          </w:tcPr>
          <w:p w14:paraId="47C22026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Leeds City Council</w:t>
            </w:r>
          </w:p>
        </w:tc>
        <w:tc>
          <w:tcPr>
            <w:tcW w:w="0" w:type="auto"/>
            <w:shd w:val="clear" w:color="auto" w:fill="000000" w:themeFill="text1"/>
            <w:hideMark/>
          </w:tcPr>
          <w:p w14:paraId="7D582007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Norfolk County Council</w:t>
            </w:r>
          </w:p>
        </w:tc>
        <w:tc>
          <w:tcPr>
            <w:tcW w:w="2922" w:type="dxa"/>
            <w:shd w:val="clear" w:color="auto" w:fill="000000" w:themeFill="text1"/>
            <w:hideMark/>
          </w:tcPr>
          <w:p w14:paraId="38D19EA9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Tower Hamlets Council</w:t>
            </w:r>
          </w:p>
        </w:tc>
      </w:tr>
      <w:tr w:rsidR="00C50A22" w:rsidRPr="00194660" w14:paraId="6D0C3CC4" w14:textId="77777777" w:rsidTr="0074149D">
        <w:tc>
          <w:tcPr>
            <w:tcW w:w="1620" w:type="dxa"/>
            <w:hideMark/>
          </w:tcPr>
          <w:p w14:paraId="60CC4E43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Clarity of Early Help information</w:t>
            </w:r>
          </w:p>
        </w:tc>
        <w:tc>
          <w:tcPr>
            <w:tcW w:w="3097" w:type="dxa"/>
            <w:hideMark/>
          </w:tcPr>
          <w:p w14:paraId="18E3571B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Very clear – Early Help defined with purpose, examples of services, and eligibility criteria. Users can understand what support is available and why it matters.</w:t>
            </w:r>
          </w:p>
        </w:tc>
        <w:tc>
          <w:tcPr>
            <w:tcW w:w="0" w:type="auto"/>
            <w:hideMark/>
          </w:tcPr>
          <w:p w14:paraId="64915676" w14:textId="3416F534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Moderate – definition present but embedded in policy-heavy text; families may struggle to quickly </w:t>
            </w:r>
            <w:r w:rsidR="004A2CFC">
              <w:rPr>
                <w:sz w:val="20"/>
                <w:szCs w:val="28"/>
              </w:rPr>
              <w:t>understand</w:t>
            </w:r>
            <w:r w:rsidRPr="00194660">
              <w:rPr>
                <w:sz w:val="20"/>
                <w:szCs w:val="28"/>
              </w:rPr>
              <w:t xml:space="preserve"> purpose or services.</w:t>
            </w:r>
          </w:p>
        </w:tc>
        <w:tc>
          <w:tcPr>
            <w:tcW w:w="2922" w:type="dxa"/>
            <w:hideMark/>
          </w:tcPr>
          <w:p w14:paraId="36AEDACA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 – Early Help is not clearly explained; assumes prior knowledge, making it difficult for new users to engage.</w:t>
            </w:r>
          </w:p>
        </w:tc>
      </w:tr>
      <w:tr w:rsidR="00C50A22" w:rsidRPr="00194660" w14:paraId="5965F984" w14:textId="77777777" w:rsidTr="0074149D">
        <w:tc>
          <w:tcPr>
            <w:tcW w:w="1620" w:type="dxa"/>
            <w:hideMark/>
          </w:tcPr>
          <w:p w14:paraId="09840CB0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Navigation and accessibility</w:t>
            </w:r>
          </w:p>
        </w:tc>
        <w:tc>
          <w:tcPr>
            <w:tcW w:w="3097" w:type="dxa"/>
            <w:hideMark/>
          </w:tcPr>
          <w:p w14:paraId="29E77B8E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Strength – logically structured, Early Help visible within 2–3 clicks from main children/family’s page; supports quick access for families in need</w:t>
            </w:r>
            <w:r>
              <w:rPr>
                <w:sz w:val="20"/>
                <w:szCs w:val="28"/>
              </w:rPr>
              <w:t xml:space="preserve"> </w:t>
            </w:r>
            <w:r w:rsidRPr="00B63065">
              <w:rPr>
                <w:sz w:val="20"/>
                <w:szCs w:val="28"/>
              </w:rPr>
              <w:t>(Lynch and Browne, 2023)</w:t>
            </w:r>
            <w:r w:rsidRPr="00194660">
              <w:rPr>
                <w:sz w:val="20"/>
                <w:szCs w:val="28"/>
              </w:rPr>
              <w:t>.</w:t>
            </w:r>
          </w:p>
        </w:tc>
        <w:tc>
          <w:tcPr>
            <w:tcW w:w="0" w:type="auto"/>
            <w:hideMark/>
          </w:tcPr>
          <w:p w14:paraId="307BB23B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Weakness – information spread across multiple pages; requires several clicks and searching, potentially delaying access.</w:t>
            </w:r>
          </w:p>
        </w:tc>
        <w:tc>
          <w:tcPr>
            <w:tcW w:w="2922" w:type="dxa"/>
            <w:hideMark/>
          </w:tcPr>
          <w:p w14:paraId="14714B64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Weakness – inconsistent pathways; Early Help buried under general family support pages, increasing user confusion.</w:t>
            </w:r>
          </w:p>
        </w:tc>
      </w:tr>
      <w:tr w:rsidR="00C50A22" w:rsidRPr="00194660" w14:paraId="0B3CB157" w14:textId="77777777" w:rsidTr="0074149D">
        <w:tc>
          <w:tcPr>
            <w:tcW w:w="1620" w:type="dxa"/>
            <w:hideMark/>
          </w:tcPr>
          <w:p w14:paraId="38223404" w14:textId="16073C52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Detail</w:t>
            </w:r>
            <w:r w:rsidR="004A2CFC">
              <w:rPr>
                <w:sz w:val="20"/>
                <w:szCs w:val="28"/>
              </w:rPr>
              <w:t xml:space="preserve"> </w:t>
            </w:r>
            <w:r w:rsidRPr="00194660">
              <w:rPr>
                <w:sz w:val="20"/>
                <w:szCs w:val="28"/>
              </w:rPr>
              <w:t>of support services</w:t>
            </w:r>
          </w:p>
        </w:tc>
        <w:tc>
          <w:tcPr>
            <w:tcW w:w="3097" w:type="dxa"/>
            <w:hideMark/>
          </w:tcPr>
          <w:p w14:paraId="133248FC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Balanced – lists parenting support, youth programs, mental health advice, and practical guidance; not overwhelming.</w:t>
            </w:r>
          </w:p>
        </w:tc>
        <w:tc>
          <w:tcPr>
            <w:tcW w:w="0" w:type="auto"/>
            <w:hideMark/>
          </w:tcPr>
          <w:p w14:paraId="0B26A29F" w14:textId="20D41029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Strength – </w:t>
            </w:r>
            <w:r w:rsidR="004A2CFC">
              <w:rPr>
                <w:sz w:val="20"/>
                <w:szCs w:val="28"/>
              </w:rPr>
              <w:t xml:space="preserve">full </w:t>
            </w:r>
            <w:r w:rsidRPr="00194660">
              <w:rPr>
                <w:sz w:val="20"/>
                <w:szCs w:val="28"/>
              </w:rPr>
              <w:t xml:space="preserve"> coverage of services, including safeguarding procedures and assessment frameworks; detailed but </w:t>
            </w:r>
            <w:r w:rsidR="004A2CFC">
              <w:rPr>
                <w:sz w:val="20"/>
                <w:szCs w:val="28"/>
              </w:rPr>
              <w:t>scattered</w:t>
            </w:r>
            <w:r w:rsidRPr="00194660">
              <w:rPr>
                <w:sz w:val="20"/>
                <w:szCs w:val="28"/>
              </w:rPr>
              <w:t>.</w:t>
            </w:r>
          </w:p>
        </w:tc>
        <w:tc>
          <w:tcPr>
            <w:tcW w:w="2922" w:type="dxa"/>
            <w:hideMark/>
          </w:tcPr>
          <w:p w14:paraId="643974A4" w14:textId="2ECE353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Weakness – only general listing of services; lacks structured breakdown, </w:t>
            </w:r>
            <w:r w:rsidR="004A2CFC">
              <w:rPr>
                <w:sz w:val="20"/>
                <w:szCs w:val="28"/>
              </w:rPr>
              <w:t xml:space="preserve">making is less useful </w:t>
            </w:r>
            <w:r w:rsidRPr="00B63065">
              <w:rPr>
                <w:sz w:val="20"/>
                <w:szCs w:val="28"/>
              </w:rPr>
              <w:t>(</w:t>
            </w:r>
            <w:proofErr w:type="spellStart"/>
            <w:r w:rsidRPr="00B63065">
              <w:rPr>
                <w:sz w:val="20"/>
                <w:szCs w:val="28"/>
              </w:rPr>
              <w:t>Movahedazarhouligh</w:t>
            </w:r>
            <w:proofErr w:type="spellEnd"/>
            <w:r w:rsidRPr="00B63065">
              <w:rPr>
                <w:sz w:val="20"/>
                <w:szCs w:val="28"/>
              </w:rPr>
              <w:t>, 2021)</w:t>
            </w:r>
            <w:r w:rsidRPr="00194660">
              <w:rPr>
                <w:sz w:val="20"/>
                <w:szCs w:val="28"/>
              </w:rPr>
              <w:t>.</w:t>
            </w:r>
          </w:p>
        </w:tc>
      </w:tr>
      <w:tr w:rsidR="00C50A22" w:rsidRPr="00194660" w14:paraId="3B243EF3" w14:textId="77777777" w:rsidTr="0074149D">
        <w:tc>
          <w:tcPr>
            <w:tcW w:w="1620" w:type="dxa"/>
            <w:hideMark/>
          </w:tcPr>
          <w:p w14:paraId="326C1074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Language and readability</w:t>
            </w:r>
          </w:p>
        </w:tc>
        <w:tc>
          <w:tcPr>
            <w:tcW w:w="3097" w:type="dxa"/>
            <w:hideMark/>
          </w:tcPr>
          <w:p w14:paraId="76BFEE4E" w14:textId="7D8C52E2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Strength – plain English, user-friendly, family-</w:t>
            </w:r>
            <w:proofErr w:type="spellStart"/>
            <w:r w:rsidR="004A2CFC" w:rsidRPr="00194660">
              <w:rPr>
                <w:sz w:val="20"/>
                <w:szCs w:val="28"/>
              </w:rPr>
              <w:t>cen</w:t>
            </w:r>
            <w:r w:rsidR="001F155C">
              <w:rPr>
                <w:sz w:val="20"/>
                <w:szCs w:val="28"/>
              </w:rPr>
              <w:t>tr</w:t>
            </w:r>
            <w:r w:rsidR="004A2CFC" w:rsidRPr="00194660">
              <w:rPr>
                <w:sz w:val="20"/>
                <w:szCs w:val="28"/>
              </w:rPr>
              <w:t>ed</w:t>
            </w:r>
            <w:proofErr w:type="spellEnd"/>
            <w:r w:rsidRPr="00194660">
              <w:rPr>
                <w:sz w:val="20"/>
                <w:szCs w:val="28"/>
              </w:rPr>
              <w:t xml:space="preserve"> tone; supports engagement and understanding.</w:t>
            </w:r>
          </w:p>
        </w:tc>
        <w:tc>
          <w:tcPr>
            <w:tcW w:w="0" w:type="auto"/>
            <w:hideMark/>
          </w:tcPr>
          <w:p w14:paraId="3C262112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Weakness – formal, technical language; may exclude families unfamiliar with safeguarding terminology.</w:t>
            </w:r>
          </w:p>
        </w:tc>
        <w:tc>
          <w:tcPr>
            <w:tcW w:w="2922" w:type="dxa"/>
            <w:hideMark/>
          </w:tcPr>
          <w:p w14:paraId="1DCF7766" w14:textId="5F54C2E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Weakness – mixed clarity; some sections readable, others use </w:t>
            </w:r>
            <w:r w:rsidR="004A2CFC">
              <w:rPr>
                <w:sz w:val="20"/>
                <w:szCs w:val="28"/>
              </w:rPr>
              <w:t>difficult words</w:t>
            </w:r>
            <w:r w:rsidRPr="00194660">
              <w:rPr>
                <w:sz w:val="20"/>
                <w:szCs w:val="28"/>
              </w:rPr>
              <w:t xml:space="preserve">, reducing </w:t>
            </w:r>
            <w:r w:rsidR="004A2CFC">
              <w:rPr>
                <w:sz w:val="20"/>
                <w:szCs w:val="28"/>
              </w:rPr>
              <w:t>understanding</w:t>
            </w:r>
            <w:r w:rsidRPr="00194660">
              <w:rPr>
                <w:sz w:val="20"/>
                <w:szCs w:val="28"/>
              </w:rPr>
              <w:t>.</w:t>
            </w:r>
          </w:p>
        </w:tc>
      </w:tr>
      <w:tr w:rsidR="00C50A22" w:rsidRPr="00194660" w14:paraId="7CA71DA5" w14:textId="77777777" w:rsidTr="0074149D">
        <w:tc>
          <w:tcPr>
            <w:tcW w:w="1620" w:type="dxa"/>
            <w:hideMark/>
          </w:tcPr>
          <w:p w14:paraId="788FC146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Referral guidance</w:t>
            </w:r>
          </w:p>
        </w:tc>
        <w:tc>
          <w:tcPr>
            <w:tcW w:w="3097" w:type="dxa"/>
            <w:hideMark/>
          </w:tcPr>
          <w:p w14:paraId="3DF681D5" w14:textId="040E976D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Strong – step-by-step self-referral and professional referral pathways; contact info </w:t>
            </w:r>
            <w:r w:rsidR="004A2CFC">
              <w:rPr>
                <w:sz w:val="20"/>
                <w:szCs w:val="28"/>
              </w:rPr>
              <w:t>clearly shown</w:t>
            </w:r>
            <w:r w:rsidRPr="00194660">
              <w:rPr>
                <w:sz w:val="20"/>
                <w:szCs w:val="28"/>
              </w:rPr>
              <w:t>.</w:t>
            </w:r>
          </w:p>
        </w:tc>
        <w:tc>
          <w:tcPr>
            <w:tcW w:w="0" w:type="auto"/>
            <w:hideMark/>
          </w:tcPr>
          <w:p w14:paraId="34DF9555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Moderate – referral process present but less structured; users may need guidance to locate appropriate contact points.</w:t>
            </w:r>
          </w:p>
        </w:tc>
        <w:tc>
          <w:tcPr>
            <w:tcW w:w="2922" w:type="dxa"/>
            <w:hideMark/>
          </w:tcPr>
          <w:p w14:paraId="0070A644" w14:textId="21442863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Weakness – unclear referral process; minimal visibility of </w:t>
            </w:r>
            <w:r w:rsidR="004A2CFC" w:rsidRPr="00194660">
              <w:rPr>
                <w:sz w:val="20"/>
                <w:szCs w:val="28"/>
              </w:rPr>
              <w:t>contacts,</w:t>
            </w:r>
            <w:r w:rsidR="004A2CFC">
              <w:rPr>
                <w:sz w:val="20"/>
                <w:szCs w:val="28"/>
              </w:rPr>
              <w:t xml:space="preserve"> reducing family </w:t>
            </w:r>
            <w:r w:rsidR="00F96C5E">
              <w:rPr>
                <w:sz w:val="20"/>
                <w:szCs w:val="28"/>
              </w:rPr>
              <w:t>involvement</w:t>
            </w:r>
            <w:r w:rsidRPr="00194660">
              <w:rPr>
                <w:sz w:val="20"/>
                <w:szCs w:val="28"/>
              </w:rPr>
              <w:t>.</w:t>
            </w:r>
          </w:p>
        </w:tc>
      </w:tr>
      <w:tr w:rsidR="00C50A22" w:rsidRPr="00194660" w14:paraId="54B7D473" w14:textId="77777777" w:rsidTr="0074149D">
        <w:tc>
          <w:tcPr>
            <w:tcW w:w="1620" w:type="dxa"/>
            <w:hideMark/>
          </w:tcPr>
          <w:p w14:paraId="322943D2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Multi-agency working</w:t>
            </w:r>
          </w:p>
        </w:tc>
        <w:tc>
          <w:tcPr>
            <w:tcW w:w="3097" w:type="dxa"/>
            <w:hideMark/>
          </w:tcPr>
          <w:p w14:paraId="741B9E7C" w14:textId="4FE1ACFB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 xml:space="preserve">Strength – clearly explains </w:t>
            </w:r>
            <w:r w:rsidR="004A2CFC">
              <w:rPr>
                <w:sz w:val="20"/>
                <w:szCs w:val="28"/>
              </w:rPr>
              <w:t>teamwork</w:t>
            </w:r>
            <w:r w:rsidRPr="00194660">
              <w:rPr>
                <w:sz w:val="20"/>
                <w:szCs w:val="28"/>
              </w:rPr>
              <w:t xml:space="preserve"> between services; families understand how professionals work together.</w:t>
            </w:r>
          </w:p>
        </w:tc>
        <w:tc>
          <w:tcPr>
            <w:tcW w:w="0" w:type="auto"/>
            <w:hideMark/>
          </w:tcPr>
          <w:p w14:paraId="629BFB06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Weakness – partnership mentioned but lacks explanation; limited transparency for users.</w:t>
            </w:r>
          </w:p>
        </w:tc>
        <w:tc>
          <w:tcPr>
            <w:tcW w:w="2922" w:type="dxa"/>
            <w:hideMark/>
          </w:tcPr>
          <w:p w14:paraId="14F9F850" w14:textId="77777777" w:rsidR="00C50A22" w:rsidRPr="00194660" w:rsidRDefault="00C50A22" w:rsidP="0074149D">
            <w:pPr>
              <w:rPr>
                <w:sz w:val="20"/>
                <w:szCs w:val="28"/>
              </w:rPr>
            </w:pPr>
            <w:r w:rsidRPr="00194660">
              <w:rPr>
                <w:sz w:val="20"/>
                <w:szCs w:val="28"/>
              </w:rPr>
              <w:t>Weakness – minimal mention of multi-agency roles; families may not see who is involved in support.</w:t>
            </w:r>
          </w:p>
        </w:tc>
      </w:tr>
    </w:tbl>
    <w:p w14:paraId="2B5E333E" w14:textId="77777777" w:rsidR="00C50A22" w:rsidRDefault="00C50A22" w:rsidP="00C50A22"/>
    <w:p w14:paraId="6093C689" w14:textId="5C82E83B" w:rsidR="00C50A22" w:rsidRPr="0074149D" w:rsidRDefault="0074149D" w:rsidP="004A2CFC">
      <w:pPr>
        <w:spacing w:after="160" w:line="278" w:lineRule="auto"/>
        <w:jc w:val="left"/>
        <w:rPr>
          <w:b/>
          <w:bCs/>
          <w:u w:val="single"/>
        </w:rPr>
      </w:pPr>
      <w:r w:rsidRPr="0074149D">
        <w:rPr>
          <w:b/>
          <w:bCs/>
          <w:sz w:val="28"/>
          <w:szCs w:val="36"/>
          <w:u w:val="single"/>
        </w:rPr>
        <w:t>A comparative analysis of the main strengths and weakness</w:t>
      </w:r>
      <w:r w:rsidRPr="0074149D">
        <w:rPr>
          <w:b/>
          <w:bCs/>
          <w:sz w:val="28"/>
          <w:szCs w:val="36"/>
          <w:u w:val="single"/>
        </w:rPr>
        <w:t xml:space="preserve"> </w:t>
      </w:r>
      <w:r w:rsidR="00C50A22" w:rsidRPr="0074149D">
        <w:rPr>
          <w:b/>
          <w:bCs/>
          <w:u w:val="single"/>
        </w:rPr>
        <w:br w:type="page"/>
      </w:r>
    </w:p>
    <w:p w14:paraId="2719469E" w14:textId="4671AB6D" w:rsidR="004A2CFC" w:rsidRPr="0074149D" w:rsidRDefault="004A2CFC" w:rsidP="00C50A22">
      <w:pPr>
        <w:rPr>
          <w:b/>
          <w:bCs/>
          <w:sz w:val="32"/>
          <w:szCs w:val="32"/>
          <w:u w:val="single"/>
        </w:rPr>
      </w:pPr>
      <w:r w:rsidRPr="0074149D">
        <w:rPr>
          <w:b/>
          <w:bCs/>
          <w:sz w:val="32"/>
          <w:szCs w:val="32"/>
          <w:u w:val="single"/>
        </w:rPr>
        <w:lastRenderedPageBreak/>
        <w:t>Conclusion</w:t>
      </w:r>
      <w:r w:rsidR="0074149D" w:rsidRPr="0074149D">
        <w:rPr>
          <w:b/>
          <w:bCs/>
          <w:sz w:val="32"/>
          <w:szCs w:val="32"/>
          <w:u w:val="single"/>
        </w:rPr>
        <w:t xml:space="preserve"> </w:t>
      </w:r>
      <w:r w:rsidRPr="0074149D">
        <w:rPr>
          <w:b/>
          <w:bCs/>
          <w:sz w:val="32"/>
          <w:szCs w:val="32"/>
          <w:u w:val="single"/>
        </w:rPr>
        <w:t>with recommendations for areas for improvement</w:t>
      </w:r>
    </w:p>
    <w:p w14:paraId="20345109" w14:textId="4012AA3A" w:rsidR="00C50A22" w:rsidRPr="00C07EF3" w:rsidRDefault="00C50A22" w:rsidP="00C50A22">
      <w:pPr>
        <w:rPr>
          <w:b/>
          <w:bCs/>
        </w:rPr>
      </w:pPr>
      <w:r w:rsidRPr="00C07EF3">
        <w:rPr>
          <w:b/>
          <w:bCs/>
        </w:rPr>
        <w:t xml:space="preserve">Conclusion </w:t>
      </w:r>
    </w:p>
    <w:p w14:paraId="121582E4" w14:textId="05EA93E4" w:rsidR="00C50A22" w:rsidRDefault="00C50A22" w:rsidP="00C50A22">
      <w:r>
        <w:t xml:space="preserve">Clearly outlay of “Early Help” in website is necessary to guide people how they can take help from the organisations </w:t>
      </w:r>
      <w:r w:rsidRPr="00B63065">
        <w:t>(Lynch and Browne, 2023)</w:t>
      </w:r>
      <w:r>
        <w:t>. The “Early Help” approach can deliver necessary information, supports and guidelines for the families going through crisis and critical social problem. The</w:t>
      </w:r>
      <w:r w:rsidRPr="00C07EF3">
        <w:t xml:space="preserve"> evaluation demonstrates that Leeds City Council provides the most effective communication of Early Help</w:t>
      </w:r>
      <w:r>
        <w:t xml:space="preserve">. The support system of the </w:t>
      </w:r>
      <w:proofErr w:type="spellStart"/>
      <w:r>
        <w:t>organisation</w:t>
      </w:r>
      <w:proofErr w:type="spellEnd"/>
      <w:r>
        <w:t xml:space="preserve"> </w:t>
      </w:r>
      <w:r w:rsidR="004349E9">
        <w:t>shows</w:t>
      </w:r>
      <w:r>
        <w:t xml:space="preserve"> </w:t>
      </w:r>
      <w:r w:rsidRPr="00C07EF3">
        <w:t>clarity, accessibility, and practical guidance.</w:t>
      </w:r>
      <w:r>
        <w:t xml:space="preserve"> On the other hand, the </w:t>
      </w:r>
      <w:r w:rsidRPr="00C07EF3">
        <w:t>Norfolk County Council</w:t>
      </w:r>
      <w:r>
        <w:t xml:space="preserve"> does not reflect accessible to information and effective communication because it </w:t>
      </w:r>
      <w:r w:rsidRPr="00C07EF3">
        <w:t>suffers from complex navigation and formal language, limiting usability.</w:t>
      </w:r>
    </w:p>
    <w:p w14:paraId="5E4B1647" w14:textId="77777777" w:rsidR="00C50A22" w:rsidRDefault="00C50A22" w:rsidP="00C50A22">
      <w:pPr>
        <w:rPr>
          <w:b/>
          <w:bCs/>
        </w:rPr>
      </w:pPr>
      <w:r w:rsidRPr="00C07EF3">
        <w:rPr>
          <w:b/>
          <w:bCs/>
        </w:rPr>
        <w:t>Recommendation</w:t>
      </w:r>
      <w:r>
        <w:rPr>
          <w:b/>
          <w:bCs/>
        </w:rPr>
        <w:t>s</w:t>
      </w:r>
      <w:r w:rsidRPr="00C07EF3">
        <w:rPr>
          <w:b/>
          <w:bCs/>
        </w:rPr>
        <w:t xml:space="preserve"> for future improvement</w:t>
      </w:r>
    </w:p>
    <w:p w14:paraId="01A29D81" w14:textId="45B04A7A" w:rsidR="00C50A22" w:rsidRPr="00C07EF3" w:rsidRDefault="00C50A22" w:rsidP="00C50A22">
      <w:r>
        <w:t xml:space="preserve">With a view to addressing the problem of lack of clarity, lack of access to information and vague presentation of necessary guidelines, the </w:t>
      </w:r>
      <w:proofErr w:type="spellStart"/>
      <w:r>
        <w:t>organisation</w:t>
      </w:r>
      <w:proofErr w:type="spellEnd"/>
      <w:r>
        <w:t xml:space="preserve"> must </w:t>
      </w:r>
      <w:r w:rsidR="00ED3C70">
        <w:t>provide</w:t>
      </w:r>
      <w:r>
        <w:t xml:space="preserve"> the information in </w:t>
      </w:r>
      <w:r w:rsidR="00ED3C70">
        <w:t xml:space="preserve">a </w:t>
      </w:r>
      <w:r>
        <w:t>simpl</w:t>
      </w:r>
      <w:r w:rsidR="00ED3C70">
        <w:t>e</w:t>
      </w:r>
      <w:r>
        <w:t xml:space="preserve"> way so that it becomes easy for stakeholders to understand </w:t>
      </w:r>
      <w:r w:rsidRPr="00B63065">
        <w:t>(Morrison, 2021)</w:t>
      </w:r>
      <w:r>
        <w:t xml:space="preserve">. They also </w:t>
      </w:r>
      <w:r w:rsidRPr="00C07EF3">
        <w:t xml:space="preserve">should </w:t>
      </w:r>
      <w:proofErr w:type="spellStart"/>
      <w:r w:rsidRPr="00C07EF3">
        <w:t>prioritise</w:t>
      </w:r>
      <w:proofErr w:type="spellEnd"/>
      <w:r w:rsidRPr="00C07EF3">
        <w:t xml:space="preserve"> user-</w:t>
      </w:r>
      <w:proofErr w:type="spellStart"/>
      <w:r w:rsidRPr="00C07EF3">
        <w:t>centred</w:t>
      </w:r>
      <w:proofErr w:type="spellEnd"/>
      <w:r w:rsidRPr="00C07EF3">
        <w:t xml:space="preserve"> website design</w:t>
      </w:r>
      <w:r>
        <w:t xml:space="preserve"> because it ensures that </w:t>
      </w:r>
      <w:r w:rsidRPr="00C07EF3">
        <w:t xml:space="preserve">Early Help sections are </w:t>
      </w:r>
      <w:r w:rsidR="004349E9">
        <w:t>clearly</w:t>
      </w:r>
      <w:r w:rsidRPr="00C07EF3">
        <w:t xml:space="preserve"> visible and easy to navigate.</w:t>
      </w:r>
      <w:r>
        <w:t xml:space="preserve"> However, the </w:t>
      </w:r>
      <w:proofErr w:type="spellStart"/>
      <w:r>
        <w:t>organisation</w:t>
      </w:r>
      <w:proofErr w:type="spellEnd"/>
      <w:r>
        <w:t xml:space="preserve"> must ensure </w:t>
      </w:r>
      <w:r w:rsidRPr="00C07EF3">
        <w:t>step-by-step referral guidance and contact information</w:t>
      </w:r>
      <w:r>
        <w:t xml:space="preserve"> for easy understanding of the purposes. </w:t>
      </w:r>
    </w:p>
    <w:p w14:paraId="56810D11" w14:textId="77777777" w:rsidR="00C50A22" w:rsidRDefault="00C50A22" w:rsidP="00C50A22"/>
    <w:p w14:paraId="2FDF2FA7" w14:textId="77777777" w:rsidR="00C50A22" w:rsidRDefault="00C50A22" w:rsidP="00C50A22">
      <w:pPr>
        <w:spacing w:after="160" w:line="278" w:lineRule="auto"/>
        <w:jc w:val="left"/>
      </w:pPr>
      <w:r>
        <w:br w:type="page"/>
      </w:r>
    </w:p>
    <w:p w14:paraId="4D7B818C" w14:textId="247313EE" w:rsidR="00DE0094" w:rsidRPr="00DE0094" w:rsidRDefault="00DE0094" w:rsidP="00DE0094">
      <w:pPr>
        <w:rPr>
          <w:b/>
          <w:bCs/>
          <w:sz w:val="32"/>
          <w:szCs w:val="32"/>
          <w:u w:val="single"/>
        </w:rPr>
      </w:pPr>
      <w:r w:rsidRPr="00DE0094">
        <w:rPr>
          <w:b/>
          <w:bCs/>
          <w:sz w:val="32"/>
          <w:szCs w:val="32"/>
          <w:u w:val="single"/>
        </w:rPr>
        <w:lastRenderedPageBreak/>
        <w:t>Reference List</w:t>
      </w:r>
    </w:p>
    <w:p w14:paraId="00AD7AF6" w14:textId="1F20EEF2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Allard, J., Lancaster, S., Clayton, S., Amos, T. and Birchwood, M. (2020). Carers’ and service users’ experiences of early intervention in psychosis services: implications for care partnerships. </w:t>
      </w:r>
      <w:r w:rsidRPr="004A2CFC">
        <w:rPr>
          <w:i/>
          <w:iCs/>
          <w:sz w:val="21"/>
          <w:szCs w:val="21"/>
        </w:rPr>
        <w:t>Early Intervention in Psychiatry</w:t>
      </w:r>
      <w:r w:rsidRPr="004A2CFC">
        <w:rPr>
          <w:sz w:val="21"/>
          <w:szCs w:val="21"/>
        </w:rPr>
        <w:t xml:space="preserve">, 12(3), pp.410–416.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://doi.org/10.1111/eip.12309.</w:t>
      </w:r>
    </w:p>
    <w:p w14:paraId="1A52CCF7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Breen, L.J. (2019). Early Childhood Service Delivery for Families Living with Childhood Disability: Disabling Families through Problematic Implicit Ideology. </w:t>
      </w:r>
      <w:r w:rsidRPr="004A2CFC">
        <w:rPr>
          <w:i/>
          <w:iCs/>
          <w:sz w:val="21"/>
          <w:szCs w:val="21"/>
        </w:rPr>
        <w:t>Australasian Journal of Early Childhood</w:t>
      </w:r>
      <w:r w:rsidRPr="004A2CFC">
        <w:rPr>
          <w:sz w:val="21"/>
          <w:szCs w:val="21"/>
        </w:rPr>
        <w:t xml:space="preserve">, 34(4), pp.14–21.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://doi.org/10.1177/183693910903400403.</w:t>
      </w:r>
    </w:p>
    <w:p w14:paraId="758DEFE7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Connor, F.P. (2020). Working Together for Crippled Children. </w:t>
      </w:r>
      <w:r w:rsidRPr="004A2CFC">
        <w:rPr>
          <w:i/>
          <w:iCs/>
          <w:sz w:val="21"/>
          <w:szCs w:val="21"/>
        </w:rPr>
        <w:t>Exceptional Children</w:t>
      </w:r>
      <w:r w:rsidRPr="004A2CFC">
        <w:rPr>
          <w:sz w:val="21"/>
          <w:szCs w:val="21"/>
        </w:rPr>
        <w:t xml:space="preserve">, 21(7), pp.242–270.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://doi.org/10.1177/001440295502100701.</w:t>
      </w:r>
    </w:p>
    <w:p w14:paraId="613963E5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Dari, T., Laux, J.M., Liu, Y. and Reynolds, J. (2019). Development of Community-Based Participatory Research Competencies: A Delphi Study Identifying Best Practices in the Collaborative Process. </w:t>
      </w:r>
      <w:r w:rsidRPr="004A2CFC">
        <w:rPr>
          <w:i/>
          <w:iCs/>
          <w:sz w:val="21"/>
          <w:szCs w:val="21"/>
        </w:rPr>
        <w:t>The Professional Counselor</w:t>
      </w:r>
      <w:r w:rsidRPr="004A2CFC">
        <w:rPr>
          <w:sz w:val="21"/>
          <w:szCs w:val="21"/>
        </w:rPr>
        <w:t xml:space="preserve">, 9(1), pp.1–19.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://doi.org/10.15241/td.9.1.1.</w:t>
      </w:r>
    </w:p>
    <w:p w14:paraId="71BA2ADF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Feldman, H.R. (2018). Identifying, building, and sustaining your leadership team. </w:t>
      </w:r>
      <w:r w:rsidRPr="004A2CFC">
        <w:rPr>
          <w:i/>
          <w:iCs/>
          <w:sz w:val="21"/>
          <w:szCs w:val="21"/>
        </w:rPr>
        <w:t>Journal of Professional Nursing</w:t>
      </w:r>
      <w:r w:rsidRPr="004A2CFC">
        <w:rPr>
          <w:sz w:val="21"/>
          <w:szCs w:val="21"/>
        </w:rPr>
        <w:t xml:space="preserve">, 34(2), pp.87–91.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://doi.org/10.1016/j.profnurs.2017.11.002.</w:t>
      </w:r>
    </w:p>
    <w:p w14:paraId="0E0B8F52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Gire, N. (2023). </w:t>
      </w:r>
      <w:proofErr w:type="spellStart"/>
      <w:r w:rsidRPr="004A2CFC">
        <w:rPr>
          <w:sz w:val="21"/>
          <w:szCs w:val="21"/>
        </w:rPr>
        <w:t>TechCare</w:t>
      </w:r>
      <w:proofErr w:type="spellEnd"/>
      <w:r w:rsidRPr="004A2CFC">
        <w:rPr>
          <w:sz w:val="21"/>
          <w:szCs w:val="21"/>
        </w:rPr>
        <w:t xml:space="preserve">: Mobile-assessment and therapy for psychosis: An intervention for clients within the early intervention service. </w:t>
      </w:r>
      <w:r w:rsidRPr="004A2CFC">
        <w:rPr>
          <w:i/>
          <w:iCs/>
          <w:sz w:val="21"/>
          <w:szCs w:val="21"/>
        </w:rPr>
        <w:t>Health Care : Current Reviews</w:t>
      </w:r>
      <w:r w:rsidRPr="004A2CFC">
        <w:rPr>
          <w:sz w:val="21"/>
          <w:szCs w:val="21"/>
        </w:rPr>
        <w:t xml:space="preserve">, 03(01).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://doi.org/10.4172/2375-4273.s1.006.</w:t>
      </w:r>
    </w:p>
    <w:p w14:paraId="6C85FC40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Griffiths, D. (2020). Working Together to Educate and Safeguard You. </w:t>
      </w:r>
      <w:r w:rsidRPr="004A2CFC">
        <w:rPr>
          <w:i/>
          <w:iCs/>
          <w:sz w:val="21"/>
          <w:szCs w:val="21"/>
        </w:rPr>
        <w:t>Journal of Infusion Nursing</w:t>
      </w:r>
      <w:r w:rsidRPr="004A2CFC">
        <w:rPr>
          <w:sz w:val="21"/>
          <w:szCs w:val="21"/>
        </w:rPr>
        <w:t xml:space="preserve">, 40(3), p.140.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://doi.org/10.1097/nan.0000000000000224.</w:t>
      </w:r>
    </w:p>
    <w:p w14:paraId="6B2B1DAE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Lynch, M.A. and Browne, K.D. (2023). Thinking and working together to safeguard children. </w:t>
      </w:r>
      <w:r w:rsidRPr="004A2CFC">
        <w:rPr>
          <w:i/>
          <w:iCs/>
          <w:sz w:val="21"/>
          <w:szCs w:val="21"/>
        </w:rPr>
        <w:t>Child Abuse Review</w:t>
      </w:r>
      <w:r w:rsidRPr="004A2CFC">
        <w:rPr>
          <w:sz w:val="21"/>
          <w:szCs w:val="21"/>
        </w:rPr>
        <w:t>, 8(5), pp.297–300. doi:https://doi.org/10.1002/(sici)1099-0852(199909/10)8:5%3C297::aid-car577%3E3.3.co;2-v.</w:t>
      </w:r>
    </w:p>
    <w:p w14:paraId="701E94EB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Morrison, T. (2021). Working together to safeguard children: challenges and changes for inter-agency co-ordination in child protection. </w:t>
      </w:r>
      <w:r w:rsidRPr="004A2CFC">
        <w:rPr>
          <w:i/>
          <w:iCs/>
          <w:sz w:val="21"/>
          <w:szCs w:val="21"/>
        </w:rPr>
        <w:t>Journal of Interprofessional Care</w:t>
      </w:r>
      <w:r w:rsidRPr="004A2CFC">
        <w:rPr>
          <w:sz w:val="21"/>
          <w:szCs w:val="21"/>
        </w:rPr>
        <w:t xml:space="preserve">, [online] 14(4), pp.363–373.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://doi.org/10.1080/13561820020003919.</w:t>
      </w:r>
    </w:p>
    <w:p w14:paraId="6043ED2F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proofErr w:type="spellStart"/>
      <w:r w:rsidRPr="004A2CFC">
        <w:rPr>
          <w:sz w:val="21"/>
          <w:szCs w:val="21"/>
        </w:rPr>
        <w:t>Movahedazarhouligh</w:t>
      </w:r>
      <w:proofErr w:type="spellEnd"/>
      <w:r w:rsidRPr="004A2CFC">
        <w:rPr>
          <w:sz w:val="21"/>
          <w:szCs w:val="21"/>
        </w:rPr>
        <w:t xml:space="preserve">, S. (2021). Parent-implemented interventions and family-centered service delivery approaches in early intervention and early childhood special education. </w:t>
      </w:r>
      <w:r w:rsidRPr="004A2CFC">
        <w:rPr>
          <w:i/>
          <w:iCs/>
          <w:sz w:val="21"/>
          <w:szCs w:val="21"/>
        </w:rPr>
        <w:t>Early Child Development and Care</w:t>
      </w:r>
      <w:r w:rsidRPr="004A2CFC">
        <w:rPr>
          <w:sz w:val="21"/>
          <w:szCs w:val="21"/>
        </w:rPr>
        <w:t xml:space="preserve">, 191(1), pp.1–12.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://doi.org/10.1080/03004430.2019.1603148.</w:t>
      </w:r>
    </w:p>
    <w:p w14:paraId="28EF20FB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Pillai, P., </w:t>
      </w:r>
      <w:proofErr w:type="spellStart"/>
      <w:r w:rsidRPr="004A2CFC">
        <w:rPr>
          <w:sz w:val="21"/>
          <w:szCs w:val="21"/>
        </w:rPr>
        <w:t>Maamouri</w:t>
      </w:r>
      <w:proofErr w:type="spellEnd"/>
      <w:r w:rsidRPr="004A2CFC">
        <w:rPr>
          <w:sz w:val="21"/>
          <w:szCs w:val="21"/>
        </w:rPr>
        <w:t xml:space="preserve">, A. and Temte, J. (2024). Identifying Community-Based </w:t>
      </w:r>
      <w:proofErr w:type="spellStart"/>
      <w:r w:rsidRPr="004A2CFC">
        <w:rPr>
          <w:sz w:val="21"/>
          <w:szCs w:val="21"/>
        </w:rPr>
        <w:t>Entrustable</w:t>
      </w:r>
      <w:proofErr w:type="spellEnd"/>
      <w:r w:rsidRPr="004A2CFC">
        <w:rPr>
          <w:sz w:val="21"/>
          <w:szCs w:val="21"/>
        </w:rPr>
        <w:t xml:space="preserve"> Professional Activities for Medical Students Through a Modified Delphi Process. </w:t>
      </w:r>
      <w:r w:rsidRPr="004A2CFC">
        <w:rPr>
          <w:i/>
          <w:iCs/>
          <w:sz w:val="21"/>
          <w:szCs w:val="21"/>
        </w:rPr>
        <w:t>Family Medicine</w:t>
      </w:r>
      <w:r w:rsidRPr="004A2CFC">
        <w:rPr>
          <w:sz w:val="21"/>
          <w:szCs w:val="21"/>
        </w:rPr>
        <w:t xml:space="preserve">, 56(8), pp.501–504.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://doi.org/10.22454/fammed.2024.818912.</w:t>
      </w:r>
    </w:p>
    <w:p w14:paraId="78D10F27" w14:textId="77777777" w:rsidR="00C50A22" w:rsidRPr="004A2CFC" w:rsidRDefault="00C50A22" w:rsidP="00C50A22">
      <w:pPr>
        <w:pStyle w:val="ListParagraph"/>
        <w:numPr>
          <w:ilvl w:val="0"/>
          <w:numId w:val="1"/>
        </w:numPr>
        <w:ind w:left="360"/>
        <w:rPr>
          <w:sz w:val="21"/>
          <w:szCs w:val="21"/>
        </w:rPr>
      </w:pPr>
      <w:r w:rsidRPr="004A2CFC">
        <w:rPr>
          <w:sz w:val="21"/>
          <w:szCs w:val="21"/>
        </w:rPr>
        <w:t xml:space="preserve">Valença, M.M. and Oliveira, R.R.B. de (2025). Transdermal midline approach for ganglion impar block via the sacrococcygeal junction under fluoroscopic guidance: step-by-step technique. </w:t>
      </w:r>
      <w:r w:rsidRPr="004A2CFC">
        <w:rPr>
          <w:i/>
          <w:iCs/>
          <w:sz w:val="21"/>
          <w:szCs w:val="21"/>
        </w:rPr>
        <w:t>Neurological Surgery and Anatomy</w:t>
      </w:r>
      <w:r w:rsidRPr="004A2CFC">
        <w:rPr>
          <w:sz w:val="21"/>
          <w:szCs w:val="21"/>
        </w:rPr>
        <w:t xml:space="preserve">, 2(3). </w:t>
      </w:r>
      <w:proofErr w:type="spellStart"/>
      <w:r w:rsidRPr="004A2CFC">
        <w:rPr>
          <w:sz w:val="21"/>
          <w:szCs w:val="21"/>
        </w:rPr>
        <w:t>doi:https</w:t>
      </w:r>
      <w:proofErr w:type="spellEnd"/>
      <w:r w:rsidRPr="004A2CFC">
        <w:rPr>
          <w:sz w:val="21"/>
          <w:szCs w:val="21"/>
        </w:rPr>
        <w:t>://doi.org/10.37085/nsa.2025.14.</w:t>
      </w:r>
    </w:p>
    <w:sectPr w:rsidR="00C50A22" w:rsidRPr="004A2CF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7DF51E" w14:textId="77777777" w:rsidR="00AA29F5" w:rsidRDefault="00AA29F5" w:rsidP="00C50A22">
      <w:pPr>
        <w:spacing w:line="240" w:lineRule="auto"/>
      </w:pPr>
      <w:r>
        <w:separator/>
      </w:r>
    </w:p>
  </w:endnote>
  <w:endnote w:type="continuationSeparator" w:id="0">
    <w:p w14:paraId="72F07D78" w14:textId="77777777" w:rsidR="00AA29F5" w:rsidRDefault="00AA29F5" w:rsidP="00C50A2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AE2FEC" w14:textId="77777777" w:rsidR="00AA29F5" w:rsidRDefault="00AA29F5" w:rsidP="00C50A22">
      <w:pPr>
        <w:spacing w:line="240" w:lineRule="auto"/>
      </w:pPr>
      <w:r>
        <w:separator/>
      </w:r>
    </w:p>
  </w:footnote>
  <w:footnote w:type="continuationSeparator" w:id="0">
    <w:p w14:paraId="29854A31" w14:textId="77777777" w:rsidR="00AA29F5" w:rsidRDefault="00AA29F5" w:rsidP="00C50A2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76325037"/>
      <w:docPartObj>
        <w:docPartGallery w:val="Page Numbers (Top of Page)"/>
        <w:docPartUnique/>
      </w:docPartObj>
    </w:sdtPr>
    <w:sdtContent>
      <w:p w14:paraId="02D1DB9A" w14:textId="3EA3176D" w:rsidR="0074149D" w:rsidRDefault="0074149D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  <w:r>
          <w:t xml:space="preserve">                                                                                                                                         2330125</w:t>
        </w:r>
      </w:p>
    </w:sdtContent>
  </w:sdt>
  <w:p w14:paraId="0DDC06E7" w14:textId="6CE0B021" w:rsidR="00C50A22" w:rsidRDefault="00C50A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ED25C1"/>
    <w:multiLevelType w:val="hybridMultilevel"/>
    <w:tmpl w:val="40BCE0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60393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A22"/>
    <w:rsid w:val="00041E02"/>
    <w:rsid w:val="000873F9"/>
    <w:rsid w:val="000D7496"/>
    <w:rsid w:val="001222FE"/>
    <w:rsid w:val="001E7D9A"/>
    <w:rsid w:val="001F155C"/>
    <w:rsid w:val="004349E9"/>
    <w:rsid w:val="00480AAB"/>
    <w:rsid w:val="004A2CFC"/>
    <w:rsid w:val="00513AF2"/>
    <w:rsid w:val="006C28EB"/>
    <w:rsid w:val="0074149D"/>
    <w:rsid w:val="008C04AA"/>
    <w:rsid w:val="00A44BD7"/>
    <w:rsid w:val="00AA29F5"/>
    <w:rsid w:val="00AC3BA1"/>
    <w:rsid w:val="00C50A22"/>
    <w:rsid w:val="00D0707F"/>
    <w:rsid w:val="00D616A1"/>
    <w:rsid w:val="00D72DBF"/>
    <w:rsid w:val="00DE0094"/>
    <w:rsid w:val="00E14EDE"/>
    <w:rsid w:val="00ED3C70"/>
    <w:rsid w:val="00F96C5E"/>
    <w:rsid w:val="00FA4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2FCF45"/>
  <w15:chartTrackingRefBased/>
  <w15:docId w15:val="{65BD0991-5E93-42B8-A8E4-3F82ECA34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0A22"/>
    <w:pPr>
      <w:spacing w:after="0" w:line="360" w:lineRule="auto"/>
      <w:jc w:val="both"/>
    </w:pPr>
    <w:rPr>
      <w:rFonts w:ascii="Arial" w:hAnsi="Arial"/>
      <w:szCs w:val="30"/>
      <w:lang w:val="en-US" w:bidi="b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50A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0A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0A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0A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0A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0A2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0A2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0A2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0A2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0A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0A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0A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0A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0A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0A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0A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0A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0A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0A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0A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0A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0A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0A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0A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0A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0A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0A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0A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0A2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50A22"/>
    <w:pPr>
      <w:spacing w:after="0" w:line="240" w:lineRule="auto"/>
    </w:pPr>
    <w:rPr>
      <w:sz w:val="24"/>
      <w:szCs w:val="30"/>
      <w:lang w:val="en-US" w:bidi="bn-I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50A22"/>
    <w:pPr>
      <w:spacing w:before="240" w:after="0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50A2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50A22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0A2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A22"/>
    <w:rPr>
      <w:rFonts w:ascii="Arial" w:hAnsi="Arial"/>
      <w:szCs w:val="30"/>
      <w:lang w:val="en-US" w:bidi="bn-IN"/>
    </w:rPr>
  </w:style>
  <w:style w:type="paragraph" w:styleId="Footer">
    <w:name w:val="footer"/>
    <w:basedOn w:val="Normal"/>
    <w:link w:val="FooterChar"/>
    <w:uiPriority w:val="99"/>
    <w:unhideWhenUsed/>
    <w:rsid w:val="00C50A2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A22"/>
    <w:rPr>
      <w:rFonts w:ascii="Arial" w:hAnsi="Arial"/>
      <w:szCs w:val="30"/>
      <w:lang w:val="en-US" w:bidi="b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0F0D59-C818-4110-9A90-2E6CA55F4E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2613</Words>
  <Characters>14900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Princila Manu (2330125)</dc:creator>
  <cp:keywords/>
  <dc:description/>
  <cp:lastModifiedBy>Princila Manu (2330125)</cp:lastModifiedBy>
  <cp:revision>2</cp:revision>
  <dcterms:created xsi:type="dcterms:W3CDTF">2026-03-29T10:46:00Z</dcterms:created>
  <dcterms:modified xsi:type="dcterms:W3CDTF">2026-03-29T10:46:00Z</dcterms:modified>
</cp:coreProperties>
</file>