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3240" w:rsidRDefault="003C6F6D" w:rsidP="003C6F6D">
      <w:pPr>
        <w:jc w:val="center"/>
        <w:rPr>
          <w:rFonts w:ascii="Times New Roman" w:hAnsi="Times New Roman" w:cs="Times New Roman"/>
          <w:b/>
        </w:rPr>
      </w:pPr>
      <w:r w:rsidRPr="003C6F6D">
        <w:rPr>
          <w:rFonts w:ascii="Times New Roman" w:hAnsi="Times New Roman" w:cs="Times New Roman"/>
          <w:b/>
        </w:rPr>
        <w:t xml:space="preserve">Compare and </w:t>
      </w:r>
      <w:r>
        <w:rPr>
          <w:rFonts w:ascii="Times New Roman" w:hAnsi="Times New Roman" w:cs="Times New Roman"/>
          <w:b/>
        </w:rPr>
        <w:t>Contrast Different P</w:t>
      </w:r>
      <w:r w:rsidRPr="003C6F6D">
        <w:rPr>
          <w:rFonts w:ascii="Times New Roman" w:hAnsi="Times New Roman" w:cs="Times New Roman"/>
          <w:b/>
        </w:rPr>
        <w:t>erceptions of the Environment</w:t>
      </w:r>
      <w:r>
        <w:rPr>
          <w:rFonts w:ascii="Times New Roman" w:hAnsi="Times New Roman" w:cs="Times New Roman"/>
          <w:b/>
        </w:rPr>
        <w:t xml:space="preserve"> in 1000 Words</w:t>
      </w:r>
    </w:p>
    <w:p w:rsidR="003C6F6D" w:rsidRDefault="003C6F6D" w:rsidP="00D62FDE">
      <w:pPr>
        <w:spacing w:line="360" w:lineRule="auto"/>
        <w:rPr>
          <w:rFonts w:ascii="Times New Roman" w:hAnsi="Times New Roman" w:cs="Times New Roman"/>
        </w:rPr>
      </w:pPr>
    </w:p>
    <w:p w:rsidR="003C6F6D" w:rsidRDefault="003C6F6D" w:rsidP="00D62FDE">
      <w:pPr>
        <w:spacing w:line="360" w:lineRule="auto"/>
        <w:ind w:firstLine="720"/>
        <w:rPr>
          <w:rFonts w:ascii="Times New Roman" w:hAnsi="Times New Roman" w:cs="Times New Roman"/>
        </w:rPr>
      </w:pPr>
      <w:r>
        <w:rPr>
          <w:rFonts w:ascii="Times New Roman" w:hAnsi="Times New Roman" w:cs="Times New Roman"/>
        </w:rPr>
        <w:t xml:space="preserve">The relationship between different humans and their environment can be a simple understanding of the giving </w:t>
      </w:r>
      <w:r w:rsidR="00D62FDE">
        <w:rPr>
          <w:rFonts w:ascii="Times New Roman" w:hAnsi="Times New Roman" w:cs="Times New Roman"/>
        </w:rPr>
        <w:t>nature of Earth’s</w:t>
      </w:r>
      <w:r>
        <w:rPr>
          <w:rFonts w:ascii="Times New Roman" w:hAnsi="Times New Roman" w:cs="Times New Roman"/>
        </w:rPr>
        <w:t xml:space="preserve"> bounty or a complicated network of give and take transactions and domination over local ecology. Throughout history, a variety of hunter-gatherer groups have been characterized by their deep connection to the land in which they hunt, gather, and live. Additionally, an abundance of horticultural communities </w:t>
      </w:r>
      <w:proofErr w:type="gramStart"/>
      <w:r>
        <w:rPr>
          <w:rFonts w:ascii="Times New Roman" w:hAnsi="Times New Roman" w:cs="Times New Roman"/>
        </w:rPr>
        <w:t>have</w:t>
      </w:r>
      <w:proofErr w:type="gramEnd"/>
      <w:r>
        <w:rPr>
          <w:rFonts w:ascii="Times New Roman" w:hAnsi="Times New Roman" w:cs="Times New Roman"/>
        </w:rPr>
        <w:t xml:space="preserve"> established unique relationships with the environment based on their understanding of its function. Lastly, in many industrialized, Western societies, individuals perceive nature as an entity that is in opposition to the progression of culture and seek to obtain dominion over the environment by disconnecting themselves from the landscape and subduing its natural processes.</w:t>
      </w:r>
    </w:p>
    <w:p w:rsidR="003C6F6D" w:rsidRPr="001C758C" w:rsidRDefault="003C6F6D" w:rsidP="00D62FDE">
      <w:pPr>
        <w:spacing w:line="360" w:lineRule="auto"/>
        <w:rPr>
          <w:rFonts w:ascii="Times New Roman" w:eastAsia="Times New Roman" w:hAnsi="Times New Roman" w:cs="Times New Roman"/>
        </w:rPr>
      </w:pPr>
      <w:r>
        <w:rPr>
          <w:rFonts w:ascii="Times New Roman" w:hAnsi="Times New Roman" w:cs="Times New Roman"/>
        </w:rPr>
        <w:tab/>
        <w:t xml:space="preserve">Although variations occur within tribal groups, the majority of hunter-gatherer societies are recognized to have developed a relationship with the environment based on the understanding that the land will provide for the needs of the individual. As evidenced by the title of his book “Limited Wants, Unlimited Means”, John </w:t>
      </w:r>
      <w:proofErr w:type="spellStart"/>
      <w:r>
        <w:rPr>
          <w:rFonts w:ascii="Times New Roman" w:hAnsi="Times New Roman" w:cs="Times New Roman"/>
        </w:rPr>
        <w:t>Gowdy</w:t>
      </w:r>
      <w:proofErr w:type="spellEnd"/>
      <w:r>
        <w:rPr>
          <w:rFonts w:ascii="Times New Roman" w:hAnsi="Times New Roman" w:cs="Times New Roman"/>
        </w:rPr>
        <w:t xml:space="preserve"> emphasizes this principle by outlining the dependency hunter-gatherer groups have on obtaining sustenance from their surroundings and the ontological perspective this creates for them. In these instances, “</w:t>
      </w:r>
      <w:r>
        <w:rPr>
          <w:rFonts w:ascii="Times New Roman" w:eastAsia="Times New Roman" w:hAnsi="Times New Roman" w:cs="Times New Roman"/>
        </w:rPr>
        <w:t>Generally, the surroundings are not abstracted as a single unit, or a grand mechanical system, or a store of goods for extraction. They are not perceived as a detached, objective Nature: an opponent to be conquered, a force to be tamed through the service of ma</w:t>
      </w:r>
      <w:r>
        <w:rPr>
          <w:rFonts w:ascii="Times New Roman" w:eastAsia="Times New Roman" w:hAnsi="Times New Roman" w:cs="Times New Roman"/>
        </w:rPr>
        <w:t>nkind</w:t>
      </w:r>
      <w:r>
        <w:rPr>
          <w:rFonts w:ascii="Times New Roman" w:eastAsia="Times New Roman" w:hAnsi="Times New Roman" w:cs="Times New Roman"/>
        </w:rPr>
        <w:t>”</w:t>
      </w:r>
      <w:r>
        <w:rPr>
          <w:rFonts w:ascii="Times New Roman" w:eastAsia="Times New Roman" w:hAnsi="Times New Roman" w:cs="Times New Roman"/>
        </w:rPr>
        <w:t xml:space="preserve"> (</w:t>
      </w:r>
      <w:proofErr w:type="spellStart"/>
      <w:r>
        <w:rPr>
          <w:rFonts w:ascii="Times New Roman" w:eastAsia="Times New Roman" w:hAnsi="Times New Roman" w:cs="Times New Roman"/>
        </w:rPr>
        <w:t>Widlock</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Tadasse</w:t>
      </w:r>
      <w:proofErr w:type="spellEnd"/>
      <w:r>
        <w:rPr>
          <w:rFonts w:ascii="Times New Roman" w:eastAsia="Times New Roman" w:hAnsi="Times New Roman" w:cs="Times New Roman"/>
        </w:rPr>
        <w:t>, 2007, pp. 216).</w:t>
      </w:r>
    </w:p>
    <w:p w:rsidR="003C6F6D" w:rsidRDefault="003C6F6D" w:rsidP="00D62FDE">
      <w:pPr>
        <w:spacing w:line="360" w:lineRule="auto"/>
        <w:rPr>
          <w:rFonts w:ascii="Times New Roman" w:hAnsi="Times New Roman" w:cs="Times New Roman"/>
        </w:rPr>
      </w:pPr>
      <w:r>
        <w:rPr>
          <w:rFonts w:ascii="Times New Roman" w:hAnsi="Times New Roman" w:cs="Times New Roman"/>
        </w:rPr>
        <w:tab/>
        <w:t xml:space="preserve">The </w:t>
      </w:r>
      <w:proofErr w:type="spellStart"/>
      <w:r>
        <w:rPr>
          <w:rFonts w:ascii="Times New Roman" w:hAnsi="Times New Roman" w:cs="Times New Roman"/>
        </w:rPr>
        <w:t>Mbuti</w:t>
      </w:r>
      <w:proofErr w:type="spellEnd"/>
      <w:r>
        <w:rPr>
          <w:rFonts w:ascii="Times New Roman" w:hAnsi="Times New Roman" w:cs="Times New Roman"/>
        </w:rPr>
        <w:t xml:space="preserve"> of the </w:t>
      </w:r>
      <w:proofErr w:type="spellStart"/>
      <w:r>
        <w:rPr>
          <w:rFonts w:ascii="Times New Roman" w:hAnsi="Times New Roman" w:cs="Times New Roman"/>
        </w:rPr>
        <w:t>Ituri</w:t>
      </w:r>
      <w:proofErr w:type="spellEnd"/>
      <w:r>
        <w:rPr>
          <w:rFonts w:ascii="Times New Roman" w:hAnsi="Times New Roman" w:cs="Times New Roman"/>
        </w:rPr>
        <w:t xml:space="preserve"> forest emphasize the importance of this interpretation of their surrounding world through their actions and rhetoric. When regarding themselves as literal children of the forest, this tribe of individuals perceives themselves to be of one flesh with their mother environment. By believing this, the </w:t>
      </w:r>
      <w:proofErr w:type="spellStart"/>
      <w:r>
        <w:rPr>
          <w:rFonts w:ascii="Times New Roman" w:hAnsi="Times New Roman" w:cs="Times New Roman"/>
        </w:rPr>
        <w:t>Mbuti</w:t>
      </w:r>
      <w:proofErr w:type="spellEnd"/>
      <w:r>
        <w:rPr>
          <w:rFonts w:ascii="Times New Roman" w:hAnsi="Times New Roman" w:cs="Times New Roman"/>
        </w:rPr>
        <w:t xml:space="preserve"> are both physically and spiritually connecting themselves to their environment, creating an acknowledged dependency on their environment, not often emulated by industrial societies. “The culture of the </w:t>
      </w:r>
      <w:proofErr w:type="spellStart"/>
      <w:r>
        <w:rPr>
          <w:rFonts w:ascii="Times New Roman" w:hAnsi="Times New Roman" w:cs="Times New Roman"/>
        </w:rPr>
        <w:t>Epulu</w:t>
      </w:r>
      <w:proofErr w:type="spellEnd"/>
      <w:r>
        <w:rPr>
          <w:rFonts w:ascii="Times New Roman" w:hAnsi="Times New Roman" w:cs="Times New Roman"/>
        </w:rPr>
        <w:t xml:space="preserve"> </w:t>
      </w:r>
      <w:proofErr w:type="spellStart"/>
      <w:r>
        <w:rPr>
          <w:rFonts w:ascii="Times New Roman" w:hAnsi="Times New Roman" w:cs="Times New Roman"/>
        </w:rPr>
        <w:t>Mbuti</w:t>
      </w:r>
      <w:proofErr w:type="spellEnd"/>
      <w:r>
        <w:rPr>
          <w:rFonts w:ascii="Times New Roman" w:hAnsi="Times New Roman" w:cs="Times New Roman"/>
        </w:rPr>
        <w:t xml:space="preserve"> (i.e. the</w:t>
      </w:r>
      <w:r w:rsidRPr="003C6F6D">
        <w:rPr>
          <w:rFonts w:ascii="Times New Roman" w:hAnsi="Times New Roman" w:cs="Times New Roman"/>
          <w:i/>
        </w:rPr>
        <w:t xml:space="preserve"> totality </w:t>
      </w:r>
      <w:r>
        <w:rPr>
          <w:rFonts w:ascii="Times New Roman" w:hAnsi="Times New Roman" w:cs="Times New Roman"/>
        </w:rPr>
        <w:t xml:space="preserve">of their </w:t>
      </w:r>
      <w:r w:rsidRPr="003C6F6D">
        <w:rPr>
          <w:rFonts w:ascii="Times New Roman" w:hAnsi="Times New Roman" w:cs="Times New Roman"/>
          <w:i/>
        </w:rPr>
        <w:t>patterns for behavior</w:t>
      </w:r>
      <w:r>
        <w:rPr>
          <w:rFonts w:ascii="Times New Roman" w:hAnsi="Times New Roman" w:cs="Times New Roman"/>
        </w:rPr>
        <w:t xml:space="preserve"> [emphasis added]) emerges in outline, then, as constituting a structured symbolic ‘whole’ centered quite literally around the notion of </w:t>
      </w:r>
      <w:proofErr w:type="spellStart"/>
      <w:r>
        <w:rPr>
          <w:rFonts w:ascii="Times New Roman" w:hAnsi="Times New Roman" w:cs="Times New Roman"/>
        </w:rPr>
        <w:t>ndura</w:t>
      </w:r>
      <w:proofErr w:type="spellEnd"/>
      <w:r>
        <w:rPr>
          <w:rFonts w:ascii="Times New Roman" w:hAnsi="Times New Roman" w:cs="Times New Roman"/>
        </w:rPr>
        <w:t xml:space="preserve"> or ‘Forest</w:t>
      </w:r>
      <w:proofErr w:type="gramStart"/>
      <w:r>
        <w:rPr>
          <w:rFonts w:ascii="Times New Roman" w:hAnsi="Times New Roman" w:cs="Times New Roman"/>
        </w:rPr>
        <w:t>’ ”</w:t>
      </w:r>
      <w:proofErr w:type="gramEnd"/>
      <w:r>
        <w:rPr>
          <w:rFonts w:ascii="Times New Roman" w:hAnsi="Times New Roman" w:cs="Times New Roman"/>
        </w:rPr>
        <w:t xml:space="preserve"> (</w:t>
      </w:r>
      <w:proofErr w:type="spellStart"/>
      <w:r>
        <w:rPr>
          <w:rFonts w:ascii="Times New Roman" w:hAnsi="Times New Roman" w:cs="Times New Roman"/>
        </w:rPr>
        <w:t>Mosko</w:t>
      </w:r>
      <w:proofErr w:type="spellEnd"/>
      <w:r>
        <w:rPr>
          <w:rFonts w:ascii="Times New Roman" w:hAnsi="Times New Roman" w:cs="Times New Roman"/>
        </w:rPr>
        <w:t xml:space="preserve">). </w:t>
      </w:r>
    </w:p>
    <w:p w:rsidR="003C6F6D" w:rsidRDefault="003C6F6D" w:rsidP="00D62FDE">
      <w:pPr>
        <w:spacing w:line="360" w:lineRule="auto"/>
        <w:rPr>
          <w:rFonts w:ascii="Times New Roman" w:hAnsi="Times New Roman" w:cs="Times New Roman"/>
        </w:rPr>
      </w:pPr>
      <w:r>
        <w:rPr>
          <w:rFonts w:ascii="Times New Roman" w:hAnsi="Times New Roman" w:cs="Times New Roman"/>
        </w:rPr>
        <w:lastRenderedPageBreak/>
        <w:tab/>
        <w:t xml:space="preserve">As a forest people, the </w:t>
      </w:r>
      <w:proofErr w:type="spellStart"/>
      <w:r>
        <w:rPr>
          <w:rFonts w:ascii="Times New Roman" w:hAnsi="Times New Roman" w:cs="Times New Roman"/>
        </w:rPr>
        <w:t>Mbuti</w:t>
      </w:r>
      <w:proofErr w:type="spellEnd"/>
      <w:r>
        <w:rPr>
          <w:rFonts w:ascii="Times New Roman" w:hAnsi="Times New Roman" w:cs="Times New Roman"/>
        </w:rPr>
        <w:t xml:space="preserve"> pride themselves on their ability to maintain a deep, thoughtful connection with their ecosystem.  In an effort to promote harmony, and restore balance to their environment, the </w:t>
      </w:r>
      <w:proofErr w:type="spellStart"/>
      <w:r>
        <w:rPr>
          <w:rFonts w:ascii="Times New Roman" w:hAnsi="Times New Roman" w:cs="Times New Roman"/>
        </w:rPr>
        <w:t>Mbuti</w:t>
      </w:r>
      <w:proofErr w:type="spellEnd"/>
      <w:r>
        <w:rPr>
          <w:rFonts w:ascii="Times New Roman" w:hAnsi="Times New Roman" w:cs="Times New Roman"/>
        </w:rPr>
        <w:t xml:space="preserve"> will often sing to the forest, as a means, in their words, of making the </w:t>
      </w:r>
      <w:proofErr w:type="spellStart"/>
      <w:r>
        <w:rPr>
          <w:rFonts w:ascii="Times New Roman" w:hAnsi="Times New Roman" w:cs="Times New Roman"/>
        </w:rPr>
        <w:t>ndura</w:t>
      </w:r>
      <w:proofErr w:type="spellEnd"/>
      <w:r>
        <w:rPr>
          <w:rFonts w:ascii="Times New Roman" w:hAnsi="Times New Roman" w:cs="Times New Roman"/>
        </w:rPr>
        <w:t xml:space="preserve"> </w:t>
      </w:r>
      <w:r w:rsidR="00D62FDE">
        <w:rPr>
          <w:rFonts w:ascii="Times New Roman" w:hAnsi="Times New Roman" w:cs="Times New Roman"/>
        </w:rPr>
        <w:t xml:space="preserve">(forest) </w:t>
      </w:r>
      <w:r>
        <w:rPr>
          <w:rFonts w:ascii="Times New Roman" w:hAnsi="Times New Roman" w:cs="Times New Roman"/>
        </w:rPr>
        <w:t xml:space="preserve">happy. To this tribe, a content forest means that the </w:t>
      </w:r>
      <w:proofErr w:type="spellStart"/>
      <w:r>
        <w:rPr>
          <w:rFonts w:ascii="Times New Roman" w:hAnsi="Times New Roman" w:cs="Times New Roman"/>
        </w:rPr>
        <w:t>Mbuti</w:t>
      </w:r>
      <w:proofErr w:type="spellEnd"/>
      <w:r>
        <w:rPr>
          <w:rFonts w:ascii="Times New Roman" w:hAnsi="Times New Roman" w:cs="Times New Roman"/>
        </w:rPr>
        <w:t xml:space="preserve"> will continue to be provided for.</w:t>
      </w:r>
    </w:p>
    <w:p w:rsidR="001C758C" w:rsidRDefault="003C6F6D" w:rsidP="00D62FDE">
      <w:pPr>
        <w:spacing w:line="360" w:lineRule="auto"/>
        <w:ind w:firstLine="720"/>
        <w:rPr>
          <w:rFonts w:ascii="Times New Roman" w:hAnsi="Times New Roman" w:cs="Times New Roman"/>
        </w:rPr>
      </w:pPr>
      <w:r>
        <w:rPr>
          <w:rFonts w:ascii="Times New Roman" w:hAnsi="Times New Roman" w:cs="Times New Roman"/>
        </w:rPr>
        <w:t xml:space="preserve">In addition to the </w:t>
      </w:r>
      <w:proofErr w:type="spellStart"/>
      <w:r>
        <w:rPr>
          <w:rFonts w:ascii="Times New Roman" w:hAnsi="Times New Roman" w:cs="Times New Roman"/>
        </w:rPr>
        <w:t>Mbuti</w:t>
      </w:r>
      <w:proofErr w:type="spellEnd"/>
      <w:r>
        <w:rPr>
          <w:rFonts w:ascii="Times New Roman" w:hAnsi="Times New Roman" w:cs="Times New Roman"/>
        </w:rPr>
        <w:t xml:space="preserve">, the Kung San of the Kalahari, rely heavily on hunting and gathering methods to sustain their way of life. As a result, the San have prodigious knowledge of their land’s flora and fauna and rely heavily on this information to protect their livelihoods. To these individuals, the environment always provides for their needs. Permanent housing structures are not utilized as a means of shelter by this group, because this group depends so heavily on their environment that they model their mobile living patterns on the changing of the seasons. The San trust the providing nature of their environment so completely that “One </w:t>
      </w:r>
      <w:r w:rsidRPr="003C6F6D">
        <w:rPr>
          <w:rFonts w:ascii="Times New Roman" w:hAnsi="Times New Roman" w:cs="Times New Roman"/>
        </w:rPr>
        <w:t xml:space="preserve">Bushman, when asked why he hadn't emulated neighboring tribes by </w:t>
      </w:r>
      <w:r>
        <w:rPr>
          <w:rFonts w:ascii="Times New Roman" w:hAnsi="Times New Roman" w:cs="Times New Roman"/>
        </w:rPr>
        <w:t>adopting agriculture, replied, ‘</w:t>
      </w:r>
      <w:r w:rsidRPr="003C6F6D">
        <w:rPr>
          <w:rFonts w:ascii="Times New Roman" w:hAnsi="Times New Roman" w:cs="Times New Roman"/>
        </w:rPr>
        <w:t>Why should we, when there are so m</w:t>
      </w:r>
      <w:r>
        <w:rPr>
          <w:rFonts w:ascii="Times New Roman" w:hAnsi="Times New Roman" w:cs="Times New Roman"/>
        </w:rPr>
        <w:t>any mongongo nuts in the world?</w:t>
      </w:r>
      <w:proofErr w:type="gramStart"/>
      <w:r>
        <w:rPr>
          <w:rFonts w:ascii="Times New Roman" w:hAnsi="Times New Roman" w:cs="Times New Roman"/>
        </w:rPr>
        <w:t>’ ”</w:t>
      </w:r>
      <w:proofErr w:type="gramEnd"/>
      <w:r>
        <w:rPr>
          <w:rFonts w:ascii="Times New Roman" w:hAnsi="Times New Roman" w:cs="Times New Roman"/>
        </w:rPr>
        <w:t xml:space="preserve"> </w:t>
      </w:r>
      <w:r w:rsidR="0083533B">
        <w:rPr>
          <w:rFonts w:ascii="Times New Roman" w:hAnsi="Times New Roman" w:cs="Times New Roman"/>
        </w:rPr>
        <w:t>(</w:t>
      </w:r>
      <w:r>
        <w:rPr>
          <w:rFonts w:ascii="Times New Roman" w:hAnsi="Times New Roman" w:cs="Times New Roman"/>
        </w:rPr>
        <w:t>Diamond, 1987, pp 65).</w:t>
      </w:r>
    </w:p>
    <w:p w:rsidR="003C6F6D" w:rsidRDefault="0083533B" w:rsidP="00D62FDE">
      <w:pPr>
        <w:spacing w:line="360" w:lineRule="auto"/>
        <w:ind w:firstLine="720"/>
        <w:rPr>
          <w:rFonts w:ascii="Times New Roman" w:hAnsi="Times New Roman" w:cs="Times New Roman"/>
        </w:rPr>
      </w:pPr>
      <w:r>
        <w:rPr>
          <w:rFonts w:ascii="Times New Roman" w:hAnsi="Times New Roman" w:cs="Times New Roman"/>
        </w:rPr>
        <w:t>In comparison</w:t>
      </w:r>
      <w:r w:rsidR="001C758C">
        <w:rPr>
          <w:rFonts w:ascii="Times New Roman" w:hAnsi="Times New Roman" w:cs="Times New Roman"/>
        </w:rPr>
        <w:t xml:space="preserve"> to these</w:t>
      </w:r>
      <w:r>
        <w:rPr>
          <w:rFonts w:ascii="Times New Roman" w:hAnsi="Times New Roman" w:cs="Times New Roman"/>
        </w:rPr>
        <w:t xml:space="preserve"> aforementioned hunter-gatherer groups, many horticultural societies have developed a closer, more developed connection with the environment than industrialized societies. As most still depend on elements of foraging and hunting for their sustenance in addition to maintaining small farming plots, these communities </w:t>
      </w:r>
      <w:r w:rsidR="001C758C">
        <w:rPr>
          <w:rFonts w:ascii="Times New Roman" w:hAnsi="Times New Roman" w:cs="Times New Roman"/>
        </w:rPr>
        <w:t xml:space="preserve">often construct relationships with their environments that echo those of hunter-gatherer societies. Many of these groups, such as the </w:t>
      </w:r>
      <w:proofErr w:type="spellStart"/>
      <w:r w:rsidR="001C758C">
        <w:rPr>
          <w:rFonts w:ascii="Times New Roman" w:hAnsi="Times New Roman" w:cs="Times New Roman"/>
        </w:rPr>
        <w:t>Kogi</w:t>
      </w:r>
      <w:proofErr w:type="spellEnd"/>
      <w:r w:rsidR="001C758C">
        <w:rPr>
          <w:rFonts w:ascii="Times New Roman" w:hAnsi="Times New Roman" w:cs="Times New Roman"/>
        </w:rPr>
        <w:t xml:space="preserve"> of Colombia, participate in a variety of rituals that allow them to spiritually and physically connect with their world around them (From the Heart of the World, 2018). </w:t>
      </w:r>
    </w:p>
    <w:p w:rsidR="003C6F6D" w:rsidRDefault="001C758C" w:rsidP="00D62FDE">
      <w:pPr>
        <w:spacing w:line="360" w:lineRule="auto"/>
        <w:rPr>
          <w:rFonts w:ascii="Times New Roman" w:eastAsia="Times New Roman" w:hAnsi="Times New Roman" w:cs="Times New Roman"/>
        </w:rPr>
      </w:pPr>
      <w:r>
        <w:rPr>
          <w:rFonts w:ascii="Times New Roman" w:hAnsi="Times New Roman" w:cs="Times New Roman"/>
        </w:rPr>
        <w:tab/>
        <w:t xml:space="preserve">In addition to the </w:t>
      </w:r>
      <w:proofErr w:type="spellStart"/>
      <w:r>
        <w:rPr>
          <w:rFonts w:ascii="Times New Roman" w:hAnsi="Times New Roman" w:cs="Times New Roman"/>
        </w:rPr>
        <w:t>Kogi</w:t>
      </w:r>
      <w:proofErr w:type="spellEnd"/>
      <w:r>
        <w:rPr>
          <w:rFonts w:ascii="Times New Roman" w:hAnsi="Times New Roman" w:cs="Times New Roman"/>
        </w:rPr>
        <w:t xml:space="preserve">, the Yanomamo tribe of South America is able to perceive their environment in a way that allows them to spiritually connect with the world around them through Shamanism. However, in contrast to many hunter-gatherer groups, the Yanomamo horticulturalists alter their physical landscape in a way that is very different from that of either the San or the </w:t>
      </w:r>
      <w:proofErr w:type="spellStart"/>
      <w:r>
        <w:rPr>
          <w:rFonts w:ascii="Times New Roman" w:hAnsi="Times New Roman" w:cs="Times New Roman"/>
        </w:rPr>
        <w:t>Mbuti</w:t>
      </w:r>
      <w:proofErr w:type="spellEnd"/>
      <w:r>
        <w:rPr>
          <w:rFonts w:ascii="Times New Roman" w:hAnsi="Times New Roman" w:cs="Times New Roman"/>
        </w:rPr>
        <w:t>. Rather than constructing humble shelters that can be torn down at a moment’s notice, the Yanomamo construct large, inward-facing structures that serve as a form of enclosure from the outside world. Whereas the hunter-gatherer tribes alter their surroundings fairly little in terms of potential impact, the Yanomamo, seek to change their environment to suit their needs (</w:t>
      </w:r>
      <w:proofErr w:type="spellStart"/>
      <w:r>
        <w:rPr>
          <w:rFonts w:ascii="Times New Roman" w:hAnsi="Times New Roman" w:cs="Times New Roman"/>
        </w:rPr>
        <w:t>Chagnon</w:t>
      </w:r>
      <w:proofErr w:type="spellEnd"/>
      <w:r>
        <w:rPr>
          <w:rFonts w:ascii="Times New Roman" w:hAnsi="Times New Roman" w:cs="Times New Roman"/>
        </w:rPr>
        <w:t>, 1968).</w:t>
      </w:r>
      <w:r w:rsidR="00D62FDE">
        <w:rPr>
          <w:rFonts w:ascii="Times New Roman" w:hAnsi="Times New Roman" w:cs="Times New Roman"/>
        </w:rPr>
        <w:t xml:space="preserve">Where for </w:t>
      </w:r>
      <w:r>
        <w:rPr>
          <w:rFonts w:ascii="Times New Roman" w:hAnsi="Times New Roman" w:cs="Times New Roman"/>
        </w:rPr>
        <w:t>“</w:t>
      </w:r>
      <w:r w:rsidRPr="003C6F6D">
        <w:rPr>
          <w:rFonts w:ascii="Times New Roman" w:eastAsia="Times New Roman" w:hAnsi="Times New Roman" w:cs="Times New Roman"/>
        </w:rPr>
        <w:t xml:space="preserve">hunter-gatherers the natural environment is seen to be </w:t>
      </w:r>
      <w:r>
        <w:rPr>
          <w:rFonts w:ascii="Times New Roman" w:eastAsia="Times New Roman" w:hAnsi="Times New Roman" w:cs="Times New Roman"/>
        </w:rPr>
        <w:lastRenderedPageBreak/>
        <w:t xml:space="preserve">[…] </w:t>
      </w:r>
      <w:r w:rsidRPr="003C6F6D">
        <w:rPr>
          <w:rFonts w:ascii="Times New Roman" w:eastAsia="Times New Roman" w:hAnsi="Times New Roman" w:cs="Times New Roman"/>
        </w:rPr>
        <w:t xml:space="preserve">a giving environment </w:t>
      </w:r>
      <w:r>
        <w:rPr>
          <w:rFonts w:ascii="Times New Roman" w:eastAsia="Times New Roman" w:hAnsi="Times New Roman" w:cs="Times New Roman"/>
        </w:rPr>
        <w:t>which provides for their needs</w:t>
      </w:r>
      <w:r>
        <w:rPr>
          <w:rFonts w:ascii="Times New Roman" w:eastAsia="Times New Roman" w:hAnsi="Times New Roman" w:cs="Times New Roman"/>
        </w:rPr>
        <w:t>”</w:t>
      </w:r>
      <w:r w:rsidR="00D62FDE">
        <w:rPr>
          <w:rFonts w:ascii="Times New Roman" w:eastAsia="Times New Roman" w:hAnsi="Times New Roman" w:cs="Times New Roman"/>
        </w:rPr>
        <w:t>, horticulturalist societies are characteristically different, as individual mentality leans toward shaping the environment to fulfill one’s desires, rather than relying solely on nature to provide (Bird-David, 1992, pp. 19).</w:t>
      </w:r>
    </w:p>
    <w:p w:rsidR="00D62FDE" w:rsidRDefault="00D62FDE" w:rsidP="00D62FDE">
      <w:pPr>
        <w:spacing w:line="360" w:lineRule="auto"/>
        <w:rPr>
          <w:rFonts w:ascii="Times New Roman" w:eastAsia="Times New Roman" w:hAnsi="Times New Roman" w:cs="Times New Roman"/>
        </w:rPr>
      </w:pPr>
      <w:r>
        <w:rPr>
          <w:rFonts w:ascii="Times New Roman" w:eastAsia="Times New Roman" w:hAnsi="Times New Roman" w:cs="Times New Roman"/>
        </w:rPr>
        <w:tab/>
        <w:t xml:space="preserve">Although many hunter-gatherer and horticultural groups depend on a working relationship with a healthy environment to function, many industrialized societies view the natural environment as something that needs to be controlled through the shaping influence of culture. Rather than displaying a sense of connectivity to the environment, many corporations within this societies seek to exploit the products of nature for gain, regardless of the effect on the environment. Like the loggers in “A Cry </w:t>
      </w:r>
      <w:proofErr w:type="gramStart"/>
      <w:r>
        <w:rPr>
          <w:rFonts w:ascii="Times New Roman" w:eastAsia="Times New Roman" w:hAnsi="Times New Roman" w:cs="Times New Roman"/>
        </w:rPr>
        <w:t>From</w:t>
      </w:r>
      <w:proofErr w:type="gramEnd"/>
      <w:r>
        <w:rPr>
          <w:rFonts w:ascii="Times New Roman" w:eastAsia="Times New Roman" w:hAnsi="Times New Roman" w:cs="Times New Roman"/>
        </w:rPr>
        <w:t xml:space="preserve"> the Forest”, these groups often see the environment as an opportunity to gain capital, regardless of the ecological costs (</w:t>
      </w:r>
      <w:proofErr w:type="spellStart"/>
      <w:r>
        <w:rPr>
          <w:rFonts w:ascii="Times New Roman" w:eastAsia="Times New Roman" w:hAnsi="Times New Roman" w:cs="Times New Roman"/>
        </w:rPr>
        <w:t>Agland</w:t>
      </w:r>
      <w:proofErr w:type="spellEnd"/>
      <w:r>
        <w:rPr>
          <w:rFonts w:ascii="Times New Roman" w:eastAsia="Times New Roman" w:hAnsi="Times New Roman" w:cs="Times New Roman"/>
        </w:rPr>
        <w:t>, 2012). These societies illuminate “</w:t>
      </w:r>
      <w:r w:rsidRPr="003C6F6D">
        <w:rPr>
          <w:rFonts w:ascii="Times New Roman" w:eastAsia="Times New Roman" w:hAnsi="Times New Roman" w:cs="Times New Roman"/>
        </w:rPr>
        <w:t>humans' deeply ambivalent relationship with nature,</w:t>
      </w:r>
      <w:r>
        <w:rPr>
          <w:rFonts w:ascii="Times New Roman" w:eastAsia="Times New Roman" w:hAnsi="Times New Roman" w:cs="Times New Roman"/>
        </w:rPr>
        <w:t xml:space="preserve"> […]</w:t>
      </w:r>
      <w:r w:rsidRPr="003C6F6D">
        <w:rPr>
          <w:rFonts w:ascii="Times New Roman" w:eastAsia="Times New Roman" w:hAnsi="Times New Roman" w:cs="Times New Roman"/>
        </w:rPr>
        <w:t xml:space="preserve"> and attempts to conquer it. Likewise, it reflects modern society's nature-culture </w:t>
      </w:r>
      <w:r>
        <w:rPr>
          <w:rFonts w:ascii="Times New Roman" w:eastAsia="Times New Roman" w:hAnsi="Times New Roman" w:cs="Times New Roman"/>
        </w:rPr>
        <w:t>dualism […]</w:t>
      </w:r>
      <w:r w:rsidRPr="003C6F6D">
        <w:rPr>
          <w:rFonts w:ascii="Times New Roman" w:eastAsia="Times New Roman" w:hAnsi="Times New Roman" w:cs="Times New Roman"/>
        </w:rPr>
        <w:t xml:space="preserve">it concerns human mastery of </w:t>
      </w:r>
      <w:r>
        <w:rPr>
          <w:rFonts w:ascii="Times New Roman" w:eastAsia="Times New Roman" w:hAnsi="Times New Roman" w:cs="Times New Roman"/>
        </w:rPr>
        <w:t>nature or humans as its keeper” (</w:t>
      </w:r>
      <w:r w:rsidRPr="003C6F6D">
        <w:rPr>
          <w:rFonts w:ascii="Times New Roman" w:eastAsia="Times New Roman" w:hAnsi="Times New Roman" w:cs="Times New Roman"/>
        </w:rPr>
        <w:t>Reichel-</w:t>
      </w:r>
      <w:proofErr w:type="spellStart"/>
      <w:r w:rsidRPr="003C6F6D">
        <w:rPr>
          <w:rFonts w:ascii="Times New Roman" w:eastAsia="Times New Roman" w:hAnsi="Times New Roman" w:cs="Times New Roman"/>
        </w:rPr>
        <w:t>Dolmatoff</w:t>
      </w:r>
      <w:proofErr w:type="spellEnd"/>
      <w:r>
        <w:rPr>
          <w:rFonts w:ascii="Times New Roman" w:eastAsia="Times New Roman" w:hAnsi="Times New Roman" w:cs="Times New Roman"/>
        </w:rPr>
        <w:t>, 1982, pp. 289).</w:t>
      </w:r>
    </w:p>
    <w:p w:rsidR="00D62FDE" w:rsidRDefault="00D62FDE" w:rsidP="00D62FDE">
      <w:pPr>
        <w:spacing w:line="360" w:lineRule="auto"/>
        <w:rPr>
          <w:rFonts w:ascii="Times New Roman" w:eastAsia="Times New Roman" w:hAnsi="Times New Roman" w:cs="Times New Roman"/>
        </w:rPr>
      </w:pPr>
      <w:r>
        <w:rPr>
          <w:rFonts w:ascii="Times New Roman" w:eastAsia="Times New Roman" w:hAnsi="Times New Roman" w:cs="Times New Roman"/>
        </w:rPr>
        <w:tab/>
        <w:t xml:space="preserve">Perceptions regarding the natural environment vary between many cultures. However, similar mentalities regarding the surrounding landscape exist between several hunter-gatherer and horticultural societies such as the San, the </w:t>
      </w:r>
      <w:proofErr w:type="spellStart"/>
      <w:r>
        <w:rPr>
          <w:rFonts w:ascii="Times New Roman" w:eastAsia="Times New Roman" w:hAnsi="Times New Roman" w:cs="Times New Roman"/>
        </w:rPr>
        <w:t>Mbuti</w:t>
      </w:r>
      <w:proofErr w:type="spellEnd"/>
      <w:r>
        <w:rPr>
          <w:rFonts w:ascii="Times New Roman" w:eastAsia="Times New Roman" w:hAnsi="Times New Roman" w:cs="Times New Roman"/>
        </w:rPr>
        <w:t xml:space="preserve">, the </w:t>
      </w:r>
      <w:proofErr w:type="spellStart"/>
      <w:r>
        <w:rPr>
          <w:rFonts w:ascii="Times New Roman" w:eastAsia="Times New Roman" w:hAnsi="Times New Roman" w:cs="Times New Roman"/>
        </w:rPr>
        <w:t>Kogi</w:t>
      </w:r>
      <w:proofErr w:type="spellEnd"/>
      <w:r>
        <w:rPr>
          <w:rFonts w:ascii="Times New Roman" w:eastAsia="Times New Roman" w:hAnsi="Times New Roman" w:cs="Times New Roman"/>
        </w:rPr>
        <w:t xml:space="preserve">, and the Yanomami, although each group has its own understanding of the laws of nature,; nevertheless, each of these communities displays respect for the giving nature of their spiritual and/or physical environments through thoughts, rhetoric, or action, something that is not often emulated by groups in industrialized societies. </w:t>
      </w:r>
    </w:p>
    <w:p w:rsidR="00D62FDE" w:rsidRPr="00D62FDE" w:rsidRDefault="00D62FDE" w:rsidP="00D62FDE">
      <w:pPr>
        <w:spacing w:line="360" w:lineRule="auto"/>
        <w:rPr>
          <w:rFonts w:ascii="Times New Roman" w:hAnsi="Times New Roman" w:cs="Times New Roman"/>
        </w:rPr>
      </w:pPr>
    </w:p>
    <w:p w:rsidR="003C6F6D" w:rsidRDefault="003C6F6D" w:rsidP="00D62FDE">
      <w:pPr>
        <w:spacing w:line="360" w:lineRule="auto"/>
        <w:rPr>
          <w:rFonts w:ascii="Times New Roman" w:hAnsi="Times New Roman" w:cs="Times New Roman"/>
        </w:rPr>
      </w:pPr>
    </w:p>
    <w:p w:rsidR="003C6F6D" w:rsidRDefault="003C6F6D" w:rsidP="00D62FDE">
      <w:pPr>
        <w:spacing w:line="360" w:lineRule="auto"/>
        <w:rPr>
          <w:rFonts w:ascii="Times New Roman" w:hAnsi="Times New Roman" w:cs="Times New Roman"/>
        </w:rPr>
      </w:pPr>
    </w:p>
    <w:p w:rsidR="001C758C" w:rsidRDefault="001C758C" w:rsidP="00D62FDE">
      <w:pPr>
        <w:spacing w:line="360" w:lineRule="auto"/>
        <w:rPr>
          <w:rFonts w:ascii="Times New Roman" w:hAnsi="Times New Roman" w:cs="Times New Roman"/>
        </w:rPr>
      </w:pPr>
    </w:p>
    <w:p w:rsidR="001C758C" w:rsidRDefault="001C758C" w:rsidP="00D62FDE">
      <w:pPr>
        <w:spacing w:line="360" w:lineRule="auto"/>
        <w:rPr>
          <w:rFonts w:ascii="Times New Roman" w:hAnsi="Times New Roman" w:cs="Times New Roman"/>
        </w:rPr>
      </w:pPr>
    </w:p>
    <w:p w:rsidR="001C758C" w:rsidRDefault="001C758C" w:rsidP="00D62FDE">
      <w:pPr>
        <w:spacing w:line="360" w:lineRule="auto"/>
        <w:rPr>
          <w:rFonts w:ascii="Times New Roman" w:hAnsi="Times New Roman" w:cs="Times New Roman"/>
        </w:rPr>
      </w:pPr>
    </w:p>
    <w:p w:rsidR="001C758C" w:rsidRDefault="001C758C" w:rsidP="00D62FDE">
      <w:pPr>
        <w:spacing w:line="360" w:lineRule="auto"/>
        <w:rPr>
          <w:rFonts w:ascii="Times New Roman" w:hAnsi="Times New Roman" w:cs="Times New Roman"/>
        </w:rPr>
      </w:pPr>
    </w:p>
    <w:p w:rsidR="003C6F6D" w:rsidRDefault="003C6F6D" w:rsidP="00D62FDE">
      <w:pPr>
        <w:spacing w:line="360" w:lineRule="auto"/>
        <w:rPr>
          <w:rFonts w:ascii="Times New Roman" w:eastAsia="Times New Roman" w:hAnsi="Times New Roman" w:cs="Times New Roman"/>
        </w:rPr>
      </w:pPr>
    </w:p>
    <w:p w:rsidR="003C6F6D" w:rsidRDefault="003C6F6D" w:rsidP="003C6F6D">
      <w:pPr>
        <w:rPr>
          <w:rFonts w:ascii="Times New Roman" w:eastAsia="Times New Roman" w:hAnsi="Times New Roman" w:cs="Times New Roman"/>
        </w:rPr>
      </w:pPr>
    </w:p>
    <w:p w:rsidR="003C6F6D" w:rsidRPr="003C6F6D" w:rsidRDefault="003C6F6D" w:rsidP="003C6F6D">
      <w:pPr>
        <w:rPr>
          <w:rFonts w:ascii="Times New Roman" w:eastAsia="Times New Roman" w:hAnsi="Times New Roman" w:cs="Times New Roman"/>
        </w:rPr>
      </w:pPr>
    </w:p>
    <w:p w:rsidR="003C6F6D" w:rsidRDefault="003C6F6D" w:rsidP="003C6F6D">
      <w:pPr>
        <w:rPr>
          <w:rFonts w:ascii="Times New Roman" w:eastAsia="Times New Roman" w:hAnsi="Times New Roman" w:cs="Times New Roman"/>
        </w:rPr>
      </w:pPr>
    </w:p>
    <w:p w:rsidR="003C6F6D" w:rsidRDefault="003C6F6D" w:rsidP="003C6F6D">
      <w:pPr>
        <w:rPr>
          <w:rFonts w:ascii="Times New Roman" w:eastAsia="Times New Roman" w:hAnsi="Times New Roman" w:cs="Times New Roman"/>
        </w:rPr>
      </w:pPr>
    </w:p>
    <w:p w:rsidR="0083533B" w:rsidRDefault="0083533B" w:rsidP="00D62FDE">
      <w:pPr>
        <w:jc w:val="center"/>
        <w:rPr>
          <w:rFonts w:ascii="Times New Roman" w:eastAsia="Times New Roman" w:hAnsi="Times New Roman" w:cs="Times New Roman"/>
          <w:b/>
        </w:rPr>
      </w:pPr>
      <w:r w:rsidRPr="0083533B">
        <w:rPr>
          <w:rFonts w:ascii="Times New Roman" w:eastAsia="Times New Roman" w:hAnsi="Times New Roman" w:cs="Times New Roman"/>
          <w:b/>
        </w:rPr>
        <w:lastRenderedPageBreak/>
        <w:t>References</w:t>
      </w:r>
    </w:p>
    <w:p w:rsidR="0083533B" w:rsidRPr="00D62FDE" w:rsidRDefault="00D62FDE" w:rsidP="00D62FDE">
      <w:pPr>
        <w:spacing w:line="360" w:lineRule="auto"/>
        <w:ind w:left="360" w:hanging="360"/>
        <w:rPr>
          <w:rFonts w:ascii="Times New Roman" w:eastAsia="Times New Roman" w:hAnsi="Times New Roman" w:cs="Times New Roman"/>
        </w:rPr>
      </w:pPr>
      <w:r w:rsidRPr="00D62FDE">
        <w:rPr>
          <w:rFonts w:ascii="Times New Roman" w:eastAsia="Times New Roman" w:hAnsi="Times New Roman" w:cs="Times New Roman"/>
        </w:rPr>
        <w:t xml:space="preserve">A Cry </w:t>
      </w:r>
      <w:proofErr w:type="gramStart"/>
      <w:r w:rsidRPr="00D62FDE">
        <w:rPr>
          <w:rFonts w:ascii="Times New Roman" w:eastAsia="Times New Roman" w:hAnsi="Times New Roman" w:cs="Times New Roman"/>
        </w:rPr>
        <w:t>From</w:t>
      </w:r>
      <w:proofErr w:type="gramEnd"/>
      <w:r w:rsidRPr="00D62FDE">
        <w:rPr>
          <w:rFonts w:ascii="Times New Roman" w:eastAsia="Times New Roman" w:hAnsi="Times New Roman" w:cs="Times New Roman"/>
        </w:rPr>
        <w:t xml:space="preserve"> the Forest. (2012). [DVD] Directed by P. </w:t>
      </w:r>
      <w:proofErr w:type="spellStart"/>
      <w:r w:rsidRPr="00D62FDE">
        <w:rPr>
          <w:rFonts w:ascii="Times New Roman" w:eastAsia="Times New Roman" w:hAnsi="Times New Roman" w:cs="Times New Roman"/>
        </w:rPr>
        <w:t>Agland</w:t>
      </w:r>
      <w:proofErr w:type="spellEnd"/>
      <w:r w:rsidRPr="00D62FDE">
        <w:rPr>
          <w:rFonts w:ascii="Times New Roman" w:eastAsia="Times New Roman" w:hAnsi="Times New Roman" w:cs="Times New Roman"/>
        </w:rPr>
        <w:t xml:space="preserve">. Phil </w:t>
      </w:r>
      <w:proofErr w:type="spellStart"/>
      <w:r w:rsidRPr="00D62FDE">
        <w:rPr>
          <w:rFonts w:ascii="Times New Roman" w:eastAsia="Times New Roman" w:hAnsi="Times New Roman" w:cs="Times New Roman"/>
        </w:rPr>
        <w:t>Agland</w:t>
      </w:r>
      <w:proofErr w:type="spellEnd"/>
      <w:r w:rsidRPr="00D62FDE">
        <w:rPr>
          <w:rFonts w:ascii="Times New Roman" w:eastAsia="Times New Roman" w:hAnsi="Times New Roman" w:cs="Times New Roman"/>
        </w:rPr>
        <w:t>.</w:t>
      </w:r>
    </w:p>
    <w:p w:rsidR="003C6F6D" w:rsidRDefault="003C6F6D" w:rsidP="00D62FDE">
      <w:pPr>
        <w:spacing w:line="360" w:lineRule="auto"/>
        <w:ind w:left="360" w:hanging="360"/>
        <w:rPr>
          <w:rFonts w:ascii="Times New Roman" w:eastAsia="Times New Roman" w:hAnsi="Times New Roman" w:cs="Times New Roman"/>
        </w:rPr>
      </w:pPr>
      <w:r w:rsidRPr="003C6F6D">
        <w:rPr>
          <w:rFonts w:ascii="Times New Roman" w:eastAsia="Times New Roman" w:hAnsi="Times New Roman" w:cs="Times New Roman"/>
        </w:rPr>
        <w:t xml:space="preserve">Bird-David, N. (1992). Beyond 'The Hunting and Gathering Mode of Subsistence': Culture-Sensitive Observations on the Nayaka and Other Modern Hunter-Gatherers. Man, 27(1), </w:t>
      </w:r>
      <w:bookmarkStart w:id="0" w:name="_GoBack"/>
      <w:r w:rsidRPr="003C6F6D">
        <w:rPr>
          <w:rFonts w:ascii="Times New Roman" w:eastAsia="Times New Roman" w:hAnsi="Times New Roman" w:cs="Times New Roman"/>
        </w:rPr>
        <w:t>pp.19-44.</w:t>
      </w:r>
    </w:p>
    <w:bookmarkEnd w:id="0"/>
    <w:p w:rsidR="001C758C" w:rsidRPr="001C758C" w:rsidRDefault="001C758C" w:rsidP="00D62FDE">
      <w:pPr>
        <w:spacing w:line="360" w:lineRule="auto"/>
        <w:ind w:left="360" w:hanging="360"/>
        <w:rPr>
          <w:rFonts w:ascii="Times New Roman" w:eastAsia="Times New Roman" w:hAnsi="Times New Roman" w:cs="Times New Roman"/>
        </w:rPr>
      </w:pPr>
      <w:proofErr w:type="spellStart"/>
      <w:r w:rsidRPr="001C758C">
        <w:rPr>
          <w:rFonts w:ascii="Times New Roman" w:eastAsia="Times New Roman" w:hAnsi="Times New Roman" w:cs="Times New Roman"/>
        </w:rPr>
        <w:t>Chagnon</w:t>
      </w:r>
      <w:proofErr w:type="spellEnd"/>
      <w:r w:rsidRPr="001C758C">
        <w:rPr>
          <w:rFonts w:ascii="Times New Roman" w:eastAsia="Times New Roman" w:hAnsi="Times New Roman" w:cs="Times New Roman"/>
        </w:rPr>
        <w:t>, N. (1968). Yanomamö, the fierce people. New York: Holt, Rinehart and Winston.</w:t>
      </w:r>
    </w:p>
    <w:p w:rsidR="001C758C" w:rsidRPr="003C6F6D" w:rsidRDefault="001C758C" w:rsidP="00D62FDE">
      <w:pPr>
        <w:spacing w:line="360" w:lineRule="auto"/>
        <w:ind w:left="360" w:hanging="360"/>
        <w:rPr>
          <w:rFonts w:ascii="Times New Roman" w:eastAsia="Times New Roman" w:hAnsi="Times New Roman" w:cs="Times New Roman"/>
          <w:b/>
        </w:rPr>
      </w:pPr>
    </w:p>
    <w:p w:rsidR="003C6F6D" w:rsidRDefault="003C6F6D" w:rsidP="00D62FDE">
      <w:pPr>
        <w:pStyle w:val="paragraph"/>
        <w:spacing w:before="0" w:beforeAutospacing="0" w:after="0" w:afterAutospacing="0" w:line="360" w:lineRule="auto"/>
        <w:ind w:left="360" w:hanging="360"/>
        <w:textAlignment w:val="baseline"/>
        <w:rPr>
          <w:rStyle w:val="normaltextrun"/>
        </w:rPr>
      </w:pPr>
      <w:r w:rsidRPr="003C6F6D">
        <w:rPr>
          <w:rStyle w:val="normaltextrun"/>
        </w:rPr>
        <w:t>Diamond, J. (1987). The Worst Mistake in the History of the Human Race. Discover Magazine, 1, pp.64-66.</w:t>
      </w:r>
    </w:p>
    <w:p w:rsidR="003C6F6D" w:rsidRPr="001C758C" w:rsidRDefault="001C758C" w:rsidP="00D62FDE">
      <w:pPr>
        <w:spacing w:line="360" w:lineRule="auto"/>
        <w:ind w:left="360" w:hanging="360"/>
        <w:rPr>
          <w:rFonts w:ascii="Times New Roman" w:eastAsia="Times New Roman" w:hAnsi="Times New Roman" w:cs="Times New Roman"/>
        </w:rPr>
      </w:pPr>
      <w:r w:rsidRPr="003C6F6D">
        <w:rPr>
          <w:rFonts w:ascii="Times New Roman" w:eastAsia="Times New Roman" w:hAnsi="Times New Roman" w:cs="Times New Roman"/>
        </w:rPr>
        <w:t xml:space="preserve">From the Heart of the World: The Elder Brothers' Warning. (2018). [film] Directed by A. </w:t>
      </w:r>
      <w:proofErr w:type="spellStart"/>
      <w:r w:rsidRPr="003C6F6D">
        <w:rPr>
          <w:rFonts w:ascii="Times New Roman" w:eastAsia="Times New Roman" w:hAnsi="Times New Roman" w:cs="Times New Roman"/>
        </w:rPr>
        <w:t>Ereira</w:t>
      </w:r>
      <w:proofErr w:type="spellEnd"/>
      <w:r w:rsidRPr="003C6F6D">
        <w:rPr>
          <w:rFonts w:ascii="Times New Roman" w:eastAsia="Times New Roman" w:hAnsi="Times New Roman" w:cs="Times New Roman"/>
        </w:rPr>
        <w:t>. UK: BBC.</w:t>
      </w:r>
    </w:p>
    <w:p w:rsidR="003C6F6D" w:rsidRPr="003C6F6D" w:rsidRDefault="003C6F6D" w:rsidP="00D62FDE">
      <w:pPr>
        <w:spacing w:line="360" w:lineRule="auto"/>
        <w:ind w:left="360" w:hanging="360"/>
        <w:rPr>
          <w:rFonts w:ascii="Times New Roman" w:hAnsi="Times New Roman" w:cs="Times New Roman"/>
        </w:rPr>
      </w:pPr>
      <w:proofErr w:type="spellStart"/>
      <w:r w:rsidRPr="003C6F6D">
        <w:rPr>
          <w:rFonts w:ascii="Times New Roman" w:hAnsi="Times New Roman" w:cs="Times New Roman"/>
        </w:rPr>
        <w:t>Gowdy</w:t>
      </w:r>
      <w:proofErr w:type="spellEnd"/>
      <w:r w:rsidRPr="003C6F6D">
        <w:rPr>
          <w:rFonts w:ascii="Times New Roman" w:hAnsi="Times New Roman" w:cs="Times New Roman"/>
        </w:rPr>
        <w:t>, J. (1998). </w:t>
      </w:r>
      <w:r>
        <w:rPr>
          <w:rFonts w:ascii="Times New Roman" w:hAnsi="Times New Roman" w:cs="Times New Roman"/>
        </w:rPr>
        <w:t>Limited wants, U</w:t>
      </w:r>
      <w:r w:rsidRPr="003C6F6D">
        <w:rPr>
          <w:rFonts w:ascii="Times New Roman" w:hAnsi="Times New Roman" w:cs="Times New Roman"/>
        </w:rPr>
        <w:t>nlimited means. 1st ed. Washington, D.C.: Island Press.</w:t>
      </w:r>
    </w:p>
    <w:p w:rsidR="003C6F6D" w:rsidRDefault="003C6F6D" w:rsidP="00D62FDE">
      <w:pPr>
        <w:spacing w:line="360" w:lineRule="auto"/>
        <w:ind w:left="360" w:hanging="360"/>
        <w:rPr>
          <w:rFonts w:ascii="Times New Roman" w:hAnsi="Times New Roman" w:cs="Times New Roman"/>
        </w:rPr>
      </w:pPr>
      <w:r>
        <w:rPr>
          <w:rFonts w:ascii="Times New Roman" w:hAnsi="Times New Roman" w:cs="Times New Roman"/>
        </w:rPr>
        <w:t>Limited wants unlimited means- hunter-gatherer economics</w:t>
      </w:r>
    </w:p>
    <w:p w:rsidR="003C6F6D" w:rsidRPr="008C50FE" w:rsidRDefault="003C6F6D" w:rsidP="00D62FDE">
      <w:pPr>
        <w:pStyle w:val="paragraph"/>
        <w:spacing w:before="0" w:beforeAutospacing="0" w:after="0" w:afterAutospacing="0" w:line="360" w:lineRule="auto"/>
        <w:ind w:left="360" w:hanging="360"/>
        <w:textAlignment w:val="baseline"/>
      </w:pPr>
      <w:proofErr w:type="spellStart"/>
      <w:r w:rsidRPr="008C50FE">
        <w:rPr>
          <w:rStyle w:val="normaltextrun"/>
        </w:rPr>
        <w:t>Mosko</w:t>
      </w:r>
      <w:proofErr w:type="spellEnd"/>
      <w:r w:rsidRPr="008C50FE">
        <w:rPr>
          <w:rStyle w:val="normaltextrun"/>
        </w:rPr>
        <w:t xml:space="preserve">, M. (1987) ‘The Symbols of “Forest”: A Structural Analysis of </w:t>
      </w:r>
      <w:proofErr w:type="spellStart"/>
      <w:r w:rsidRPr="008C50FE">
        <w:rPr>
          <w:rStyle w:val="normaltextrun"/>
        </w:rPr>
        <w:t>Mbuti</w:t>
      </w:r>
      <w:proofErr w:type="spellEnd"/>
      <w:r w:rsidRPr="008C50FE">
        <w:rPr>
          <w:rStyle w:val="normaltextrun"/>
        </w:rPr>
        <w:t xml:space="preserve"> Culture and Social Organization,’ </w:t>
      </w:r>
      <w:r w:rsidRPr="008C50FE">
        <w:rPr>
          <w:rStyle w:val="normaltextrun"/>
          <w:i/>
          <w:iCs/>
        </w:rPr>
        <w:t>American Anthropological Association. Vol 89:4, pp. 896-913.</w:t>
      </w:r>
      <w:r w:rsidRPr="008C50FE">
        <w:rPr>
          <w:rStyle w:val="eop"/>
        </w:rPr>
        <w:t> </w:t>
      </w:r>
    </w:p>
    <w:p w:rsidR="003C6F6D" w:rsidRPr="003C6F6D" w:rsidRDefault="003C6F6D" w:rsidP="00D62FDE">
      <w:pPr>
        <w:pStyle w:val="paragraph"/>
        <w:spacing w:before="0" w:beforeAutospacing="0" w:after="0" w:afterAutospacing="0" w:line="360" w:lineRule="auto"/>
        <w:ind w:left="360" w:hanging="360"/>
        <w:textAlignment w:val="baseline"/>
        <w:rPr>
          <w:rStyle w:val="normaltextrun"/>
        </w:rPr>
      </w:pPr>
    </w:p>
    <w:p w:rsidR="003C6F6D" w:rsidRPr="003C6F6D" w:rsidRDefault="003C6F6D" w:rsidP="00D62FDE">
      <w:pPr>
        <w:spacing w:line="360" w:lineRule="auto"/>
        <w:ind w:left="360" w:hanging="360"/>
        <w:rPr>
          <w:rFonts w:ascii="Times New Roman" w:eastAsia="Times New Roman" w:hAnsi="Times New Roman" w:cs="Times New Roman"/>
        </w:rPr>
      </w:pPr>
      <w:proofErr w:type="spellStart"/>
      <w:r w:rsidRPr="003C6F6D">
        <w:rPr>
          <w:rFonts w:ascii="Times New Roman" w:eastAsia="Times New Roman" w:hAnsi="Times New Roman" w:cs="Times New Roman"/>
        </w:rPr>
        <w:t>Widlok</w:t>
      </w:r>
      <w:proofErr w:type="spellEnd"/>
      <w:r w:rsidRPr="003C6F6D">
        <w:rPr>
          <w:rFonts w:ascii="Times New Roman" w:eastAsia="Times New Roman" w:hAnsi="Times New Roman" w:cs="Times New Roman"/>
        </w:rPr>
        <w:t>, T. and Tadesse, W. (2007). </w:t>
      </w:r>
      <w:r>
        <w:rPr>
          <w:rFonts w:ascii="Times New Roman" w:eastAsia="Times New Roman" w:hAnsi="Times New Roman" w:cs="Times New Roman"/>
        </w:rPr>
        <w:t>Property and E</w:t>
      </w:r>
      <w:r w:rsidRPr="003C6F6D">
        <w:rPr>
          <w:rFonts w:ascii="Times New Roman" w:eastAsia="Times New Roman" w:hAnsi="Times New Roman" w:cs="Times New Roman"/>
        </w:rPr>
        <w:t xml:space="preserve">quality. 1st ed. New York: </w:t>
      </w:r>
      <w:proofErr w:type="spellStart"/>
      <w:r w:rsidRPr="003C6F6D">
        <w:rPr>
          <w:rFonts w:ascii="Times New Roman" w:eastAsia="Times New Roman" w:hAnsi="Times New Roman" w:cs="Times New Roman"/>
        </w:rPr>
        <w:t>Berghahn</w:t>
      </w:r>
      <w:proofErr w:type="spellEnd"/>
      <w:r w:rsidRPr="003C6F6D">
        <w:rPr>
          <w:rFonts w:ascii="Times New Roman" w:eastAsia="Times New Roman" w:hAnsi="Times New Roman" w:cs="Times New Roman"/>
        </w:rPr>
        <w:t xml:space="preserve"> Books, p</w:t>
      </w:r>
      <w:r>
        <w:rPr>
          <w:rFonts w:ascii="Times New Roman" w:eastAsia="Times New Roman" w:hAnsi="Times New Roman" w:cs="Times New Roman"/>
        </w:rPr>
        <w:t>p</w:t>
      </w:r>
      <w:r w:rsidRPr="003C6F6D">
        <w:rPr>
          <w:rFonts w:ascii="Times New Roman" w:eastAsia="Times New Roman" w:hAnsi="Times New Roman" w:cs="Times New Roman"/>
        </w:rPr>
        <w:t>.</w:t>
      </w:r>
      <w:r>
        <w:rPr>
          <w:rFonts w:ascii="Times New Roman" w:eastAsia="Times New Roman" w:hAnsi="Times New Roman" w:cs="Times New Roman"/>
        </w:rPr>
        <w:t xml:space="preserve"> </w:t>
      </w:r>
      <w:r w:rsidRPr="003C6F6D">
        <w:rPr>
          <w:rFonts w:ascii="Times New Roman" w:eastAsia="Times New Roman" w:hAnsi="Times New Roman" w:cs="Times New Roman"/>
        </w:rPr>
        <w:t>216.</w:t>
      </w:r>
    </w:p>
    <w:sectPr w:rsidR="003C6F6D" w:rsidRPr="003C6F6D" w:rsidSect="006072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F6D"/>
    <w:rsid w:val="001C758C"/>
    <w:rsid w:val="00343240"/>
    <w:rsid w:val="003C6F6D"/>
    <w:rsid w:val="0060720F"/>
    <w:rsid w:val="0083533B"/>
    <w:rsid w:val="00D62F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A71A2"/>
  <w14:defaultImageDpi w14:val="32767"/>
  <w15:chartTrackingRefBased/>
  <w15:docId w15:val="{5A1AFC5A-A43F-DB4A-8553-1301B5B78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C6F6D"/>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3C6F6D"/>
  </w:style>
  <w:style w:type="character" w:customStyle="1" w:styleId="eop">
    <w:name w:val="eop"/>
    <w:basedOn w:val="DefaultParagraphFont"/>
    <w:rsid w:val="003C6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60321">
      <w:bodyDiv w:val="1"/>
      <w:marLeft w:val="0"/>
      <w:marRight w:val="0"/>
      <w:marTop w:val="0"/>
      <w:marBottom w:val="0"/>
      <w:divBdr>
        <w:top w:val="none" w:sz="0" w:space="0" w:color="auto"/>
        <w:left w:val="none" w:sz="0" w:space="0" w:color="auto"/>
        <w:bottom w:val="none" w:sz="0" w:space="0" w:color="auto"/>
        <w:right w:val="none" w:sz="0" w:space="0" w:color="auto"/>
      </w:divBdr>
    </w:div>
    <w:div w:id="162550765">
      <w:bodyDiv w:val="1"/>
      <w:marLeft w:val="0"/>
      <w:marRight w:val="0"/>
      <w:marTop w:val="0"/>
      <w:marBottom w:val="0"/>
      <w:divBdr>
        <w:top w:val="none" w:sz="0" w:space="0" w:color="auto"/>
        <w:left w:val="none" w:sz="0" w:space="0" w:color="auto"/>
        <w:bottom w:val="none" w:sz="0" w:space="0" w:color="auto"/>
        <w:right w:val="none" w:sz="0" w:space="0" w:color="auto"/>
      </w:divBdr>
    </w:div>
    <w:div w:id="209414648">
      <w:bodyDiv w:val="1"/>
      <w:marLeft w:val="0"/>
      <w:marRight w:val="0"/>
      <w:marTop w:val="0"/>
      <w:marBottom w:val="0"/>
      <w:divBdr>
        <w:top w:val="none" w:sz="0" w:space="0" w:color="auto"/>
        <w:left w:val="none" w:sz="0" w:space="0" w:color="auto"/>
        <w:bottom w:val="none" w:sz="0" w:space="0" w:color="auto"/>
        <w:right w:val="none" w:sz="0" w:space="0" w:color="auto"/>
      </w:divBdr>
    </w:div>
    <w:div w:id="211578771">
      <w:bodyDiv w:val="1"/>
      <w:marLeft w:val="0"/>
      <w:marRight w:val="0"/>
      <w:marTop w:val="0"/>
      <w:marBottom w:val="0"/>
      <w:divBdr>
        <w:top w:val="none" w:sz="0" w:space="0" w:color="auto"/>
        <w:left w:val="none" w:sz="0" w:space="0" w:color="auto"/>
        <w:bottom w:val="none" w:sz="0" w:space="0" w:color="auto"/>
        <w:right w:val="none" w:sz="0" w:space="0" w:color="auto"/>
      </w:divBdr>
    </w:div>
    <w:div w:id="292290740">
      <w:bodyDiv w:val="1"/>
      <w:marLeft w:val="0"/>
      <w:marRight w:val="0"/>
      <w:marTop w:val="0"/>
      <w:marBottom w:val="0"/>
      <w:divBdr>
        <w:top w:val="none" w:sz="0" w:space="0" w:color="auto"/>
        <w:left w:val="none" w:sz="0" w:space="0" w:color="auto"/>
        <w:bottom w:val="none" w:sz="0" w:space="0" w:color="auto"/>
        <w:right w:val="none" w:sz="0" w:space="0" w:color="auto"/>
      </w:divBdr>
    </w:div>
    <w:div w:id="319189124">
      <w:bodyDiv w:val="1"/>
      <w:marLeft w:val="0"/>
      <w:marRight w:val="0"/>
      <w:marTop w:val="0"/>
      <w:marBottom w:val="0"/>
      <w:divBdr>
        <w:top w:val="none" w:sz="0" w:space="0" w:color="auto"/>
        <w:left w:val="none" w:sz="0" w:space="0" w:color="auto"/>
        <w:bottom w:val="none" w:sz="0" w:space="0" w:color="auto"/>
        <w:right w:val="none" w:sz="0" w:space="0" w:color="auto"/>
      </w:divBdr>
    </w:div>
    <w:div w:id="467357121">
      <w:bodyDiv w:val="1"/>
      <w:marLeft w:val="0"/>
      <w:marRight w:val="0"/>
      <w:marTop w:val="0"/>
      <w:marBottom w:val="0"/>
      <w:divBdr>
        <w:top w:val="none" w:sz="0" w:space="0" w:color="auto"/>
        <w:left w:val="none" w:sz="0" w:space="0" w:color="auto"/>
        <w:bottom w:val="none" w:sz="0" w:space="0" w:color="auto"/>
        <w:right w:val="none" w:sz="0" w:space="0" w:color="auto"/>
      </w:divBdr>
    </w:div>
    <w:div w:id="914970413">
      <w:bodyDiv w:val="1"/>
      <w:marLeft w:val="0"/>
      <w:marRight w:val="0"/>
      <w:marTop w:val="0"/>
      <w:marBottom w:val="0"/>
      <w:divBdr>
        <w:top w:val="none" w:sz="0" w:space="0" w:color="auto"/>
        <w:left w:val="none" w:sz="0" w:space="0" w:color="auto"/>
        <w:bottom w:val="none" w:sz="0" w:space="0" w:color="auto"/>
        <w:right w:val="none" w:sz="0" w:space="0" w:color="auto"/>
      </w:divBdr>
    </w:div>
    <w:div w:id="924652456">
      <w:bodyDiv w:val="1"/>
      <w:marLeft w:val="0"/>
      <w:marRight w:val="0"/>
      <w:marTop w:val="0"/>
      <w:marBottom w:val="0"/>
      <w:divBdr>
        <w:top w:val="none" w:sz="0" w:space="0" w:color="auto"/>
        <w:left w:val="none" w:sz="0" w:space="0" w:color="auto"/>
        <w:bottom w:val="none" w:sz="0" w:space="0" w:color="auto"/>
        <w:right w:val="none" w:sz="0" w:space="0" w:color="auto"/>
      </w:divBdr>
    </w:div>
    <w:div w:id="965430731">
      <w:bodyDiv w:val="1"/>
      <w:marLeft w:val="0"/>
      <w:marRight w:val="0"/>
      <w:marTop w:val="0"/>
      <w:marBottom w:val="0"/>
      <w:divBdr>
        <w:top w:val="none" w:sz="0" w:space="0" w:color="auto"/>
        <w:left w:val="none" w:sz="0" w:space="0" w:color="auto"/>
        <w:bottom w:val="none" w:sz="0" w:space="0" w:color="auto"/>
        <w:right w:val="none" w:sz="0" w:space="0" w:color="auto"/>
      </w:divBdr>
    </w:div>
    <w:div w:id="1117137791">
      <w:bodyDiv w:val="1"/>
      <w:marLeft w:val="0"/>
      <w:marRight w:val="0"/>
      <w:marTop w:val="0"/>
      <w:marBottom w:val="0"/>
      <w:divBdr>
        <w:top w:val="none" w:sz="0" w:space="0" w:color="auto"/>
        <w:left w:val="none" w:sz="0" w:space="0" w:color="auto"/>
        <w:bottom w:val="none" w:sz="0" w:space="0" w:color="auto"/>
        <w:right w:val="none" w:sz="0" w:space="0" w:color="auto"/>
      </w:divBdr>
    </w:div>
    <w:div w:id="1198853587">
      <w:bodyDiv w:val="1"/>
      <w:marLeft w:val="0"/>
      <w:marRight w:val="0"/>
      <w:marTop w:val="0"/>
      <w:marBottom w:val="0"/>
      <w:divBdr>
        <w:top w:val="none" w:sz="0" w:space="0" w:color="auto"/>
        <w:left w:val="none" w:sz="0" w:space="0" w:color="auto"/>
        <w:bottom w:val="none" w:sz="0" w:space="0" w:color="auto"/>
        <w:right w:val="none" w:sz="0" w:space="0" w:color="auto"/>
      </w:divBdr>
    </w:div>
    <w:div w:id="1202210015">
      <w:bodyDiv w:val="1"/>
      <w:marLeft w:val="0"/>
      <w:marRight w:val="0"/>
      <w:marTop w:val="0"/>
      <w:marBottom w:val="0"/>
      <w:divBdr>
        <w:top w:val="none" w:sz="0" w:space="0" w:color="auto"/>
        <w:left w:val="none" w:sz="0" w:space="0" w:color="auto"/>
        <w:bottom w:val="none" w:sz="0" w:space="0" w:color="auto"/>
        <w:right w:val="none" w:sz="0" w:space="0" w:color="auto"/>
      </w:divBdr>
    </w:div>
    <w:div w:id="1352099836">
      <w:bodyDiv w:val="1"/>
      <w:marLeft w:val="0"/>
      <w:marRight w:val="0"/>
      <w:marTop w:val="0"/>
      <w:marBottom w:val="0"/>
      <w:divBdr>
        <w:top w:val="none" w:sz="0" w:space="0" w:color="auto"/>
        <w:left w:val="none" w:sz="0" w:space="0" w:color="auto"/>
        <w:bottom w:val="none" w:sz="0" w:space="0" w:color="auto"/>
        <w:right w:val="none" w:sz="0" w:space="0" w:color="auto"/>
      </w:divBdr>
    </w:div>
    <w:div w:id="1453596671">
      <w:bodyDiv w:val="1"/>
      <w:marLeft w:val="0"/>
      <w:marRight w:val="0"/>
      <w:marTop w:val="0"/>
      <w:marBottom w:val="0"/>
      <w:divBdr>
        <w:top w:val="none" w:sz="0" w:space="0" w:color="auto"/>
        <w:left w:val="none" w:sz="0" w:space="0" w:color="auto"/>
        <w:bottom w:val="none" w:sz="0" w:space="0" w:color="auto"/>
        <w:right w:val="none" w:sz="0" w:space="0" w:color="auto"/>
      </w:divBdr>
    </w:div>
    <w:div w:id="1560674605">
      <w:bodyDiv w:val="1"/>
      <w:marLeft w:val="0"/>
      <w:marRight w:val="0"/>
      <w:marTop w:val="0"/>
      <w:marBottom w:val="0"/>
      <w:divBdr>
        <w:top w:val="none" w:sz="0" w:space="0" w:color="auto"/>
        <w:left w:val="none" w:sz="0" w:space="0" w:color="auto"/>
        <w:bottom w:val="none" w:sz="0" w:space="0" w:color="auto"/>
        <w:right w:val="none" w:sz="0" w:space="0" w:color="auto"/>
      </w:divBdr>
    </w:div>
    <w:div w:id="1623683888">
      <w:bodyDiv w:val="1"/>
      <w:marLeft w:val="0"/>
      <w:marRight w:val="0"/>
      <w:marTop w:val="0"/>
      <w:marBottom w:val="0"/>
      <w:divBdr>
        <w:top w:val="none" w:sz="0" w:space="0" w:color="auto"/>
        <w:left w:val="none" w:sz="0" w:space="0" w:color="auto"/>
        <w:bottom w:val="none" w:sz="0" w:space="0" w:color="auto"/>
        <w:right w:val="none" w:sz="0" w:space="0" w:color="auto"/>
      </w:divBdr>
    </w:div>
    <w:div w:id="1839806262">
      <w:bodyDiv w:val="1"/>
      <w:marLeft w:val="0"/>
      <w:marRight w:val="0"/>
      <w:marTop w:val="0"/>
      <w:marBottom w:val="0"/>
      <w:divBdr>
        <w:top w:val="none" w:sz="0" w:space="0" w:color="auto"/>
        <w:left w:val="none" w:sz="0" w:space="0" w:color="auto"/>
        <w:bottom w:val="none" w:sz="0" w:space="0" w:color="auto"/>
        <w:right w:val="none" w:sz="0" w:space="0" w:color="auto"/>
      </w:divBdr>
    </w:div>
    <w:div w:id="1846165069">
      <w:bodyDiv w:val="1"/>
      <w:marLeft w:val="0"/>
      <w:marRight w:val="0"/>
      <w:marTop w:val="0"/>
      <w:marBottom w:val="0"/>
      <w:divBdr>
        <w:top w:val="none" w:sz="0" w:space="0" w:color="auto"/>
        <w:left w:val="none" w:sz="0" w:space="0" w:color="auto"/>
        <w:bottom w:val="none" w:sz="0" w:space="0" w:color="auto"/>
        <w:right w:val="none" w:sz="0" w:space="0" w:color="auto"/>
      </w:divBdr>
    </w:div>
    <w:div w:id="1870097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4</Pages>
  <Words>1190</Words>
  <Characters>6787</Characters>
  <Application>Microsoft Office Word</Application>
  <DocSecurity>0</DocSecurity>
  <Lines>56</Lines>
  <Paragraphs>15</Paragraphs>
  <ScaleCrop>false</ScaleCrop>
  <Company/>
  <LinksUpToDate>false</LinksUpToDate>
  <CharactersWithSpaces>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Prettyman</dc:creator>
  <cp:keywords/>
  <dc:description/>
  <cp:lastModifiedBy>Toby Prettyman</cp:lastModifiedBy>
  <cp:revision>5</cp:revision>
  <dcterms:created xsi:type="dcterms:W3CDTF">2018-09-28T14:47:00Z</dcterms:created>
  <dcterms:modified xsi:type="dcterms:W3CDTF">2018-09-28T22:55:00Z</dcterms:modified>
</cp:coreProperties>
</file>