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C0B12C" w14:textId="77777777" w:rsidR="00C335CF" w:rsidRDefault="00C6637F">
      <w:r>
        <w:t>(3) Analyse the differences between the curse tablets discovered at Uley and those from Bath.</w:t>
      </w:r>
    </w:p>
    <w:p w14:paraId="3059BF59" w14:textId="77777777" w:rsidR="000C27DD" w:rsidRDefault="000C27DD"/>
    <w:p w14:paraId="7E0E956A" w14:textId="77777777" w:rsidR="000C27DD" w:rsidRDefault="000C27DD">
      <w:r>
        <w:t>Curse tablets are typically small sheets of lead, inscribed with messages intended to be received by a specific god or spirit</w:t>
      </w:r>
      <w:r w:rsidR="00915D80">
        <w:t xml:space="preserve"> with a plea for intercedence on an individual’s behalf. The tablets found at both Bath and Uley share similar traits, however, they do have their differences. Some of the differences which are most noticed are: the fields of language which are frequently used, the focus of the god, the linguistic differences and the physical aspects of the lead tablets themselves. </w:t>
      </w:r>
      <w:proofErr w:type="gramStart"/>
      <w:r w:rsidR="00915D80">
        <w:t>During the course of</w:t>
      </w:r>
      <w:proofErr w:type="gramEnd"/>
      <w:r w:rsidR="00915D80">
        <w:t xml:space="preserve"> this essay, these differences will be analysed in order to ascertain the extent to which the finds from both sites do indeed vary. Although, it would be remiss to avoid discussion of some of the obvious similarities shared by the curse tablets of Bath and Uley. Therefore, the similarities will be closely examined to determine whether these too show levels of contrast.</w:t>
      </w:r>
    </w:p>
    <w:p w14:paraId="10870CC8" w14:textId="77777777" w:rsidR="00DB4528" w:rsidRDefault="00915D80">
      <w:r>
        <w:t>Firstly</w:t>
      </w:r>
      <w:r w:rsidR="00F30534">
        <w:t>,</w:t>
      </w:r>
      <w:r>
        <w:t xml:space="preserve"> this essay will exam the physical differences between the curse tablets of Bath and Uley.</w:t>
      </w:r>
      <w:r w:rsidR="00F30534">
        <w:t xml:space="preserve"> </w:t>
      </w:r>
      <w:r w:rsidR="00BE3874">
        <w:t xml:space="preserve">Despite both collections exhibiting items difficult to decipher there is a clear difference in preservation and physical appearance, </w:t>
      </w:r>
      <w:r w:rsidR="00DB4528">
        <w:t xml:space="preserve">the “Uley tablets </w:t>
      </w:r>
      <w:proofErr w:type="gramStart"/>
      <w:r w:rsidR="00DB4528">
        <w:t>as a whole are</w:t>
      </w:r>
      <w:proofErr w:type="gramEnd"/>
      <w:r w:rsidR="00DB4528">
        <w:t xml:space="preserve"> in a worse state than those from Bath.”</w:t>
      </w:r>
      <w:r w:rsidR="00DB4528">
        <w:rPr>
          <w:rStyle w:val="FootnoteReference"/>
        </w:rPr>
        <w:footnoteReference w:id="1"/>
      </w:r>
      <w:r w:rsidR="00DB4528">
        <w:t>This could be due to the benefit of the Bath tablets being entirely waterlogged. Another factor which may have aided in their preservation could certainly be their high tin content which although may make them slightly more brittle, would have protected them from chemical decay</w:t>
      </w:r>
      <w:r w:rsidR="00BE3874">
        <w:t>.</w:t>
      </w:r>
      <w:r w:rsidR="00BE3874">
        <w:rPr>
          <w:rStyle w:val="FootnoteReference"/>
        </w:rPr>
        <w:footnoteReference w:id="2"/>
      </w:r>
    </w:p>
    <w:p w14:paraId="2801FF24" w14:textId="77777777" w:rsidR="00BE3874" w:rsidRDefault="00F30534">
      <w:r>
        <w:t xml:space="preserve">With close analysis of the metal types coming for the Bath finds, it becomes evident that pure lead is rarely found in the context of curse tablets. Whilst </w:t>
      </w:r>
      <w:proofErr w:type="gramStart"/>
      <w:r>
        <w:t>the majority of</w:t>
      </w:r>
      <w:proofErr w:type="gramEnd"/>
      <w:r>
        <w:t xml:space="preserve"> them appear to look like lead, of the 75 tablets to be catalogued whose composition is known, “only four are in fact lead; another three contain more than 90% lead and six more are rich in lead (</w:t>
      </w:r>
      <w:proofErr w:type="spellStart"/>
      <w:r>
        <w:t>Pb</w:t>
      </w:r>
      <w:proofErr w:type="spellEnd"/>
      <w:r>
        <w:t xml:space="preserve"> 65-80).”</w:t>
      </w:r>
      <w:r>
        <w:rPr>
          <w:rStyle w:val="FootnoteReference"/>
        </w:rPr>
        <w:footnoteReference w:id="3"/>
      </w:r>
      <w:r>
        <w:t xml:space="preserve"> A surprising fact considering that curse tablets are traditionally, globally made from lead. From these numbers, less than one-fifth of the tablets (14) equate to at least two-</w:t>
      </w:r>
      <w:r w:rsidR="000756FC">
        <w:t xml:space="preserve"> </w:t>
      </w:r>
      <w:r>
        <w:t xml:space="preserve">thirds lead. </w:t>
      </w:r>
      <w:proofErr w:type="gramStart"/>
      <w:r>
        <w:t xml:space="preserve">The </w:t>
      </w:r>
      <w:r w:rsidR="000756FC">
        <w:t>clear majority</w:t>
      </w:r>
      <w:r>
        <w:t xml:space="preserve"> of</w:t>
      </w:r>
      <w:proofErr w:type="gramEnd"/>
      <w:r>
        <w:t xml:space="preserve"> the curse tablet found from Bath </w:t>
      </w:r>
      <w:r w:rsidR="000756FC">
        <w:t>are made from lead alloyed with tin, “sometimes with a trace of copper. Almost two- thirds (49) of the 75 tablets contain at least one- half tin, and almost three- quarters (55) fall within the range Sn40- 85.”</w:t>
      </w:r>
      <w:r w:rsidR="000756FC">
        <w:rPr>
          <w:rStyle w:val="FootnoteReference"/>
        </w:rPr>
        <w:footnoteReference w:id="4"/>
      </w:r>
    </w:p>
    <w:p w14:paraId="6FA5E18A" w14:textId="77777777" w:rsidR="00915D80" w:rsidRPr="007C55F5" w:rsidRDefault="000756FC">
      <w:r>
        <w:t xml:space="preserve">It is hardly a fair comparison of metallurgical differences as the curse tablets </w:t>
      </w:r>
      <w:r w:rsidR="00BE3874">
        <w:t xml:space="preserve">of Uley </w:t>
      </w:r>
      <w:r>
        <w:t xml:space="preserve">have not been </w:t>
      </w:r>
      <w:proofErr w:type="gramStart"/>
      <w:r>
        <w:t>as of yet</w:t>
      </w:r>
      <w:proofErr w:type="gramEnd"/>
      <w:r>
        <w:t xml:space="preserve"> so thoroughly analysed</w:t>
      </w:r>
      <w:r w:rsidR="00BE3874">
        <w:t>.</w:t>
      </w:r>
      <w:r>
        <w:t xml:space="preserve"> </w:t>
      </w:r>
      <w:r w:rsidR="00BE3874">
        <w:t>H</w:t>
      </w:r>
      <w:r>
        <w:t xml:space="preserve">owever, the curse tablets found at Uley arguably have a higher content of pure or at least high lead findings. This can be evidenced by the way in which the sheets of metal at each site were differently produced. Bath tablets made from the lead- tin alloy tend to be thinner than those found at Uley (less than 1mm thick). </w:t>
      </w:r>
      <w:r w:rsidR="00FB2BB4">
        <w:t>As evidenced by one of the Bath tablets which is only one- twentieth of an inch thick.</w:t>
      </w:r>
      <w:r w:rsidR="00FB2BB4">
        <w:rPr>
          <w:rStyle w:val="FootnoteReference"/>
        </w:rPr>
        <w:footnoteReference w:id="5"/>
      </w:r>
      <w:r w:rsidR="00FB2BB4">
        <w:t xml:space="preserve"> </w:t>
      </w:r>
      <w:r>
        <w:t xml:space="preserve">The Bath lead sheets seem to have been cast under pressure </w:t>
      </w:r>
      <w:r w:rsidR="004135D3">
        <w:t xml:space="preserve">producing </w:t>
      </w:r>
      <w:r>
        <w:t>a smooth surfaced almost paper</w:t>
      </w:r>
      <w:r w:rsidR="004135D3">
        <w:t>-</w:t>
      </w:r>
      <w:r>
        <w:t>thin</w:t>
      </w:r>
      <w:r w:rsidR="004135D3">
        <w:t xml:space="preserve"> product. Whereas, at Uley the lead seems to have been melted and poured onto a hard, flat surface which was then hammered out; leaving hammer marks which are visible, as well as often leaving a scalloped outline where “the soft metal has splayed out under the blows.”</w:t>
      </w:r>
      <w:r w:rsidR="004135D3">
        <w:rPr>
          <w:rStyle w:val="FootnoteReference"/>
        </w:rPr>
        <w:footnoteReference w:id="6"/>
      </w:r>
      <w:r w:rsidR="0046783B">
        <w:t xml:space="preserve"> Giving the Bath tables a more sophisticated appearance in comparison to those found at Uley.</w:t>
      </w:r>
      <w:r w:rsidR="0046783B">
        <w:rPr>
          <w:rStyle w:val="FootnoteReference"/>
        </w:rPr>
        <w:footnoteReference w:id="7"/>
      </w:r>
      <w:r w:rsidR="004135D3">
        <w:t xml:space="preserve"> It is </w:t>
      </w:r>
      <w:r w:rsidR="0046783B">
        <w:t>notably</w:t>
      </w:r>
      <w:r w:rsidR="004135D3">
        <w:t xml:space="preserve"> odd that a tin alloy would be used when tin would have had to have been brought from areas such as Cornwall and Devon to Bath. Tomlin argues that </w:t>
      </w:r>
      <w:r w:rsidR="004135D3">
        <w:lastRenderedPageBreak/>
        <w:t xml:space="preserve">this might have not been the case however. Tomlin claims that as Bath lay between two centres of pewter production, it is likely that the curse tables used were merely a by- product, using the example of </w:t>
      </w:r>
      <w:r w:rsidR="004135D3" w:rsidRPr="004135D3">
        <w:rPr>
          <w:b/>
        </w:rPr>
        <w:t>30</w:t>
      </w:r>
      <w:r w:rsidR="004135D3">
        <w:t xml:space="preserve"> as his evidence for his hypothesis.</w:t>
      </w:r>
      <w:r w:rsidR="00DB4528">
        <w:rPr>
          <w:rStyle w:val="FootnoteReference"/>
        </w:rPr>
        <w:footnoteReference w:id="8"/>
      </w:r>
      <w:r w:rsidR="004135D3">
        <w:t xml:space="preserve"> With this in mind it is possible to argue that the tablets found at Uley were produced locally whereas the tablets found at Bath were recycled products which featured unique metallurgical advantages such as having a lower melting temperature and being more malleable than traditional metals, therefore, allowing for the </w:t>
      </w:r>
      <w:r w:rsidR="004135D3" w:rsidRPr="007C55F5">
        <w:t xml:space="preserve">production of thinner </w:t>
      </w:r>
      <w:r w:rsidR="00DB4528" w:rsidRPr="007C55F5">
        <w:t>and harder sheets.</w:t>
      </w:r>
      <w:r w:rsidR="004135D3" w:rsidRPr="007C55F5">
        <w:t xml:space="preserve"> </w:t>
      </w:r>
    </w:p>
    <w:p w14:paraId="49CA66B0" w14:textId="77777777" w:rsidR="00BE3874" w:rsidRDefault="00BE3874">
      <w:commentRangeStart w:id="0"/>
      <w:r w:rsidRPr="007C55F5">
        <w:t>The</w:t>
      </w:r>
      <w:commentRangeEnd w:id="0"/>
      <w:r w:rsidR="00760CC2" w:rsidRPr="007C55F5">
        <w:rPr>
          <w:rStyle w:val="CommentReference"/>
        </w:rPr>
        <w:commentReference w:id="0"/>
      </w:r>
      <w:r w:rsidRPr="007C55F5">
        <w:t xml:space="preserve"> script in which most of the texts were composed for both Bath and Uley suggest that they were inscribed during the second and third centuries AD. Old Roman Cursive (ORC) was the traditional cursive of these centuries, very few were written in the script of the fourth century AD, New Roman Cursive (NRC).</w:t>
      </w:r>
      <w:r w:rsidR="00225B8F" w:rsidRPr="007C55F5">
        <w:t xml:space="preserve"> However,</w:t>
      </w:r>
      <w:r w:rsidR="00225B8F">
        <w:t xml:space="preserve"> there is a unique case </w:t>
      </w:r>
      <w:r w:rsidR="0046783B">
        <w:t xml:space="preserve">found at Uley which is not present in any of the finds from Bath. One tablet found at Uley features Early Old Roman Cursive (EORC) potentially dating it to the early second century or </w:t>
      </w:r>
      <w:r w:rsidR="00095432">
        <w:t>possibly</w:t>
      </w:r>
      <w:r w:rsidR="0046783B">
        <w:t xml:space="preserve"> earlier.</w:t>
      </w:r>
      <w:r w:rsidR="0046783B">
        <w:rPr>
          <w:rStyle w:val="FootnoteReference"/>
        </w:rPr>
        <w:footnoteReference w:id="9"/>
      </w:r>
      <w:r w:rsidR="0046783B">
        <w:t xml:space="preserve"> There are, </w:t>
      </w:r>
      <w:proofErr w:type="gramStart"/>
      <w:r w:rsidR="0046783B">
        <w:t>as of yet</w:t>
      </w:r>
      <w:proofErr w:type="gramEnd"/>
      <w:r w:rsidR="0046783B">
        <w:t>, not reasons stipulated for this occurrence at Uley and not at Bath.</w:t>
      </w:r>
    </w:p>
    <w:p w14:paraId="74D25C01" w14:textId="77777777" w:rsidR="00095432" w:rsidRDefault="00095432">
      <w:r>
        <w:t>When it comes to linguistic styles the Latin of the tablets is very particular and peculiar, “the texts were structured around examples from handbooks and an oral tradition of magical terms and formulae.”</w:t>
      </w:r>
      <w:r>
        <w:rPr>
          <w:rStyle w:val="FootnoteReference"/>
        </w:rPr>
        <w:footnoteReference w:id="10"/>
      </w:r>
      <w:r>
        <w:t xml:space="preserve">There are also grammatical and spelling divergences. At Uley it is evident that quite often the main verb comes immediately after the subject rather than at the end of the clause (Uley </w:t>
      </w:r>
      <w:r w:rsidR="00D315A4">
        <w:t>7)</w:t>
      </w:r>
      <w:r>
        <w:t>.</w:t>
      </w:r>
      <w:r w:rsidR="00D315A4">
        <w:t xml:space="preserve"> Also (especially in the case of Uley 1) we see the unnecessary doubling of letter; for example,</w:t>
      </w:r>
      <w:r>
        <w:t xml:space="preserve"> </w:t>
      </w:r>
      <w:r w:rsidR="00D315A4">
        <w:t xml:space="preserve">the double ‘s’ in </w:t>
      </w:r>
      <w:proofErr w:type="spellStart"/>
      <w:r w:rsidR="00D315A4">
        <w:t>nissi</w:t>
      </w:r>
      <w:proofErr w:type="spellEnd"/>
      <w:r w:rsidR="00D315A4">
        <w:t xml:space="preserve"> for nisi. However, this may just be a following from the common trend to do so in Late Latin (LL). At Uley we see examples of vulgar Latin (VL) where letters are dropped, i.e. que for </w:t>
      </w:r>
      <w:proofErr w:type="spellStart"/>
      <w:r w:rsidR="00D315A4">
        <w:t>quae</w:t>
      </w:r>
      <w:proofErr w:type="spellEnd"/>
      <w:r w:rsidR="00D315A4">
        <w:t xml:space="preserve"> (Uley 9), or confusion between letters which orally may have similar sounds, e.g. </w:t>
      </w:r>
      <w:proofErr w:type="spellStart"/>
      <w:r w:rsidR="00D315A4">
        <w:t>Manecilis</w:t>
      </w:r>
      <w:proofErr w:type="spellEnd"/>
      <w:r w:rsidR="00D315A4">
        <w:t xml:space="preserve"> from </w:t>
      </w:r>
      <w:proofErr w:type="spellStart"/>
      <w:r w:rsidR="00D315A4">
        <w:t>mani</w:t>
      </w:r>
      <w:proofErr w:type="spellEnd"/>
      <w:r w:rsidR="00D315A4">
        <w:t xml:space="preserve">, here there is a confusion between the e and </w:t>
      </w:r>
      <w:proofErr w:type="spellStart"/>
      <w:r w:rsidR="00D315A4">
        <w:t>i</w:t>
      </w:r>
      <w:proofErr w:type="spellEnd"/>
      <w:r w:rsidR="00D315A4">
        <w:t xml:space="preserve"> (Uley 9). </w:t>
      </w:r>
      <w:r w:rsidR="00B95E0C">
        <w:t xml:space="preserve">Also, the use of irregular forms or foreign words such as the infinitive form of </w:t>
      </w:r>
      <w:proofErr w:type="spellStart"/>
      <w:r w:rsidR="00B95E0C">
        <w:t>maducare</w:t>
      </w:r>
      <w:proofErr w:type="spellEnd"/>
      <w:r w:rsidR="00B95E0C">
        <w:t xml:space="preserve"> (to eat) and </w:t>
      </w:r>
      <w:proofErr w:type="spellStart"/>
      <w:r w:rsidR="00B95E0C">
        <w:t>baro</w:t>
      </w:r>
      <w:proofErr w:type="spellEnd"/>
      <w:r w:rsidR="00B95E0C">
        <w:t xml:space="preserve"> (man) (Uley 72) “are displays of vocabulary being utilized which is outside of the classical norm.”</w:t>
      </w:r>
      <w:r w:rsidR="00B95E0C">
        <w:rPr>
          <w:rStyle w:val="FootnoteReference"/>
        </w:rPr>
        <w:footnoteReference w:id="11"/>
      </w:r>
      <w:r w:rsidR="00B95E0C">
        <w:t>All of which can be compared to finds from bath which despite at times also showing signs of hyper-correct at times, tend to use rather formal legal language (Bath 94)</w:t>
      </w:r>
      <w:r w:rsidR="00FB2BB4">
        <w:t xml:space="preserve"> and overall less grammatical deviations or instances of VL</w:t>
      </w:r>
      <w:r w:rsidR="00B95E0C">
        <w:t>.</w:t>
      </w:r>
      <w:r w:rsidR="00B95E0C">
        <w:rPr>
          <w:rStyle w:val="FootnoteReference"/>
        </w:rPr>
        <w:footnoteReference w:id="12"/>
      </w:r>
      <w:r w:rsidR="00B95E0C">
        <w:t xml:space="preserve"> Also at Bath something which is not found in the context of Uley are tablets which denoted the completion of a vow which was taken at the time of making a curse tablet. The phrase, V(</w:t>
      </w:r>
      <w:proofErr w:type="spellStart"/>
      <w:r w:rsidR="00B95E0C">
        <w:t>oltum</w:t>
      </w:r>
      <w:proofErr w:type="spellEnd"/>
      <w:r w:rsidR="00B95E0C">
        <w:t>) S(</w:t>
      </w:r>
      <w:proofErr w:type="spellStart"/>
      <w:r w:rsidR="00B95E0C">
        <w:t>olvuit</w:t>
      </w:r>
      <w:proofErr w:type="spellEnd"/>
      <w:r w:rsidR="00B95E0C">
        <w:t>) L(</w:t>
      </w:r>
      <w:proofErr w:type="spellStart"/>
      <w:r w:rsidR="00B95E0C">
        <w:t>ibens</w:t>
      </w:r>
      <w:proofErr w:type="spellEnd"/>
      <w:r w:rsidR="00B95E0C">
        <w:t>) M(</w:t>
      </w:r>
      <w:proofErr w:type="spellStart"/>
      <w:r w:rsidR="00B95E0C">
        <w:t>erito</w:t>
      </w:r>
      <w:proofErr w:type="spellEnd"/>
      <w:r w:rsidR="00B95E0C">
        <w:t>), is not found on any of the Uley tablets.</w:t>
      </w:r>
    </w:p>
    <w:p w14:paraId="45208C0C" w14:textId="77777777" w:rsidR="000A5A74" w:rsidRDefault="006F5ED7">
      <w:r>
        <w:t xml:space="preserve">Uniquely at Bath we see tablets which were meant for other gods. Tomlin argues that this “may be a tribute to the authority of </w:t>
      </w:r>
      <w:proofErr w:type="spellStart"/>
      <w:r>
        <w:t>Sulis</w:t>
      </w:r>
      <w:proofErr w:type="spellEnd"/>
      <w:r>
        <w:t xml:space="preserve"> that her spring receives tablets meant for Mercury (53) and Mars (33, 97) that she can punish a thief ‘whether pagan or Christian’ (98, 1).”</w:t>
      </w:r>
      <w:r>
        <w:rPr>
          <w:rStyle w:val="FootnoteReference"/>
        </w:rPr>
        <w:footnoteReference w:id="13"/>
      </w:r>
      <w:r>
        <w:t>Whereas at Uley the tablets are all dedicated to and intended for Mercury. In this light it is interesting that there is only one tablet, found at Bath, which was with certainty, “not prompted by theft</w:t>
      </w:r>
      <w:proofErr w:type="gramStart"/>
      <w:r>
        <w:t>…(</w:t>
      </w:r>
      <w:proofErr w:type="gramEnd"/>
      <w:r>
        <w:t xml:space="preserve">94), the unique sanction of an oath sworn ‘at the spring of </w:t>
      </w:r>
      <w:proofErr w:type="spellStart"/>
      <w:r>
        <w:t>Sulis</w:t>
      </w:r>
      <w:proofErr w:type="spellEnd"/>
      <w:r>
        <w:t>’.”</w:t>
      </w:r>
      <w:r>
        <w:rPr>
          <w:rStyle w:val="FootnoteReference"/>
        </w:rPr>
        <w:footnoteReference w:id="14"/>
      </w:r>
      <w:r>
        <w:t xml:space="preserve">No such tablets are found at Uley, however, Uley’s linguistic </w:t>
      </w:r>
      <w:r>
        <w:lastRenderedPageBreak/>
        <w:t xml:space="preserve">field </w:t>
      </w:r>
      <w:r w:rsidR="000A5A74">
        <w:t>adds new misdemeanours not previously recorded in Britain, “embezzlement for example, and seem to encompass a different range of stolen property than at Bath.”</w:t>
      </w:r>
      <w:r w:rsidR="000A5A74">
        <w:rPr>
          <w:rStyle w:val="FootnoteReference"/>
        </w:rPr>
        <w:footnoteReference w:id="15"/>
      </w:r>
    </w:p>
    <w:p w14:paraId="0CA9819A" w14:textId="77777777" w:rsidR="006F5ED7" w:rsidRDefault="000A5A74">
      <w:r>
        <w:t>There are many similarities and differences between the finds of Bath and Uley, however “it is tempting to see this as reflecting a difference between two sites, an urban temple at a great healing shrine, and a rural temple with a more restricted clientele.”</w:t>
      </w:r>
      <w:r>
        <w:rPr>
          <w:rStyle w:val="FootnoteReference"/>
        </w:rPr>
        <w:footnoteReference w:id="16"/>
      </w:r>
      <w:r>
        <w:t xml:space="preserve">As with any finds they are comparable to each other for the nature of their both being curse tablets. However, with metallurgical difference, differing linguistic fields and </w:t>
      </w:r>
      <w:proofErr w:type="gramStart"/>
      <w:r>
        <w:t>all of</w:t>
      </w:r>
      <w:proofErr w:type="gramEnd"/>
      <w:r>
        <w:t xml:space="preserve"> the before mentioned differences above their natures are intrinsically different and thus are in many ways two isolated traditions which evolved from the Rome and the empire, located in Britain, but not further linked. </w:t>
      </w:r>
      <w:r w:rsidR="006F5ED7">
        <w:t xml:space="preserve"> </w:t>
      </w:r>
    </w:p>
    <w:p w14:paraId="5DDDB13B" w14:textId="77777777" w:rsidR="00B95E0C" w:rsidRDefault="00B95E0C"/>
    <w:p w14:paraId="1CE51ECB" w14:textId="77777777" w:rsidR="007C55F5" w:rsidRDefault="007C55F5"/>
    <w:p w14:paraId="1CDB1CFA" w14:textId="77777777" w:rsidR="007C55F5" w:rsidRDefault="007C55F5"/>
    <w:p w14:paraId="1CF36463" w14:textId="77777777" w:rsidR="007C55F5" w:rsidRDefault="007C55F5"/>
    <w:p w14:paraId="405EDAF8" w14:textId="77777777" w:rsidR="007C55F5" w:rsidRDefault="007C55F5"/>
    <w:p w14:paraId="12032DFE" w14:textId="77777777" w:rsidR="007C55F5" w:rsidRDefault="007C55F5"/>
    <w:p w14:paraId="1F083135" w14:textId="77777777" w:rsidR="007C55F5" w:rsidRDefault="007C55F5"/>
    <w:p w14:paraId="1854801E" w14:textId="77777777" w:rsidR="007C55F5" w:rsidRDefault="007C55F5"/>
    <w:p w14:paraId="7CC3CBC5" w14:textId="77777777" w:rsidR="007C55F5" w:rsidRDefault="007C55F5"/>
    <w:p w14:paraId="7E6D52B4" w14:textId="77777777" w:rsidR="007C55F5" w:rsidRDefault="007C55F5"/>
    <w:p w14:paraId="430AB342" w14:textId="77777777" w:rsidR="007C55F5" w:rsidRDefault="007C55F5"/>
    <w:p w14:paraId="0C8BCC29" w14:textId="77777777" w:rsidR="007C55F5" w:rsidRDefault="007C55F5"/>
    <w:p w14:paraId="6A240AEC" w14:textId="77777777" w:rsidR="007C55F5" w:rsidRDefault="007C55F5"/>
    <w:p w14:paraId="03C3EB43" w14:textId="77777777" w:rsidR="007C55F5" w:rsidRDefault="007C55F5"/>
    <w:p w14:paraId="0E250F8F" w14:textId="77777777" w:rsidR="007C55F5" w:rsidRDefault="007C55F5"/>
    <w:p w14:paraId="3ED2867D" w14:textId="77777777" w:rsidR="007C55F5" w:rsidRDefault="007C55F5"/>
    <w:p w14:paraId="2D7E4353" w14:textId="77777777" w:rsidR="007C55F5" w:rsidRDefault="007C55F5"/>
    <w:p w14:paraId="5FE99FCA" w14:textId="77777777" w:rsidR="000C27DD" w:rsidRDefault="000C27DD"/>
    <w:p w14:paraId="20A40404" w14:textId="77777777" w:rsidR="000C27DD" w:rsidRDefault="000C27DD"/>
    <w:p w14:paraId="4F3ADC0D" w14:textId="77777777" w:rsidR="000C27DD" w:rsidRDefault="000C27DD"/>
    <w:sdt>
      <w:sdtPr>
        <w:id w:val="-1179273994"/>
        <w:docPartObj>
          <w:docPartGallery w:val="Bibliographies"/>
          <w:docPartUnique/>
        </w:docPartObj>
      </w:sdtPr>
      <w:sdtEndPr>
        <w:rPr>
          <w:rFonts w:asciiTheme="minorHAnsi" w:eastAsiaTheme="minorHAnsi" w:hAnsiTheme="minorHAnsi" w:cstheme="minorBidi"/>
          <w:color w:val="auto"/>
          <w:sz w:val="22"/>
          <w:szCs w:val="22"/>
          <w:lang w:val="en-GB"/>
        </w:rPr>
      </w:sdtEndPr>
      <w:sdtContent>
        <w:bookmarkStart w:id="1" w:name="_GoBack" w:displacedByCustomXml="prev"/>
        <w:bookmarkEnd w:id="1" w:displacedByCustomXml="prev"/>
        <w:p w14:paraId="2018CD52" w14:textId="77777777" w:rsidR="00C6637F" w:rsidRDefault="00C6637F">
          <w:pPr>
            <w:pStyle w:val="Heading1"/>
          </w:pPr>
          <w:r>
            <w:t>Bibliography</w:t>
          </w:r>
        </w:p>
        <w:p w14:paraId="72897A29" w14:textId="77777777" w:rsidR="007C55F5" w:rsidRDefault="007C55F5" w:rsidP="00760CC2">
          <w:pPr>
            <w:rPr>
              <w:lang w:val="en-US"/>
            </w:rPr>
          </w:pPr>
          <w:r>
            <w:rPr>
              <w:lang w:val="en-US"/>
            </w:rPr>
            <w:t xml:space="preserve">Adams. J. N. (1992). “British Latin: The Text, Interpretation and Language of the Bath Curse Tablets.” Society for the promotion of Roman studies. </w:t>
          </w:r>
          <w:hyperlink r:id="rId10" w:history="1">
            <w:r w:rsidRPr="00D8740A">
              <w:rPr>
                <w:rStyle w:val="Hyperlink"/>
                <w:lang w:val="en-US"/>
              </w:rPr>
              <w:t>www.jstor.org/stable/526102</w:t>
            </w:r>
          </w:hyperlink>
          <w:r>
            <w:rPr>
              <w:lang w:val="en-US"/>
            </w:rPr>
            <w:t>. [accessed 02/12/2017].</w:t>
          </w:r>
        </w:p>
        <w:p w14:paraId="1F2059A7" w14:textId="77777777" w:rsidR="00760CC2" w:rsidRPr="00760CC2" w:rsidRDefault="00760CC2" w:rsidP="00760CC2">
          <w:pPr>
            <w:rPr>
              <w:lang w:val="en-US"/>
            </w:rPr>
          </w:pPr>
          <w:r>
            <w:rPr>
              <w:lang w:val="en-US"/>
            </w:rPr>
            <w:t>Collingwood. R. G, Wright. R. P. (1965). “The Roman Inscriptions of Britain.” Oxford: The Clarendon Press</w:t>
          </w:r>
          <w:r w:rsidR="007C55F5">
            <w:rPr>
              <w:lang w:val="en-US"/>
            </w:rPr>
            <w:t>.</w:t>
          </w:r>
        </w:p>
        <w:p w14:paraId="371C1EBB" w14:textId="77777777" w:rsidR="00C6637F" w:rsidRDefault="00C6637F" w:rsidP="00C6637F">
          <w:pPr>
            <w:rPr>
              <w:lang w:val="en-US"/>
            </w:rPr>
          </w:pPr>
          <w:r>
            <w:rPr>
              <w:lang w:val="en-US"/>
            </w:rPr>
            <w:t>Curse tablets from Roman Britain. Curses.csad.ox.ac.uk/sites/uley-curses.shtml. [accessed 25/11/2017]</w:t>
          </w:r>
          <w:r w:rsidR="007C55F5">
            <w:rPr>
              <w:lang w:val="en-US"/>
            </w:rPr>
            <w:t>.</w:t>
          </w:r>
        </w:p>
        <w:p w14:paraId="4CD3B537" w14:textId="77777777" w:rsidR="00C6637F" w:rsidRDefault="00C6637F">
          <w:pPr>
            <w:rPr>
              <w:lang w:val="en-US"/>
            </w:rPr>
          </w:pPr>
          <w:r>
            <w:rPr>
              <w:lang w:val="en-US"/>
            </w:rPr>
            <w:t>Cursing and Cursive: Languages. Curses.csad.ox.ac.uk/beginners/cursive-languages.shtml. [accessed 25/11/2017]</w:t>
          </w:r>
          <w:r w:rsidR="007C55F5">
            <w:rPr>
              <w:lang w:val="en-US"/>
            </w:rPr>
            <w:t>.</w:t>
          </w:r>
        </w:p>
        <w:p w14:paraId="70DBCB2E" w14:textId="77777777" w:rsidR="000C27DD" w:rsidRDefault="000C27DD">
          <w:r>
            <w:t xml:space="preserve">Tomlin. R. S. O. (1993). “The Inscribed lead tablets: an interim report.” In A. Woodward and P. Leach (eds.), “The Uley shrines. Excavation of a ritual complex on West Hill, Uley, Gloucestershire: 1977-9.” London: English Heritage. </w:t>
          </w:r>
        </w:p>
        <w:p w14:paraId="3B0E9980" w14:textId="77777777" w:rsidR="000C27DD" w:rsidRDefault="000C27DD">
          <w:r>
            <w:t xml:space="preserve">Tomlin. R. S. O. (1988). “The curse tablets.” In B. Cunliffe (ed.), “The temple of </w:t>
          </w:r>
          <w:proofErr w:type="spellStart"/>
          <w:r>
            <w:t>Sulis</w:t>
          </w:r>
          <w:proofErr w:type="spellEnd"/>
          <w:r>
            <w:t xml:space="preserve"> Minerva, at Bath. Volume 2. The finds from the sacred spring.” Oxford: Oxford Committee for Archaeology.</w:t>
          </w:r>
        </w:p>
        <w:p w14:paraId="3A238BA8" w14:textId="77777777" w:rsidR="00D315A4" w:rsidRDefault="00D315A4"/>
        <w:p w14:paraId="00B182CD" w14:textId="77777777" w:rsidR="00D315A4" w:rsidRDefault="00D315A4"/>
        <w:p w14:paraId="34F3B2FD" w14:textId="77777777" w:rsidR="00B95E0C" w:rsidRDefault="00B95E0C">
          <w:r>
            <w:t>Bath 94. Kropp. 3. 2, 73=AE1982.661.</w:t>
          </w:r>
        </w:p>
        <w:p w14:paraId="04265674" w14:textId="77777777" w:rsidR="00D315A4" w:rsidRDefault="00D315A4">
          <w:r>
            <w:t xml:space="preserve">Uley 1. </w:t>
          </w:r>
          <w:r>
            <w:t>Curses.csad.ox.ad.uk/4DLINK2/4DACTION/</w:t>
          </w:r>
          <w:proofErr w:type="gramStart"/>
          <w:r>
            <w:t>WebRequestCurseTabletsearch?searchtype</w:t>
          </w:r>
          <w:proofErr w:type="gramEnd"/>
          <w:r>
            <w:t>=latin-index&amp;searchfield-CSAD_ID&amp;thisListPosition=0&amp;displayImage=1&amp;displayLatin=1displayEnglish=1&amp;searchTerm=uley=</w:t>
          </w:r>
          <w:r>
            <w:t>1</w:t>
          </w:r>
          <w:r>
            <w:t>. [accessed 25/11/2017]</w:t>
          </w:r>
          <w:r w:rsidR="007C55F5">
            <w:t>.</w:t>
          </w:r>
        </w:p>
        <w:p w14:paraId="4DCF4425" w14:textId="77777777" w:rsidR="00D315A4" w:rsidRDefault="00D315A4">
          <w:r>
            <w:t xml:space="preserve">Uley 7. </w:t>
          </w:r>
          <w:r>
            <w:t>Curses.csad.ox.ad.uk/4DLINK2/4DACTION/</w:t>
          </w:r>
          <w:proofErr w:type="gramStart"/>
          <w:r>
            <w:t>WebRequestCurseTabletsearch?searchtype</w:t>
          </w:r>
          <w:proofErr w:type="gramEnd"/>
          <w:r>
            <w:t>=latin-index&amp;searchfield-CSAD_ID&amp;thisListPosition=0&amp;displayImage=1&amp;displayLatin=1displayEnglish=1&amp;searchTerm=uley=7 [accessed 25/11/2017]</w:t>
          </w:r>
          <w:r w:rsidR="007C55F5">
            <w:t>.</w:t>
          </w:r>
        </w:p>
        <w:p w14:paraId="237610C7" w14:textId="77777777" w:rsidR="00D315A4" w:rsidRDefault="00D315A4">
          <w:r>
            <w:t xml:space="preserve">Uley 9. </w:t>
          </w:r>
          <w:r>
            <w:t>Curses.csad.ox.ad.uk/4DLINK2/4DACTION/</w:t>
          </w:r>
          <w:proofErr w:type="gramStart"/>
          <w:r>
            <w:t>WebRequestCurseTabletsearch?searchtype</w:t>
          </w:r>
          <w:proofErr w:type="gramEnd"/>
          <w:r>
            <w:t>=latin-index&amp;searchfield-CSAD_ID&amp;thisListPosition=0&amp;displayImage=1&amp;displayLatin=1displayEnglish=1&amp;searchTerm=uley=</w:t>
          </w:r>
          <w:r>
            <w:t>9</w:t>
          </w:r>
          <w:r>
            <w:t>. [accessed 25/11/2017]</w:t>
          </w:r>
          <w:r w:rsidR="007C55F5">
            <w:t>.</w:t>
          </w:r>
        </w:p>
        <w:p w14:paraId="036E6F79" w14:textId="77777777" w:rsidR="000C27DD" w:rsidRDefault="00C6637F">
          <w:r>
            <w:t>Uley 72.</w:t>
          </w:r>
          <w:r w:rsidR="00D315A4">
            <w:t xml:space="preserve"> </w:t>
          </w:r>
          <w:r>
            <w:t>Curses.csad.ox.ad.uk/4DLINK2/4DACTION/</w:t>
          </w:r>
          <w:proofErr w:type="gramStart"/>
          <w:r>
            <w:t>WebRequestCurseTabletsearch?searchtype</w:t>
          </w:r>
          <w:proofErr w:type="gramEnd"/>
          <w:r>
            <w:t>=latin-index&amp;searchfield-CSAD_ID&amp;thisListPosition=0&amp;displayImage=1&amp;</w:t>
          </w:r>
          <w:r w:rsidR="000C27DD">
            <w:t>displayLatin=1displayEnglish=1&amp;searchTerm=uley=72. [accessed 25/11/2017]</w:t>
          </w:r>
          <w:r w:rsidR="007C55F5">
            <w:t>.</w:t>
          </w:r>
        </w:p>
        <w:p w14:paraId="3EB72BE1" w14:textId="77777777" w:rsidR="00C6637F" w:rsidRDefault="00C6637F"/>
      </w:sdtContent>
    </w:sdt>
    <w:p w14:paraId="141B360D" w14:textId="77777777" w:rsidR="00C6637F" w:rsidRDefault="00C6637F"/>
    <w:sectPr w:rsidR="00C6637F">
      <w:head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Elizabeth Anne Grace Webster" w:date="2017-12-09T02:04:00Z" w:initials="EAGW">
    <w:p w14:paraId="14B13C5F" w14:textId="77777777" w:rsidR="00760CC2" w:rsidRDefault="00760CC2">
      <w:pPr>
        <w:pStyle w:val="CommentText"/>
      </w:pPr>
      <w:r>
        <w:rPr>
          <w:rStyle w:val="CommentReference"/>
        </w:rPr>
        <w:annotationRef/>
      </w:r>
      <w:r>
        <w:t>Look in notebook for + in highlighter, that’s for this section, - is linguistic differences for the next section.</w:t>
      </w:r>
    </w:p>
    <w:p w14:paraId="6E65D78F" w14:textId="77777777" w:rsidR="00760CC2" w:rsidRDefault="00760CC2">
      <w:pPr>
        <w:pStyle w:val="CommentText"/>
      </w:pPr>
    </w:p>
    <w:p w14:paraId="540B7AFD" w14:textId="77777777" w:rsidR="00760CC2" w:rsidRDefault="00760CC2">
      <w:pPr>
        <w:pStyle w:val="CommentText"/>
      </w:pPr>
    </w:p>
    <w:p w14:paraId="577A276E" w14:textId="77777777" w:rsidR="00760CC2" w:rsidRDefault="00760CC2">
      <w:pPr>
        <w:pStyle w:val="CommentText"/>
      </w:pPr>
      <w:r>
        <w:t>Find more evidence, need more people than just Tomlin,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7A276E"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7A276E" w16cid:durableId="1DD5C3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350D2" w14:textId="77777777" w:rsidR="00DB7682" w:rsidRDefault="00DB7682" w:rsidP="00C6637F">
      <w:pPr>
        <w:spacing w:after="0" w:line="240" w:lineRule="auto"/>
      </w:pPr>
      <w:r>
        <w:separator/>
      </w:r>
    </w:p>
  </w:endnote>
  <w:endnote w:type="continuationSeparator" w:id="0">
    <w:p w14:paraId="13406B0E" w14:textId="77777777" w:rsidR="00DB7682" w:rsidRDefault="00DB7682" w:rsidP="00C66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8A66D" w14:textId="77777777" w:rsidR="00DB7682" w:rsidRDefault="00DB7682" w:rsidP="00C6637F">
      <w:pPr>
        <w:spacing w:after="0" w:line="240" w:lineRule="auto"/>
      </w:pPr>
      <w:r>
        <w:separator/>
      </w:r>
    </w:p>
  </w:footnote>
  <w:footnote w:type="continuationSeparator" w:id="0">
    <w:p w14:paraId="02E6C212" w14:textId="77777777" w:rsidR="00DB7682" w:rsidRDefault="00DB7682" w:rsidP="00C6637F">
      <w:pPr>
        <w:spacing w:after="0" w:line="240" w:lineRule="auto"/>
      </w:pPr>
      <w:r>
        <w:continuationSeparator/>
      </w:r>
    </w:p>
  </w:footnote>
  <w:footnote w:id="1">
    <w:p w14:paraId="065CA625" w14:textId="77777777" w:rsidR="00760CC2" w:rsidRDefault="00760CC2">
      <w:pPr>
        <w:pStyle w:val="FootnoteText"/>
      </w:pPr>
      <w:r>
        <w:rPr>
          <w:rStyle w:val="FootnoteReference"/>
        </w:rPr>
        <w:footnoteRef/>
      </w:r>
      <w:r>
        <w:t xml:space="preserve"> Tomlin. 1993. 114.</w:t>
      </w:r>
    </w:p>
  </w:footnote>
  <w:footnote w:id="2">
    <w:p w14:paraId="2B5E7E88" w14:textId="77777777" w:rsidR="00760CC2" w:rsidRDefault="00760CC2">
      <w:pPr>
        <w:pStyle w:val="FootnoteText"/>
      </w:pPr>
      <w:r>
        <w:rPr>
          <w:rStyle w:val="FootnoteReference"/>
        </w:rPr>
        <w:footnoteRef/>
      </w:r>
      <w:r>
        <w:t xml:space="preserve"> Tomlin. 1993. 114.</w:t>
      </w:r>
    </w:p>
  </w:footnote>
  <w:footnote w:id="3">
    <w:p w14:paraId="6328FDDF" w14:textId="77777777" w:rsidR="00760CC2" w:rsidRDefault="00760CC2">
      <w:pPr>
        <w:pStyle w:val="FootnoteText"/>
      </w:pPr>
      <w:r>
        <w:rPr>
          <w:rStyle w:val="FootnoteReference"/>
        </w:rPr>
        <w:footnoteRef/>
      </w:r>
      <w:r>
        <w:t xml:space="preserve"> Tomlin. 1988. 82.</w:t>
      </w:r>
    </w:p>
  </w:footnote>
  <w:footnote w:id="4">
    <w:p w14:paraId="36A04561" w14:textId="77777777" w:rsidR="00760CC2" w:rsidRDefault="00760CC2">
      <w:pPr>
        <w:pStyle w:val="FootnoteText"/>
      </w:pPr>
      <w:r>
        <w:rPr>
          <w:rStyle w:val="FootnoteReference"/>
        </w:rPr>
        <w:footnoteRef/>
      </w:r>
      <w:r>
        <w:t xml:space="preserve"> Tomlin. 1988. 82.</w:t>
      </w:r>
    </w:p>
  </w:footnote>
  <w:footnote w:id="5">
    <w:p w14:paraId="3D926D42" w14:textId="77777777" w:rsidR="00FB2BB4" w:rsidRDefault="00FB2BB4">
      <w:pPr>
        <w:pStyle w:val="FootnoteText"/>
      </w:pPr>
      <w:r>
        <w:rPr>
          <w:rStyle w:val="FootnoteReference"/>
        </w:rPr>
        <w:footnoteRef/>
      </w:r>
      <w:r>
        <w:t xml:space="preserve"> Collingwood and Wright. 1965. 49. </w:t>
      </w:r>
    </w:p>
  </w:footnote>
  <w:footnote w:id="6">
    <w:p w14:paraId="357660B5" w14:textId="77777777" w:rsidR="00760CC2" w:rsidRDefault="00760CC2">
      <w:pPr>
        <w:pStyle w:val="FootnoteText"/>
      </w:pPr>
      <w:r>
        <w:rPr>
          <w:rStyle w:val="FootnoteReference"/>
        </w:rPr>
        <w:footnoteRef/>
      </w:r>
      <w:r>
        <w:t xml:space="preserve"> Tomlin. 1993. 114.</w:t>
      </w:r>
    </w:p>
  </w:footnote>
  <w:footnote w:id="7">
    <w:p w14:paraId="1968D087" w14:textId="77777777" w:rsidR="0046783B" w:rsidRDefault="0046783B">
      <w:pPr>
        <w:pStyle w:val="FootnoteText"/>
      </w:pPr>
      <w:r>
        <w:rPr>
          <w:rStyle w:val="FootnoteReference"/>
        </w:rPr>
        <w:footnoteRef/>
      </w:r>
      <w:r>
        <w:t xml:space="preserve"> Tomlin</w:t>
      </w:r>
      <w:r w:rsidR="00095432">
        <w:t>. 1993. 114.</w:t>
      </w:r>
    </w:p>
  </w:footnote>
  <w:footnote w:id="8">
    <w:p w14:paraId="65149D89" w14:textId="77777777" w:rsidR="00760CC2" w:rsidRDefault="00760CC2">
      <w:pPr>
        <w:pStyle w:val="FootnoteText"/>
      </w:pPr>
      <w:r>
        <w:rPr>
          <w:rStyle w:val="FootnoteReference"/>
        </w:rPr>
        <w:footnoteRef/>
      </w:r>
      <w:r>
        <w:t xml:space="preserve"> Tomlin. 1988. 82.</w:t>
      </w:r>
    </w:p>
  </w:footnote>
  <w:footnote w:id="9">
    <w:p w14:paraId="62EC9072" w14:textId="77777777" w:rsidR="0046783B" w:rsidRDefault="0046783B">
      <w:pPr>
        <w:pStyle w:val="FootnoteText"/>
      </w:pPr>
      <w:r>
        <w:rPr>
          <w:rStyle w:val="FootnoteReference"/>
        </w:rPr>
        <w:footnoteRef/>
      </w:r>
      <w:r>
        <w:t xml:space="preserve"> Tomlin. 1993. 114.</w:t>
      </w:r>
    </w:p>
  </w:footnote>
  <w:footnote w:id="10">
    <w:p w14:paraId="286E5309" w14:textId="77777777" w:rsidR="00095432" w:rsidRDefault="00095432">
      <w:pPr>
        <w:pStyle w:val="FootnoteText"/>
      </w:pPr>
      <w:r>
        <w:rPr>
          <w:rStyle w:val="FootnoteReference"/>
        </w:rPr>
        <w:footnoteRef/>
      </w:r>
      <w:r>
        <w:t xml:space="preserve"> </w:t>
      </w:r>
      <w:r>
        <w:rPr>
          <w:lang w:val="en-US"/>
        </w:rPr>
        <w:t>Curses.csad.ox.ac.uk/beginners/cursive-languages.shtml</w:t>
      </w:r>
    </w:p>
  </w:footnote>
  <w:footnote w:id="11">
    <w:p w14:paraId="2B745025" w14:textId="77777777" w:rsidR="00B95E0C" w:rsidRDefault="00B95E0C">
      <w:pPr>
        <w:pStyle w:val="FootnoteText"/>
      </w:pPr>
      <w:r>
        <w:rPr>
          <w:rStyle w:val="FootnoteReference"/>
        </w:rPr>
        <w:footnoteRef/>
      </w:r>
      <w:r>
        <w:t xml:space="preserve"> </w:t>
      </w:r>
      <w:r>
        <w:t>Curses.csad.ox.ad.uk/4DLINK2/4DACTION/</w:t>
      </w:r>
      <w:proofErr w:type="gramStart"/>
      <w:r>
        <w:t>WebRequestCurseTabletsearch?searchtype</w:t>
      </w:r>
      <w:proofErr w:type="gramEnd"/>
      <w:r>
        <w:t>=latin-index&amp;searchfield-CSAD_ID&amp;thisListPosition=0&amp;displayImage=1&amp;displayLatin=1displayEnglish=1&amp;searchTerm=uley=72.</w:t>
      </w:r>
    </w:p>
  </w:footnote>
  <w:footnote w:id="12">
    <w:p w14:paraId="2833670C" w14:textId="77777777" w:rsidR="00B95E0C" w:rsidRDefault="00B95E0C">
      <w:pPr>
        <w:pStyle w:val="FootnoteText"/>
      </w:pPr>
      <w:r>
        <w:rPr>
          <w:rStyle w:val="FootnoteReference"/>
        </w:rPr>
        <w:footnoteRef/>
      </w:r>
      <w:r>
        <w:t xml:space="preserve"> </w:t>
      </w:r>
      <w:r>
        <w:t>Kropp. 3. 2, 73=AE1982.661.</w:t>
      </w:r>
    </w:p>
  </w:footnote>
  <w:footnote w:id="13">
    <w:p w14:paraId="5704F566" w14:textId="77777777" w:rsidR="006F5ED7" w:rsidRDefault="006F5ED7">
      <w:pPr>
        <w:pStyle w:val="FootnoteText"/>
      </w:pPr>
      <w:r>
        <w:rPr>
          <w:rStyle w:val="FootnoteReference"/>
        </w:rPr>
        <w:footnoteRef/>
      </w:r>
      <w:r>
        <w:t xml:space="preserve"> Tomlin. 1988.70.</w:t>
      </w:r>
    </w:p>
  </w:footnote>
  <w:footnote w:id="14">
    <w:p w14:paraId="7447332D" w14:textId="77777777" w:rsidR="006F5ED7" w:rsidRDefault="006F5ED7">
      <w:pPr>
        <w:pStyle w:val="FootnoteText"/>
      </w:pPr>
      <w:r>
        <w:rPr>
          <w:rStyle w:val="FootnoteReference"/>
        </w:rPr>
        <w:footnoteRef/>
      </w:r>
      <w:r>
        <w:t xml:space="preserve"> Tomlin 1988. 79.</w:t>
      </w:r>
    </w:p>
  </w:footnote>
  <w:footnote w:id="15">
    <w:p w14:paraId="6A833F7A" w14:textId="77777777" w:rsidR="000A5A74" w:rsidRDefault="000A5A74">
      <w:pPr>
        <w:pStyle w:val="FootnoteText"/>
      </w:pPr>
      <w:r>
        <w:rPr>
          <w:rStyle w:val="FootnoteReference"/>
        </w:rPr>
        <w:footnoteRef/>
      </w:r>
      <w:r>
        <w:t xml:space="preserve"> Tomlin. 1993. 114.</w:t>
      </w:r>
    </w:p>
  </w:footnote>
  <w:footnote w:id="16">
    <w:p w14:paraId="48272E85" w14:textId="77777777" w:rsidR="000A5A74" w:rsidRDefault="000A5A74">
      <w:pPr>
        <w:pStyle w:val="FootnoteText"/>
      </w:pPr>
      <w:r>
        <w:rPr>
          <w:rStyle w:val="FootnoteReference"/>
        </w:rPr>
        <w:footnoteRef/>
      </w:r>
      <w:r>
        <w:t xml:space="preserve"> Tomlin. 1993. 114.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18409" w14:textId="77777777" w:rsidR="00760CC2" w:rsidRDefault="00760CC2">
    <w:pPr>
      <w:pStyle w:val="Header"/>
    </w:pPr>
    <w:r>
      <w:t>Elizabeth Webster 1500116</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lizabeth Anne Grace Webster">
    <w15:presenceInfo w15:providerId="None" w15:userId="Elizabeth Anne Grace Webst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37F"/>
    <w:rsid w:val="000756FC"/>
    <w:rsid w:val="00095432"/>
    <w:rsid w:val="000A5A74"/>
    <w:rsid w:val="000C27DD"/>
    <w:rsid w:val="00225B8F"/>
    <w:rsid w:val="004135D3"/>
    <w:rsid w:val="0046783B"/>
    <w:rsid w:val="006F5ED7"/>
    <w:rsid w:val="00760CC2"/>
    <w:rsid w:val="007C55F5"/>
    <w:rsid w:val="00915D80"/>
    <w:rsid w:val="00B95E0C"/>
    <w:rsid w:val="00BE3874"/>
    <w:rsid w:val="00C335CF"/>
    <w:rsid w:val="00C6637F"/>
    <w:rsid w:val="00D315A4"/>
    <w:rsid w:val="00DB4528"/>
    <w:rsid w:val="00DB7682"/>
    <w:rsid w:val="00F30534"/>
    <w:rsid w:val="00F931A1"/>
    <w:rsid w:val="00FB2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F44A8"/>
  <w15:chartTrackingRefBased/>
  <w15:docId w15:val="{C6E5FA74-B85D-4EBB-B3E7-28E49C928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637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63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37F"/>
  </w:style>
  <w:style w:type="paragraph" w:styleId="Footer">
    <w:name w:val="footer"/>
    <w:basedOn w:val="Normal"/>
    <w:link w:val="FooterChar"/>
    <w:uiPriority w:val="99"/>
    <w:unhideWhenUsed/>
    <w:rsid w:val="00C663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37F"/>
  </w:style>
  <w:style w:type="character" w:customStyle="1" w:styleId="Heading1Char">
    <w:name w:val="Heading 1 Char"/>
    <w:basedOn w:val="DefaultParagraphFont"/>
    <w:link w:val="Heading1"/>
    <w:uiPriority w:val="9"/>
    <w:rsid w:val="00C6637F"/>
    <w:rPr>
      <w:rFonts w:asciiTheme="majorHAnsi" w:eastAsiaTheme="majorEastAsia" w:hAnsiTheme="majorHAnsi" w:cstheme="majorBidi"/>
      <w:color w:val="2F5496" w:themeColor="accent1" w:themeShade="BF"/>
      <w:sz w:val="32"/>
      <w:szCs w:val="32"/>
      <w:lang w:val="en-US"/>
    </w:rPr>
  </w:style>
  <w:style w:type="paragraph" w:styleId="FootnoteText">
    <w:name w:val="footnote text"/>
    <w:basedOn w:val="Normal"/>
    <w:link w:val="FootnoteTextChar"/>
    <w:uiPriority w:val="99"/>
    <w:semiHidden/>
    <w:unhideWhenUsed/>
    <w:rsid w:val="00F305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0534"/>
    <w:rPr>
      <w:sz w:val="20"/>
      <w:szCs w:val="20"/>
    </w:rPr>
  </w:style>
  <w:style w:type="character" w:styleId="FootnoteReference">
    <w:name w:val="footnote reference"/>
    <w:basedOn w:val="DefaultParagraphFont"/>
    <w:uiPriority w:val="99"/>
    <w:semiHidden/>
    <w:unhideWhenUsed/>
    <w:rsid w:val="00F30534"/>
    <w:rPr>
      <w:vertAlign w:val="superscript"/>
    </w:rPr>
  </w:style>
  <w:style w:type="character" w:styleId="CommentReference">
    <w:name w:val="annotation reference"/>
    <w:basedOn w:val="DefaultParagraphFont"/>
    <w:uiPriority w:val="99"/>
    <w:semiHidden/>
    <w:unhideWhenUsed/>
    <w:rsid w:val="00760CC2"/>
    <w:rPr>
      <w:sz w:val="16"/>
      <w:szCs w:val="16"/>
    </w:rPr>
  </w:style>
  <w:style w:type="paragraph" w:styleId="CommentText">
    <w:name w:val="annotation text"/>
    <w:basedOn w:val="Normal"/>
    <w:link w:val="CommentTextChar"/>
    <w:uiPriority w:val="99"/>
    <w:semiHidden/>
    <w:unhideWhenUsed/>
    <w:rsid w:val="00760CC2"/>
    <w:pPr>
      <w:spacing w:line="240" w:lineRule="auto"/>
    </w:pPr>
    <w:rPr>
      <w:sz w:val="20"/>
      <w:szCs w:val="20"/>
    </w:rPr>
  </w:style>
  <w:style w:type="character" w:customStyle="1" w:styleId="CommentTextChar">
    <w:name w:val="Comment Text Char"/>
    <w:basedOn w:val="DefaultParagraphFont"/>
    <w:link w:val="CommentText"/>
    <w:uiPriority w:val="99"/>
    <w:semiHidden/>
    <w:rsid w:val="00760CC2"/>
    <w:rPr>
      <w:sz w:val="20"/>
      <w:szCs w:val="20"/>
    </w:rPr>
  </w:style>
  <w:style w:type="paragraph" w:styleId="CommentSubject">
    <w:name w:val="annotation subject"/>
    <w:basedOn w:val="CommentText"/>
    <w:next w:val="CommentText"/>
    <w:link w:val="CommentSubjectChar"/>
    <w:uiPriority w:val="99"/>
    <w:semiHidden/>
    <w:unhideWhenUsed/>
    <w:rsid w:val="00760CC2"/>
    <w:rPr>
      <w:b/>
      <w:bCs/>
    </w:rPr>
  </w:style>
  <w:style w:type="character" w:customStyle="1" w:styleId="CommentSubjectChar">
    <w:name w:val="Comment Subject Char"/>
    <w:basedOn w:val="CommentTextChar"/>
    <w:link w:val="CommentSubject"/>
    <w:uiPriority w:val="99"/>
    <w:semiHidden/>
    <w:rsid w:val="00760CC2"/>
    <w:rPr>
      <w:b/>
      <w:bCs/>
      <w:sz w:val="20"/>
      <w:szCs w:val="20"/>
    </w:rPr>
  </w:style>
  <w:style w:type="paragraph" w:styleId="BalloonText">
    <w:name w:val="Balloon Text"/>
    <w:basedOn w:val="Normal"/>
    <w:link w:val="BalloonTextChar"/>
    <w:uiPriority w:val="99"/>
    <w:semiHidden/>
    <w:unhideWhenUsed/>
    <w:rsid w:val="00760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CC2"/>
    <w:rPr>
      <w:rFonts w:ascii="Segoe UI" w:hAnsi="Segoe UI" w:cs="Segoe UI"/>
      <w:sz w:val="18"/>
      <w:szCs w:val="18"/>
    </w:rPr>
  </w:style>
  <w:style w:type="character" w:styleId="Hyperlink">
    <w:name w:val="Hyperlink"/>
    <w:basedOn w:val="DefaultParagraphFont"/>
    <w:uiPriority w:val="99"/>
    <w:unhideWhenUsed/>
    <w:rsid w:val="007C55F5"/>
    <w:rPr>
      <w:color w:val="0563C1" w:themeColor="hyperlink"/>
      <w:u w:val="single"/>
    </w:rPr>
  </w:style>
  <w:style w:type="character" w:styleId="UnresolvedMention">
    <w:name w:val="Unresolved Mention"/>
    <w:basedOn w:val="DefaultParagraphFont"/>
    <w:uiPriority w:val="99"/>
    <w:semiHidden/>
    <w:unhideWhenUsed/>
    <w:rsid w:val="007C55F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jstor.org/stable/526102"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BA5C0-C16D-4117-BB37-B1D16D675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4</Pages>
  <Words>1460</Words>
  <Characters>8327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Anne Grace Webster</dc:creator>
  <cp:keywords/>
  <dc:description/>
  <cp:lastModifiedBy>Elizabeth Anne Grace Webster</cp:lastModifiedBy>
  <cp:revision>1</cp:revision>
  <dcterms:created xsi:type="dcterms:W3CDTF">2017-12-09T00:41:00Z</dcterms:created>
  <dcterms:modified xsi:type="dcterms:W3CDTF">2017-12-09T15:21:00Z</dcterms:modified>
</cp:coreProperties>
</file>