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25D05" w14:textId="77777777" w:rsidR="005D1473" w:rsidRDefault="005D1473" w:rsidP="0055686F">
      <w:pPr>
        <w:spacing w:line="256" w:lineRule="auto"/>
        <w:jc w:val="center"/>
        <w:rPr>
          <w:sz w:val="42"/>
          <w:szCs w:val="40"/>
        </w:rPr>
      </w:pPr>
      <w:bookmarkStart w:id="0" w:name="_Toc96188549"/>
    </w:p>
    <w:p w14:paraId="0CB403AF" w14:textId="77777777" w:rsidR="005D1473" w:rsidRDefault="005D1473" w:rsidP="0055686F">
      <w:pPr>
        <w:spacing w:line="256" w:lineRule="auto"/>
        <w:jc w:val="center"/>
        <w:rPr>
          <w:sz w:val="42"/>
          <w:szCs w:val="40"/>
        </w:rPr>
      </w:pPr>
    </w:p>
    <w:p w14:paraId="0018A4F3" w14:textId="77777777" w:rsidR="00732641" w:rsidRDefault="00732641" w:rsidP="0055686F">
      <w:pPr>
        <w:spacing w:line="256" w:lineRule="auto"/>
        <w:jc w:val="center"/>
        <w:rPr>
          <w:sz w:val="42"/>
          <w:szCs w:val="40"/>
        </w:rPr>
      </w:pPr>
    </w:p>
    <w:p w14:paraId="3771152B" w14:textId="342EBD15" w:rsidR="0055686F" w:rsidRDefault="0055686F" w:rsidP="0055686F">
      <w:pPr>
        <w:spacing w:line="256" w:lineRule="auto"/>
        <w:jc w:val="center"/>
        <w:rPr>
          <w:sz w:val="42"/>
          <w:szCs w:val="40"/>
        </w:rPr>
      </w:pPr>
      <w:r>
        <w:rPr>
          <w:sz w:val="42"/>
          <w:szCs w:val="40"/>
        </w:rPr>
        <w:t>Hotel Handbook for Intercultural Competence</w:t>
      </w:r>
    </w:p>
    <w:p w14:paraId="0845E3FF" w14:textId="77777777" w:rsidR="0055686F" w:rsidRDefault="0055686F" w:rsidP="0055686F">
      <w:pPr>
        <w:spacing w:line="256" w:lineRule="auto"/>
        <w:jc w:val="center"/>
        <w:rPr>
          <w:sz w:val="42"/>
          <w:szCs w:val="40"/>
        </w:rPr>
      </w:pPr>
    </w:p>
    <w:p w14:paraId="682BFA3B" w14:textId="77777777" w:rsidR="00732641" w:rsidRDefault="00732641" w:rsidP="0055686F">
      <w:pPr>
        <w:spacing w:line="256" w:lineRule="auto"/>
        <w:jc w:val="left"/>
        <w:rPr>
          <w:sz w:val="42"/>
          <w:szCs w:val="40"/>
        </w:rPr>
      </w:pPr>
    </w:p>
    <w:p w14:paraId="75C1BEC9" w14:textId="77777777" w:rsidR="00732641" w:rsidRDefault="00732641" w:rsidP="0055686F">
      <w:pPr>
        <w:spacing w:line="256" w:lineRule="auto"/>
        <w:jc w:val="left"/>
        <w:rPr>
          <w:sz w:val="42"/>
          <w:szCs w:val="40"/>
        </w:rPr>
      </w:pPr>
    </w:p>
    <w:p w14:paraId="1CEC796D" w14:textId="77777777" w:rsidR="00732641" w:rsidRDefault="00732641" w:rsidP="0055686F">
      <w:pPr>
        <w:spacing w:line="256" w:lineRule="auto"/>
        <w:jc w:val="left"/>
        <w:rPr>
          <w:sz w:val="42"/>
          <w:szCs w:val="40"/>
        </w:rPr>
      </w:pPr>
    </w:p>
    <w:p w14:paraId="59EE62AA" w14:textId="77777777" w:rsidR="00732641" w:rsidRDefault="00732641" w:rsidP="0055686F">
      <w:pPr>
        <w:spacing w:line="256" w:lineRule="auto"/>
        <w:jc w:val="left"/>
        <w:rPr>
          <w:sz w:val="42"/>
          <w:szCs w:val="40"/>
        </w:rPr>
      </w:pPr>
    </w:p>
    <w:p w14:paraId="600F41F4" w14:textId="77777777" w:rsidR="00732641" w:rsidRDefault="00732641" w:rsidP="0055686F">
      <w:pPr>
        <w:spacing w:line="256" w:lineRule="auto"/>
        <w:jc w:val="left"/>
        <w:rPr>
          <w:sz w:val="42"/>
          <w:szCs w:val="40"/>
        </w:rPr>
      </w:pPr>
    </w:p>
    <w:p w14:paraId="0007E863" w14:textId="77777777" w:rsidR="00732641" w:rsidRDefault="00732641" w:rsidP="0055686F">
      <w:pPr>
        <w:spacing w:line="256" w:lineRule="auto"/>
        <w:jc w:val="left"/>
        <w:rPr>
          <w:sz w:val="42"/>
          <w:szCs w:val="40"/>
        </w:rPr>
      </w:pPr>
    </w:p>
    <w:p w14:paraId="7C2BADAA" w14:textId="77777777" w:rsidR="00732641" w:rsidRDefault="00732641" w:rsidP="0055686F">
      <w:pPr>
        <w:spacing w:line="256" w:lineRule="auto"/>
        <w:jc w:val="left"/>
        <w:rPr>
          <w:sz w:val="42"/>
          <w:szCs w:val="40"/>
        </w:rPr>
      </w:pPr>
    </w:p>
    <w:p w14:paraId="7D70612F" w14:textId="77777777" w:rsidR="00732641" w:rsidRPr="004D47D2" w:rsidRDefault="00732641" w:rsidP="0055686F">
      <w:pPr>
        <w:spacing w:line="256" w:lineRule="auto"/>
        <w:jc w:val="left"/>
        <w:rPr>
          <w:sz w:val="32"/>
          <w:szCs w:val="32"/>
        </w:rPr>
      </w:pPr>
    </w:p>
    <w:p w14:paraId="7C486B26" w14:textId="2775C8BE" w:rsidR="0055686F" w:rsidRPr="004D47D2" w:rsidRDefault="0055686F" w:rsidP="0055686F">
      <w:pPr>
        <w:spacing w:line="256" w:lineRule="auto"/>
        <w:jc w:val="left"/>
        <w:rPr>
          <w:sz w:val="32"/>
          <w:szCs w:val="32"/>
        </w:rPr>
      </w:pPr>
      <w:r w:rsidRPr="004D47D2">
        <w:rPr>
          <w:sz w:val="32"/>
          <w:szCs w:val="32"/>
        </w:rPr>
        <w:t>Student Name:</w:t>
      </w:r>
      <w:r w:rsidR="00732641" w:rsidRPr="004D47D2">
        <w:rPr>
          <w:sz w:val="32"/>
          <w:szCs w:val="32"/>
        </w:rPr>
        <w:t xml:space="preserve"> Atikuz Zaman</w:t>
      </w:r>
    </w:p>
    <w:p w14:paraId="7C8A5502" w14:textId="77777777" w:rsidR="00732641" w:rsidRPr="004D47D2" w:rsidRDefault="0055686F" w:rsidP="0055686F">
      <w:pPr>
        <w:spacing w:line="256" w:lineRule="auto"/>
        <w:jc w:val="left"/>
        <w:rPr>
          <w:sz w:val="32"/>
          <w:szCs w:val="32"/>
        </w:rPr>
      </w:pPr>
      <w:r w:rsidRPr="004D47D2">
        <w:rPr>
          <w:sz w:val="32"/>
          <w:szCs w:val="32"/>
        </w:rPr>
        <w:t>ID:</w:t>
      </w:r>
      <w:r w:rsidR="00732641" w:rsidRPr="004D47D2">
        <w:rPr>
          <w:sz w:val="32"/>
          <w:szCs w:val="32"/>
        </w:rPr>
        <w:t xml:space="preserve"> 2019017</w:t>
      </w:r>
    </w:p>
    <w:p w14:paraId="39F435D6" w14:textId="77777777" w:rsidR="004D47D2" w:rsidRDefault="009415BC" w:rsidP="0055686F">
      <w:pPr>
        <w:spacing w:line="256" w:lineRule="auto"/>
        <w:jc w:val="left"/>
        <w:rPr>
          <w:sz w:val="32"/>
          <w:szCs w:val="32"/>
        </w:rPr>
      </w:pPr>
      <w:r w:rsidRPr="004D47D2">
        <w:rPr>
          <w:sz w:val="32"/>
          <w:szCs w:val="32"/>
        </w:rPr>
        <w:t xml:space="preserve">Module: Foreign language and Cultural </w:t>
      </w:r>
      <w:r w:rsidR="004D47D2" w:rsidRPr="004D47D2">
        <w:rPr>
          <w:sz w:val="32"/>
          <w:szCs w:val="32"/>
        </w:rPr>
        <w:t>awareness BMHI 5003</w:t>
      </w:r>
    </w:p>
    <w:p w14:paraId="45551443" w14:textId="4BB25461" w:rsidR="00D23D0D" w:rsidRPr="004D47D2" w:rsidRDefault="00D23D0D" w:rsidP="0055686F">
      <w:pPr>
        <w:spacing w:line="256" w:lineRule="auto"/>
        <w:jc w:val="left"/>
        <w:rPr>
          <w:sz w:val="32"/>
          <w:szCs w:val="32"/>
        </w:rPr>
      </w:pPr>
      <w:r>
        <w:rPr>
          <w:sz w:val="32"/>
          <w:szCs w:val="32"/>
        </w:rPr>
        <w:t>Lecturer: Mike Davies</w:t>
      </w:r>
    </w:p>
    <w:p w14:paraId="014395E2" w14:textId="66F401C1" w:rsidR="0055686F" w:rsidRDefault="0055686F" w:rsidP="0055686F">
      <w:pPr>
        <w:spacing w:line="256" w:lineRule="auto"/>
        <w:jc w:val="left"/>
        <w:rPr>
          <w:rFonts w:eastAsiaTheme="majorEastAsia" w:cstheme="majorBidi"/>
          <w:b/>
          <w:bCs/>
          <w:color w:val="000000" w:themeColor="text1"/>
          <w:sz w:val="28"/>
          <w:szCs w:val="32"/>
          <w:shd w:val="clear" w:color="auto" w:fill="FFFFFF"/>
        </w:rPr>
      </w:pPr>
      <w:r>
        <w:br w:type="page"/>
      </w:r>
    </w:p>
    <w:p w14:paraId="18D9A2FF" w14:textId="77777777" w:rsidR="0055686F" w:rsidRDefault="0055686F" w:rsidP="0055686F">
      <w:pPr>
        <w:pStyle w:val="Heading1"/>
      </w:pPr>
      <w:r>
        <w:lastRenderedPageBreak/>
        <w:t>Executive Summary</w:t>
      </w:r>
      <w:bookmarkEnd w:id="0"/>
    </w:p>
    <w:p w14:paraId="704EC456" w14:textId="77777777" w:rsidR="0055686F" w:rsidRDefault="0055686F" w:rsidP="0055686F">
      <w:pPr>
        <w:rPr>
          <w:rFonts w:cs="Times New Roman"/>
          <w:color w:val="000000" w:themeColor="text1"/>
          <w:lang w:val="en-US"/>
        </w:rPr>
      </w:pPr>
      <w:r>
        <w:rPr>
          <w:color w:val="000000" w:themeColor="text1"/>
        </w:rPr>
        <w:t xml:space="preserve">The study will cover the cultural distinctions that exist between the United Kingdom and Japan, which a hotel must be aware of to provide a great level of hospitality service. </w:t>
      </w:r>
      <w:r>
        <w:rPr>
          <w:rFonts w:cs="Times New Roman"/>
          <w:color w:val="000000" w:themeColor="text1"/>
          <w:lang w:val="en-US"/>
        </w:rPr>
        <w:t>Cultural intelligence and sensitivity- the cultural awareness and skill one need to adapt to the variations of the culture of the world have become a must-have requirement for the hotel personnel. Hotel is the most culturally exposed sector in the tourism industry. They are supposed to be culturally aware and alert, as they deal with foreigners on the daily basis. The food habit, rituals, customs and preferences comprehensively vary from country to country. Hofstede's cultural model has been used to describe the culture.  Knowledge about the cultural theory and model can help the hotel personnel to have a clear image of which culture values what and gets offended by what. This knowledge will make a huge impact on the success of a hotel. The most significant cultural differences between Japan and the United Kingdom are in food preferences, hospitality, and sleeping habits. Japanese folks consume nutritious foods and sleep on hard surfaces rather than soft pillows.</w:t>
      </w:r>
    </w:p>
    <w:p w14:paraId="18CF0953" w14:textId="77777777" w:rsidR="0055686F" w:rsidRDefault="0055686F" w:rsidP="0055686F">
      <w:pPr>
        <w:jc w:val="left"/>
        <w:rPr>
          <w:rFonts w:cs="Times New Roman"/>
          <w:color w:val="000000" w:themeColor="text1"/>
          <w:lang w:val="en-US"/>
        </w:rPr>
      </w:pPr>
      <w:r>
        <w:rPr>
          <w:rFonts w:cs="Times New Roman"/>
          <w:color w:val="000000" w:themeColor="text1"/>
          <w:lang w:val="en-US"/>
        </w:rPr>
        <w:br w:type="page"/>
      </w:r>
    </w:p>
    <w:sdt>
      <w:sdtPr>
        <w:rPr>
          <w:rFonts w:ascii="Times New Roman" w:eastAsiaTheme="minorHAnsi" w:hAnsi="Times New Roman" w:cstheme="minorBidi"/>
          <w:color w:val="auto"/>
          <w:sz w:val="24"/>
          <w:szCs w:val="22"/>
          <w:lang w:val="en-GB"/>
        </w:rPr>
        <w:id w:val="1397544819"/>
        <w:docPartObj>
          <w:docPartGallery w:val="Table of Contents"/>
          <w:docPartUnique/>
        </w:docPartObj>
      </w:sdtPr>
      <w:sdtContent>
        <w:p w14:paraId="59A56A93" w14:textId="77777777" w:rsidR="0055686F" w:rsidRDefault="0055686F" w:rsidP="0055686F">
          <w:pPr>
            <w:pStyle w:val="TOCHeading"/>
            <w:spacing w:line="360" w:lineRule="auto"/>
            <w:rPr>
              <w:rFonts w:ascii="Times New Roman" w:hAnsi="Times New Roman" w:cs="Times New Roman"/>
            </w:rPr>
          </w:pPr>
          <w:r>
            <w:rPr>
              <w:rFonts w:ascii="Times New Roman" w:hAnsi="Times New Roman" w:cs="Times New Roman"/>
            </w:rPr>
            <w:t>Table of Contents</w:t>
          </w:r>
        </w:p>
        <w:p w14:paraId="39F676CC" w14:textId="77777777" w:rsidR="0055686F" w:rsidRDefault="0055686F" w:rsidP="0055686F">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r:id="rId4" w:anchor="_Toc96188549" w:history="1">
            <w:r>
              <w:rPr>
                <w:rStyle w:val="Hyperlink"/>
                <w:noProof/>
              </w:rPr>
              <w:t>Executive Summary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_Toc96188549 \h </w:instrText>
            </w:r>
            <w:r>
              <w:rPr>
                <w:rStyle w:val="Hyperlink"/>
                <w:noProof/>
                <w:webHidden/>
                <w:color w:val="auto"/>
              </w:rPr>
            </w:r>
            <w:r>
              <w:rPr>
                <w:rStyle w:val="Hyperlink"/>
                <w:noProof/>
                <w:webHidden/>
                <w:color w:val="auto"/>
              </w:rPr>
              <w:fldChar w:fldCharType="separate"/>
            </w:r>
            <w:r>
              <w:rPr>
                <w:rStyle w:val="Hyperlink"/>
                <w:noProof/>
                <w:webHidden/>
                <w:color w:val="auto"/>
              </w:rPr>
              <w:t>1</w:t>
            </w:r>
            <w:r>
              <w:rPr>
                <w:rStyle w:val="Hyperlink"/>
                <w:noProof/>
                <w:webHidden/>
                <w:color w:val="auto"/>
              </w:rPr>
              <w:fldChar w:fldCharType="end"/>
            </w:r>
          </w:hyperlink>
        </w:p>
        <w:p w14:paraId="3F385171" w14:textId="77777777" w:rsidR="0055686F" w:rsidRDefault="0055686F" w:rsidP="0055686F">
          <w:pPr>
            <w:pStyle w:val="TOC1"/>
            <w:tabs>
              <w:tab w:val="right" w:leader="dot" w:pos="9350"/>
            </w:tabs>
            <w:rPr>
              <w:noProof/>
            </w:rPr>
          </w:pPr>
          <w:hyperlink r:id="rId5" w:anchor="_Toc96188550" w:history="1">
            <w:r>
              <w:rPr>
                <w:rStyle w:val="Hyperlink"/>
                <w:noProof/>
                <w:lang w:val="en-US"/>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_Toc96188550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6E993404" w14:textId="77777777" w:rsidR="0055686F" w:rsidRDefault="0055686F" w:rsidP="0055686F">
          <w:pPr>
            <w:pStyle w:val="TOC1"/>
            <w:tabs>
              <w:tab w:val="right" w:leader="dot" w:pos="9350"/>
            </w:tabs>
            <w:rPr>
              <w:noProof/>
            </w:rPr>
          </w:pPr>
          <w:hyperlink r:id="rId6" w:anchor="_Toc96188551" w:history="1">
            <w:r>
              <w:rPr>
                <w:rStyle w:val="Hyperlink"/>
                <w:noProof/>
              </w:rPr>
              <w:t>Country A (U.K., Leonardo London City Hotel)</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_Toc96188551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066D60BD" w14:textId="77777777" w:rsidR="0055686F" w:rsidRDefault="0055686F" w:rsidP="0055686F">
          <w:pPr>
            <w:pStyle w:val="TOC1"/>
            <w:tabs>
              <w:tab w:val="right" w:leader="dot" w:pos="9350"/>
            </w:tabs>
            <w:rPr>
              <w:noProof/>
            </w:rPr>
          </w:pPr>
          <w:hyperlink r:id="rId7" w:anchor="_Toc96188552" w:history="1">
            <w:r>
              <w:rPr>
                <w:rStyle w:val="Hyperlink"/>
                <w:noProof/>
              </w:rPr>
              <w:t>Country B (Japan)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_Toc96188552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2D24D9B3" w14:textId="77777777" w:rsidR="0055686F" w:rsidRDefault="0055686F" w:rsidP="0055686F">
          <w:pPr>
            <w:pStyle w:val="TOC1"/>
            <w:tabs>
              <w:tab w:val="right" w:leader="dot" w:pos="9350"/>
            </w:tabs>
            <w:rPr>
              <w:noProof/>
            </w:rPr>
          </w:pPr>
          <w:hyperlink r:id="rId8" w:anchor="_Toc96188553" w:history="1">
            <w:r>
              <w:rPr>
                <w:rStyle w:val="Hyperlink"/>
                <w:noProof/>
              </w:rPr>
              <w:t>Country Analysis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_Toc96188553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79C073DA" w14:textId="77777777" w:rsidR="0055686F" w:rsidRDefault="0055686F" w:rsidP="0055686F">
          <w:pPr>
            <w:pStyle w:val="TOC1"/>
            <w:tabs>
              <w:tab w:val="right" w:leader="dot" w:pos="9350"/>
            </w:tabs>
            <w:rPr>
              <w:noProof/>
            </w:rPr>
          </w:pPr>
          <w:hyperlink r:id="rId9" w:anchor="_Toc96188554" w:history="1">
            <w:r>
              <w:rPr>
                <w:rStyle w:val="Hyperlink"/>
                <w:noProof/>
                <w:lang w:val="en-US"/>
              </w:rPr>
              <w:t>Hotel Handbook</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_Toc96188554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67296B81" w14:textId="77777777" w:rsidR="0055686F" w:rsidRDefault="0055686F" w:rsidP="0055686F">
          <w:pPr>
            <w:pStyle w:val="TOC1"/>
            <w:tabs>
              <w:tab w:val="right" w:leader="dot" w:pos="9350"/>
            </w:tabs>
            <w:rPr>
              <w:noProof/>
            </w:rPr>
          </w:pPr>
          <w:hyperlink r:id="rId10" w:anchor="_Toc96188555" w:history="1">
            <w:r>
              <w:rPr>
                <w:rStyle w:val="Hyperlink"/>
                <w:noProof/>
              </w:rPr>
              <w:t>Conclusion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_Toc96188555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3B0E10B3" w14:textId="77777777" w:rsidR="0055686F" w:rsidRDefault="0055686F" w:rsidP="0055686F">
          <w:pPr>
            <w:pStyle w:val="TOC1"/>
            <w:tabs>
              <w:tab w:val="right" w:leader="dot" w:pos="9350"/>
            </w:tabs>
            <w:rPr>
              <w:noProof/>
            </w:rPr>
          </w:pPr>
          <w:hyperlink r:id="rId11" w:anchor="_Toc96188556" w:history="1">
            <w:r>
              <w:rPr>
                <w:rStyle w:val="Hyperlink"/>
                <w:noProof/>
              </w:rPr>
              <w:t>References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_Toc96188556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25A37EE4" w14:textId="77777777" w:rsidR="0055686F" w:rsidRDefault="0055686F" w:rsidP="0055686F">
          <w:r>
            <w:rPr>
              <w:b/>
              <w:bCs/>
              <w:noProof/>
            </w:rPr>
            <w:fldChar w:fldCharType="end"/>
          </w:r>
        </w:p>
      </w:sdtContent>
    </w:sdt>
    <w:p w14:paraId="0C47BED5" w14:textId="77777777" w:rsidR="0055686F" w:rsidRDefault="0055686F" w:rsidP="0055686F">
      <w:pPr>
        <w:jc w:val="left"/>
        <w:rPr>
          <w:color w:val="000000" w:themeColor="text1"/>
        </w:rPr>
      </w:pPr>
      <w:r>
        <w:rPr>
          <w:color w:val="000000" w:themeColor="text1"/>
        </w:rPr>
        <w:br w:type="page"/>
      </w:r>
    </w:p>
    <w:p w14:paraId="3770A83A" w14:textId="77777777" w:rsidR="0055686F" w:rsidRDefault="0055686F" w:rsidP="0055686F">
      <w:pPr>
        <w:pStyle w:val="Heading1"/>
        <w:rPr>
          <w:lang w:val="en-US"/>
        </w:rPr>
      </w:pPr>
      <w:bookmarkStart w:id="1" w:name="_Toc96188550"/>
      <w:r>
        <w:rPr>
          <w:lang w:val="en-US"/>
        </w:rPr>
        <w:lastRenderedPageBreak/>
        <w:t>Introduction</w:t>
      </w:r>
      <w:bookmarkEnd w:id="1"/>
      <w:r>
        <w:rPr>
          <w:lang w:val="en-US"/>
        </w:rPr>
        <w:t xml:space="preserve"> </w:t>
      </w:r>
    </w:p>
    <w:p w14:paraId="77F29168" w14:textId="77777777" w:rsidR="0055686F" w:rsidRDefault="0055686F" w:rsidP="0055686F">
      <w:pPr>
        <w:rPr>
          <w:rFonts w:cs="Times New Roman"/>
          <w:color w:val="000000" w:themeColor="text1"/>
          <w:lang w:val="en-US"/>
        </w:rPr>
      </w:pPr>
      <w:r>
        <w:rPr>
          <w:rFonts w:cs="Times New Roman"/>
          <w:color w:val="000000" w:themeColor="text1"/>
          <w:lang w:val="en-US"/>
        </w:rPr>
        <w:t>Culture; the values, norms, ideas and certain ways of doing things, is something that distinguishes people from place to place, country to country and continent to continent. Food, dress, habits are also elements of culture. Even globalization couldn’t succeed to erase the cultural variation around the world, rather cultural richness has become the hallmark of nationality (Crotts et al., 2020). But the non-boundary reach of business and trades, as the result of globalization, has been demanding a dire need for cultural adaptation. Look at the international airports and hotels, they will show how people are moving from country to country to travel or to do business. So, hotel personnel must adapt the cultural diversification to stand out. The following assignmnet will discuss on cultural issues of Japan and U.K using the Hofstede’s model.</w:t>
      </w:r>
    </w:p>
    <w:p w14:paraId="2FC148E7" w14:textId="77777777" w:rsidR="0055686F" w:rsidRDefault="0055686F" w:rsidP="0055686F">
      <w:pPr>
        <w:pStyle w:val="Heading1"/>
      </w:pPr>
      <w:bookmarkStart w:id="2" w:name="_Toc96188551"/>
      <w:r>
        <w:t>Country A (the U.K., Leonardo London City Hotel)</w:t>
      </w:r>
      <w:bookmarkEnd w:id="2"/>
    </w:p>
    <w:p w14:paraId="2516A527" w14:textId="77777777" w:rsidR="0055686F" w:rsidRDefault="0055686F" w:rsidP="0055686F">
      <w:pPr>
        <w:rPr>
          <w:color w:val="000000" w:themeColor="text1"/>
        </w:rPr>
      </w:pPr>
      <w:r>
        <w:rPr>
          <w:color w:val="000000" w:themeColor="text1"/>
        </w:rPr>
        <w:t>Geert Hofstede, a well-known professor, has investigated the impact of culture on workers. Over the course of six years, more than 100,000 employees from 70 nations participated in this study, which spanned more than 100,000 people from 70 countries (Huang et al., 2019). According to Hofstede, the United Kingdom has 35 powers, 89 individualistic points, 66 masculinity points, and 35 preventative points that are not well defined. There are also 25 long-term inclinations in this country, according to statistics (Hofstede and Bond, 2019).</w:t>
      </w:r>
    </w:p>
    <w:p w14:paraId="70CA9DD6" w14:textId="77777777" w:rsidR="0055686F" w:rsidRDefault="0055686F" w:rsidP="0055686F">
      <w:pPr>
        <w:rPr>
          <w:color w:val="000000" w:themeColor="text1"/>
        </w:rPr>
      </w:pPr>
      <w:r>
        <w:rPr>
          <w:color w:val="000000" w:themeColor="text1"/>
        </w:rPr>
        <w:t>You et al., (2021) opined that there is an unequal distribution of authority. "However, even while inequality exists in every community, the degree to which the weaker members of a society accept it differs from one cultural tradition to another. It is linked to a spate of alternative remedies to the underlying problem of human inequality, including but not limited to the distance between two points of power (Site, 2022)." When a large amount of authority is concentrated in the hands of management, employees and managers are less likely to interact. If an employee has less influence over corporate policy, on the other hand, he or she is more inclined to consult with their superiors.</w:t>
      </w:r>
    </w:p>
    <w:p w14:paraId="2815FE53" w14:textId="77777777" w:rsidR="0055686F" w:rsidRDefault="0055686F" w:rsidP="0055686F">
      <w:pPr>
        <w:rPr>
          <w:color w:val="000000" w:themeColor="text1"/>
        </w:rPr>
      </w:pPr>
      <w:r>
        <w:rPr>
          <w:color w:val="000000" w:themeColor="text1"/>
        </w:rPr>
        <w:t>Individualism is defined as the desire of a person to provide for himself or herself and his or her family's well-being only when a group of people cares for each member of that group; otherwise, individualism is defined as the desire of a person to provide for himself or herself and his or her family's well-being (Huang and Crotts, 2019). Both individualism and collectivism characterize the social environment in which we live, and both ideas are in direct conflict with one another.</w:t>
      </w:r>
    </w:p>
    <w:p w14:paraId="6ECA7910" w14:textId="77777777" w:rsidR="0055686F" w:rsidRDefault="0055686F" w:rsidP="0055686F">
      <w:pPr>
        <w:rPr>
          <w:color w:val="000000" w:themeColor="text1"/>
        </w:rPr>
      </w:pPr>
      <w:r>
        <w:rPr>
          <w:color w:val="000000" w:themeColor="text1"/>
        </w:rPr>
        <w:lastRenderedPageBreak/>
        <w:t>The traits of masculinity and femininity are included on this list because they are two of society's most influential features. In a country where men are considered as more powerful and masculine than their female counterparts, male culture is adopted, in which men and women are viewed as equals in terms of power and tenderness, in contrast to a female culture that is viewed as more powerful and feminine.</w:t>
      </w:r>
    </w:p>
    <w:p w14:paraId="68933C84" w14:textId="77777777" w:rsidR="0055686F" w:rsidRDefault="0055686F" w:rsidP="0055686F">
      <w:pPr>
        <w:rPr>
          <w:color w:val="000000" w:themeColor="text1"/>
        </w:rPr>
      </w:pPr>
      <w:r>
        <w:rPr>
          <w:color w:val="000000" w:themeColor="text1"/>
        </w:rPr>
        <w:t>Uncertainty Avoidance is a term used to describe people's ability to cope with unexpected changes in their surroundings and situations. A strong avoidance culture is prevalent in organizations that experience a high incidence of unexpected events and abhor uncertainty. People in countries with a low culture of avoiding uncertainty, on the other hand, are more likely to accept things as they are and to make changes when necessary.</w:t>
      </w:r>
    </w:p>
    <w:p w14:paraId="73858EC2" w14:textId="77777777" w:rsidR="0055686F" w:rsidRDefault="0055686F" w:rsidP="0055686F">
      <w:pPr>
        <w:rPr>
          <w:color w:val="000000" w:themeColor="text1"/>
        </w:rPr>
      </w:pPr>
      <w:r>
        <w:rPr>
          <w:color w:val="000000" w:themeColor="text1"/>
        </w:rPr>
        <w:t>There are civilizations where practicality and perseverance are valued more highly than respect for tradition and returns, and in long-term communities, a focus on the future is valued more highly than an appreciation for the present. According to the author, "Long-term orientation means concentrating on the future, while short-term orientation involves concentrating on the past and the present (Crotts, et al., 2020)."</w:t>
      </w:r>
    </w:p>
    <w:p w14:paraId="65C29D83" w14:textId="77777777" w:rsidR="0055686F" w:rsidRDefault="0055686F" w:rsidP="0055686F">
      <w:pPr>
        <w:pStyle w:val="Heading1"/>
      </w:pPr>
      <w:bookmarkStart w:id="3" w:name="_Toc96188552"/>
      <w:r>
        <w:t>Country B (Japan)</w:t>
      </w:r>
      <w:bookmarkEnd w:id="3"/>
    </w:p>
    <w:p w14:paraId="7621A04D" w14:textId="77777777" w:rsidR="0055686F" w:rsidRDefault="0055686F" w:rsidP="0055686F">
      <w:pPr>
        <w:rPr>
          <w:rFonts w:cs="Times New Roman"/>
          <w:color w:val="000000" w:themeColor="text1"/>
          <w:lang w:val="en-US"/>
        </w:rPr>
      </w:pPr>
      <w:r>
        <w:rPr>
          <w:rFonts w:cs="Times New Roman"/>
          <w:color w:val="000000" w:themeColor="text1"/>
          <w:lang w:val="en-US"/>
        </w:rPr>
        <w:t xml:space="preserve">We all have heard about Hofstede's six-dimensional cultural theory. Power distance refers to the extent of power and respect that come with age, position and status in the social hierarchy. In the U.K culture, there is always an informal relationship among people in the society where addressing someone by the first name regardless of age, but in Japanese culture, people are paid respect according to age and status. </w:t>
      </w:r>
    </w:p>
    <w:p w14:paraId="030F9187" w14:textId="06F147C4" w:rsidR="0055686F" w:rsidRDefault="0055686F" w:rsidP="0055686F">
      <w:pPr>
        <w:jc w:val="center"/>
        <w:rPr>
          <w:rFonts w:cs="Times New Roman"/>
          <w:color w:val="000000" w:themeColor="text1"/>
          <w:lang w:val="en-US"/>
        </w:rPr>
      </w:pPr>
      <w:r>
        <w:rPr>
          <w:noProof/>
          <w:color w:val="000000" w:themeColor="text1"/>
        </w:rPr>
        <w:drawing>
          <wp:inline distT="0" distB="0" distL="0" distR="0" wp14:anchorId="075087A9" wp14:editId="6D3E37D8">
            <wp:extent cx="3752850" cy="2266950"/>
            <wp:effectExtent l="0" t="0" r="0" b="0"/>
            <wp:docPr id="1" name="Picture 1" descr="Writing Guide: Hofstede&amp;#39;s Cultural Dimension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riting Guide: Hofstede&amp;#39;s Cultural Dimensions | 15 Writ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52850" cy="2266950"/>
                    </a:xfrm>
                    <a:prstGeom prst="rect">
                      <a:avLst/>
                    </a:prstGeom>
                    <a:noFill/>
                    <a:ln>
                      <a:noFill/>
                    </a:ln>
                  </pic:spPr>
                </pic:pic>
              </a:graphicData>
            </a:graphic>
          </wp:inline>
        </w:drawing>
      </w:r>
    </w:p>
    <w:p w14:paraId="074E9CB9" w14:textId="77777777" w:rsidR="0055686F" w:rsidRDefault="0055686F" w:rsidP="0055686F">
      <w:pPr>
        <w:jc w:val="center"/>
        <w:rPr>
          <w:rFonts w:cs="Times New Roman"/>
          <w:color w:val="000000" w:themeColor="text1"/>
          <w:lang w:val="en-US"/>
        </w:rPr>
      </w:pPr>
      <w:r>
        <w:rPr>
          <w:rFonts w:cs="Times New Roman"/>
          <w:color w:val="000000" w:themeColor="text1"/>
          <w:lang w:val="en-US"/>
        </w:rPr>
        <w:t>Figure: Hofstede’s Model (Japan vs U.K)</w:t>
      </w:r>
    </w:p>
    <w:p w14:paraId="6DDF0CEB" w14:textId="77777777" w:rsidR="0055686F" w:rsidRDefault="0055686F" w:rsidP="0055686F">
      <w:pPr>
        <w:jc w:val="center"/>
        <w:rPr>
          <w:rFonts w:cs="Times New Roman"/>
          <w:color w:val="000000" w:themeColor="text1"/>
          <w:lang w:val="en-US"/>
        </w:rPr>
      </w:pPr>
      <w:r>
        <w:rPr>
          <w:rFonts w:cs="Times New Roman"/>
          <w:color w:val="000000" w:themeColor="text1"/>
          <w:lang w:val="en-US"/>
        </w:rPr>
        <w:lastRenderedPageBreak/>
        <w:t>Source: (Huang and Crotts, 2019)</w:t>
      </w:r>
    </w:p>
    <w:p w14:paraId="20FF8E8C" w14:textId="77777777" w:rsidR="0055686F" w:rsidRDefault="0055686F" w:rsidP="0055686F">
      <w:pPr>
        <w:rPr>
          <w:rFonts w:cs="Times New Roman"/>
          <w:color w:val="000000" w:themeColor="text1"/>
          <w:lang w:val="en-US"/>
        </w:rPr>
      </w:pPr>
      <w:r>
        <w:rPr>
          <w:rFonts w:cs="Times New Roman"/>
          <w:color w:val="000000" w:themeColor="text1"/>
          <w:lang w:val="en-US"/>
        </w:rPr>
        <w:t>The Japanese are less prone to take risks than that of the U.K. So they better choose to go forward with a calculative prediction to avoid uncertainty (Hofsted, 2019). The U.K emphasize personal achievement rather than group accomplishment, maybe this is why most of the business giants are from the UK. Masculinity and femininity can also vary from culture to culture. Japan provides fewer opportunities for women whereas the U.K have equal opportunity for both. The Japanese are more patient, value-seeking and long-term success seekers than the U.K, who want quick and instant success.</w:t>
      </w:r>
    </w:p>
    <w:p w14:paraId="070C4CE1" w14:textId="77777777" w:rsidR="0055686F" w:rsidRDefault="0055686F" w:rsidP="0055686F">
      <w:pPr>
        <w:pStyle w:val="Heading1"/>
      </w:pPr>
      <w:bookmarkStart w:id="4" w:name="_Toc96188553"/>
      <w:r>
        <w:t>Country Analysis</w:t>
      </w:r>
      <w:bookmarkEnd w:id="4"/>
    </w:p>
    <w:p w14:paraId="7DEE1A2B" w14:textId="77777777" w:rsidR="0055686F" w:rsidRDefault="0055686F" w:rsidP="0055686F">
      <w:pPr>
        <w:rPr>
          <w:rFonts w:cs="Times New Roman"/>
          <w:color w:val="000000" w:themeColor="text1"/>
          <w:lang w:val="en-US"/>
        </w:rPr>
      </w:pPr>
      <w:r>
        <w:rPr>
          <w:rFonts w:cs="Times New Roman"/>
          <w:color w:val="000000" w:themeColor="text1"/>
          <w:lang w:val="en-US"/>
        </w:rPr>
        <w:t>It has been established from the foregoing discussion that the cultures of the United Kingdom and Japan are diametrically opposed to one another. Some department-specific discussion has taken place in the following section so that a hotel's staff can respond appropriately to Japanese guests</w:t>
      </w:r>
    </w:p>
    <w:p w14:paraId="326ED9EF" w14:textId="77777777" w:rsidR="0055686F" w:rsidRDefault="0055686F" w:rsidP="0055686F">
      <w:pPr>
        <w:rPr>
          <w:rFonts w:cs="Times New Roman"/>
          <w:color w:val="000000" w:themeColor="text1"/>
          <w:lang w:val="en-US"/>
        </w:rPr>
      </w:pPr>
      <w:r>
        <w:rPr>
          <w:rFonts w:cs="Times New Roman"/>
          <w:color w:val="000000" w:themeColor="text1"/>
          <w:lang w:val="en-US"/>
        </w:rPr>
        <w:t>Front Desk Service: It is called that, the first impression is the last. So, the etiquette of the front desk is most important. By nature, the Japanese are polite and humble, so they always expect to be treated humbly (Mariannas, 2022). So, the front desk personnel should be trained on multilingual courses, manners and hospitality. Assisting from the arrival to reaching the room, the front desk service should be congenial and free from any error.</w:t>
      </w:r>
    </w:p>
    <w:p w14:paraId="61AB7878" w14:textId="77777777" w:rsidR="0055686F" w:rsidRDefault="0055686F" w:rsidP="0055686F">
      <w:pPr>
        <w:rPr>
          <w:rFonts w:cs="Times New Roman"/>
          <w:color w:val="000000" w:themeColor="text1"/>
          <w:lang w:val="en-US"/>
        </w:rPr>
      </w:pPr>
      <w:r>
        <w:rPr>
          <w:rFonts w:cs="Times New Roman"/>
          <w:color w:val="000000" w:themeColor="text1"/>
          <w:lang w:val="en-US"/>
        </w:rPr>
        <w:t xml:space="preserve">Food and Beverage: The Japanese are fond of seafood and alcohol. Hotels keep cross-cultural food on the menu. So, along with their traditional food, the waiters can try to add some fusion in the plate with other cultures’ food without making them offended. The cook must keep two things in mind, keep the taste intact and maintain cleanness. </w:t>
      </w:r>
    </w:p>
    <w:p w14:paraId="0A397AD9" w14:textId="77777777" w:rsidR="0055686F" w:rsidRDefault="0055686F" w:rsidP="0055686F">
      <w:pPr>
        <w:rPr>
          <w:rFonts w:cs="Times New Roman"/>
          <w:color w:val="000000" w:themeColor="text1"/>
          <w:lang w:val="en-US"/>
        </w:rPr>
      </w:pPr>
      <w:r>
        <w:rPr>
          <w:rFonts w:cs="Times New Roman"/>
          <w:color w:val="000000" w:themeColor="text1"/>
          <w:lang w:val="en-US"/>
        </w:rPr>
        <w:t xml:space="preserve">Housekeeping: The Japanese follow three principles about housekeeping- sort everything, classify and organize (Maariannas, 2022). The housekeeping personnel have to make sure the room is properly arranged to welcome the guest and regularly cleaned and organized. </w:t>
      </w:r>
    </w:p>
    <w:p w14:paraId="5A2A95D8" w14:textId="77777777" w:rsidR="0055686F" w:rsidRDefault="0055686F" w:rsidP="0055686F">
      <w:pPr>
        <w:rPr>
          <w:rFonts w:cs="Times New Roman"/>
          <w:color w:val="000000" w:themeColor="text1"/>
          <w:lang w:val="en-US"/>
        </w:rPr>
      </w:pPr>
      <w:r>
        <w:rPr>
          <w:rFonts w:cs="Times New Roman"/>
          <w:color w:val="000000" w:themeColor="text1"/>
          <w:lang w:val="en-US"/>
        </w:rPr>
        <w:t>Security service: As mentioned before, the Japanese are less prone to take risks of anything, be it business, family or self-security. Fitting secret cameras in the hotel room has been a common scandal for hotels around the world. To avoid such accidents, security personnel must check the whole room before inviting a guest. This is applicable for all, not only for the Japanese.</w:t>
      </w:r>
    </w:p>
    <w:p w14:paraId="2EC37675" w14:textId="77777777" w:rsidR="0055686F" w:rsidRDefault="0055686F" w:rsidP="0055686F">
      <w:pPr>
        <w:pStyle w:val="Heading1"/>
        <w:rPr>
          <w:lang w:val="en-US"/>
        </w:rPr>
      </w:pPr>
      <w:bookmarkStart w:id="5" w:name="_Toc96188554"/>
      <w:r>
        <w:rPr>
          <w:lang w:val="en-US"/>
        </w:rPr>
        <w:lastRenderedPageBreak/>
        <w:t>Hotel Handbook</w:t>
      </w:r>
      <w:bookmarkEnd w:id="5"/>
    </w:p>
    <w:p w14:paraId="1BA42B11" w14:textId="77777777" w:rsidR="0055686F" w:rsidRDefault="0055686F" w:rsidP="0055686F">
      <w:pPr>
        <w:rPr>
          <w:lang w:val="en-US"/>
        </w:rPr>
      </w:pPr>
      <w:r>
        <w:rPr>
          <w:lang w:val="en-US"/>
        </w:rPr>
        <w:t>Following is the brief of Do’s and Don’ts that hotel staff must be aware of while catering the guests:</w:t>
      </w:r>
    </w:p>
    <w:tbl>
      <w:tblPr>
        <w:tblStyle w:val="GridTable4"/>
        <w:tblW w:w="0" w:type="auto"/>
        <w:tblInd w:w="0" w:type="dxa"/>
        <w:tblLook w:val="04A0" w:firstRow="1" w:lastRow="0" w:firstColumn="1" w:lastColumn="0" w:noHBand="0" w:noVBand="1"/>
      </w:tblPr>
      <w:tblGrid>
        <w:gridCol w:w="2456"/>
        <w:gridCol w:w="1730"/>
        <w:gridCol w:w="1448"/>
        <w:gridCol w:w="1538"/>
        <w:gridCol w:w="1844"/>
      </w:tblGrid>
      <w:tr w:rsidR="0055686F" w14:paraId="63E151BF" w14:textId="77777777" w:rsidTr="005568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hideMark/>
          </w:tcPr>
          <w:p w14:paraId="0414E660" w14:textId="77777777" w:rsidR="0055686F" w:rsidRDefault="0055686F">
            <w:pPr>
              <w:jc w:val="center"/>
              <w:rPr>
                <w:rFonts w:cs="Times New Roman"/>
              </w:rPr>
            </w:pPr>
            <w:r>
              <w:rPr>
                <w:rFonts w:cs="Times New Roman"/>
                <w:b w:val="0"/>
              </w:rPr>
              <w:t>Etiquettes</w:t>
            </w:r>
          </w:p>
        </w:tc>
        <w:tc>
          <w:tcPr>
            <w:tcW w:w="3466" w:type="dxa"/>
            <w:gridSpan w:val="2"/>
            <w:hideMark/>
          </w:tcPr>
          <w:p w14:paraId="30D69105" w14:textId="77777777" w:rsidR="0055686F" w:rsidRDefault="0055686F">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U.K</w:t>
            </w:r>
          </w:p>
        </w:tc>
        <w:tc>
          <w:tcPr>
            <w:tcW w:w="3857" w:type="dxa"/>
            <w:gridSpan w:val="2"/>
            <w:hideMark/>
          </w:tcPr>
          <w:p w14:paraId="328643BC" w14:textId="77777777" w:rsidR="0055686F" w:rsidRDefault="0055686F">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Japan</w:t>
            </w:r>
          </w:p>
        </w:tc>
      </w:tr>
      <w:tr w:rsidR="0055686F" w14:paraId="3B5E7930" w14:textId="77777777" w:rsidTr="005568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609ED0B" w14:textId="77777777" w:rsidR="0055686F" w:rsidRDefault="0055686F">
            <w:pPr>
              <w:jc w:val="center"/>
              <w:rPr>
                <w:rFonts w:cs="Times New Roman"/>
              </w:rPr>
            </w:pPr>
          </w:p>
        </w:tc>
        <w:tc>
          <w:tcPr>
            <w:tcW w:w="19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5D7A4F9"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Do’s</w:t>
            </w:r>
          </w:p>
        </w:tc>
        <w:tc>
          <w:tcPr>
            <w:tcW w:w="150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CE0C676"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Don’ts’</w:t>
            </w:r>
          </w:p>
        </w:tc>
        <w:tc>
          <w:tcPr>
            <w:tcW w:w="175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62A8D2F"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Do’s</w:t>
            </w:r>
          </w:p>
        </w:tc>
        <w:tc>
          <w:tcPr>
            <w:tcW w:w="210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97728A2"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Don’ts’</w:t>
            </w:r>
          </w:p>
        </w:tc>
      </w:tr>
      <w:tr w:rsidR="0055686F" w14:paraId="616017EA" w14:textId="77777777" w:rsidTr="0055686F">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25BF1F7" w14:textId="77777777" w:rsidR="0055686F" w:rsidRDefault="0055686F">
            <w:pPr>
              <w:jc w:val="center"/>
              <w:rPr>
                <w:rFonts w:cs="Times New Roman"/>
              </w:rPr>
            </w:pPr>
            <w:r>
              <w:rPr>
                <w:rFonts w:cs="Times New Roman"/>
              </w:rPr>
              <w:t>Greetings</w:t>
            </w:r>
          </w:p>
        </w:tc>
        <w:tc>
          <w:tcPr>
            <w:tcW w:w="19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C5E6E2B"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Say Hello with a smile</w:t>
            </w:r>
          </w:p>
          <w:p w14:paraId="1DB52E81"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Remember the Name For instance Mr John.</w:t>
            </w:r>
          </w:p>
        </w:tc>
        <w:tc>
          <w:tcPr>
            <w:tcW w:w="150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AC5DE42"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Don’t be too close</w:t>
            </w:r>
          </w:p>
        </w:tc>
        <w:tc>
          <w:tcPr>
            <w:tcW w:w="175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3EC6A30"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Bow when they bow to you</w:t>
            </w:r>
          </w:p>
          <w:p w14:paraId="3FB26F9B"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p>
        </w:tc>
        <w:tc>
          <w:tcPr>
            <w:tcW w:w="210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B7061AE"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Don’t call by name</w:t>
            </w:r>
          </w:p>
        </w:tc>
      </w:tr>
      <w:tr w:rsidR="0055686F" w14:paraId="2A9249FA" w14:textId="77777777" w:rsidTr="005568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E8265B1" w14:textId="77777777" w:rsidR="0055686F" w:rsidRDefault="0055686F">
            <w:pPr>
              <w:jc w:val="center"/>
              <w:rPr>
                <w:rFonts w:cs="Times New Roman"/>
              </w:rPr>
            </w:pPr>
            <w:r>
              <w:rPr>
                <w:rFonts w:cs="Times New Roman"/>
              </w:rPr>
              <w:t>Body Language</w:t>
            </w:r>
          </w:p>
        </w:tc>
        <w:tc>
          <w:tcPr>
            <w:tcW w:w="19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B84108B"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Shake hands</w:t>
            </w:r>
          </w:p>
          <w:p w14:paraId="047B64CA"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Look and Talk Straight to the person</w:t>
            </w:r>
          </w:p>
        </w:tc>
        <w:tc>
          <w:tcPr>
            <w:tcW w:w="150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CD64705"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Don’t stare unwillingly</w:t>
            </w:r>
          </w:p>
        </w:tc>
        <w:tc>
          <w:tcPr>
            <w:tcW w:w="175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36F2FAF"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Keep your eyes away from the person.</w:t>
            </w:r>
          </w:p>
          <w:p w14:paraId="2B850E23"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p>
        </w:tc>
        <w:tc>
          <w:tcPr>
            <w:tcW w:w="210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A7C2C15"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Don’t touch</w:t>
            </w:r>
          </w:p>
          <w:p w14:paraId="78B3F386"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Don’t blow your nose</w:t>
            </w:r>
          </w:p>
        </w:tc>
      </w:tr>
      <w:tr w:rsidR="0055686F" w14:paraId="13DEB88E" w14:textId="77777777" w:rsidTr="0055686F">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92CBDAF" w14:textId="77777777" w:rsidR="0055686F" w:rsidRDefault="0055686F">
            <w:pPr>
              <w:jc w:val="center"/>
              <w:rPr>
                <w:rFonts w:cs="Times New Roman"/>
              </w:rPr>
            </w:pPr>
            <w:r>
              <w:rPr>
                <w:rFonts w:cs="Times New Roman"/>
              </w:rPr>
              <w:t>Food</w:t>
            </w:r>
          </w:p>
        </w:tc>
        <w:tc>
          <w:tcPr>
            <w:tcW w:w="19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475AF73"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Offer wine and snacks after a meal</w:t>
            </w:r>
          </w:p>
          <w:p w14:paraId="41D8B68E"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p>
        </w:tc>
        <w:tc>
          <w:tcPr>
            <w:tcW w:w="150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1E02F04"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Don’t offer extra food until guests ask for</w:t>
            </w:r>
          </w:p>
          <w:p w14:paraId="00788699"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p>
        </w:tc>
        <w:tc>
          <w:tcPr>
            <w:tcW w:w="175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AD03C67"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Offer green tea before the meal</w:t>
            </w:r>
          </w:p>
        </w:tc>
        <w:tc>
          <w:tcPr>
            <w:tcW w:w="210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1AA0454"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Don’t keep the expectation of having any tip</w:t>
            </w:r>
          </w:p>
          <w:p w14:paraId="4274BF61"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p>
        </w:tc>
      </w:tr>
      <w:tr w:rsidR="0055686F" w14:paraId="654206F4" w14:textId="77777777" w:rsidTr="005568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25AE651" w14:textId="77777777" w:rsidR="0055686F" w:rsidRDefault="0055686F">
            <w:pPr>
              <w:jc w:val="center"/>
              <w:rPr>
                <w:rFonts w:cs="Times New Roman"/>
              </w:rPr>
            </w:pPr>
            <w:r>
              <w:rPr>
                <w:rFonts w:cs="Times New Roman"/>
              </w:rPr>
              <w:t>Dress</w:t>
            </w:r>
          </w:p>
        </w:tc>
        <w:tc>
          <w:tcPr>
            <w:tcW w:w="19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4429D3F"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Wear formal dress for instance Shirt, Pant, Suits</w:t>
            </w:r>
          </w:p>
        </w:tc>
        <w:tc>
          <w:tcPr>
            <w:tcW w:w="150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A976257"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Don’t wear a party dress</w:t>
            </w:r>
          </w:p>
        </w:tc>
        <w:tc>
          <w:tcPr>
            <w:tcW w:w="175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CA45F06"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Wear a colourful dress to impress the guests</w:t>
            </w:r>
          </w:p>
          <w:p w14:paraId="08DE4499"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Take off shoes while entering the room</w:t>
            </w:r>
          </w:p>
          <w:p w14:paraId="51FA45C6"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p>
        </w:tc>
        <w:tc>
          <w:tcPr>
            <w:tcW w:w="210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9538C82"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Don’t wear half pants or an uncovered dress</w:t>
            </w:r>
          </w:p>
        </w:tc>
      </w:tr>
      <w:tr w:rsidR="0055686F" w14:paraId="0E98D418" w14:textId="77777777" w:rsidTr="0055686F">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111B388" w14:textId="77777777" w:rsidR="0055686F" w:rsidRDefault="0055686F">
            <w:pPr>
              <w:jc w:val="center"/>
              <w:rPr>
                <w:rFonts w:cs="Times New Roman"/>
              </w:rPr>
            </w:pPr>
            <w:r>
              <w:rPr>
                <w:rFonts w:cs="Times New Roman"/>
              </w:rPr>
              <w:lastRenderedPageBreak/>
              <w:t>Gifts</w:t>
            </w:r>
          </w:p>
        </w:tc>
        <w:tc>
          <w:tcPr>
            <w:tcW w:w="19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F2129AC"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p>
        </w:tc>
        <w:tc>
          <w:tcPr>
            <w:tcW w:w="150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64866FB"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Do not offer anything that seems like a bribe</w:t>
            </w:r>
          </w:p>
        </w:tc>
        <w:tc>
          <w:tcPr>
            <w:tcW w:w="175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2A36734"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Accept gifts when given</w:t>
            </w:r>
          </w:p>
          <w:p w14:paraId="71BAFC52"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Always say Thank You after serving meals</w:t>
            </w:r>
          </w:p>
        </w:tc>
        <w:tc>
          <w:tcPr>
            <w:tcW w:w="210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D6ECC1A"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p>
        </w:tc>
      </w:tr>
      <w:tr w:rsidR="0055686F" w14:paraId="3C13937E" w14:textId="77777777" w:rsidTr="005568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80D5D9C" w14:textId="77777777" w:rsidR="0055686F" w:rsidRDefault="0055686F">
            <w:pPr>
              <w:jc w:val="center"/>
              <w:rPr>
                <w:rFonts w:cs="Times New Roman"/>
              </w:rPr>
            </w:pPr>
            <w:r>
              <w:rPr>
                <w:rFonts w:cs="Times New Roman"/>
              </w:rPr>
              <w:t>Over the Phone</w:t>
            </w:r>
          </w:p>
        </w:tc>
        <w:tc>
          <w:tcPr>
            <w:tcW w:w="19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3CCE8B0"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Call by the last Name with Sir</w:t>
            </w:r>
          </w:p>
        </w:tc>
        <w:tc>
          <w:tcPr>
            <w:tcW w:w="150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707788F"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Do not Counter the guests' questions</w:t>
            </w:r>
          </w:p>
        </w:tc>
        <w:tc>
          <w:tcPr>
            <w:tcW w:w="175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4A8F0DE"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Answer the phone with Please</w:t>
            </w:r>
          </w:p>
        </w:tc>
        <w:tc>
          <w:tcPr>
            <w:tcW w:w="210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02D7CA6" w14:textId="77777777" w:rsidR="0055686F" w:rsidRDefault="0055686F">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Do not argue with the client</w:t>
            </w:r>
          </w:p>
        </w:tc>
      </w:tr>
      <w:tr w:rsidR="0055686F" w14:paraId="052D099A" w14:textId="77777777" w:rsidTr="0055686F">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60E2289" w14:textId="77777777" w:rsidR="0055686F" w:rsidRDefault="0055686F">
            <w:pPr>
              <w:jc w:val="center"/>
              <w:rPr>
                <w:rFonts w:cs="Times New Roman"/>
              </w:rPr>
            </w:pPr>
            <w:r>
              <w:rPr>
                <w:rFonts w:cs="Times New Roman"/>
              </w:rPr>
              <w:t>Bathroom/Washroom</w:t>
            </w:r>
          </w:p>
        </w:tc>
        <w:tc>
          <w:tcPr>
            <w:tcW w:w="19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74FD2D5"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Keep toilet paper in the toilet</w:t>
            </w:r>
          </w:p>
        </w:tc>
        <w:tc>
          <w:tcPr>
            <w:tcW w:w="150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C583941"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Do not ask for placing air freshener</w:t>
            </w:r>
          </w:p>
        </w:tc>
        <w:tc>
          <w:tcPr>
            <w:tcW w:w="175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F994076"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Keep the different entry doors for ladies and gents</w:t>
            </w:r>
          </w:p>
        </w:tc>
        <w:tc>
          <w:tcPr>
            <w:tcW w:w="210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54AE481" w14:textId="77777777" w:rsidR="0055686F" w:rsidRDefault="0055686F">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Do not keep flowers in the toilet</w:t>
            </w:r>
          </w:p>
        </w:tc>
      </w:tr>
    </w:tbl>
    <w:p w14:paraId="2BD5F92B" w14:textId="77777777" w:rsidR="0055686F" w:rsidRDefault="0055686F" w:rsidP="0055686F">
      <w:pPr>
        <w:jc w:val="center"/>
        <w:rPr>
          <w:color w:val="000000" w:themeColor="text1"/>
        </w:rPr>
      </w:pPr>
      <w:r>
        <w:rPr>
          <w:color w:val="000000" w:themeColor="text1"/>
        </w:rPr>
        <w:t>Table: Handbook of Do’s and Don’ts for training staff</w:t>
      </w:r>
    </w:p>
    <w:p w14:paraId="4AC49E25" w14:textId="77777777" w:rsidR="0055686F" w:rsidRDefault="0055686F" w:rsidP="0055686F">
      <w:pPr>
        <w:jc w:val="center"/>
        <w:rPr>
          <w:color w:val="000000" w:themeColor="text1"/>
        </w:rPr>
      </w:pPr>
      <w:r>
        <w:rPr>
          <w:color w:val="000000" w:themeColor="text1"/>
        </w:rPr>
        <w:t>Source: (You et al., 2021)</w:t>
      </w:r>
    </w:p>
    <w:p w14:paraId="73F3BBC4" w14:textId="77777777" w:rsidR="0055686F" w:rsidRDefault="0055686F" w:rsidP="0055686F">
      <w:pPr>
        <w:pStyle w:val="Heading1"/>
      </w:pPr>
      <w:bookmarkStart w:id="6" w:name="_Toc96188555"/>
      <w:r>
        <w:t>Conclusion</w:t>
      </w:r>
      <w:bookmarkEnd w:id="6"/>
    </w:p>
    <w:p w14:paraId="68775599" w14:textId="77777777" w:rsidR="0055686F" w:rsidRDefault="0055686F" w:rsidP="0055686F">
      <w:pPr>
        <w:rPr>
          <w:rFonts w:cs="Times New Roman"/>
          <w:color w:val="000000" w:themeColor="text1"/>
          <w:lang w:val="en-US"/>
        </w:rPr>
      </w:pPr>
      <w:r>
        <w:rPr>
          <w:rFonts w:cs="Times New Roman"/>
          <w:color w:val="000000" w:themeColor="text1"/>
          <w:lang w:val="en-US"/>
        </w:rPr>
        <w:t>Cultural variation is the beauty of a nation that has a distinctive value that helps them to be recognized by other nations. The hotel management should be careful about their service coping up with this variation as they get the opportunity to experience them. The hotels also represent the host country through their service. So they should build a team trained with the knowledge of cultural intelligence and sensitivity, theory, model and etiquettes to ensure the guests are served with the best one can do.</w:t>
      </w:r>
    </w:p>
    <w:p w14:paraId="451BB11D" w14:textId="77777777" w:rsidR="0055686F" w:rsidRDefault="0055686F" w:rsidP="0055686F">
      <w:pPr>
        <w:pStyle w:val="Heading1"/>
      </w:pPr>
      <w:bookmarkStart w:id="7" w:name="_Toc96188556"/>
      <w:r>
        <w:t>References</w:t>
      </w:r>
      <w:bookmarkEnd w:id="7"/>
    </w:p>
    <w:p w14:paraId="526679E7" w14:textId="77777777" w:rsidR="0055686F" w:rsidRDefault="0055686F" w:rsidP="0055686F">
      <w:pPr>
        <w:ind w:left="360"/>
        <w:rPr>
          <w:rFonts w:cs="Times New Roman"/>
          <w:color w:val="000000" w:themeColor="text1"/>
          <w:szCs w:val="24"/>
        </w:rPr>
      </w:pPr>
      <w:r>
        <w:rPr>
          <w:rFonts w:cs="Times New Roman"/>
          <w:color w:val="000000" w:themeColor="text1"/>
          <w:szCs w:val="24"/>
          <w:shd w:val="clear" w:color="auto" w:fill="FFFFFF"/>
        </w:rPr>
        <w:t>Crotts, J.C. and Erdmann, R., 2020. Does national culture influence consumers’ evaluation of travel services? A test of Hofstede’s model of cross‐cultural differences. </w:t>
      </w:r>
      <w:r>
        <w:rPr>
          <w:rFonts w:cs="Times New Roman"/>
          <w:i/>
          <w:iCs/>
          <w:color w:val="000000" w:themeColor="text1"/>
          <w:szCs w:val="24"/>
          <w:shd w:val="clear" w:color="auto" w:fill="FFFFFF"/>
        </w:rPr>
        <w:t>Managing Service Quality: An International Journal</w:t>
      </w:r>
      <w:r>
        <w:rPr>
          <w:rFonts w:cs="Times New Roman"/>
          <w:color w:val="000000" w:themeColor="text1"/>
          <w:szCs w:val="24"/>
          <w:shd w:val="clear" w:color="auto" w:fill="FFFFFF"/>
        </w:rPr>
        <w:t>.</w:t>
      </w:r>
    </w:p>
    <w:p w14:paraId="405F80FD" w14:textId="77777777" w:rsidR="0055686F" w:rsidRDefault="0055686F" w:rsidP="0055686F">
      <w:pPr>
        <w:ind w:left="360"/>
        <w:rPr>
          <w:rFonts w:cs="Times New Roman"/>
          <w:color w:val="000000" w:themeColor="text1"/>
          <w:szCs w:val="24"/>
          <w:shd w:val="clear" w:color="auto" w:fill="FFFFFF"/>
        </w:rPr>
      </w:pPr>
      <w:r>
        <w:rPr>
          <w:rFonts w:cs="Times New Roman"/>
          <w:color w:val="000000" w:themeColor="text1"/>
          <w:szCs w:val="24"/>
          <w:shd w:val="clear" w:color="auto" w:fill="FFFFFF"/>
        </w:rPr>
        <w:t>Hofstede, G. and Bond, M.H., 2019. Hofstede's culture dimensions: An independent validation using Rokeach's value survey. </w:t>
      </w:r>
      <w:r>
        <w:rPr>
          <w:rFonts w:cs="Times New Roman"/>
          <w:i/>
          <w:iCs/>
          <w:color w:val="000000" w:themeColor="text1"/>
          <w:szCs w:val="24"/>
          <w:shd w:val="clear" w:color="auto" w:fill="FFFFFF"/>
        </w:rPr>
        <w:t>Journal of cross-cultural psychology</w:t>
      </w:r>
      <w:r>
        <w:rPr>
          <w:rFonts w:cs="Times New Roman"/>
          <w:color w:val="000000" w:themeColor="text1"/>
          <w:szCs w:val="24"/>
          <w:shd w:val="clear" w:color="auto" w:fill="FFFFFF"/>
        </w:rPr>
        <w:t>, </w:t>
      </w:r>
      <w:r>
        <w:rPr>
          <w:rFonts w:cs="Times New Roman"/>
          <w:i/>
          <w:iCs/>
          <w:color w:val="000000" w:themeColor="text1"/>
          <w:szCs w:val="24"/>
          <w:shd w:val="clear" w:color="auto" w:fill="FFFFFF"/>
        </w:rPr>
        <w:t>15</w:t>
      </w:r>
      <w:r>
        <w:rPr>
          <w:rFonts w:cs="Times New Roman"/>
          <w:color w:val="000000" w:themeColor="text1"/>
          <w:szCs w:val="24"/>
          <w:shd w:val="clear" w:color="auto" w:fill="FFFFFF"/>
        </w:rPr>
        <w:t>(4), pp.417-433.</w:t>
      </w:r>
    </w:p>
    <w:p w14:paraId="2AE43D3B" w14:textId="77777777" w:rsidR="0055686F" w:rsidRDefault="0055686F" w:rsidP="0055686F">
      <w:pPr>
        <w:ind w:left="360"/>
        <w:rPr>
          <w:rFonts w:cs="Times New Roman"/>
          <w:color w:val="000000" w:themeColor="text1"/>
          <w:szCs w:val="24"/>
          <w:shd w:val="clear" w:color="auto" w:fill="FFFFFF"/>
        </w:rPr>
      </w:pPr>
      <w:r>
        <w:rPr>
          <w:rFonts w:cs="Times New Roman"/>
          <w:color w:val="000000" w:themeColor="text1"/>
          <w:szCs w:val="24"/>
          <w:shd w:val="clear" w:color="auto" w:fill="FFFFFF"/>
        </w:rPr>
        <w:lastRenderedPageBreak/>
        <w:t>Huang, S.S. and Crotts, J., 2019. Relationships between Hofstede's cultural dimensions and tourist satisfaction: A cross-country cross-sample examination. </w:t>
      </w:r>
      <w:r>
        <w:rPr>
          <w:rFonts w:cs="Times New Roman"/>
          <w:i/>
          <w:iCs/>
          <w:color w:val="000000" w:themeColor="text1"/>
          <w:szCs w:val="24"/>
          <w:shd w:val="clear" w:color="auto" w:fill="FFFFFF"/>
        </w:rPr>
        <w:t>Tourism Management</w:t>
      </w:r>
      <w:r>
        <w:rPr>
          <w:rFonts w:cs="Times New Roman"/>
          <w:color w:val="000000" w:themeColor="text1"/>
          <w:szCs w:val="24"/>
          <w:shd w:val="clear" w:color="auto" w:fill="FFFFFF"/>
        </w:rPr>
        <w:t>, </w:t>
      </w:r>
      <w:r>
        <w:rPr>
          <w:rFonts w:cs="Times New Roman"/>
          <w:i/>
          <w:iCs/>
          <w:color w:val="000000" w:themeColor="text1"/>
          <w:szCs w:val="24"/>
          <w:shd w:val="clear" w:color="auto" w:fill="FFFFFF"/>
        </w:rPr>
        <w:t>72</w:t>
      </w:r>
      <w:r>
        <w:rPr>
          <w:rFonts w:cs="Times New Roman"/>
          <w:color w:val="000000" w:themeColor="text1"/>
          <w:szCs w:val="24"/>
          <w:shd w:val="clear" w:color="auto" w:fill="FFFFFF"/>
        </w:rPr>
        <w:t>, pp.232-241.</w:t>
      </w:r>
    </w:p>
    <w:p w14:paraId="110DD9AD" w14:textId="77777777" w:rsidR="0055686F" w:rsidRDefault="0055686F" w:rsidP="0055686F">
      <w:pPr>
        <w:pStyle w:val="NormalWeb"/>
        <w:spacing w:before="0" w:beforeAutospacing="0" w:after="180" w:afterAutospacing="0" w:line="360" w:lineRule="auto"/>
        <w:ind w:left="360"/>
        <w:jc w:val="both"/>
        <w:rPr>
          <w:color w:val="000000" w:themeColor="text1"/>
        </w:rPr>
      </w:pPr>
      <w:r>
        <w:rPr>
          <w:color w:val="000000" w:themeColor="text1"/>
        </w:rPr>
        <w:t>Mariannas, S., 2022. </w:t>
      </w:r>
      <w:r>
        <w:rPr>
          <w:i/>
          <w:iCs/>
          <w:color w:val="000000" w:themeColor="text1"/>
        </w:rPr>
        <w:t>4 main Japanese principles of housekeeping - Marianna’s Cleaning Co.</w:t>
      </w:r>
      <w:r>
        <w:rPr>
          <w:color w:val="000000" w:themeColor="text1"/>
        </w:rPr>
        <w:t>. [online] Marianna’s Cleaning Co. Available at: &lt;https://www.mariannas.com/4-main-japanese-principles-of-housekeeping/&gt; [Accessed 19 February 2022].</w:t>
      </w:r>
    </w:p>
    <w:p w14:paraId="5B648223" w14:textId="77777777" w:rsidR="0055686F" w:rsidRDefault="0055686F" w:rsidP="0055686F">
      <w:pPr>
        <w:pStyle w:val="NormalWeb"/>
        <w:spacing w:before="0" w:beforeAutospacing="0" w:after="180" w:afterAutospacing="0" w:line="360" w:lineRule="auto"/>
        <w:ind w:left="360"/>
        <w:jc w:val="both"/>
        <w:rPr>
          <w:color w:val="000000" w:themeColor="text1"/>
        </w:rPr>
      </w:pPr>
      <w:r>
        <w:rPr>
          <w:color w:val="000000" w:themeColor="text1"/>
        </w:rPr>
        <w:t>Site, 2022. </w:t>
      </w:r>
      <w:r>
        <w:rPr>
          <w:i/>
          <w:iCs/>
          <w:color w:val="000000" w:themeColor="text1"/>
        </w:rPr>
        <w:t>Cultural Sensitivity: Does your hotel cater for all? - SiteMinder</w:t>
      </w:r>
      <w:r>
        <w:rPr>
          <w:color w:val="000000" w:themeColor="text1"/>
        </w:rPr>
        <w:t>. [online] SiteMinder. Available at: &lt;https://www.siteminder.com/r/trends-advice/hotel-guest-experience/cultural-sensitivity-hotel-cater-guests/&gt; [Accessed 19 February 2022].</w:t>
      </w:r>
    </w:p>
    <w:p w14:paraId="39E14CB6" w14:textId="77777777" w:rsidR="0055686F" w:rsidRDefault="0055686F" w:rsidP="0055686F">
      <w:pPr>
        <w:ind w:left="360"/>
        <w:rPr>
          <w:rFonts w:cs="Times New Roman"/>
          <w:color w:val="000000" w:themeColor="text1"/>
          <w:szCs w:val="24"/>
          <w:shd w:val="clear" w:color="auto" w:fill="FFFFFF"/>
        </w:rPr>
      </w:pPr>
      <w:r>
        <w:rPr>
          <w:rFonts w:cs="Times New Roman"/>
          <w:color w:val="000000" w:themeColor="text1"/>
          <w:szCs w:val="24"/>
          <w:shd w:val="clear" w:color="auto" w:fill="FFFFFF"/>
        </w:rPr>
        <w:t>You, X., O'Leary, J., Morrison, A. and Hong, G.S., 2021. A cross-cultural comparison of travel push and pull factors: United Kingdom vs. Japan. </w:t>
      </w:r>
      <w:r>
        <w:rPr>
          <w:rFonts w:cs="Times New Roman"/>
          <w:i/>
          <w:iCs/>
          <w:color w:val="000000" w:themeColor="text1"/>
          <w:szCs w:val="24"/>
          <w:shd w:val="clear" w:color="auto" w:fill="FFFFFF"/>
        </w:rPr>
        <w:t>International journal of hospitality &amp; tourism administration</w:t>
      </w:r>
      <w:r>
        <w:rPr>
          <w:rFonts w:cs="Times New Roman"/>
          <w:color w:val="000000" w:themeColor="text1"/>
          <w:szCs w:val="24"/>
          <w:shd w:val="clear" w:color="auto" w:fill="FFFFFF"/>
        </w:rPr>
        <w:t>, </w:t>
      </w:r>
      <w:r>
        <w:rPr>
          <w:rFonts w:cs="Times New Roman"/>
          <w:i/>
          <w:iCs/>
          <w:color w:val="000000" w:themeColor="text1"/>
          <w:szCs w:val="24"/>
          <w:shd w:val="clear" w:color="auto" w:fill="FFFFFF"/>
        </w:rPr>
        <w:t>1</w:t>
      </w:r>
      <w:r>
        <w:rPr>
          <w:rFonts w:cs="Times New Roman"/>
          <w:color w:val="000000" w:themeColor="text1"/>
          <w:szCs w:val="24"/>
          <w:shd w:val="clear" w:color="auto" w:fill="FFFFFF"/>
        </w:rPr>
        <w:t>(2), pp.1-26.</w:t>
      </w:r>
    </w:p>
    <w:p w14:paraId="7073E980" w14:textId="77777777" w:rsidR="00A73898" w:rsidRDefault="00A73898"/>
    <w:sectPr w:rsidR="00A738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FDE"/>
    <w:rsid w:val="004D47D2"/>
    <w:rsid w:val="0055686F"/>
    <w:rsid w:val="005D1473"/>
    <w:rsid w:val="00732641"/>
    <w:rsid w:val="009415BC"/>
    <w:rsid w:val="00A73898"/>
    <w:rsid w:val="00D16FDE"/>
    <w:rsid w:val="00D23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C2F3F"/>
  <w15:chartTrackingRefBased/>
  <w15:docId w15:val="{E9B21B72-D616-4D27-912D-D7E5447F6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86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5686F"/>
    <w:pPr>
      <w:keepNext/>
      <w:keepLines/>
      <w:shd w:val="clear" w:color="auto" w:fill="FFFFFF"/>
      <w:spacing w:before="240" w:after="0"/>
      <w:outlineLvl w:val="0"/>
    </w:pPr>
    <w:rPr>
      <w:rFonts w:eastAsiaTheme="majorEastAsia" w:cstheme="majorBidi"/>
      <w:b/>
      <w:bCs/>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86F"/>
    <w:rPr>
      <w:rFonts w:ascii="Times New Roman" w:eastAsiaTheme="majorEastAsia" w:hAnsi="Times New Roman" w:cstheme="majorBidi"/>
      <w:b/>
      <w:bCs/>
      <w:color w:val="000000" w:themeColor="text1"/>
      <w:sz w:val="28"/>
      <w:szCs w:val="32"/>
      <w:shd w:val="clear" w:color="auto" w:fill="FFFFFF"/>
    </w:rPr>
  </w:style>
  <w:style w:type="character" w:styleId="Hyperlink">
    <w:name w:val="Hyperlink"/>
    <w:basedOn w:val="DefaultParagraphFont"/>
    <w:uiPriority w:val="99"/>
    <w:semiHidden/>
    <w:unhideWhenUsed/>
    <w:rsid w:val="0055686F"/>
    <w:rPr>
      <w:color w:val="0563C1" w:themeColor="hyperlink"/>
      <w:u w:val="single"/>
    </w:rPr>
  </w:style>
  <w:style w:type="paragraph" w:styleId="NormalWeb">
    <w:name w:val="Normal (Web)"/>
    <w:basedOn w:val="Normal"/>
    <w:uiPriority w:val="99"/>
    <w:semiHidden/>
    <w:unhideWhenUsed/>
    <w:rsid w:val="0055686F"/>
    <w:pPr>
      <w:spacing w:before="100" w:beforeAutospacing="1" w:after="100" w:afterAutospacing="1" w:line="240" w:lineRule="auto"/>
      <w:jc w:val="left"/>
    </w:pPr>
    <w:rPr>
      <w:rFonts w:eastAsia="Times New Roman" w:cs="Times New Roman"/>
      <w:szCs w:val="24"/>
      <w:lang w:val="en-US" w:bidi="bn-IN"/>
    </w:rPr>
  </w:style>
  <w:style w:type="paragraph" w:styleId="TOC1">
    <w:name w:val="toc 1"/>
    <w:basedOn w:val="Normal"/>
    <w:next w:val="Normal"/>
    <w:autoRedefine/>
    <w:uiPriority w:val="39"/>
    <w:semiHidden/>
    <w:unhideWhenUsed/>
    <w:rsid w:val="0055686F"/>
    <w:pPr>
      <w:spacing w:after="100"/>
    </w:pPr>
  </w:style>
  <w:style w:type="paragraph" w:styleId="TOCHeading">
    <w:name w:val="TOC Heading"/>
    <w:basedOn w:val="Heading1"/>
    <w:next w:val="Normal"/>
    <w:uiPriority w:val="39"/>
    <w:semiHidden/>
    <w:unhideWhenUsed/>
    <w:qFormat/>
    <w:rsid w:val="0055686F"/>
    <w:pPr>
      <w:shd w:val="clear" w:color="auto" w:fill="auto"/>
      <w:spacing w:line="256" w:lineRule="auto"/>
      <w:jc w:val="left"/>
      <w:outlineLvl w:val="9"/>
    </w:pPr>
    <w:rPr>
      <w:rFonts w:asciiTheme="majorHAnsi" w:hAnsiTheme="majorHAnsi"/>
      <w:b w:val="0"/>
      <w:bCs w:val="0"/>
      <w:color w:val="2F5496" w:themeColor="accent1" w:themeShade="BF"/>
      <w:sz w:val="32"/>
      <w:lang w:val="en-US"/>
    </w:rPr>
  </w:style>
  <w:style w:type="table" w:styleId="GridTable4">
    <w:name w:val="Grid Table 4"/>
    <w:basedOn w:val="TableNormal"/>
    <w:uiPriority w:val="49"/>
    <w:rsid w:val="0055686F"/>
    <w:pPr>
      <w:spacing w:after="0" w:line="240" w:lineRule="auto"/>
    </w:pPr>
    <w:rPr>
      <w:lang w:val="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9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55c954ee7a3e431a/Desktop/Culture.docx"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docs.live.net/55c954ee7a3e431a/Desktop/Culture.docx" TargetMode="External"/><Relationship Id="rId12"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docs.live.net/55c954ee7a3e431a/Desktop/Culture.docx" TargetMode="External"/><Relationship Id="rId11" Type="http://schemas.openxmlformats.org/officeDocument/2006/relationships/hyperlink" Target="https://d.docs.live.net/55c954ee7a3e431a/Desktop/Culture.docx" TargetMode="External"/><Relationship Id="rId5" Type="http://schemas.openxmlformats.org/officeDocument/2006/relationships/hyperlink" Target="https://d.docs.live.net/55c954ee7a3e431a/Desktop/Culture.docx" TargetMode="External"/><Relationship Id="rId10" Type="http://schemas.openxmlformats.org/officeDocument/2006/relationships/hyperlink" Target="https://d.docs.live.net/55c954ee7a3e431a/Desktop/Culture.docx" TargetMode="External"/><Relationship Id="rId4" Type="http://schemas.openxmlformats.org/officeDocument/2006/relationships/hyperlink" Target="https://d.docs.live.net/55c954ee7a3e431a/Desktop/Culture.docx" TargetMode="External"/><Relationship Id="rId9" Type="http://schemas.openxmlformats.org/officeDocument/2006/relationships/hyperlink" Target="https://d.docs.live.net/55c954ee7a3e431a/Desktop/Culture.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1867</Words>
  <Characters>10645</Characters>
  <Application>Microsoft Office Word</Application>
  <DocSecurity>0</DocSecurity>
  <Lines>88</Lines>
  <Paragraphs>24</Paragraphs>
  <ScaleCrop>false</ScaleCrop>
  <Company/>
  <LinksUpToDate>false</LinksUpToDate>
  <CharactersWithSpaces>12488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Atikuz Zaman</dc:creator>
  <cp:keywords/>
  <dc:description/>
  <cp:lastModifiedBy>Atikuz Zaman</cp:lastModifiedBy>
  <cp:revision>7</cp:revision>
  <dcterms:created xsi:type="dcterms:W3CDTF">2022-03-16T16:27:00Z</dcterms:created>
  <dcterms:modified xsi:type="dcterms:W3CDTF">2022-03-16T16:31:00Z</dcterms:modified>
</cp:coreProperties>
</file>