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EMPL4007</w:t>
      </w:r>
    </w:p>
    <w:p>
      <w:pPr>
        <w:spacing w:before="0" w:after="20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Employability</w:t>
      </w:r>
    </w:p>
    <w:p>
      <w:pPr>
        <w:spacing w:before="0" w:after="20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Name: Marlena Lungu</w:t>
      </w:r>
    </w:p>
    <w:p>
      <w:pPr>
        <w:spacing w:before="0" w:after="20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Student Number: 1703949</w:t>
      </w:r>
    </w:p>
    <w:p>
      <w:pPr>
        <w:spacing w:before="0" w:after="20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Lecturer Name:Shao Yuen</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Employability refers to the ability of an individual to attain a specific job based on the skill set possessed by the person. For the economic and overall growth of a country it is required to create businesses that have high skills and add value for the industry as a whole. Both the economy and the society grow with the maximum population participating in productivity. According to </w:t>
      </w:r>
      <w:r>
        <w:rPr>
          <w:rFonts w:ascii="Times New Roman" w:hAnsi="Times New Roman" w:cs="Times New Roman" w:eastAsia="Times New Roman"/>
          <w:color w:val="000000"/>
          <w:spacing w:val="0"/>
          <w:position w:val="0"/>
          <w:sz w:val="24"/>
          <w:shd w:fill="FFFFFF" w:val="clear"/>
        </w:rPr>
        <w:t xml:space="preserve">Cottrell (2015), </w:t>
      </w:r>
      <w:r>
        <w:rPr>
          <w:rFonts w:ascii="Times New Roman" w:hAnsi="Times New Roman" w:cs="Times New Roman" w:eastAsia="Times New Roman"/>
          <w:color w:val="000000"/>
          <w:spacing w:val="0"/>
          <w:position w:val="0"/>
          <w:sz w:val="24"/>
          <w:shd w:fill="auto" w:val="clear"/>
        </w:rPr>
        <w:t xml:space="preserve">people with the right skill set have a better chance of employability in the growing competitive job market. Right skill set refers to the appropriate combination of basic skills and technical knowhow. These skills cover a wide range of industries are can be specified as literacy, basic numerical ability, time management, communication, etc.</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assignment aims to define the purpose of job description and job specification. It will further give an example of how to build an ideal CV for increasing employability as a restaurant waitress. Moreover, two competencies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decision making and time management will be analysed with the help of personal experience and using the STAR model. </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Task 1: Recruitment and Selection Process</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successful selection and recruitment process lessens turnover. These procedures match with the perfect individual with the right skill sets. Background checks and interviews guarantee the utilization of a person who is dependable and fulfils the goals according to plan for giving quality services to the clients (</w:t>
      </w:r>
      <w:r>
        <w:rPr>
          <w:rFonts w:ascii="Times New Roman" w:hAnsi="Times New Roman" w:cs="Times New Roman" w:eastAsia="Times New Roman"/>
          <w:color w:val="000000"/>
          <w:spacing w:val="0"/>
          <w:position w:val="0"/>
          <w:sz w:val="24"/>
          <w:shd w:fill="FFFFFF" w:val="clear"/>
        </w:rPr>
        <w:t xml:space="preserve">Bozionelos et al., 2016)</w:t>
      </w:r>
      <w:r>
        <w:rPr>
          <w:rFonts w:ascii="Times New Roman" w:hAnsi="Times New Roman" w:cs="Times New Roman" w:eastAsia="Times New Roman"/>
          <w:color w:val="000000"/>
          <w:spacing w:val="0"/>
          <w:position w:val="0"/>
          <w:sz w:val="24"/>
          <w:shd w:fill="auto" w:val="clear"/>
        </w:rPr>
        <w:t xml:space="preserve">. Hence recruitment and selection is the process of selecting the right person for the right job.</w:t>
      </w:r>
    </w:p>
    <w:p>
      <w:pPr>
        <w:spacing w:before="0" w:after="225"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Purpose of Job Description: </w:t>
      </w:r>
      <w:r>
        <w:rPr>
          <w:rFonts w:ascii="Times New Roman" w:hAnsi="Times New Roman" w:cs="Times New Roman" w:eastAsia="Times New Roman"/>
          <w:color w:val="000000"/>
          <w:spacing w:val="0"/>
          <w:position w:val="0"/>
          <w:sz w:val="24"/>
          <w:shd w:fill="FFFFFF" w:val="clear"/>
        </w:rPr>
        <w:t xml:space="preserve">Job description involves collection of information relating to the specific job such as job title, location, duties, working condition, reporting authority and the working hazards involved. This is for the purpose of recording information for use as and when a vacancy emerges. As per Tymon (2013), the human resource management team is responsible for making the job description general or specific depending on the objectives of conducting analysis of job.</w:t>
      </w:r>
    </w:p>
    <w:p>
      <w:pPr>
        <w:spacing w:before="0" w:after="225"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Job Description helps a manager determine the expected duties of an employee when hired. A general job description includes the job title, designation and location along with a statement of responsibilities of a candidate. As stated by Vanhercke et al. (2014), General Job description is used to find the basic requirements in a particular job. Thus the description may include the tasks but not the sub tasks or expected standard of performance, evaluation criteria or compensation breakdown. A general job description has certain benefits as well as disadvantages. Firstly this type of job description in not time consuming and provides the basic information for general candidates. However, it does not provide all the necessary information for experts to ensure applicability of employees. It is also difficult to extract the correct and specific information due to the limited amount of data (Jackson, 2015).</w:t>
      </w:r>
    </w:p>
    <w:p>
      <w:pPr>
        <w:spacing w:before="0" w:after="225"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On the other hand, a specific job description includes information regarding the type of job, the expected performance and deliverable in detail. It additionally covers sub tasks, fundamental capacities and point by point work obligations. It includes enormous measure of points of interest, for example, what a worker needs to do, how it is to be done and what are the execution principles, and so on. According to Hogan, Chamorro</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Premuzic and Kaiser (2013), the primary advantage of specific job description is that it offers enough data to assess work execution and decide preparing necessities of representatives. It fills in as a reason for all other HR forms including enlistment and determination, execution examination, pay choice, etc</w:t>
      </w:r>
    </w:p>
    <w:p>
      <w:pPr>
        <w:spacing w:before="0" w:after="225"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Purpose of Person Specification:  </w:t>
      </w:r>
      <w:r>
        <w:rPr>
          <w:rFonts w:ascii="Times New Roman" w:hAnsi="Times New Roman" w:cs="Times New Roman" w:eastAsia="Times New Roman"/>
          <w:color w:val="000000"/>
          <w:spacing w:val="0"/>
          <w:position w:val="0"/>
          <w:sz w:val="24"/>
          <w:shd w:fill="FFFFFF" w:val="clear"/>
        </w:rPr>
        <w:t xml:space="preserve">Person Specification is most imperative record for effective recruitment. It empowers the management to do various things. It enables the characterization the sort of individual needed and thus causes to compose an exact activity description (Ibarraran et al., 2014). It allows the evaluation of every applicant reasonably and impartially. Also, it empowers the organisation to think about competitors against each other and consequently make determinations in light of confirmation. The person specification used in enrolment and choice must contain reasonable, important, and legitimate criteria. Don't request capabilities unless they are fundamental as a required necessity for the activity (e.g. a specialist) or preferable to carry out the activity well. </w:t>
      </w:r>
    </w:p>
    <w:p>
      <w:pPr>
        <w:spacing w:before="0" w:after="225"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According to Benson, Morgan and Filippaios (2014), the fundamental criteria in a person specification are the prerequisites which all candidates need to have in the event that they are to be considered for the activity. The preferable criteria are the additional items which have the effect between the applicants and enable you to choose. Fundamental criteria are the basic requirements and the reason for dismissal. Desirable criteria are the additional items that may or may not be absolutely required. Since no one can be considered for the activity unless they have all the fundamental criteria, Excessive number of basic criteria should not be posted.  A standard of seven to ten is about right (Cai, 2013).</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Task 2: Curriculum Vitae </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Following is my CV  applying for the position of restaurant waitress at the restaurant of South Place. The name of the restaurant is Chop House. South Place is an extravagant five-star hotel located in London, the first from restaurateurs, D&amp;D London. Having been open since 2012, South Place has turned into an area loved by both local and international guests.</w:t>
      </w:r>
    </w:p>
    <w:p>
      <w:pPr>
        <w:spacing w:before="100" w:after="100" w:line="480"/>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Curriculum Vitae</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Name: </w:t>
      </w:r>
      <w:r>
        <w:rPr>
          <w:rFonts w:ascii="Times New Roman" w:hAnsi="Times New Roman" w:cs="Times New Roman" w:eastAsia="Times New Roman"/>
          <w:color w:val="000000"/>
          <w:spacing w:val="0"/>
          <w:position w:val="0"/>
          <w:sz w:val="24"/>
          <w:shd w:fill="auto" w:val="clear"/>
        </w:rPr>
        <w:t xml:space="preserve">Marlena Lungu</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Contact Details:07701062999</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Date of Birth:15/01/1993</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Email ID:marlenalungu@yahoo.co.uk</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Objective: </w:t>
      </w:r>
      <w:r>
        <w:rPr>
          <w:rFonts w:ascii="Times New Roman" w:hAnsi="Times New Roman" w:cs="Times New Roman" w:eastAsia="Times New Roman"/>
          <w:color w:val="000000"/>
          <w:spacing w:val="0"/>
          <w:position w:val="0"/>
          <w:sz w:val="24"/>
          <w:shd w:fill="auto" w:val="clear"/>
        </w:rPr>
        <w:t xml:space="preserve">I am writing to apply for the job of Restaurant waitress at Chop House as advertised on your website. With my extensive experience in the hospitality industry, I believe to be a valuable asset for you hotel. My work experience involves a range of responsibilities from a front desk concierge at Marriot to a tour guide and chalet manager. Through these various skills I have gained a wide range of skills that will allow me to work comfortably in different situations.</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a waitress I believe I must continue to grow personally as well as professionally in order to develop skills that will assist me in the chosen field of work. My experience will bring you more customers because i understand how to make people to feel good. I believe in leading through example and encouraging others to grow in order to reach their full potential.</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My goal is to deliver your guests an excelent service experience.</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 consider my biggest achievement is that I have learned to adapt to any situation through the varying jobs that I have held over the years.</w:t>
      </w:r>
    </w:p>
    <w:p>
      <w:pPr>
        <w:spacing w:before="100" w:after="1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Because i m very organised and i can instantly bring in my team positive changes for example in my previos job we had one day a targget of 500 cakes to sell in 5 hours, unfortunately for us was a rainy day, everyone was not very positive so we decide to serve next to cake a hot cup of tea , customers was very pleasant surprise and our sales team was succesfully exceded our target on time .I've been  passionate  about culinary since i was a kid and would love to be a part of the restaurant team at Chop House. I am hoping that this job will educate me and bring new experiences that will stay with me forever. </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Qualifications:</w:t>
      </w:r>
    </w:p>
    <w:p>
      <w:pPr>
        <w:numPr>
          <w:ilvl w:val="0"/>
          <w:numId w:val="14"/>
        </w:numPr>
        <w:spacing w:before="100" w:after="100" w:line="48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RSA (Responsible Service of Alcohol) certification</w:t>
      </w:r>
    </w:p>
    <w:p>
      <w:pPr>
        <w:numPr>
          <w:ilvl w:val="0"/>
          <w:numId w:val="14"/>
        </w:numPr>
        <w:spacing w:before="100" w:after="100" w:line="48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Certified to run/own a licensed business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Approved manager</w:t>
      </w:r>
    </w:p>
    <w:p>
      <w:pPr>
        <w:numPr>
          <w:ilvl w:val="0"/>
          <w:numId w:val="14"/>
        </w:numPr>
        <w:spacing w:before="100" w:after="100" w:line="48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Commercial license</w:t>
      </w:r>
    </w:p>
    <w:p>
      <w:pPr>
        <w:numPr>
          <w:ilvl w:val="0"/>
          <w:numId w:val="14"/>
        </w:numPr>
        <w:spacing w:before="100" w:after="100" w:line="48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CPR and First Aid Certified</w:t>
      </w:r>
    </w:p>
    <w:p>
      <w:pPr>
        <w:spacing w:before="100" w:after="1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Work Experience:</w:t>
      </w:r>
    </w:p>
    <w:p>
      <w:pPr>
        <w:numPr>
          <w:ilvl w:val="0"/>
          <w:numId w:val="16"/>
        </w:numPr>
        <w:spacing w:before="100" w:after="100" w:line="48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Sept 2014 to present: </w:t>
      </w:r>
      <w:r>
        <w:rPr>
          <w:rFonts w:ascii="Times New Roman" w:hAnsi="Times New Roman" w:cs="Times New Roman" w:eastAsia="Times New Roman"/>
          <w:color w:val="000000"/>
          <w:spacing w:val="0"/>
          <w:position w:val="0"/>
          <w:sz w:val="24"/>
          <w:shd w:fill="auto" w:val="clear"/>
        </w:rPr>
        <w:t xml:space="preserve">Restaurant Manager at Richie’s Bar</w:t>
      </w:r>
    </w:p>
    <w:p>
      <w:pPr>
        <w:spacing w:before="100" w:after="100" w:line="480"/>
        <w:ind w:right="0" w:left="72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Richie’s bar is a busy family restaurant situated in London. As the restaurant manager I am responsible for the finances, promotions, and over fifteen staff members. I have been part of the restaurant since its opening and it has flourished since then.</w:t>
      </w:r>
    </w:p>
    <w:p>
      <w:pPr>
        <w:numPr>
          <w:ilvl w:val="0"/>
          <w:numId w:val="18"/>
        </w:numPr>
        <w:spacing w:before="100" w:after="100" w:line="480"/>
        <w:ind w:right="0" w:left="720" w:hanging="36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Nov 2013 to August 2014: </w:t>
      </w:r>
      <w:r>
        <w:rPr>
          <w:rFonts w:ascii="Times New Roman" w:hAnsi="Times New Roman" w:cs="Times New Roman" w:eastAsia="Times New Roman"/>
          <w:color w:val="000000"/>
          <w:spacing w:val="0"/>
          <w:position w:val="0"/>
          <w:sz w:val="24"/>
          <w:shd w:fill="auto" w:val="clear"/>
        </w:rPr>
        <w:t xml:space="preserve">Bartender and Server at Little Creature brewery</w:t>
      </w:r>
    </w:p>
    <w:p>
      <w:pPr>
        <w:spacing w:before="100" w:after="100" w:line="480"/>
        <w:ind w:right="0" w:left="72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brewery is famous among the younger generation and is one of the busiest pubs in London. It has a seating capacity of over a thousand guests. This was a fast paced job and required you to be on your toes at all times with willingness to help in all areas of business.</w:t>
      </w:r>
    </w:p>
    <w:p>
      <w:pPr>
        <w:spacing w:before="100" w:after="100" w:line="480"/>
        <w:ind w:right="0" w:left="720" w:firstLine="0"/>
        <w:jc w:val="both"/>
        <w:rPr>
          <w:rFonts w:ascii="Times New Roman" w:hAnsi="Times New Roman" w:cs="Times New Roman" w:eastAsia="Times New Roman"/>
          <w:b/>
          <w:color w:val="000000"/>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Task 3: Competency Statements </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The STAR Model by Jay R. Galbraith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According to </w:t>
      </w:r>
      <w:r>
        <w:rPr>
          <w:rFonts w:ascii="Times New Roman" w:hAnsi="Times New Roman" w:cs="Times New Roman" w:eastAsia="Times New Roman"/>
          <w:color w:val="000000"/>
          <w:spacing w:val="0"/>
          <w:position w:val="0"/>
          <w:sz w:val="24"/>
          <w:shd w:fill="FFFFFF" w:val="clear"/>
        </w:rPr>
        <w:t xml:space="preserve">Forrier, Verbruggen and De Cuyper (2015), </w:t>
      </w:r>
      <w:r>
        <w:rPr>
          <w:rFonts w:ascii="Times New Roman" w:hAnsi="Times New Roman" w:cs="Times New Roman" w:eastAsia="Times New Roman"/>
          <w:color w:val="000000"/>
          <w:spacing w:val="0"/>
          <w:position w:val="0"/>
          <w:sz w:val="24"/>
          <w:shd w:fill="auto" w:val="clear"/>
        </w:rPr>
        <w:t xml:space="preserve">the Star Model system for association configuration is the foundation on which an company bases its planning objectives. The Star Model is described in five categories:  first is Strategy who decide the course , in the words of Cottrel (2015) strategy is the equation for winning, cpompany's strategy , determines targets and aims to be accomplished. Second one is structure wich choose the area of basic leadership control, is divided in four areas: specialization, shape, distribution of energy, departmentalization. Third is procces who attend with the flux of information, they are the methods for reacting to data advances ( Kim Kim and Lee (2015). forth one is rewards and reward system which act on peoples motivatios to achieve their goals. the fifth is comprised of policies relating on people (human and approaches) which determine employees' skills.</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Competency Statement: Decision Making</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Employers search for various skills while hiring people, however basic leadership aptitudes are looked for by most organizations and for some, unique positions.Applicants w</w:t>
      </w:r>
      <w:r>
        <w:rPr>
          <w:rFonts w:ascii="Times New Roman" w:hAnsi="Times New Roman" w:cs="Times New Roman" w:eastAsia="Times New Roman"/>
          <w:color w:val="000000"/>
          <w:spacing w:val="0"/>
          <w:position w:val="0"/>
          <w:sz w:val="24"/>
          <w:shd w:fill="auto" w:val="clear"/>
        </w:rPr>
        <w:t xml:space="preserve">ho show the ability to distinguish all the alternatives options and compare them to have a favorable pozition over those hwo can't. I'ts important to show your employers that you able to forecast and determine the outcome of each alternative and choose the greatest.</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Decision-Making Process</w:t>
      </w:r>
    </w:p>
    <w:p>
      <w:pPr>
        <w:spacing w:before="100" w:after="1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According to Cai (2013), the various stages in decision-making are as follows:</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Identify the problem</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Creating a variety of reasonable,  arrangements or attitude</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Assessing the expenses and advantages, or upsides and downsides, related with every option </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Choosing an answer or reaction </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Executing the alternative picked </w:t>
      </w:r>
    </w:p>
    <w:p>
      <w:pPr>
        <w:numPr>
          <w:ilvl w:val="0"/>
          <w:numId w:val="24"/>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Evaluating the effect of the choice and altering the strategy as requested</w:t>
      </w:r>
    </w:p>
    <w:p>
      <w:pPr>
        <w:spacing w:before="100" w:after="1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 Decision making examples:</w:t>
      </w:r>
    </w:p>
    <w:p>
      <w:pPr>
        <w:numPr>
          <w:ilvl w:val="0"/>
          <w:numId w:val="2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Identifying a broken machine as the wellspring of disturbances in the creation procedure</w:t>
      </w:r>
    </w:p>
    <w:p>
      <w:pPr>
        <w:numPr>
          <w:ilvl w:val="0"/>
          <w:numId w:val="2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Facilitating a meeting to generate new ideas to create conceivable names for another item</w:t>
      </w:r>
    </w:p>
    <w:p>
      <w:pPr>
        <w:numPr>
          <w:ilvl w:val="0"/>
          <w:numId w:val="26"/>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Polling staff to gage the effect of broadening retail hours</w:t>
      </w:r>
    </w:p>
    <w:p>
      <w:pPr>
        <w:spacing w:before="0" w:after="20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Competency Statement: Time Management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As per </w:t>
      </w:r>
      <w:r>
        <w:rPr>
          <w:rFonts w:ascii="Times New Roman" w:hAnsi="Times New Roman" w:cs="Times New Roman" w:eastAsia="Times New Roman"/>
          <w:color w:val="000000"/>
          <w:spacing w:val="0"/>
          <w:position w:val="0"/>
          <w:sz w:val="24"/>
          <w:shd w:fill="FFFFFF" w:val="clear"/>
        </w:rPr>
        <w:t xml:space="preserve">Kim, Kim and Lee (2015), </w:t>
      </w:r>
      <w:r>
        <w:rPr>
          <w:rFonts w:ascii="Times New Roman" w:hAnsi="Times New Roman" w:cs="Times New Roman" w:eastAsia="Times New Roman"/>
          <w:color w:val="000000"/>
          <w:spacing w:val="0"/>
          <w:position w:val="0"/>
          <w:sz w:val="24"/>
          <w:shd w:fill="auto" w:val="clear"/>
        </w:rPr>
        <w:t xml:space="preserve">time management suggest working proficiently, and bosses in each industry look for employers that can make good utilization of the time accessible to them at work Workers who manage their scopes well are more beneficial, more proficient.</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They concentrate on the most critical and time sensitive assignments and farthest point the measure of time squandered on unnecessary obligations. Compelling time administration expects staff to investigate their workload, allocate needs, and keep up concentrate on beneficial undertakings (</w:t>
      </w:r>
      <w:r>
        <w:rPr>
          <w:rFonts w:ascii="Times New Roman" w:hAnsi="Times New Roman" w:cs="Times New Roman" w:eastAsia="Times New Roman"/>
          <w:color w:val="000000"/>
          <w:spacing w:val="0"/>
          <w:position w:val="0"/>
          <w:sz w:val="24"/>
          <w:shd w:fill="FFFFFF" w:val="clear"/>
        </w:rPr>
        <w:t xml:space="preserve">Jackson, 2015)</w:t>
      </w:r>
      <w:r>
        <w:rPr>
          <w:rFonts w:ascii="Times New Roman" w:hAnsi="Times New Roman" w:cs="Times New Roman" w:eastAsia="Times New Roman"/>
          <w:color w:val="000000"/>
          <w:spacing w:val="0"/>
          <w:position w:val="0"/>
          <w:sz w:val="24"/>
          <w:shd w:fill="auto" w:val="clear"/>
        </w:rPr>
        <w:t xml:space="preserve">. Representatives who are superb time directors can dispense with diversions and enrol bolster from associates to help finish their objectives.In restaurants the reputation of local depinde of time management to ensure that service and food quality in served on  time. </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Management Skills entail: </w:t>
      </w:r>
    </w:p>
    <w:p>
      <w:pPr>
        <w:numPr>
          <w:ilvl w:val="0"/>
          <w:numId w:val="28"/>
        </w:numPr>
        <w:spacing w:before="100" w:after="100" w:line="480"/>
        <w:ind w:right="0" w:left="720" w:hanging="36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Prioritizing</w:t>
      </w:r>
    </w:p>
    <w:p>
      <w:pPr>
        <w:numPr>
          <w:ilvl w:val="0"/>
          <w:numId w:val="28"/>
        </w:numPr>
        <w:spacing w:before="100" w:after="100" w:line="480"/>
        <w:ind w:right="0" w:left="720" w:hanging="36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Scheduling</w:t>
      </w:r>
    </w:p>
    <w:p>
      <w:pPr>
        <w:numPr>
          <w:ilvl w:val="0"/>
          <w:numId w:val="28"/>
        </w:numPr>
        <w:spacing w:before="100" w:after="100" w:line="480"/>
        <w:ind w:right="0" w:left="720" w:hanging="36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Making a To-Do List</w:t>
      </w:r>
    </w:p>
    <w:p>
      <w:pPr>
        <w:numPr>
          <w:ilvl w:val="0"/>
          <w:numId w:val="28"/>
        </w:numPr>
        <w:spacing w:before="100" w:after="100" w:line="480"/>
        <w:ind w:right="0" w:left="720" w:hanging="36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Resting</w:t>
      </w:r>
    </w:p>
    <w:p>
      <w:pPr>
        <w:numPr>
          <w:ilvl w:val="0"/>
          <w:numId w:val="28"/>
        </w:numPr>
        <w:spacing w:before="100" w:after="100" w:line="480"/>
        <w:ind w:right="0" w:left="720" w:hanging="360"/>
        <w:jc w:val="both"/>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Delegation</w:t>
      </w:r>
    </w:p>
    <w:p>
      <w:pPr>
        <w:spacing w:before="100" w:after="1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Examples of Time Management Skills</w:t>
      </w:r>
    </w:p>
    <w:p>
      <w:pPr>
        <w:numPr>
          <w:ilvl w:val="0"/>
          <w:numId w:val="30"/>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Adapting wants to changing conditions </w:t>
      </w:r>
    </w:p>
    <w:p>
      <w:pPr>
        <w:numPr>
          <w:ilvl w:val="0"/>
          <w:numId w:val="30"/>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Allocating time for particular assignments </w:t>
      </w:r>
    </w:p>
    <w:p>
      <w:pPr>
        <w:numPr>
          <w:ilvl w:val="0"/>
          <w:numId w:val="30"/>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Analyzing forms and choosing the most straightforward approach to finish an errand </w:t>
      </w:r>
    </w:p>
    <w:p>
      <w:pPr>
        <w:numPr>
          <w:ilvl w:val="0"/>
          <w:numId w:val="30"/>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Asking for help when overpowered with requests </w:t>
      </w:r>
    </w:p>
    <w:p>
      <w:pPr>
        <w:numPr>
          <w:ilvl w:val="0"/>
          <w:numId w:val="30"/>
        </w:numPr>
        <w:spacing w:before="100" w:after="100" w:line="480"/>
        <w:ind w:right="0" w:left="720" w:hanging="36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Assertiveness to state no to wrong requests that divert from focal obligations</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Based on the above project it can be inferred that employability as a subject has evolved over the last few years. In addition to developing job descriptions for vacancies, businesses now largely focus on person specification. Further, skills and competences of a person tend to impact and decide his or her employment as an employee. It is noted that there exists a number of competencies that focused on and mastered by workers of the modern generation.</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References</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Benson, V., Morgan, S. and Filippaios, F., 2014. Social career management: Social media and employability skills gap. </w:t>
      </w:r>
      <w:r>
        <w:rPr>
          <w:rFonts w:ascii="Times New Roman" w:hAnsi="Times New Roman" w:cs="Times New Roman" w:eastAsia="Times New Roman"/>
          <w:i/>
          <w:color w:val="000000"/>
          <w:spacing w:val="0"/>
          <w:position w:val="0"/>
          <w:sz w:val="24"/>
          <w:shd w:fill="FFFFFF" w:val="clear"/>
        </w:rPr>
        <w:t xml:space="preserve">Computers in Human Behavior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30</w:t>
      </w:r>
      <w:r>
        <w:rPr>
          <w:rFonts w:ascii="Times New Roman" w:hAnsi="Times New Roman" w:cs="Times New Roman" w:eastAsia="Times New Roman"/>
          <w:color w:val="000000"/>
          <w:spacing w:val="0"/>
          <w:position w:val="0"/>
          <w:sz w:val="24"/>
          <w:shd w:fill="FFFFFF" w:val="clear"/>
        </w:rPr>
        <w:t xml:space="preserve">, pp.519-525.</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Bozionelos, N., Kostopoulos, K., Van Der Heijden, B., Rousseau, D.M., Bozionelos, G., Hoyland, T., Miao, R., Marzec, I., J</w:t>
      </w:r>
      <w:r>
        <w:rPr>
          <w:rFonts w:ascii="Times New Roman" w:hAnsi="Times New Roman" w:cs="Times New Roman" w:eastAsia="Times New Roman"/>
          <w:color w:val="000000"/>
          <w:spacing w:val="0"/>
          <w:position w:val="0"/>
          <w:sz w:val="24"/>
          <w:shd w:fill="FFFFFF" w:val="clear"/>
        </w:rPr>
        <w:t xml:space="preserve">ędrzejowicz, P., Epitropaki, O. and Mikkelsen, A., 2016. Employability and job performance as links in the relationship between mentoring receipt and career success: A study in SMEs. </w:t>
      </w:r>
      <w:r>
        <w:rPr>
          <w:rFonts w:ascii="Times New Roman" w:hAnsi="Times New Roman" w:cs="Times New Roman" w:eastAsia="Times New Roman"/>
          <w:i/>
          <w:color w:val="000000"/>
          <w:spacing w:val="0"/>
          <w:position w:val="0"/>
          <w:sz w:val="24"/>
          <w:shd w:fill="FFFFFF" w:val="clear"/>
        </w:rPr>
        <w:t xml:space="preserve">Group &amp; organization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41</w:t>
      </w:r>
      <w:r>
        <w:rPr>
          <w:rFonts w:ascii="Times New Roman" w:hAnsi="Times New Roman" w:cs="Times New Roman" w:eastAsia="Times New Roman"/>
          <w:color w:val="000000"/>
          <w:spacing w:val="0"/>
          <w:position w:val="0"/>
          <w:sz w:val="24"/>
          <w:shd w:fill="FFFFFF" w:val="clear"/>
        </w:rPr>
        <w:t xml:space="preserve">(2), pp.135-171.</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Cai, Y., 2013. Graduate employability: A conceptual framework for understanding employers’ perceptions. </w:t>
      </w:r>
      <w:r>
        <w:rPr>
          <w:rFonts w:ascii="Times New Roman" w:hAnsi="Times New Roman" w:cs="Times New Roman" w:eastAsia="Times New Roman"/>
          <w:i/>
          <w:color w:val="000000"/>
          <w:spacing w:val="0"/>
          <w:position w:val="0"/>
          <w:sz w:val="24"/>
          <w:shd w:fill="FFFFFF" w:val="clear"/>
        </w:rPr>
        <w:t xml:space="preserve">Higher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65</w:t>
      </w:r>
      <w:r>
        <w:rPr>
          <w:rFonts w:ascii="Times New Roman" w:hAnsi="Times New Roman" w:cs="Times New Roman" w:eastAsia="Times New Roman"/>
          <w:color w:val="000000"/>
          <w:spacing w:val="0"/>
          <w:position w:val="0"/>
          <w:sz w:val="24"/>
          <w:shd w:fill="FFFFFF" w:val="clear"/>
        </w:rPr>
        <w:t xml:space="preserve">(4), pp.457-469.</w:t>
      </w:r>
    </w:p>
    <w:p>
      <w:pPr>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Cottrell, S., 2015. </w:t>
      </w:r>
      <w:r>
        <w:rPr>
          <w:rFonts w:ascii="Times New Roman" w:hAnsi="Times New Roman" w:cs="Times New Roman" w:eastAsia="Times New Roman"/>
          <w:i/>
          <w:color w:val="000000"/>
          <w:spacing w:val="0"/>
          <w:position w:val="0"/>
          <w:sz w:val="24"/>
          <w:shd w:fill="FFFFFF" w:val="clear"/>
        </w:rPr>
        <w:t xml:space="preserve">Skills for success: Personal development and employability</w:t>
      </w:r>
      <w:r>
        <w:rPr>
          <w:rFonts w:ascii="Times New Roman" w:hAnsi="Times New Roman" w:cs="Times New Roman" w:eastAsia="Times New Roman"/>
          <w:color w:val="000000"/>
          <w:spacing w:val="0"/>
          <w:position w:val="0"/>
          <w:sz w:val="24"/>
          <w:shd w:fill="FFFFFF" w:val="clear"/>
        </w:rPr>
        <w:t xml:space="preserve">. Palgrave Macmillan, p. 67.</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Forrier, A., Verbruggen, M. and De Cuyper, N., 2015. Integrating different notions of employability in a dynamic chain: The relationship between job transitions, movement capital and perceived employability. </w:t>
      </w:r>
      <w:r>
        <w:rPr>
          <w:rFonts w:ascii="Times New Roman" w:hAnsi="Times New Roman" w:cs="Times New Roman" w:eastAsia="Times New Roman"/>
          <w:i/>
          <w:color w:val="000000"/>
          <w:spacing w:val="0"/>
          <w:position w:val="0"/>
          <w:sz w:val="24"/>
          <w:shd w:fill="FFFFFF" w:val="clear"/>
        </w:rPr>
        <w:t xml:space="preserve">Journal of Vocational Behavior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89</w:t>
      </w:r>
      <w:r>
        <w:rPr>
          <w:rFonts w:ascii="Times New Roman" w:hAnsi="Times New Roman" w:cs="Times New Roman" w:eastAsia="Times New Roman"/>
          <w:color w:val="000000"/>
          <w:spacing w:val="0"/>
          <w:position w:val="0"/>
          <w:sz w:val="24"/>
          <w:shd w:fill="FFFFFF" w:val="clear"/>
        </w:rPr>
        <w:t xml:space="preserve">, pp.56-64.</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Hogan, R., Chamorro</w:t>
      </w:r>
      <w:r>
        <w:rPr>
          <w:rFonts w:ascii="Times New Roman" w:hAnsi="Times New Roman" w:cs="Times New Roman" w:eastAsia="Times New Roman"/>
          <w:color w:val="000000"/>
          <w:spacing w:val="0"/>
          <w:position w:val="0"/>
          <w:sz w:val="24"/>
          <w:shd w:fill="FFFFFF" w:val="clear"/>
        </w:rPr>
        <w:t xml:space="preserve">‐</w:t>
      </w:r>
      <w:r>
        <w:rPr>
          <w:rFonts w:ascii="Times New Roman" w:hAnsi="Times New Roman" w:cs="Times New Roman" w:eastAsia="Times New Roman"/>
          <w:color w:val="000000"/>
          <w:spacing w:val="0"/>
          <w:position w:val="0"/>
          <w:sz w:val="24"/>
          <w:shd w:fill="FFFFFF" w:val="clear"/>
        </w:rPr>
        <w:t xml:space="preserve">Premuzic, T. and Kaiser, R.B., 2013. Employability and career success: Bridging the gap between theory and reality. </w:t>
      </w:r>
      <w:r>
        <w:rPr>
          <w:rFonts w:ascii="Times New Roman" w:hAnsi="Times New Roman" w:cs="Times New Roman" w:eastAsia="Times New Roman"/>
          <w:i/>
          <w:color w:val="000000"/>
          <w:spacing w:val="0"/>
          <w:position w:val="0"/>
          <w:sz w:val="24"/>
          <w:shd w:fill="FFFFFF" w:val="clear"/>
        </w:rPr>
        <w:t xml:space="preserve">Industrial and Organizational Psychology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w:t>
      </w:r>
      <w:r>
        <w:rPr>
          <w:rFonts w:ascii="Times New Roman" w:hAnsi="Times New Roman" w:cs="Times New Roman" w:eastAsia="Times New Roman"/>
          <w:color w:val="000000"/>
          <w:spacing w:val="0"/>
          <w:position w:val="0"/>
          <w:sz w:val="24"/>
          <w:shd w:fill="FFFFFF" w:val="clear"/>
        </w:rPr>
        <w:t xml:space="preserve">(1), pp.3-16.</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Ibarraran, P., Ripani, L., Taboada, B., Villa, J.M. and Garcia, B., 2014. Life skills, employability and training for disadvantaged youth: Evidence from a randomized evaluation design. </w:t>
      </w:r>
      <w:r>
        <w:rPr>
          <w:rFonts w:ascii="Times New Roman" w:hAnsi="Times New Roman" w:cs="Times New Roman" w:eastAsia="Times New Roman"/>
          <w:i/>
          <w:color w:val="000000"/>
          <w:spacing w:val="0"/>
          <w:position w:val="0"/>
          <w:sz w:val="24"/>
          <w:shd w:fill="FFFFFF" w:val="clear"/>
        </w:rPr>
        <w:t xml:space="preserve">IZA Journal of Labor &amp; Development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(1), p.10.</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Jackson, D., 2015. Employability skill development in work-integrated learning: Barriers and best practice. </w:t>
      </w:r>
      <w:r>
        <w:rPr>
          <w:rFonts w:ascii="Times New Roman" w:hAnsi="Times New Roman" w:cs="Times New Roman" w:eastAsia="Times New Roman"/>
          <w:i/>
          <w:color w:val="000000"/>
          <w:spacing w:val="0"/>
          <w:position w:val="0"/>
          <w:sz w:val="24"/>
          <w:shd w:fill="FFFFFF" w:val="clear"/>
        </w:rPr>
        <w:t xml:space="preserve">Studies in Higher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40</w:t>
      </w:r>
      <w:r>
        <w:rPr>
          <w:rFonts w:ascii="Times New Roman" w:hAnsi="Times New Roman" w:cs="Times New Roman" w:eastAsia="Times New Roman"/>
          <w:color w:val="000000"/>
          <w:spacing w:val="0"/>
          <w:position w:val="0"/>
          <w:sz w:val="24"/>
          <w:shd w:fill="FFFFFF" w:val="clear"/>
        </w:rPr>
        <w:t xml:space="preserve">(2), pp.350-367.</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Kim, S., Kim, H. and Lee, J., 2015. Employee self-concepts, voluntary learning behavior, and perceived employability. </w:t>
      </w:r>
      <w:r>
        <w:rPr>
          <w:rFonts w:ascii="Times New Roman" w:hAnsi="Times New Roman" w:cs="Times New Roman" w:eastAsia="Times New Roman"/>
          <w:i/>
          <w:color w:val="000000"/>
          <w:spacing w:val="0"/>
          <w:position w:val="0"/>
          <w:sz w:val="24"/>
          <w:shd w:fill="FFFFFF" w:val="clear"/>
        </w:rPr>
        <w:t xml:space="preserve">Journal of Managerial Psychology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30</w:t>
      </w:r>
      <w:r>
        <w:rPr>
          <w:rFonts w:ascii="Times New Roman" w:hAnsi="Times New Roman" w:cs="Times New Roman" w:eastAsia="Times New Roman"/>
          <w:color w:val="000000"/>
          <w:spacing w:val="0"/>
          <w:position w:val="0"/>
          <w:sz w:val="24"/>
          <w:shd w:fill="FFFFFF" w:val="clear"/>
        </w:rPr>
        <w:t xml:space="preserve">(3), pp.264-279.</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Tymon, A., 2013. The student perspective on employability. </w:t>
      </w:r>
      <w:r>
        <w:rPr>
          <w:rFonts w:ascii="Times New Roman" w:hAnsi="Times New Roman" w:cs="Times New Roman" w:eastAsia="Times New Roman"/>
          <w:i/>
          <w:color w:val="000000"/>
          <w:spacing w:val="0"/>
          <w:position w:val="0"/>
          <w:sz w:val="24"/>
          <w:shd w:fill="FFFFFF" w:val="clear"/>
        </w:rPr>
        <w:t xml:space="preserve">Studies in higher education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38</w:t>
      </w:r>
      <w:r>
        <w:rPr>
          <w:rFonts w:ascii="Times New Roman" w:hAnsi="Times New Roman" w:cs="Times New Roman" w:eastAsia="Times New Roman"/>
          <w:color w:val="000000"/>
          <w:spacing w:val="0"/>
          <w:position w:val="0"/>
          <w:sz w:val="24"/>
          <w:shd w:fill="FFFFFF" w:val="clear"/>
        </w:rPr>
        <w:t xml:space="preserve">(6), pp.841-856.</w:t>
      </w:r>
    </w:p>
    <w:p>
      <w:pPr>
        <w:tabs>
          <w:tab w:val="left" w:pos="2043" w:leader="none"/>
        </w:tabs>
        <w:spacing w:before="0" w:after="200" w:line="48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Vanhercke, D., De Cuyper, N., Peeters, E. and De Witte, H., 2014. Defining perceived employability: a psychological approach. </w:t>
      </w:r>
      <w:r>
        <w:rPr>
          <w:rFonts w:ascii="Times New Roman" w:hAnsi="Times New Roman" w:cs="Times New Roman" w:eastAsia="Times New Roman"/>
          <w:i/>
          <w:color w:val="000000"/>
          <w:spacing w:val="0"/>
          <w:position w:val="0"/>
          <w:sz w:val="24"/>
          <w:shd w:fill="FFFFFF" w:val="clear"/>
        </w:rPr>
        <w:t xml:space="preserve">Personnel Review</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43</w:t>
      </w:r>
      <w:r>
        <w:rPr>
          <w:rFonts w:ascii="Times New Roman" w:hAnsi="Times New Roman" w:cs="Times New Roman" w:eastAsia="Times New Roman"/>
          <w:color w:val="000000"/>
          <w:spacing w:val="0"/>
          <w:position w:val="0"/>
          <w:sz w:val="24"/>
          <w:shd w:fill="FFFFFF" w:val="clear"/>
        </w:rPr>
        <w:t xml:space="preserve">(4), pp.592-605.</w:t>
      </w:r>
    </w:p>
    <w:p>
      <w:pPr>
        <w:spacing w:before="0" w:after="200" w:line="48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14">
    <w:abstractNumId w:val="36"/>
  </w:num>
  <w:num w:numId="16">
    <w:abstractNumId w:val="30"/>
  </w:num>
  <w:num w:numId="18">
    <w:abstractNumId w:val="24"/>
  </w:num>
  <w:num w:numId="24">
    <w:abstractNumId w:val="18"/>
  </w:num>
  <w:num w:numId="26">
    <w:abstractNumId w:val="12"/>
  </w:num>
  <w:num w:numId="28">
    <w:abstractNumId w:val="6"/>
  </w:num>
  <w:num w:numId="3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