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29CF1347">
      <w:pPr>
        <w:pStyle w:val="style0"/>
        <w:rPr/>
      </w:pPr>
      <w:r>
        <w:rPr>
          <w:noProof/>
        </w:rPr>
        <w:drawing>
          <wp:inline distL="0" distT="0" distB="0" distR="0">
            <wp:extent cx="1806096" cy="685859"/>
            <wp:effectExtent l="0" t="0" r="381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1806096" cy="685859"/>
                    </a:xfrm>
                    <a:prstGeom prst="rect"/>
                  </pic:spPr>
                </pic:pic>
              </a:graphicData>
            </a:graphic>
          </wp:inline>
        </w:drawing>
      </w:r>
    </w:p>
    <w:p w14:paraId="0B4ED340">
      <w:pPr>
        <w:pStyle w:val="style0"/>
        <w:jc w:val="center"/>
        <w:rPr>
          <w:b/>
          <w:bCs/>
          <w:sz w:val="32"/>
          <w:szCs w:val="28"/>
        </w:rPr>
      </w:pPr>
    </w:p>
    <w:p w14:paraId="65E7BB4C">
      <w:pPr>
        <w:pStyle w:val="style0"/>
        <w:jc w:val="center"/>
        <w:rPr>
          <w:b/>
          <w:bCs/>
          <w:sz w:val="32"/>
          <w:szCs w:val="28"/>
        </w:rPr>
      </w:pPr>
      <w:r>
        <w:rPr>
          <w:b/>
          <w:bCs/>
          <w:sz w:val="32"/>
          <w:szCs w:val="28"/>
        </w:rPr>
        <w:t>MASTER OF BUSINESS ADMINISTRATION</w:t>
      </w:r>
    </w:p>
    <w:p w14:paraId="4A191076">
      <w:pPr>
        <w:pStyle w:val="style0"/>
        <w:jc w:val="center"/>
        <w:rPr>
          <w:b/>
          <w:bCs/>
          <w:sz w:val="32"/>
          <w:szCs w:val="28"/>
        </w:rPr>
      </w:pPr>
    </w:p>
    <w:p w14:paraId="1A631B25">
      <w:pPr>
        <w:pStyle w:val="style0"/>
        <w:jc w:val="center"/>
        <w:rPr>
          <w:b/>
          <w:bCs/>
          <w:sz w:val="32"/>
          <w:szCs w:val="28"/>
        </w:rPr>
      </w:pPr>
      <w:r>
        <w:rPr>
          <w:b/>
          <w:bCs/>
          <w:sz w:val="32"/>
          <w:szCs w:val="28"/>
        </w:rPr>
        <w:t xml:space="preserve">LCMB7026 INTERNATIONAL MARKETING: PRINCIPLES AND PRACTICES </w:t>
      </w:r>
    </w:p>
    <w:p w14:paraId="4C40C16B">
      <w:pPr>
        <w:pStyle w:val="style0"/>
        <w:jc w:val="center"/>
        <w:rPr>
          <w:b/>
          <w:bCs/>
          <w:sz w:val="32"/>
          <w:szCs w:val="28"/>
        </w:rPr>
      </w:pPr>
    </w:p>
    <w:p w14:paraId="0708BEC8">
      <w:pPr>
        <w:pStyle w:val="style0"/>
        <w:jc w:val="center"/>
        <w:rPr>
          <w:b/>
          <w:bCs/>
          <w:sz w:val="32"/>
          <w:szCs w:val="28"/>
        </w:rPr>
      </w:pPr>
    </w:p>
    <w:p w14:paraId="2AFDDFF1">
      <w:pPr>
        <w:pStyle w:val="style0"/>
        <w:jc w:val="center"/>
        <w:rPr>
          <w:sz w:val="32"/>
          <w:szCs w:val="28"/>
          <w:u w:val="single"/>
        </w:rPr>
      </w:pPr>
      <w:r>
        <w:rPr>
          <w:sz w:val="32"/>
          <w:szCs w:val="28"/>
          <w:u w:val="single"/>
        </w:rPr>
        <w:t>A CRITICAL COMPARATIVE ANALYSIS OF THE INTERNATIONAL MARKET ENTRY STRATEGY AND MARKETING MIX OF CADBURY IN THE UNITED KINGDOM AND INDIA</w:t>
      </w:r>
    </w:p>
    <w:p w14:paraId="3312DFAB">
      <w:pPr>
        <w:pStyle w:val="style0"/>
        <w:jc w:val="center"/>
        <w:rPr/>
      </w:pPr>
    </w:p>
    <w:p w14:paraId="14A77CCC">
      <w:pPr>
        <w:pStyle w:val="style0"/>
        <w:jc w:val="center"/>
        <w:rPr/>
      </w:pPr>
    </w:p>
    <w:p w14:paraId="7FD98D5C">
      <w:pPr>
        <w:pStyle w:val="style0"/>
        <w:jc w:val="center"/>
        <w:rPr>
          <w:sz w:val="28"/>
          <w:szCs w:val="24"/>
        </w:rPr>
      </w:pPr>
      <w:r>
        <w:rPr>
          <w:sz w:val="28"/>
          <w:szCs w:val="24"/>
        </w:rPr>
        <w:t>Student name</w:t>
      </w:r>
      <w:r>
        <w:rPr>
          <w:sz w:val="28"/>
          <w:szCs w:val="24"/>
          <w:lang w:val="en-US"/>
        </w:rPr>
        <w:t xml:space="preserve"> : sajil salimbhai vahora </w:t>
      </w:r>
    </w:p>
    <w:p w14:paraId="3F4FAC7B">
      <w:pPr>
        <w:pStyle w:val="style0"/>
        <w:jc w:val="center"/>
        <w:rPr>
          <w:sz w:val="28"/>
          <w:szCs w:val="24"/>
        </w:rPr>
      </w:pPr>
      <w:r>
        <w:rPr>
          <w:sz w:val="28"/>
          <w:szCs w:val="24"/>
        </w:rPr>
        <w:t xml:space="preserve"> ID</w:t>
      </w:r>
      <w:r>
        <w:rPr>
          <w:sz w:val="28"/>
          <w:szCs w:val="24"/>
          <w:lang w:val="en-US"/>
        </w:rPr>
        <w:t xml:space="preserve"> : 2532951</w:t>
      </w:r>
    </w:p>
    <w:p w14:paraId="6E98BCE1">
      <w:pPr>
        <w:pStyle w:val="style0"/>
        <w:jc w:val="center"/>
        <w:rPr>
          <w:sz w:val="28"/>
          <w:szCs w:val="24"/>
        </w:rPr>
      </w:pPr>
      <w:r>
        <w:rPr>
          <w:sz w:val="28"/>
          <w:szCs w:val="24"/>
        </w:rPr>
        <w:t>Lecturer</w:t>
      </w:r>
      <w:r>
        <w:rPr>
          <w:sz w:val="28"/>
          <w:szCs w:val="24"/>
          <w:lang w:val="en-US"/>
        </w:rPr>
        <w:t xml:space="preserve"> : tushara balendran</w:t>
      </w:r>
    </w:p>
    <w:p w14:paraId="7492E78A">
      <w:pPr>
        <w:pStyle w:val="style0"/>
        <w:jc w:val="center"/>
        <w:rPr>
          <w:sz w:val="28"/>
          <w:szCs w:val="24"/>
        </w:rPr>
      </w:pPr>
      <w:r>
        <w:rPr>
          <w:sz w:val="28"/>
          <w:szCs w:val="24"/>
        </w:rPr>
        <w:t>Word count</w:t>
      </w:r>
      <w:r>
        <w:rPr>
          <w:sz w:val="28"/>
          <w:szCs w:val="24"/>
        </w:rPr>
        <w:t xml:space="preserve">: </w:t>
      </w:r>
      <w:r>
        <w:rPr>
          <w:sz w:val="28"/>
          <w:szCs w:val="24"/>
        </w:rPr>
        <w:t>5118</w:t>
      </w:r>
    </w:p>
    <w:p w14:paraId="42C9973D">
      <w:pPr>
        <w:pStyle w:val="style0"/>
        <w:jc w:val="center"/>
        <w:rPr>
          <w:sz w:val="28"/>
          <w:szCs w:val="24"/>
        </w:rPr>
      </w:pPr>
    </w:p>
    <w:p w14:paraId="42E2277B">
      <w:pPr>
        <w:pStyle w:val="style0"/>
        <w:spacing w:lineRule="auto" w:line="259"/>
        <w:jc w:val="left"/>
        <w:rPr>
          <w:sz w:val="28"/>
          <w:szCs w:val="24"/>
        </w:rPr>
      </w:pPr>
      <w:r>
        <w:rPr>
          <w:sz w:val="28"/>
          <w:szCs w:val="24"/>
        </w:rPr>
        <w:br w:type="page"/>
      </w:r>
    </w:p>
    <w:p w14:paraId="2E0267EC">
      <w:pPr>
        <w:pStyle w:val="style0"/>
        <w:jc w:val="center"/>
        <w:rPr>
          <w:b/>
          <w:bCs/>
          <w:sz w:val="28"/>
          <w:szCs w:val="24"/>
        </w:rPr>
      </w:pPr>
      <w:r>
        <w:rPr>
          <w:b/>
          <w:bCs/>
          <w:sz w:val="28"/>
          <w:szCs w:val="24"/>
        </w:rPr>
        <w:t>Executive Summary</w:t>
      </w:r>
    </w:p>
    <w:p w14:paraId="72731F66">
      <w:pPr>
        <w:pStyle w:val="style0"/>
        <w:rPr/>
      </w:pPr>
      <w:r>
        <w:t>This report will assess scientifically and critically Cadbury's marketing strategies in the United Kingdom and India on an international scale. It assesses the two markets on basis of PESTEL and Hofstede's cultural framework before analysing Cadbury's STP strategy and the 7Ps marketing mix. The report also explores the company's Indian wholly owned subsidiary entry strategy and discusses ethical aspects comprising sustainability and responsible marketing. The results show Cadbury's success developing a brand that is both relevant in the local (Indian) market and consistent globally. Lastly, three SMART recommendations are offered to bolster digital personalisation, sustainability, and product innovation, as a means of Cadbury's long-term international competitiveness and sustainable growth.</w:t>
      </w:r>
    </w:p>
    <w:p w14:paraId="1F745497">
      <w:pPr>
        <w:pStyle w:val="style0"/>
        <w:spacing w:lineRule="auto" w:line="259"/>
        <w:jc w:val="left"/>
        <w:rPr/>
      </w:pPr>
      <w:r>
        <w:br w:type="page"/>
      </w:r>
    </w:p>
    <w:p w14:paraId="22999178">
      <w:pPr>
        <w:pStyle w:val="style266"/>
        <w:spacing w:lineRule="auto" w:line="360"/>
        <w:jc w:val="center"/>
        <w:rPr>
          <w:rFonts w:ascii="Times New Roman" w:cs="Times New Roman" w:hAnsi="Times New Roman"/>
          <w:b/>
          <w:bCs/>
          <w:color w:val="auto"/>
          <w:sz w:val="28"/>
          <w:szCs w:val="28"/>
        </w:rPr>
      </w:pPr>
      <w:r>
        <w:rPr>
          <w:rFonts w:ascii="Times New Roman" w:cs="Times New Roman" w:hAnsi="Times New Roman"/>
          <w:b/>
          <w:bCs/>
          <w:color w:val="auto"/>
          <w:sz w:val="28"/>
          <w:szCs w:val="28"/>
        </w:rPr>
        <w:t>Table of Contents</w:t>
      </w:r>
    </w:p>
    <w:p w14:paraId="2D81F6B2">
      <w:pPr>
        <w:pStyle w:val="style19"/>
        <w:tabs>
          <w:tab w:val="right" w:leader="dot" w:pos="9016"/>
        </w:tabs>
        <w:rPr>
          <w:rFonts w:ascii="Calibri" w:eastAsia="宋体" w:hAnsi="Calibri"/>
          <w:noProof/>
          <w:szCs w:val="24"/>
          <w:lang w:eastAsia="en-IN"/>
        </w:rPr>
      </w:pPr>
      <w:r>
        <w:rPr/>
        <w:fldChar w:fldCharType="begin"/>
      </w:r>
      <w:r>
        <w:instrText xml:space="preserve"> TOC \o "1-3" \h \z \u </w:instrText>
      </w:r>
      <w:r>
        <w:rPr/>
        <w:fldChar w:fldCharType="separate"/>
      </w:r>
      <w:r>
        <w:rPr/>
        <w:fldChar w:fldCharType="begin"/>
      </w:r>
      <w:r>
        <w:instrText xml:space="preserve"> HYPERLINK \l "_Toc236657731" </w:instrText>
      </w:r>
      <w:r>
        <w:rPr/>
        <w:fldChar w:fldCharType="separate"/>
      </w:r>
      <w:r>
        <w:rPr>
          <w:rStyle w:val="style85"/>
          <w:noProof/>
        </w:rPr>
        <w:t>SECTION 1: REPORT</w:t>
      </w:r>
      <w:r>
        <w:rPr>
          <w:noProof/>
          <w:webHidden/>
        </w:rPr>
        <w:tab/>
      </w:r>
      <w:r>
        <w:rPr>
          <w:noProof/>
          <w:webHidden/>
        </w:rPr>
        <w:fldChar w:fldCharType="begin"/>
      </w:r>
      <w:r>
        <w:rPr>
          <w:noProof/>
          <w:webHidden/>
        </w:rPr>
        <w:instrText xml:space="preserve"> PAGEREF _Toc236657731 \h </w:instrText>
      </w:r>
      <w:r>
        <w:rPr>
          <w:noProof/>
          <w:webHidden/>
        </w:rPr>
        <w:fldChar w:fldCharType="separate"/>
      </w:r>
      <w:r>
        <w:rPr>
          <w:noProof/>
          <w:webHidden/>
        </w:rPr>
        <w:t>4</w:t>
      </w:r>
      <w:r>
        <w:rPr>
          <w:noProof/>
          <w:webHidden/>
        </w:rPr>
        <w:fldChar w:fldCharType="end"/>
      </w:r>
      <w:r>
        <w:rPr/>
        <w:fldChar w:fldCharType="end"/>
      </w:r>
    </w:p>
    <w:p w14:paraId="6DE1D36B">
      <w:pPr>
        <w:pStyle w:val="style20"/>
        <w:tabs>
          <w:tab w:val="right" w:leader="dot" w:pos="9016"/>
        </w:tabs>
        <w:rPr>
          <w:rFonts w:ascii="Calibri" w:eastAsia="宋体" w:hAnsi="Calibri"/>
          <w:noProof/>
          <w:szCs w:val="24"/>
          <w:lang w:eastAsia="en-IN"/>
        </w:rPr>
      </w:pPr>
      <w:r>
        <w:rPr/>
        <w:fldChar w:fldCharType="begin"/>
      </w:r>
      <w:r>
        <w:instrText xml:space="preserve"> HYPERLINK \l "_Toc236657732"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_Toc236657732 \h </w:instrText>
      </w:r>
      <w:r>
        <w:rPr>
          <w:noProof/>
          <w:webHidden/>
        </w:rPr>
        <w:fldChar w:fldCharType="separate"/>
      </w:r>
      <w:r>
        <w:rPr>
          <w:noProof/>
          <w:webHidden/>
        </w:rPr>
        <w:t>4</w:t>
      </w:r>
      <w:r>
        <w:rPr>
          <w:noProof/>
          <w:webHidden/>
        </w:rPr>
        <w:fldChar w:fldCharType="end"/>
      </w:r>
      <w:r>
        <w:rPr/>
        <w:fldChar w:fldCharType="end"/>
      </w:r>
    </w:p>
    <w:p w14:paraId="0B789806">
      <w:pPr>
        <w:pStyle w:val="style21"/>
        <w:tabs>
          <w:tab w:val="right" w:leader="dot" w:pos="9016"/>
        </w:tabs>
        <w:rPr>
          <w:rFonts w:ascii="Calibri" w:eastAsia="宋体" w:hAnsi="Calibri"/>
          <w:noProof/>
          <w:szCs w:val="24"/>
          <w:lang w:eastAsia="en-IN"/>
        </w:rPr>
      </w:pPr>
      <w:r>
        <w:rPr/>
        <w:fldChar w:fldCharType="begin"/>
      </w:r>
      <w:r>
        <w:instrText xml:space="preserve"> HYPERLINK \l "_Toc236657733" </w:instrText>
      </w:r>
      <w:r>
        <w:rPr/>
        <w:fldChar w:fldCharType="separate"/>
      </w:r>
      <w:r>
        <w:rPr>
          <w:rStyle w:val="style85"/>
          <w:noProof/>
        </w:rPr>
        <w:t>1.1 Background</w:t>
      </w:r>
      <w:r>
        <w:rPr>
          <w:noProof/>
          <w:webHidden/>
        </w:rPr>
        <w:tab/>
      </w:r>
      <w:r>
        <w:rPr>
          <w:noProof/>
          <w:webHidden/>
        </w:rPr>
        <w:fldChar w:fldCharType="begin"/>
      </w:r>
      <w:r>
        <w:rPr>
          <w:noProof/>
          <w:webHidden/>
        </w:rPr>
        <w:instrText xml:space="preserve"> PAGEREF _Toc236657733 \h </w:instrText>
      </w:r>
      <w:r>
        <w:rPr>
          <w:noProof/>
          <w:webHidden/>
        </w:rPr>
        <w:fldChar w:fldCharType="separate"/>
      </w:r>
      <w:r>
        <w:rPr>
          <w:noProof/>
          <w:webHidden/>
        </w:rPr>
        <w:t>4</w:t>
      </w:r>
      <w:r>
        <w:rPr>
          <w:noProof/>
          <w:webHidden/>
        </w:rPr>
        <w:fldChar w:fldCharType="end"/>
      </w:r>
      <w:r>
        <w:rPr/>
        <w:fldChar w:fldCharType="end"/>
      </w:r>
    </w:p>
    <w:p w14:paraId="2C6CE43D">
      <w:pPr>
        <w:pStyle w:val="style21"/>
        <w:tabs>
          <w:tab w:val="right" w:leader="dot" w:pos="9016"/>
        </w:tabs>
        <w:rPr>
          <w:rFonts w:ascii="Calibri" w:eastAsia="宋体" w:hAnsi="Calibri"/>
          <w:noProof/>
          <w:szCs w:val="24"/>
          <w:lang w:eastAsia="en-IN"/>
        </w:rPr>
      </w:pPr>
      <w:r>
        <w:rPr/>
        <w:fldChar w:fldCharType="begin"/>
      </w:r>
      <w:r>
        <w:instrText xml:space="preserve"> HYPERLINK \l "_Toc236657734" </w:instrText>
      </w:r>
      <w:r>
        <w:rPr/>
        <w:fldChar w:fldCharType="separate"/>
      </w:r>
      <w:r>
        <w:rPr>
          <w:rStyle w:val="style85"/>
          <w:noProof/>
        </w:rPr>
        <w:t>1.2 Purpose and Report Structure</w:t>
      </w:r>
      <w:r>
        <w:rPr>
          <w:noProof/>
          <w:webHidden/>
        </w:rPr>
        <w:tab/>
      </w:r>
      <w:r>
        <w:rPr>
          <w:noProof/>
          <w:webHidden/>
        </w:rPr>
        <w:fldChar w:fldCharType="begin"/>
      </w:r>
      <w:r>
        <w:rPr>
          <w:noProof/>
          <w:webHidden/>
        </w:rPr>
        <w:instrText xml:space="preserve"> PAGEREF _Toc236657734 \h </w:instrText>
      </w:r>
      <w:r>
        <w:rPr>
          <w:noProof/>
          <w:webHidden/>
        </w:rPr>
        <w:fldChar w:fldCharType="separate"/>
      </w:r>
      <w:r>
        <w:rPr>
          <w:noProof/>
          <w:webHidden/>
        </w:rPr>
        <w:t>5</w:t>
      </w:r>
      <w:r>
        <w:rPr>
          <w:noProof/>
          <w:webHidden/>
        </w:rPr>
        <w:fldChar w:fldCharType="end"/>
      </w:r>
      <w:r>
        <w:rPr/>
        <w:fldChar w:fldCharType="end"/>
      </w:r>
    </w:p>
    <w:p w14:paraId="687CCBA1">
      <w:pPr>
        <w:pStyle w:val="style20"/>
        <w:tabs>
          <w:tab w:val="right" w:leader="dot" w:pos="9016"/>
        </w:tabs>
        <w:rPr>
          <w:rFonts w:ascii="Calibri" w:eastAsia="宋体" w:hAnsi="Calibri"/>
          <w:noProof/>
          <w:szCs w:val="24"/>
          <w:lang w:eastAsia="en-IN"/>
        </w:rPr>
      </w:pPr>
      <w:r>
        <w:rPr/>
        <w:fldChar w:fldCharType="begin"/>
      </w:r>
      <w:r>
        <w:instrText xml:space="preserve"> HYPERLINK \l "_Toc236657735" </w:instrText>
      </w:r>
      <w:r>
        <w:rPr/>
        <w:fldChar w:fldCharType="separate"/>
      </w:r>
      <w:r>
        <w:rPr>
          <w:rStyle w:val="style85"/>
          <w:noProof/>
        </w:rPr>
        <w:t>3. Comparative Market Analysis</w:t>
      </w:r>
      <w:r>
        <w:rPr>
          <w:noProof/>
          <w:webHidden/>
        </w:rPr>
        <w:tab/>
      </w:r>
      <w:r>
        <w:rPr>
          <w:noProof/>
          <w:webHidden/>
        </w:rPr>
        <w:fldChar w:fldCharType="begin"/>
      </w:r>
      <w:r>
        <w:rPr>
          <w:noProof/>
          <w:webHidden/>
        </w:rPr>
        <w:instrText xml:space="preserve"> PAGEREF _Toc236657735 \h </w:instrText>
      </w:r>
      <w:r>
        <w:rPr>
          <w:noProof/>
          <w:webHidden/>
        </w:rPr>
        <w:fldChar w:fldCharType="separate"/>
      </w:r>
      <w:r>
        <w:rPr>
          <w:noProof/>
          <w:webHidden/>
        </w:rPr>
        <w:t>6</w:t>
      </w:r>
      <w:r>
        <w:rPr>
          <w:noProof/>
          <w:webHidden/>
        </w:rPr>
        <w:fldChar w:fldCharType="end"/>
      </w:r>
      <w:r>
        <w:rPr/>
        <w:fldChar w:fldCharType="end"/>
      </w:r>
    </w:p>
    <w:p w14:paraId="169CC6AB">
      <w:pPr>
        <w:pStyle w:val="style21"/>
        <w:tabs>
          <w:tab w:val="right" w:leader="dot" w:pos="9016"/>
        </w:tabs>
        <w:rPr>
          <w:rFonts w:ascii="Calibri" w:eastAsia="宋体" w:hAnsi="Calibri"/>
          <w:noProof/>
          <w:szCs w:val="24"/>
          <w:lang w:eastAsia="en-IN"/>
        </w:rPr>
      </w:pPr>
      <w:r>
        <w:rPr/>
        <w:fldChar w:fldCharType="begin"/>
      </w:r>
      <w:r>
        <w:instrText xml:space="preserve"> HYPERLINK \l "_Toc236657736" </w:instrText>
      </w:r>
      <w:r>
        <w:rPr/>
        <w:fldChar w:fldCharType="separate"/>
      </w:r>
      <w:r>
        <w:rPr>
          <w:rStyle w:val="style85"/>
          <w:noProof/>
        </w:rPr>
        <w:t>3.1 PESTEL Comparison: United Kingdom and India</w:t>
      </w:r>
      <w:r>
        <w:rPr>
          <w:noProof/>
          <w:webHidden/>
        </w:rPr>
        <w:tab/>
      </w:r>
      <w:r>
        <w:rPr>
          <w:noProof/>
          <w:webHidden/>
        </w:rPr>
        <w:fldChar w:fldCharType="begin"/>
      </w:r>
      <w:r>
        <w:rPr>
          <w:noProof/>
          <w:webHidden/>
        </w:rPr>
        <w:instrText xml:space="preserve"> PAGEREF _Toc236657736 \h </w:instrText>
      </w:r>
      <w:r>
        <w:rPr>
          <w:noProof/>
          <w:webHidden/>
        </w:rPr>
        <w:fldChar w:fldCharType="separate"/>
      </w:r>
      <w:r>
        <w:rPr>
          <w:noProof/>
          <w:webHidden/>
        </w:rPr>
        <w:t>6</w:t>
      </w:r>
      <w:r>
        <w:rPr>
          <w:noProof/>
          <w:webHidden/>
        </w:rPr>
        <w:fldChar w:fldCharType="end"/>
      </w:r>
      <w:r>
        <w:rPr/>
        <w:fldChar w:fldCharType="end"/>
      </w:r>
    </w:p>
    <w:p w14:paraId="177E462C">
      <w:pPr>
        <w:pStyle w:val="style21"/>
        <w:tabs>
          <w:tab w:val="right" w:leader="dot" w:pos="9016"/>
        </w:tabs>
        <w:rPr>
          <w:rFonts w:ascii="Calibri" w:eastAsia="宋体" w:hAnsi="Calibri"/>
          <w:noProof/>
          <w:szCs w:val="24"/>
          <w:lang w:eastAsia="en-IN"/>
        </w:rPr>
      </w:pPr>
      <w:r>
        <w:rPr/>
        <w:fldChar w:fldCharType="begin"/>
      </w:r>
      <w:r>
        <w:instrText xml:space="preserve"> HYPERLINK \l "_Toc236657737" </w:instrText>
      </w:r>
      <w:r>
        <w:rPr/>
        <w:fldChar w:fldCharType="separate"/>
      </w:r>
      <w:r>
        <w:rPr>
          <w:rStyle w:val="style85"/>
          <w:noProof/>
        </w:rPr>
        <w:t>3.2 Hofstede Cultural Comparison</w:t>
      </w:r>
      <w:r>
        <w:rPr>
          <w:noProof/>
          <w:webHidden/>
        </w:rPr>
        <w:tab/>
      </w:r>
      <w:r>
        <w:rPr>
          <w:noProof/>
          <w:webHidden/>
        </w:rPr>
        <w:fldChar w:fldCharType="begin"/>
      </w:r>
      <w:r>
        <w:rPr>
          <w:noProof/>
          <w:webHidden/>
        </w:rPr>
        <w:instrText xml:space="preserve"> PAGEREF _Toc236657737 \h </w:instrText>
      </w:r>
      <w:r>
        <w:rPr>
          <w:noProof/>
          <w:webHidden/>
        </w:rPr>
        <w:fldChar w:fldCharType="separate"/>
      </w:r>
      <w:r>
        <w:rPr>
          <w:noProof/>
          <w:webHidden/>
        </w:rPr>
        <w:t>10</w:t>
      </w:r>
      <w:r>
        <w:rPr>
          <w:noProof/>
          <w:webHidden/>
        </w:rPr>
        <w:fldChar w:fldCharType="end"/>
      </w:r>
      <w:r>
        <w:rPr/>
        <w:fldChar w:fldCharType="end"/>
      </w:r>
    </w:p>
    <w:p w14:paraId="6256B45D">
      <w:pPr>
        <w:pStyle w:val="style20"/>
        <w:tabs>
          <w:tab w:val="right" w:leader="dot" w:pos="9016"/>
        </w:tabs>
        <w:rPr>
          <w:rFonts w:ascii="Calibri" w:eastAsia="宋体" w:hAnsi="Calibri"/>
          <w:noProof/>
          <w:szCs w:val="24"/>
          <w:lang w:eastAsia="en-IN"/>
        </w:rPr>
      </w:pPr>
      <w:r>
        <w:rPr/>
        <w:fldChar w:fldCharType="begin"/>
      </w:r>
      <w:r>
        <w:instrText xml:space="preserve"> HYPERLINK \l "_Toc236657738" </w:instrText>
      </w:r>
      <w:r>
        <w:rPr/>
        <w:fldChar w:fldCharType="separate"/>
      </w:r>
      <w:r>
        <w:rPr>
          <w:rStyle w:val="style85"/>
          <w:noProof/>
        </w:rPr>
        <w:t>4. Comparative STP Analysis</w:t>
      </w:r>
      <w:r>
        <w:rPr>
          <w:noProof/>
          <w:webHidden/>
        </w:rPr>
        <w:tab/>
      </w:r>
      <w:r>
        <w:rPr>
          <w:noProof/>
          <w:webHidden/>
        </w:rPr>
        <w:fldChar w:fldCharType="begin"/>
      </w:r>
      <w:r>
        <w:rPr>
          <w:noProof/>
          <w:webHidden/>
        </w:rPr>
        <w:instrText xml:space="preserve"> PAGEREF _Toc236657738 \h </w:instrText>
      </w:r>
      <w:r>
        <w:rPr>
          <w:noProof/>
          <w:webHidden/>
        </w:rPr>
        <w:fldChar w:fldCharType="separate"/>
      </w:r>
      <w:r>
        <w:rPr>
          <w:noProof/>
          <w:webHidden/>
        </w:rPr>
        <w:t>12</w:t>
      </w:r>
      <w:r>
        <w:rPr>
          <w:noProof/>
          <w:webHidden/>
        </w:rPr>
        <w:fldChar w:fldCharType="end"/>
      </w:r>
      <w:r>
        <w:rPr/>
        <w:fldChar w:fldCharType="end"/>
      </w:r>
    </w:p>
    <w:p w14:paraId="33523E56">
      <w:pPr>
        <w:pStyle w:val="style21"/>
        <w:tabs>
          <w:tab w:val="right" w:leader="dot" w:pos="9016"/>
        </w:tabs>
        <w:rPr>
          <w:rFonts w:ascii="Calibri" w:eastAsia="宋体" w:hAnsi="Calibri"/>
          <w:noProof/>
          <w:szCs w:val="24"/>
          <w:lang w:eastAsia="en-IN"/>
        </w:rPr>
      </w:pPr>
      <w:r>
        <w:rPr/>
        <w:fldChar w:fldCharType="begin"/>
      </w:r>
      <w:r>
        <w:instrText xml:space="preserve"> HYPERLINK \l "_Toc236657739" </w:instrText>
      </w:r>
      <w:r>
        <w:rPr/>
        <w:fldChar w:fldCharType="separate"/>
      </w:r>
      <w:r>
        <w:rPr>
          <w:rStyle w:val="style85"/>
          <w:noProof/>
        </w:rPr>
        <w:t>4.1 Segmentation</w:t>
      </w:r>
      <w:r>
        <w:rPr>
          <w:noProof/>
          <w:webHidden/>
        </w:rPr>
        <w:tab/>
      </w:r>
      <w:r>
        <w:rPr>
          <w:noProof/>
          <w:webHidden/>
        </w:rPr>
        <w:fldChar w:fldCharType="begin"/>
      </w:r>
      <w:r>
        <w:rPr>
          <w:noProof/>
          <w:webHidden/>
        </w:rPr>
        <w:instrText xml:space="preserve"> PAGEREF _Toc236657739 \h </w:instrText>
      </w:r>
      <w:r>
        <w:rPr>
          <w:noProof/>
          <w:webHidden/>
        </w:rPr>
        <w:fldChar w:fldCharType="separate"/>
      </w:r>
      <w:r>
        <w:rPr>
          <w:noProof/>
          <w:webHidden/>
        </w:rPr>
        <w:t>12</w:t>
      </w:r>
      <w:r>
        <w:rPr>
          <w:noProof/>
          <w:webHidden/>
        </w:rPr>
        <w:fldChar w:fldCharType="end"/>
      </w:r>
      <w:r>
        <w:rPr/>
        <w:fldChar w:fldCharType="end"/>
      </w:r>
    </w:p>
    <w:p w14:paraId="752E27F4">
      <w:pPr>
        <w:pStyle w:val="style21"/>
        <w:tabs>
          <w:tab w:val="right" w:leader="dot" w:pos="9016"/>
        </w:tabs>
        <w:rPr>
          <w:rFonts w:ascii="Calibri" w:eastAsia="宋体" w:hAnsi="Calibri"/>
          <w:noProof/>
          <w:szCs w:val="24"/>
          <w:lang w:eastAsia="en-IN"/>
        </w:rPr>
      </w:pPr>
      <w:r>
        <w:rPr/>
        <w:fldChar w:fldCharType="begin"/>
      </w:r>
      <w:r>
        <w:instrText xml:space="preserve"> HYPERLINK \l "_Toc236657740" </w:instrText>
      </w:r>
      <w:r>
        <w:rPr/>
        <w:fldChar w:fldCharType="separate"/>
      </w:r>
      <w:r>
        <w:rPr>
          <w:rStyle w:val="style85"/>
          <w:noProof/>
        </w:rPr>
        <w:t>4.2 Targeting</w:t>
      </w:r>
      <w:r>
        <w:rPr>
          <w:noProof/>
          <w:webHidden/>
        </w:rPr>
        <w:tab/>
      </w:r>
      <w:r>
        <w:rPr>
          <w:noProof/>
          <w:webHidden/>
        </w:rPr>
        <w:fldChar w:fldCharType="begin"/>
      </w:r>
      <w:r>
        <w:rPr>
          <w:noProof/>
          <w:webHidden/>
        </w:rPr>
        <w:instrText xml:space="preserve"> PAGEREF _Toc236657740 \h </w:instrText>
      </w:r>
      <w:r>
        <w:rPr>
          <w:noProof/>
          <w:webHidden/>
        </w:rPr>
        <w:fldChar w:fldCharType="separate"/>
      </w:r>
      <w:r>
        <w:rPr>
          <w:noProof/>
          <w:webHidden/>
        </w:rPr>
        <w:t>12</w:t>
      </w:r>
      <w:r>
        <w:rPr>
          <w:noProof/>
          <w:webHidden/>
        </w:rPr>
        <w:fldChar w:fldCharType="end"/>
      </w:r>
      <w:r>
        <w:rPr/>
        <w:fldChar w:fldCharType="end"/>
      </w:r>
    </w:p>
    <w:p w14:paraId="06BFBD1F">
      <w:pPr>
        <w:pStyle w:val="style21"/>
        <w:tabs>
          <w:tab w:val="right" w:leader="dot" w:pos="9016"/>
        </w:tabs>
        <w:rPr>
          <w:rFonts w:ascii="Calibri" w:eastAsia="宋体" w:hAnsi="Calibri"/>
          <w:noProof/>
          <w:szCs w:val="24"/>
          <w:lang w:eastAsia="en-IN"/>
        </w:rPr>
      </w:pPr>
      <w:r>
        <w:rPr/>
        <w:fldChar w:fldCharType="begin"/>
      </w:r>
      <w:r>
        <w:instrText xml:space="preserve"> HYPERLINK \l "_Toc236657741" </w:instrText>
      </w:r>
      <w:r>
        <w:rPr/>
        <w:fldChar w:fldCharType="separate"/>
      </w:r>
      <w:r>
        <w:rPr>
          <w:rStyle w:val="style85"/>
          <w:noProof/>
        </w:rPr>
        <w:t>4.3 Positioning</w:t>
      </w:r>
      <w:r>
        <w:rPr>
          <w:noProof/>
          <w:webHidden/>
        </w:rPr>
        <w:tab/>
      </w:r>
      <w:r>
        <w:rPr>
          <w:noProof/>
          <w:webHidden/>
        </w:rPr>
        <w:fldChar w:fldCharType="begin"/>
      </w:r>
      <w:r>
        <w:rPr>
          <w:noProof/>
          <w:webHidden/>
        </w:rPr>
        <w:instrText xml:space="preserve"> PAGEREF _Toc236657741 \h </w:instrText>
      </w:r>
      <w:r>
        <w:rPr>
          <w:noProof/>
          <w:webHidden/>
        </w:rPr>
        <w:fldChar w:fldCharType="separate"/>
      </w:r>
      <w:r>
        <w:rPr>
          <w:noProof/>
          <w:webHidden/>
        </w:rPr>
        <w:t>13</w:t>
      </w:r>
      <w:r>
        <w:rPr>
          <w:noProof/>
          <w:webHidden/>
        </w:rPr>
        <w:fldChar w:fldCharType="end"/>
      </w:r>
      <w:r>
        <w:rPr/>
        <w:fldChar w:fldCharType="end"/>
      </w:r>
    </w:p>
    <w:p w14:paraId="04C6FCF2">
      <w:pPr>
        <w:pStyle w:val="style20"/>
        <w:tabs>
          <w:tab w:val="right" w:leader="dot" w:pos="9016"/>
        </w:tabs>
        <w:rPr>
          <w:rFonts w:ascii="Calibri" w:eastAsia="宋体" w:hAnsi="Calibri"/>
          <w:noProof/>
          <w:szCs w:val="24"/>
          <w:lang w:eastAsia="en-IN"/>
        </w:rPr>
      </w:pPr>
      <w:r>
        <w:rPr/>
        <w:fldChar w:fldCharType="begin"/>
      </w:r>
      <w:r>
        <w:instrText xml:space="preserve"> HYPERLINK \l "_Toc236657742" </w:instrText>
      </w:r>
      <w:r>
        <w:rPr/>
        <w:fldChar w:fldCharType="separate"/>
      </w:r>
      <w:r>
        <w:rPr>
          <w:rStyle w:val="style85"/>
          <w:noProof/>
        </w:rPr>
        <w:t>5. Comparative International Marketing Mix (7Ps)</w:t>
      </w:r>
      <w:r>
        <w:rPr>
          <w:noProof/>
          <w:webHidden/>
        </w:rPr>
        <w:tab/>
      </w:r>
      <w:r>
        <w:rPr>
          <w:noProof/>
          <w:webHidden/>
        </w:rPr>
        <w:fldChar w:fldCharType="begin"/>
      </w:r>
      <w:r>
        <w:rPr>
          <w:noProof/>
          <w:webHidden/>
        </w:rPr>
        <w:instrText xml:space="preserve"> PAGEREF _Toc236657742 \h </w:instrText>
      </w:r>
      <w:r>
        <w:rPr>
          <w:noProof/>
          <w:webHidden/>
        </w:rPr>
        <w:fldChar w:fldCharType="separate"/>
      </w:r>
      <w:r>
        <w:rPr>
          <w:noProof/>
          <w:webHidden/>
        </w:rPr>
        <w:t>14</w:t>
      </w:r>
      <w:r>
        <w:rPr>
          <w:noProof/>
          <w:webHidden/>
        </w:rPr>
        <w:fldChar w:fldCharType="end"/>
      </w:r>
      <w:r>
        <w:rPr/>
        <w:fldChar w:fldCharType="end"/>
      </w:r>
    </w:p>
    <w:p w14:paraId="60E2899B">
      <w:pPr>
        <w:pStyle w:val="style21"/>
        <w:tabs>
          <w:tab w:val="right" w:leader="dot" w:pos="9016"/>
        </w:tabs>
        <w:rPr>
          <w:rFonts w:ascii="Calibri" w:eastAsia="宋体" w:hAnsi="Calibri"/>
          <w:noProof/>
          <w:szCs w:val="24"/>
          <w:lang w:eastAsia="en-IN"/>
        </w:rPr>
      </w:pPr>
      <w:r>
        <w:rPr/>
        <w:fldChar w:fldCharType="begin"/>
      </w:r>
      <w:r>
        <w:instrText xml:space="preserve"> HYPERLINK \l "_Toc236657743" </w:instrText>
      </w:r>
      <w:r>
        <w:rPr/>
        <w:fldChar w:fldCharType="separate"/>
      </w:r>
      <w:r>
        <w:rPr>
          <w:rStyle w:val="style85"/>
          <w:noProof/>
        </w:rPr>
        <w:t>5.1 Product</w:t>
      </w:r>
      <w:r>
        <w:rPr>
          <w:noProof/>
          <w:webHidden/>
        </w:rPr>
        <w:tab/>
      </w:r>
      <w:r>
        <w:rPr>
          <w:noProof/>
          <w:webHidden/>
        </w:rPr>
        <w:fldChar w:fldCharType="begin"/>
      </w:r>
      <w:r>
        <w:rPr>
          <w:noProof/>
          <w:webHidden/>
        </w:rPr>
        <w:instrText xml:space="preserve"> PAGEREF _Toc236657743 \h </w:instrText>
      </w:r>
      <w:r>
        <w:rPr>
          <w:noProof/>
          <w:webHidden/>
        </w:rPr>
        <w:fldChar w:fldCharType="separate"/>
      </w:r>
      <w:r>
        <w:rPr>
          <w:noProof/>
          <w:webHidden/>
        </w:rPr>
        <w:t>14</w:t>
      </w:r>
      <w:r>
        <w:rPr>
          <w:noProof/>
          <w:webHidden/>
        </w:rPr>
        <w:fldChar w:fldCharType="end"/>
      </w:r>
      <w:r>
        <w:rPr/>
        <w:fldChar w:fldCharType="end"/>
      </w:r>
    </w:p>
    <w:p w14:paraId="6DC5FA43">
      <w:pPr>
        <w:pStyle w:val="style21"/>
        <w:tabs>
          <w:tab w:val="right" w:leader="dot" w:pos="9016"/>
        </w:tabs>
        <w:rPr>
          <w:rFonts w:ascii="Calibri" w:eastAsia="宋体" w:hAnsi="Calibri"/>
          <w:noProof/>
          <w:szCs w:val="24"/>
          <w:lang w:eastAsia="en-IN"/>
        </w:rPr>
      </w:pPr>
      <w:r>
        <w:rPr/>
        <w:fldChar w:fldCharType="begin"/>
      </w:r>
      <w:r>
        <w:instrText xml:space="preserve"> HYPERLINK \l "_Toc236657744" </w:instrText>
      </w:r>
      <w:r>
        <w:rPr/>
        <w:fldChar w:fldCharType="separate"/>
      </w:r>
      <w:r>
        <w:rPr>
          <w:rStyle w:val="style85"/>
          <w:noProof/>
        </w:rPr>
        <w:t>5.2 Price</w:t>
      </w:r>
      <w:r>
        <w:rPr>
          <w:noProof/>
          <w:webHidden/>
        </w:rPr>
        <w:tab/>
      </w:r>
      <w:r>
        <w:rPr>
          <w:noProof/>
          <w:webHidden/>
        </w:rPr>
        <w:fldChar w:fldCharType="begin"/>
      </w:r>
      <w:r>
        <w:rPr>
          <w:noProof/>
          <w:webHidden/>
        </w:rPr>
        <w:instrText xml:space="preserve"> PAGEREF _Toc236657744 \h </w:instrText>
      </w:r>
      <w:r>
        <w:rPr>
          <w:noProof/>
          <w:webHidden/>
        </w:rPr>
        <w:fldChar w:fldCharType="separate"/>
      </w:r>
      <w:r>
        <w:rPr>
          <w:noProof/>
          <w:webHidden/>
        </w:rPr>
        <w:t>15</w:t>
      </w:r>
      <w:r>
        <w:rPr>
          <w:noProof/>
          <w:webHidden/>
        </w:rPr>
        <w:fldChar w:fldCharType="end"/>
      </w:r>
      <w:r>
        <w:rPr/>
        <w:fldChar w:fldCharType="end"/>
      </w:r>
    </w:p>
    <w:p w14:paraId="5F1EDF50">
      <w:pPr>
        <w:pStyle w:val="style21"/>
        <w:tabs>
          <w:tab w:val="right" w:leader="dot" w:pos="9016"/>
        </w:tabs>
        <w:rPr>
          <w:rFonts w:ascii="Calibri" w:eastAsia="宋体" w:hAnsi="Calibri"/>
          <w:noProof/>
          <w:szCs w:val="24"/>
          <w:lang w:eastAsia="en-IN"/>
        </w:rPr>
      </w:pPr>
      <w:r>
        <w:rPr/>
        <w:fldChar w:fldCharType="begin"/>
      </w:r>
      <w:r>
        <w:instrText xml:space="preserve"> HYPERLINK \l "_Toc236657745" </w:instrText>
      </w:r>
      <w:r>
        <w:rPr/>
        <w:fldChar w:fldCharType="separate"/>
      </w:r>
      <w:r>
        <w:rPr>
          <w:rStyle w:val="style85"/>
          <w:noProof/>
        </w:rPr>
        <w:t>5.3 Place</w:t>
      </w:r>
      <w:r>
        <w:rPr>
          <w:noProof/>
          <w:webHidden/>
        </w:rPr>
        <w:tab/>
      </w:r>
      <w:r>
        <w:rPr>
          <w:noProof/>
          <w:webHidden/>
        </w:rPr>
        <w:fldChar w:fldCharType="begin"/>
      </w:r>
      <w:r>
        <w:rPr>
          <w:noProof/>
          <w:webHidden/>
        </w:rPr>
        <w:instrText xml:space="preserve"> PAGEREF _Toc236657745 \h </w:instrText>
      </w:r>
      <w:r>
        <w:rPr>
          <w:noProof/>
          <w:webHidden/>
        </w:rPr>
        <w:fldChar w:fldCharType="separate"/>
      </w:r>
      <w:r>
        <w:rPr>
          <w:noProof/>
          <w:webHidden/>
        </w:rPr>
        <w:t>15</w:t>
      </w:r>
      <w:r>
        <w:rPr>
          <w:noProof/>
          <w:webHidden/>
        </w:rPr>
        <w:fldChar w:fldCharType="end"/>
      </w:r>
      <w:r>
        <w:rPr/>
        <w:fldChar w:fldCharType="end"/>
      </w:r>
    </w:p>
    <w:p w14:paraId="3E69ED62">
      <w:pPr>
        <w:pStyle w:val="style21"/>
        <w:tabs>
          <w:tab w:val="right" w:leader="dot" w:pos="9016"/>
        </w:tabs>
        <w:rPr>
          <w:rFonts w:ascii="Calibri" w:eastAsia="宋体" w:hAnsi="Calibri"/>
          <w:noProof/>
          <w:szCs w:val="24"/>
          <w:lang w:eastAsia="en-IN"/>
        </w:rPr>
      </w:pPr>
      <w:r>
        <w:rPr/>
        <w:fldChar w:fldCharType="begin"/>
      </w:r>
      <w:r>
        <w:instrText xml:space="preserve"> HYPERLINK \l "_Toc236657746" </w:instrText>
      </w:r>
      <w:r>
        <w:rPr/>
        <w:fldChar w:fldCharType="separate"/>
      </w:r>
      <w:r>
        <w:rPr>
          <w:rStyle w:val="style85"/>
          <w:noProof/>
        </w:rPr>
        <w:t>5.4 Promotion</w:t>
      </w:r>
      <w:r>
        <w:rPr>
          <w:noProof/>
          <w:webHidden/>
        </w:rPr>
        <w:tab/>
      </w:r>
      <w:r>
        <w:rPr>
          <w:noProof/>
          <w:webHidden/>
        </w:rPr>
        <w:fldChar w:fldCharType="begin"/>
      </w:r>
      <w:r>
        <w:rPr>
          <w:noProof/>
          <w:webHidden/>
        </w:rPr>
        <w:instrText xml:space="preserve"> PAGEREF _Toc236657746 \h </w:instrText>
      </w:r>
      <w:r>
        <w:rPr>
          <w:noProof/>
          <w:webHidden/>
        </w:rPr>
        <w:fldChar w:fldCharType="separate"/>
      </w:r>
      <w:r>
        <w:rPr>
          <w:noProof/>
          <w:webHidden/>
        </w:rPr>
        <w:t>15</w:t>
      </w:r>
      <w:r>
        <w:rPr>
          <w:noProof/>
          <w:webHidden/>
        </w:rPr>
        <w:fldChar w:fldCharType="end"/>
      </w:r>
      <w:r>
        <w:rPr/>
        <w:fldChar w:fldCharType="end"/>
      </w:r>
    </w:p>
    <w:p w14:paraId="00C4A2F8">
      <w:pPr>
        <w:pStyle w:val="style21"/>
        <w:tabs>
          <w:tab w:val="right" w:leader="dot" w:pos="9016"/>
        </w:tabs>
        <w:rPr>
          <w:rFonts w:ascii="Calibri" w:eastAsia="宋体" w:hAnsi="Calibri"/>
          <w:noProof/>
          <w:szCs w:val="24"/>
          <w:lang w:eastAsia="en-IN"/>
        </w:rPr>
      </w:pPr>
      <w:r>
        <w:rPr/>
        <w:fldChar w:fldCharType="begin"/>
      </w:r>
      <w:r>
        <w:instrText xml:space="preserve"> HYPERLINK \l "_Toc236657747" </w:instrText>
      </w:r>
      <w:r>
        <w:rPr/>
        <w:fldChar w:fldCharType="separate"/>
      </w:r>
      <w:r>
        <w:rPr>
          <w:rStyle w:val="style85"/>
          <w:noProof/>
        </w:rPr>
        <w:t>5.5 People</w:t>
      </w:r>
      <w:r>
        <w:rPr>
          <w:noProof/>
          <w:webHidden/>
        </w:rPr>
        <w:tab/>
      </w:r>
      <w:r>
        <w:rPr>
          <w:noProof/>
          <w:webHidden/>
        </w:rPr>
        <w:fldChar w:fldCharType="begin"/>
      </w:r>
      <w:r>
        <w:rPr>
          <w:noProof/>
          <w:webHidden/>
        </w:rPr>
        <w:instrText xml:space="preserve"> PAGEREF _Toc236657747 \h </w:instrText>
      </w:r>
      <w:r>
        <w:rPr>
          <w:noProof/>
          <w:webHidden/>
        </w:rPr>
        <w:fldChar w:fldCharType="separate"/>
      </w:r>
      <w:r>
        <w:rPr>
          <w:noProof/>
          <w:webHidden/>
        </w:rPr>
        <w:t>16</w:t>
      </w:r>
      <w:r>
        <w:rPr>
          <w:noProof/>
          <w:webHidden/>
        </w:rPr>
        <w:fldChar w:fldCharType="end"/>
      </w:r>
      <w:r>
        <w:rPr/>
        <w:fldChar w:fldCharType="end"/>
      </w:r>
    </w:p>
    <w:p w14:paraId="12ACB9D2">
      <w:pPr>
        <w:pStyle w:val="style21"/>
        <w:tabs>
          <w:tab w:val="right" w:leader="dot" w:pos="9016"/>
        </w:tabs>
        <w:rPr>
          <w:rFonts w:ascii="Calibri" w:eastAsia="宋体" w:hAnsi="Calibri"/>
          <w:noProof/>
          <w:szCs w:val="24"/>
          <w:lang w:eastAsia="en-IN"/>
        </w:rPr>
      </w:pPr>
      <w:r>
        <w:rPr/>
        <w:fldChar w:fldCharType="begin"/>
      </w:r>
      <w:r>
        <w:instrText xml:space="preserve"> HYPERLINK \l "_Toc236657748" </w:instrText>
      </w:r>
      <w:r>
        <w:rPr/>
        <w:fldChar w:fldCharType="separate"/>
      </w:r>
      <w:r>
        <w:rPr>
          <w:rStyle w:val="style85"/>
          <w:noProof/>
        </w:rPr>
        <w:t>5.6 Process</w:t>
      </w:r>
      <w:r>
        <w:rPr>
          <w:noProof/>
          <w:webHidden/>
        </w:rPr>
        <w:tab/>
      </w:r>
      <w:r>
        <w:rPr>
          <w:noProof/>
          <w:webHidden/>
        </w:rPr>
        <w:fldChar w:fldCharType="begin"/>
      </w:r>
      <w:r>
        <w:rPr>
          <w:noProof/>
          <w:webHidden/>
        </w:rPr>
        <w:instrText xml:space="preserve"> PAGEREF _Toc236657748 \h </w:instrText>
      </w:r>
      <w:r>
        <w:rPr>
          <w:noProof/>
          <w:webHidden/>
        </w:rPr>
        <w:fldChar w:fldCharType="separate"/>
      </w:r>
      <w:r>
        <w:rPr>
          <w:noProof/>
          <w:webHidden/>
        </w:rPr>
        <w:t>16</w:t>
      </w:r>
      <w:r>
        <w:rPr>
          <w:noProof/>
          <w:webHidden/>
        </w:rPr>
        <w:fldChar w:fldCharType="end"/>
      </w:r>
      <w:r>
        <w:rPr/>
        <w:fldChar w:fldCharType="end"/>
      </w:r>
    </w:p>
    <w:p w14:paraId="076169D6">
      <w:pPr>
        <w:pStyle w:val="style21"/>
        <w:tabs>
          <w:tab w:val="right" w:leader="dot" w:pos="9016"/>
        </w:tabs>
        <w:rPr>
          <w:rFonts w:ascii="Calibri" w:eastAsia="宋体" w:hAnsi="Calibri"/>
          <w:noProof/>
          <w:szCs w:val="24"/>
          <w:lang w:eastAsia="en-IN"/>
        </w:rPr>
      </w:pPr>
      <w:r>
        <w:rPr/>
        <w:fldChar w:fldCharType="begin"/>
      </w:r>
      <w:r>
        <w:instrText xml:space="preserve"> HYPERLINK \l "_Toc236657749" </w:instrText>
      </w:r>
      <w:r>
        <w:rPr/>
        <w:fldChar w:fldCharType="separate"/>
      </w:r>
      <w:r>
        <w:rPr>
          <w:rStyle w:val="style85"/>
          <w:noProof/>
        </w:rPr>
        <w:t>5.7 Physical Evidence</w:t>
      </w:r>
      <w:r>
        <w:rPr>
          <w:noProof/>
          <w:webHidden/>
        </w:rPr>
        <w:tab/>
      </w:r>
      <w:r>
        <w:rPr>
          <w:noProof/>
          <w:webHidden/>
        </w:rPr>
        <w:fldChar w:fldCharType="begin"/>
      </w:r>
      <w:r>
        <w:rPr>
          <w:noProof/>
          <w:webHidden/>
        </w:rPr>
        <w:instrText xml:space="preserve"> PAGEREF _Toc236657749 \h </w:instrText>
      </w:r>
      <w:r>
        <w:rPr>
          <w:noProof/>
          <w:webHidden/>
        </w:rPr>
        <w:fldChar w:fldCharType="separate"/>
      </w:r>
      <w:r>
        <w:rPr>
          <w:noProof/>
          <w:webHidden/>
        </w:rPr>
        <w:t>16</w:t>
      </w:r>
      <w:r>
        <w:rPr>
          <w:noProof/>
          <w:webHidden/>
        </w:rPr>
        <w:fldChar w:fldCharType="end"/>
      </w:r>
      <w:r>
        <w:rPr/>
        <w:fldChar w:fldCharType="end"/>
      </w:r>
    </w:p>
    <w:p w14:paraId="3F25ECBA">
      <w:pPr>
        <w:pStyle w:val="style20"/>
        <w:tabs>
          <w:tab w:val="right" w:leader="dot" w:pos="9016"/>
        </w:tabs>
        <w:rPr>
          <w:rFonts w:ascii="Calibri" w:eastAsia="宋体" w:hAnsi="Calibri"/>
          <w:noProof/>
          <w:szCs w:val="24"/>
          <w:lang w:eastAsia="en-IN"/>
        </w:rPr>
      </w:pPr>
      <w:r>
        <w:rPr/>
        <w:fldChar w:fldCharType="begin"/>
      </w:r>
      <w:r>
        <w:instrText xml:space="preserve"> HYPERLINK \l "_Toc236657750" </w:instrText>
      </w:r>
      <w:r>
        <w:rPr/>
        <w:fldChar w:fldCharType="separate"/>
      </w:r>
      <w:r>
        <w:rPr>
          <w:rStyle w:val="style85"/>
          <w:noProof/>
        </w:rPr>
        <w:t>6. Market Entry Strategy Analysis: India</w:t>
      </w:r>
      <w:r>
        <w:rPr>
          <w:noProof/>
          <w:webHidden/>
        </w:rPr>
        <w:tab/>
      </w:r>
      <w:r>
        <w:rPr>
          <w:noProof/>
          <w:webHidden/>
        </w:rPr>
        <w:fldChar w:fldCharType="begin"/>
      </w:r>
      <w:r>
        <w:rPr>
          <w:noProof/>
          <w:webHidden/>
        </w:rPr>
        <w:instrText xml:space="preserve"> PAGEREF _Toc236657750 \h </w:instrText>
      </w:r>
      <w:r>
        <w:rPr>
          <w:noProof/>
          <w:webHidden/>
        </w:rPr>
        <w:fldChar w:fldCharType="separate"/>
      </w:r>
      <w:r>
        <w:rPr>
          <w:noProof/>
          <w:webHidden/>
        </w:rPr>
        <w:t>17</w:t>
      </w:r>
      <w:r>
        <w:rPr>
          <w:noProof/>
          <w:webHidden/>
        </w:rPr>
        <w:fldChar w:fldCharType="end"/>
      </w:r>
      <w:r>
        <w:rPr/>
        <w:fldChar w:fldCharType="end"/>
      </w:r>
    </w:p>
    <w:p w14:paraId="2CF783AF">
      <w:pPr>
        <w:pStyle w:val="style20"/>
        <w:tabs>
          <w:tab w:val="right" w:leader="dot" w:pos="9016"/>
        </w:tabs>
        <w:rPr>
          <w:rFonts w:ascii="Calibri" w:eastAsia="宋体" w:hAnsi="Calibri"/>
          <w:noProof/>
          <w:szCs w:val="24"/>
          <w:lang w:eastAsia="en-IN"/>
        </w:rPr>
      </w:pPr>
      <w:r>
        <w:rPr/>
        <w:fldChar w:fldCharType="begin"/>
      </w:r>
      <w:r>
        <w:instrText xml:space="preserve"> HYPERLINK \l "_Toc236657751" </w:instrText>
      </w:r>
      <w:r>
        <w:rPr/>
        <w:fldChar w:fldCharType="separate"/>
      </w:r>
      <w:r>
        <w:rPr>
          <w:rStyle w:val="style85"/>
          <w:noProof/>
        </w:rPr>
        <w:t>7. Ethical Evaluation: Cadbury in India</w:t>
      </w:r>
      <w:r>
        <w:rPr>
          <w:noProof/>
          <w:webHidden/>
        </w:rPr>
        <w:tab/>
      </w:r>
      <w:r>
        <w:rPr>
          <w:noProof/>
          <w:webHidden/>
        </w:rPr>
        <w:fldChar w:fldCharType="begin"/>
      </w:r>
      <w:r>
        <w:rPr>
          <w:noProof/>
          <w:webHidden/>
        </w:rPr>
        <w:instrText xml:space="preserve"> PAGEREF _Toc236657751 \h </w:instrText>
      </w:r>
      <w:r>
        <w:rPr>
          <w:noProof/>
          <w:webHidden/>
        </w:rPr>
        <w:fldChar w:fldCharType="separate"/>
      </w:r>
      <w:r>
        <w:rPr>
          <w:noProof/>
          <w:webHidden/>
        </w:rPr>
        <w:t>18</w:t>
      </w:r>
      <w:r>
        <w:rPr>
          <w:noProof/>
          <w:webHidden/>
        </w:rPr>
        <w:fldChar w:fldCharType="end"/>
      </w:r>
      <w:r>
        <w:rPr/>
        <w:fldChar w:fldCharType="end"/>
      </w:r>
    </w:p>
    <w:p w14:paraId="2E83A625">
      <w:pPr>
        <w:pStyle w:val="style20"/>
        <w:tabs>
          <w:tab w:val="right" w:leader="dot" w:pos="9016"/>
        </w:tabs>
        <w:rPr>
          <w:rFonts w:ascii="Calibri" w:eastAsia="宋体" w:hAnsi="Calibri"/>
          <w:noProof/>
          <w:szCs w:val="24"/>
          <w:lang w:eastAsia="en-IN"/>
        </w:rPr>
      </w:pPr>
      <w:r>
        <w:rPr/>
        <w:fldChar w:fldCharType="begin"/>
      </w:r>
      <w:r>
        <w:instrText xml:space="preserve"> HYPERLINK \l "_Toc236657752" </w:instrText>
      </w:r>
      <w:r>
        <w:rPr/>
        <w:fldChar w:fldCharType="separate"/>
      </w:r>
      <w:r>
        <w:rPr>
          <w:rStyle w:val="style85"/>
          <w:noProof/>
        </w:rPr>
        <w:t>8. Strategic Recommendations</w:t>
      </w:r>
      <w:r>
        <w:rPr>
          <w:noProof/>
          <w:webHidden/>
        </w:rPr>
        <w:tab/>
      </w:r>
      <w:r>
        <w:rPr>
          <w:noProof/>
          <w:webHidden/>
        </w:rPr>
        <w:fldChar w:fldCharType="begin"/>
      </w:r>
      <w:r>
        <w:rPr>
          <w:noProof/>
          <w:webHidden/>
        </w:rPr>
        <w:instrText xml:space="preserve"> PAGEREF _Toc236657752 \h </w:instrText>
      </w:r>
      <w:r>
        <w:rPr>
          <w:noProof/>
          <w:webHidden/>
        </w:rPr>
        <w:fldChar w:fldCharType="separate"/>
      </w:r>
      <w:r>
        <w:rPr>
          <w:noProof/>
          <w:webHidden/>
        </w:rPr>
        <w:t>18</w:t>
      </w:r>
      <w:r>
        <w:rPr>
          <w:noProof/>
          <w:webHidden/>
        </w:rPr>
        <w:fldChar w:fldCharType="end"/>
      </w:r>
      <w:r>
        <w:rPr/>
        <w:fldChar w:fldCharType="end"/>
      </w:r>
    </w:p>
    <w:p w14:paraId="0B899D8E">
      <w:pPr>
        <w:pStyle w:val="style20"/>
        <w:tabs>
          <w:tab w:val="right" w:leader="dot" w:pos="9016"/>
        </w:tabs>
        <w:rPr>
          <w:rFonts w:ascii="Calibri" w:eastAsia="宋体" w:hAnsi="Calibri"/>
          <w:noProof/>
          <w:szCs w:val="24"/>
          <w:lang w:eastAsia="en-IN"/>
        </w:rPr>
      </w:pPr>
      <w:r>
        <w:rPr/>
        <w:fldChar w:fldCharType="begin"/>
      </w:r>
      <w:r>
        <w:instrText xml:space="preserve"> HYPERLINK \l "_Toc236657753" </w:instrText>
      </w:r>
      <w:r>
        <w:rPr/>
        <w:fldChar w:fldCharType="separate"/>
      </w:r>
      <w:r>
        <w:rPr>
          <w:rStyle w:val="style85"/>
          <w:noProof/>
        </w:rPr>
        <w:t>9. Conclusion</w:t>
      </w:r>
      <w:r>
        <w:rPr>
          <w:noProof/>
          <w:webHidden/>
        </w:rPr>
        <w:tab/>
      </w:r>
      <w:r>
        <w:rPr>
          <w:noProof/>
          <w:webHidden/>
        </w:rPr>
        <w:fldChar w:fldCharType="begin"/>
      </w:r>
      <w:r>
        <w:rPr>
          <w:noProof/>
          <w:webHidden/>
        </w:rPr>
        <w:instrText xml:space="preserve"> PAGEREF _Toc236657753 \h </w:instrText>
      </w:r>
      <w:r>
        <w:rPr>
          <w:noProof/>
          <w:webHidden/>
        </w:rPr>
        <w:fldChar w:fldCharType="separate"/>
      </w:r>
      <w:r>
        <w:rPr>
          <w:noProof/>
          <w:webHidden/>
        </w:rPr>
        <w:t>19</w:t>
      </w:r>
      <w:r>
        <w:rPr>
          <w:noProof/>
          <w:webHidden/>
        </w:rPr>
        <w:fldChar w:fldCharType="end"/>
      </w:r>
      <w:r>
        <w:rPr/>
        <w:fldChar w:fldCharType="end"/>
      </w:r>
    </w:p>
    <w:p w14:paraId="396E0855">
      <w:pPr>
        <w:pStyle w:val="style19"/>
        <w:tabs>
          <w:tab w:val="right" w:leader="dot" w:pos="9016"/>
        </w:tabs>
        <w:rPr>
          <w:rFonts w:ascii="Calibri" w:eastAsia="宋体" w:hAnsi="Calibri"/>
          <w:noProof/>
          <w:szCs w:val="24"/>
          <w:lang w:eastAsia="en-IN"/>
        </w:rPr>
      </w:pPr>
      <w:r>
        <w:rPr/>
        <w:fldChar w:fldCharType="begin"/>
      </w:r>
      <w:r>
        <w:instrText xml:space="preserve"> HYPERLINK \l "_Toc236657754" </w:instrText>
      </w:r>
      <w:r>
        <w:rPr/>
        <w:fldChar w:fldCharType="separate"/>
      </w:r>
      <w:r>
        <w:rPr>
          <w:rStyle w:val="style85"/>
          <w:noProof/>
        </w:rPr>
        <w:t>SECTION 2: REFLECTIVE ACCOUNT (GIBBS' REFLECTIVE CYCLE)</w:t>
      </w:r>
      <w:r>
        <w:rPr>
          <w:noProof/>
          <w:webHidden/>
        </w:rPr>
        <w:tab/>
      </w:r>
      <w:r>
        <w:rPr>
          <w:noProof/>
          <w:webHidden/>
        </w:rPr>
        <w:fldChar w:fldCharType="begin"/>
      </w:r>
      <w:r>
        <w:rPr>
          <w:noProof/>
          <w:webHidden/>
        </w:rPr>
        <w:instrText xml:space="preserve"> PAGEREF _Toc236657754 \h </w:instrText>
      </w:r>
      <w:r>
        <w:rPr>
          <w:noProof/>
          <w:webHidden/>
        </w:rPr>
        <w:fldChar w:fldCharType="separate"/>
      </w:r>
      <w:r>
        <w:rPr>
          <w:noProof/>
          <w:webHidden/>
        </w:rPr>
        <w:t>21</w:t>
      </w:r>
      <w:r>
        <w:rPr>
          <w:noProof/>
          <w:webHidden/>
        </w:rPr>
        <w:fldChar w:fldCharType="end"/>
      </w:r>
      <w:r>
        <w:rPr/>
        <w:fldChar w:fldCharType="end"/>
      </w:r>
    </w:p>
    <w:p w14:paraId="4D42841D">
      <w:pPr>
        <w:pStyle w:val="style20"/>
        <w:tabs>
          <w:tab w:val="right" w:leader="dot" w:pos="9016"/>
        </w:tabs>
        <w:rPr>
          <w:rFonts w:ascii="Calibri" w:eastAsia="宋体" w:hAnsi="Calibri"/>
          <w:noProof/>
          <w:szCs w:val="24"/>
          <w:lang w:eastAsia="en-IN"/>
        </w:rPr>
      </w:pPr>
      <w:r>
        <w:rPr/>
        <w:fldChar w:fldCharType="begin"/>
      </w:r>
      <w:r>
        <w:instrText xml:space="preserve"> HYPERLINK \l "_Toc236657755" </w:instrText>
      </w:r>
      <w:r>
        <w:rPr/>
        <w:fldChar w:fldCharType="separate"/>
      </w:r>
      <w:r>
        <w:rPr>
          <w:rStyle w:val="style85"/>
          <w:noProof/>
        </w:rPr>
        <w:t>2.1 Description</w:t>
      </w:r>
      <w:r>
        <w:rPr>
          <w:noProof/>
          <w:webHidden/>
        </w:rPr>
        <w:tab/>
      </w:r>
      <w:r>
        <w:rPr>
          <w:noProof/>
          <w:webHidden/>
        </w:rPr>
        <w:fldChar w:fldCharType="begin"/>
      </w:r>
      <w:r>
        <w:rPr>
          <w:noProof/>
          <w:webHidden/>
        </w:rPr>
        <w:instrText xml:space="preserve"> PAGEREF _Toc236657755 \h </w:instrText>
      </w:r>
      <w:r>
        <w:rPr>
          <w:noProof/>
          <w:webHidden/>
        </w:rPr>
        <w:fldChar w:fldCharType="separate"/>
      </w:r>
      <w:r>
        <w:rPr>
          <w:noProof/>
          <w:webHidden/>
        </w:rPr>
        <w:t>21</w:t>
      </w:r>
      <w:r>
        <w:rPr>
          <w:noProof/>
          <w:webHidden/>
        </w:rPr>
        <w:fldChar w:fldCharType="end"/>
      </w:r>
      <w:r>
        <w:rPr/>
        <w:fldChar w:fldCharType="end"/>
      </w:r>
    </w:p>
    <w:p w14:paraId="0BD32135">
      <w:pPr>
        <w:pStyle w:val="style20"/>
        <w:tabs>
          <w:tab w:val="right" w:leader="dot" w:pos="9016"/>
        </w:tabs>
        <w:rPr>
          <w:rFonts w:ascii="Calibri" w:eastAsia="宋体" w:hAnsi="Calibri"/>
          <w:noProof/>
          <w:szCs w:val="24"/>
          <w:lang w:eastAsia="en-IN"/>
        </w:rPr>
      </w:pPr>
      <w:r>
        <w:rPr/>
        <w:fldChar w:fldCharType="begin"/>
      </w:r>
      <w:r>
        <w:instrText xml:space="preserve"> HYPERLINK \l "_Toc236657756" </w:instrText>
      </w:r>
      <w:r>
        <w:rPr/>
        <w:fldChar w:fldCharType="separate"/>
      </w:r>
      <w:r>
        <w:rPr>
          <w:rStyle w:val="style85"/>
          <w:noProof/>
        </w:rPr>
        <w:t>2.2 Feelings</w:t>
      </w:r>
      <w:r>
        <w:rPr>
          <w:noProof/>
          <w:webHidden/>
        </w:rPr>
        <w:tab/>
      </w:r>
      <w:r>
        <w:rPr>
          <w:noProof/>
          <w:webHidden/>
        </w:rPr>
        <w:fldChar w:fldCharType="begin"/>
      </w:r>
      <w:r>
        <w:rPr>
          <w:noProof/>
          <w:webHidden/>
        </w:rPr>
        <w:instrText xml:space="preserve"> PAGEREF _Toc236657756 \h </w:instrText>
      </w:r>
      <w:r>
        <w:rPr>
          <w:noProof/>
          <w:webHidden/>
        </w:rPr>
        <w:fldChar w:fldCharType="separate"/>
      </w:r>
      <w:r>
        <w:rPr>
          <w:noProof/>
          <w:webHidden/>
        </w:rPr>
        <w:t>21</w:t>
      </w:r>
      <w:r>
        <w:rPr>
          <w:noProof/>
          <w:webHidden/>
        </w:rPr>
        <w:fldChar w:fldCharType="end"/>
      </w:r>
      <w:r>
        <w:rPr/>
        <w:fldChar w:fldCharType="end"/>
      </w:r>
    </w:p>
    <w:p w14:paraId="3DADAB79">
      <w:pPr>
        <w:pStyle w:val="style20"/>
        <w:tabs>
          <w:tab w:val="right" w:leader="dot" w:pos="9016"/>
        </w:tabs>
        <w:rPr>
          <w:rFonts w:ascii="Calibri" w:eastAsia="宋体" w:hAnsi="Calibri"/>
          <w:noProof/>
          <w:szCs w:val="24"/>
          <w:lang w:eastAsia="en-IN"/>
        </w:rPr>
      </w:pPr>
      <w:r>
        <w:rPr/>
        <w:fldChar w:fldCharType="begin"/>
      </w:r>
      <w:r>
        <w:instrText xml:space="preserve"> HYPERLINK \l "_Toc236657757" </w:instrText>
      </w:r>
      <w:r>
        <w:rPr/>
        <w:fldChar w:fldCharType="separate"/>
      </w:r>
      <w:r>
        <w:rPr>
          <w:rStyle w:val="style85"/>
          <w:noProof/>
        </w:rPr>
        <w:t>2.3 Evaluation</w:t>
      </w:r>
      <w:r>
        <w:rPr>
          <w:noProof/>
          <w:webHidden/>
        </w:rPr>
        <w:tab/>
      </w:r>
      <w:r>
        <w:rPr>
          <w:noProof/>
          <w:webHidden/>
        </w:rPr>
        <w:fldChar w:fldCharType="begin"/>
      </w:r>
      <w:r>
        <w:rPr>
          <w:noProof/>
          <w:webHidden/>
        </w:rPr>
        <w:instrText xml:space="preserve"> PAGEREF _Toc236657757 \h </w:instrText>
      </w:r>
      <w:r>
        <w:rPr>
          <w:noProof/>
          <w:webHidden/>
        </w:rPr>
        <w:fldChar w:fldCharType="separate"/>
      </w:r>
      <w:r>
        <w:rPr>
          <w:noProof/>
          <w:webHidden/>
        </w:rPr>
        <w:t>21</w:t>
      </w:r>
      <w:r>
        <w:rPr>
          <w:noProof/>
          <w:webHidden/>
        </w:rPr>
        <w:fldChar w:fldCharType="end"/>
      </w:r>
      <w:r>
        <w:rPr/>
        <w:fldChar w:fldCharType="end"/>
      </w:r>
    </w:p>
    <w:p w14:paraId="4A9803CB">
      <w:pPr>
        <w:pStyle w:val="style20"/>
        <w:tabs>
          <w:tab w:val="right" w:leader="dot" w:pos="9016"/>
        </w:tabs>
        <w:rPr>
          <w:rFonts w:ascii="Calibri" w:eastAsia="宋体" w:hAnsi="Calibri"/>
          <w:noProof/>
          <w:szCs w:val="24"/>
          <w:lang w:eastAsia="en-IN"/>
        </w:rPr>
      </w:pPr>
      <w:r>
        <w:rPr/>
        <w:fldChar w:fldCharType="begin"/>
      </w:r>
      <w:r>
        <w:instrText xml:space="preserve"> HYPERLINK \l "_Toc236657758" </w:instrText>
      </w:r>
      <w:r>
        <w:rPr/>
        <w:fldChar w:fldCharType="separate"/>
      </w:r>
      <w:r>
        <w:rPr>
          <w:rStyle w:val="style85"/>
          <w:noProof/>
        </w:rPr>
        <w:t>2.4 Analysis</w:t>
      </w:r>
      <w:r>
        <w:rPr>
          <w:noProof/>
          <w:webHidden/>
        </w:rPr>
        <w:tab/>
      </w:r>
      <w:r>
        <w:rPr>
          <w:noProof/>
          <w:webHidden/>
        </w:rPr>
        <w:fldChar w:fldCharType="begin"/>
      </w:r>
      <w:r>
        <w:rPr>
          <w:noProof/>
          <w:webHidden/>
        </w:rPr>
        <w:instrText xml:space="preserve"> PAGEREF _Toc236657758 \h </w:instrText>
      </w:r>
      <w:r>
        <w:rPr>
          <w:noProof/>
          <w:webHidden/>
        </w:rPr>
        <w:fldChar w:fldCharType="separate"/>
      </w:r>
      <w:r>
        <w:rPr>
          <w:noProof/>
          <w:webHidden/>
        </w:rPr>
        <w:t>22</w:t>
      </w:r>
      <w:r>
        <w:rPr>
          <w:noProof/>
          <w:webHidden/>
        </w:rPr>
        <w:fldChar w:fldCharType="end"/>
      </w:r>
      <w:r>
        <w:rPr/>
        <w:fldChar w:fldCharType="end"/>
      </w:r>
    </w:p>
    <w:p w14:paraId="44D65D7C">
      <w:pPr>
        <w:pStyle w:val="style20"/>
        <w:tabs>
          <w:tab w:val="right" w:leader="dot" w:pos="9016"/>
        </w:tabs>
        <w:rPr>
          <w:rFonts w:ascii="Calibri" w:eastAsia="宋体" w:hAnsi="Calibri"/>
          <w:noProof/>
          <w:szCs w:val="24"/>
          <w:lang w:eastAsia="en-IN"/>
        </w:rPr>
      </w:pPr>
      <w:r>
        <w:rPr/>
        <w:fldChar w:fldCharType="begin"/>
      </w:r>
      <w:r>
        <w:instrText xml:space="preserve"> HYPERLINK \l "_Toc236657759" </w:instrText>
      </w:r>
      <w:r>
        <w:rPr/>
        <w:fldChar w:fldCharType="separate"/>
      </w:r>
      <w:r>
        <w:rPr>
          <w:rStyle w:val="style85"/>
          <w:noProof/>
        </w:rPr>
        <w:t>2.5 Conclusion</w:t>
      </w:r>
      <w:r>
        <w:rPr>
          <w:noProof/>
          <w:webHidden/>
        </w:rPr>
        <w:tab/>
      </w:r>
      <w:r>
        <w:rPr>
          <w:noProof/>
          <w:webHidden/>
        </w:rPr>
        <w:fldChar w:fldCharType="begin"/>
      </w:r>
      <w:r>
        <w:rPr>
          <w:noProof/>
          <w:webHidden/>
        </w:rPr>
        <w:instrText xml:space="preserve"> PAGEREF _Toc236657759 \h </w:instrText>
      </w:r>
      <w:r>
        <w:rPr>
          <w:noProof/>
          <w:webHidden/>
        </w:rPr>
        <w:fldChar w:fldCharType="separate"/>
      </w:r>
      <w:r>
        <w:rPr>
          <w:noProof/>
          <w:webHidden/>
        </w:rPr>
        <w:t>22</w:t>
      </w:r>
      <w:r>
        <w:rPr>
          <w:noProof/>
          <w:webHidden/>
        </w:rPr>
        <w:fldChar w:fldCharType="end"/>
      </w:r>
      <w:r>
        <w:rPr/>
        <w:fldChar w:fldCharType="end"/>
      </w:r>
    </w:p>
    <w:p w14:paraId="6ECD369C">
      <w:pPr>
        <w:pStyle w:val="style20"/>
        <w:tabs>
          <w:tab w:val="right" w:leader="dot" w:pos="9016"/>
        </w:tabs>
        <w:rPr>
          <w:rFonts w:ascii="Calibri" w:eastAsia="宋体" w:hAnsi="Calibri"/>
          <w:noProof/>
          <w:szCs w:val="24"/>
          <w:lang w:eastAsia="en-IN"/>
        </w:rPr>
      </w:pPr>
      <w:r>
        <w:rPr/>
        <w:fldChar w:fldCharType="begin"/>
      </w:r>
      <w:r>
        <w:instrText xml:space="preserve"> HYPERLINK \l "_Toc236657760" </w:instrText>
      </w:r>
      <w:r>
        <w:rPr/>
        <w:fldChar w:fldCharType="separate"/>
      </w:r>
      <w:r>
        <w:rPr>
          <w:rStyle w:val="style85"/>
          <w:noProof/>
        </w:rPr>
        <w:t>2.6 Action Plan</w:t>
      </w:r>
      <w:r>
        <w:rPr>
          <w:noProof/>
          <w:webHidden/>
        </w:rPr>
        <w:tab/>
      </w:r>
      <w:r>
        <w:rPr>
          <w:noProof/>
          <w:webHidden/>
        </w:rPr>
        <w:fldChar w:fldCharType="begin"/>
      </w:r>
      <w:r>
        <w:rPr>
          <w:noProof/>
          <w:webHidden/>
        </w:rPr>
        <w:instrText xml:space="preserve"> PAGEREF _Toc236657760 \h </w:instrText>
      </w:r>
      <w:r>
        <w:rPr>
          <w:noProof/>
          <w:webHidden/>
        </w:rPr>
        <w:fldChar w:fldCharType="separate"/>
      </w:r>
      <w:r>
        <w:rPr>
          <w:noProof/>
          <w:webHidden/>
        </w:rPr>
        <w:t>23</w:t>
      </w:r>
      <w:r>
        <w:rPr>
          <w:noProof/>
          <w:webHidden/>
        </w:rPr>
        <w:fldChar w:fldCharType="end"/>
      </w:r>
      <w:r>
        <w:rPr/>
        <w:fldChar w:fldCharType="end"/>
      </w:r>
    </w:p>
    <w:p w14:paraId="51B4F356">
      <w:pPr>
        <w:pStyle w:val="style19"/>
        <w:tabs>
          <w:tab w:val="right" w:leader="dot" w:pos="9016"/>
        </w:tabs>
        <w:rPr>
          <w:rFonts w:ascii="Calibri" w:eastAsia="宋体" w:hAnsi="Calibri"/>
          <w:noProof/>
          <w:szCs w:val="24"/>
          <w:lang w:eastAsia="en-IN"/>
        </w:rPr>
      </w:pPr>
      <w:r>
        <w:rPr/>
        <w:fldChar w:fldCharType="begin"/>
      </w:r>
      <w:r>
        <w:instrText xml:space="preserve"> HYPERLINK \l "_Toc236657761"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_Toc236657761 \h </w:instrText>
      </w:r>
      <w:r>
        <w:rPr>
          <w:noProof/>
          <w:webHidden/>
        </w:rPr>
        <w:fldChar w:fldCharType="separate"/>
      </w:r>
      <w:r>
        <w:rPr>
          <w:noProof/>
          <w:webHidden/>
        </w:rPr>
        <w:t>24</w:t>
      </w:r>
      <w:r>
        <w:rPr>
          <w:noProof/>
          <w:webHidden/>
        </w:rPr>
        <w:fldChar w:fldCharType="end"/>
      </w:r>
      <w:r>
        <w:rPr/>
        <w:fldChar w:fldCharType="end"/>
      </w:r>
    </w:p>
    <w:p w14:paraId="786E6F8C">
      <w:pPr>
        <w:pStyle w:val="style0"/>
        <w:rPr/>
      </w:pPr>
      <w:r>
        <w:rPr>
          <w:b/>
          <w:bCs/>
          <w:noProof/>
        </w:rPr>
        <w:fldChar w:fldCharType="end"/>
      </w:r>
    </w:p>
    <w:p w14:paraId="52639D0C">
      <w:pPr>
        <w:pStyle w:val="style0"/>
        <w:rPr>
          <w:b/>
          <w:bCs/>
          <w:sz w:val="28"/>
          <w:szCs w:val="24"/>
        </w:rPr>
      </w:pPr>
      <w:r>
        <w:rPr>
          <w:b/>
          <w:bCs/>
          <w:sz w:val="28"/>
          <w:szCs w:val="24"/>
        </w:rPr>
        <w:br w:type="page"/>
      </w:r>
    </w:p>
    <w:bookmarkStart w:id="0" w:name="_Toc236657731"/>
    <w:p w14:paraId="7D4085A2">
      <w:pPr>
        <w:pStyle w:val="style1"/>
        <w:rPr/>
      </w:pPr>
      <w:r>
        <w:t>SECTION 1</w:t>
      </w:r>
      <w:r>
        <w:t>: REPORT</w:t>
      </w:r>
      <w:bookmarkEnd w:id="0"/>
    </w:p>
    <w:bookmarkStart w:id="1" w:name="_Toc236657732"/>
    <w:p w14:paraId="1A4DC54C">
      <w:pPr>
        <w:pStyle w:val="style2"/>
        <w:rPr/>
      </w:pPr>
      <w:r>
        <w:t>1</w:t>
      </w:r>
      <w:r>
        <w:t xml:space="preserve">. </w:t>
      </w:r>
      <w:r>
        <w:t>Introduction</w:t>
      </w:r>
      <w:bookmarkEnd w:id="1"/>
      <w:r>
        <w:t xml:space="preserve"> </w:t>
      </w:r>
    </w:p>
    <w:bookmarkStart w:id="2" w:name="_Toc236657733"/>
    <w:p w14:paraId="323645EE">
      <w:pPr>
        <w:pStyle w:val="style3"/>
        <w:rPr/>
      </w:pPr>
      <w:r>
        <w:t>1.1 Background</w:t>
      </w:r>
      <w:bookmarkEnd w:id="2"/>
    </w:p>
    <w:p w14:paraId="11AF344F">
      <w:pPr>
        <w:pStyle w:val="style0"/>
        <w:rPr/>
      </w:pPr>
      <w:r>
        <w:t xml:space="preserve">International marketing is the process of planning, pricing, promoting and distributing products internationally and adjusting the marketing strategy according to varying economic, cultural, political, and legal conditions </w:t>
      </w:r>
      <w:r>
        <w:t>(Doole and Lowe, 2012</w:t>
      </w:r>
      <w:r>
        <w:t>). Globalisation has influenced the growth of international business by facilitating trade liberalisation, digital connectivity and consumer access to brands present in multiple countries, demanding firms to create a balance between a standardised approach and adjusting to the local marketplace</w:t>
      </w:r>
      <w:r>
        <w:t xml:space="preserve"> </w:t>
      </w:r>
      <w:r>
        <w:t>(Keegan, 2010)</w:t>
      </w:r>
      <w:r>
        <w:t>. Thus, the successful multinational firms are increasingly adapting their strategies to the preferences, regulatory requirements and competitive conditions of the local markets, in order to gain and sustain competitive advantage.</w:t>
      </w:r>
    </w:p>
    <w:p w14:paraId="1033EF1C">
      <w:pPr>
        <w:pStyle w:val="style0"/>
        <w:keepNext/>
        <w:jc w:val="center"/>
        <w:rPr/>
      </w:pPr>
      <w:r>
        <w:rPr>
          <w:noProof/>
        </w:rPr>
        <w:drawing>
          <wp:inline distL="0" distT="0" distB="0" distR="0">
            <wp:extent cx="4733290" cy="2012670"/>
            <wp:effectExtent l="152400" t="152400" r="314960" b="311785"/>
            <wp:docPr id="1027"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4733290" cy="2012670"/>
                    </a:xfrm>
                    <a:prstGeom prst="rect"/>
                    <a:ln>
                      <a:noFill/>
                    </a:ln>
                    <a:effectLst>
                      <a:outerShdw rotWithShape="false" sx="100000" sy="100000" dist="139700" dir="2700000" blurRad="292100" kx="0" ky="0" algn="tl">
                        <a:srgbClr val="333333">
                          <a:alpha val="65000"/>
                        </a:srgbClr>
                      </a:outerShdw>
                    </a:effectLst>
                  </pic:spPr>
                </pic:pic>
              </a:graphicData>
            </a:graphic>
          </wp:inline>
        </w:drawing>
      </w:r>
    </w:p>
    <w:p w14:paraId="296A2169">
      <w:pPr>
        <w:pStyle w:val="style0"/>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noProof/>
        </w:rPr>
        <w:t>1</w:t>
      </w:r>
      <w:r>
        <w:rPr>
          <w:b/>
          <w:bCs/>
        </w:rPr>
        <w:fldChar w:fldCharType="end"/>
      </w:r>
      <w:r>
        <w:rPr>
          <w:b/>
          <w:bCs/>
        </w:rPr>
        <w:t>: Cadbury Logo</w:t>
      </w:r>
    </w:p>
    <w:p w14:paraId="625A4DE3">
      <w:pPr>
        <w:pStyle w:val="style0"/>
        <w:jc w:val="center"/>
        <w:rPr/>
      </w:pPr>
      <w:r>
        <w:t>Source:</w:t>
      </w:r>
      <w:r>
        <w:t xml:space="preserve"> </w:t>
      </w:r>
      <w:r>
        <w:t>(Cadbury, 2024)</w:t>
      </w:r>
    </w:p>
    <w:p w14:paraId="2C624D62">
      <w:pPr>
        <w:pStyle w:val="style0"/>
        <w:rPr/>
      </w:pPr>
      <w:r>
        <w:t xml:space="preserve">This report focuses on </w:t>
      </w:r>
      <w:r>
        <w:rPr>
          <w:b/>
          <w:bCs/>
          <w:i/>
          <w:iCs/>
        </w:rPr>
        <w:t>Cadbury</w:t>
      </w:r>
      <w:r>
        <w:t>, a globally recognised confectionery brand owned by Mondelēz International, which operates in more than 150 countries</w:t>
      </w:r>
      <w:r>
        <w:t xml:space="preserve"> </w:t>
      </w:r>
      <w:r>
        <w:t>(Cadbury, 2024)</w:t>
      </w:r>
      <w:r>
        <w:t xml:space="preserve">. The report compares the Cadbury's international marketing strategies in the </w:t>
      </w:r>
      <w:r>
        <w:rPr>
          <w:b/>
          <w:bCs/>
          <w:i/>
          <w:iCs/>
        </w:rPr>
        <w:t>United Kingdom</w:t>
      </w:r>
      <w:r>
        <w:t xml:space="preserve"> its home market and </w:t>
      </w:r>
      <w:r>
        <w:rPr>
          <w:b/>
          <w:bCs/>
          <w:i/>
          <w:iCs/>
        </w:rPr>
        <w:t>India</w:t>
      </w:r>
      <w:r>
        <w:t xml:space="preserve"> one of the largest and fastest-growing international market. These countries offer a helpful point of reference when looking at the impact variations in macro-environmental conditions and cultural traits have on international marketing decisions.</w:t>
      </w:r>
    </w:p>
    <w:bookmarkStart w:id="3" w:name="_Toc236657734"/>
    <w:p w14:paraId="385468AF">
      <w:pPr>
        <w:pStyle w:val="style3"/>
        <w:rPr/>
      </w:pPr>
      <w:r>
        <w:t>1.</w:t>
      </w:r>
      <w:r>
        <w:t xml:space="preserve">2 </w:t>
      </w:r>
      <w:r>
        <w:t>Purpose and Report Structure</w:t>
      </w:r>
      <w:bookmarkEnd w:id="3"/>
    </w:p>
    <w:p w14:paraId="7FC4DC4E">
      <w:pPr>
        <w:pStyle w:val="style0"/>
        <w:rPr/>
      </w:pPr>
      <w:r>
        <w:t>This report aims to compare Cadbury's country positioning marketing strategies in United Kingdom and India in the context of their macroenvironment (PESTEL and Hofstede's cultural dimension), analyse company positioning STP and 7Ps marketing mix strategies, investigate Cadbury's marketing entry strategy in the Indian market, review the ethical dilemma which faced while working with Cadbury and provide strategic recommendations based on evidences. The report does not simply outline Cadbury's international activities but also critically presents the problems of how different national environments influence strategic marketing decisions making, giving meaningful insight to management as to how to successfully adapt their marketing mix while overseas to achieve competitive success.</w:t>
      </w:r>
    </w:p>
    <w:p w14:paraId="3C7A6865">
      <w:pPr>
        <w:pStyle w:val="style0"/>
        <w:rPr>
          <w:b/>
          <w:bCs/>
        </w:rPr>
      </w:pPr>
      <w:r>
        <w:rPr>
          <w:b/>
          <w:bCs/>
        </w:rPr>
        <w:t>2. Company Background</w:t>
      </w:r>
    </w:p>
    <w:p w14:paraId="6B6CF97E">
      <w:pPr>
        <w:pStyle w:val="style0"/>
        <w:rPr/>
      </w:pPr>
      <w:r>
        <w:t>John Cadbury, based in Birmingham, United Kingdom established Cadbury in 1824 and has become one of the most recognisable confection brands in the world</w:t>
      </w:r>
      <w:r>
        <w:t xml:space="preserve"> </w:t>
      </w:r>
      <w:r>
        <w:t>(Cadbury, 2024)</w:t>
      </w:r>
      <w:r>
        <w:t>. The company began as a small grocery store offering cocoa and drinking chocolate, and has since grown into a global chocolate maker, famous for its packaging and iconic brands, including Dairy Milk, Dairy Milk Silk, Bournville, Flake, Wispa and 5 Star. Since Cadbury was acquired by Mondelēz International in 2010, it has had widely available sales networks, new product development, and international marketing strategies</w:t>
      </w:r>
      <w:r>
        <w:t xml:space="preserve"> </w:t>
      </w:r>
      <w:r>
        <w:t>(Cadbury, 2024)</w:t>
      </w:r>
      <w:r>
        <w:t>.</w:t>
      </w:r>
    </w:p>
    <w:p w14:paraId="6D989D66">
      <w:pPr>
        <w:pStyle w:val="style0"/>
        <w:keepNext/>
        <w:jc w:val="center"/>
        <w:rPr/>
      </w:pPr>
      <w:r>
        <w:rPr>
          <w:noProof/>
        </w:rPr>
        <w:drawing>
          <wp:inline distL="0" distT="0" distB="0" distR="0">
            <wp:extent cx="4977348" cy="2514600"/>
            <wp:effectExtent l="152400" t="152400" r="356870" b="361950"/>
            <wp:docPr id="1028" name="Picture 1" descr="Mondelez International Second Quarter 2025 Earnings: Revenues Beat  Expectations, EPS Lags - Simply Wall St New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4977348" cy="2514600"/>
                    </a:xfrm>
                    <a:prstGeom prst="rect"/>
                    <a:ln>
                      <a:noFill/>
                    </a:ln>
                    <a:effectLst>
                      <a:outerShdw rotWithShape="false" sx="100000" sy="100000" dist="139700" dir="2700000" blurRad="292100" kx="0" ky="0" algn="tl">
                        <a:srgbClr val="333333">
                          <a:alpha val="65000"/>
                        </a:srgbClr>
                      </a:outerShdw>
                    </a:effectLst>
                  </pic:spPr>
                </pic:pic>
              </a:graphicData>
            </a:graphic>
          </wp:inline>
        </w:drawing>
      </w:r>
    </w:p>
    <w:p w14:paraId="64C66359">
      <w:pPr>
        <w:pStyle w:val="style0"/>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noProof/>
        </w:rPr>
        <w:t>2</w:t>
      </w:r>
      <w:r>
        <w:rPr>
          <w:b/>
          <w:bCs/>
        </w:rPr>
        <w:fldChar w:fldCharType="end"/>
      </w:r>
      <w:r>
        <w:rPr>
          <w:b/>
          <w:bCs/>
        </w:rPr>
        <w:t>: Mondelēz International</w:t>
      </w:r>
      <w:r>
        <w:rPr>
          <w:b/>
          <w:bCs/>
        </w:rPr>
        <w:t xml:space="preserve"> Revenue</w:t>
      </w:r>
    </w:p>
    <w:p w14:paraId="18FBA4AC">
      <w:pPr>
        <w:pStyle w:val="style0"/>
        <w:jc w:val="center"/>
        <w:rPr/>
      </w:pPr>
      <w:r>
        <w:t>Source:</w:t>
      </w:r>
      <w:r>
        <w:t xml:space="preserve"> (Wall, 2025)</w:t>
      </w:r>
    </w:p>
    <w:p w14:paraId="7D486E6F">
      <w:pPr>
        <w:pStyle w:val="style0"/>
        <w:rPr/>
      </w:pPr>
      <w:r>
        <w:t xml:space="preserve">Mondelēz International company has operations in over 150 nations and employs roughly 90,000 people worldwide. According to Mondelēz International (2025) and Wall (2025), the company recorded revenues </w:t>
      </w:r>
      <w:r>
        <w:t>totaling</w:t>
      </w:r>
      <w:r>
        <w:t xml:space="preserve"> $37.105 billion for 2025, which suggests that the company is well-established in the global snacks industry. The Cadbury product continues to be one of the major chocolate brands under the company's ownership and holds prominent market positions in many foreign markets, especially in the UK and India</w:t>
      </w:r>
      <w:r>
        <w:t xml:space="preserve">. </w:t>
      </w:r>
    </w:p>
    <w:p w14:paraId="7844879A">
      <w:pPr>
        <w:pStyle w:val="style0"/>
        <w:rPr/>
      </w:pPr>
      <w:r>
        <w:t xml:space="preserve">Cadbury is one of the most appropriate brands to be considered in </w:t>
      </w:r>
      <w:r>
        <w:t>analyzing</w:t>
      </w:r>
      <w:r>
        <w:t xml:space="preserve"> international marketing since it is a global success story that sacrifices the core standardization of its brand by varying the product, price, promotion and placement in order to address the needs of varying economic and cultural circumstances. </w:t>
      </w:r>
      <w:r>
        <w:t>Moreover, it</w:t>
      </w:r>
      <w:r>
        <w:t xml:space="preserve"> provides understanding of the marketing mix where the brand can be used as an example in </w:t>
      </w:r>
      <w:r>
        <w:t>analyzing</w:t>
      </w:r>
      <w:r>
        <w:t xml:space="preserve"> the different aspects of global marketing such as the market entry, competitive advantage and different marketing strategies in mature UK and fast-growing Indian markets</w:t>
      </w:r>
      <w:r>
        <w:t>.</w:t>
      </w:r>
    </w:p>
    <w:bookmarkStart w:id="4" w:name="_Toc236657735"/>
    <w:p w14:paraId="1C2FCB79">
      <w:pPr>
        <w:pStyle w:val="style2"/>
        <w:rPr/>
      </w:pPr>
      <w:r>
        <w:t xml:space="preserve">3. </w:t>
      </w:r>
      <w:r>
        <w:t>Comparative Market Analysis</w:t>
      </w:r>
      <w:bookmarkEnd w:id="4"/>
    </w:p>
    <w:bookmarkStart w:id="5" w:name="_Toc236657736"/>
    <w:p w14:paraId="3474EC69">
      <w:pPr>
        <w:pStyle w:val="style3"/>
        <w:rPr/>
      </w:pPr>
      <w:r>
        <w:t>3.1 PESTEL Comparison: United Kingdom and India</w:t>
      </w:r>
      <w:bookmarkEnd w:id="5"/>
    </w:p>
    <w:tbl>
      <w:tblPr>
        <w:tblStyle w:val="style4111"/>
        <w:tblW w:w="0" w:type="auto"/>
        <w:tblLook w:val="04A0" w:firstRow="1" w:lastRow="0" w:firstColumn="1" w:lastColumn="0" w:noHBand="0" w:noVBand="1"/>
      </w:tblPr>
      <w:tblGrid>
        <w:gridCol w:w="1829"/>
        <w:gridCol w:w="2447"/>
        <w:gridCol w:w="2509"/>
        <w:gridCol w:w="2238"/>
      </w:tblGrid>
      <w:tr w14:paraId="7C1DB860">
        <w:trPr/>
        <w:tc>
          <w:tcPr>
            <w:tcW w:w="0" w:type="auto"/>
            <w:tcBorders/>
            <w:hideMark/>
          </w:tcPr>
          <w:p w14:paraId="049E3690">
            <w:pPr>
              <w:pStyle w:val="style0"/>
              <w:jc w:val="center"/>
              <w:rPr/>
            </w:pPr>
            <w:r>
              <w:t>Factor</w:t>
            </w:r>
          </w:p>
        </w:tc>
        <w:tc>
          <w:tcPr>
            <w:tcW w:w="0" w:type="auto"/>
            <w:tcBorders/>
            <w:hideMark/>
          </w:tcPr>
          <w:p w14:paraId="449FF18D">
            <w:pPr>
              <w:pStyle w:val="style0"/>
              <w:jc w:val="center"/>
              <w:rPr/>
            </w:pPr>
            <w:r>
              <w:t>United Kingdom</w:t>
            </w:r>
          </w:p>
        </w:tc>
        <w:tc>
          <w:tcPr>
            <w:tcW w:w="0" w:type="auto"/>
            <w:tcBorders/>
            <w:hideMark/>
          </w:tcPr>
          <w:p w14:paraId="470293C0">
            <w:pPr>
              <w:pStyle w:val="style0"/>
              <w:jc w:val="center"/>
              <w:rPr/>
            </w:pPr>
            <w:r>
              <w:t>India</w:t>
            </w:r>
          </w:p>
        </w:tc>
        <w:tc>
          <w:tcPr>
            <w:tcW w:w="0" w:type="auto"/>
            <w:tcBorders/>
            <w:hideMark/>
          </w:tcPr>
          <w:p w14:paraId="48EB0B4F">
            <w:pPr>
              <w:pStyle w:val="style0"/>
              <w:jc w:val="center"/>
              <w:rPr/>
            </w:pPr>
            <w:r>
              <w:t>Marketing Implications for Cadbury</w:t>
            </w:r>
          </w:p>
        </w:tc>
      </w:tr>
      <w:tr w14:paraId="4AAFA6B9">
        <w:tblPrEx/>
        <w:trPr/>
        <w:tc>
          <w:tcPr>
            <w:tcW w:w="0" w:type="auto"/>
            <w:tcBorders/>
            <w:shd w:val="clear" w:color="auto" w:fill="006699"/>
            <w:hideMark/>
          </w:tcPr>
          <w:p w14:paraId="1B37438C">
            <w:pPr>
              <w:pStyle w:val="style0"/>
              <w:jc w:val="center"/>
              <w:rPr>
                <w:color w:val="ffffff"/>
              </w:rPr>
            </w:pPr>
            <w:r>
              <w:rPr>
                <w:color w:val="ffffff"/>
              </w:rPr>
              <w:t>Political</w:t>
            </w:r>
          </w:p>
        </w:tc>
        <w:tc>
          <w:tcPr>
            <w:tcW w:w="0" w:type="auto"/>
            <w:tcBorders/>
            <w:shd w:val="clear" w:color="auto" w:fill="deeaf6"/>
            <w:hideMark/>
          </w:tcPr>
          <w:p w14:paraId="32271153">
            <w:pPr>
              <w:pStyle w:val="style0"/>
              <w:rPr/>
            </w:pPr>
            <w:r>
              <w:t>Stable democratic institutions and strong regulatory environment.</w:t>
            </w:r>
          </w:p>
        </w:tc>
        <w:tc>
          <w:tcPr>
            <w:tcW w:w="0" w:type="auto"/>
            <w:tcBorders/>
            <w:shd w:val="clear" w:color="auto" w:fill="deeaf6"/>
            <w:hideMark/>
          </w:tcPr>
          <w:p w14:paraId="1FD07139">
            <w:pPr>
              <w:pStyle w:val="style0"/>
              <w:rPr/>
            </w:pPr>
            <w:r>
              <w:t>Stable democracy with supportive manufacturing and FDI policies but greater regulatory complexity across states</w:t>
            </w:r>
            <w:r>
              <w:t xml:space="preserve"> </w:t>
            </w:r>
            <w:r>
              <w:t>(SINHA, 2004)</w:t>
            </w:r>
            <w:r>
              <w:t>.</w:t>
            </w:r>
          </w:p>
        </w:tc>
        <w:tc>
          <w:tcPr>
            <w:tcW w:w="0" w:type="auto"/>
            <w:tcBorders/>
            <w:shd w:val="clear" w:color="auto" w:fill="deeaf6"/>
            <w:hideMark/>
          </w:tcPr>
          <w:p w14:paraId="1A9469E8">
            <w:pPr>
              <w:pStyle w:val="style0"/>
              <w:rPr/>
            </w:pPr>
            <w:r>
              <w:t>There is regulatory certainty in the UK, while in India there are more chances for growth but adaptation to the market is necessary.</w:t>
            </w:r>
          </w:p>
        </w:tc>
      </w:tr>
      <w:tr w14:paraId="640B4F29">
        <w:tblPrEx/>
        <w:trPr/>
        <w:tc>
          <w:tcPr>
            <w:tcW w:w="0" w:type="auto"/>
            <w:tcBorders/>
            <w:shd w:val="clear" w:color="auto" w:fill="006699"/>
            <w:hideMark/>
          </w:tcPr>
          <w:p w14:paraId="4F9BDEF3">
            <w:pPr>
              <w:pStyle w:val="style0"/>
              <w:jc w:val="center"/>
              <w:rPr>
                <w:color w:val="ffffff"/>
              </w:rPr>
            </w:pPr>
            <w:r>
              <w:rPr>
                <w:color w:val="ffffff"/>
              </w:rPr>
              <w:t>Economic</w:t>
            </w:r>
          </w:p>
        </w:tc>
        <w:tc>
          <w:tcPr>
            <w:tcW w:w="0" w:type="auto"/>
            <w:tcBorders/>
            <w:hideMark/>
          </w:tcPr>
          <w:p w14:paraId="29C4DEA7">
            <w:pPr>
              <w:pStyle w:val="style0"/>
              <w:rPr/>
            </w:pPr>
            <w:r>
              <w:t>Mature economy (GDP US$</w:t>
            </w:r>
            <w:r>
              <w:t>4.26</w:t>
            </w:r>
            <w:r>
              <w:t xml:space="preserve"> trillion; GDP per capita US$53,246; inflation 3.3%; internet penetration </w:t>
            </w:r>
            <w:r>
              <w:t>95%)</w:t>
            </w:r>
            <w:r>
              <w:t xml:space="preserve"> </w:t>
            </w:r>
            <w:r>
              <w:t>(IMF, 2024</w:t>
            </w:r>
            <w:r>
              <w:t xml:space="preserve">; </w:t>
            </w:r>
            <w:r>
              <w:t>Statista, 2022)</w:t>
            </w:r>
            <w:r>
              <w:t>.</w:t>
            </w:r>
          </w:p>
        </w:tc>
        <w:tc>
          <w:tcPr>
            <w:tcW w:w="0" w:type="auto"/>
            <w:tcBorders/>
            <w:hideMark/>
          </w:tcPr>
          <w:p w14:paraId="009E865D">
            <w:pPr>
              <w:pStyle w:val="style0"/>
              <w:rPr/>
            </w:pPr>
            <w:r>
              <w:t>Fast-growing economy (GDP US$3.9</w:t>
            </w:r>
            <w:r>
              <w:t>6</w:t>
            </w:r>
            <w:r>
              <w:t>trillion; GDP growth 6.5%; population 1.46 billion; internet penetration about 70%)</w:t>
            </w:r>
            <w:r>
              <w:t xml:space="preserve"> </w:t>
            </w:r>
            <w:r>
              <w:t xml:space="preserve">(The World Bank, </w:t>
            </w:r>
            <w:r>
              <w:t>2025</w:t>
            </w:r>
            <w:r>
              <w:t xml:space="preserve">; </w:t>
            </w:r>
            <w:r>
              <w:t>NDTV, 2025</w:t>
            </w:r>
            <w:r>
              <w:t xml:space="preserve">; </w:t>
            </w:r>
            <w:r>
              <w:t>Pauw, 2022)</w:t>
            </w:r>
            <w:r>
              <w:t>.</w:t>
            </w:r>
          </w:p>
        </w:tc>
        <w:tc>
          <w:tcPr>
            <w:tcW w:w="0" w:type="auto"/>
            <w:tcBorders/>
            <w:hideMark/>
          </w:tcPr>
          <w:p w14:paraId="5C953B28">
            <w:pPr>
              <w:pStyle w:val="style0"/>
              <w:rPr/>
            </w:pPr>
            <w:r>
              <w:t>India provides volume growth, whereas the UK provides better purchasing power and premium products.</w:t>
            </w:r>
          </w:p>
        </w:tc>
      </w:tr>
      <w:tr w14:paraId="4574B1AE">
        <w:tblPrEx/>
        <w:trPr/>
        <w:tc>
          <w:tcPr>
            <w:tcW w:w="0" w:type="auto"/>
            <w:tcBorders/>
            <w:shd w:val="clear" w:color="auto" w:fill="006699"/>
            <w:hideMark/>
          </w:tcPr>
          <w:p w14:paraId="20E8D733">
            <w:pPr>
              <w:pStyle w:val="style0"/>
              <w:jc w:val="center"/>
              <w:rPr>
                <w:color w:val="ffffff"/>
              </w:rPr>
            </w:pPr>
            <w:r>
              <w:rPr>
                <w:color w:val="ffffff"/>
              </w:rPr>
              <w:t>Social</w:t>
            </w:r>
          </w:p>
        </w:tc>
        <w:tc>
          <w:tcPr>
            <w:tcW w:w="0" w:type="auto"/>
            <w:tcBorders/>
            <w:shd w:val="clear" w:color="auto" w:fill="deeaf6"/>
            <w:hideMark/>
          </w:tcPr>
          <w:p w14:paraId="1F948A4F">
            <w:pPr>
              <w:pStyle w:val="style0"/>
              <w:rPr/>
            </w:pPr>
            <w:r>
              <w:t>Ageing population, high health awareness and increasing demand for low-sugar products.</w:t>
            </w:r>
          </w:p>
        </w:tc>
        <w:tc>
          <w:tcPr>
            <w:tcW w:w="0" w:type="auto"/>
            <w:tcBorders/>
            <w:shd w:val="clear" w:color="auto" w:fill="deeaf6"/>
            <w:hideMark/>
          </w:tcPr>
          <w:p w14:paraId="208AB6D1">
            <w:pPr>
              <w:pStyle w:val="style0"/>
              <w:rPr/>
            </w:pPr>
            <w:r>
              <w:t>Young population, rapid urbanisation, rising middle class and strong gifting culture.</w:t>
            </w:r>
          </w:p>
        </w:tc>
        <w:tc>
          <w:tcPr>
            <w:tcW w:w="0" w:type="auto"/>
            <w:tcBorders/>
            <w:shd w:val="clear" w:color="auto" w:fill="deeaf6"/>
            <w:hideMark/>
          </w:tcPr>
          <w:p w14:paraId="049439A9">
            <w:pPr>
              <w:pStyle w:val="style0"/>
              <w:rPr/>
            </w:pPr>
            <w:r>
              <w:t>Portfolios should be based on different consumers’ lifestyles and purchasing motivations.</w:t>
            </w:r>
          </w:p>
        </w:tc>
      </w:tr>
      <w:tr w14:paraId="3EA41B41">
        <w:tblPrEx/>
        <w:trPr/>
        <w:tc>
          <w:tcPr>
            <w:tcW w:w="0" w:type="auto"/>
            <w:tcBorders/>
            <w:shd w:val="clear" w:color="auto" w:fill="006699"/>
            <w:hideMark/>
          </w:tcPr>
          <w:p w14:paraId="28D13D46">
            <w:pPr>
              <w:pStyle w:val="style0"/>
              <w:jc w:val="center"/>
              <w:rPr>
                <w:color w:val="ffffff"/>
              </w:rPr>
            </w:pPr>
            <w:r>
              <w:rPr>
                <w:color w:val="ffffff"/>
              </w:rPr>
              <w:t>Technological</w:t>
            </w:r>
          </w:p>
        </w:tc>
        <w:tc>
          <w:tcPr>
            <w:tcW w:w="0" w:type="auto"/>
            <w:tcBorders/>
            <w:hideMark/>
          </w:tcPr>
          <w:p w14:paraId="7E2870D4">
            <w:pPr>
              <w:pStyle w:val="style0"/>
              <w:rPr/>
            </w:pPr>
            <w:r>
              <w:t>Highly developed digital infrastructure and widespread omnichannel retailing.</w:t>
            </w:r>
          </w:p>
        </w:tc>
        <w:tc>
          <w:tcPr>
            <w:tcW w:w="0" w:type="auto"/>
            <w:tcBorders/>
            <w:hideMark/>
          </w:tcPr>
          <w:p w14:paraId="707D8360">
            <w:pPr>
              <w:pStyle w:val="style0"/>
              <w:rPr/>
            </w:pPr>
            <w:r>
              <w:t>Rapid digital transformation supported by smartphone adoption, e-commerce and digital payments</w:t>
            </w:r>
            <w:r>
              <w:t xml:space="preserve"> </w:t>
            </w:r>
            <w:r>
              <w:t>(</w:t>
            </w:r>
            <w:r>
              <w:t>Molintas</w:t>
            </w:r>
            <w:r>
              <w:t>, 2015)</w:t>
            </w:r>
            <w:r>
              <w:t>.</w:t>
            </w:r>
          </w:p>
        </w:tc>
        <w:tc>
          <w:tcPr>
            <w:tcW w:w="0" w:type="auto"/>
            <w:tcBorders/>
            <w:hideMark/>
          </w:tcPr>
          <w:p w14:paraId="1A25FE93">
            <w:pPr>
              <w:pStyle w:val="style0"/>
              <w:rPr/>
            </w:pPr>
            <w:r>
              <w:t>Digital marketing and e-commerce are essential in both markets but need different approaches.</w:t>
            </w:r>
          </w:p>
        </w:tc>
      </w:tr>
      <w:tr w14:paraId="12600073">
        <w:tblPrEx/>
        <w:trPr/>
        <w:tc>
          <w:tcPr>
            <w:tcW w:w="0" w:type="auto"/>
            <w:tcBorders/>
            <w:shd w:val="clear" w:color="auto" w:fill="006699"/>
            <w:hideMark/>
          </w:tcPr>
          <w:p w14:paraId="38B65BE3">
            <w:pPr>
              <w:pStyle w:val="style0"/>
              <w:jc w:val="center"/>
              <w:rPr>
                <w:color w:val="ffffff"/>
              </w:rPr>
            </w:pPr>
            <w:r>
              <w:rPr>
                <w:color w:val="ffffff"/>
              </w:rPr>
              <w:t>Environmental</w:t>
            </w:r>
          </w:p>
        </w:tc>
        <w:tc>
          <w:tcPr>
            <w:tcW w:w="0" w:type="auto"/>
            <w:tcBorders/>
            <w:shd w:val="clear" w:color="auto" w:fill="deeaf6"/>
            <w:hideMark/>
          </w:tcPr>
          <w:p w14:paraId="46EFF40C">
            <w:pPr>
              <w:pStyle w:val="style0"/>
              <w:rPr/>
            </w:pPr>
            <w:r>
              <w:t>Strict sustainability legislation and strong consumer expectations regarding recyclable packaging</w:t>
            </w:r>
            <w:r>
              <w:t xml:space="preserve"> </w:t>
            </w:r>
            <w:r>
              <w:t>(Norton et al., 2022)</w:t>
            </w:r>
            <w:r>
              <w:t>.</w:t>
            </w:r>
          </w:p>
        </w:tc>
        <w:tc>
          <w:tcPr>
            <w:tcW w:w="0" w:type="auto"/>
            <w:tcBorders/>
            <w:shd w:val="clear" w:color="auto" w:fill="deeaf6"/>
            <w:hideMark/>
          </w:tcPr>
          <w:p w14:paraId="7E724F5D">
            <w:pPr>
              <w:pStyle w:val="style0"/>
              <w:rPr/>
            </w:pPr>
            <w:r>
              <w:t>Increasing environmental regulation with growing emphasis on plastic waste reduction and ESG compliance.</w:t>
            </w:r>
          </w:p>
        </w:tc>
        <w:tc>
          <w:tcPr>
            <w:tcW w:w="0" w:type="auto"/>
            <w:tcBorders/>
            <w:shd w:val="clear" w:color="auto" w:fill="deeaf6"/>
            <w:hideMark/>
          </w:tcPr>
          <w:p w14:paraId="025BAF48">
            <w:pPr>
              <w:pStyle w:val="style0"/>
              <w:rPr/>
            </w:pPr>
            <w:r>
              <w:t>Sustainable packaging has become a competitive requirement rather than a differentiator.</w:t>
            </w:r>
          </w:p>
        </w:tc>
      </w:tr>
      <w:tr w14:paraId="3ADA0D71">
        <w:tblPrEx/>
        <w:trPr/>
        <w:tc>
          <w:tcPr>
            <w:tcW w:w="0" w:type="auto"/>
            <w:tcBorders/>
            <w:shd w:val="clear" w:color="auto" w:fill="006699"/>
            <w:hideMark/>
          </w:tcPr>
          <w:p w14:paraId="07FE0477">
            <w:pPr>
              <w:pStyle w:val="style0"/>
              <w:jc w:val="center"/>
              <w:rPr>
                <w:color w:val="ffffff"/>
              </w:rPr>
            </w:pPr>
            <w:r>
              <w:rPr>
                <w:color w:val="ffffff"/>
              </w:rPr>
              <w:t>Legal</w:t>
            </w:r>
          </w:p>
        </w:tc>
        <w:tc>
          <w:tcPr>
            <w:tcW w:w="0" w:type="auto"/>
            <w:tcBorders/>
            <w:hideMark/>
          </w:tcPr>
          <w:p w14:paraId="36FDF4B1">
            <w:pPr>
              <w:pStyle w:val="style0"/>
              <w:rPr/>
            </w:pPr>
            <w:r>
              <w:t>Comprehensive food safety, advertising and consumer protection legislation.</w:t>
            </w:r>
          </w:p>
        </w:tc>
        <w:tc>
          <w:tcPr>
            <w:tcW w:w="0" w:type="auto"/>
            <w:tcBorders/>
            <w:hideMark/>
          </w:tcPr>
          <w:p w14:paraId="47A0EB43">
            <w:pPr>
              <w:pStyle w:val="style0"/>
              <w:rPr/>
            </w:pPr>
            <w:r>
              <w:t>Robust food regulation under FSSAI with evolving labelling and packaging requirements</w:t>
            </w:r>
            <w:r>
              <w:t xml:space="preserve"> </w:t>
            </w:r>
            <w:r>
              <w:t>(Bera, Singh and Bhattacharya, 2023)</w:t>
            </w:r>
            <w:r>
              <w:t>.</w:t>
            </w:r>
          </w:p>
        </w:tc>
        <w:tc>
          <w:tcPr>
            <w:tcW w:w="0" w:type="auto"/>
            <w:tcBorders/>
            <w:hideMark/>
          </w:tcPr>
          <w:p w14:paraId="036E55B1">
            <w:pPr>
              <w:pStyle w:val="style0"/>
              <w:rPr/>
            </w:pPr>
            <w:r>
              <w:t>Cadbury must adapt packaging, labelling and compliance procedures to local legal requirements.</w:t>
            </w:r>
          </w:p>
        </w:tc>
      </w:tr>
    </w:tbl>
    <w:p w14:paraId="137C5D54">
      <w:pPr>
        <w:pStyle w:val="style0"/>
        <w:jc w:val="center"/>
        <w:rPr>
          <w:b/>
          <w:bCs/>
        </w:rPr>
      </w:pPr>
      <w:r>
        <w:rPr>
          <w:b/>
          <w:bCs/>
        </w:rPr>
        <w:t>Table 1: PESTEL Analysis (US vs. India)</w:t>
      </w:r>
    </w:p>
    <w:p w14:paraId="5B7C51E7">
      <w:pPr>
        <w:pStyle w:val="style0"/>
        <w:rPr/>
      </w:pPr>
      <w:r>
        <w:t xml:space="preserve">The macroeconomic environment in the UK and India presents varied opportunities to Cadbury; hence, there is need for the company to adapt its strategy of international marketing to future requirements. Currently, the two countries have stable democracies that are politically </w:t>
      </w:r>
      <w:r>
        <w:t>favorable</w:t>
      </w:r>
      <w:r>
        <w:t xml:space="preserve"> and encourage business investments. The UK has stable regulation systems that reduce the element of uncertainties in business operations. On the other hand, the regulatory systems of India continue to remain complicated since businesses are required to follow the </w:t>
      </w:r>
      <w:r>
        <w:t xml:space="preserve">regulations of central and state governments. However, the government policies that have made India a </w:t>
      </w:r>
      <w:r>
        <w:t>center</w:t>
      </w:r>
      <w:r>
        <w:t xml:space="preserve"> of manufacturing, digitalization, and foreign investments have increased market attractiveness despite having increased administration (</w:t>
      </w:r>
      <w:r>
        <w:t>Bulavko</w:t>
      </w:r>
      <w:r>
        <w:t xml:space="preserve"> et al., 2019). Consequently, Cadbury will efficiently operate in the UK and aggressively expand its business in India</w:t>
      </w:r>
      <w:r>
        <w:t>.</w:t>
      </w:r>
    </w:p>
    <w:p w14:paraId="21961C88">
      <w:pPr>
        <w:pStyle w:val="style0"/>
        <w:keepNext/>
        <w:jc w:val="center"/>
        <w:rPr/>
      </w:pPr>
      <w:r>
        <w:rPr>
          <w:noProof/>
        </w:rPr>
        <w:drawing>
          <wp:inline distL="0" distT="0" distB="0" distR="0">
            <wp:extent cx="4613398" cy="4008120"/>
            <wp:effectExtent l="152400" t="152400" r="358775" b="354330"/>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4613398" cy="4008120"/>
                    </a:xfrm>
                    <a:prstGeom prst="rect"/>
                    <a:ln>
                      <a:noFill/>
                    </a:ln>
                    <a:effectLst>
                      <a:outerShdw rotWithShape="false" sx="100000" sy="100000" dist="139700" dir="2700000" blurRad="292100" kx="0" ky="0" algn="tl">
                        <a:srgbClr val="333333">
                          <a:alpha val="65000"/>
                        </a:srgbClr>
                      </a:outerShdw>
                    </a:effectLst>
                  </pic:spPr>
                </pic:pic>
              </a:graphicData>
            </a:graphic>
          </wp:inline>
        </w:drawing>
      </w:r>
    </w:p>
    <w:p w14:paraId="0C86E420">
      <w:pPr>
        <w:pStyle w:val="style0"/>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noProof/>
        </w:rPr>
        <w:t>3</w:t>
      </w:r>
      <w:r>
        <w:rPr>
          <w:b/>
          <w:bCs/>
        </w:rPr>
        <w:fldChar w:fldCharType="end"/>
      </w:r>
      <w:r>
        <w:rPr>
          <w:b/>
          <w:bCs/>
        </w:rPr>
        <w:t>: Real GDP Growth Projections Compared to the Previous Year in Selected Countries</w:t>
      </w:r>
    </w:p>
    <w:p w14:paraId="5EFC0970">
      <w:pPr>
        <w:pStyle w:val="style0"/>
        <w:jc w:val="center"/>
        <w:rPr/>
      </w:pPr>
      <w:r>
        <w:t xml:space="preserve">Source: </w:t>
      </w:r>
      <w:r>
        <w:t>(Statista, 2026)</w:t>
      </w:r>
    </w:p>
    <w:p w14:paraId="75946E54">
      <w:pPr>
        <w:pStyle w:val="style0"/>
        <w:rPr/>
      </w:pPr>
      <w:r>
        <w:t>The highest strategic distinctions are attributable to economic factors. The United Kingdom represents a mature, high-income consumer market characterised by relatively slow economic growth but strong purchasing power. Consumers are willing to pay premium prices for innovative chocolate products, responsible sourcing and healthier chocolate products</w:t>
      </w:r>
      <w:r>
        <w:t xml:space="preserve"> </w:t>
      </w:r>
      <w:r>
        <w:t>(Norton et al., 2022)</w:t>
      </w:r>
      <w:r>
        <w:t>. By contrast, India has become one of the world's fastest-growing major economies with GDP expanding at about 6.</w:t>
      </w:r>
      <w:r>
        <w:t>7</w:t>
      </w:r>
      <w:r>
        <w:t>% in comparison to 1.</w:t>
      </w:r>
      <w:r>
        <w:t>4</w:t>
      </w:r>
      <w:r>
        <w:t>% rate of the UK</w:t>
      </w:r>
      <w:r>
        <w:t xml:space="preserve"> </w:t>
      </w:r>
      <w:r>
        <w:t xml:space="preserve">(Statista, 2026). Furthermore, India's population of approximately 1.46 billion provides an exceptionally large </w:t>
      </w:r>
      <w:r>
        <w:t>consumer base despite lower per-capita income</w:t>
      </w:r>
      <w:r>
        <w:t xml:space="preserve"> (</w:t>
      </w:r>
      <w:r>
        <w:t>NDTV, 2025</w:t>
      </w:r>
      <w:r>
        <w:t>)</w:t>
      </w:r>
      <w:r>
        <w:t xml:space="preserve">. </w:t>
      </w:r>
      <w:r>
        <w:t>Thus</w:t>
      </w:r>
      <w:r>
        <w:t>, Cadbury has different strategies to market premium in the UK, versus the Indian market, where it markets at lower price and smaller packaging sizes to remain affordable to the Indian consumer.</w:t>
      </w:r>
    </w:p>
    <w:p w14:paraId="7D207384">
      <w:pPr>
        <w:pStyle w:val="style0"/>
        <w:rPr/>
      </w:pPr>
      <w:r>
        <w:t xml:space="preserve">Marketing strategy is affected by social factor. The UK's consumer preference for healthy, sustainable, and ethical products is driving Cadbury to widen its range of sugar reduced and environmentally responsible products. </w:t>
      </w:r>
      <w:r>
        <w:t>Conversely</w:t>
      </w:r>
      <w:r>
        <w:t>, India's young population, high level of urbanization and emerging middle class are still driving demand for confectionery. Chocolate consumption is strongly associated with festivals, celebrations and gifting occasions, creating opportunities for seasonal marketing campaigns that are less significant in the UK</w:t>
      </w:r>
      <w:r>
        <w:t xml:space="preserve"> </w:t>
      </w:r>
      <w:r>
        <w:t>(Thomas, 2017)</w:t>
      </w:r>
      <w:r>
        <w:t xml:space="preserve">. </w:t>
      </w:r>
      <w:r>
        <w:t>Thus</w:t>
      </w:r>
      <w:r>
        <w:t>, consumer motivations differ substantially despite purchasing the same brand.</w:t>
      </w:r>
    </w:p>
    <w:p w14:paraId="59B74876">
      <w:pPr>
        <w:pStyle w:val="style0"/>
        <w:rPr/>
      </w:pPr>
      <w:r>
        <w:t>Technological progress in both nations makes such marketing possible. First of all, the UK has developed the digital operational environment allowing the company to provide its customers with the latest combination retailing, personalized marketing campaigns and CRM processes. However, in India, thanks to the smartphone proliferation, millions of consumers are buying Cadburys electronics game, which was made possible by ecommerce payments that gave a reason for the company to promote through social media channels. podeo.com Therefore, the significance of digital transformation for both markets as competitive advantage but also the necessity for the localization of platforms and communications are evident.</w:t>
      </w:r>
    </w:p>
    <w:p w14:paraId="44F0AB34">
      <w:pPr>
        <w:pStyle w:val="style0"/>
        <w:rPr/>
      </w:pPr>
      <w:r>
        <w:t>The legal and environmental-economic conditions become increasingly important factors for international competitiveness. In both nations, sustainable business becomes a matter of priority for consumers, and governments continue to pass more strict laws concerning the issues of packaging waste and food safety (Thapliyal et al., 2024). Hence, Cadbury</w:t>
      </w:r>
      <w:r>
        <w:t xml:space="preserve"> need to maintain </w:t>
      </w:r>
      <w:r>
        <w:t>recyclable packaging, sustainable cocoa supply chain and product information</w:t>
      </w:r>
      <w:r>
        <w:t>.</w:t>
      </w:r>
    </w:p>
    <w:p w14:paraId="09D99A0F">
      <w:pPr>
        <w:pStyle w:val="style0"/>
        <w:rPr/>
      </w:pPr>
      <w:r>
        <w:t>India is attractive for long term investment, given its size, rapid economic expansion and a large middle class. The UK is, however, still important and continues to have good levels of purchasing power and especially loyalty from UK consumers and premium market opportunities. Cadbury should proceed with the strategy of penetration, local adaptation of its product/service offering in India and innovation, premium product differentiation in the UK</w:t>
      </w:r>
      <w:r>
        <w:t>.</w:t>
      </w:r>
    </w:p>
    <w:bookmarkStart w:id="6" w:name="_Toc236657737"/>
    <w:p w14:paraId="7BF7F64E">
      <w:pPr>
        <w:pStyle w:val="style3"/>
        <w:rPr/>
      </w:pPr>
      <w:r>
        <w:t>3.2 Hofstede Cultural Comparison</w:t>
      </w:r>
      <w:bookmarkEnd w:id="6"/>
    </w:p>
    <w:p w14:paraId="400A56CE">
      <w:pPr>
        <w:pStyle w:val="style0"/>
        <w:keepNext/>
        <w:jc w:val="center"/>
        <w:rPr/>
      </w:pPr>
      <w:r>
        <w:rPr>
          <w:noProof/>
        </w:rPr>
        <w:drawing>
          <wp:inline distL="0" distT="0" distB="0" distR="0">
            <wp:extent cx="5251450" cy="2948050"/>
            <wp:effectExtent l="0" t="0" r="6350" b="5080"/>
            <wp:docPr id="1030"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6" cstate="print"/>
                    <a:srcRect l="0" t="0" r="0" b="0"/>
                    <a:stretch/>
                  </pic:blipFill>
                  <pic:spPr>
                    <a:xfrm rot="0">
                      <a:off x="0" y="0"/>
                      <a:ext cx="5251450" cy="2948050"/>
                    </a:xfrm>
                    <a:prstGeom prst="rect"/>
                  </pic:spPr>
                </pic:pic>
              </a:graphicData>
            </a:graphic>
          </wp:inline>
        </w:drawing>
      </w:r>
    </w:p>
    <w:p w14:paraId="30694939">
      <w:pPr>
        <w:pStyle w:val="style0"/>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noProof/>
        </w:rPr>
        <w:t>4</w:t>
      </w:r>
      <w:r>
        <w:rPr>
          <w:b/>
          <w:bCs/>
        </w:rPr>
        <w:fldChar w:fldCharType="end"/>
      </w:r>
      <w:r>
        <w:rPr>
          <w:b/>
          <w:bCs/>
        </w:rPr>
        <w:t>: Hofstede Cultural Comparison</w:t>
      </w:r>
    </w:p>
    <w:p w14:paraId="7416B11D">
      <w:pPr>
        <w:pStyle w:val="style0"/>
        <w:jc w:val="center"/>
        <w:rPr/>
      </w:pPr>
      <w:r>
        <w:t>Source: (The Culture Factor Group, 2025)</w:t>
      </w:r>
    </w:p>
    <w:tbl>
      <w:tblPr>
        <w:tblStyle w:val="style4112"/>
        <w:tblW w:w="0" w:type="auto"/>
        <w:tblLook w:val="04A0" w:firstRow="1" w:lastRow="0" w:firstColumn="1" w:lastColumn="0" w:noHBand="0" w:noVBand="1"/>
      </w:tblPr>
      <w:tblGrid>
        <w:gridCol w:w="1755"/>
        <w:gridCol w:w="1347"/>
        <w:gridCol w:w="2621"/>
        <w:gridCol w:w="3299"/>
      </w:tblGrid>
      <w:tr w14:paraId="059A9D02">
        <w:trPr/>
        <w:tc>
          <w:tcPr>
            <w:tcW w:w="0" w:type="auto"/>
            <w:tcBorders/>
            <w:hideMark/>
          </w:tcPr>
          <w:p w14:paraId="72B10BC3">
            <w:pPr>
              <w:pStyle w:val="style0"/>
              <w:jc w:val="center"/>
              <w:rPr/>
            </w:pPr>
            <w:r>
              <w:t>Dimension</w:t>
            </w:r>
          </w:p>
        </w:tc>
        <w:tc>
          <w:tcPr>
            <w:tcW w:w="0" w:type="auto"/>
            <w:tcBorders/>
            <w:hideMark/>
          </w:tcPr>
          <w:p w14:paraId="0D1D3ABE">
            <w:pPr>
              <w:pStyle w:val="style0"/>
              <w:jc w:val="center"/>
              <w:rPr/>
            </w:pPr>
            <w:r>
              <w:t>United Kingdom</w:t>
            </w:r>
          </w:p>
        </w:tc>
        <w:tc>
          <w:tcPr>
            <w:tcW w:w="0" w:type="auto"/>
            <w:tcBorders/>
            <w:hideMark/>
          </w:tcPr>
          <w:p w14:paraId="35634B17">
            <w:pPr>
              <w:pStyle w:val="style0"/>
              <w:jc w:val="center"/>
              <w:rPr/>
            </w:pPr>
            <w:r>
              <w:t>India</w:t>
            </w:r>
          </w:p>
        </w:tc>
        <w:tc>
          <w:tcPr>
            <w:tcW w:w="0" w:type="auto"/>
            <w:tcBorders/>
            <w:hideMark/>
          </w:tcPr>
          <w:p w14:paraId="3D447072">
            <w:pPr>
              <w:pStyle w:val="style0"/>
              <w:jc w:val="center"/>
              <w:rPr/>
            </w:pPr>
            <w:r>
              <w:t>Marketing Implication</w:t>
            </w:r>
          </w:p>
        </w:tc>
      </w:tr>
      <w:tr w14:paraId="5DA748FC">
        <w:tblPrEx/>
        <w:trPr/>
        <w:tc>
          <w:tcPr>
            <w:tcW w:w="0" w:type="auto"/>
            <w:tcBorders/>
            <w:hideMark/>
          </w:tcPr>
          <w:p w14:paraId="1786162B">
            <w:pPr>
              <w:pStyle w:val="style0"/>
              <w:jc w:val="center"/>
              <w:rPr/>
            </w:pPr>
            <w:r>
              <w:t>Power Distance</w:t>
            </w:r>
          </w:p>
        </w:tc>
        <w:tc>
          <w:tcPr>
            <w:tcW w:w="0" w:type="auto"/>
            <w:tcBorders/>
            <w:hideMark/>
          </w:tcPr>
          <w:p w14:paraId="0E0D2B31">
            <w:pPr>
              <w:pStyle w:val="style0"/>
              <w:jc w:val="center"/>
              <w:rPr/>
            </w:pPr>
            <w:r>
              <w:t>Low</w:t>
            </w:r>
          </w:p>
        </w:tc>
        <w:tc>
          <w:tcPr>
            <w:tcW w:w="0" w:type="auto"/>
            <w:tcBorders/>
            <w:hideMark/>
          </w:tcPr>
          <w:p w14:paraId="2A3EB9CA">
            <w:pPr>
              <w:pStyle w:val="style0"/>
              <w:jc w:val="center"/>
              <w:rPr/>
            </w:pPr>
            <w:r>
              <w:t>High</w:t>
            </w:r>
          </w:p>
        </w:tc>
        <w:tc>
          <w:tcPr>
            <w:tcW w:w="0" w:type="auto"/>
            <w:tcBorders/>
            <w:hideMark/>
          </w:tcPr>
          <w:p w14:paraId="436A3CB2">
            <w:pPr>
              <w:pStyle w:val="style0"/>
              <w:rPr/>
            </w:pPr>
            <w:r>
              <w:t>UK consumers prefer equality and individual choice, whereas Indian consumers respond positively to authority and family-oriented communication.</w:t>
            </w:r>
          </w:p>
        </w:tc>
      </w:tr>
      <w:tr w14:paraId="3859B518">
        <w:tblPrEx/>
        <w:trPr/>
        <w:tc>
          <w:tcPr>
            <w:tcW w:w="0" w:type="auto"/>
            <w:tcBorders/>
            <w:hideMark/>
          </w:tcPr>
          <w:p w14:paraId="75A7E0F5">
            <w:pPr>
              <w:pStyle w:val="style0"/>
              <w:jc w:val="center"/>
              <w:rPr/>
            </w:pPr>
            <w:r>
              <w:t>Individualism</w:t>
            </w:r>
          </w:p>
        </w:tc>
        <w:tc>
          <w:tcPr>
            <w:tcW w:w="0" w:type="auto"/>
            <w:tcBorders/>
            <w:hideMark/>
          </w:tcPr>
          <w:p w14:paraId="446E090B">
            <w:pPr>
              <w:pStyle w:val="style0"/>
              <w:jc w:val="center"/>
              <w:rPr/>
            </w:pPr>
            <w:r>
              <w:t>Very High</w:t>
            </w:r>
          </w:p>
        </w:tc>
        <w:tc>
          <w:tcPr>
            <w:tcW w:w="0" w:type="auto"/>
            <w:tcBorders/>
            <w:hideMark/>
          </w:tcPr>
          <w:p w14:paraId="4C5DD685">
            <w:pPr>
              <w:pStyle w:val="style0"/>
              <w:jc w:val="center"/>
              <w:rPr/>
            </w:pPr>
            <w:r>
              <w:t>Moderate–Collectivist</w:t>
            </w:r>
          </w:p>
        </w:tc>
        <w:tc>
          <w:tcPr>
            <w:tcW w:w="0" w:type="auto"/>
            <w:tcBorders/>
            <w:hideMark/>
          </w:tcPr>
          <w:p w14:paraId="46FB78E5">
            <w:pPr>
              <w:pStyle w:val="style0"/>
              <w:rPr/>
            </w:pPr>
            <w:r>
              <w:t>UK advertising focuses on personal enjoyment, while Indian campaigns emphasise family, sharing and celebrations.</w:t>
            </w:r>
          </w:p>
        </w:tc>
      </w:tr>
      <w:tr w14:paraId="70D2C6CF">
        <w:tblPrEx/>
        <w:trPr/>
        <w:tc>
          <w:tcPr>
            <w:tcW w:w="0" w:type="auto"/>
            <w:tcBorders/>
            <w:hideMark/>
          </w:tcPr>
          <w:p w14:paraId="648533A1">
            <w:pPr>
              <w:pStyle w:val="style0"/>
              <w:jc w:val="center"/>
              <w:rPr/>
            </w:pPr>
            <w:r>
              <w:t>Masculinity</w:t>
            </w:r>
          </w:p>
        </w:tc>
        <w:tc>
          <w:tcPr>
            <w:tcW w:w="0" w:type="auto"/>
            <w:tcBorders/>
            <w:hideMark/>
          </w:tcPr>
          <w:p w14:paraId="651AA67D">
            <w:pPr>
              <w:pStyle w:val="style0"/>
              <w:jc w:val="center"/>
              <w:rPr/>
            </w:pPr>
            <w:r>
              <w:t>High</w:t>
            </w:r>
          </w:p>
        </w:tc>
        <w:tc>
          <w:tcPr>
            <w:tcW w:w="0" w:type="auto"/>
            <w:tcBorders/>
            <w:hideMark/>
          </w:tcPr>
          <w:p w14:paraId="4A72050B">
            <w:pPr>
              <w:pStyle w:val="style0"/>
              <w:jc w:val="center"/>
              <w:rPr/>
            </w:pPr>
            <w:r>
              <w:t>Moderate</w:t>
            </w:r>
          </w:p>
        </w:tc>
        <w:tc>
          <w:tcPr>
            <w:tcW w:w="0" w:type="auto"/>
            <w:tcBorders/>
            <w:hideMark/>
          </w:tcPr>
          <w:p w14:paraId="13384599">
            <w:pPr>
              <w:pStyle w:val="style0"/>
              <w:rPr/>
            </w:pPr>
            <w:r>
              <w:t>Achievement appeals are effective in both countries, although emotional storytelling performs better in India.</w:t>
            </w:r>
          </w:p>
        </w:tc>
      </w:tr>
      <w:tr w14:paraId="3A5845EC">
        <w:tblPrEx/>
        <w:trPr/>
        <w:tc>
          <w:tcPr>
            <w:tcW w:w="0" w:type="auto"/>
            <w:tcBorders/>
            <w:hideMark/>
          </w:tcPr>
          <w:p w14:paraId="6121F74C">
            <w:pPr>
              <w:pStyle w:val="style0"/>
              <w:jc w:val="center"/>
              <w:rPr/>
            </w:pPr>
            <w:r>
              <w:t>Uncertainty Avoidance</w:t>
            </w:r>
          </w:p>
        </w:tc>
        <w:tc>
          <w:tcPr>
            <w:tcW w:w="0" w:type="auto"/>
            <w:tcBorders/>
            <w:hideMark/>
          </w:tcPr>
          <w:p w14:paraId="6F190170">
            <w:pPr>
              <w:pStyle w:val="style0"/>
              <w:jc w:val="center"/>
              <w:rPr/>
            </w:pPr>
            <w:r>
              <w:t>Relatively Low</w:t>
            </w:r>
          </w:p>
        </w:tc>
        <w:tc>
          <w:tcPr>
            <w:tcW w:w="0" w:type="auto"/>
            <w:tcBorders/>
            <w:hideMark/>
          </w:tcPr>
          <w:p w14:paraId="2D5915EE">
            <w:pPr>
              <w:pStyle w:val="style0"/>
              <w:jc w:val="center"/>
              <w:rPr/>
            </w:pPr>
            <w:r>
              <w:t>Moderate</w:t>
            </w:r>
          </w:p>
        </w:tc>
        <w:tc>
          <w:tcPr>
            <w:tcW w:w="0" w:type="auto"/>
            <w:tcBorders/>
            <w:hideMark/>
          </w:tcPr>
          <w:p w14:paraId="4DAB2932">
            <w:pPr>
              <w:pStyle w:val="style0"/>
              <w:rPr/>
            </w:pPr>
            <w:r>
              <w:t>Consumers in both markets generally accept product innovation, although trust-building remains important in India.</w:t>
            </w:r>
          </w:p>
        </w:tc>
      </w:tr>
      <w:tr w14:paraId="0D1044CD">
        <w:tblPrEx/>
        <w:trPr/>
        <w:tc>
          <w:tcPr>
            <w:tcW w:w="0" w:type="auto"/>
            <w:tcBorders/>
            <w:hideMark/>
          </w:tcPr>
          <w:p w14:paraId="677F31A5">
            <w:pPr>
              <w:pStyle w:val="style0"/>
              <w:jc w:val="center"/>
              <w:rPr/>
            </w:pPr>
            <w:r>
              <w:t>Long-Term Orientation</w:t>
            </w:r>
          </w:p>
        </w:tc>
        <w:tc>
          <w:tcPr>
            <w:tcW w:w="0" w:type="auto"/>
            <w:tcBorders/>
            <w:hideMark/>
          </w:tcPr>
          <w:p w14:paraId="15A068A7">
            <w:pPr>
              <w:pStyle w:val="style0"/>
              <w:jc w:val="center"/>
              <w:rPr/>
            </w:pPr>
            <w:r>
              <w:t>Moderate</w:t>
            </w:r>
          </w:p>
        </w:tc>
        <w:tc>
          <w:tcPr>
            <w:tcW w:w="0" w:type="auto"/>
            <w:tcBorders/>
            <w:hideMark/>
          </w:tcPr>
          <w:p w14:paraId="45DB7CC0">
            <w:pPr>
              <w:pStyle w:val="style0"/>
              <w:jc w:val="center"/>
              <w:rPr/>
            </w:pPr>
            <w:r>
              <w:t>High</w:t>
            </w:r>
          </w:p>
        </w:tc>
        <w:tc>
          <w:tcPr>
            <w:tcW w:w="0" w:type="auto"/>
            <w:tcBorders/>
            <w:hideMark/>
          </w:tcPr>
          <w:p w14:paraId="104DA06E">
            <w:pPr>
              <w:pStyle w:val="style0"/>
              <w:rPr/>
            </w:pPr>
            <w:r>
              <w:t>Indian consumers value long-term relationships and trusted brands, strengthening Cadbury's brand loyalty strategies.</w:t>
            </w:r>
          </w:p>
        </w:tc>
      </w:tr>
      <w:tr w14:paraId="353862B8">
        <w:tblPrEx/>
        <w:trPr/>
        <w:tc>
          <w:tcPr>
            <w:tcW w:w="0" w:type="auto"/>
            <w:tcBorders/>
            <w:hideMark/>
          </w:tcPr>
          <w:p w14:paraId="442C1FB9">
            <w:pPr>
              <w:pStyle w:val="style0"/>
              <w:jc w:val="center"/>
              <w:rPr/>
            </w:pPr>
            <w:r>
              <w:t>Indulgence</w:t>
            </w:r>
          </w:p>
        </w:tc>
        <w:tc>
          <w:tcPr>
            <w:tcW w:w="0" w:type="auto"/>
            <w:tcBorders/>
            <w:hideMark/>
          </w:tcPr>
          <w:p w14:paraId="6BC9DF56">
            <w:pPr>
              <w:pStyle w:val="style0"/>
              <w:jc w:val="center"/>
              <w:rPr/>
            </w:pPr>
            <w:r>
              <w:t>High</w:t>
            </w:r>
          </w:p>
        </w:tc>
        <w:tc>
          <w:tcPr>
            <w:tcW w:w="0" w:type="auto"/>
            <w:tcBorders/>
            <w:hideMark/>
          </w:tcPr>
          <w:p w14:paraId="3A89CBFF">
            <w:pPr>
              <w:pStyle w:val="style0"/>
              <w:jc w:val="center"/>
              <w:rPr/>
            </w:pPr>
            <w:r>
              <w:t>Moderate</w:t>
            </w:r>
          </w:p>
        </w:tc>
        <w:tc>
          <w:tcPr>
            <w:tcW w:w="0" w:type="auto"/>
            <w:tcBorders/>
            <w:hideMark/>
          </w:tcPr>
          <w:p w14:paraId="5363C2E3">
            <w:pPr>
              <w:pStyle w:val="style0"/>
              <w:rPr/>
            </w:pPr>
            <w:r>
              <w:t>UK promotions frequently highlight self-indulgence, whereas Indian campaigns connect chocolate with gifting and social occasions.</w:t>
            </w:r>
          </w:p>
        </w:tc>
      </w:tr>
    </w:tbl>
    <w:p w14:paraId="32F3F329">
      <w:pPr>
        <w:pStyle w:val="style0"/>
        <w:jc w:val="center"/>
        <w:rPr>
          <w:b/>
          <w:bCs/>
        </w:rPr>
      </w:pPr>
      <w:r>
        <w:rPr>
          <w:b/>
          <w:bCs/>
        </w:rPr>
        <w:t>Table 2: Hofstede Compari</w:t>
      </w:r>
      <w:r>
        <w:rPr>
          <w:b/>
          <w:bCs/>
        </w:rPr>
        <w:t>so</w:t>
      </w:r>
      <w:r>
        <w:rPr>
          <w:b/>
          <w:bCs/>
        </w:rPr>
        <w:t>n</w:t>
      </w:r>
    </w:p>
    <w:p w14:paraId="493F1F26">
      <w:pPr>
        <w:pStyle w:val="style0"/>
        <w:rPr/>
      </w:pPr>
      <w:r>
        <w:t xml:space="preserve">Hofstede's framework shows that Cadbury's decisions that are made in marketing internationally are heavily influenced by cultural differences. </w:t>
      </w:r>
      <w:r>
        <w:t>UK</w:t>
      </w:r>
      <w:r>
        <w:t xml:space="preserve"> has a </w:t>
      </w:r>
      <w:r>
        <w:t>highly</w:t>
      </w:r>
      <w:r>
        <w:t xml:space="preserve"> individualistic culture and thus the emphasis is on advertising suited to personal satisfaction, quality experiences and individual consumption</w:t>
      </w:r>
      <w:r>
        <w:t xml:space="preserve"> </w:t>
      </w:r>
      <w:r>
        <w:t>(</w:t>
      </w:r>
      <w:r>
        <w:t>Andrijauskienė</w:t>
      </w:r>
      <w:r>
        <w:t xml:space="preserve"> and </w:t>
      </w:r>
      <w:r>
        <w:t>Dumčiuvienė</w:t>
      </w:r>
      <w:r>
        <w:t>, 2017)</w:t>
      </w:r>
      <w:r>
        <w:t>. In contrast, India's more collectivist culture encourages campaigns celebrating family relationships, festivals, and emotional connections, which is why Cadbury's ad campaigns about gifting are so successful over the years</w:t>
      </w:r>
      <w:r>
        <w:t xml:space="preserve"> </w:t>
      </w:r>
      <w:r>
        <w:t>(Juhász, 2014)</w:t>
      </w:r>
      <w:r>
        <w:t>.</w:t>
      </w:r>
    </w:p>
    <w:p w14:paraId="77CA6260">
      <w:pPr>
        <w:pStyle w:val="style0"/>
        <w:rPr/>
      </w:pPr>
      <w:r>
        <w:t>These cultural differences are also influencing the purchase and adaptation of products. Consumers in the United Kingdom are becoming more concerned about the health, sustainable and ethical aspects of chocolates while the Indian consumers tend to connect chocolate with the concept of celebration and gifting (Sondhi and Chawla, 2016). Therefore, the Cadbury is always engaged in making modifications in packaging and themes of their products</w:t>
      </w:r>
      <w:r>
        <w:t>.</w:t>
      </w:r>
    </w:p>
    <w:p w14:paraId="59FB1637">
      <w:pPr>
        <w:pStyle w:val="style0"/>
        <w:rPr/>
      </w:pPr>
      <w:r>
        <w:t xml:space="preserve">Though Hofstede's model is helpful in comparing the cultures of different countries, it has its limitations (Signorini, </w:t>
      </w:r>
      <w:r>
        <w:t>Wiesemes</w:t>
      </w:r>
      <w:r>
        <w:t xml:space="preserve"> and Murphy, 2009). National scores may not be representative of all the regions, generations and socioeconomic groups in a country, particularly in culturally diverse markets such as India. Accordingly, management should not only rely on national cultural dimensions, but also combine Hofstede with some of the newer consumer research and market analysis tools</w:t>
      </w:r>
      <w:r>
        <w:t>. However, the framework is still useful in comprehending general attitude differences and how they influence international marketing strategy and adaptation decisions</w:t>
      </w:r>
      <w:r>
        <w:t xml:space="preserve"> </w:t>
      </w:r>
      <w:r>
        <w:t xml:space="preserve">(Signorini, </w:t>
      </w:r>
      <w:r>
        <w:t>Wiesemes</w:t>
      </w:r>
      <w:r>
        <w:t xml:space="preserve"> and Murphy, 2009)</w:t>
      </w:r>
      <w:r>
        <w:t>.</w:t>
      </w:r>
    </w:p>
    <w:bookmarkStart w:id="7" w:name="_Toc236657738"/>
    <w:p w14:paraId="69097492">
      <w:pPr>
        <w:pStyle w:val="style2"/>
        <w:rPr/>
      </w:pPr>
      <w:r>
        <w:t xml:space="preserve">4. </w:t>
      </w:r>
      <w:r>
        <w:t>Comparative STP Analysis</w:t>
      </w:r>
      <w:bookmarkEnd w:id="7"/>
    </w:p>
    <w:bookmarkStart w:id="8" w:name="_Toc236657739"/>
    <w:p w14:paraId="73AB6C7F">
      <w:pPr>
        <w:pStyle w:val="style3"/>
        <w:rPr/>
      </w:pPr>
      <w:r>
        <w:t>4.1 Segmentation</w:t>
      </w:r>
      <w:bookmarkEnd w:id="8"/>
    </w:p>
    <w:p w14:paraId="126E4491">
      <w:pPr>
        <w:pStyle w:val="style0"/>
        <w:rPr/>
      </w:pPr>
      <w:r>
        <w:t xml:space="preserve">Cadbury applies a combination of standardised and adapted segmentation strategies in the United Kingdom and India to address differing consumer characteristics. </w:t>
      </w:r>
      <w:r>
        <w:rPr>
          <w:b/>
          <w:bCs/>
          <w:i/>
          <w:iCs/>
        </w:rPr>
        <w:t>Demographically</w:t>
      </w:r>
      <w:r>
        <w:t xml:space="preserve"> the brand is targeting kids and young adults and families both; the opportunity for volume growth in the market is greater in India under the aging of population and health-conscious environment in the UK encourages diversification through the premium and reduced sugar chocolate products</w:t>
      </w:r>
      <w:r>
        <w:t xml:space="preserve"> </w:t>
      </w:r>
      <w:r>
        <w:t>(Kotler, Keller and Chernev, 2022</w:t>
      </w:r>
      <w:r>
        <w:t xml:space="preserve">) </w:t>
      </w:r>
      <w:r>
        <w:rPr>
          <w:b/>
          <w:bCs/>
          <w:i/>
          <w:iCs/>
        </w:rPr>
        <w:t>Geographically</w:t>
      </w:r>
      <w:r>
        <w:t>,</w:t>
      </w:r>
      <w:r>
        <w:t xml:space="preserve"> Cadbury has country wide strong distribution in both countries and has grown its market share more in Indian urban and semi urban areas because of growing retail expansion and people's disposable income. </w:t>
      </w:r>
      <w:r>
        <w:rPr>
          <w:b/>
          <w:bCs/>
          <w:i/>
          <w:iCs/>
        </w:rPr>
        <w:t>Psychographically</w:t>
      </w:r>
      <w:r>
        <w:t xml:space="preserve">, UK consumers appreciate ethically sourced chocolate, premium quality and sustainability, Indian consumers respond to chocolate as a celebratory item, as a gift item and as a family occasion. </w:t>
      </w:r>
      <w:r>
        <w:rPr>
          <w:b/>
          <w:bCs/>
          <w:i/>
          <w:iCs/>
        </w:rPr>
        <w:t>Behaviourally</w:t>
      </w:r>
      <w:r>
        <w:t>, frequent impulse purchases dominate the UK market, whereas seasonal purchasing during festivals such as Diwali significantly influences demand in India. This results in a highly consistent brand to the world with a culturally adapted product, packaging and promotional mix, which gains more competitive advantage from achieving market adaptation rather than market standardisation</w:t>
      </w:r>
      <w:r>
        <w:t xml:space="preserve"> </w:t>
      </w:r>
      <w:r>
        <w:t>(Keegan, 2010</w:t>
      </w:r>
      <w:r>
        <w:t>).</w:t>
      </w:r>
    </w:p>
    <w:bookmarkStart w:id="9" w:name="_Toc236657740"/>
    <w:p w14:paraId="2B492F0A">
      <w:pPr>
        <w:pStyle w:val="style3"/>
        <w:rPr/>
      </w:pPr>
      <w:r>
        <w:t>4.2 Targeting</w:t>
      </w:r>
      <w:bookmarkEnd w:id="9"/>
    </w:p>
    <w:p w14:paraId="319E6D99">
      <w:pPr>
        <w:pStyle w:val="style0"/>
        <w:rPr/>
      </w:pPr>
      <w:r>
        <w:t>Cadbury has various purposes of targeting in both countries because of different circumstances. The firm targets middle-to-upper class individuals in the UK since they look for high-quality and ethical products. Emotional marketing and sustainability are some of the techniques used by the company to attract adult marketing consumers (</w:t>
      </w:r>
      <w:r>
        <w:t>Mirmahdi</w:t>
      </w:r>
      <w:r>
        <w:t xml:space="preserve"> Komejani, </w:t>
      </w:r>
      <w:r>
        <w:t>Bilro</w:t>
      </w:r>
      <w:r>
        <w:t xml:space="preserve"> and Loureiro, 2026). On the other hand, in India, the company aims at the variety of products available at all levels of segmentation ranging from low-priced individual bars to luxury packs of gifts of chocolates. Besides, the target segments involve young people, family, festival buyers, and an increase in distribution to smaller cities. Targeting strategy is differentiated, which takes into consideration the variations in purchasing power, consumer lifestyle, and urbanization (</w:t>
      </w:r>
      <w:r>
        <w:t>Akinrinoye</w:t>
      </w:r>
      <w:r>
        <w:t xml:space="preserve"> et al., 2020). Whereas the UK offers higher value purchases, India has many consumers and therefore great opportunities for future growth</w:t>
      </w:r>
      <w:r>
        <w:t>.</w:t>
      </w:r>
    </w:p>
    <w:bookmarkStart w:id="10" w:name="_Toc236657741"/>
    <w:p w14:paraId="25DF4DB1">
      <w:pPr>
        <w:pStyle w:val="style3"/>
        <w:rPr/>
      </w:pPr>
      <w:r>
        <w:t>4.3 Positioning</w:t>
      </w:r>
      <w:bookmarkEnd w:id="10"/>
    </w:p>
    <w:p w14:paraId="225CD2FD">
      <w:pPr>
        <w:pStyle w:val="style0"/>
        <w:keepNext/>
        <w:jc w:val="center"/>
        <w:rPr/>
      </w:pPr>
      <w:r>
        <w:rPr>
          <w:b/>
          <w:bCs/>
          <w:noProof/>
        </w:rPr>
        <w:drawing>
          <wp:inline distL="0" distT="0" distB="0" distR="0">
            <wp:extent cx="5331979" cy="3457575"/>
            <wp:effectExtent l="0" t="0" r="2540" b="0"/>
            <wp:docPr id="1031"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1"/>
                    <pic:cNvPicPr/>
                  </pic:nvPicPr>
                  <pic:blipFill>
                    <a:blip r:embed="rId7" cstate="print"/>
                    <a:srcRect l="0" t="0" r="0" b="0"/>
                    <a:stretch/>
                  </pic:blipFill>
                  <pic:spPr>
                    <a:xfrm rot="0">
                      <a:off x="0" y="0"/>
                      <a:ext cx="5331979" cy="3457575"/>
                    </a:xfrm>
                    <a:prstGeom prst="rect"/>
                  </pic:spPr>
                </pic:pic>
              </a:graphicData>
            </a:graphic>
          </wp:inline>
        </w:drawing>
      </w:r>
    </w:p>
    <w:p w14:paraId="288A1A0F">
      <w:pPr>
        <w:pStyle w:val="style0"/>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noProof/>
        </w:rPr>
        <w:t>5</w:t>
      </w:r>
      <w:r>
        <w:rPr>
          <w:b/>
          <w:bCs/>
        </w:rPr>
        <w:fldChar w:fldCharType="end"/>
      </w:r>
      <w:r>
        <w:rPr>
          <w:b/>
          <w:bCs/>
        </w:rPr>
        <w:t>: Cadbury Positioning Map</w:t>
      </w:r>
    </w:p>
    <w:p w14:paraId="46F2A46F">
      <w:pPr>
        <w:pStyle w:val="style0"/>
        <w:jc w:val="center"/>
        <w:rPr/>
      </w:pPr>
      <w:r>
        <w:t>Source: (Self-created)</w:t>
      </w:r>
    </w:p>
    <w:p w14:paraId="02B4413E">
      <w:pPr>
        <w:pStyle w:val="style0"/>
        <w:rPr/>
      </w:pPr>
      <w:r>
        <w:t>Cadbury maintains a consistent global positioning based on quality, trust and emotional connection while adapting its communication strategy to local cultural values</w:t>
      </w:r>
      <w:r>
        <w:t xml:space="preserve"> (</w:t>
      </w:r>
      <w:r>
        <w:t>Bradley</w:t>
      </w:r>
      <w:r>
        <w:t>, 2011)</w:t>
      </w:r>
      <w:r>
        <w:t xml:space="preserve">. The brand is marketed as a high0quality daily treat, offering enjoyment, heritage and sustainability in the UK. Personal pleasures and genuine snapshots are often showcased in advertisements. </w:t>
      </w:r>
      <w:r>
        <w:t xml:space="preserve"> </w:t>
      </w:r>
      <w:r>
        <w:t>Cadbury, by contrast, positions itself in India as the brand of celebration, benevolence and familial bonds, with campaigns focused on festivals, giving and love/bonding. This culturally placed position enhances brand relevance for consumers and does not harm the global brand recognition</w:t>
      </w:r>
      <w:r>
        <w:t xml:space="preserve"> (</w:t>
      </w:r>
      <w:r>
        <w:t>Bradley</w:t>
      </w:r>
      <w:r>
        <w:t>, 2011)</w:t>
      </w:r>
      <w:r>
        <w:t xml:space="preserve">. In addition, Cadbury successfully faces foreign and local confectionery companies on the grounds of product innovations along with locally-meaningful advertising messages. </w:t>
      </w:r>
      <w:r>
        <w:t>Overall</w:t>
      </w:r>
      <w:r>
        <w:t>, the positioning strategy of the company reflects an effective balance in global standardisation and local adaptation, leading to good brand equity in both markets. However, ongoing investments in improvement and digital interaction will remain key for sustaining competitiveness in an ever-changing consumer landscape.</w:t>
      </w:r>
    </w:p>
    <w:bookmarkStart w:id="11" w:name="_Toc236657742"/>
    <w:p w14:paraId="0CED50C7">
      <w:pPr>
        <w:pStyle w:val="style2"/>
        <w:rPr/>
      </w:pPr>
      <w:r>
        <w:t xml:space="preserve">5. </w:t>
      </w:r>
      <w:r>
        <w:t>Comparative International Marketing Mix (7Ps)</w:t>
      </w:r>
      <w:bookmarkEnd w:id="11"/>
    </w:p>
    <w:p w14:paraId="197FDF0A">
      <w:pPr>
        <w:pStyle w:val="style0"/>
        <w:keepNext/>
        <w:jc w:val="center"/>
        <w:rPr/>
      </w:pPr>
      <w:r>
        <w:rPr>
          <w:noProof/>
        </w:rPr>
        <w:drawing>
          <wp:inline distL="0" distT="0" distB="0" distR="0">
            <wp:extent cx="4687674" cy="4345940"/>
            <wp:effectExtent l="0" t="0" r="0" b="0"/>
            <wp:docPr id="1032" name="Picture 5" descr="ExportPlanning - From 4Ps to 7Ps: Towards an Integrated Marketing Mix -  ExportPlanni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5"/>
                    <pic:cNvPicPr/>
                  </pic:nvPicPr>
                  <pic:blipFill>
                    <a:blip r:embed="rId8" cstate="print"/>
                    <a:srcRect l="0" t="0" r="0" b="0"/>
                    <a:stretch/>
                  </pic:blipFill>
                  <pic:spPr>
                    <a:xfrm rot="0">
                      <a:off x="0" y="0"/>
                      <a:ext cx="4687674" cy="4345940"/>
                    </a:xfrm>
                    <a:prstGeom prst="rect"/>
                    <a:ln>
                      <a:noFill/>
                    </a:ln>
                  </pic:spPr>
                </pic:pic>
              </a:graphicData>
            </a:graphic>
          </wp:inline>
        </w:drawing>
      </w:r>
    </w:p>
    <w:p w14:paraId="22635A26">
      <w:pPr>
        <w:pStyle w:val="style0"/>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noProof/>
        </w:rPr>
        <w:t>6</w:t>
      </w:r>
      <w:r>
        <w:rPr>
          <w:b/>
          <w:bCs/>
        </w:rPr>
        <w:fldChar w:fldCharType="end"/>
      </w:r>
      <w:r>
        <w:rPr>
          <w:b/>
          <w:bCs/>
        </w:rPr>
        <w:t>: Marketing Mix (7Ps)</w:t>
      </w:r>
    </w:p>
    <w:p w14:paraId="4A426035">
      <w:pPr>
        <w:pStyle w:val="style0"/>
        <w:jc w:val="center"/>
        <w:rPr/>
      </w:pPr>
      <w:r>
        <w:t>Source: (</w:t>
      </w:r>
      <w:r>
        <w:t>Sramkowski</w:t>
      </w:r>
      <w:r>
        <w:t>, 2021)</w:t>
      </w:r>
    </w:p>
    <w:bookmarkStart w:id="12" w:name="_Toc236657743"/>
    <w:p w14:paraId="3CEC1150">
      <w:pPr>
        <w:pStyle w:val="style3"/>
        <w:rPr/>
      </w:pPr>
      <w:r>
        <w:t>5.1 Product</w:t>
      </w:r>
      <w:bookmarkEnd w:id="12"/>
    </w:p>
    <w:p w14:paraId="4760FEF5">
      <w:pPr>
        <w:pStyle w:val="style0"/>
        <w:rPr/>
      </w:pPr>
      <w:r>
        <w:t xml:space="preserve">The branding policy of Cadbury is very consistent internally; however, the product line is in accordance with taste preferences of consumers in the UK and India. The product line in the UK is focused on quality, health and wellness products, as well as seasonality and sustainability of farms where their products are sourced due to growing consumer interest in good and healthy chocolate. The packaging includes nutrition information, use of recycled materials and certification of the ethical sourcing (Boz, Korhonen and Sand, 2020). As for the Indian market, it is a very localized market which provides small sized and affordable packages as well as gift packs for festivals like Diwali and Raksha Bandhan. Dairy Milk is the main product in both markets and the product innovations depend on market maturity level. While the UK invests in premiumization and diversification of products, India makes its product affordable and </w:t>
      </w:r>
      <w:r>
        <w:t>accessible without reducing its quality. Thus, Cadbury successfully manages to develop a balanced reaction to cultural and economic differences around the world</w:t>
      </w:r>
      <w:r>
        <w:t>.</w:t>
      </w:r>
    </w:p>
    <w:bookmarkStart w:id="13" w:name="_Toc236657744"/>
    <w:p w14:paraId="6F21E620">
      <w:pPr>
        <w:pStyle w:val="style3"/>
        <w:rPr/>
      </w:pPr>
      <w:r>
        <w:t>5.2 Price</w:t>
      </w:r>
      <w:bookmarkEnd w:id="13"/>
    </w:p>
    <w:p w14:paraId="028653C3">
      <w:pPr>
        <w:pStyle w:val="style0"/>
        <w:rPr/>
      </w:pPr>
      <w:r>
        <w:t>Several</w:t>
      </w:r>
      <w:r>
        <w:t xml:space="preserve"> factors result in pricing strategies being different. There is the difference in purchasing power and the overall structure of the market. The United Kingdom uses premium and value-based pricing</w:t>
      </w:r>
      <w:r>
        <w:t xml:space="preserve"> </w:t>
      </w:r>
      <w:r>
        <w:t>(</w:t>
      </w:r>
      <w:r>
        <w:t>Hinterhuber</w:t>
      </w:r>
      <w:r>
        <w:t>, 2004)</w:t>
      </w:r>
      <w:r>
        <w:t>. That happens because the country is rich enough; people are prepared to pay for high-quality products. Moreover, promotions and discounts are used for season-specific demand. However, in India, penetration and psychological pricing are used in many sizes of packaging including cheap individual chocolates</w:t>
      </w:r>
      <w:r>
        <w:t xml:space="preserve"> </w:t>
      </w:r>
      <w:r>
        <w:t>(Silva et al., 2023)</w:t>
      </w:r>
      <w:r>
        <w:t>. Both premium and economy products can be found at the same time, which helps to satisfy people with different incomes. Thus, this strategy is related to economic conditions rather than inconsistency of brand policy.</w:t>
      </w:r>
    </w:p>
    <w:bookmarkStart w:id="14" w:name="_Toc236657745"/>
    <w:p w14:paraId="7648164F">
      <w:pPr>
        <w:pStyle w:val="style3"/>
        <w:rPr/>
      </w:pPr>
      <w:r>
        <w:t>5.3 Place</w:t>
      </w:r>
      <w:bookmarkEnd w:id="14"/>
    </w:p>
    <w:p w14:paraId="468CD6ED">
      <w:pPr>
        <w:pStyle w:val="style0"/>
        <w:rPr/>
      </w:pPr>
      <w:r>
        <w:t xml:space="preserve">The company has extensive distribution channels in both countries, but the channel strategy is adapted according to the different retail systems in each country. In the UK, the goods are distributed </w:t>
      </w:r>
      <w:r>
        <w:t>through</w:t>
      </w:r>
      <w:r>
        <w:t xml:space="preserve"> supermarkets, convenience stores, wholesalers, corporate website and e-commerce with the aid of effective logistic system. The omnichannel retail model allows for integrating online and offline experience. The distribution in India is much more extensive than in the UK</w:t>
      </w:r>
      <w:r>
        <w:t xml:space="preserve"> </w:t>
      </w:r>
      <w:r>
        <w:t>(</w:t>
      </w:r>
      <w:r>
        <w:t>Jocevski</w:t>
      </w:r>
      <w:r>
        <w:t xml:space="preserve"> et al., 2019)</w:t>
      </w:r>
      <w:r>
        <w:t xml:space="preserve">. It uses advanced supermarkets, traditional </w:t>
      </w:r>
      <w:r>
        <w:t>neighborhood</w:t>
      </w:r>
      <w:r>
        <w:t xml:space="preserve"> retailers (</w:t>
      </w:r>
      <w:r>
        <w:t>kirana</w:t>
      </w:r>
      <w:r>
        <w:t xml:space="preserve"> stores), wholesalers and increasingly popular online marketplaces. </w:t>
      </w:r>
      <w:r>
        <w:t>This</w:t>
      </w:r>
      <w:r>
        <w:t xml:space="preserve"> extensive distribution allows the goods to be available all over the country despite differences in infrastructure between urban and rural areas. With the development of digital tools and fast delivery systems, the availability of products is increased even more</w:t>
      </w:r>
      <w:r>
        <w:t xml:space="preserve"> </w:t>
      </w:r>
      <w:r>
        <w:t>(</w:t>
      </w:r>
      <w:r>
        <w:t>Jocevski</w:t>
      </w:r>
      <w:r>
        <w:t xml:space="preserve"> et al., 2019)</w:t>
      </w:r>
      <w:r>
        <w:t>.</w:t>
      </w:r>
    </w:p>
    <w:bookmarkStart w:id="15" w:name="_Toc236657746"/>
    <w:p w14:paraId="241E272E">
      <w:pPr>
        <w:pStyle w:val="style3"/>
        <w:rPr/>
      </w:pPr>
      <w:r>
        <w:t>5.4 Promotion</w:t>
      </w:r>
      <w:bookmarkEnd w:id="15"/>
    </w:p>
    <w:p w14:paraId="33D1C476">
      <w:pPr>
        <w:pStyle w:val="style0"/>
        <w:rPr/>
      </w:pPr>
      <w:r>
        <w:t xml:space="preserve">The marketing strategies demonstrate how Cadbury manages balance global uniformity and localization. In </w:t>
      </w:r>
      <w:r>
        <w:t>UK</w:t>
      </w:r>
      <w:r>
        <w:t xml:space="preserve">, the promotion strategy is </w:t>
      </w:r>
      <w:r>
        <w:t>centered</w:t>
      </w:r>
      <w:r>
        <w:t xml:space="preserve"> around personal happiness, giving, and storytelling through television, social media, and other digital channels</w:t>
      </w:r>
      <w:r>
        <w:t xml:space="preserve"> </w:t>
      </w:r>
      <w:r>
        <w:t>(To et al., 2018)</w:t>
      </w:r>
      <w:r>
        <w:t>. Promotions held during Christmas and Easter seasons promote the premium positioning of the company’s products. The use of celebrity endorsements and influencer marketing boost</w:t>
      </w:r>
      <w:r>
        <w:t>s</w:t>
      </w:r>
      <w:r>
        <w:t xml:space="preserve"> consumer engagement within young audiences. However, the marketing strategy used in India focuses on cultural events, family relations, and gift-giving. The campaigns, such as Kuch Meetha Ho </w:t>
      </w:r>
      <w:r>
        <w:t>Jaaye</w:t>
      </w:r>
      <w:r>
        <w:t xml:space="preserve">, have helped the company to create a perception that chocolate is a suitable </w:t>
      </w:r>
      <w:r>
        <w:t>replacement of traditional candies during cultural events, thus increasing the market demand</w:t>
      </w:r>
      <w:r>
        <w:t xml:space="preserve"> (</w:t>
      </w:r>
      <w:r>
        <w:t>Dey</w:t>
      </w:r>
      <w:r>
        <w:t>, 2021)</w:t>
      </w:r>
      <w:r>
        <w:t>. Social media marketing, regional-language advertising, and culturally meaningful storytelling help to engage consumers. While both marketing campaigns use integrated marketing communication, their marketing messages are focused on cultural values instead of being globalized.</w:t>
      </w:r>
    </w:p>
    <w:bookmarkStart w:id="16" w:name="_Toc236657747"/>
    <w:p w14:paraId="116AB7EA">
      <w:pPr>
        <w:pStyle w:val="style3"/>
        <w:rPr/>
      </w:pPr>
      <w:r>
        <w:t>5.5 People</w:t>
      </w:r>
      <w:bookmarkEnd w:id="16"/>
    </w:p>
    <w:p w14:paraId="461E45B4">
      <w:pPr>
        <w:pStyle w:val="style0"/>
        <w:rPr/>
      </w:pPr>
      <w:r>
        <w:t>At Cadbury, employee development and customer interaction is seen to be a vital part of brand experience. For the UK, staff training focuses on customer interaction, sustainability understanding, and standardization of retail services</w:t>
      </w:r>
      <w:r>
        <w:t xml:space="preserve"> </w:t>
      </w:r>
      <w:r>
        <w:t>(</w:t>
      </w:r>
      <w:r>
        <w:t>Ishchuk</w:t>
      </w:r>
      <w:r>
        <w:t xml:space="preserve"> and Ishchuk, 2023)</w:t>
      </w:r>
      <w:r>
        <w:t>. On the other hand, for India, the training covers customer service in addition to distribution channel training and retail channel training due to the fragmented nature of its retail market. Cross-cultural management practices facilitate communication with varied stakeholders and help in building lasting business relations</w:t>
      </w:r>
      <w:r>
        <w:t xml:space="preserve"> </w:t>
      </w:r>
      <w:r>
        <w:t>(</w:t>
      </w:r>
      <w:r>
        <w:t>Ishchuk</w:t>
      </w:r>
      <w:r>
        <w:t xml:space="preserve"> and Ishchuk, 2023)</w:t>
      </w:r>
      <w:r>
        <w:t>. Consequently, people management is geared towards the local business environment.</w:t>
      </w:r>
    </w:p>
    <w:bookmarkStart w:id="17" w:name="_Toc236657748"/>
    <w:p w14:paraId="1264DEFD">
      <w:pPr>
        <w:pStyle w:val="style3"/>
        <w:rPr/>
      </w:pPr>
      <w:r>
        <w:t>5.6 Process</w:t>
      </w:r>
      <w:bookmarkEnd w:id="17"/>
    </w:p>
    <w:p w14:paraId="42CB4629">
      <w:pPr>
        <w:pStyle w:val="style0"/>
        <w:rPr/>
      </w:pPr>
      <w:r>
        <w:t xml:space="preserve">The operational processes will be tailored to take into account differences in the level of technological development and consumer purchasing </w:t>
      </w:r>
      <w:r>
        <w:t>behavior</w:t>
      </w:r>
      <w:r>
        <w:t xml:space="preserve"> </w:t>
      </w:r>
      <w:r>
        <w:t>(Riegger et al., 2022)</w:t>
      </w:r>
      <w:r>
        <w:t>.</w:t>
      </w:r>
      <w:r>
        <w:t xml:space="preserve"> In the UK, the consumers enjoy very efficient automated ordering processes, effective inventory management, and modern digital payment technologies which make the process more convenient for them. In India, there is a similar approach to using digital technologies, mobile payments, and e-commerce systems; however, the operational processes remain flexible enough to incorpora</w:t>
      </w:r>
      <w:r>
        <w:t>te</w:t>
      </w:r>
      <w:r>
        <w:t xml:space="preserve"> conventional ways of retailing </w:t>
      </w:r>
      <w:r>
        <w:t>and</w:t>
      </w:r>
      <w:r>
        <w:t xml:space="preserve"> accounting for regional differences.</w:t>
      </w:r>
    </w:p>
    <w:bookmarkStart w:id="18" w:name="_Toc236657749"/>
    <w:p w14:paraId="0B4F59DB">
      <w:pPr>
        <w:pStyle w:val="style3"/>
        <w:rPr/>
      </w:pPr>
      <w:r>
        <w:t>5.7 Physical Evidence</w:t>
      </w:r>
      <w:bookmarkEnd w:id="18"/>
    </w:p>
    <w:p w14:paraId="7E36DA8E">
      <w:pPr>
        <w:pStyle w:val="style0"/>
        <w:rPr/>
      </w:pPr>
      <w:r>
        <w:t xml:space="preserve">Physical </w:t>
      </w:r>
      <w:r>
        <w:t>e</w:t>
      </w:r>
      <w:r>
        <w:t>vidence strengthens the premium positioning of the brand in both markets via effective packaging design, brand identity, and digital communication</w:t>
      </w:r>
      <w:r>
        <w:t xml:space="preserve"> </w:t>
      </w:r>
      <w:r>
        <w:t>(Balogun, Shukrah Abass and Didi, 2023)</w:t>
      </w:r>
      <w:r>
        <w:t xml:space="preserve">. </w:t>
      </w:r>
      <w:r>
        <w:t>Globally, Physical Evidence is more engaged on quality packaging, sustainable products, and premium physical displays that will draw in customers focused on sustainability issues. Colourful packaging and gifted boxes for various functions and culture friendly visuals makes the brand emotional in India. The Cadbury's website and other digital channels feature localized messages, promotions and demand and maintain elements of the global brand identity.</w:t>
      </w:r>
    </w:p>
    <w:p w14:paraId="6A169FD5">
      <w:pPr>
        <w:pStyle w:val="style0"/>
        <w:rPr/>
      </w:pPr>
      <w:r>
        <w:t>Overall, company demonstrates strong marketing responsiveness in India with adaptations on each dimension of the 7</w:t>
      </w:r>
      <w:r>
        <w:t xml:space="preserve">Ps </w:t>
      </w:r>
      <w:r>
        <w:t>to fit the cultural, income, retail, and consumer behaviour</w:t>
      </w:r>
      <w:r>
        <w:t>. In the UK, the focus is on innovation and premiumization in a developed market environment. The adaptive nature of marketing strategy in India thus allows Cadbury to penetrate into the markets effectively and sustain its global brand image.</w:t>
      </w:r>
    </w:p>
    <w:bookmarkStart w:id="19" w:name="_Toc236657750"/>
    <w:p w14:paraId="5E3E923B">
      <w:pPr>
        <w:pStyle w:val="style2"/>
        <w:rPr/>
      </w:pPr>
      <w:r>
        <w:t>6. Market Entry Strategy Analysis: India</w:t>
      </w:r>
      <w:bookmarkEnd w:id="19"/>
    </w:p>
    <w:p w14:paraId="4E628610">
      <w:pPr>
        <w:pStyle w:val="style0"/>
        <w:rPr/>
      </w:pPr>
      <w:r>
        <w:t>Cadbury entered the Indian market in 1948 through a wholly owned subsidiary, now operating as Mondelez India Foods Private Limited, rather than relying on exporting, licensing or franchising</w:t>
      </w:r>
      <w:r>
        <w:t xml:space="preserve"> </w:t>
      </w:r>
      <w:r>
        <w:t>(Cadbury, 2024)</w:t>
      </w:r>
      <w:r>
        <w:t>. This approach allowed the company to set up manufacturing locations, build the local supply chains and gain control over manufacturing process, quality standards and marketing. The increased demand led to the local production, which minimized import costs, enhanced market responsiveness and boosted Cadbury's competitive edge.</w:t>
      </w:r>
    </w:p>
    <w:p w14:paraId="1D624735">
      <w:pPr>
        <w:pStyle w:val="style0"/>
        <w:rPr/>
      </w:pPr>
      <w:r>
        <w:t>The wholly owned subsidiary had several strategic benefits in comparison to other entry modes. It eliminated high transportation costs and import tariff which are features of exporting</w:t>
      </w:r>
      <w:r>
        <w:t xml:space="preserve"> </w:t>
      </w:r>
      <w:r>
        <w:t>(Osland, Taylor and Zou, 2001)</w:t>
      </w:r>
      <w:r>
        <w:t>. As compared to licensing and franchising, it safeguarded Cadbury's intellectual property rights, made sure product quality was consistent, and maintained Cadbury's global brand status. In addition, full ownership allowed them to make decisions more quickly, without the prospect of conflict among partners, as with a joint venture</w:t>
      </w:r>
      <w:r>
        <w:t xml:space="preserve"> </w:t>
      </w:r>
      <w:r>
        <w:t>(Benito et al., 2022)</w:t>
      </w:r>
      <w:r>
        <w:t>. These benefits have helped Cadbury hold the top position in India's chocolate market.</w:t>
      </w:r>
      <w:r>
        <w:t xml:space="preserve"> </w:t>
      </w:r>
      <w:r>
        <w:t xml:space="preserve">However, such an approach has high financial, operational, regulatory, political and market risks and significant financial investment. Making substantial capital commitments to install manufacturing plants and set up distribution lines throughout the country was much riskier than licensing or exporting </w:t>
      </w:r>
      <w:r>
        <w:t>(Yasar and Morrison Paul, 2007)</w:t>
      </w:r>
      <w:r>
        <w:t>. Additionally, managing India's diverse regional markets increased operational challenges.</w:t>
      </w:r>
    </w:p>
    <w:p w14:paraId="3C993E4F">
      <w:pPr>
        <w:pStyle w:val="style0"/>
        <w:rPr/>
      </w:pPr>
      <w:r>
        <w:t>A joint venture with a local confectionery company may have minimized the risk of investment and enhanced local market knowledge but would have introduced somewhat broad restrictions on managerial control and strategic options</w:t>
      </w:r>
      <w:r>
        <w:t xml:space="preserve"> </w:t>
      </w:r>
      <w:r>
        <w:t>(</w:t>
      </w:r>
      <w:r>
        <w:t>HoushmandRad</w:t>
      </w:r>
      <w:r>
        <w:t xml:space="preserve"> and </w:t>
      </w:r>
      <w:r>
        <w:t>Fetanatfardhaghighi</w:t>
      </w:r>
      <w:r>
        <w:t>, 2023)</w:t>
      </w:r>
      <w:r>
        <w:t xml:space="preserve">. Given Cadbury's long-term commitment and strong brand equity, the </w:t>
      </w:r>
      <w:r>
        <w:rPr>
          <w:b/>
          <w:bCs/>
          <w:i/>
          <w:iCs/>
        </w:rPr>
        <w:t>wholly owned subsidiary</w:t>
      </w:r>
      <w:r>
        <w:t xml:space="preserve"> has proven more appropriate than alternative entry methods. The strategy has overall achieved localisation, product innovation, and its distribution across the country, thus being largely appropriate to continue the growth of India's growing confectionery market with full control of international marketing operations.</w:t>
      </w:r>
    </w:p>
    <w:bookmarkStart w:id="20" w:name="_Toc236657751"/>
    <w:p w14:paraId="59AB5240">
      <w:pPr>
        <w:pStyle w:val="style2"/>
        <w:rPr/>
      </w:pPr>
      <w:r>
        <w:t>7. Ethical Evaluation: Cadbury in India</w:t>
      </w:r>
      <w:bookmarkEnd w:id="20"/>
    </w:p>
    <w:p w14:paraId="707DFFAF">
      <w:pPr>
        <w:pStyle w:val="style0"/>
        <w:rPr/>
      </w:pPr>
      <w:r>
        <w:t>Cadbury's marketing practices in India can be evaluated using the Justice Approach, which emphasises fairness to stakeholders, and Cultural Relativism, which recognises that marketing practices should reflect local cultural values while maintaining ethical standards</w:t>
      </w:r>
      <w:r>
        <w:t xml:space="preserve"> </w:t>
      </w:r>
      <w:r>
        <w:t>(Di Maddaloni and Derakhshan, 2023</w:t>
      </w:r>
      <w:r>
        <w:t xml:space="preserve">; </w:t>
      </w:r>
      <w:r>
        <w:t>Jacko, 2025)</w:t>
      </w:r>
      <w:r>
        <w:t>. These frames are common to be used for the evaluation of International Marketing's Ethical Issue.</w:t>
      </w:r>
    </w:p>
    <w:p w14:paraId="34172586">
      <w:pPr>
        <w:pStyle w:val="style0"/>
        <w:rPr/>
      </w:pPr>
      <w:r>
        <w:t>Cadbury practises ethical marketing by undertaking a number of activities. The company demonstrates responsible sourcing of cocoa by implementing sustainable cocoa farming practices via Mondelēz International's Cocoa Life programme and enhancing the living conditions for cocoa farmers</w:t>
      </w:r>
      <w:r>
        <w:t xml:space="preserve"> </w:t>
      </w:r>
      <w:r>
        <w:t>(Bello-Bravo et al., 2022)</w:t>
      </w:r>
      <w:r>
        <w:t>. Second, its festival-based advertising campaigns festively pay tribute to Indian cultural traditions without undermining cultural values, building emotional linkages with the consumer while honouring local traditions. However, ethical concerns remain. Another concern is commercialisation specifically aimed at children; brightly coloured packaging and emotional campaigns could lead to over-rapid consumption of confectionery despite the increasing public health awareness about sugar consumption</w:t>
      </w:r>
      <w:r>
        <w:t xml:space="preserve"> </w:t>
      </w:r>
      <w:r>
        <w:t>(Sharma, Teret and Brownell, 2010)</w:t>
      </w:r>
      <w:r>
        <w:t>. Another is sustainability where Cadbury remains under pressure from stakeholders to cut plastic packaging and enhance environmental stewardship in its supply chain.</w:t>
      </w:r>
    </w:p>
    <w:p w14:paraId="23B18926">
      <w:pPr>
        <w:pStyle w:val="style0"/>
        <w:rPr/>
      </w:pPr>
      <w:r>
        <w:t>As both consumers and stakeholders, consumers demand safe, transparent and responsibly marketed products and governments need that the products are made in accordance with food safety and advertising legislation. Staff enjoy good labour practices, while consumers and environmental groups are increasingly focused on sustainable production and on the reduction of packaging waste. Cultural adaptation can increase consumer engagement, but ethics must not be sacrificed to pursue business goals</w:t>
      </w:r>
      <w:r>
        <w:t xml:space="preserve"> </w:t>
      </w:r>
      <w:r>
        <w:t xml:space="preserve">(Giesler and </w:t>
      </w:r>
      <w:r>
        <w:t>Veresiu</w:t>
      </w:r>
      <w:r>
        <w:t>, 2014)</w:t>
      </w:r>
      <w:r>
        <w:t>. Cadbury's activities in India evidence a generally strong ethical commitment in terms of the responsible sourcing and culturally relevant marketing. However, additional progress is still needed in responsible advertising and environmental sustainability, further consolidating the long-term trust of stakeholders and contribute to sustainable international marketing performance.</w:t>
      </w:r>
    </w:p>
    <w:bookmarkStart w:id="21" w:name="_Toc236657752"/>
    <w:p w14:paraId="7FEBB9BE">
      <w:pPr>
        <w:pStyle w:val="style2"/>
        <w:rPr/>
      </w:pPr>
      <w:r>
        <w:t xml:space="preserve">8. </w:t>
      </w:r>
      <w:r>
        <w:t>Strategic Recommendations</w:t>
      </w:r>
      <w:bookmarkEnd w:id="21"/>
    </w:p>
    <w:p w14:paraId="785EAB26">
      <w:pPr>
        <w:pStyle w:val="style0"/>
        <w:rPr>
          <w:i/>
          <w:iCs/>
        </w:rPr>
      </w:pPr>
      <w:r>
        <w:rPr>
          <w:i/>
          <w:iCs/>
        </w:rPr>
        <w:t>Recommendation 1: Expand AI-driven personalised digital marketing in India and the United Kingdom.</w:t>
      </w:r>
    </w:p>
    <w:p w14:paraId="3D35F948">
      <w:pPr>
        <w:pStyle w:val="style0"/>
        <w:rPr/>
      </w:pPr>
      <w:r>
        <w:t>In the next 12 months Cadbury should roll out AI-driven customer analytics on its digital properties to achieve personalised product recommendations, festival campaigns and loyalty offers. The objective should be to increase digital customer engagement by 20% and online sales by 15%. This recommendation is practical, as both markets are highly digitalised, in addition to the satisfaction enhancements that personalised marketing creates and the ROI benefits it generates for marketers.</w:t>
      </w:r>
    </w:p>
    <w:p w14:paraId="1B8527CA">
      <w:pPr>
        <w:pStyle w:val="style0"/>
        <w:rPr>
          <w:i/>
          <w:iCs/>
        </w:rPr>
      </w:pPr>
      <w:r>
        <w:rPr>
          <w:i/>
          <w:iCs/>
        </w:rPr>
        <w:t>Recommendation 2: Strengthen sustainable packaging and ethical sourcing initiatives.</w:t>
      </w:r>
    </w:p>
    <w:p w14:paraId="5AA9207D">
      <w:pPr>
        <w:pStyle w:val="style0"/>
        <w:rPr/>
      </w:pPr>
      <w:r>
        <w:t>Cadbury will make responsible cocoa sourcing through the Cadbury Cocoa Life programme and the percentage of recyclable</w:t>
      </w:r>
      <w:r>
        <w:t xml:space="preserve"> and </w:t>
      </w:r>
      <w:r>
        <w:t>compostable packaging achieve 100% within three years. Success should be measured by an annual sustainability reporting, reducing use of plastics, and improving ESG performance. Through this approach, the brand image will be improved, consumer expectations will be met and positively impact relationships with governments and environmental stakeholders</w:t>
      </w:r>
      <w:r>
        <w:t xml:space="preserve"> </w:t>
      </w:r>
      <w:r>
        <w:t>(Petrenko et al., 2024)</w:t>
      </w:r>
      <w:r>
        <w:t>.</w:t>
      </w:r>
    </w:p>
    <w:p w14:paraId="1F60F785">
      <w:pPr>
        <w:pStyle w:val="style0"/>
        <w:rPr>
          <w:i/>
          <w:iCs/>
        </w:rPr>
      </w:pPr>
      <w:r>
        <w:rPr>
          <w:i/>
          <w:iCs/>
        </w:rPr>
        <w:t>Recommendation 3: Accelerate product innovation through localised healthier product development.</w:t>
      </w:r>
    </w:p>
    <w:p w14:paraId="25503361">
      <w:pPr>
        <w:pStyle w:val="style0"/>
        <w:rPr/>
      </w:pPr>
      <w:r>
        <w:t>At least 5 chocolates with fewer sugars, which are also locally customized in the UK and India should be developed by Cadbury by 2028. Success of the product can be determined by growing sales, market share and customer satisfaction</w:t>
      </w:r>
      <w:r>
        <w:t xml:space="preserve"> </w:t>
      </w:r>
      <w:r>
        <w:t>(</w:t>
      </w:r>
      <w:r>
        <w:t>Guiné</w:t>
      </w:r>
      <w:r>
        <w:t>, 2020)</w:t>
      </w:r>
      <w:r>
        <w:t xml:space="preserve">. This recommendation not only helps to raise awareness of health across the UK, but it is also meant to meet the changing preferences of Indians. At the same time, local </w:t>
      </w:r>
      <w:r>
        <w:t>flavors</w:t>
      </w:r>
      <w:r>
        <w:t xml:space="preserve"> and festival products should further strengthen the brand's cultural relevance and help Cadbury maintain competitive edge and global growth in its developed and developing markets.</w:t>
      </w:r>
    </w:p>
    <w:bookmarkStart w:id="22" w:name="_Toc236657753"/>
    <w:p w14:paraId="4C7C8FAF">
      <w:pPr>
        <w:pStyle w:val="style2"/>
        <w:rPr/>
      </w:pPr>
      <w:r>
        <w:t>9. Conclusion</w:t>
      </w:r>
      <w:bookmarkEnd w:id="22"/>
    </w:p>
    <w:p w14:paraId="570CBCA1">
      <w:pPr>
        <w:pStyle w:val="style0"/>
        <w:rPr/>
      </w:pPr>
      <w:r>
        <w:t xml:space="preserve">This report showed the comparison between Cadbury's international marketing strategies in UK and India with a critical approach. The analysis showed that the environment (PESTEL) and cultural conditions have significant impact on making marketing decisions and balance must be achieved between the global standardization and localization process. Cadbury adapts its approach to STP and 7Ps marketing mix appropriately to meet the contrasting preferences and economic pressures as well as the cultural and values of consumers. Wholly owned subsidiary in India is used in the hopes of successful market expansion, and ethical practices need to be enhanced with sustainability and responsible advertising. Implementing the </w:t>
      </w:r>
      <w:r>
        <w:t>recommended strategies will strengthen Cadbury's long-term competitiveness, brand equity and sustainable international growth across both mature and emerging markets.</w:t>
      </w:r>
    </w:p>
    <w:p w14:paraId="5EA2A21D">
      <w:pPr>
        <w:pStyle w:val="style0"/>
        <w:spacing w:lineRule="auto" w:line="259"/>
        <w:jc w:val="left"/>
        <w:rPr/>
      </w:pPr>
      <w:r>
        <w:br w:type="page"/>
      </w:r>
    </w:p>
    <w:bookmarkStart w:id="23" w:name="_Toc236657754"/>
    <w:p w14:paraId="5C9F8032">
      <w:pPr>
        <w:pStyle w:val="style1"/>
        <w:rPr/>
      </w:pPr>
      <w:r>
        <w:t>SECTION 2: REFLECTIVE ACCOUNT (GIBBS' REFLECTIVE CYCLE)</w:t>
      </w:r>
      <w:bookmarkEnd w:id="23"/>
    </w:p>
    <w:bookmarkStart w:id="24" w:name="_Toc236657755"/>
    <w:p w14:paraId="6E05F898">
      <w:pPr>
        <w:pStyle w:val="style2"/>
        <w:rPr/>
      </w:pPr>
      <w:r>
        <w:t xml:space="preserve">2.1 </w:t>
      </w:r>
      <w:r>
        <w:t>Description</w:t>
      </w:r>
      <w:bookmarkEnd w:id="24"/>
    </w:p>
    <w:p w14:paraId="761ED7C7">
      <w:pPr>
        <w:pStyle w:val="style0"/>
        <w:rPr/>
      </w:pPr>
      <w:r>
        <w:t xml:space="preserve">This report performs a critical evaluation of international marketing strategies adopted by Cadbury in the UK and India through comparative analysis of macro-environmental, cultural, and marketing strategic aspects. </w:t>
      </w:r>
      <w:r>
        <w:t>Whereas most assignments entail the identification of marketing strategies, this particular one requires analysis and comparison in accordance with PESTLE analysis, cultural dimensions of Hofstede, STP, 7P, market entry theories, and ethical considerations. Although initially the choice of the source appeared appropriate, since it included company reports and general information, it became clear that not everything could be covered with the help of these sources alone. For this reason, a wider range of sources has been chosen in order to provide reliable results</w:t>
      </w:r>
      <w:r>
        <w:t xml:space="preserve">. </w:t>
      </w:r>
      <w:r>
        <w:t>Thus</w:t>
      </w:r>
      <w:r>
        <w:t>, it becomes possible not only to evaluate Cadbury practices but also to find reasons for adopting these strategies and their effectiveness.</w:t>
      </w:r>
    </w:p>
    <w:bookmarkStart w:id="25" w:name="_Toc236657756"/>
    <w:p w14:paraId="1848D12D">
      <w:pPr>
        <w:pStyle w:val="style2"/>
        <w:rPr/>
      </w:pPr>
      <w:r>
        <w:t>2</w:t>
      </w:r>
      <w:r>
        <w:t>.2</w:t>
      </w:r>
      <w:r>
        <w:t xml:space="preserve"> Feelings</w:t>
      </w:r>
      <w:bookmarkEnd w:id="25"/>
    </w:p>
    <w:p w14:paraId="3C8D63C5">
      <w:pPr>
        <w:pStyle w:val="style0"/>
        <w:rPr/>
      </w:pPr>
      <w:r>
        <w:t xml:space="preserve">To begin with, I felt assured about utilizing marketing models separately, but I had low assurance on integrating these into a critical analysis. Gibbs' (1988) model for reflective learning made me realize that my first effort lacked an assessment of the interconnections between culture, consumer </w:t>
      </w:r>
      <w:r>
        <w:t>behavior</w:t>
      </w:r>
      <w:r>
        <w:t>, and strategic decisions. Researching current literature on international marketing improved my assurance level because it made me understand that good research puts emphasis on the interplay between environmental elements instead of using models separately. Moreover, I understood that it is important to question theoretical assumptions instead of taking them at face value.</w:t>
      </w:r>
    </w:p>
    <w:bookmarkStart w:id="26" w:name="_Toc236657757"/>
    <w:p w14:paraId="17394DCB">
      <w:pPr>
        <w:pStyle w:val="style2"/>
        <w:rPr/>
      </w:pPr>
      <w:r>
        <w:t>2.3</w:t>
      </w:r>
      <w:r>
        <w:t xml:space="preserve"> Evaluation</w:t>
      </w:r>
      <w:bookmarkEnd w:id="26"/>
    </w:p>
    <w:p w14:paraId="0C6A1454">
      <w:pPr>
        <w:pStyle w:val="style0"/>
        <w:rPr/>
      </w:pPr>
      <w:r>
        <w:t>One of the significant advantages of the research process was that multiple theories were taken into account in the research process. Based on the theory of constructive alignment</w:t>
      </w:r>
      <w:r>
        <w:t xml:space="preserve">, </w:t>
      </w:r>
      <w:r>
        <w:t>every part of the study was aligned to the module learning outcomes through the use of macroenvironmental analysis, cultural theory, marketing strategy, and ethics evaluation</w:t>
      </w:r>
      <w:r>
        <w:t xml:space="preserve"> </w:t>
      </w:r>
      <w:r>
        <w:t>(</w:t>
      </w:r>
      <w:r>
        <w:t>Biggs</w:t>
      </w:r>
      <w:r>
        <w:t xml:space="preserve"> et al., 2011)</w:t>
      </w:r>
      <w:r>
        <w:t>. Another advantage is that the application of evidence-based management increased the reliability of recommendations as the strategic decisions were based on evidence rather than an individual's p</w:t>
      </w:r>
      <w:r>
        <w:t xml:space="preserve">erspective </w:t>
      </w:r>
      <w:r>
        <w:t>(Briner, Denyer and Rousseau, 2009)</w:t>
      </w:r>
      <w:r>
        <w:t>.</w:t>
      </w:r>
    </w:p>
    <w:p w14:paraId="5C9A9B1A">
      <w:pPr>
        <w:pStyle w:val="style0"/>
        <w:rPr/>
      </w:pPr>
      <w:r>
        <w:t>However</w:t>
      </w:r>
      <w:r>
        <w:t xml:space="preserve">, I had my fair share of difficulties. Initially, it appeared that Hofstede’s Cultural Dimensions would be suitable enough to explain consumer </w:t>
      </w:r>
      <w:r>
        <w:t>behavior</w:t>
      </w:r>
      <w:r>
        <w:t xml:space="preserve"> (</w:t>
      </w:r>
      <w:r>
        <w:t>Juhász</w:t>
      </w:r>
      <w:r>
        <w:t>, 2014)</w:t>
      </w:r>
      <w:r>
        <w:t xml:space="preserve"> </w:t>
      </w:r>
      <w:r>
        <w:t>However,</w:t>
      </w:r>
      <w:r>
        <w:t xml:space="preserve"> </w:t>
      </w:r>
      <w:r>
        <w:t xml:space="preserve">after further research and involvement in studies, it became clear that just national culture was not enough to explain differences between various markets like that of India. </w:t>
      </w:r>
      <w:r>
        <w:t>Thus</w:t>
      </w:r>
      <w:r>
        <w:t xml:space="preserve">, I had to combine my understanding of cultural dimensions with demographics, economics and </w:t>
      </w:r>
      <w:r>
        <w:t>behavior</w:t>
      </w:r>
      <w:r>
        <w:t>.</w:t>
      </w:r>
    </w:p>
    <w:bookmarkStart w:id="27" w:name="_Toc236657758"/>
    <w:p w14:paraId="323D2450">
      <w:pPr>
        <w:pStyle w:val="style2"/>
        <w:rPr/>
      </w:pPr>
      <w:r>
        <w:t>2.4</w:t>
      </w:r>
      <w:r>
        <w:t xml:space="preserve"> Analysis</w:t>
      </w:r>
      <w:bookmarkEnd w:id="27"/>
    </w:p>
    <w:p w14:paraId="6EA6F22B">
      <w:pPr>
        <w:pStyle w:val="style0"/>
        <w:rPr/>
      </w:pPr>
      <w:r>
        <w:t xml:space="preserve">In addition, this assignment greatly improved my critical thinking skills through synthesising information rather than just describing it. Based on Kolb's </w:t>
      </w:r>
      <w:r>
        <w:t>(2013)</w:t>
      </w:r>
      <w:r>
        <w:t xml:space="preserve"> </w:t>
      </w:r>
      <w:r>
        <w:t>Experiential Learning Theory</w:t>
      </w:r>
      <w:r>
        <w:t xml:space="preserve">, </w:t>
      </w:r>
      <w:r>
        <w:t>significant learning occurs through a process of experiencing something, observing it, conceptualising it, and experimenting with it. In this particular assignment, all four elements played an important role in the learning process. Analysis was the concrete experience, whereas the evaluation of different academic views was the reflective observation. The combination of theories of marketing with the facts was the abstract conceptualisation, and the preparation of strategic suggestions was active experimentation</w:t>
      </w:r>
      <w:r>
        <w:t>.</w:t>
      </w:r>
    </w:p>
    <w:p w14:paraId="15A5450C">
      <w:pPr>
        <w:pStyle w:val="style0"/>
        <w:rPr/>
      </w:pPr>
      <w:r>
        <w:t>The study by Argyris &amp; Schön (</w:t>
      </w:r>
      <w:r>
        <w:t>1997</w:t>
      </w:r>
      <w:r>
        <w:t>) regarding double loop learning has further extended my reflective practice process. Instead of focusing only on improving my technical research skills, I started thinking about my underlying assumption related to international standardization and cultural adaptation. First, I thought that any form of increasing localization automatically results in creating an effective competitive advantage. But now, I understand that the success of Cadbury is due to striking a balance between globalization and localization</w:t>
      </w:r>
      <w:r>
        <w:t>.</w:t>
      </w:r>
    </w:p>
    <w:p w14:paraId="0056A6B8">
      <w:pPr>
        <w:pStyle w:val="style0"/>
        <w:rPr/>
      </w:pPr>
      <w:r>
        <w:t>In this study, the significance of stakeholder theory was highlighted</w:t>
      </w:r>
      <w:r>
        <w:t xml:space="preserve"> </w:t>
      </w:r>
      <w:r>
        <w:t>(Freeman, 2010). The success of marketing activities does not solely depend upon how profitable they were. It was necessary to consider the views of consumers, workers, government organizations, and environmental stakeholders</w:t>
      </w:r>
      <w:r>
        <w:t>. Thus, it allowed me to conduct analysis from an ethical standpoint</w:t>
      </w:r>
      <w:r>
        <w:t>.</w:t>
      </w:r>
    </w:p>
    <w:bookmarkStart w:id="28" w:name="_Toc236657759"/>
    <w:p w14:paraId="17468DA7">
      <w:pPr>
        <w:pStyle w:val="style2"/>
        <w:rPr/>
      </w:pPr>
      <w:r>
        <w:t>2.5</w:t>
      </w:r>
      <w:r>
        <w:t xml:space="preserve"> Conclusion</w:t>
      </w:r>
      <w:bookmarkEnd w:id="28"/>
    </w:p>
    <w:p w14:paraId="08B50AFA">
      <w:pPr>
        <w:pStyle w:val="style0"/>
        <w:rPr/>
      </w:pPr>
      <w:r>
        <w:t xml:space="preserve">The current task significantly improved my ability to conduct research at a postgraduate level, synthesize various theories, and make evidence-based recommendations for managers. I moved on from providing descriptive explanations about international marketing operations to making a critical evaluation of the relationships between macro-environmental factors, culture, consumer </w:t>
      </w:r>
      <w:r>
        <w:t>behavior</w:t>
      </w:r>
      <w:r>
        <w:t xml:space="preserve">, and decision making. </w:t>
      </w:r>
      <w:r>
        <w:t xml:space="preserve">Through Gibbs' reflection cycle, I was able to continuously evaluate my learning. However, through Kolb's learning cycle and double-loop learning, I improved my deductions and critical thinking skills. Hence, I acquired new skills in analysis, research, and reflection, which will be valuable in future </w:t>
      </w:r>
      <w:r>
        <w:t>decision making</w:t>
      </w:r>
      <w:r>
        <w:t xml:space="preserve"> processes</w:t>
      </w:r>
      <w:r>
        <w:t>.</w:t>
      </w:r>
    </w:p>
    <w:bookmarkStart w:id="29" w:name="_Toc236657760"/>
    <w:p w14:paraId="2472C95B">
      <w:pPr>
        <w:pStyle w:val="style2"/>
        <w:rPr/>
      </w:pPr>
      <w:r>
        <w:t>2.6</w:t>
      </w:r>
      <w:r>
        <w:t xml:space="preserve"> Action Plan</w:t>
      </w:r>
      <w:bookmarkEnd w:id="29"/>
    </w:p>
    <w:tbl>
      <w:tblPr>
        <w:tblStyle w:val="style4115"/>
        <w:tblW w:w="0" w:type="auto"/>
        <w:tblLook w:val="04A0" w:firstRow="1" w:lastRow="0" w:firstColumn="1" w:lastColumn="0" w:noHBand="0" w:noVBand="1"/>
      </w:tblPr>
      <w:tblGrid>
        <w:gridCol w:w="1989"/>
        <w:gridCol w:w="2531"/>
        <w:gridCol w:w="2959"/>
        <w:gridCol w:w="1544"/>
      </w:tblGrid>
      <w:tr w14:paraId="09FE68DE">
        <w:trPr/>
        <w:tc>
          <w:tcPr>
            <w:tcW w:w="0" w:type="auto"/>
            <w:tcBorders/>
            <w:hideMark/>
          </w:tcPr>
          <w:p w14:paraId="6D65846D">
            <w:pPr>
              <w:pStyle w:val="style0"/>
              <w:jc w:val="center"/>
              <w:rPr/>
            </w:pPr>
            <w:r>
              <w:t>SMART Objective</w:t>
            </w:r>
          </w:p>
        </w:tc>
        <w:tc>
          <w:tcPr>
            <w:tcW w:w="0" w:type="auto"/>
            <w:tcBorders/>
            <w:hideMark/>
          </w:tcPr>
          <w:p w14:paraId="6A964B5F">
            <w:pPr>
              <w:pStyle w:val="style0"/>
              <w:jc w:val="center"/>
              <w:rPr/>
            </w:pPr>
            <w:r>
              <w:t>Action</w:t>
            </w:r>
          </w:p>
        </w:tc>
        <w:tc>
          <w:tcPr>
            <w:tcW w:w="0" w:type="auto"/>
            <w:tcBorders/>
            <w:hideMark/>
          </w:tcPr>
          <w:p w14:paraId="22D66C6E">
            <w:pPr>
              <w:pStyle w:val="style0"/>
              <w:jc w:val="center"/>
              <w:rPr/>
            </w:pPr>
            <w:r>
              <w:t>Measure of Success</w:t>
            </w:r>
          </w:p>
        </w:tc>
        <w:tc>
          <w:tcPr>
            <w:tcW w:w="0" w:type="auto"/>
            <w:tcBorders/>
            <w:hideMark/>
          </w:tcPr>
          <w:p w14:paraId="170A878A">
            <w:pPr>
              <w:pStyle w:val="style0"/>
              <w:jc w:val="center"/>
              <w:rPr/>
            </w:pPr>
            <w:r>
              <w:t>Timeframe</w:t>
            </w:r>
          </w:p>
        </w:tc>
      </w:tr>
      <w:tr w14:paraId="41C3E0AB">
        <w:tblPrEx/>
        <w:trPr/>
        <w:tc>
          <w:tcPr>
            <w:tcW w:w="0" w:type="auto"/>
            <w:tcBorders/>
            <w:hideMark/>
          </w:tcPr>
          <w:p w14:paraId="0009B4D0">
            <w:pPr>
              <w:pStyle w:val="style0"/>
              <w:rPr/>
            </w:pPr>
            <w:r>
              <w:t>Specific: Improve critical evaluation skills.</w:t>
            </w:r>
          </w:p>
        </w:tc>
        <w:tc>
          <w:tcPr>
            <w:tcW w:w="0" w:type="auto"/>
            <w:tcBorders/>
            <w:hideMark/>
          </w:tcPr>
          <w:p w14:paraId="0F6A50D4">
            <w:pPr>
              <w:pStyle w:val="style0"/>
              <w:rPr/>
            </w:pPr>
            <w:r>
              <w:t>Read two peer-reviewed international marketing articles each month and compare theoretical perspectives.</w:t>
            </w:r>
          </w:p>
        </w:tc>
        <w:tc>
          <w:tcPr>
            <w:tcW w:w="0" w:type="auto"/>
            <w:tcBorders/>
            <w:hideMark/>
          </w:tcPr>
          <w:p w14:paraId="7CAB9082">
            <w:pPr>
              <w:pStyle w:val="style0"/>
              <w:rPr/>
            </w:pPr>
            <w:r>
              <w:t>Produce stronger critical analysis in future assignments, evidenced by tutor feedback above 80%.</w:t>
            </w:r>
          </w:p>
        </w:tc>
        <w:tc>
          <w:tcPr>
            <w:tcW w:w="0" w:type="auto"/>
            <w:tcBorders/>
            <w:hideMark/>
          </w:tcPr>
          <w:p w14:paraId="5CD3BB43">
            <w:pPr>
              <w:pStyle w:val="style0"/>
              <w:rPr/>
            </w:pPr>
            <w:r>
              <w:t>Within 6 months.</w:t>
            </w:r>
          </w:p>
        </w:tc>
      </w:tr>
      <w:tr w14:paraId="2DE749C0">
        <w:tblPrEx/>
        <w:trPr/>
        <w:tc>
          <w:tcPr>
            <w:tcW w:w="0" w:type="auto"/>
            <w:tcBorders/>
            <w:hideMark/>
          </w:tcPr>
          <w:p w14:paraId="128EC61B">
            <w:pPr>
              <w:pStyle w:val="style0"/>
              <w:rPr/>
            </w:pPr>
            <w:r>
              <w:t>Measurable: Enhance data analysis capability.</w:t>
            </w:r>
          </w:p>
        </w:tc>
        <w:tc>
          <w:tcPr>
            <w:tcW w:w="0" w:type="auto"/>
            <w:tcBorders/>
            <w:hideMark/>
          </w:tcPr>
          <w:p w14:paraId="0A52C650">
            <w:pPr>
              <w:pStyle w:val="style0"/>
              <w:rPr/>
            </w:pPr>
            <w:r>
              <w:t>Complete an online course in Excel, Power BI or SPSS.</w:t>
            </w:r>
          </w:p>
        </w:tc>
        <w:tc>
          <w:tcPr>
            <w:tcW w:w="0" w:type="auto"/>
            <w:tcBorders/>
            <w:hideMark/>
          </w:tcPr>
          <w:p w14:paraId="248EB000">
            <w:pPr>
              <w:pStyle w:val="style0"/>
              <w:rPr/>
            </w:pPr>
            <w:r>
              <w:t>Successfully apply analytical tools in academic and workplace projects.</w:t>
            </w:r>
          </w:p>
        </w:tc>
        <w:tc>
          <w:tcPr>
            <w:tcW w:w="0" w:type="auto"/>
            <w:tcBorders/>
            <w:hideMark/>
          </w:tcPr>
          <w:p w14:paraId="1102A7AD">
            <w:pPr>
              <w:pStyle w:val="style0"/>
              <w:rPr/>
            </w:pPr>
            <w:r>
              <w:t>Within 4 months.</w:t>
            </w:r>
          </w:p>
        </w:tc>
      </w:tr>
      <w:tr w14:paraId="0CD427D0">
        <w:tblPrEx/>
        <w:trPr/>
        <w:tc>
          <w:tcPr>
            <w:tcW w:w="0" w:type="auto"/>
            <w:tcBorders/>
            <w:hideMark/>
          </w:tcPr>
          <w:p w14:paraId="1D05238B">
            <w:pPr>
              <w:pStyle w:val="style0"/>
              <w:rPr/>
            </w:pPr>
            <w:r>
              <w:t>Achievable &amp; Relevant: Strengthen reflective practice.</w:t>
            </w:r>
          </w:p>
        </w:tc>
        <w:tc>
          <w:tcPr>
            <w:tcW w:w="0" w:type="auto"/>
            <w:tcBorders/>
            <w:hideMark/>
          </w:tcPr>
          <w:p w14:paraId="69314856">
            <w:pPr>
              <w:pStyle w:val="style0"/>
              <w:rPr/>
            </w:pPr>
            <w:r>
              <w:t>Apply Gibbs' Reflective Cycle after every major assignment or professional task.</w:t>
            </w:r>
          </w:p>
        </w:tc>
        <w:tc>
          <w:tcPr>
            <w:tcW w:w="0" w:type="auto"/>
            <w:tcBorders/>
            <w:hideMark/>
          </w:tcPr>
          <w:p w14:paraId="22B0F7F7">
            <w:pPr>
              <w:pStyle w:val="style0"/>
              <w:rPr/>
            </w:pPr>
            <w:r>
              <w:t>Maintain a reflective journal with at least one entry per month.</w:t>
            </w:r>
          </w:p>
        </w:tc>
        <w:tc>
          <w:tcPr>
            <w:tcW w:w="0" w:type="auto"/>
            <w:tcBorders/>
            <w:hideMark/>
          </w:tcPr>
          <w:p w14:paraId="7A2587B5">
            <w:pPr>
              <w:pStyle w:val="style0"/>
              <w:rPr/>
            </w:pPr>
            <w:r>
              <w:t>Ongoing for 12 months.</w:t>
            </w:r>
          </w:p>
        </w:tc>
      </w:tr>
      <w:tr w14:paraId="1AB3831F">
        <w:tblPrEx/>
        <w:trPr/>
        <w:tc>
          <w:tcPr>
            <w:tcW w:w="0" w:type="auto"/>
            <w:tcBorders/>
            <w:hideMark/>
          </w:tcPr>
          <w:p w14:paraId="4208102F">
            <w:pPr>
              <w:pStyle w:val="style0"/>
              <w:rPr/>
            </w:pPr>
            <w:r>
              <w:t>Time-bound: Develop international marketing expertise.</w:t>
            </w:r>
          </w:p>
        </w:tc>
        <w:tc>
          <w:tcPr>
            <w:tcW w:w="0" w:type="auto"/>
            <w:tcBorders/>
            <w:hideMark/>
          </w:tcPr>
          <w:p w14:paraId="4A61A8B3">
            <w:pPr>
              <w:pStyle w:val="style0"/>
              <w:rPr/>
            </w:pPr>
            <w:r>
              <w:t>Attend two marketing webinars and review one industry report quarterly.</w:t>
            </w:r>
          </w:p>
        </w:tc>
        <w:tc>
          <w:tcPr>
            <w:tcW w:w="0" w:type="auto"/>
            <w:tcBorders/>
            <w:hideMark/>
          </w:tcPr>
          <w:p w14:paraId="1F91BBC3">
            <w:pPr>
              <w:pStyle w:val="style0"/>
              <w:rPr/>
            </w:pPr>
            <w:r>
              <w:t>Demonstrate improved strategic recommendations supported by current evidence.</w:t>
            </w:r>
          </w:p>
        </w:tc>
        <w:tc>
          <w:tcPr>
            <w:tcW w:w="0" w:type="auto"/>
            <w:tcBorders/>
            <w:hideMark/>
          </w:tcPr>
          <w:p w14:paraId="34DCEE6C">
            <w:pPr>
              <w:pStyle w:val="style0"/>
              <w:rPr/>
            </w:pPr>
            <w:r>
              <w:t>Within 12 months.</w:t>
            </w:r>
          </w:p>
        </w:tc>
      </w:tr>
    </w:tbl>
    <w:p w14:paraId="62A37E5B">
      <w:pPr>
        <w:pStyle w:val="style0"/>
        <w:rPr/>
      </w:pPr>
    </w:p>
    <w:p w14:paraId="3F3C0091">
      <w:pPr>
        <w:pStyle w:val="style0"/>
        <w:rPr/>
      </w:pPr>
    </w:p>
    <w:p w14:paraId="06DCF7F7">
      <w:pPr>
        <w:pStyle w:val="style0"/>
        <w:spacing w:lineRule="auto" w:line="259"/>
        <w:jc w:val="left"/>
        <w:rPr/>
      </w:pPr>
      <w:r>
        <w:br w:type="page"/>
      </w:r>
    </w:p>
    <w:bookmarkStart w:id="30" w:name="_Toc236657761"/>
    <w:p w14:paraId="2C6F09B2">
      <w:pPr>
        <w:pStyle w:val="style1"/>
        <w:rPr/>
      </w:pPr>
      <w:r>
        <w:t>References</w:t>
      </w:r>
      <w:bookmarkEnd w:id="30"/>
      <w:r>
        <w:t xml:space="preserve"> </w:t>
      </w:r>
    </w:p>
    <w:p w14:paraId="59F37CE5">
      <w:pPr>
        <w:pStyle w:val="style0"/>
        <w:rPr/>
      </w:pPr>
      <w:r>
        <w:t>Akinrinoye</w:t>
      </w:r>
      <w:r>
        <w:t xml:space="preserve">, O.V., </w:t>
      </w:r>
      <w:r>
        <w:t>Kufile</w:t>
      </w:r>
      <w:r>
        <w:t xml:space="preserve">, O.T., Otokiti, B.O., Ejike, O.G., </w:t>
      </w:r>
      <w:r>
        <w:t>Umezurike</w:t>
      </w:r>
      <w:r>
        <w:t xml:space="preserve">, S.A. and Onifade, A.Y., </w:t>
      </w:r>
      <w:r>
        <w:t>(</w:t>
      </w:r>
      <w:r>
        <w:t>2020</w:t>
      </w:r>
      <w:r>
        <w:t>)</w:t>
      </w:r>
      <w:r>
        <w:t>. Customer segmentation strategies in emerging markets: a review of tools, models, and applications. </w:t>
      </w:r>
      <w:r>
        <w:rPr>
          <w:i/>
          <w:iCs/>
        </w:rPr>
        <w:t>International Journal of Scientific Research in Computer Science, Engineering and Information Technology</w:t>
      </w:r>
      <w:r>
        <w:t>, </w:t>
      </w:r>
      <w:r>
        <w:rPr>
          <w:i/>
          <w:iCs/>
        </w:rPr>
        <w:t>6</w:t>
      </w:r>
      <w:r>
        <w:t>(1), pp.194-217.</w:t>
      </w:r>
    </w:p>
    <w:p w14:paraId="6D0B4A5C">
      <w:pPr>
        <w:pStyle w:val="style0"/>
        <w:rPr/>
      </w:pPr>
      <w:r>
        <w:t>Andrijauskienė</w:t>
      </w:r>
      <w:r>
        <w:t xml:space="preserve">, M. and </w:t>
      </w:r>
      <w:r>
        <w:t>Dumčiuvienė</w:t>
      </w:r>
      <w:r>
        <w:t xml:space="preserve">, D. (2017). </w:t>
      </w:r>
      <w:r>
        <w:rPr>
          <w:i/>
          <w:iCs/>
        </w:rPr>
        <w:t>Hofstede’s Cultural Dimensions and National Innovation Level - ProQuest</w:t>
      </w:r>
      <w:r>
        <w:t>. [online] Proquest.com. Available at: https://search.proquest.com/openview/1dc331e8c557575e2f71925d67c3b2b0/1?pq-origsite=gscholar&amp;cbl=2049763 [Accessed 31 July 2026].</w:t>
      </w:r>
    </w:p>
    <w:p w14:paraId="65309E36">
      <w:pPr>
        <w:pStyle w:val="style0"/>
        <w:rPr/>
      </w:pPr>
      <w:r>
        <w:t xml:space="preserve">Argyris, Ch. and Schön, D.A. (1997). Organizational learning: a theory of action perspective. </w:t>
      </w:r>
      <w:r>
        <w:rPr>
          <w:i/>
          <w:iCs/>
        </w:rPr>
        <w:t>Reis</w:t>
      </w:r>
      <w:r>
        <w:t>, [online] (77/78), pp.345–348. doi:10.2307/40183951.</w:t>
      </w:r>
    </w:p>
    <w:p w14:paraId="153261F3">
      <w:pPr>
        <w:pStyle w:val="style0"/>
        <w:rPr/>
      </w:pPr>
      <w:r>
        <w:t xml:space="preserve">Balogun, O., Shukrah Abass, O. and Didi, P. (2023). </w:t>
      </w:r>
      <w:r>
        <w:t>Gyanshauryam</w:t>
      </w:r>
      <w:r>
        <w:t xml:space="preserve">, International Scientific Refereed Research Journal Packaging innovation as a strategic lever for enhancing brand equity in regulation-constrained environments. </w:t>
      </w:r>
      <w:r>
        <w:rPr>
          <w:i/>
          <w:iCs/>
        </w:rPr>
        <w:t>International Scientific Refereed Research Journal (www. gisrrj.com) |</w:t>
      </w:r>
      <w:r>
        <w:t>, [online] 6(4), pp.338–356. Available at: https://gisrrj.com/paper/GISRRJ236424.pdf [Accessed 1 Aug. 2026].</w:t>
      </w:r>
    </w:p>
    <w:p w14:paraId="48E46312">
      <w:pPr>
        <w:pStyle w:val="style0"/>
        <w:rPr/>
      </w:pPr>
      <w:r>
        <w:t xml:space="preserve">Bello-Bravo, J., </w:t>
      </w:r>
      <w:r>
        <w:t>Lutomia</w:t>
      </w:r>
      <w:r>
        <w:t xml:space="preserve">, A.N., Medendorp, J.W. and Pittendrigh, B.R. (2022). Chocolate Industry Sustainable Sourcing Practices. </w:t>
      </w:r>
      <w:r>
        <w:rPr>
          <w:i/>
          <w:iCs/>
        </w:rPr>
        <w:t>Trends in Sustainable Chocolate Production</w:t>
      </w:r>
      <w:r>
        <w:t>, pp.259–290. doi:10.1007/978-3-030-90169-1_8.</w:t>
      </w:r>
    </w:p>
    <w:p w14:paraId="7CB9816D">
      <w:pPr>
        <w:pStyle w:val="style0"/>
        <w:rPr/>
      </w:pPr>
      <w:r>
        <w:t xml:space="preserve">Benito, G.R.G., </w:t>
      </w:r>
      <w:r>
        <w:t>Cazurra</w:t>
      </w:r>
      <w:r>
        <w:t xml:space="preserve">, A.C., Mudambi, R., Pedersen, T. and Tallman, S. (2022). The Future of Global Strategy. </w:t>
      </w:r>
      <w:r>
        <w:rPr>
          <w:i/>
          <w:iCs/>
        </w:rPr>
        <w:t>Global Strategy Journal</w:t>
      </w:r>
      <w:r>
        <w:t>, 12(3), pp.421–450.</w:t>
      </w:r>
    </w:p>
    <w:p w14:paraId="73A73545">
      <w:pPr>
        <w:pStyle w:val="style0"/>
        <w:rPr/>
      </w:pPr>
      <w:r>
        <w:t xml:space="preserve">Bera, O., Singh, R. and Bhattacharya, S. (2023). Food Literacy &amp; Food </w:t>
      </w:r>
      <w:r>
        <w:t>Labeling</w:t>
      </w:r>
      <w:r>
        <w:t xml:space="preserve"> Laws—A Legal Analysis of India’s Food Policy. </w:t>
      </w:r>
      <w:r>
        <w:rPr>
          <w:i/>
          <w:iCs/>
        </w:rPr>
        <w:t>Journal of Family Medicine and Primary Care</w:t>
      </w:r>
      <w:r>
        <w:t xml:space="preserve">, 12(4), p.606. </w:t>
      </w:r>
      <w:r>
        <w:t>doi:10.4103/jfmpc.jfmpc</w:t>
      </w:r>
      <w:r>
        <w:t>_880_22.</w:t>
      </w:r>
    </w:p>
    <w:p w14:paraId="70B38FE0">
      <w:pPr>
        <w:pStyle w:val="style0"/>
        <w:rPr/>
      </w:pPr>
      <w:r>
        <w:t xml:space="preserve">Biggs, J.B., Tang, C.S.K. and Kennedy, G., </w:t>
      </w:r>
      <w:r>
        <w:t>(</w:t>
      </w:r>
      <w:r>
        <w:t>2011</w:t>
      </w:r>
      <w:r>
        <w:t>)</w:t>
      </w:r>
      <w:r>
        <w:t>. </w:t>
      </w:r>
      <w:r>
        <w:rPr>
          <w:i/>
          <w:iCs/>
        </w:rPr>
        <w:t>Teaching for quality learning at university</w:t>
      </w:r>
      <w:r>
        <w:t> (Vol. 4, No. 5). Maidenhead: Open university press.</w:t>
      </w:r>
    </w:p>
    <w:p w14:paraId="33A36F4C">
      <w:pPr>
        <w:pStyle w:val="style0"/>
        <w:rPr/>
      </w:pPr>
      <w:r>
        <w:t xml:space="preserve">Boz, Z., Korhonen, V. and Sand, C.K. (2020). Consumer considerations for the implementation of sustainable packaging: A review. </w:t>
      </w:r>
      <w:r>
        <w:rPr>
          <w:i/>
          <w:iCs/>
        </w:rPr>
        <w:t>Sustainability</w:t>
      </w:r>
      <w:r>
        <w:t>, [online] 12(6), p.2192. doi:10.3390/su12062192.</w:t>
      </w:r>
    </w:p>
    <w:p w14:paraId="1FF1983E">
      <w:pPr>
        <w:pStyle w:val="style0"/>
        <w:rPr/>
      </w:pPr>
      <w:r>
        <w:t xml:space="preserve">Bradley, J., </w:t>
      </w:r>
      <w:r>
        <w:t>(</w:t>
      </w:r>
      <w:r>
        <w:t>2011</w:t>
      </w:r>
      <w:r>
        <w:t>)</w:t>
      </w:r>
      <w:r>
        <w:t>. </w:t>
      </w:r>
      <w:r>
        <w:rPr>
          <w:i/>
          <w:iCs/>
        </w:rPr>
        <w:t>Cadbury's purple reign: The story behind chocolate's best-loved brand</w:t>
      </w:r>
      <w:r>
        <w:t>. John Wiley &amp; Sons.</w:t>
      </w:r>
    </w:p>
    <w:p w14:paraId="126A5001">
      <w:pPr>
        <w:pStyle w:val="style0"/>
        <w:rPr/>
      </w:pPr>
      <w:r>
        <w:t xml:space="preserve">Briner, R.B., Denyer, D. and Rousseau, D.M. (2009). Evidence-based management: Concept cleanup time? </w:t>
      </w:r>
      <w:r>
        <w:rPr>
          <w:i/>
          <w:iCs/>
        </w:rPr>
        <w:t>Academy of Management Perspectives</w:t>
      </w:r>
      <w:r>
        <w:t>, 23(4), pp.19–32. doi:10.5465/amp.23.4.19.</w:t>
      </w:r>
    </w:p>
    <w:p w14:paraId="138BE2CC">
      <w:pPr>
        <w:pStyle w:val="style0"/>
        <w:rPr/>
      </w:pPr>
      <w:r>
        <w:t>Bulavko</w:t>
      </w:r>
      <w:r>
        <w:t xml:space="preserve">, O.A., </w:t>
      </w:r>
      <w:r>
        <w:t>Tatarskih</w:t>
      </w:r>
      <w:r>
        <w:t xml:space="preserve">, B., </w:t>
      </w:r>
      <w:r>
        <w:t>Tuktatova</w:t>
      </w:r>
      <w:r>
        <w:t xml:space="preserve">, L.R. and </w:t>
      </w:r>
      <w:r>
        <w:t>Naugolnova</w:t>
      </w:r>
      <w:r>
        <w:t xml:space="preserve">, I.A. (2019). </w:t>
      </w:r>
      <w:r>
        <w:rPr>
          <w:i/>
          <w:iCs/>
        </w:rPr>
        <w:t>Digitalization as a Key Factor of Increasing Investment Attractiveness and Innovative Development of Industrial Enterprises - ProQuest</w:t>
      </w:r>
      <w:r>
        <w:t>. [online] Proquest.com. Available at: https://search.proquest.com/openview/90b2e6b016a9a8eb683489783311fbe1/1?pq-origsite=gscholar&amp;cbl=2040545 [Accessed 31 July 2026].</w:t>
      </w:r>
    </w:p>
    <w:p w14:paraId="78887AEE">
      <w:pPr>
        <w:pStyle w:val="style0"/>
        <w:rPr/>
      </w:pPr>
      <w:r>
        <w:t xml:space="preserve">Cadbury (2024). </w:t>
      </w:r>
      <w:r>
        <w:rPr>
          <w:i/>
          <w:iCs/>
        </w:rPr>
        <w:t>Our story</w:t>
      </w:r>
      <w:r>
        <w:t xml:space="preserve">. [online] </w:t>
      </w:r>
      <w:r>
        <w:rPr>
          <w:i/>
          <w:iCs/>
        </w:rPr>
        <w:t>Cadbury UK</w:t>
      </w:r>
      <w:r>
        <w:t>. Available at: https://www.cadbury.co.uk/about/history/our-story/ [Accessed 1 Aug. 2026].</w:t>
      </w:r>
    </w:p>
    <w:p w14:paraId="26E0FFF6">
      <w:pPr>
        <w:pStyle w:val="style0"/>
        <w:rPr/>
      </w:pPr>
      <w:r>
        <w:t xml:space="preserve">Dey, I., </w:t>
      </w:r>
      <w:r>
        <w:t>(</w:t>
      </w:r>
      <w:r>
        <w:t>2021</w:t>
      </w:r>
      <w:r>
        <w:t>)</w:t>
      </w:r>
      <w:r>
        <w:t>. Cadbury Weds Mishti: Fusion, Taste and Selling ‘Authenticity’. </w:t>
      </w:r>
      <w:r>
        <w:rPr>
          <w:i/>
          <w:iCs/>
        </w:rPr>
        <w:t>International Journal of South Asian Studies</w:t>
      </w:r>
      <w:r>
        <w:t>, </w:t>
      </w:r>
      <w:r>
        <w:rPr>
          <w:i/>
          <w:iCs/>
        </w:rPr>
        <w:t>11</w:t>
      </w:r>
      <w:r>
        <w:t>, pp.47-60.</w:t>
      </w:r>
    </w:p>
    <w:p w14:paraId="20C851D1">
      <w:pPr>
        <w:pStyle w:val="style0"/>
        <w:rPr/>
      </w:pPr>
      <w:r>
        <w:t xml:space="preserve">Di Maddaloni, F. and Derakhshan, R. (2023). Stakeholders” Perception of Organization: An Attribution and Fairness Perspective. </w:t>
      </w:r>
      <w:r>
        <w:rPr>
          <w:i/>
          <w:iCs/>
        </w:rPr>
        <w:t>International Journal of Managing Projects in Business</w:t>
      </w:r>
      <w:r>
        <w:t>, 17(1). doi:10.1108/ijmpb-08-2023-0178.</w:t>
      </w:r>
    </w:p>
    <w:p w14:paraId="3FF78369">
      <w:pPr>
        <w:pStyle w:val="style0"/>
        <w:rPr/>
      </w:pPr>
      <w:r>
        <w:t>Doole, I. and Lowe, R. (2012). International Marketing Strategy. [online] Available at: https://images.template.net/wp-content/uploads/2015/10/09212256/international-marketing-plan-template.pdf [Accessed 1 Aug. 2026].</w:t>
      </w:r>
    </w:p>
    <w:p w14:paraId="15792DBC">
      <w:pPr>
        <w:pStyle w:val="style0"/>
        <w:rPr/>
      </w:pPr>
      <w:r>
        <w:t xml:space="preserve">Freeman, R.E., Harrison, J.S., Wicks, A.C., Parmar, B.L. and Colle, S. de (2010). </w:t>
      </w:r>
      <w:r>
        <w:rPr>
          <w:i/>
          <w:iCs/>
        </w:rPr>
        <w:t>Stakeholder theory: The state of the art</w:t>
      </w:r>
      <w:r>
        <w:t xml:space="preserve">. [online] </w:t>
      </w:r>
      <w:r>
        <w:rPr>
          <w:i/>
          <w:iCs/>
        </w:rPr>
        <w:t>Google Books</w:t>
      </w:r>
      <w:r>
        <w:t>. Cambridge University Press. Available at: https://books.google.com/books?hl=en&amp;lr=&amp;id=xF8-WN1QlIMC&amp;oi=fnd&amp;pg=PR7&amp;dq=Freeman [Accessed 3 Aug. 2026].</w:t>
      </w:r>
    </w:p>
    <w:p w14:paraId="64DC4FEC">
      <w:pPr>
        <w:pStyle w:val="style0"/>
        <w:rPr/>
      </w:pPr>
      <w:r>
        <w:t xml:space="preserve">Gibbs, G. (1988). Learning by Doing: </w:t>
      </w:r>
      <w:r>
        <w:t>a</w:t>
      </w:r>
      <w:r>
        <w:t xml:space="preserve"> Guide to Teaching and Learning Methods. </w:t>
      </w:r>
      <w:r>
        <w:rPr>
          <w:i/>
          <w:iCs/>
        </w:rPr>
        <w:t>Further Education Unit</w:t>
      </w:r>
      <w:r>
        <w:t>. [online] Available at: https://cir.nii.ac.jp/crid/1571417125052979584 [Accessed 3 Aug. 2026].</w:t>
      </w:r>
    </w:p>
    <w:p w14:paraId="72F30DA3">
      <w:pPr>
        <w:pStyle w:val="style0"/>
        <w:rPr/>
      </w:pPr>
      <w:r>
        <w:t xml:space="preserve">Giesler, M. and </w:t>
      </w:r>
      <w:r>
        <w:t>Veresiu</w:t>
      </w:r>
      <w:r>
        <w:t xml:space="preserve">, E. (2014). Creating the Responsible Consumer: Moralistic Governance Regimes and Consumer Subjectivity. </w:t>
      </w:r>
      <w:r>
        <w:rPr>
          <w:i/>
          <w:iCs/>
        </w:rPr>
        <w:t>Journal of Consumer Research</w:t>
      </w:r>
      <w:r>
        <w:t>, 41(3), pp.840–857.</w:t>
      </w:r>
    </w:p>
    <w:p w14:paraId="715F1E8C">
      <w:pPr>
        <w:pStyle w:val="style0"/>
        <w:rPr/>
      </w:pPr>
      <w:r>
        <w:t>Guiné</w:t>
      </w:r>
      <w:r>
        <w:t xml:space="preserve">, R.P.F. (2020). The link between the consumer and the innovations in food product development. </w:t>
      </w:r>
      <w:r>
        <w:rPr>
          <w:i/>
          <w:iCs/>
        </w:rPr>
        <w:t>Foods</w:t>
      </w:r>
      <w:r>
        <w:t>, [online] 9(9). doi:10.3390/foods9091317.</w:t>
      </w:r>
    </w:p>
    <w:p w14:paraId="6923D645">
      <w:pPr>
        <w:pStyle w:val="style0"/>
        <w:rPr/>
      </w:pPr>
      <w:r>
        <w:t>Hinterhuber</w:t>
      </w:r>
      <w:r>
        <w:t xml:space="preserve">, A. (2004). Towards Value-Based Pricing—An Integrative Framework for Decision Making. </w:t>
      </w:r>
      <w:r>
        <w:rPr>
          <w:i/>
          <w:iCs/>
        </w:rPr>
        <w:t>Industrial Marketing Management</w:t>
      </w:r>
      <w:r>
        <w:t xml:space="preserve">, [online] 33(8), pp.765–778. </w:t>
      </w:r>
      <w:r>
        <w:t>doi:10.1016/j.indmarman</w:t>
      </w:r>
      <w:r>
        <w:t>.2003.10.006.</w:t>
      </w:r>
    </w:p>
    <w:p w14:paraId="1EE0072F">
      <w:pPr>
        <w:pStyle w:val="style0"/>
        <w:rPr/>
      </w:pPr>
      <w:r>
        <w:t>HoushmandRad</w:t>
      </w:r>
      <w:r>
        <w:t xml:space="preserve">, M.H. and </w:t>
      </w:r>
      <w:r>
        <w:t>Fetanatfardhaghighi</w:t>
      </w:r>
      <w:r>
        <w:t xml:space="preserve">, M. (2023). </w:t>
      </w:r>
      <w:r>
        <w:rPr>
          <w:i/>
          <w:iCs/>
        </w:rPr>
        <w:t>Advanced Strategic Management (Strategy, Risk and Improve quality)</w:t>
      </w:r>
      <w:r>
        <w:t xml:space="preserve">. [online] </w:t>
      </w:r>
      <w:r>
        <w:rPr>
          <w:i/>
          <w:iCs/>
        </w:rPr>
        <w:t>HAL Archives Ouvertes</w:t>
      </w:r>
      <w:r>
        <w:t>. Available at: https://hal.science/hal-04254927/ [Accessed 1 Aug. 2026].</w:t>
      </w:r>
    </w:p>
    <w:p w14:paraId="1380620E">
      <w:pPr>
        <w:pStyle w:val="style0"/>
        <w:rPr/>
      </w:pPr>
      <w:r>
        <w:t xml:space="preserve">IMF (2024). </w:t>
      </w:r>
      <w:r>
        <w:rPr>
          <w:i/>
          <w:iCs/>
        </w:rPr>
        <w:t>United Kingdom</w:t>
      </w:r>
      <w:r>
        <w:t xml:space="preserve">. [online] </w:t>
      </w:r>
      <w:r>
        <w:rPr>
          <w:i/>
          <w:iCs/>
        </w:rPr>
        <w:t>www.imf.org</w:t>
      </w:r>
      <w:r>
        <w:t>. Available at: https://www.imf.org/external/datamapper/profile/GBR [Accessed 1 Aug. 2026].</w:t>
      </w:r>
    </w:p>
    <w:p w14:paraId="3F3E6D9B">
      <w:pPr>
        <w:pStyle w:val="style0"/>
        <w:rPr/>
      </w:pPr>
      <w:r>
        <w:t xml:space="preserve">Ishchuk, A.A. and Ishchuk, O.M. (2023). Cross-cultural business communication: A linguistic and cognitive perspective. </w:t>
      </w:r>
      <w:r>
        <w:rPr>
          <w:i/>
          <w:iCs/>
        </w:rPr>
        <w:t xml:space="preserve">Scientific Journal of National Pedagogical </w:t>
      </w:r>
      <w:r>
        <w:rPr>
          <w:i/>
          <w:iCs/>
        </w:rPr>
        <w:t>Dragomanov</w:t>
      </w:r>
      <w:r>
        <w:rPr>
          <w:i/>
          <w:iCs/>
        </w:rPr>
        <w:t xml:space="preserve"> University. Series 9. Current Trends in Language Development</w:t>
      </w:r>
      <w:r>
        <w:t xml:space="preserve">, [online] (26), pp.32–41. </w:t>
      </w:r>
      <w:r>
        <w:t>doi:10.31392/NPU-nc.series9</w:t>
      </w:r>
      <w:r>
        <w:t>.2023.26.04.</w:t>
      </w:r>
    </w:p>
    <w:p w14:paraId="58FFA7D4">
      <w:pPr>
        <w:pStyle w:val="style0"/>
        <w:rPr/>
      </w:pPr>
      <w:r>
        <w:t xml:space="preserve">Jacko, J.F. (2025). Responsibility for managing values. The metaethical dilemma between normative absolutism and relativism. </w:t>
      </w:r>
      <w:r>
        <w:rPr>
          <w:i/>
          <w:iCs/>
        </w:rPr>
        <w:t>Journal of Responsible Innovation</w:t>
      </w:r>
      <w:r>
        <w:t>, 12(1). doi:10.1080/23299460.2025.2476247.</w:t>
      </w:r>
    </w:p>
    <w:p w14:paraId="62D645A8">
      <w:pPr>
        <w:pStyle w:val="style0"/>
        <w:rPr/>
      </w:pPr>
      <w:r>
        <w:t xml:space="preserve">Jocevski, M., Arvidsson, N., Miragliotta, G., Ghezzi, A. and Mangiaracina, R. (2019). Transitions towards omni-channel retailing strategies: A business model perspective. </w:t>
      </w:r>
      <w:r>
        <w:rPr>
          <w:i/>
          <w:iCs/>
        </w:rPr>
        <w:t>International Journal of Retail &amp; Distribution Management</w:t>
      </w:r>
      <w:r>
        <w:t>, 47(2), pp.78–93. doi:10.1108/IJRDM-08-2018-0176.</w:t>
      </w:r>
    </w:p>
    <w:p w14:paraId="513B2F79">
      <w:pPr>
        <w:pStyle w:val="style0"/>
        <w:rPr/>
      </w:pPr>
      <w:r>
        <w:t xml:space="preserve">Juhász, I. (2014). </w:t>
      </w:r>
      <w:r>
        <w:rPr>
          <w:i/>
          <w:iCs/>
        </w:rPr>
        <w:t>The workforce in Indian organizations. An analysis based upon the dimensions of Hofstede’s model</w:t>
      </w:r>
      <w:r>
        <w:t>. [online] Available at: https://www.researchgate.net/profile/Juhasz-Istvan/publication/351346780_The_Workforce_in_Indian_Organizations_An_Analysis_Based_Upon_the_Dimensions_of_Hofstede [Accessed 1 Aug. 2026].</w:t>
      </w:r>
    </w:p>
    <w:p w14:paraId="66990EF2">
      <w:pPr>
        <w:pStyle w:val="style0"/>
        <w:rPr/>
      </w:pPr>
      <w:r>
        <w:t xml:space="preserve">Keegan, W.J. (2010). </w:t>
      </w:r>
      <w:r>
        <w:rPr>
          <w:i/>
          <w:iCs/>
        </w:rPr>
        <w:t>Global Marketing Management</w:t>
      </w:r>
      <w:r>
        <w:t xml:space="preserve">. [online] </w:t>
      </w:r>
      <w:r>
        <w:rPr>
          <w:i/>
          <w:iCs/>
        </w:rPr>
        <w:t>Google Books</w:t>
      </w:r>
      <w:r>
        <w:t>. Available at: https://books.google.com/books?hl=en&amp;lr=&amp;id=WimeoY25SIoC&amp;oi=fnd&amp;pg=PR20&amp;dq=KEEGAN [Accessed 1 Aug. 2026].</w:t>
      </w:r>
    </w:p>
    <w:p w14:paraId="18DF3986">
      <w:pPr>
        <w:pStyle w:val="style0"/>
        <w:rPr/>
      </w:pPr>
      <w:r>
        <w:t xml:space="preserve">Kolb, D. (2013). Experiential Learning: Experience As </w:t>
      </w:r>
      <w:r>
        <w:t>The</w:t>
      </w:r>
      <w:r>
        <w:t xml:space="preserve"> Source </w:t>
      </w:r>
      <w:r>
        <w:t>Of</w:t>
      </w:r>
      <w:r>
        <w:t xml:space="preserve"> Learning </w:t>
      </w:r>
      <w:r>
        <w:t>And</w:t>
      </w:r>
      <w:r>
        <w:t xml:space="preserve"> Development Executive skills of Family Medicine Faculty View project How You Learn Is How You Live View project. [online] Available at: http://carleton-wp-production.s3.amazonaws.com/uploads/sites/313/2022/12/Experiential_Learning_Experience_As_The_Source_Of_-1.pdf [Accessed 3 Aug. 2026].</w:t>
      </w:r>
    </w:p>
    <w:p w14:paraId="46AE9AD4">
      <w:pPr>
        <w:pStyle w:val="style0"/>
        <w:rPr/>
      </w:pPr>
      <w:r>
        <w:t xml:space="preserve">Kotler, P., Keller, K.L. and Chernev, A. (2022). </w:t>
      </w:r>
      <w:r>
        <w:rPr>
          <w:i/>
          <w:iCs/>
        </w:rPr>
        <w:t>Marketing Management</w:t>
      </w:r>
      <w:r>
        <w:t>. [online] Open Library. Available at: https://openlibrary.telkomuniversity.ac.id/home/catalog/id/196533/slug/mark [Accessed 1 Aug. 2026].</w:t>
      </w:r>
    </w:p>
    <w:p w14:paraId="337685FE">
      <w:pPr>
        <w:pStyle w:val="style0"/>
        <w:rPr/>
      </w:pPr>
      <w:r>
        <w:t xml:space="preserve">Kumar, P.S. (2025). Exploring Global Confectionery Marketing STRATEGIES - especially Packaging and Labelling - and Applying those Insights to strengthen Indian Local Confectionary Brands. </w:t>
      </w:r>
      <w:r>
        <w:rPr>
          <w:i/>
          <w:iCs/>
        </w:rPr>
        <w:t>Ncirl.ie</w:t>
      </w:r>
      <w:r>
        <w:t xml:space="preserve">. [online] </w:t>
      </w:r>
      <w:r>
        <w:t>doi:https</w:t>
      </w:r>
      <w:r>
        <w:t>://norma.ncirl.ie/9050/1/shamkumarpremkumar.pdf</w:t>
      </w:r>
      <w:r>
        <w:t>.</w:t>
      </w:r>
    </w:p>
    <w:p w14:paraId="64FF25FB">
      <w:pPr>
        <w:pStyle w:val="style0"/>
        <w:rPr/>
      </w:pPr>
      <w:r>
        <w:t>Mirmahdi</w:t>
      </w:r>
      <w:r>
        <w:t xml:space="preserve"> Komejani, S.M., </w:t>
      </w:r>
      <w:r>
        <w:t>Bilro</w:t>
      </w:r>
      <w:r>
        <w:t xml:space="preserve">, R.G. and Loureiro, S.M.C. (2026). Emotional appeals in marketing: A systematic literature review and research agenda. </w:t>
      </w:r>
      <w:r>
        <w:rPr>
          <w:i/>
          <w:iCs/>
        </w:rPr>
        <w:t>Italian Journal of Marketing</w:t>
      </w:r>
      <w:r>
        <w:t>, 2026(1). doi:10.1007/s43039-026-00136-2.</w:t>
      </w:r>
    </w:p>
    <w:p w14:paraId="2B60FDAE">
      <w:pPr>
        <w:pStyle w:val="style0"/>
        <w:rPr/>
      </w:pPr>
      <w:r>
        <w:t>Molintas</w:t>
      </w:r>
      <w:r>
        <w:t xml:space="preserve">, D.T. (2015). </w:t>
      </w:r>
      <w:r>
        <w:rPr>
          <w:i/>
          <w:iCs/>
        </w:rPr>
        <w:t>Globalisation &amp; Emerging Markets: The Case of India</w:t>
      </w:r>
      <w:r>
        <w:t xml:space="preserve">. [online] </w:t>
      </w:r>
      <w:r>
        <w:rPr>
          <w:i/>
          <w:iCs/>
        </w:rPr>
        <w:t>mpra.ub.uni-muenchen.de</w:t>
      </w:r>
      <w:r>
        <w:t>. Available at: https://mpra.ub.uni-muenchen.de/id/eprint/96988 [Accessed 1 Aug. 2026].</w:t>
      </w:r>
    </w:p>
    <w:p w14:paraId="42F0BA7A">
      <w:pPr>
        <w:pStyle w:val="style0"/>
        <w:rPr/>
      </w:pPr>
      <w:r>
        <w:t xml:space="preserve">Mondelez International (2025). </w:t>
      </w:r>
      <w:r>
        <w:rPr>
          <w:i/>
          <w:iCs/>
        </w:rPr>
        <w:t>About Us | Mondelēz International, Inc.</w:t>
      </w:r>
      <w:r>
        <w:t xml:space="preserve"> [online] </w:t>
      </w:r>
      <w:r>
        <w:rPr>
          <w:i/>
          <w:iCs/>
        </w:rPr>
        <w:t>www.mondelezinternational.com</w:t>
      </w:r>
      <w:r>
        <w:t>. Available at: https://www.mondelezinternational.com/About-Us/ [Accessed 1 Aug. 2026].</w:t>
      </w:r>
    </w:p>
    <w:p w14:paraId="282EB1FD">
      <w:pPr>
        <w:pStyle w:val="style0"/>
        <w:rPr/>
      </w:pPr>
      <w:r>
        <w:t xml:space="preserve">NDTV (2025). </w:t>
      </w:r>
      <w:r>
        <w:rPr>
          <w:i/>
          <w:iCs/>
        </w:rPr>
        <w:t>India’s population to hit 1.46 billion in 2025, Fertility rate declining: UN report</w:t>
      </w:r>
      <w:r>
        <w:t xml:space="preserve">. [online] </w:t>
      </w:r>
      <w:r>
        <w:rPr>
          <w:i/>
          <w:iCs/>
        </w:rPr>
        <w:t>www.ndtv.com</w:t>
      </w:r>
      <w:r>
        <w:t>. NDTV. Available at: https://www.ndtv.com/india-news/indias-population-to-reach-1-46-billion-this-year-un-report-8635609 [Accessed 1 Aug. 2026].</w:t>
      </w:r>
    </w:p>
    <w:p w14:paraId="226EFE52">
      <w:pPr>
        <w:pStyle w:val="style0"/>
        <w:rPr/>
      </w:pPr>
      <w:r>
        <w:t xml:space="preserve">Norton, V., Waters, C., Oloyede, O.O. and </w:t>
      </w:r>
      <w:r>
        <w:t>Lignou</w:t>
      </w:r>
      <w:r>
        <w:t xml:space="preserve">, S. (2022). Exploring Consumers’ Understanding and Perception of Sustainable Food Packaging in the UK. </w:t>
      </w:r>
      <w:r>
        <w:rPr>
          <w:i/>
          <w:iCs/>
        </w:rPr>
        <w:t>Foods</w:t>
      </w:r>
      <w:r>
        <w:t>, 11(21), p.3424. doi:10.3390/foods11213424.</w:t>
      </w:r>
    </w:p>
    <w:p w14:paraId="171F473D">
      <w:pPr>
        <w:pStyle w:val="style0"/>
        <w:rPr/>
      </w:pPr>
      <w:r>
        <w:t xml:space="preserve">Osland, G.E., Taylor, C.R. and Zou, S. (2001). Selecting International Modes of Entry and Expansion. </w:t>
      </w:r>
      <w:r>
        <w:rPr>
          <w:i/>
          <w:iCs/>
        </w:rPr>
        <w:t>Marketing Intelligence &amp; Planning</w:t>
      </w:r>
      <w:r>
        <w:t>, 19(3), pp.153–161. doi:10.1108/02634500110391690.</w:t>
      </w:r>
    </w:p>
    <w:p w14:paraId="25FCB286">
      <w:pPr>
        <w:pStyle w:val="style0"/>
        <w:rPr/>
      </w:pPr>
      <w:r>
        <w:t xml:space="preserve">Pauw, K. (2022). A Review of Ghana’s Planting for Food and Jobs Program: Implementation, Impacts, Benefits, and Costs. </w:t>
      </w:r>
      <w:r>
        <w:rPr>
          <w:i/>
          <w:iCs/>
        </w:rPr>
        <w:t>Food Security</w:t>
      </w:r>
      <w:r>
        <w:t>. doi:10.1007/s12571-022-01287-8.</w:t>
      </w:r>
    </w:p>
    <w:p w14:paraId="6A597D78">
      <w:pPr>
        <w:pStyle w:val="style0"/>
        <w:rPr/>
      </w:pPr>
      <w:r>
        <w:t xml:space="preserve">Petrenko, L., </w:t>
      </w:r>
      <w:r>
        <w:t>Puzko</w:t>
      </w:r>
      <w:r>
        <w:t xml:space="preserve">, S., Lavrenenko, V. and </w:t>
      </w:r>
      <w:r>
        <w:t>Gernego</w:t>
      </w:r>
      <w:r>
        <w:t xml:space="preserve">, I. (2024). Fostering Sustainable Packaging Industry: Global Trends and Challenges. </w:t>
      </w:r>
      <w:r>
        <w:rPr>
          <w:i/>
          <w:iCs/>
        </w:rPr>
        <w:t>European Journal of Sustainable Development</w:t>
      </w:r>
      <w:r>
        <w:t>, 13(2), pp.63–63.</w:t>
      </w:r>
    </w:p>
    <w:p w14:paraId="062F46AE">
      <w:pPr>
        <w:pStyle w:val="style0"/>
        <w:rPr/>
      </w:pPr>
      <w:r>
        <w:t xml:space="preserve">Riegger, A.-S., Merfeld, K., Klein, J.F. and Henkel, S. (2022). Technology-Enabled Personalization: Impact of Smart Technology Choice on Consumer Shopping </w:t>
      </w:r>
      <w:r>
        <w:t>Behavior</w:t>
      </w:r>
      <w:r>
        <w:t xml:space="preserve">. </w:t>
      </w:r>
      <w:r>
        <w:rPr>
          <w:i/>
          <w:iCs/>
        </w:rPr>
        <w:t>Technological Forecasting and Social Change</w:t>
      </w:r>
      <w:r>
        <w:t xml:space="preserve">, [online] 181(121752), p.121752. </w:t>
      </w:r>
      <w:r>
        <w:t>doi:10.1016/j.techfore</w:t>
      </w:r>
      <w:r>
        <w:t>.2022.121752.</w:t>
      </w:r>
    </w:p>
    <w:p w14:paraId="5EB72BC5">
      <w:pPr>
        <w:pStyle w:val="style0"/>
        <w:rPr/>
      </w:pPr>
      <w:r>
        <w:t xml:space="preserve">Sharma, L.L., Teret, S.P. and Brownell, K.D. (2010). The Food Industry and Self-Regulation: Standards to Promote Success and to Avoid Public Health Failures. </w:t>
      </w:r>
      <w:r>
        <w:rPr>
          <w:i/>
          <w:iCs/>
        </w:rPr>
        <w:t>American Journal of Public Health</w:t>
      </w:r>
      <w:r>
        <w:t>, [online] 100(2), pp.240–246. doi:10.2105/ajph.2009.160960.</w:t>
      </w:r>
    </w:p>
    <w:p w14:paraId="34170500">
      <w:pPr>
        <w:pStyle w:val="style0"/>
        <w:rPr/>
      </w:pPr>
      <w:r>
        <w:t xml:space="preserve">Signorini, P., </w:t>
      </w:r>
      <w:r>
        <w:t>Wiesemes</w:t>
      </w:r>
      <w:r>
        <w:t xml:space="preserve">, R. and Murphy, R. (2009). Developing Alternative Frameworks for Exploring Intercultural Learning: A Critique of Hofstede’s Cultural Difference Model. </w:t>
      </w:r>
      <w:r>
        <w:rPr>
          <w:i/>
          <w:iCs/>
        </w:rPr>
        <w:t>Teaching in Higher Education</w:t>
      </w:r>
      <w:r>
        <w:t>, [online] 14(3), pp.253–264. doi:10.1080/13562510902898825.</w:t>
      </w:r>
    </w:p>
    <w:p w14:paraId="7227A212">
      <w:pPr>
        <w:pStyle w:val="style0"/>
        <w:rPr/>
      </w:pPr>
      <w:r>
        <w:t xml:space="preserve">Silva, E.A.L. da, Ferreira, L.V.F., Dias, M.C.C. and Navarro, M.T. (2023). The influence of packaging and prices on chocolate bar purchasing decisions. </w:t>
      </w:r>
      <w:r>
        <w:rPr>
          <w:i/>
          <w:iCs/>
        </w:rPr>
        <w:t xml:space="preserve">Revista </w:t>
      </w:r>
      <w:r>
        <w:rPr>
          <w:i/>
          <w:iCs/>
        </w:rPr>
        <w:t>Pensamento</w:t>
      </w:r>
      <w:r>
        <w:rPr>
          <w:i/>
          <w:iCs/>
        </w:rPr>
        <w:t xml:space="preserve"> </w:t>
      </w:r>
      <w:r>
        <w:rPr>
          <w:i/>
          <w:iCs/>
        </w:rPr>
        <w:t>Contemporâneo</w:t>
      </w:r>
      <w:r>
        <w:rPr>
          <w:i/>
          <w:iCs/>
        </w:rPr>
        <w:t xml:space="preserve"> </w:t>
      </w:r>
      <w:r>
        <w:rPr>
          <w:i/>
          <w:iCs/>
        </w:rPr>
        <w:t>em</w:t>
      </w:r>
      <w:r>
        <w:rPr>
          <w:i/>
          <w:iCs/>
        </w:rPr>
        <w:t xml:space="preserve"> </w:t>
      </w:r>
      <w:r>
        <w:rPr>
          <w:i/>
          <w:iCs/>
        </w:rPr>
        <w:t>Administração</w:t>
      </w:r>
      <w:r>
        <w:t>, [online] 17(3), pp.41–63. Available at: https://www.redalyc.org/journal/4417/441776177019/html/ [Accessed 1 Aug. 2026].</w:t>
      </w:r>
    </w:p>
    <w:p w14:paraId="75817AE8">
      <w:pPr>
        <w:pStyle w:val="style0"/>
        <w:rPr/>
      </w:pPr>
      <w:r>
        <w:t xml:space="preserve">SINHA, A. (2004). The changing political economy of federalism in India: A historical institutionalist approach. </w:t>
      </w:r>
      <w:r>
        <w:rPr>
          <w:i/>
          <w:iCs/>
        </w:rPr>
        <w:t>India Review</w:t>
      </w:r>
      <w:r>
        <w:t>, 3(1), pp.25–63. doi:10.1080/14736480490443085.</w:t>
      </w:r>
    </w:p>
    <w:p w14:paraId="0355058E">
      <w:pPr>
        <w:pStyle w:val="style0"/>
        <w:rPr/>
      </w:pPr>
      <w:r>
        <w:t xml:space="preserve">Sondhi, N. and Chawla, D. (2016). Segmenting and Profiling the Chocolate Consumer: An Emerging Market Perspective. </w:t>
      </w:r>
      <w:r>
        <w:rPr>
          <w:i/>
          <w:iCs/>
        </w:rPr>
        <w:t>Journal of Food Products Marketing</w:t>
      </w:r>
      <w:r>
        <w:t>, 23(2), pp.123–143. doi:10.1080/10454446.2017.1244784.</w:t>
      </w:r>
    </w:p>
    <w:p w14:paraId="6FC2C205">
      <w:pPr>
        <w:pStyle w:val="style0"/>
        <w:rPr/>
      </w:pPr>
      <w:r>
        <w:t>Sramkowski</w:t>
      </w:r>
      <w:r>
        <w:t xml:space="preserve">, L. (2021). </w:t>
      </w:r>
      <w:r>
        <w:rPr>
          <w:i/>
          <w:iCs/>
        </w:rPr>
        <w:t>From 4Ps to 7Ps: Towards an Integrated Marketing Mix</w:t>
      </w:r>
      <w:r>
        <w:t xml:space="preserve">. [online] </w:t>
      </w:r>
      <w:r>
        <w:rPr>
          <w:i/>
          <w:iCs/>
        </w:rPr>
        <w:t>ExportPlanning</w:t>
      </w:r>
      <w:r>
        <w:t>. Available at: https://www.exportplanning.com/en/magazine/article/2021/03/03/from-4ps-to-7ps-towards-an-integrated-marketing-mix/ [Accessed 1 Aug. 2026].</w:t>
      </w:r>
    </w:p>
    <w:p w14:paraId="1D9A24D2">
      <w:pPr>
        <w:pStyle w:val="style0"/>
        <w:rPr/>
      </w:pPr>
      <w:r>
        <w:t xml:space="preserve">Statista (2022). </w:t>
      </w:r>
      <w:r>
        <w:rPr>
          <w:i/>
          <w:iCs/>
        </w:rPr>
        <w:t>UK: Internet Penetration 1991-2022</w:t>
      </w:r>
      <w:r>
        <w:t>. [online] Statista. Available at: https://www.statista.com/statistics/468663/uk-internet-</w:t>
      </w:r>
      <w:r>
        <w:t>penetration/?srsltid=AfmBOor3UhhrP1be_itHMeQ_d3YrpMF9dlNFNZDVP4kSGUhuBfh_-zm8 [Accessed 31 July 2026].</w:t>
      </w:r>
    </w:p>
    <w:p w14:paraId="3D833F2A">
      <w:pPr>
        <w:pStyle w:val="style0"/>
        <w:rPr/>
      </w:pPr>
      <w:r>
        <w:t xml:space="preserve">Statista (2026). </w:t>
      </w:r>
      <w:r>
        <w:rPr>
          <w:i/>
          <w:iCs/>
        </w:rPr>
        <w:t>OECD raises India’s GDP growth forecast to 6.7 percent</w:t>
      </w:r>
      <w:r>
        <w:t xml:space="preserve">. [online] </w:t>
      </w:r>
      <w:r>
        <w:rPr>
          <w:i/>
          <w:iCs/>
        </w:rPr>
        <w:t>Voronoiapp.com</w:t>
      </w:r>
      <w:r>
        <w:t>. Available at: https://www.voronoiapp.com/economy/OECD-Raises-Indias-GDP-Growth-Forecast-to-67-Percent-6705 [Accessed 1 Aug. 2026].</w:t>
      </w:r>
    </w:p>
    <w:p w14:paraId="6F1B14E8">
      <w:pPr>
        <w:pStyle w:val="style0"/>
        <w:rPr/>
      </w:pPr>
      <w:r>
        <w:t xml:space="preserve">Thapliyal, D., </w:t>
      </w:r>
      <w:r>
        <w:t>Karale</w:t>
      </w:r>
      <w:r>
        <w:t xml:space="preserve">, M., Diwan, V., Kumra, S., Arya, R.K. and Verros, G. D (2024). Current status of sustainable food packaging regulations: Global perspective. </w:t>
      </w:r>
      <w:r>
        <w:rPr>
          <w:i/>
          <w:iCs/>
        </w:rPr>
        <w:t>Sustainability</w:t>
      </w:r>
      <w:r>
        <w:t>, [online] 16(13), pp.5554–5554. doi:10.3390/su16135554.</w:t>
      </w:r>
    </w:p>
    <w:p w14:paraId="7CFE02A3">
      <w:pPr>
        <w:pStyle w:val="style0"/>
        <w:rPr/>
      </w:pPr>
      <w:r>
        <w:t xml:space="preserve">The Culture Factor Group (2025). </w:t>
      </w:r>
      <w:r>
        <w:rPr>
          <w:i/>
          <w:iCs/>
        </w:rPr>
        <w:t>Country Comparison Tool</w:t>
      </w:r>
      <w:r>
        <w:t xml:space="preserve">. [online] </w:t>
      </w:r>
      <w:r>
        <w:rPr>
          <w:i/>
          <w:iCs/>
        </w:rPr>
        <w:t>The Culture Factor Group</w:t>
      </w:r>
      <w:r>
        <w:t>. Available at: https://www.theculturefactor.com/country-comparison-tool [Accessed 1 Aug. 2026].</w:t>
      </w:r>
    </w:p>
    <w:p w14:paraId="37B818E2">
      <w:pPr>
        <w:pStyle w:val="style0"/>
        <w:rPr/>
      </w:pPr>
      <w:r>
        <w:t xml:space="preserve">The World Bank (2025). </w:t>
      </w:r>
      <w:r>
        <w:rPr>
          <w:i/>
          <w:iCs/>
        </w:rPr>
        <w:t>India | Data</w:t>
      </w:r>
      <w:r>
        <w:t xml:space="preserve">. [online] </w:t>
      </w:r>
      <w:r>
        <w:rPr>
          <w:i/>
          <w:iCs/>
        </w:rPr>
        <w:t>Worldbank.org</w:t>
      </w:r>
      <w:r>
        <w:t>. Available at: https://data.worldbank.org/country/india [Accessed 1 Aug. 2026].</w:t>
      </w:r>
    </w:p>
    <w:p w14:paraId="2C9F5EB5">
      <w:pPr>
        <w:pStyle w:val="style0"/>
        <w:rPr/>
      </w:pPr>
      <w:r>
        <w:t xml:space="preserve">Thomas, J. (2017). The Global Chocolate Confectionery Market. </w:t>
      </w:r>
      <w:r>
        <w:rPr>
          <w:i/>
          <w:iCs/>
        </w:rPr>
        <w:t>Beckett’s Industrial Chocolate Manufacture and Use</w:t>
      </w:r>
      <w:r>
        <w:t>, pp.654–674. doi:10.1002/9781118923597.ch27.</w:t>
      </w:r>
    </w:p>
    <w:p w14:paraId="79011FF7">
      <w:pPr>
        <w:pStyle w:val="style0"/>
        <w:rPr/>
      </w:pPr>
      <w:r>
        <w:t xml:space="preserve">To, S., Jinu, M., </w:t>
      </w:r>
      <w:r>
        <w:t>Paul&amp;</w:t>
      </w:r>
      <w:r>
        <w:t>apos;s</w:t>
      </w:r>
      <w:r>
        <w:t xml:space="preserve"> College, S., </w:t>
      </w:r>
      <w:r>
        <w:t>Kalamassery</w:t>
      </w:r>
      <w:r>
        <w:t xml:space="preserve"> and Shiju C R, M. (2018). CADBURY DAIRY MILK SILK -A FULL FLEDGED PROMOTIONAL </w:t>
      </w:r>
      <w:r>
        <w:t>AID .</w:t>
      </w:r>
      <w:r>
        <w:t xml:space="preserve"> [online] Available at: http://117.211.166.25:8082/jspui/bitstream/123456789/330/1/SR-PG%20-%20CDM%20FULL%20PROJECT.pdf [Accessed 1 Aug. 2026].</w:t>
      </w:r>
    </w:p>
    <w:p w14:paraId="3B343B3F">
      <w:pPr>
        <w:pStyle w:val="style0"/>
        <w:rPr/>
      </w:pPr>
      <w:r>
        <w:t xml:space="preserve">Wall, S. (2025). </w:t>
      </w:r>
      <w:r>
        <w:rPr>
          <w:i/>
          <w:iCs/>
        </w:rPr>
        <w:t>Mondelez International second quarter 2025 earnings: revenues beat expectations, EPS lags</w:t>
      </w:r>
      <w:r>
        <w:t>. [online] Simplywall.st. Available at: https://simplywall.st/stocks/us/food-beverage-tobacco/nasdaq-mdlz/mondelez-international/news/mondelez-international-second-quarter-2025-earnings-revenues [Accessed 31 July 2026].</w:t>
      </w:r>
    </w:p>
    <w:p w14:paraId="5DD1A4BF">
      <w:pPr>
        <w:pStyle w:val="style0"/>
        <w:rPr/>
      </w:pPr>
      <w:r>
        <w:t xml:space="preserve">Yasar, M. and Morrison Paul, C.J. (2007). International linkages and productivity at the plant level: Foreign direct investment, exports, imports and licensing. </w:t>
      </w:r>
      <w:r>
        <w:rPr>
          <w:i/>
          <w:iCs/>
        </w:rPr>
        <w:t>Journal of International Economics</w:t>
      </w:r>
      <w:r>
        <w:t xml:space="preserve">, [online] 71(2), pp.373–388. </w:t>
      </w:r>
      <w:r>
        <w:t>doi:10.1016/j.jinteco</w:t>
      </w:r>
      <w:r>
        <w:t>.2006.03.004.</w:t>
      </w:r>
    </w:p>
    <w:p w14:paraId="2A6C935D">
      <w:pPr>
        <w:pStyle w:val="style0"/>
        <w:rPr/>
      </w:pPr>
    </w:p>
    <w:sectPr>
      <w:footerReference w:type="default" r:id="rId9"/>
      <w:pgSz w:w="11906" w:h="16838" w:orient="portrait"/>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49ECDE6E">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14:paraId="39FE2B6C">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416A058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4384B3E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2"/>
        <w:szCs w:val="22"/>
        <w:lang w:val="en-IN"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link w:val="style4097"/>
    <w:qFormat/>
    <w:uiPriority w:val="9"/>
    <w:pPr>
      <w:keepNext/>
      <w:keepLines/>
      <w:spacing w:before="360" w:after="80"/>
      <w:outlineLvl w:val="0"/>
    </w:pPr>
    <w:rPr>
      <w:rFonts w:cs="宋体" w:eastAsia="宋体"/>
      <w:b/>
      <w:color w:val="000000"/>
      <w:sz w:val="28"/>
      <w:szCs w:val="40"/>
    </w:rPr>
  </w:style>
  <w:style w:type="paragraph" w:styleId="style2">
    <w:name w:val="heading 2"/>
    <w:basedOn w:val="style0"/>
    <w:next w:val="style0"/>
    <w:link w:val="style4098"/>
    <w:qFormat/>
    <w:uiPriority w:val="9"/>
    <w:pPr>
      <w:keepNext/>
      <w:keepLines/>
      <w:spacing w:before="160" w:after="80"/>
      <w:outlineLvl w:val="1"/>
    </w:pPr>
    <w:rPr>
      <w:rFonts w:cs="宋体" w:eastAsia="宋体"/>
      <w:b/>
      <w:szCs w:val="32"/>
    </w:rPr>
  </w:style>
  <w:style w:type="paragraph" w:styleId="style3">
    <w:name w:val="heading 3"/>
    <w:basedOn w:val="style0"/>
    <w:next w:val="style0"/>
    <w:link w:val="style4099"/>
    <w:qFormat/>
    <w:uiPriority w:val="9"/>
    <w:pPr>
      <w:keepNext/>
      <w:keepLines/>
      <w:spacing w:before="160" w:after="80"/>
      <w:outlineLvl w:val="2"/>
    </w:pPr>
    <w:rPr>
      <w:rFonts w:cs="宋体" w:eastAsia="宋体"/>
      <w:b/>
      <w:szCs w:val="28"/>
    </w:rPr>
  </w:style>
  <w:style w:type="paragraph" w:styleId="style4">
    <w:name w:val="heading 4"/>
    <w:basedOn w:val="style0"/>
    <w:next w:val="style0"/>
    <w:link w:val="style4100"/>
    <w:qFormat/>
    <w:uiPriority w:val="9"/>
    <w:pPr>
      <w:keepNext/>
      <w:keepLines/>
      <w:spacing w:before="80" w:after="40"/>
      <w:outlineLvl w:val="3"/>
    </w:pPr>
    <w:rPr>
      <w:rFonts w:cs="宋体" w:eastAsia="宋体"/>
      <w:i/>
      <w:iCs/>
      <w:color w:val="2f5496"/>
    </w:rPr>
  </w:style>
  <w:style w:type="paragraph" w:styleId="style5">
    <w:name w:val="heading 5"/>
    <w:basedOn w:val="style0"/>
    <w:next w:val="style0"/>
    <w:link w:val="style4101"/>
    <w:qFormat/>
    <w:uiPriority w:val="9"/>
    <w:pPr>
      <w:keepNext/>
      <w:keepLines/>
      <w:spacing w:before="80" w:after="40"/>
      <w:outlineLvl w:val="4"/>
    </w:pPr>
    <w:rPr>
      <w:rFonts w:cs="宋体" w:eastAsia="宋体"/>
      <w:color w:val="2f5496"/>
    </w:rPr>
  </w:style>
  <w:style w:type="paragraph" w:styleId="style6">
    <w:name w:val="heading 6"/>
    <w:basedOn w:val="style0"/>
    <w:next w:val="style0"/>
    <w:link w:val="style4102"/>
    <w:qFormat/>
    <w:uiPriority w:val="9"/>
    <w:pPr>
      <w:keepNext/>
      <w:keepLines/>
      <w:spacing w:before="40" w:after="0"/>
      <w:outlineLvl w:val="5"/>
    </w:pPr>
    <w:rPr>
      <w:rFonts w:cs="宋体" w:eastAsia="宋体"/>
      <w:i/>
      <w:iCs/>
      <w:color w:val="595959"/>
    </w:rPr>
  </w:style>
  <w:style w:type="paragraph" w:styleId="style7">
    <w:name w:val="heading 7"/>
    <w:basedOn w:val="style0"/>
    <w:next w:val="style0"/>
    <w:link w:val="style4103"/>
    <w:qFormat/>
    <w:uiPriority w:val="9"/>
    <w:pPr>
      <w:keepNext/>
      <w:keepLines/>
      <w:spacing w:before="40" w:after="0"/>
      <w:outlineLvl w:val="6"/>
    </w:pPr>
    <w:rPr>
      <w:rFonts w:cs="宋体" w:eastAsia="宋体"/>
      <w:color w:val="595959"/>
    </w:rPr>
  </w:style>
  <w:style w:type="paragraph" w:styleId="style8">
    <w:name w:val="heading 8"/>
    <w:basedOn w:val="style0"/>
    <w:next w:val="style0"/>
    <w:link w:val="style4104"/>
    <w:qFormat/>
    <w:uiPriority w:val="9"/>
    <w:pPr>
      <w:keepNext/>
      <w:keepLines/>
      <w:spacing w:after="0"/>
      <w:outlineLvl w:val="7"/>
    </w:pPr>
    <w:rPr>
      <w:rFonts w:cs="宋体" w:eastAsia="宋体"/>
      <w:i/>
      <w:iCs/>
      <w:color w:val="272727"/>
    </w:rPr>
  </w:style>
  <w:style w:type="paragraph" w:styleId="style9">
    <w:name w:val="heading 9"/>
    <w:basedOn w:val="style0"/>
    <w:next w:val="style0"/>
    <w:link w:val="style4105"/>
    <w:qFormat/>
    <w:uiPriority w:val="9"/>
    <w:pPr>
      <w:keepNext/>
      <w:keepLines/>
      <w:spacing w:after="0"/>
      <w:outlineLvl w:val="8"/>
    </w:pPr>
    <w:rPr>
      <w:rFonts w:cs="宋体" w:eastAsia="宋体"/>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29c5ff92-ac6f-432e-95e0-a0dd71688a71"/>
    <w:basedOn w:val="style65"/>
    <w:next w:val="style4097"/>
    <w:link w:val="style1"/>
    <w:uiPriority w:val="9"/>
    <w:rPr>
      <w:rFonts w:ascii="Times New Roman" w:cs="宋体" w:eastAsia="宋体" w:hAnsi="Times New Roman"/>
      <w:b/>
      <w:color w:val="000000"/>
      <w:sz w:val="28"/>
      <w:szCs w:val="40"/>
    </w:rPr>
  </w:style>
  <w:style w:type="character" w:customStyle="1" w:styleId="style4098">
    <w:name w:val="Heading 2 Char_e76a9512-8dcc-49e8-9d00-f85ff0fa5e74"/>
    <w:basedOn w:val="style65"/>
    <w:next w:val="style4098"/>
    <w:link w:val="style2"/>
    <w:uiPriority w:val="9"/>
    <w:rPr>
      <w:rFonts w:ascii="Times New Roman" w:cs="宋体" w:eastAsia="宋体" w:hAnsi="Times New Roman"/>
      <w:b/>
      <w:sz w:val="24"/>
      <w:szCs w:val="32"/>
    </w:rPr>
  </w:style>
  <w:style w:type="character" w:customStyle="1" w:styleId="style4099">
    <w:name w:val="Heading 3 Char_617a1ebf-408f-4e5f-9957-b907bac73ad7"/>
    <w:basedOn w:val="style65"/>
    <w:next w:val="style4099"/>
    <w:link w:val="style3"/>
    <w:uiPriority w:val="9"/>
    <w:rPr>
      <w:rFonts w:ascii="Times New Roman" w:cs="宋体" w:eastAsia="宋体" w:hAnsi="Times New Roman"/>
      <w:b/>
      <w:sz w:val="24"/>
      <w:szCs w:val="28"/>
    </w:rPr>
  </w:style>
  <w:style w:type="character" w:customStyle="1" w:styleId="style4100">
    <w:name w:val="Heading 4 Char_19598f41-fba8-4fdf-8b8e-ec46f162a5b0"/>
    <w:basedOn w:val="style65"/>
    <w:next w:val="style4100"/>
    <w:link w:val="style4"/>
    <w:uiPriority w:val="9"/>
    <w:rPr>
      <w:rFonts w:cs="宋体" w:eastAsia="宋体"/>
      <w:i/>
      <w:iCs/>
      <w:color w:val="2f5496"/>
    </w:rPr>
  </w:style>
  <w:style w:type="character" w:customStyle="1" w:styleId="style4101">
    <w:name w:val="Heading 5 Char_daf7dbc7-0c68-40f9-b06e-a4efeef0d253"/>
    <w:basedOn w:val="style65"/>
    <w:next w:val="style4101"/>
    <w:link w:val="style5"/>
    <w:uiPriority w:val="9"/>
    <w:rPr>
      <w:rFonts w:cs="宋体" w:eastAsia="宋体"/>
      <w:color w:val="2f5496"/>
    </w:rPr>
  </w:style>
  <w:style w:type="character" w:customStyle="1" w:styleId="style4102">
    <w:name w:val="Heading 6 Char_b880a164-f3d1-4291-9ecf-9947ac8564eb"/>
    <w:basedOn w:val="style65"/>
    <w:next w:val="style4102"/>
    <w:link w:val="style6"/>
    <w:uiPriority w:val="9"/>
    <w:rPr>
      <w:rFonts w:cs="宋体" w:eastAsia="宋体"/>
      <w:i/>
      <w:iCs/>
      <w:color w:val="595959"/>
    </w:rPr>
  </w:style>
  <w:style w:type="character" w:customStyle="1" w:styleId="style4103">
    <w:name w:val="Heading 7 Char_557be29c-32c4-432f-9e03-3fbeec9f4415"/>
    <w:basedOn w:val="style65"/>
    <w:next w:val="style4103"/>
    <w:link w:val="style7"/>
    <w:uiPriority w:val="9"/>
    <w:rPr>
      <w:rFonts w:cs="宋体" w:eastAsia="宋体"/>
      <w:color w:val="595959"/>
    </w:rPr>
  </w:style>
  <w:style w:type="character" w:customStyle="1" w:styleId="style4104">
    <w:name w:val="Heading 8 Char_4568116d-1d9e-4d41-923e-df479c27efa4"/>
    <w:basedOn w:val="style65"/>
    <w:next w:val="style4104"/>
    <w:link w:val="style8"/>
    <w:uiPriority w:val="9"/>
    <w:rPr>
      <w:rFonts w:cs="宋体" w:eastAsia="宋体"/>
      <w:i/>
      <w:iCs/>
      <w:color w:val="272727"/>
    </w:rPr>
  </w:style>
  <w:style w:type="character" w:customStyle="1" w:styleId="style4105">
    <w:name w:val="Heading 9 Char_171b7e26-d414-4cbf-a1d1-ff5c5377b4a8"/>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Calibri Light" w:cs="宋体" w:eastAsia="宋体" w:hAnsi="Calibri Light"/>
      <w:spacing w:val="-10"/>
      <w:kern w:val="28"/>
      <w:sz w:val="56"/>
      <w:szCs w:val="56"/>
    </w:rPr>
  </w:style>
  <w:style w:type="character" w:customStyle="1" w:styleId="style4106">
    <w:name w:val="Title Char_d8fede8f-c755-4fe5-8322-7fcb73c2f96e"/>
    <w:basedOn w:val="style65"/>
    <w:next w:val="style4106"/>
    <w:link w:val="style62"/>
    <w:uiPriority w:val="10"/>
    <w:rPr>
      <w:rFonts w:ascii="Calibri Light" w:cs="宋体" w:eastAsia="宋体" w:hAnsi="Calibri Light"/>
      <w:spacing w:val="-10"/>
      <w:kern w:val="28"/>
      <w:sz w:val="56"/>
      <w:szCs w:val="56"/>
    </w:rPr>
  </w:style>
  <w:style w:type="paragraph" w:styleId="style74">
    <w:name w:val="Subtitle"/>
    <w:basedOn w:val="style0"/>
    <w:next w:val="style0"/>
    <w:link w:val="style4107"/>
    <w:qFormat/>
    <w:uiPriority w:val="11"/>
    <w:pPr>
      <w:numPr>
        <w:ilvl w:val="1"/>
        <w:numId w:val="0"/>
      </w:numPr>
    </w:pPr>
    <w:rPr>
      <w:rFonts w:cs="宋体" w:eastAsia="宋体"/>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e9267381-f3d3-4d93-ac3d-4767dd8b3bc0"/>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58d5b616-148f-4e53-83b3-77dfd179477a"/>
    <w:basedOn w:val="style65"/>
    <w:next w:val="style4109"/>
    <w:link w:val="style181"/>
    <w:uiPriority w:val="30"/>
    <w:rPr>
      <w:i/>
      <w:iCs/>
      <w:color w:val="2f5496"/>
    </w:rPr>
  </w:style>
  <w:style w:type="character" w:styleId="style263">
    <w:name w:val="Intense Reference"/>
    <w:basedOn w:val="style65"/>
    <w:next w:val="style263"/>
    <w:qFormat/>
    <w:uiPriority w:val="32"/>
    <w:rPr>
      <w:b/>
      <w:bCs/>
      <w:smallCaps/>
      <w:color w:val="2f5496"/>
      <w:spacing w:val="5"/>
    </w:rPr>
  </w:style>
  <w:style w:type="character" w:styleId="style85">
    <w:name w:val="Hyperlink"/>
    <w:basedOn w:val="style65"/>
    <w:next w:val="style85"/>
    <w:uiPriority w:val="99"/>
    <w:rPr>
      <w:color w:val="0563c1"/>
      <w:u w:val="single"/>
    </w:rPr>
  </w:style>
  <w:style w:type="character" w:customStyle="1" w:styleId="style4110">
    <w:name w:val="Unresolved Mention"/>
    <w:basedOn w:val="style65"/>
    <w:next w:val="style4110"/>
    <w:uiPriority w:val="99"/>
    <w:rPr>
      <w:color w:val="605e5c"/>
      <w:shd w:val="clear" w:color="auto" w:fill="e1dfdd"/>
    </w:rPr>
  </w:style>
  <w:style w:type="paragraph" w:styleId="style34">
    <w:name w:val="caption"/>
    <w:basedOn w:val="style0"/>
    <w:next w:val="style0"/>
    <w:qFormat/>
    <w:uiPriority w:val="35"/>
    <w:pPr>
      <w:spacing w:after="200" w:lineRule="auto" w:line="240"/>
    </w:pPr>
    <w:rPr>
      <w:i/>
      <w:iCs/>
      <w:color w:val="44546a"/>
      <w:sz w:val="18"/>
      <w:szCs w:val="18"/>
    </w:rPr>
  </w:style>
  <w:style w:type="table" w:customStyle="1" w:styleId="style4111">
    <w:name w:val="Grid Table 1 Light Accent 5"/>
    <w:basedOn w:val="style105"/>
    <w:next w:val="style4111"/>
    <w:uiPriority w:val="46"/>
    <w:pPr>
      <w:spacing w:after="0" w:lineRule="auto" w:line="240"/>
    </w:pPr>
    <w:rPr/>
    <w:tblPr>
      <w:tblStyleRowBandSize w:val="1"/>
      <w:tblStyleColBandSize w:val="1"/>
      <w:tblBorders>
        <w:top w:val="single" w:sz="4" w:space="0" w:color="bdd6ee"/>
        <w:left w:val="single" w:sz="4" w:space="0" w:color="bdd6ee"/>
        <w:bottom w:val="single" w:sz="4" w:space="0" w:color="bdd6ee"/>
        <w:right w:val="single" w:sz="4" w:space="0" w:color="bdd6ee"/>
        <w:insideH w:val="single" w:sz="4" w:space="0" w:color="bdd6ee"/>
        <w:insideV w:val="single" w:sz="4" w:space="0" w:color="bdd6ee"/>
      </w:tblBorders>
    </w:tblPr>
    <w:tblStylePr w:type="firstRow">
      <w:pPr/>
      <w:rPr>
        <w:b/>
        <w:bCs/>
      </w:rPr>
      <w:tblPr/>
      <w:tcPr>
        <w:tcBorders>
          <w:bottom w:val="single" w:sz="12" w:space="0" w:color="9cc2e5"/>
        </w:tcBorders>
      </w:tcPr>
    </w:tblStylePr>
    <w:tblStylePr w:type="lastRow">
      <w:pPr/>
      <w:rPr>
        <w:b/>
        <w:bCs/>
      </w:rPr>
      <w:tblPr/>
      <w:tcPr>
        <w:tcBorders>
          <w:top w:val="double" w:sz="2" w:space="0" w:color="9cc2e5"/>
        </w:tcBorders>
      </w:tcPr>
    </w:tblStylePr>
    <w:tblStylePr w:type="firstCol">
      <w:pPr/>
      <w:rPr>
        <w:b/>
        <w:bCs/>
      </w:rPr>
      <w:tcPr>
        <w:tcBorders/>
      </w:tcPr>
    </w:tblStylePr>
    <w:tblStylePr w:type="lastCol">
      <w:pPr/>
      <w:rPr>
        <w:b/>
        <w:bCs/>
      </w:rPr>
      <w:tcPr>
        <w:tcBorders/>
      </w:tcPr>
    </w:tblStylePr>
    <w:tcPr>
      <w:tcBorders/>
    </w:tcPr>
  </w:style>
  <w:style w:type="table" w:customStyle="1" w:styleId="style4112">
    <w:name w:val="Grid Table 5 Dark Accent 2"/>
    <w:basedOn w:val="style105"/>
    <w:next w:val="style4112"/>
    <w:uiPriority w:val="50"/>
    <w:pPr>
      <w:spacing w:after="0" w:lineRule="auto" w:line="240"/>
    </w:pPr>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fbe4d5"/>
    </w:tblPr>
    <w:tblStylePr w:type="firstRow">
      <w:pPr/>
      <w:rPr>
        <w:b/>
        <w:bCs/>
        <w:color w:val="ffffff"/>
      </w:rPr>
      <w:tblPr/>
      <w:tcPr>
        <w:tcBorders>
          <w:top w:val="single" w:sz="4" w:space="0" w:color="ffffff"/>
          <w:left w:val="single" w:sz="4" w:space="0" w:color="ffffff"/>
          <w:right w:val="single" w:sz="4" w:space="0" w:color="ffffff"/>
          <w:insideH w:val="nil"/>
          <w:insideV w:val="nil"/>
        </w:tcBorders>
        <w:shd w:val="clear" w:color="auto" w:fill="ed7d31"/>
      </w:tcPr>
    </w:tblStylePr>
    <w:tblStylePr w:type="lastRow">
      <w:pPr/>
      <w:rPr>
        <w:b/>
        <w:bCs/>
        <w:color w:val="ffffff"/>
      </w:rPr>
      <w:tblPr/>
      <w:tcPr>
        <w:tcBorders>
          <w:left w:val="single" w:sz="4" w:space="0" w:color="ffffff"/>
          <w:bottom w:val="single" w:sz="4" w:space="0" w:color="ffffff"/>
          <w:right w:val="single" w:sz="4" w:space="0" w:color="ffffff"/>
          <w:insideH w:val="nil"/>
          <w:insideV w:val="nil"/>
        </w:tcBorders>
        <w:shd w:val="clear" w:color="auto" w:fill="ed7d31"/>
      </w:tcPr>
    </w:tblStylePr>
    <w:tblStylePr w:type="band1Horz">
      <w:pPr/>
      <w:tblPr/>
      <w:tcPr>
        <w:tcBorders/>
        <w:shd w:val="clear" w:color="auto" w:fill="f7caac"/>
      </w:tcPr>
    </w:tblStylePr>
    <w:tblStylePr w:type="firstCol">
      <w:pPr/>
      <w:rPr>
        <w:b/>
        <w:bCs/>
        <w:color w:val="ffffff"/>
      </w:rPr>
      <w:tblPr/>
      <w:tcPr>
        <w:tcBorders>
          <w:top w:val="single" w:sz="4" w:space="0" w:color="ffffff"/>
          <w:left w:val="single" w:sz="4" w:space="0" w:color="ffffff"/>
          <w:bottom w:val="single" w:sz="4" w:space="0" w:color="ffffff"/>
          <w:insideV w:val="nil"/>
        </w:tcBorders>
        <w:shd w:val="clear" w:color="auto" w:fill="ed7d31"/>
      </w:tcPr>
    </w:tblStylePr>
    <w:tblStylePr w:type="lastCol">
      <w:pPr/>
      <w:rPr>
        <w:b/>
        <w:bCs/>
        <w:color w:val="ffffff"/>
      </w:rPr>
      <w:tblPr/>
      <w:tcPr>
        <w:tcBorders>
          <w:top w:val="single" w:sz="4" w:space="0" w:color="ffffff"/>
          <w:bottom w:val="single" w:sz="4" w:space="0" w:color="ffffff"/>
          <w:right w:val="single" w:sz="4" w:space="0" w:color="ffffff"/>
          <w:insideV w:val="nil"/>
        </w:tcBorders>
        <w:shd w:val="clear" w:color="auto" w:fill="ed7d31"/>
      </w:tcPr>
    </w:tblStylePr>
    <w:tblStylePr w:type="band1Vert">
      <w:pPr/>
      <w:tblPr/>
      <w:tcPr>
        <w:tcBorders/>
        <w:shd w:val="clear" w:color="auto" w:fill="f7caac"/>
      </w:tcPr>
    </w:tblStylePr>
    <w:tcPr>
      <w:tcBorders/>
      <w:shd w:val="clear" w:color="auto" w:fill="fbe4d5"/>
    </w:tcPr>
  </w:style>
  <w:style w:type="paragraph" w:styleId="style31">
    <w:name w:val="header"/>
    <w:basedOn w:val="style0"/>
    <w:next w:val="style31"/>
    <w:link w:val="style4113"/>
    <w:uiPriority w:val="99"/>
    <w:pPr>
      <w:tabs>
        <w:tab w:val="center" w:leader="none" w:pos="4513"/>
        <w:tab w:val="right" w:leader="none" w:pos="9026"/>
      </w:tabs>
      <w:spacing w:after="0" w:lineRule="auto" w:line="240"/>
    </w:pPr>
    <w:rPr/>
  </w:style>
  <w:style w:type="character" w:customStyle="1" w:styleId="style4113">
    <w:name w:val="Header Char_4a2ffdc5-5de2-401b-aad3-09e3cb2aeb5e"/>
    <w:basedOn w:val="style65"/>
    <w:next w:val="style4113"/>
    <w:link w:val="style31"/>
    <w:uiPriority w:val="99"/>
    <w:rPr>
      <w:rFonts w:ascii="Times New Roman" w:hAnsi="Times New Roman"/>
      <w:sz w:val="24"/>
    </w:rPr>
  </w:style>
  <w:style w:type="paragraph" w:styleId="style32">
    <w:name w:val="footer"/>
    <w:basedOn w:val="style0"/>
    <w:next w:val="style32"/>
    <w:link w:val="style4114"/>
    <w:uiPriority w:val="99"/>
    <w:pPr>
      <w:tabs>
        <w:tab w:val="center" w:leader="none" w:pos="4513"/>
        <w:tab w:val="right" w:leader="none" w:pos="9026"/>
      </w:tabs>
      <w:spacing w:after="0" w:lineRule="auto" w:line="240"/>
    </w:pPr>
    <w:rPr/>
  </w:style>
  <w:style w:type="character" w:customStyle="1" w:styleId="style4114">
    <w:name w:val="Footer Char_accb3d37-9380-4da7-b315-8c93c0f2061a"/>
    <w:basedOn w:val="style65"/>
    <w:next w:val="style4114"/>
    <w:link w:val="style32"/>
    <w:uiPriority w:val="99"/>
    <w:rPr>
      <w:rFonts w:ascii="Times New Roman" w:hAnsi="Times New Roman"/>
      <w:sz w:val="24"/>
    </w:rPr>
  </w:style>
  <w:style w:type="paragraph" w:styleId="style266">
    <w:name w:val="TOC Heading"/>
    <w:basedOn w:val="style1"/>
    <w:next w:val="style0"/>
    <w:qFormat/>
    <w:uiPriority w:val="39"/>
    <w:pPr>
      <w:spacing w:before="240" w:after="0" w:lineRule="auto" w:line="259"/>
      <w:jc w:val="left"/>
      <w:outlineLvl w:val="9"/>
    </w:pPr>
    <w:rPr>
      <w:rFonts w:ascii="Calibri Light" w:hAnsi="Calibri Light"/>
      <w:b w:val="false"/>
      <w:color w:val="2f5496"/>
      <w:kern w:val="0"/>
      <w:sz w:val="32"/>
      <w:szCs w:val="32"/>
      <w:lang w:val="en-US"/>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table" w:customStyle="1" w:styleId="style4115">
    <w:name w:val="Grid Table 4 Accent 5"/>
    <w:basedOn w:val="style105"/>
    <w:next w:val="style4115"/>
    <w:uiPriority w:val="49"/>
    <w:pPr>
      <w:spacing w:after="0" w:lineRule="auto" w:line="240"/>
    </w:pPr>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pPr/>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pPr/>
      <w:rPr>
        <w:b/>
        <w:bCs/>
      </w:rPr>
      <w:tblPr/>
      <w:tcPr>
        <w:tcBorders>
          <w:top w:val="double" w:sz="4" w:space="0" w:color="5b9bd5"/>
        </w:tcBorders>
      </w:tcPr>
    </w:tblStylePr>
    <w:tblStylePr w:type="band1Horz">
      <w:pPr/>
      <w:tblPr/>
      <w:tcPr>
        <w:tcBorders/>
        <w:shd w:val="clear" w:color="auto" w:fill="deeaf6"/>
      </w:tcPr>
    </w:tblStylePr>
    <w:tblStylePr w:type="firstCol">
      <w:pPr/>
      <w:rPr>
        <w:b/>
        <w:bCs/>
      </w:rPr>
      <w:tcPr>
        <w:tcBorders/>
      </w:tcPr>
    </w:tblStylePr>
    <w:tblStylePr w:type="lastCol">
      <w:pPr/>
      <w:rPr>
        <w:b/>
        <w:bCs/>
      </w:rPr>
      <w:tcPr>
        <w:tcBorders/>
      </w:tcPr>
    </w:tblStylePr>
    <w:tblStylePr w:type="band1Vert">
      <w:pPr/>
      <w:tblPr/>
      <w:tcPr>
        <w:tcBorders/>
        <w:shd w:val="clear" w:color="auto" w:fill="deeaf6"/>
      </w:tcPr>
    </w:tblStylePr>
    <w:tcPr>
      <w:tcBorders/>
    </w:tc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footer" Target="footer1.xml"/><Relationship Id="rId14"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C887D-D77B-4170-9EF5-BE0B70115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TotalTime>
  <Words>6744</Words>
  <Pages>30</Pages>
  <Characters>44713</Characters>
  <Application>WPS Office</Application>
  <DocSecurity>0</DocSecurity>
  <Paragraphs>310</Paragraphs>
  <ScaleCrop>false</ScaleCrop>
  <LinksUpToDate>false</LinksUpToDate>
  <CharactersWithSpaces>51198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2026-07-31T17:37:00Z</dcterms:created>
  <dc:creator>WPS Office</dc:creator>
  <lastModifiedBy>moto g86 power 5G</lastModifiedBy>
  <dcterms:modified xsi:type="dcterms:W3CDTF">2026-08-12T22:24:56Z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f296241d19734e3d97055c4a7f9a4d2d_23</vt:lpwstr>
  </property>
</Properties>
</file>