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73A1D" w14:textId="77777777" w:rsidR="004775AF" w:rsidRPr="00DF3292" w:rsidRDefault="004775AF" w:rsidP="00DF3292">
      <w:pPr>
        <w:spacing w:before="240" w:after="240" w:line="360" w:lineRule="auto"/>
        <w:ind w:left="2160"/>
        <w:jc w:val="both"/>
        <w:rPr>
          <w:rFonts w:ascii="Times New Roman" w:eastAsia="Times New Roman" w:hAnsi="Times New Roman" w:cs="Times New Roman"/>
          <w:b/>
          <w:color w:val="000000" w:themeColor="text1"/>
          <w:sz w:val="36"/>
          <w:szCs w:val="36"/>
        </w:rPr>
      </w:pPr>
      <w:r w:rsidRPr="00DF3292">
        <w:rPr>
          <w:rFonts w:ascii="Times New Roman" w:eastAsia="Times New Roman" w:hAnsi="Times New Roman" w:cs="Times New Roman"/>
          <w:b/>
          <w:color w:val="000000" w:themeColor="text1"/>
          <w:sz w:val="36"/>
          <w:szCs w:val="36"/>
        </w:rPr>
        <w:t xml:space="preserve">ACCOUNTING FUNDAMENTALS </w:t>
      </w:r>
    </w:p>
    <w:p w14:paraId="0B6D5E74" w14:textId="77777777" w:rsidR="004775AF" w:rsidRPr="00DF3292" w:rsidRDefault="004775AF" w:rsidP="004775AF">
      <w:pPr>
        <w:spacing w:before="240" w:after="240" w:line="360" w:lineRule="auto"/>
        <w:ind w:left="3600"/>
        <w:jc w:val="both"/>
        <w:rPr>
          <w:rFonts w:ascii="Times New Roman" w:eastAsia="Times New Roman" w:hAnsi="Times New Roman" w:cs="Times New Roman"/>
          <w:b/>
          <w:color w:val="000000" w:themeColor="text1"/>
          <w:sz w:val="36"/>
          <w:szCs w:val="36"/>
        </w:rPr>
      </w:pPr>
      <w:r w:rsidRPr="00DF3292">
        <w:rPr>
          <w:rFonts w:ascii="Times New Roman" w:eastAsia="Times New Roman" w:hAnsi="Times New Roman" w:cs="Times New Roman"/>
          <w:b/>
          <w:color w:val="000000" w:themeColor="text1"/>
          <w:sz w:val="36"/>
          <w:szCs w:val="36"/>
        </w:rPr>
        <w:t>(LCBB4001)</w:t>
      </w:r>
    </w:p>
    <w:p w14:paraId="4CF1C625" w14:textId="77777777" w:rsidR="000E13D4" w:rsidRPr="00DF3292" w:rsidRDefault="000E13D4" w:rsidP="00A80E80">
      <w:pPr>
        <w:spacing w:before="240" w:after="240" w:line="360" w:lineRule="auto"/>
        <w:jc w:val="both"/>
        <w:rPr>
          <w:rFonts w:ascii="Times New Roman" w:eastAsia="Times New Roman" w:hAnsi="Times New Roman" w:cs="Times New Roman"/>
          <w:b/>
          <w:color w:val="000000" w:themeColor="text1"/>
          <w:sz w:val="36"/>
          <w:szCs w:val="36"/>
        </w:rPr>
      </w:pPr>
    </w:p>
    <w:p w14:paraId="4D961089" w14:textId="77777777" w:rsidR="000E13D4" w:rsidRPr="00A80E80" w:rsidRDefault="000E13D4" w:rsidP="00A80E80">
      <w:pPr>
        <w:spacing w:before="240" w:after="240" w:line="360" w:lineRule="auto"/>
        <w:jc w:val="both"/>
        <w:rPr>
          <w:rFonts w:ascii="Times New Roman" w:eastAsia="Times New Roman" w:hAnsi="Times New Roman" w:cs="Times New Roman"/>
          <w:b/>
          <w:color w:val="000000" w:themeColor="text1"/>
          <w:sz w:val="24"/>
          <w:szCs w:val="32"/>
        </w:rPr>
      </w:pPr>
    </w:p>
    <w:p w14:paraId="457A2E88" w14:textId="77777777" w:rsidR="0077645A" w:rsidRPr="0077645A" w:rsidRDefault="0077645A" w:rsidP="0077645A">
      <w:pPr>
        <w:spacing w:before="240" w:after="240" w:line="360" w:lineRule="auto"/>
        <w:ind w:left="360"/>
        <w:jc w:val="both"/>
        <w:rPr>
          <w:rFonts w:ascii="Aptos Narrow" w:eastAsia="Times New Roman" w:hAnsi="Aptos Narrow" w:cs="Times New Roman"/>
          <w:b/>
          <w:color w:val="000000" w:themeColor="text1"/>
          <w:sz w:val="36"/>
          <w:szCs w:val="36"/>
          <w:lang w:val="en-IN"/>
        </w:rPr>
      </w:pPr>
    </w:p>
    <w:p w14:paraId="7A023635" w14:textId="77777777" w:rsidR="0077645A" w:rsidRPr="0077645A" w:rsidRDefault="0077645A" w:rsidP="0077645A">
      <w:pPr>
        <w:spacing w:before="240" w:after="240" w:line="360" w:lineRule="auto"/>
        <w:ind w:left="360"/>
        <w:jc w:val="both"/>
        <w:rPr>
          <w:rFonts w:ascii="Aptos Narrow" w:eastAsia="Times New Roman" w:hAnsi="Aptos Narrow" w:cs="Times New Roman"/>
          <w:b/>
          <w:color w:val="000000" w:themeColor="text1"/>
          <w:sz w:val="36"/>
          <w:szCs w:val="36"/>
          <w:lang w:val="en-IN"/>
        </w:rPr>
      </w:pPr>
    </w:p>
    <w:p w14:paraId="0A3DB924" w14:textId="7B57FFEE" w:rsidR="004A651B" w:rsidRPr="0077645A" w:rsidRDefault="004A651B" w:rsidP="004A651B">
      <w:pPr>
        <w:numPr>
          <w:ilvl w:val="0"/>
          <w:numId w:val="3"/>
        </w:numPr>
        <w:spacing w:before="240" w:after="240" w:line="360" w:lineRule="auto"/>
        <w:jc w:val="both"/>
        <w:rPr>
          <w:rFonts w:ascii="Aptos Narrow" w:eastAsia="Times New Roman" w:hAnsi="Aptos Narrow" w:cs="Times New Roman"/>
          <w:b/>
          <w:color w:val="000000" w:themeColor="text1"/>
          <w:sz w:val="36"/>
          <w:szCs w:val="36"/>
          <w:lang w:val="en-IN"/>
        </w:rPr>
      </w:pPr>
      <w:r w:rsidRPr="0077645A">
        <w:rPr>
          <w:rFonts w:ascii="Aptos Narrow" w:eastAsia="Times New Roman" w:hAnsi="Aptos Narrow" w:cs="Times New Roman"/>
          <w:b/>
          <w:color w:val="000000" w:themeColor="text1"/>
          <w:sz w:val="36"/>
          <w:szCs w:val="36"/>
          <w:lang w:val="en-US"/>
        </w:rPr>
        <w:t>NAME - UTSAV KAKADIYA</w:t>
      </w:r>
    </w:p>
    <w:p w14:paraId="7CF457D1" w14:textId="77777777" w:rsidR="004A651B" w:rsidRPr="0077645A" w:rsidRDefault="004A651B" w:rsidP="004A651B">
      <w:pPr>
        <w:numPr>
          <w:ilvl w:val="0"/>
          <w:numId w:val="3"/>
        </w:numPr>
        <w:spacing w:before="240" w:after="240" w:line="360" w:lineRule="auto"/>
        <w:jc w:val="both"/>
        <w:rPr>
          <w:rFonts w:ascii="Aptos Narrow" w:eastAsia="Times New Roman" w:hAnsi="Aptos Narrow" w:cs="Times New Roman"/>
          <w:b/>
          <w:color w:val="000000" w:themeColor="text1"/>
          <w:sz w:val="36"/>
          <w:szCs w:val="36"/>
          <w:lang w:val="en-IN"/>
        </w:rPr>
      </w:pPr>
      <w:r w:rsidRPr="0077645A">
        <w:rPr>
          <w:rFonts w:ascii="Aptos Narrow" w:eastAsia="Times New Roman" w:hAnsi="Aptos Narrow" w:cs="Times New Roman"/>
          <w:b/>
          <w:color w:val="000000" w:themeColor="text1"/>
          <w:sz w:val="36"/>
          <w:szCs w:val="36"/>
          <w:lang w:val="en-US"/>
        </w:rPr>
        <w:t>STUDENT ID - 2240174</w:t>
      </w:r>
    </w:p>
    <w:p w14:paraId="44D9E08A" w14:textId="44BE5164" w:rsidR="004A651B" w:rsidRPr="0077645A" w:rsidRDefault="004A651B" w:rsidP="004A651B">
      <w:pPr>
        <w:numPr>
          <w:ilvl w:val="0"/>
          <w:numId w:val="3"/>
        </w:numPr>
        <w:spacing w:before="240" w:after="240" w:line="360" w:lineRule="auto"/>
        <w:jc w:val="both"/>
        <w:rPr>
          <w:rFonts w:ascii="Aptos Narrow" w:eastAsia="Times New Roman" w:hAnsi="Aptos Narrow" w:cs="Times New Roman"/>
          <w:b/>
          <w:color w:val="000000" w:themeColor="text1"/>
          <w:sz w:val="36"/>
          <w:szCs w:val="36"/>
          <w:lang w:val="en-IN"/>
        </w:rPr>
      </w:pPr>
      <w:r w:rsidRPr="0077645A">
        <w:rPr>
          <w:rFonts w:ascii="Aptos Narrow" w:eastAsia="Times New Roman" w:hAnsi="Aptos Narrow" w:cs="Times New Roman"/>
          <w:b/>
          <w:color w:val="000000" w:themeColor="text1"/>
          <w:sz w:val="36"/>
          <w:szCs w:val="36"/>
          <w:lang w:val="en-US"/>
        </w:rPr>
        <w:t>MODULE CODE- LCBB400</w:t>
      </w:r>
      <w:r w:rsidR="0077645A">
        <w:rPr>
          <w:rFonts w:ascii="Aptos Narrow" w:eastAsia="Times New Roman" w:hAnsi="Aptos Narrow" w:cs="Times New Roman"/>
          <w:b/>
          <w:color w:val="000000" w:themeColor="text1"/>
          <w:sz w:val="36"/>
          <w:szCs w:val="36"/>
          <w:lang w:val="en-US"/>
        </w:rPr>
        <w:t>1</w:t>
      </w:r>
    </w:p>
    <w:p w14:paraId="7587F275" w14:textId="499AE1AA" w:rsidR="004A651B" w:rsidRPr="0077645A" w:rsidRDefault="004A651B" w:rsidP="004A651B">
      <w:pPr>
        <w:numPr>
          <w:ilvl w:val="0"/>
          <w:numId w:val="3"/>
        </w:numPr>
        <w:spacing w:before="240" w:after="240" w:line="360" w:lineRule="auto"/>
        <w:jc w:val="both"/>
        <w:rPr>
          <w:rFonts w:ascii="Aptos Narrow" w:eastAsia="Times New Roman" w:hAnsi="Aptos Narrow" w:cs="Times New Roman"/>
          <w:b/>
          <w:color w:val="000000" w:themeColor="text1"/>
          <w:sz w:val="36"/>
          <w:szCs w:val="36"/>
          <w:lang w:val="en-IN"/>
        </w:rPr>
      </w:pPr>
      <w:r w:rsidRPr="0077645A">
        <w:rPr>
          <w:rFonts w:ascii="Aptos Narrow" w:eastAsia="Times New Roman" w:hAnsi="Aptos Narrow" w:cs="Times New Roman"/>
          <w:b/>
          <w:color w:val="000000" w:themeColor="text1"/>
          <w:sz w:val="36"/>
          <w:szCs w:val="36"/>
          <w:lang w:val="en-US"/>
        </w:rPr>
        <w:t xml:space="preserve">MODULE NAME- </w:t>
      </w:r>
      <w:r w:rsidR="0077645A">
        <w:rPr>
          <w:rFonts w:ascii="Aptos Narrow" w:eastAsia="Times New Roman" w:hAnsi="Aptos Narrow" w:cs="Times New Roman"/>
          <w:b/>
          <w:color w:val="000000" w:themeColor="text1"/>
          <w:sz w:val="36"/>
          <w:szCs w:val="36"/>
          <w:lang w:val="en-US"/>
        </w:rPr>
        <w:t xml:space="preserve">ACCOUNTING FUNDAMENTALS </w:t>
      </w:r>
    </w:p>
    <w:p w14:paraId="7B6D7B05" w14:textId="57C31F42" w:rsidR="004A651B" w:rsidRPr="0077645A" w:rsidRDefault="004A651B" w:rsidP="004A651B">
      <w:pPr>
        <w:numPr>
          <w:ilvl w:val="0"/>
          <w:numId w:val="3"/>
        </w:numPr>
        <w:spacing w:before="240" w:after="240" w:line="360" w:lineRule="auto"/>
        <w:jc w:val="both"/>
        <w:rPr>
          <w:rFonts w:ascii="Aptos Narrow" w:eastAsia="Times New Roman" w:hAnsi="Aptos Narrow" w:cs="Times New Roman"/>
          <w:b/>
          <w:color w:val="000000" w:themeColor="text1"/>
          <w:sz w:val="36"/>
          <w:szCs w:val="36"/>
          <w:lang w:val="en-IN"/>
        </w:rPr>
      </w:pPr>
      <w:r w:rsidRPr="0077645A">
        <w:rPr>
          <w:rFonts w:ascii="Aptos Narrow" w:eastAsia="Times New Roman" w:hAnsi="Aptos Narrow" w:cs="Times New Roman"/>
          <w:b/>
          <w:color w:val="000000" w:themeColor="text1"/>
          <w:sz w:val="36"/>
          <w:szCs w:val="36"/>
          <w:lang w:val="en-US"/>
        </w:rPr>
        <w:t>LECTURER NAME-</w:t>
      </w:r>
      <w:r w:rsidR="0077645A">
        <w:rPr>
          <w:rFonts w:ascii="Aptos Narrow" w:eastAsia="Times New Roman" w:hAnsi="Aptos Narrow" w:cs="Times New Roman"/>
          <w:b/>
          <w:color w:val="000000" w:themeColor="text1"/>
          <w:sz w:val="36"/>
          <w:szCs w:val="36"/>
          <w:lang w:val="en-US"/>
        </w:rPr>
        <w:t xml:space="preserve"> KON</w:t>
      </w:r>
      <w:r w:rsidR="003951E1">
        <w:rPr>
          <w:rFonts w:ascii="Aptos Narrow" w:eastAsia="Times New Roman" w:hAnsi="Aptos Narrow" w:cs="Times New Roman"/>
          <w:b/>
          <w:color w:val="000000" w:themeColor="text1"/>
          <w:sz w:val="36"/>
          <w:szCs w:val="36"/>
          <w:lang w:val="en-US"/>
        </w:rPr>
        <w:t>ST</w:t>
      </w:r>
      <w:r w:rsidR="00073566">
        <w:rPr>
          <w:rFonts w:ascii="Aptos Narrow" w:eastAsia="Times New Roman" w:hAnsi="Aptos Narrow" w:cs="Times New Roman"/>
          <w:b/>
          <w:color w:val="000000" w:themeColor="text1"/>
          <w:sz w:val="36"/>
          <w:szCs w:val="36"/>
          <w:lang w:val="en-US"/>
        </w:rPr>
        <w:t>ANTINA MARI</w:t>
      </w:r>
    </w:p>
    <w:p w14:paraId="1174E684" w14:textId="77777777" w:rsidR="000E13D4" w:rsidRPr="0077645A" w:rsidRDefault="000E13D4" w:rsidP="00A80E80">
      <w:pPr>
        <w:spacing w:before="240" w:after="240" w:line="360" w:lineRule="auto"/>
        <w:jc w:val="both"/>
        <w:rPr>
          <w:rFonts w:ascii="Aptos Narrow" w:eastAsia="Times New Roman" w:hAnsi="Aptos Narrow" w:cs="Times New Roman"/>
          <w:b/>
          <w:color w:val="000000" w:themeColor="text1"/>
          <w:sz w:val="36"/>
          <w:szCs w:val="36"/>
        </w:rPr>
      </w:pPr>
    </w:p>
    <w:p w14:paraId="2779C87D" w14:textId="3859994B" w:rsidR="007B3985" w:rsidRPr="00A80E80" w:rsidRDefault="007B3985" w:rsidP="00A80E80">
      <w:pPr>
        <w:spacing w:before="240" w:after="240" w:line="360" w:lineRule="auto"/>
        <w:jc w:val="both"/>
        <w:rPr>
          <w:rFonts w:ascii="Times New Roman" w:eastAsia="Times New Roman" w:hAnsi="Times New Roman" w:cs="Times New Roman"/>
          <w:b/>
          <w:color w:val="000000" w:themeColor="text1"/>
          <w:sz w:val="24"/>
          <w:szCs w:val="32"/>
        </w:rPr>
      </w:pPr>
    </w:p>
    <w:p w14:paraId="1E59573A" w14:textId="77777777" w:rsidR="00617149" w:rsidRPr="00A80E80" w:rsidRDefault="00617149" w:rsidP="00A80E80">
      <w:pPr>
        <w:spacing w:before="240" w:after="240" w:line="360" w:lineRule="auto"/>
        <w:jc w:val="both"/>
        <w:rPr>
          <w:rFonts w:ascii="Times New Roman" w:eastAsia="Times New Roman" w:hAnsi="Times New Roman" w:cs="Times New Roman"/>
          <w:b/>
          <w:color w:val="000000" w:themeColor="text1"/>
          <w:sz w:val="24"/>
          <w:szCs w:val="24"/>
        </w:rPr>
      </w:pPr>
    </w:p>
    <w:p w14:paraId="64740324" w14:textId="77777777" w:rsidR="00617149" w:rsidRPr="00A80E80" w:rsidRDefault="00B64BB5" w:rsidP="00A80E80">
      <w:pPr>
        <w:spacing w:before="240" w:after="240" w:line="360" w:lineRule="auto"/>
        <w:jc w:val="both"/>
        <w:rPr>
          <w:rFonts w:ascii="Times New Roman" w:eastAsia="Times New Roman" w:hAnsi="Times New Roman" w:cs="Times New Roman"/>
          <w:b/>
          <w:color w:val="000000" w:themeColor="text1"/>
          <w:sz w:val="24"/>
          <w:szCs w:val="24"/>
        </w:rPr>
      </w:pPr>
      <w:r w:rsidRPr="00A80E80">
        <w:rPr>
          <w:rFonts w:ascii="Times New Roman" w:hAnsi="Times New Roman"/>
          <w:color w:val="000000" w:themeColor="text1"/>
          <w:sz w:val="24"/>
        </w:rPr>
        <w:br w:type="page"/>
      </w:r>
    </w:p>
    <w:sdt>
      <w:sdtPr>
        <w:rPr>
          <w:rFonts w:ascii="Times New Roman" w:eastAsia="Arial" w:hAnsi="Times New Roman" w:cs="Arial"/>
          <w:color w:val="000000" w:themeColor="text1"/>
          <w:sz w:val="24"/>
          <w:szCs w:val="22"/>
          <w:lang w:val="en-GB" w:eastAsia="en-IN"/>
        </w:rPr>
        <w:id w:val="1227653329"/>
        <w:docPartObj>
          <w:docPartGallery w:val="Table of Contents"/>
          <w:docPartUnique/>
        </w:docPartObj>
      </w:sdtPr>
      <w:sdtEndPr>
        <w:rPr>
          <w:b/>
          <w:bCs/>
          <w:noProof/>
        </w:rPr>
      </w:sdtEndPr>
      <w:sdtContent>
        <w:p w14:paraId="1BE4648A" w14:textId="0E13B1BF" w:rsidR="00A80E80" w:rsidRPr="00911674" w:rsidRDefault="00A80E80" w:rsidP="00A80E80">
          <w:pPr>
            <w:pStyle w:val="TOCHeading"/>
            <w:spacing w:after="240" w:line="360" w:lineRule="auto"/>
            <w:jc w:val="both"/>
            <w:rPr>
              <w:rFonts w:ascii="Times New Roman" w:hAnsi="Times New Roman" w:cs="Times New Roman"/>
              <w:b/>
              <w:bCs/>
              <w:color w:val="000000" w:themeColor="text1"/>
              <w:sz w:val="24"/>
              <w:szCs w:val="24"/>
            </w:rPr>
          </w:pPr>
          <w:r w:rsidRPr="00911674">
            <w:rPr>
              <w:rFonts w:ascii="Times New Roman" w:hAnsi="Times New Roman" w:cs="Times New Roman"/>
              <w:b/>
              <w:bCs/>
              <w:color w:val="000000" w:themeColor="text1"/>
              <w:sz w:val="24"/>
              <w:szCs w:val="24"/>
            </w:rPr>
            <w:t>Table of Contents</w:t>
          </w:r>
        </w:p>
        <w:p w14:paraId="2D3BE32B" w14:textId="3B3E0409" w:rsidR="00911674" w:rsidRPr="00911674" w:rsidRDefault="00A80E80">
          <w:pPr>
            <w:pStyle w:val="TOC1"/>
            <w:tabs>
              <w:tab w:val="right" w:leader="dot" w:pos="9019"/>
            </w:tabs>
            <w:rPr>
              <w:rFonts w:ascii="Times New Roman" w:eastAsiaTheme="minorEastAsia" w:hAnsi="Times New Roman" w:cs="Times New Roman"/>
              <w:noProof/>
              <w:color w:val="000000" w:themeColor="text1"/>
              <w:sz w:val="24"/>
              <w:szCs w:val="24"/>
              <w:lang w:val="en-IN"/>
            </w:rPr>
          </w:pPr>
          <w:r w:rsidRPr="00911674">
            <w:rPr>
              <w:rFonts w:ascii="Times New Roman" w:hAnsi="Times New Roman" w:cs="Times New Roman"/>
              <w:color w:val="000000" w:themeColor="text1"/>
              <w:sz w:val="24"/>
              <w:szCs w:val="24"/>
            </w:rPr>
            <w:fldChar w:fldCharType="begin"/>
          </w:r>
          <w:r w:rsidRPr="00911674">
            <w:rPr>
              <w:rFonts w:ascii="Times New Roman" w:hAnsi="Times New Roman" w:cs="Times New Roman"/>
              <w:color w:val="000000" w:themeColor="text1"/>
              <w:sz w:val="24"/>
              <w:szCs w:val="24"/>
            </w:rPr>
            <w:instrText xml:space="preserve"> TOC \o "1-3" \h \z \u </w:instrText>
          </w:r>
          <w:r w:rsidRPr="00911674">
            <w:rPr>
              <w:rFonts w:ascii="Times New Roman" w:hAnsi="Times New Roman" w:cs="Times New Roman"/>
              <w:color w:val="000000" w:themeColor="text1"/>
              <w:sz w:val="24"/>
              <w:szCs w:val="24"/>
            </w:rPr>
            <w:fldChar w:fldCharType="separate"/>
          </w:r>
          <w:hyperlink w:anchor="_Toc153956577" w:history="1">
            <w:r w:rsidR="00911674" w:rsidRPr="00911674">
              <w:rPr>
                <w:rStyle w:val="Hyperlink"/>
                <w:rFonts w:ascii="Times New Roman" w:hAnsi="Times New Roman" w:cs="Times New Roman"/>
                <w:noProof/>
                <w:color w:val="000000" w:themeColor="text1"/>
                <w:sz w:val="24"/>
                <w:szCs w:val="24"/>
              </w:rPr>
              <w:t>Introduction</w:t>
            </w:r>
            <w:r w:rsidR="00911674" w:rsidRPr="00911674">
              <w:rPr>
                <w:rFonts w:ascii="Times New Roman" w:hAnsi="Times New Roman" w:cs="Times New Roman"/>
                <w:noProof/>
                <w:webHidden/>
                <w:color w:val="000000" w:themeColor="text1"/>
                <w:sz w:val="24"/>
                <w:szCs w:val="24"/>
              </w:rPr>
              <w:tab/>
            </w:r>
            <w:r w:rsidR="00911674" w:rsidRPr="00911674">
              <w:rPr>
                <w:rFonts w:ascii="Times New Roman" w:hAnsi="Times New Roman" w:cs="Times New Roman"/>
                <w:noProof/>
                <w:webHidden/>
                <w:color w:val="000000" w:themeColor="text1"/>
                <w:sz w:val="24"/>
                <w:szCs w:val="24"/>
              </w:rPr>
              <w:fldChar w:fldCharType="begin"/>
            </w:r>
            <w:r w:rsidR="00911674" w:rsidRPr="00911674">
              <w:rPr>
                <w:rFonts w:ascii="Times New Roman" w:hAnsi="Times New Roman" w:cs="Times New Roman"/>
                <w:noProof/>
                <w:webHidden/>
                <w:color w:val="000000" w:themeColor="text1"/>
                <w:sz w:val="24"/>
                <w:szCs w:val="24"/>
              </w:rPr>
              <w:instrText xml:space="preserve"> PAGEREF _Toc153956577 \h </w:instrText>
            </w:r>
            <w:r w:rsidR="00911674" w:rsidRPr="00911674">
              <w:rPr>
                <w:rFonts w:ascii="Times New Roman" w:hAnsi="Times New Roman" w:cs="Times New Roman"/>
                <w:noProof/>
                <w:webHidden/>
                <w:color w:val="000000" w:themeColor="text1"/>
                <w:sz w:val="24"/>
                <w:szCs w:val="24"/>
              </w:rPr>
            </w:r>
            <w:r w:rsidR="00911674" w:rsidRPr="00911674">
              <w:rPr>
                <w:rFonts w:ascii="Times New Roman" w:hAnsi="Times New Roman" w:cs="Times New Roman"/>
                <w:noProof/>
                <w:webHidden/>
                <w:color w:val="000000" w:themeColor="text1"/>
                <w:sz w:val="24"/>
                <w:szCs w:val="24"/>
              </w:rPr>
              <w:fldChar w:fldCharType="separate"/>
            </w:r>
            <w:r w:rsidR="00073566">
              <w:rPr>
                <w:rFonts w:ascii="Times New Roman" w:hAnsi="Times New Roman" w:cs="Times New Roman"/>
                <w:noProof/>
                <w:webHidden/>
                <w:color w:val="000000" w:themeColor="text1"/>
                <w:sz w:val="24"/>
                <w:szCs w:val="24"/>
              </w:rPr>
              <w:t>3</w:t>
            </w:r>
            <w:r w:rsidR="00911674" w:rsidRPr="00911674">
              <w:rPr>
                <w:rFonts w:ascii="Times New Roman" w:hAnsi="Times New Roman" w:cs="Times New Roman"/>
                <w:noProof/>
                <w:webHidden/>
                <w:color w:val="000000" w:themeColor="text1"/>
                <w:sz w:val="24"/>
                <w:szCs w:val="24"/>
              </w:rPr>
              <w:fldChar w:fldCharType="end"/>
            </w:r>
          </w:hyperlink>
        </w:p>
        <w:p w14:paraId="6D86AB61" w14:textId="192FC5FD" w:rsidR="00911674" w:rsidRPr="00911674" w:rsidRDefault="008730C7">
          <w:pPr>
            <w:pStyle w:val="TOC1"/>
            <w:tabs>
              <w:tab w:val="right" w:leader="dot" w:pos="9019"/>
            </w:tabs>
            <w:rPr>
              <w:rFonts w:ascii="Times New Roman" w:eastAsiaTheme="minorEastAsia" w:hAnsi="Times New Roman" w:cs="Times New Roman"/>
              <w:noProof/>
              <w:color w:val="000000" w:themeColor="text1"/>
              <w:sz w:val="24"/>
              <w:szCs w:val="24"/>
              <w:lang w:val="en-IN"/>
            </w:rPr>
          </w:pPr>
          <w:hyperlink w:anchor="_Toc153956578" w:history="1">
            <w:r w:rsidR="00911674" w:rsidRPr="00911674">
              <w:rPr>
                <w:rStyle w:val="Hyperlink"/>
                <w:rFonts w:ascii="Times New Roman" w:hAnsi="Times New Roman" w:cs="Times New Roman"/>
                <w:noProof/>
                <w:color w:val="000000" w:themeColor="text1"/>
                <w:sz w:val="24"/>
                <w:szCs w:val="24"/>
              </w:rPr>
              <w:t>Question 1</w:t>
            </w:r>
            <w:r w:rsidR="00911674" w:rsidRPr="00911674">
              <w:rPr>
                <w:rFonts w:ascii="Times New Roman" w:hAnsi="Times New Roman" w:cs="Times New Roman"/>
                <w:noProof/>
                <w:webHidden/>
                <w:color w:val="000000" w:themeColor="text1"/>
                <w:sz w:val="24"/>
                <w:szCs w:val="24"/>
              </w:rPr>
              <w:tab/>
            </w:r>
            <w:r w:rsidR="00911674" w:rsidRPr="00911674">
              <w:rPr>
                <w:rFonts w:ascii="Times New Roman" w:hAnsi="Times New Roman" w:cs="Times New Roman"/>
                <w:noProof/>
                <w:webHidden/>
                <w:color w:val="000000" w:themeColor="text1"/>
                <w:sz w:val="24"/>
                <w:szCs w:val="24"/>
              </w:rPr>
              <w:fldChar w:fldCharType="begin"/>
            </w:r>
            <w:r w:rsidR="00911674" w:rsidRPr="00911674">
              <w:rPr>
                <w:rFonts w:ascii="Times New Roman" w:hAnsi="Times New Roman" w:cs="Times New Roman"/>
                <w:noProof/>
                <w:webHidden/>
                <w:color w:val="000000" w:themeColor="text1"/>
                <w:sz w:val="24"/>
                <w:szCs w:val="24"/>
              </w:rPr>
              <w:instrText xml:space="preserve"> PAGEREF _Toc153956578 \h </w:instrText>
            </w:r>
            <w:r w:rsidR="00911674" w:rsidRPr="00911674">
              <w:rPr>
                <w:rFonts w:ascii="Times New Roman" w:hAnsi="Times New Roman" w:cs="Times New Roman"/>
                <w:noProof/>
                <w:webHidden/>
                <w:color w:val="000000" w:themeColor="text1"/>
                <w:sz w:val="24"/>
                <w:szCs w:val="24"/>
              </w:rPr>
            </w:r>
            <w:r w:rsidR="00911674" w:rsidRPr="00911674">
              <w:rPr>
                <w:rFonts w:ascii="Times New Roman" w:hAnsi="Times New Roman" w:cs="Times New Roman"/>
                <w:noProof/>
                <w:webHidden/>
                <w:color w:val="000000" w:themeColor="text1"/>
                <w:sz w:val="24"/>
                <w:szCs w:val="24"/>
              </w:rPr>
              <w:fldChar w:fldCharType="separate"/>
            </w:r>
            <w:r w:rsidR="00073566">
              <w:rPr>
                <w:rFonts w:ascii="Times New Roman" w:hAnsi="Times New Roman" w:cs="Times New Roman"/>
                <w:noProof/>
                <w:webHidden/>
                <w:color w:val="000000" w:themeColor="text1"/>
                <w:sz w:val="24"/>
                <w:szCs w:val="24"/>
              </w:rPr>
              <w:t>3</w:t>
            </w:r>
            <w:r w:rsidR="00911674" w:rsidRPr="00911674">
              <w:rPr>
                <w:rFonts w:ascii="Times New Roman" w:hAnsi="Times New Roman" w:cs="Times New Roman"/>
                <w:noProof/>
                <w:webHidden/>
                <w:color w:val="000000" w:themeColor="text1"/>
                <w:sz w:val="24"/>
                <w:szCs w:val="24"/>
              </w:rPr>
              <w:fldChar w:fldCharType="end"/>
            </w:r>
          </w:hyperlink>
        </w:p>
        <w:p w14:paraId="6269A25F" w14:textId="71D2674F" w:rsidR="00911674" w:rsidRPr="00911674" w:rsidRDefault="008730C7">
          <w:pPr>
            <w:pStyle w:val="TOC1"/>
            <w:tabs>
              <w:tab w:val="right" w:leader="dot" w:pos="9019"/>
            </w:tabs>
            <w:rPr>
              <w:rFonts w:ascii="Times New Roman" w:eastAsiaTheme="minorEastAsia" w:hAnsi="Times New Roman" w:cs="Times New Roman"/>
              <w:noProof/>
              <w:color w:val="000000" w:themeColor="text1"/>
              <w:sz w:val="24"/>
              <w:szCs w:val="24"/>
              <w:lang w:val="en-IN"/>
            </w:rPr>
          </w:pPr>
          <w:hyperlink w:anchor="_Toc153956579" w:history="1">
            <w:r w:rsidR="00911674" w:rsidRPr="00911674">
              <w:rPr>
                <w:rStyle w:val="Hyperlink"/>
                <w:rFonts w:ascii="Times New Roman" w:hAnsi="Times New Roman" w:cs="Times New Roman"/>
                <w:noProof/>
                <w:color w:val="000000" w:themeColor="text1"/>
                <w:sz w:val="24"/>
                <w:szCs w:val="24"/>
              </w:rPr>
              <w:t>Question 2</w:t>
            </w:r>
            <w:r w:rsidR="00911674" w:rsidRPr="00911674">
              <w:rPr>
                <w:rFonts w:ascii="Times New Roman" w:hAnsi="Times New Roman" w:cs="Times New Roman"/>
                <w:noProof/>
                <w:webHidden/>
                <w:color w:val="000000" w:themeColor="text1"/>
                <w:sz w:val="24"/>
                <w:szCs w:val="24"/>
              </w:rPr>
              <w:tab/>
            </w:r>
            <w:r w:rsidR="00911674" w:rsidRPr="00911674">
              <w:rPr>
                <w:rFonts w:ascii="Times New Roman" w:hAnsi="Times New Roman" w:cs="Times New Roman"/>
                <w:noProof/>
                <w:webHidden/>
                <w:color w:val="000000" w:themeColor="text1"/>
                <w:sz w:val="24"/>
                <w:szCs w:val="24"/>
              </w:rPr>
              <w:fldChar w:fldCharType="begin"/>
            </w:r>
            <w:r w:rsidR="00911674" w:rsidRPr="00911674">
              <w:rPr>
                <w:rFonts w:ascii="Times New Roman" w:hAnsi="Times New Roman" w:cs="Times New Roman"/>
                <w:noProof/>
                <w:webHidden/>
                <w:color w:val="000000" w:themeColor="text1"/>
                <w:sz w:val="24"/>
                <w:szCs w:val="24"/>
              </w:rPr>
              <w:instrText xml:space="preserve"> PAGEREF _Toc153956579 \h </w:instrText>
            </w:r>
            <w:r w:rsidR="00911674" w:rsidRPr="00911674">
              <w:rPr>
                <w:rFonts w:ascii="Times New Roman" w:hAnsi="Times New Roman" w:cs="Times New Roman"/>
                <w:noProof/>
                <w:webHidden/>
                <w:color w:val="000000" w:themeColor="text1"/>
                <w:sz w:val="24"/>
                <w:szCs w:val="24"/>
              </w:rPr>
            </w:r>
            <w:r w:rsidR="00911674" w:rsidRPr="00911674">
              <w:rPr>
                <w:rFonts w:ascii="Times New Roman" w:hAnsi="Times New Roman" w:cs="Times New Roman"/>
                <w:noProof/>
                <w:webHidden/>
                <w:color w:val="000000" w:themeColor="text1"/>
                <w:sz w:val="24"/>
                <w:szCs w:val="24"/>
              </w:rPr>
              <w:fldChar w:fldCharType="separate"/>
            </w:r>
            <w:r w:rsidR="00073566">
              <w:rPr>
                <w:rFonts w:ascii="Times New Roman" w:hAnsi="Times New Roman" w:cs="Times New Roman"/>
                <w:noProof/>
                <w:webHidden/>
                <w:color w:val="000000" w:themeColor="text1"/>
                <w:sz w:val="24"/>
                <w:szCs w:val="24"/>
              </w:rPr>
              <w:t>7</w:t>
            </w:r>
            <w:r w:rsidR="00911674" w:rsidRPr="00911674">
              <w:rPr>
                <w:rFonts w:ascii="Times New Roman" w:hAnsi="Times New Roman" w:cs="Times New Roman"/>
                <w:noProof/>
                <w:webHidden/>
                <w:color w:val="000000" w:themeColor="text1"/>
                <w:sz w:val="24"/>
                <w:szCs w:val="24"/>
              </w:rPr>
              <w:fldChar w:fldCharType="end"/>
            </w:r>
          </w:hyperlink>
        </w:p>
        <w:p w14:paraId="0986F35A" w14:textId="0DCF12FF" w:rsidR="00911674" w:rsidRPr="00911674" w:rsidRDefault="008730C7">
          <w:pPr>
            <w:pStyle w:val="TOC1"/>
            <w:tabs>
              <w:tab w:val="right" w:leader="dot" w:pos="9019"/>
            </w:tabs>
            <w:rPr>
              <w:rFonts w:ascii="Times New Roman" w:eastAsiaTheme="minorEastAsia" w:hAnsi="Times New Roman" w:cs="Times New Roman"/>
              <w:noProof/>
              <w:color w:val="000000" w:themeColor="text1"/>
              <w:sz w:val="24"/>
              <w:szCs w:val="24"/>
              <w:lang w:val="en-IN"/>
            </w:rPr>
          </w:pPr>
          <w:hyperlink w:anchor="_Toc153956580" w:history="1">
            <w:r w:rsidR="00911674" w:rsidRPr="00911674">
              <w:rPr>
                <w:rStyle w:val="Hyperlink"/>
                <w:rFonts w:ascii="Times New Roman" w:hAnsi="Times New Roman" w:cs="Times New Roman"/>
                <w:noProof/>
                <w:color w:val="000000" w:themeColor="text1"/>
                <w:sz w:val="24"/>
                <w:szCs w:val="24"/>
              </w:rPr>
              <w:t>Question 3</w:t>
            </w:r>
            <w:r w:rsidR="00911674" w:rsidRPr="00911674">
              <w:rPr>
                <w:rFonts w:ascii="Times New Roman" w:hAnsi="Times New Roman" w:cs="Times New Roman"/>
                <w:noProof/>
                <w:webHidden/>
                <w:color w:val="000000" w:themeColor="text1"/>
                <w:sz w:val="24"/>
                <w:szCs w:val="24"/>
              </w:rPr>
              <w:tab/>
            </w:r>
            <w:r w:rsidR="00911674" w:rsidRPr="00911674">
              <w:rPr>
                <w:rFonts w:ascii="Times New Roman" w:hAnsi="Times New Roman" w:cs="Times New Roman"/>
                <w:noProof/>
                <w:webHidden/>
                <w:color w:val="000000" w:themeColor="text1"/>
                <w:sz w:val="24"/>
                <w:szCs w:val="24"/>
              </w:rPr>
              <w:fldChar w:fldCharType="begin"/>
            </w:r>
            <w:r w:rsidR="00911674" w:rsidRPr="00911674">
              <w:rPr>
                <w:rFonts w:ascii="Times New Roman" w:hAnsi="Times New Roman" w:cs="Times New Roman"/>
                <w:noProof/>
                <w:webHidden/>
                <w:color w:val="000000" w:themeColor="text1"/>
                <w:sz w:val="24"/>
                <w:szCs w:val="24"/>
              </w:rPr>
              <w:instrText xml:space="preserve"> PAGEREF _Toc153956580 \h </w:instrText>
            </w:r>
            <w:r w:rsidR="00911674" w:rsidRPr="00911674">
              <w:rPr>
                <w:rFonts w:ascii="Times New Roman" w:hAnsi="Times New Roman" w:cs="Times New Roman"/>
                <w:noProof/>
                <w:webHidden/>
                <w:color w:val="000000" w:themeColor="text1"/>
                <w:sz w:val="24"/>
                <w:szCs w:val="24"/>
              </w:rPr>
            </w:r>
            <w:r w:rsidR="00911674" w:rsidRPr="00911674">
              <w:rPr>
                <w:rFonts w:ascii="Times New Roman" w:hAnsi="Times New Roman" w:cs="Times New Roman"/>
                <w:noProof/>
                <w:webHidden/>
                <w:color w:val="000000" w:themeColor="text1"/>
                <w:sz w:val="24"/>
                <w:szCs w:val="24"/>
              </w:rPr>
              <w:fldChar w:fldCharType="separate"/>
            </w:r>
            <w:r w:rsidR="00073566">
              <w:rPr>
                <w:rFonts w:ascii="Times New Roman" w:hAnsi="Times New Roman" w:cs="Times New Roman"/>
                <w:noProof/>
                <w:webHidden/>
                <w:color w:val="000000" w:themeColor="text1"/>
                <w:sz w:val="24"/>
                <w:szCs w:val="24"/>
              </w:rPr>
              <w:t>8</w:t>
            </w:r>
            <w:r w:rsidR="00911674" w:rsidRPr="00911674">
              <w:rPr>
                <w:rFonts w:ascii="Times New Roman" w:hAnsi="Times New Roman" w:cs="Times New Roman"/>
                <w:noProof/>
                <w:webHidden/>
                <w:color w:val="000000" w:themeColor="text1"/>
                <w:sz w:val="24"/>
                <w:szCs w:val="24"/>
              </w:rPr>
              <w:fldChar w:fldCharType="end"/>
            </w:r>
          </w:hyperlink>
        </w:p>
        <w:p w14:paraId="19327932" w14:textId="1BCC7521" w:rsidR="00911674" w:rsidRPr="00911674" w:rsidRDefault="008730C7">
          <w:pPr>
            <w:pStyle w:val="TOC1"/>
            <w:tabs>
              <w:tab w:val="right" w:leader="dot" w:pos="9019"/>
            </w:tabs>
            <w:rPr>
              <w:rFonts w:ascii="Times New Roman" w:eastAsiaTheme="minorEastAsia" w:hAnsi="Times New Roman" w:cs="Times New Roman"/>
              <w:noProof/>
              <w:color w:val="000000" w:themeColor="text1"/>
              <w:sz w:val="24"/>
              <w:szCs w:val="24"/>
              <w:lang w:val="en-IN"/>
            </w:rPr>
          </w:pPr>
          <w:hyperlink w:anchor="_Toc153956581" w:history="1">
            <w:r w:rsidR="00911674" w:rsidRPr="00911674">
              <w:rPr>
                <w:rStyle w:val="Hyperlink"/>
                <w:rFonts w:ascii="Times New Roman" w:hAnsi="Times New Roman" w:cs="Times New Roman"/>
                <w:noProof/>
                <w:color w:val="000000" w:themeColor="text1"/>
                <w:sz w:val="24"/>
                <w:szCs w:val="24"/>
              </w:rPr>
              <w:t>Conclusion</w:t>
            </w:r>
            <w:r w:rsidR="00911674" w:rsidRPr="00911674">
              <w:rPr>
                <w:rFonts w:ascii="Times New Roman" w:hAnsi="Times New Roman" w:cs="Times New Roman"/>
                <w:noProof/>
                <w:webHidden/>
                <w:color w:val="000000" w:themeColor="text1"/>
                <w:sz w:val="24"/>
                <w:szCs w:val="24"/>
              </w:rPr>
              <w:tab/>
            </w:r>
            <w:r w:rsidR="00911674" w:rsidRPr="00911674">
              <w:rPr>
                <w:rFonts w:ascii="Times New Roman" w:hAnsi="Times New Roman" w:cs="Times New Roman"/>
                <w:noProof/>
                <w:webHidden/>
                <w:color w:val="000000" w:themeColor="text1"/>
                <w:sz w:val="24"/>
                <w:szCs w:val="24"/>
              </w:rPr>
              <w:fldChar w:fldCharType="begin"/>
            </w:r>
            <w:r w:rsidR="00911674" w:rsidRPr="00911674">
              <w:rPr>
                <w:rFonts w:ascii="Times New Roman" w:hAnsi="Times New Roman" w:cs="Times New Roman"/>
                <w:noProof/>
                <w:webHidden/>
                <w:color w:val="000000" w:themeColor="text1"/>
                <w:sz w:val="24"/>
                <w:szCs w:val="24"/>
              </w:rPr>
              <w:instrText xml:space="preserve"> PAGEREF _Toc153956581 \h </w:instrText>
            </w:r>
            <w:r w:rsidR="00911674" w:rsidRPr="00911674">
              <w:rPr>
                <w:rFonts w:ascii="Times New Roman" w:hAnsi="Times New Roman" w:cs="Times New Roman"/>
                <w:noProof/>
                <w:webHidden/>
                <w:color w:val="000000" w:themeColor="text1"/>
                <w:sz w:val="24"/>
                <w:szCs w:val="24"/>
              </w:rPr>
            </w:r>
            <w:r w:rsidR="00911674" w:rsidRPr="00911674">
              <w:rPr>
                <w:rFonts w:ascii="Times New Roman" w:hAnsi="Times New Roman" w:cs="Times New Roman"/>
                <w:noProof/>
                <w:webHidden/>
                <w:color w:val="000000" w:themeColor="text1"/>
                <w:sz w:val="24"/>
                <w:szCs w:val="24"/>
              </w:rPr>
              <w:fldChar w:fldCharType="separate"/>
            </w:r>
            <w:r w:rsidR="00073566">
              <w:rPr>
                <w:rFonts w:ascii="Times New Roman" w:hAnsi="Times New Roman" w:cs="Times New Roman"/>
                <w:noProof/>
                <w:webHidden/>
                <w:color w:val="000000" w:themeColor="text1"/>
                <w:sz w:val="24"/>
                <w:szCs w:val="24"/>
              </w:rPr>
              <w:t>11</w:t>
            </w:r>
            <w:r w:rsidR="00911674" w:rsidRPr="00911674">
              <w:rPr>
                <w:rFonts w:ascii="Times New Roman" w:hAnsi="Times New Roman" w:cs="Times New Roman"/>
                <w:noProof/>
                <w:webHidden/>
                <w:color w:val="000000" w:themeColor="text1"/>
                <w:sz w:val="24"/>
                <w:szCs w:val="24"/>
              </w:rPr>
              <w:fldChar w:fldCharType="end"/>
            </w:r>
          </w:hyperlink>
        </w:p>
        <w:p w14:paraId="4060412A" w14:textId="44A7D524" w:rsidR="00911674" w:rsidRPr="00911674" w:rsidRDefault="008730C7">
          <w:pPr>
            <w:pStyle w:val="TOC1"/>
            <w:tabs>
              <w:tab w:val="right" w:leader="dot" w:pos="9019"/>
            </w:tabs>
            <w:rPr>
              <w:rFonts w:ascii="Times New Roman" w:eastAsiaTheme="minorEastAsia" w:hAnsi="Times New Roman" w:cs="Times New Roman"/>
              <w:noProof/>
              <w:color w:val="000000" w:themeColor="text1"/>
              <w:sz w:val="24"/>
              <w:szCs w:val="24"/>
              <w:lang w:val="en-IN"/>
            </w:rPr>
          </w:pPr>
          <w:hyperlink w:anchor="_Toc153956582" w:history="1">
            <w:r w:rsidR="00911674" w:rsidRPr="00911674">
              <w:rPr>
                <w:rStyle w:val="Hyperlink"/>
                <w:rFonts w:ascii="Times New Roman" w:hAnsi="Times New Roman" w:cs="Times New Roman"/>
                <w:noProof/>
                <w:color w:val="000000" w:themeColor="text1"/>
                <w:sz w:val="24"/>
                <w:szCs w:val="24"/>
              </w:rPr>
              <w:t>References</w:t>
            </w:r>
            <w:r w:rsidR="00911674" w:rsidRPr="00911674">
              <w:rPr>
                <w:rFonts w:ascii="Times New Roman" w:hAnsi="Times New Roman" w:cs="Times New Roman"/>
                <w:noProof/>
                <w:webHidden/>
                <w:color w:val="000000" w:themeColor="text1"/>
                <w:sz w:val="24"/>
                <w:szCs w:val="24"/>
              </w:rPr>
              <w:tab/>
            </w:r>
            <w:r w:rsidR="00911674" w:rsidRPr="00911674">
              <w:rPr>
                <w:rFonts w:ascii="Times New Roman" w:hAnsi="Times New Roman" w:cs="Times New Roman"/>
                <w:noProof/>
                <w:webHidden/>
                <w:color w:val="000000" w:themeColor="text1"/>
                <w:sz w:val="24"/>
                <w:szCs w:val="24"/>
              </w:rPr>
              <w:fldChar w:fldCharType="begin"/>
            </w:r>
            <w:r w:rsidR="00911674" w:rsidRPr="00911674">
              <w:rPr>
                <w:rFonts w:ascii="Times New Roman" w:hAnsi="Times New Roman" w:cs="Times New Roman"/>
                <w:noProof/>
                <w:webHidden/>
                <w:color w:val="000000" w:themeColor="text1"/>
                <w:sz w:val="24"/>
                <w:szCs w:val="24"/>
              </w:rPr>
              <w:instrText xml:space="preserve"> PAGEREF _Toc153956582 \h </w:instrText>
            </w:r>
            <w:r w:rsidR="00911674" w:rsidRPr="00911674">
              <w:rPr>
                <w:rFonts w:ascii="Times New Roman" w:hAnsi="Times New Roman" w:cs="Times New Roman"/>
                <w:noProof/>
                <w:webHidden/>
                <w:color w:val="000000" w:themeColor="text1"/>
                <w:sz w:val="24"/>
                <w:szCs w:val="24"/>
              </w:rPr>
            </w:r>
            <w:r w:rsidR="00911674" w:rsidRPr="00911674">
              <w:rPr>
                <w:rFonts w:ascii="Times New Roman" w:hAnsi="Times New Roman" w:cs="Times New Roman"/>
                <w:noProof/>
                <w:webHidden/>
                <w:color w:val="000000" w:themeColor="text1"/>
                <w:sz w:val="24"/>
                <w:szCs w:val="24"/>
              </w:rPr>
              <w:fldChar w:fldCharType="separate"/>
            </w:r>
            <w:r w:rsidR="00073566">
              <w:rPr>
                <w:rFonts w:ascii="Times New Roman" w:hAnsi="Times New Roman" w:cs="Times New Roman"/>
                <w:noProof/>
                <w:webHidden/>
                <w:color w:val="000000" w:themeColor="text1"/>
                <w:sz w:val="24"/>
                <w:szCs w:val="24"/>
              </w:rPr>
              <w:t>12</w:t>
            </w:r>
            <w:r w:rsidR="00911674" w:rsidRPr="00911674">
              <w:rPr>
                <w:rFonts w:ascii="Times New Roman" w:hAnsi="Times New Roman" w:cs="Times New Roman"/>
                <w:noProof/>
                <w:webHidden/>
                <w:color w:val="000000" w:themeColor="text1"/>
                <w:sz w:val="24"/>
                <w:szCs w:val="24"/>
              </w:rPr>
              <w:fldChar w:fldCharType="end"/>
            </w:r>
          </w:hyperlink>
        </w:p>
        <w:p w14:paraId="23F1C3D9" w14:textId="47B0C578" w:rsidR="00A80E80" w:rsidRPr="00A80E80" w:rsidRDefault="00A80E80" w:rsidP="00A80E80">
          <w:pPr>
            <w:spacing w:before="240" w:after="240" w:line="360" w:lineRule="auto"/>
            <w:jc w:val="both"/>
            <w:rPr>
              <w:rFonts w:ascii="Times New Roman" w:hAnsi="Times New Roman"/>
              <w:color w:val="000000" w:themeColor="text1"/>
              <w:sz w:val="24"/>
            </w:rPr>
          </w:pPr>
          <w:r w:rsidRPr="00911674">
            <w:rPr>
              <w:rFonts w:ascii="Times New Roman" w:hAnsi="Times New Roman" w:cs="Times New Roman"/>
              <w:noProof/>
              <w:color w:val="000000" w:themeColor="text1"/>
              <w:sz w:val="24"/>
              <w:szCs w:val="24"/>
            </w:rPr>
            <w:fldChar w:fldCharType="end"/>
          </w:r>
        </w:p>
      </w:sdtContent>
    </w:sdt>
    <w:p w14:paraId="795F9ACF" w14:textId="77777777" w:rsidR="002F1AF4" w:rsidRPr="00A80E80" w:rsidRDefault="002F1AF4" w:rsidP="00A80E80">
      <w:pPr>
        <w:spacing w:before="240" w:after="240" w:line="360" w:lineRule="auto"/>
        <w:jc w:val="both"/>
        <w:rPr>
          <w:rFonts w:ascii="Times New Roman" w:hAnsi="Times New Roman"/>
          <w:b/>
          <w:color w:val="000000" w:themeColor="text1"/>
          <w:sz w:val="24"/>
          <w:szCs w:val="40"/>
        </w:rPr>
      </w:pPr>
      <w:r w:rsidRPr="00A80E80">
        <w:rPr>
          <w:rFonts w:ascii="Times New Roman" w:hAnsi="Times New Roman"/>
          <w:color w:val="000000" w:themeColor="text1"/>
          <w:sz w:val="24"/>
        </w:rPr>
        <w:br w:type="page"/>
      </w:r>
    </w:p>
    <w:p w14:paraId="51A96953" w14:textId="726A76E1" w:rsidR="00617149" w:rsidRPr="00A80E80" w:rsidRDefault="00B64BB5" w:rsidP="00A80E80">
      <w:pPr>
        <w:pStyle w:val="Heading1"/>
        <w:spacing w:before="240"/>
        <w:rPr>
          <w:b w:val="0"/>
          <w:color w:val="000000" w:themeColor="text1"/>
          <w:sz w:val="24"/>
        </w:rPr>
      </w:pPr>
      <w:bookmarkStart w:id="0" w:name="_Toc153956577"/>
      <w:r w:rsidRPr="00A80E80">
        <w:rPr>
          <w:color w:val="000000" w:themeColor="text1"/>
          <w:sz w:val="24"/>
        </w:rPr>
        <w:lastRenderedPageBreak/>
        <w:t>Introduction</w:t>
      </w:r>
      <w:bookmarkEnd w:id="0"/>
      <w:r w:rsidRPr="00A80E80">
        <w:rPr>
          <w:color w:val="000000" w:themeColor="text1"/>
          <w:sz w:val="24"/>
        </w:rPr>
        <w:t xml:space="preserve"> </w:t>
      </w:r>
    </w:p>
    <w:p w14:paraId="6B3A688C" w14:textId="4B53C0E3"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Accounting involves maintaining financial transactions that businesses intend to implement for recording, summarising, analysing, reporting and making decisions. Accounting is the process of reflecting the economic performance of a business within a particular period by analysing and evaluating different statements to identify suitability to meet organisational goals. It is performed by the financial teams who are responsible for maintaining records of the monetary transactions and reporting to the management team to make decisions for improving the current strategy. Accounting relates to the financial statement made by interpreting the transactions within a certain period to determine future changes or rectification of the strategies for getting improved results. Similarly, a company provides their detailed financial statements to the public to show its position in the market and attract potential shareholders. Accounting fundamentals are based on taking insights into operational growth, strength to generate revenue or encountering loss and key drivers impacting them within a business environment (</w:t>
      </w:r>
      <w:r w:rsidRPr="00A80E80">
        <w:rPr>
          <w:rFonts w:ascii="Times New Roman" w:eastAsia="Times New Roman" w:hAnsi="Times New Roman" w:cs="Times New Roman"/>
          <w:color w:val="000000" w:themeColor="text1"/>
          <w:sz w:val="24"/>
          <w:szCs w:val="24"/>
          <w:highlight w:val="white"/>
        </w:rPr>
        <w:t>Cai, 2021)</w:t>
      </w:r>
      <w:r w:rsidRPr="00A80E80">
        <w:rPr>
          <w:rFonts w:ascii="Times New Roman" w:eastAsia="Times New Roman" w:hAnsi="Times New Roman" w:cs="Times New Roman"/>
          <w:color w:val="000000" w:themeColor="text1"/>
          <w:sz w:val="24"/>
          <w:szCs w:val="24"/>
        </w:rPr>
        <w:t>. Computation of cash flow statements, balance sheets, income statements and ratio analysis can assist a company in gathering knowledge about its performance in the competitive market to collect revenue and adaptive changes needed to mitigate upcoming threats</w:t>
      </w:r>
      <w:r w:rsidR="00A80E80">
        <w:rPr>
          <w:rFonts w:ascii="Times New Roman" w:eastAsia="Times New Roman" w:hAnsi="Times New Roman" w:cs="Times New Roman"/>
          <w:color w:val="000000" w:themeColor="text1"/>
          <w:sz w:val="24"/>
          <w:szCs w:val="24"/>
        </w:rPr>
        <w:t xml:space="preserve"> </w:t>
      </w:r>
      <w:r w:rsidR="00A80E80">
        <w:rPr>
          <w:rFonts w:ascii="Times New Roman" w:eastAsia="Times New Roman" w:hAnsi="Times New Roman" w:cs="Times New Roman"/>
          <w:sz w:val="24"/>
          <w:szCs w:val="24"/>
        </w:rPr>
        <w:t>(</w:t>
      </w:r>
      <w:r w:rsidR="00A80E80">
        <w:rPr>
          <w:rFonts w:ascii="Times New Roman" w:eastAsia="Times New Roman" w:hAnsi="Times New Roman" w:cs="Times New Roman"/>
          <w:color w:val="222222"/>
          <w:sz w:val="24"/>
          <w:szCs w:val="24"/>
          <w:highlight w:val="white"/>
        </w:rPr>
        <w:t xml:space="preserve">Warren, </w:t>
      </w:r>
      <w:r w:rsidR="00A80E80">
        <w:rPr>
          <w:rFonts w:ascii="Times New Roman" w:eastAsia="Times New Roman" w:hAnsi="Times New Roman" w:cs="Times New Roman"/>
          <w:i/>
          <w:color w:val="222222"/>
          <w:sz w:val="24"/>
          <w:szCs w:val="24"/>
          <w:highlight w:val="white"/>
        </w:rPr>
        <w:t>et al.,</w:t>
      </w:r>
      <w:r w:rsidR="00A80E80">
        <w:rPr>
          <w:rFonts w:ascii="Times New Roman" w:eastAsia="Times New Roman" w:hAnsi="Times New Roman" w:cs="Times New Roman"/>
          <w:color w:val="222222"/>
          <w:sz w:val="24"/>
          <w:szCs w:val="24"/>
          <w:highlight w:val="white"/>
        </w:rPr>
        <w:t xml:space="preserve"> 2020</w:t>
      </w:r>
      <w:r w:rsidR="00A80E80">
        <w:rPr>
          <w:rFonts w:ascii="Times New Roman" w:eastAsia="Times New Roman" w:hAnsi="Times New Roman" w:cs="Times New Roman"/>
          <w:color w:val="222222"/>
          <w:sz w:val="24"/>
          <w:szCs w:val="24"/>
        </w:rPr>
        <w:t>)</w:t>
      </w:r>
      <w:r w:rsidRPr="00A80E80">
        <w:rPr>
          <w:rFonts w:ascii="Times New Roman" w:eastAsia="Times New Roman" w:hAnsi="Times New Roman" w:cs="Times New Roman"/>
          <w:color w:val="000000" w:themeColor="text1"/>
          <w:sz w:val="24"/>
          <w:szCs w:val="24"/>
        </w:rPr>
        <w:t xml:space="preserve">. </w:t>
      </w:r>
    </w:p>
    <w:p w14:paraId="59C1947D" w14:textId="43115C8A" w:rsidR="002F1AF4"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 xml:space="preserve">In this essay, different accounting concepts and standards will be described briefly to gather perceptions of the accounting rules and statements. An income statement will be prepared for Wales Plc. for the financial year 2022 along with reflecting their economic performance. Also, several financial ratios will be calculated for Sweet Plc. to compare their monetary achievements and drawbacks between 2021 and 2022. </w:t>
      </w:r>
    </w:p>
    <w:p w14:paraId="5CBEE51F" w14:textId="1C7F4688" w:rsidR="00617149" w:rsidRPr="00A80E80" w:rsidRDefault="00B64BB5" w:rsidP="00A80E80">
      <w:pPr>
        <w:pStyle w:val="Heading1"/>
        <w:spacing w:before="240"/>
        <w:rPr>
          <w:rFonts w:eastAsia="Times New Roman" w:cs="Times New Roman"/>
          <w:color w:val="000000" w:themeColor="text1"/>
          <w:sz w:val="24"/>
          <w:szCs w:val="24"/>
        </w:rPr>
      </w:pPr>
      <w:bookmarkStart w:id="1" w:name="_Toc153956578"/>
      <w:r w:rsidRPr="00A80E80">
        <w:rPr>
          <w:color w:val="000000" w:themeColor="text1"/>
          <w:sz w:val="24"/>
        </w:rPr>
        <w:t>Question 1</w:t>
      </w:r>
      <w:bookmarkEnd w:id="1"/>
      <w:r w:rsidRPr="00A80E80">
        <w:rPr>
          <w:color w:val="000000" w:themeColor="text1"/>
          <w:sz w:val="24"/>
        </w:rPr>
        <w:t xml:space="preserve"> </w:t>
      </w:r>
    </w:p>
    <w:p w14:paraId="2268C455" w14:textId="77777777"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The statement of financial position indicates the balance sheet of a company calculated for a particular fiscal year that indicates a detailed overview of assets, liabilities, income and expenses. It consists of both cash and non-cash transactions made by a business by which an individual can understand the execution of financial aspects (</w:t>
      </w:r>
      <w:r w:rsidRPr="00A80E80">
        <w:rPr>
          <w:rFonts w:ascii="Times New Roman" w:eastAsia="Times New Roman" w:hAnsi="Times New Roman" w:cs="Times New Roman"/>
          <w:color w:val="000000" w:themeColor="text1"/>
          <w:sz w:val="24"/>
          <w:szCs w:val="24"/>
          <w:highlight w:val="white"/>
        </w:rPr>
        <w:t>Debelle, 2020)</w:t>
      </w:r>
      <w:r w:rsidRPr="00A80E80">
        <w:rPr>
          <w:rFonts w:ascii="Times New Roman" w:eastAsia="Times New Roman" w:hAnsi="Times New Roman" w:cs="Times New Roman"/>
          <w:color w:val="000000" w:themeColor="text1"/>
          <w:sz w:val="24"/>
          <w:szCs w:val="24"/>
        </w:rPr>
        <w:t xml:space="preserve">. A balance sheet focuses on calculating total assets and total liabilities that enable the balance between them by managing firms’ operational activities. According to the accounting standards, by conducting the balance sheet a financial analyst can identify any falsification of the figures and missing transactions. Simultaneously, a detailed balance sheet provides information regarding share </w:t>
      </w:r>
      <w:r w:rsidRPr="00A80E80">
        <w:rPr>
          <w:rFonts w:ascii="Times New Roman" w:eastAsia="Times New Roman" w:hAnsi="Times New Roman" w:cs="Times New Roman"/>
          <w:color w:val="000000" w:themeColor="text1"/>
          <w:sz w:val="24"/>
          <w:szCs w:val="24"/>
        </w:rPr>
        <w:lastRenderedPageBreak/>
        <w:t xml:space="preserve">market activities and gains of a company that attracts future shareholders by identifying possibilities to get expected return on investment. It can be stated that a balance sheet does not only reflect cash-related transactions as it also represents the overall business production performance within a financial year. </w:t>
      </w:r>
    </w:p>
    <w:p w14:paraId="2840C433" w14:textId="63C2E7D1"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Non-current assets contain a large amount of investment done by a company for the long term that does have monetary value that cannot be converted into liquid cash within a short period of time. Some examples of non-current assets are Investments, Plants and Machinery, Real estate, Land and others (</w:t>
      </w:r>
      <w:r w:rsidRPr="00A80E80">
        <w:rPr>
          <w:rFonts w:ascii="Times New Roman" w:eastAsia="Times New Roman" w:hAnsi="Times New Roman" w:cs="Times New Roman"/>
          <w:color w:val="000000" w:themeColor="text1"/>
          <w:sz w:val="24"/>
          <w:szCs w:val="24"/>
          <w:highlight w:val="white"/>
        </w:rPr>
        <w:t>Nabella</w:t>
      </w:r>
      <w:r w:rsidR="002F1AF4" w:rsidRPr="00A80E80">
        <w:rPr>
          <w:rFonts w:ascii="Times New Roman" w:eastAsia="Times New Roman" w:hAnsi="Times New Roman" w:cs="Times New Roman"/>
          <w:color w:val="000000" w:themeColor="text1"/>
          <w:sz w:val="24"/>
          <w:szCs w:val="24"/>
          <w:highlight w:val="white"/>
        </w:rPr>
        <w:t>,</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 xml:space="preserve">et al., </w:t>
      </w:r>
      <w:r w:rsidRPr="00A80E80">
        <w:rPr>
          <w:rFonts w:ascii="Times New Roman" w:eastAsia="Times New Roman" w:hAnsi="Times New Roman" w:cs="Times New Roman"/>
          <w:color w:val="000000" w:themeColor="text1"/>
          <w:sz w:val="24"/>
          <w:szCs w:val="24"/>
          <w:highlight w:val="white"/>
        </w:rPr>
        <w:t>2023)</w:t>
      </w:r>
      <w:r w:rsidRPr="00A80E80">
        <w:rPr>
          <w:rFonts w:ascii="Times New Roman" w:eastAsia="Times New Roman" w:hAnsi="Times New Roman" w:cs="Times New Roman"/>
          <w:color w:val="000000" w:themeColor="text1"/>
          <w:sz w:val="24"/>
          <w:szCs w:val="24"/>
        </w:rPr>
        <w:t xml:space="preserve">. Non-current assets are involved with a long-term production process of the company that indirectly contributes to generating revenue. It can be segregated into three kinds such as Tangible, Non-tangible and Natural resource assets. Non-tangible assets which are Goodwill, Patent and Trademark cannot be moved as they have monetary value without a physical presence. They are gathered by a business through its performance and loyalty in the market that has benefits to collect profit for the firms for a long time. On the other hand, tangible assets such as Machinery and Equipment and natural resources like fossil and fuels have physical existence that can be moved by the company as per their requirement. </w:t>
      </w:r>
    </w:p>
    <w:p w14:paraId="57B3B1C4" w14:textId="26D3B890"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Managers are one of the key individuals in a company who are responsible for managing duties and tasks given to the employees and assisting the company in achieving business goals. They are the linkers between the higher executives and employees who direct them with their skills and expertise to help the higher personnel in creating a suitable working environment (</w:t>
      </w:r>
      <w:r w:rsidRPr="00A80E80">
        <w:rPr>
          <w:rFonts w:ascii="Times New Roman" w:eastAsia="Times New Roman" w:hAnsi="Times New Roman" w:cs="Times New Roman"/>
          <w:color w:val="000000" w:themeColor="text1"/>
          <w:sz w:val="24"/>
          <w:szCs w:val="24"/>
          <w:highlight w:val="white"/>
        </w:rPr>
        <w:t>Hales, 2019)</w:t>
      </w:r>
      <w:r w:rsidRPr="00A80E80">
        <w:rPr>
          <w:rFonts w:ascii="Times New Roman" w:eastAsia="Times New Roman" w:hAnsi="Times New Roman" w:cs="Times New Roman"/>
          <w:color w:val="000000" w:themeColor="text1"/>
          <w:sz w:val="24"/>
          <w:szCs w:val="24"/>
        </w:rPr>
        <w:t xml:space="preserve">. Managers also help shareholders to get involved with the firm and maintain communication with them constantly for a long time. They are also responsible for managing the cost of production and identifying available opportunities to decrease it and gather more profit. Being the communication bridge among different business entities, managers supply financial information to the current and future shareholders and know their intentions towards the firm. After </w:t>
      </w:r>
      <w:r w:rsidR="006377C0" w:rsidRPr="00A80E80">
        <w:rPr>
          <w:rFonts w:ascii="Times New Roman" w:eastAsia="Times New Roman" w:hAnsi="Times New Roman" w:cs="Times New Roman"/>
          <w:color w:val="000000" w:themeColor="text1"/>
          <w:sz w:val="24"/>
          <w:szCs w:val="24"/>
        </w:rPr>
        <w:t>that manager</w:t>
      </w:r>
      <w:r w:rsidRPr="00A80E80">
        <w:rPr>
          <w:rFonts w:ascii="Times New Roman" w:eastAsia="Times New Roman" w:hAnsi="Times New Roman" w:cs="Times New Roman"/>
          <w:color w:val="000000" w:themeColor="text1"/>
          <w:sz w:val="24"/>
          <w:szCs w:val="24"/>
        </w:rPr>
        <w:t xml:space="preserve"> direct the employees according to their skills and knowledge for enhancing the strategy which will be beneficial for meeting the expected requirements of the shareholders. They also make assumptions about the possible outcomes as per the suggested strategy to rectify the shareholders with the threats and help to mitigate them. Therefore, it can be comprehended that managers should supply financial information to the current shareholders to manage their long-term involvement and attract future shareholders to gain more investment. </w:t>
      </w:r>
    </w:p>
    <w:p w14:paraId="23B792DB" w14:textId="77777777"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lastRenderedPageBreak/>
        <w:t>The statement of financial position known as the Balance Sheet should include both accruals and prepayments to understand the actual economic position of a company. The balance sheet contains actual figures of assets, liabilities, income and expenses for a particular period which helps to identify the usage of assets and incomes to cover liabilities and expenses. Prepayment expenses come under current assets for a company indicating the utilisation of funds or income to decrease the payable amount. On the other hand, accrued expenses are current liabilities implying poor utilisation of funds or inefficient amounts of asset to cover the due expenses (</w:t>
      </w:r>
      <w:proofErr w:type="spellStart"/>
      <w:r w:rsidRPr="00A80E80">
        <w:rPr>
          <w:rFonts w:ascii="Times New Roman" w:eastAsia="Times New Roman" w:hAnsi="Times New Roman" w:cs="Times New Roman"/>
          <w:color w:val="000000" w:themeColor="text1"/>
          <w:sz w:val="24"/>
          <w:szCs w:val="24"/>
          <w:highlight w:val="white"/>
        </w:rPr>
        <w:t>Lessambo</w:t>
      </w:r>
      <w:proofErr w:type="spellEnd"/>
      <w:r w:rsidRPr="00A80E80">
        <w:rPr>
          <w:rFonts w:ascii="Times New Roman" w:eastAsia="Times New Roman" w:hAnsi="Times New Roman" w:cs="Times New Roman"/>
          <w:color w:val="000000" w:themeColor="text1"/>
          <w:sz w:val="24"/>
          <w:szCs w:val="24"/>
          <w:highlight w:val="white"/>
        </w:rPr>
        <w:t>, 2022)</w:t>
      </w:r>
      <w:r w:rsidRPr="00A80E80">
        <w:rPr>
          <w:rFonts w:ascii="Times New Roman" w:eastAsia="Times New Roman" w:hAnsi="Times New Roman" w:cs="Times New Roman"/>
          <w:color w:val="000000" w:themeColor="text1"/>
          <w:sz w:val="24"/>
          <w:szCs w:val="24"/>
        </w:rPr>
        <w:t xml:space="preserve">. An effective and relevant statement of financial position has to be recorded with prepayment expenses to show the economic strength of the company to use funds for maintaining business operations. Similarly, accrued expenses need to be recorded to assist the firm to know the payable amounts are in due and have to be cleared. </w:t>
      </w:r>
    </w:p>
    <w:p w14:paraId="5489AF8D" w14:textId="77777777"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Accounting is a systematic and logical procedure of recording monetary transactions that follows accounting financial regulations known as accounting standards. Accounting standards provide logical explanations to the companies on how they can maintain financial, records and identify the profit after the financial year (</w:t>
      </w:r>
      <w:proofErr w:type="spellStart"/>
      <w:r w:rsidRPr="00A80E80">
        <w:rPr>
          <w:rFonts w:ascii="Times New Roman" w:eastAsia="Times New Roman" w:hAnsi="Times New Roman" w:cs="Times New Roman"/>
          <w:color w:val="000000" w:themeColor="text1"/>
          <w:sz w:val="24"/>
          <w:szCs w:val="24"/>
          <w:highlight w:val="white"/>
        </w:rPr>
        <w:t>Imhanzenobe</w:t>
      </w:r>
      <w:proofErr w:type="spellEnd"/>
      <w:r w:rsidRPr="00A80E80">
        <w:rPr>
          <w:rFonts w:ascii="Times New Roman" w:eastAsia="Times New Roman" w:hAnsi="Times New Roman" w:cs="Times New Roman"/>
          <w:color w:val="000000" w:themeColor="text1"/>
          <w:sz w:val="24"/>
          <w:szCs w:val="24"/>
          <w:highlight w:val="white"/>
        </w:rPr>
        <w:t>, 2022)</w:t>
      </w:r>
      <w:r w:rsidRPr="00A80E80">
        <w:rPr>
          <w:rFonts w:ascii="Times New Roman" w:eastAsia="Times New Roman" w:hAnsi="Times New Roman" w:cs="Times New Roman"/>
          <w:color w:val="000000" w:themeColor="text1"/>
          <w:sz w:val="24"/>
          <w:szCs w:val="24"/>
        </w:rPr>
        <w:t xml:space="preserve">. It also aims to implement transparency and clarity in the records by avoiding misinterpretation and suspicious spending. According to the accounting standards, transactions have to be maintained by following basic bookkeeping and through ledgers which will direct reporting fund inflow and outflow as asset and revenue or liabilities and expenses. Financial regulations proposed by International Financial Reporting Standards guide companies to follow 17 regulations that cover financial recording, inventory management, debtors-creditors settlements and share market performance. A company that does not maintain accounting standards or regulations face issues such as misrepresentation and misconduct of the monetary records. Along with that, financial loss can also occur by not following traditional and modern accounting rules to record financial statements. </w:t>
      </w:r>
    </w:p>
    <w:p w14:paraId="4120A5D0" w14:textId="47441710"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Ledger accounts are used as the basic bookkeeping method of companies where transactions are recorded as simple debits and credits (</w:t>
      </w:r>
      <w:r w:rsidRPr="00A80E80">
        <w:rPr>
          <w:rFonts w:ascii="Times New Roman" w:eastAsia="Times New Roman" w:hAnsi="Times New Roman" w:cs="Times New Roman"/>
          <w:color w:val="000000" w:themeColor="text1"/>
          <w:sz w:val="24"/>
          <w:szCs w:val="24"/>
          <w:highlight w:val="white"/>
        </w:rPr>
        <w:t>Zhang</w:t>
      </w:r>
      <w:r w:rsidR="002F1AF4" w:rsidRPr="00A80E80">
        <w:rPr>
          <w:rFonts w:ascii="Times New Roman" w:eastAsia="Times New Roman" w:hAnsi="Times New Roman" w:cs="Times New Roman"/>
          <w:color w:val="000000" w:themeColor="text1"/>
          <w:sz w:val="24"/>
          <w:szCs w:val="24"/>
          <w:highlight w:val="white"/>
        </w:rPr>
        <w:t>,</w:t>
      </w:r>
      <w:r w:rsidRPr="00A80E80">
        <w:rPr>
          <w:rFonts w:ascii="Times New Roman" w:eastAsia="Times New Roman" w:hAnsi="Times New Roman" w:cs="Times New Roman"/>
          <w:color w:val="000000" w:themeColor="text1"/>
          <w:sz w:val="24"/>
          <w:szCs w:val="24"/>
          <w:highlight w:val="white"/>
        </w:rPr>
        <w:t xml:space="preserve"> et al., 2021)</w:t>
      </w:r>
      <w:r w:rsidRPr="00A80E80">
        <w:rPr>
          <w:rFonts w:ascii="Times New Roman" w:eastAsia="Times New Roman" w:hAnsi="Times New Roman" w:cs="Times New Roman"/>
          <w:color w:val="000000" w:themeColor="text1"/>
          <w:sz w:val="24"/>
          <w:szCs w:val="24"/>
        </w:rPr>
        <w:t xml:space="preserve">. It follows the traditional accounting rules which are </w:t>
      </w:r>
    </w:p>
    <w:p w14:paraId="1C86047E" w14:textId="77777777" w:rsidR="00617149" w:rsidRPr="006377C0" w:rsidRDefault="00B64BB5" w:rsidP="006377C0">
      <w:pPr>
        <w:pStyle w:val="ListParagraph"/>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6377C0">
        <w:rPr>
          <w:rFonts w:ascii="Times New Roman" w:eastAsia="Times New Roman" w:hAnsi="Times New Roman" w:cs="Times New Roman"/>
          <w:color w:val="000000" w:themeColor="text1"/>
          <w:sz w:val="24"/>
          <w:szCs w:val="24"/>
        </w:rPr>
        <w:t xml:space="preserve">Debit the receiver and Credit the giver for Personal Account </w:t>
      </w:r>
    </w:p>
    <w:p w14:paraId="5C6706C6" w14:textId="77777777" w:rsidR="00617149" w:rsidRPr="006377C0" w:rsidRDefault="00B64BB5" w:rsidP="006377C0">
      <w:pPr>
        <w:pStyle w:val="ListParagraph"/>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6377C0">
        <w:rPr>
          <w:rFonts w:ascii="Times New Roman" w:eastAsia="Times New Roman" w:hAnsi="Times New Roman" w:cs="Times New Roman"/>
          <w:color w:val="000000" w:themeColor="text1"/>
          <w:sz w:val="24"/>
          <w:szCs w:val="24"/>
        </w:rPr>
        <w:t xml:space="preserve">Debit that comes in and Credit that goes out for Real Account </w:t>
      </w:r>
    </w:p>
    <w:p w14:paraId="777BD230" w14:textId="77777777" w:rsidR="00617149" w:rsidRPr="006377C0" w:rsidRDefault="00B64BB5" w:rsidP="006377C0">
      <w:pPr>
        <w:pStyle w:val="ListParagraph"/>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6377C0">
        <w:rPr>
          <w:rFonts w:ascii="Times New Roman" w:eastAsia="Times New Roman" w:hAnsi="Times New Roman" w:cs="Times New Roman"/>
          <w:color w:val="000000" w:themeColor="text1"/>
          <w:sz w:val="24"/>
          <w:szCs w:val="24"/>
        </w:rPr>
        <w:t xml:space="preserve">All expenses or losses will Debit and all gains or losses will Credit. </w:t>
      </w:r>
    </w:p>
    <w:p w14:paraId="643B69BB" w14:textId="77777777"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lastRenderedPageBreak/>
        <w:t xml:space="preserve">A Ledger account maintains the identification of the transaction that enables profit or loss after a particular period and will be equal in the double-entry system. It also helps companies to measure the usage of funds at the end of the day and the amount payable in the following period. Business entities maintain ledger accounts to ensure the stability of the financial performance and to structure the Balance Sheet. Simultaneously, the trial balance has to be performed to recheck the accuracy and relevance of the transactions recorded in the ledger accounts. The trial balance contains two different sides showing debit and credit where all necessary records have to be present. Generally, an effective trial balance is balanced from both sides having the same amount of debit and credit amount indicating proper establishment of the double-entry system. It can be stated that both ledger and trial balance are necessary for the companies to follow for making a transparent accounting procedure. </w:t>
      </w:r>
    </w:p>
    <w:p w14:paraId="694B5403" w14:textId="77777777" w:rsidR="006377C0" w:rsidRDefault="006377C0">
      <w:pPr>
        <w:rPr>
          <w:rFonts w:ascii="Times New Roman" w:hAnsi="Times New Roman"/>
          <w:b/>
          <w:color w:val="000000" w:themeColor="text1"/>
          <w:sz w:val="24"/>
          <w:szCs w:val="40"/>
        </w:rPr>
      </w:pPr>
      <w:r>
        <w:rPr>
          <w:color w:val="000000" w:themeColor="text1"/>
          <w:sz w:val="24"/>
        </w:rPr>
        <w:br w:type="page"/>
      </w:r>
    </w:p>
    <w:p w14:paraId="56541328" w14:textId="1CCC6BAC" w:rsidR="00617149" w:rsidRPr="00A80E80" w:rsidRDefault="00B64BB5" w:rsidP="00A80E80">
      <w:pPr>
        <w:pStyle w:val="Heading1"/>
        <w:spacing w:before="240"/>
        <w:rPr>
          <w:color w:val="000000" w:themeColor="text1"/>
          <w:sz w:val="24"/>
        </w:rPr>
      </w:pPr>
      <w:bookmarkStart w:id="2" w:name="_Toc153956579"/>
      <w:r w:rsidRPr="00A80E80">
        <w:rPr>
          <w:color w:val="000000" w:themeColor="text1"/>
          <w:sz w:val="24"/>
        </w:rPr>
        <w:lastRenderedPageBreak/>
        <w:t>Question 2</w:t>
      </w:r>
      <w:bookmarkEnd w:id="2"/>
      <w:r w:rsidRPr="00A80E80">
        <w:rPr>
          <w:color w:val="000000" w:themeColor="text1"/>
          <w:sz w:val="24"/>
        </w:rPr>
        <w:t xml:space="preserve"> </w:t>
      </w:r>
    </w:p>
    <w:p w14:paraId="726FD8C5" w14:textId="77777777" w:rsidR="00617149" w:rsidRPr="00A80E80" w:rsidRDefault="00B64BB5" w:rsidP="00A80E80">
      <w:pPr>
        <w:spacing w:before="240" w:after="240" w:line="360" w:lineRule="auto"/>
        <w:jc w:val="both"/>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color w:val="000000" w:themeColor="text1"/>
          <w:sz w:val="24"/>
          <w:szCs w:val="24"/>
        </w:rPr>
        <w:t>An income statement contains the transactions related to financial expenses and gains that occurred within a certain period by a business entity (</w:t>
      </w:r>
      <w:proofErr w:type="spellStart"/>
      <w:r w:rsidRPr="00A80E80">
        <w:rPr>
          <w:rFonts w:ascii="Times New Roman" w:eastAsia="Times New Roman" w:hAnsi="Times New Roman" w:cs="Times New Roman"/>
          <w:color w:val="000000" w:themeColor="text1"/>
          <w:sz w:val="24"/>
          <w:szCs w:val="24"/>
          <w:highlight w:val="white"/>
        </w:rPr>
        <w:t>Atukalp</w:t>
      </w:r>
      <w:proofErr w:type="spellEnd"/>
      <w:r w:rsidRPr="00A80E80">
        <w:rPr>
          <w:rFonts w:ascii="Times New Roman" w:eastAsia="Times New Roman" w:hAnsi="Times New Roman" w:cs="Times New Roman"/>
          <w:color w:val="000000" w:themeColor="text1"/>
          <w:sz w:val="24"/>
          <w:szCs w:val="24"/>
          <w:highlight w:val="white"/>
        </w:rPr>
        <w:t>, 2023)</w:t>
      </w:r>
      <w:r w:rsidRPr="00A80E80">
        <w:rPr>
          <w:rFonts w:ascii="Times New Roman" w:eastAsia="Times New Roman" w:hAnsi="Times New Roman" w:cs="Times New Roman"/>
          <w:color w:val="000000" w:themeColor="text1"/>
          <w:sz w:val="24"/>
          <w:szCs w:val="24"/>
        </w:rPr>
        <w:t xml:space="preserve">. It also reflects the amount of profit or loss generated by the company by utilising the incomes or gains to meet the expenditures. In this section, a detailed income statement has been shown for Wales Plc. from which it can be found that the firm has gained £145850 as profit after the financial year ended in December 2022. </w:t>
      </w:r>
    </w:p>
    <w:p w14:paraId="47DBE558" w14:textId="77777777" w:rsidR="00617149" w:rsidRPr="00A80E80" w:rsidRDefault="00B64BB5" w:rsidP="00A80E80">
      <w:pPr>
        <w:spacing w:before="240" w:after="240" w:line="360" w:lineRule="auto"/>
        <w:jc w:val="both"/>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b/>
          <w:noProof/>
          <w:color w:val="000000" w:themeColor="text1"/>
          <w:sz w:val="24"/>
          <w:szCs w:val="24"/>
        </w:rPr>
        <w:drawing>
          <wp:inline distT="114300" distB="114300" distL="114300" distR="114300" wp14:anchorId="6C6A9DEB" wp14:editId="51392406">
            <wp:extent cx="3105150" cy="45815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105150" cy="4581525"/>
                    </a:xfrm>
                    <a:prstGeom prst="rect">
                      <a:avLst/>
                    </a:prstGeom>
                    <a:ln/>
                  </pic:spPr>
                </pic:pic>
              </a:graphicData>
            </a:graphic>
          </wp:inline>
        </w:drawing>
      </w:r>
    </w:p>
    <w:p w14:paraId="59FA2A79" w14:textId="09E2EF94" w:rsidR="00617149" w:rsidRPr="00A80E80" w:rsidRDefault="00B64BB5" w:rsidP="006377C0">
      <w:pPr>
        <w:spacing w:before="240" w:after="240" w:line="360" w:lineRule="auto"/>
        <w:jc w:val="center"/>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b/>
          <w:color w:val="000000" w:themeColor="text1"/>
          <w:sz w:val="24"/>
          <w:szCs w:val="24"/>
        </w:rPr>
        <w:t>Figure 1: Calculation for Income Statement for the year ended 31st December 2022 for Wales Plc.</w:t>
      </w:r>
    </w:p>
    <w:p w14:paraId="6D3C4510" w14:textId="620DB73D" w:rsidR="00617149" w:rsidRPr="00A80E80" w:rsidRDefault="00B64BB5" w:rsidP="006377C0">
      <w:pPr>
        <w:spacing w:before="240" w:after="240" w:line="360" w:lineRule="auto"/>
        <w:jc w:val="center"/>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(Source: Excel)</w:t>
      </w:r>
    </w:p>
    <w:p w14:paraId="3C32603D" w14:textId="77777777"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 xml:space="preserve">From the above calculation, it can be confirmed that the company has gained a positive amount of profit at the end of the financial year which is £145850. It affirms the economic strength of </w:t>
      </w:r>
      <w:r w:rsidRPr="00A80E80">
        <w:rPr>
          <w:rFonts w:ascii="Times New Roman" w:eastAsia="Times New Roman" w:hAnsi="Times New Roman" w:cs="Times New Roman"/>
          <w:color w:val="000000" w:themeColor="text1"/>
          <w:sz w:val="24"/>
          <w:szCs w:val="24"/>
        </w:rPr>
        <w:lastRenderedPageBreak/>
        <w:t xml:space="preserve">the company in managing profit gained excluding the cost of sales and utilising the fund in meeting the operational expenses. </w:t>
      </w:r>
    </w:p>
    <w:p w14:paraId="73A2CD83" w14:textId="77777777" w:rsidR="00617149" w:rsidRPr="00A80E80" w:rsidRDefault="00B64BB5" w:rsidP="00A80E80">
      <w:pPr>
        <w:pStyle w:val="Heading1"/>
        <w:spacing w:before="240"/>
        <w:rPr>
          <w:color w:val="000000" w:themeColor="text1"/>
          <w:sz w:val="24"/>
        </w:rPr>
      </w:pPr>
      <w:bookmarkStart w:id="3" w:name="_Toc153956580"/>
      <w:r w:rsidRPr="00A80E80">
        <w:rPr>
          <w:color w:val="000000" w:themeColor="text1"/>
          <w:sz w:val="24"/>
        </w:rPr>
        <w:t>Question 3</w:t>
      </w:r>
      <w:bookmarkEnd w:id="3"/>
      <w:r w:rsidRPr="00A80E80">
        <w:rPr>
          <w:color w:val="000000" w:themeColor="text1"/>
          <w:sz w:val="24"/>
        </w:rPr>
        <w:t xml:space="preserve"> </w:t>
      </w:r>
    </w:p>
    <w:p w14:paraId="47B31420" w14:textId="77777777" w:rsidR="00617149" w:rsidRPr="00A80E80" w:rsidRDefault="00B64BB5" w:rsidP="00A80E80">
      <w:pPr>
        <w:spacing w:before="240" w:after="240" w:line="360" w:lineRule="auto"/>
        <w:jc w:val="both"/>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b/>
          <w:color w:val="000000" w:themeColor="text1"/>
          <w:sz w:val="24"/>
          <w:szCs w:val="24"/>
        </w:rPr>
        <w:t xml:space="preserve">a) </w:t>
      </w:r>
      <w:r w:rsidRPr="00A80E80">
        <w:rPr>
          <w:rFonts w:ascii="Times New Roman" w:eastAsia="Times New Roman" w:hAnsi="Times New Roman" w:cs="Times New Roman"/>
          <w:color w:val="000000" w:themeColor="text1"/>
          <w:sz w:val="24"/>
          <w:szCs w:val="24"/>
        </w:rPr>
        <w:t>Ratio analysis holds a greater insight into the internal and external operational performance of the companies that target to overview the suitability in gaining profit (</w:t>
      </w:r>
      <w:r w:rsidRPr="00A80E80">
        <w:rPr>
          <w:rFonts w:ascii="Times New Roman" w:eastAsia="Times New Roman" w:hAnsi="Times New Roman" w:cs="Times New Roman"/>
          <w:color w:val="000000" w:themeColor="text1"/>
          <w:sz w:val="24"/>
          <w:szCs w:val="24"/>
          <w:highlight w:val="white"/>
        </w:rPr>
        <w:t>Lacombe and Bazinet, 2021)</w:t>
      </w:r>
      <w:r w:rsidRPr="00A80E80">
        <w:rPr>
          <w:rFonts w:ascii="Times New Roman" w:eastAsia="Times New Roman" w:hAnsi="Times New Roman" w:cs="Times New Roman"/>
          <w:color w:val="000000" w:themeColor="text1"/>
          <w:sz w:val="24"/>
          <w:szCs w:val="24"/>
        </w:rPr>
        <w:t xml:space="preserve">. In this section, ten different aspects of ratio analysis have been computed showing the comparison of the internal performance of Sweet Plc in the financial year 2022 with 2021. </w:t>
      </w:r>
    </w:p>
    <w:p w14:paraId="3C17DB14" w14:textId="77777777" w:rsidR="00617149" w:rsidRPr="00A80E80" w:rsidRDefault="00B64BB5" w:rsidP="00A80E80">
      <w:pPr>
        <w:spacing w:before="240" w:after="240" w:line="360" w:lineRule="auto"/>
        <w:jc w:val="both"/>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b/>
          <w:noProof/>
          <w:color w:val="000000" w:themeColor="text1"/>
          <w:sz w:val="24"/>
          <w:szCs w:val="24"/>
        </w:rPr>
        <w:drawing>
          <wp:inline distT="114300" distB="114300" distL="114300" distR="114300" wp14:anchorId="1827EA80" wp14:editId="4E5BEEB1">
            <wp:extent cx="3733800" cy="47434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733800" cy="4743450"/>
                    </a:xfrm>
                    <a:prstGeom prst="rect">
                      <a:avLst/>
                    </a:prstGeom>
                    <a:ln/>
                  </pic:spPr>
                </pic:pic>
              </a:graphicData>
            </a:graphic>
          </wp:inline>
        </w:drawing>
      </w:r>
    </w:p>
    <w:p w14:paraId="7A3C64BB" w14:textId="77777777" w:rsidR="00617149" w:rsidRPr="00A80E80" w:rsidRDefault="00B64BB5" w:rsidP="00F51EBC">
      <w:pPr>
        <w:spacing w:before="240" w:after="240" w:line="360" w:lineRule="auto"/>
        <w:jc w:val="center"/>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b/>
          <w:color w:val="000000" w:themeColor="text1"/>
          <w:sz w:val="24"/>
          <w:szCs w:val="24"/>
        </w:rPr>
        <w:t>Figure 2: Calculation for Financial Ratios of Sweet Plc for 2021 and 2022</w:t>
      </w:r>
    </w:p>
    <w:p w14:paraId="79F14B4C" w14:textId="77777777" w:rsidR="00617149" w:rsidRPr="00A80E80" w:rsidRDefault="00B64BB5" w:rsidP="00F51EBC">
      <w:pPr>
        <w:spacing w:before="240" w:after="240" w:line="360" w:lineRule="auto"/>
        <w:jc w:val="center"/>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(Source: Excel)</w:t>
      </w:r>
    </w:p>
    <w:p w14:paraId="38E29C12" w14:textId="642261DF"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The Return on Capital Employed (ROCE) ratio relies on the collection of operating profit gained by a business entity by utilising available capital employed such as the difference between total assets from the total non-current liabilities (</w:t>
      </w:r>
      <w:proofErr w:type="spellStart"/>
      <w:r w:rsidRPr="00A80E80">
        <w:rPr>
          <w:rFonts w:ascii="Times New Roman" w:eastAsia="Times New Roman" w:hAnsi="Times New Roman" w:cs="Times New Roman"/>
          <w:color w:val="000000" w:themeColor="text1"/>
          <w:sz w:val="24"/>
          <w:szCs w:val="24"/>
          <w:highlight w:val="white"/>
        </w:rPr>
        <w:t>Shrotriya</w:t>
      </w:r>
      <w:proofErr w:type="spellEnd"/>
      <w:r w:rsidRPr="00A80E80">
        <w:rPr>
          <w:rFonts w:ascii="Times New Roman" w:eastAsia="Times New Roman" w:hAnsi="Times New Roman" w:cs="Times New Roman"/>
          <w:color w:val="000000" w:themeColor="text1"/>
          <w:sz w:val="24"/>
          <w:szCs w:val="24"/>
          <w:highlight w:val="white"/>
        </w:rPr>
        <w:t>, 2019)</w:t>
      </w:r>
      <w:r w:rsidRPr="00A80E80">
        <w:rPr>
          <w:rFonts w:ascii="Times New Roman" w:eastAsia="Times New Roman" w:hAnsi="Times New Roman" w:cs="Times New Roman"/>
          <w:color w:val="000000" w:themeColor="text1"/>
          <w:sz w:val="24"/>
          <w:szCs w:val="24"/>
        </w:rPr>
        <w:t xml:space="preserve">. For Sweet Plc, the </w:t>
      </w:r>
      <w:r w:rsidRPr="00A80E80">
        <w:rPr>
          <w:rFonts w:ascii="Times New Roman" w:eastAsia="Times New Roman" w:hAnsi="Times New Roman" w:cs="Times New Roman"/>
          <w:color w:val="000000" w:themeColor="text1"/>
          <w:sz w:val="24"/>
          <w:szCs w:val="24"/>
        </w:rPr>
        <w:lastRenderedPageBreak/>
        <w:t xml:space="preserve">ROCE ratio in the year was 0.10 indicating the percentage of 10% which is a suitable rate for generating operating profit by utilising its capital employed. At the end of 2022, the ratio increased up to 11% which shows the economic growth of the company. The Return </w:t>
      </w:r>
      <w:proofErr w:type="gramStart"/>
      <w:r w:rsidRPr="00A80E80">
        <w:rPr>
          <w:rFonts w:ascii="Times New Roman" w:eastAsia="Times New Roman" w:hAnsi="Times New Roman" w:cs="Times New Roman"/>
          <w:color w:val="000000" w:themeColor="text1"/>
          <w:sz w:val="24"/>
          <w:szCs w:val="24"/>
        </w:rPr>
        <w:t>On</w:t>
      </w:r>
      <w:proofErr w:type="gramEnd"/>
      <w:r w:rsidRPr="00A80E80">
        <w:rPr>
          <w:rFonts w:ascii="Times New Roman" w:eastAsia="Times New Roman" w:hAnsi="Times New Roman" w:cs="Times New Roman"/>
          <w:color w:val="000000" w:themeColor="text1"/>
          <w:sz w:val="24"/>
          <w:szCs w:val="24"/>
        </w:rPr>
        <w:t xml:space="preserve"> Equity ratio signifies the distribution of net income according to the shareholders’ equity which is a positive indication of shareholders’ interest in the business entity (</w:t>
      </w:r>
      <w:r w:rsidRPr="00A80E80">
        <w:rPr>
          <w:rFonts w:ascii="Times New Roman" w:eastAsia="Times New Roman" w:hAnsi="Times New Roman" w:cs="Times New Roman"/>
          <w:color w:val="000000" w:themeColor="text1"/>
          <w:sz w:val="24"/>
          <w:szCs w:val="24"/>
          <w:highlight w:val="white"/>
        </w:rPr>
        <w:t>Saputra, 2022)</w:t>
      </w:r>
      <w:r w:rsidRPr="00A80E80">
        <w:rPr>
          <w:rFonts w:ascii="Times New Roman" w:eastAsia="Times New Roman" w:hAnsi="Times New Roman" w:cs="Times New Roman"/>
          <w:color w:val="000000" w:themeColor="text1"/>
          <w:sz w:val="24"/>
          <w:szCs w:val="24"/>
        </w:rPr>
        <w:t>. The percentage of ROE has increased in 2022 that the previous financial year which affirms the suitability of return on investment. The ratio of Earnings per share is interconnected with the ROE ratio which has also increased in the current financial year. From the ratio of Earnings per share, it can be stated that the shareholders of Sweet Plc are getting the expected amount as a return on investment and will maintain long-term involvement. Net profit margin signifies the percentage of net revenue gained by a business entity. As per accounting standards, a high net profit margin ratio shows the higher profit gained by the company excluding other costs (</w:t>
      </w:r>
      <w:proofErr w:type="spellStart"/>
      <w:r w:rsidRPr="00A80E80">
        <w:rPr>
          <w:rFonts w:ascii="Times New Roman" w:eastAsia="Times New Roman" w:hAnsi="Times New Roman" w:cs="Times New Roman"/>
          <w:color w:val="000000" w:themeColor="text1"/>
          <w:sz w:val="24"/>
          <w:szCs w:val="24"/>
          <w:highlight w:val="white"/>
        </w:rPr>
        <w:t>Nariswari</w:t>
      </w:r>
      <w:proofErr w:type="spellEnd"/>
      <w:r w:rsidRPr="00A80E80">
        <w:rPr>
          <w:rFonts w:ascii="Times New Roman" w:eastAsia="Times New Roman" w:hAnsi="Times New Roman" w:cs="Times New Roman"/>
          <w:color w:val="000000" w:themeColor="text1"/>
          <w:sz w:val="24"/>
          <w:szCs w:val="24"/>
          <w:highlight w:val="white"/>
        </w:rPr>
        <w:t xml:space="preserve"> </w:t>
      </w:r>
      <w:r w:rsidR="002F1AF4" w:rsidRPr="00A80E80">
        <w:rPr>
          <w:rFonts w:ascii="Times New Roman" w:eastAsia="Times New Roman" w:hAnsi="Times New Roman" w:cs="Times New Roman"/>
          <w:color w:val="000000" w:themeColor="text1"/>
          <w:sz w:val="24"/>
          <w:szCs w:val="24"/>
          <w:highlight w:val="white"/>
        </w:rPr>
        <w:t>&amp;</w:t>
      </w:r>
      <w:r w:rsidRPr="00A80E80">
        <w:rPr>
          <w:rFonts w:ascii="Times New Roman" w:eastAsia="Times New Roman" w:hAnsi="Times New Roman" w:cs="Times New Roman"/>
          <w:color w:val="000000" w:themeColor="text1"/>
          <w:sz w:val="24"/>
          <w:szCs w:val="24"/>
          <w:highlight w:val="white"/>
        </w:rPr>
        <w:t xml:space="preserve"> </w:t>
      </w:r>
      <w:proofErr w:type="spellStart"/>
      <w:r w:rsidRPr="00A80E80">
        <w:rPr>
          <w:rFonts w:ascii="Times New Roman" w:eastAsia="Times New Roman" w:hAnsi="Times New Roman" w:cs="Times New Roman"/>
          <w:color w:val="000000" w:themeColor="text1"/>
          <w:sz w:val="24"/>
          <w:szCs w:val="24"/>
          <w:highlight w:val="white"/>
        </w:rPr>
        <w:t>Nugraha</w:t>
      </w:r>
      <w:proofErr w:type="spellEnd"/>
      <w:r w:rsidRPr="00A80E80">
        <w:rPr>
          <w:rFonts w:ascii="Times New Roman" w:eastAsia="Times New Roman" w:hAnsi="Times New Roman" w:cs="Times New Roman"/>
          <w:color w:val="000000" w:themeColor="text1"/>
          <w:sz w:val="24"/>
          <w:szCs w:val="24"/>
          <w:highlight w:val="white"/>
        </w:rPr>
        <w:t>, 2020)</w:t>
      </w:r>
      <w:r w:rsidRPr="00A80E80">
        <w:rPr>
          <w:rFonts w:ascii="Times New Roman" w:eastAsia="Times New Roman" w:hAnsi="Times New Roman" w:cs="Times New Roman"/>
          <w:color w:val="000000" w:themeColor="text1"/>
          <w:sz w:val="24"/>
          <w:szCs w:val="24"/>
        </w:rPr>
        <w:t xml:space="preserve">. From the calculation, it can be found that the company has generated the exact amount of net profit in 2022 as 2021 in spite of conducting more sales. The calculation of the asset turnover ratio implies the execution of assets in generating sales. A higher asset turnover ratio is expected by the companies that will interpret the selling efficiency by including the benefits of the assets. Based on the calculation, Sweet Plc has successfully utilised its assets to maximise sales volume in the current financial year which confirms a systematic inventory management system. </w:t>
      </w:r>
    </w:p>
    <w:p w14:paraId="688A22F2" w14:textId="77777777" w:rsidR="00617149" w:rsidRPr="00A80E80" w:rsidRDefault="00B64BB5" w:rsidP="00A80E80">
      <w:pPr>
        <w:spacing w:before="240" w:after="240" w:line="360" w:lineRule="auto"/>
        <w:jc w:val="both"/>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b/>
          <w:noProof/>
          <w:color w:val="000000" w:themeColor="text1"/>
          <w:sz w:val="24"/>
          <w:szCs w:val="24"/>
        </w:rPr>
        <w:lastRenderedPageBreak/>
        <w:drawing>
          <wp:inline distT="114300" distB="114300" distL="114300" distR="114300" wp14:anchorId="37E0CD00" wp14:editId="46254487">
            <wp:extent cx="3095625" cy="3771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095625" cy="3771900"/>
                    </a:xfrm>
                    <a:prstGeom prst="rect">
                      <a:avLst/>
                    </a:prstGeom>
                    <a:ln/>
                  </pic:spPr>
                </pic:pic>
              </a:graphicData>
            </a:graphic>
          </wp:inline>
        </w:drawing>
      </w:r>
    </w:p>
    <w:p w14:paraId="166B97E6" w14:textId="77777777" w:rsidR="00617149" w:rsidRPr="00A80E80" w:rsidRDefault="00B64BB5" w:rsidP="00F51EBC">
      <w:pPr>
        <w:spacing w:before="240" w:after="240" w:line="360" w:lineRule="auto"/>
        <w:jc w:val="center"/>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b/>
          <w:color w:val="000000" w:themeColor="text1"/>
          <w:sz w:val="24"/>
          <w:szCs w:val="24"/>
        </w:rPr>
        <w:t>Figure 3: Calculation for Financial Ratios of Sweet Plc for 2021 and 2022</w:t>
      </w:r>
    </w:p>
    <w:p w14:paraId="38AF214E" w14:textId="77777777" w:rsidR="00617149" w:rsidRPr="00A80E80" w:rsidRDefault="00B64BB5" w:rsidP="00F51EBC">
      <w:pPr>
        <w:spacing w:before="240" w:after="240" w:line="360" w:lineRule="auto"/>
        <w:jc w:val="center"/>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(Source: Excel)</w:t>
      </w:r>
    </w:p>
    <w:p w14:paraId="319D8381" w14:textId="07EDF521"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The stock holding days refer to the certain period of time that a business entity holds its available inventory before selling in the market. The higher period indicates the inefficiency of the stock management strategy of a company that rotates its inventories within the business for a long time and has not evolved with an efficient supply chain (</w:t>
      </w:r>
      <w:r w:rsidRPr="00A80E80">
        <w:rPr>
          <w:rFonts w:ascii="Times New Roman" w:eastAsia="Times New Roman" w:hAnsi="Times New Roman" w:cs="Times New Roman"/>
          <w:color w:val="000000" w:themeColor="text1"/>
          <w:sz w:val="24"/>
          <w:szCs w:val="24"/>
          <w:highlight w:val="white"/>
        </w:rPr>
        <w:t>Tan</w:t>
      </w:r>
      <w:r w:rsidR="00392B58">
        <w:rPr>
          <w:rFonts w:ascii="Times New Roman" w:eastAsia="Times New Roman" w:hAnsi="Times New Roman" w:cs="Times New Roman"/>
          <w:color w:val="000000" w:themeColor="text1"/>
          <w:sz w:val="24"/>
          <w:szCs w:val="24"/>
          <w:highlight w:val="white"/>
        </w:rPr>
        <w:t>,</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 xml:space="preserve">et al., </w:t>
      </w:r>
      <w:r w:rsidRPr="00A80E80">
        <w:rPr>
          <w:rFonts w:ascii="Times New Roman" w:eastAsia="Times New Roman" w:hAnsi="Times New Roman" w:cs="Times New Roman"/>
          <w:color w:val="000000" w:themeColor="text1"/>
          <w:sz w:val="24"/>
          <w:szCs w:val="24"/>
          <w:highlight w:val="white"/>
        </w:rPr>
        <w:t>2019)</w:t>
      </w:r>
      <w:r w:rsidRPr="00A80E80">
        <w:rPr>
          <w:rFonts w:ascii="Times New Roman" w:eastAsia="Times New Roman" w:hAnsi="Times New Roman" w:cs="Times New Roman"/>
          <w:color w:val="000000" w:themeColor="text1"/>
          <w:sz w:val="24"/>
          <w:szCs w:val="24"/>
        </w:rPr>
        <w:t>. A company should manage its stock-holding period to be within 30 to 60 days where the benefits of the products remain unchanged and have to replenish the stock for further production. The time span of the debtors’ collection period accommodates the collection period from the debtors where a maximum of 45 days is assumed to be a suitable period to collect from the debtors. In this case, the debtors’ collection period for Sweet Plc has increased to 326 days which is a negative sign for the company and can create major financial losses. The current ratio justifies the utilisation of current assets along with current liabilities to conduct business operations. A higher current ratio shows that the company is maintaining assets to cover the liabilities and operating its business activities (</w:t>
      </w:r>
      <w:r w:rsidRPr="00A80E80">
        <w:rPr>
          <w:rFonts w:ascii="Times New Roman" w:eastAsia="Times New Roman" w:hAnsi="Times New Roman" w:cs="Times New Roman"/>
          <w:color w:val="000000" w:themeColor="text1"/>
          <w:sz w:val="24"/>
          <w:szCs w:val="24"/>
          <w:highlight w:val="white"/>
        </w:rPr>
        <w:t xml:space="preserve">Husna </w:t>
      </w:r>
      <w:r w:rsidR="00F51EBC">
        <w:rPr>
          <w:rFonts w:ascii="Times New Roman" w:eastAsia="Times New Roman" w:hAnsi="Times New Roman" w:cs="Times New Roman"/>
          <w:color w:val="000000" w:themeColor="text1"/>
          <w:sz w:val="24"/>
          <w:szCs w:val="24"/>
          <w:highlight w:val="white"/>
        </w:rPr>
        <w:t xml:space="preserve">&amp; </w:t>
      </w:r>
      <w:r w:rsidRPr="00A80E80">
        <w:rPr>
          <w:rFonts w:ascii="Times New Roman" w:eastAsia="Times New Roman" w:hAnsi="Times New Roman" w:cs="Times New Roman"/>
          <w:color w:val="000000" w:themeColor="text1"/>
          <w:sz w:val="24"/>
          <w:szCs w:val="24"/>
          <w:highlight w:val="white"/>
        </w:rPr>
        <w:t>Satria, 2019)</w:t>
      </w:r>
      <w:r w:rsidRPr="00A80E80">
        <w:rPr>
          <w:rFonts w:ascii="Times New Roman" w:eastAsia="Times New Roman" w:hAnsi="Times New Roman" w:cs="Times New Roman"/>
          <w:color w:val="000000" w:themeColor="text1"/>
          <w:sz w:val="24"/>
          <w:szCs w:val="24"/>
        </w:rPr>
        <w:t xml:space="preserve">. The calculation of the capital gearing ratio is crucial to identify the future possibilities of meeting financial loss. A higher percentage of capital gearing ratio is a very concerning stage that refers to the company generating debt to </w:t>
      </w:r>
      <w:r w:rsidRPr="00A80E80">
        <w:rPr>
          <w:rFonts w:ascii="Times New Roman" w:eastAsia="Times New Roman" w:hAnsi="Times New Roman" w:cs="Times New Roman"/>
          <w:color w:val="000000" w:themeColor="text1"/>
          <w:sz w:val="24"/>
          <w:szCs w:val="24"/>
        </w:rPr>
        <w:lastRenderedPageBreak/>
        <w:t xml:space="preserve">issuing equity. The interest coverage ratio has a significant connection with the capability of the firms to cover the debt amount with their earnings. From the calculation, it can be found that Sweet Plc. lacks relevant share market performance where the company can face severe financial loss by not covering the debts. </w:t>
      </w:r>
    </w:p>
    <w:p w14:paraId="02CAC15C" w14:textId="0A2EC957" w:rsidR="00617149" w:rsidRPr="00A80E80" w:rsidRDefault="00B64BB5" w:rsidP="00A80E80">
      <w:pPr>
        <w:spacing w:before="240" w:after="240" w:line="360" w:lineRule="auto"/>
        <w:jc w:val="both"/>
        <w:rPr>
          <w:rFonts w:ascii="Times New Roman" w:eastAsia="Times New Roman" w:hAnsi="Times New Roman" w:cs="Times New Roman"/>
          <w:b/>
          <w:color w:val="000000" w:themeColor="text1"/>
          <w:sz w:val="24"/>
          <w:szCs w:val="24"/>
        </w:rPr>
      </w:pPr>
      <w:r w:rsidRPr="00A80E80">
        <w:rPr>
          <w:rFonts w:ascii="Times New Roman" w:eastAsia="Times New Roman" w:hAnsi="Times New Roman" w:cs="Times New Roman"/>
          <w:b/>
          <w:color w:val="000000" w:themeColor="text1"/>
          <w:sz w:val="24"/>
          <w:szCs w:val="24"/>
        </w:rPr>
        <w:t xml:space="preserve">b) </w:t>
      </w:r>
      <w:r w:rsidRPr="00A80E80">
        <w:rPr>
          <w:rFonts w:ascii="Times New Roman" w:eastAsia="Times New Roman" w:hAnsi="Times New Roman" w:cs="Times New Roman"/>
          <w:color w:val="000000" w:themeColor="text1"/>
          <w:sz w:val="24"/>
          <w:szCs w:val="24"/>
        </w:rPr>
        <w:t xml:space="preserve">From the calculation of different ratios to compare between the economic performance of Sweet Plc in 2021 and 2022, it can be stated that there are both positive and negative results. The ratio of ROCE, ROE, earnings per share, asset turnover and current ratio indicates a positive economic strength of Sweet Plc in generating profit and increasing sales volume. Hence, the net profit margin implies the unchanged amount of net profit in the current fiscal year as per 2021. The calculation of the stock holding days shows that Sweet Plc has a poor stock management strategy that insists stock remains in the business for more time. </w:t>
      </w:r>
      <w:r w:rsidR="00691BA1" w:rsidRPr="00A80E80">
        <w:rPr>
          <w:rFonts w:ascii="Times New Roman" w:eastAsia="Times New Roman" w:hAnsi="Times New Roman" w:cs="Times New Roman"/>
          <w:color w:val="000000" w:themeColor="text1"/>
          <w:sz w:val="24"/>
          <w:szCs w:val="24"/>
        </w:rPr>
        <w:t>Similarly,</w:t>
      </w:r>
      <w:r w:rsidRPr="00A80E80">
        <w:rPr>
          <w:rFonts w:ascii="Times New Roman" w:eastAsia="Times New Roman" w:hAnsi="Times New Roman" w:cs="Times New Roman"/>
          <w:color w:val="000000" w:themeColor="text1"/>
          <w:sz w:val="24"/>
          <w:szCs w:val="24"/>
        </w:rPr>
        <w:t xml:space="preserve"> debtors’ collection period, gearing ratio and interest coverage ratio reflect the poor inventory and supply chain management strategy of the company. </w:t>
      </w:r>
    </w:p>
    <w:p w14:paraId="3768A390" w14:textId="77777777" w:rsidR="00617149" w:rsidRPr="00A80E80" w:rsidRDefault="00B64BB5" w:rsidP="00A80E80">
      <w:pPr>
        <w:pStyle w:val="Heading1"/>
        <w:spacing w:before="240"/>
        <w:rPr>
          <w:color w:val="000000" w:themeColor="text1"/>
          <w:sz w:val="24"/>
        </w:rPr>
      </w:pPr>
      <w:bookmarkStart w:id="4" w:name="_Toc153956581"/>
      <w:r w:rsidRPr="00A80E80">
        <w:rPr>
          <w:color w:val="000000" w:themeColor="text1"/>
          <w:sz w:val="24"/>
        </w:rPr>
        <w:t>Conclusion</w:t>
      </w:r>
      <w:bookmarkEnd w:id="4"/>
      <w:r w:rsidRPr="00A80E80">
        <w:rPr>
          <w:color w:val="000000" w:themeColor="text1"/>
          <w:sz w:val="24"/>
        </w:rPr>
        <w:t xml:space="preserve"> </w:t>
      </w:r>
    </w:p>
    <w:p w14:paraId="4457AD8C" w14:textId="77777777" w:rsidR="00617149" w:rsidRPr="00A80E80" w:rsidRDefault="00B64BB5" w:rsidP="00A80E80">
      <w:pPr>
        <w:spacing w:before="240" w:after="240" w:line="360" w:lineRule="auto"/>
        <w:jc w:val="both"/>
        <w:rPr>
          <w:rFonts w:ascii="Times New Roman" w:eastAsia="Times New Roman" w:hAnsi="Times New Roman" w:cs="Times New Roman"/>
          <w:color w:val="000000" w:themeColor="text1"/>
          <w:sz w:val="24"/>
          <w:szCs w:val="24"/>
        </w:rPr>
      </w:pPr>
      <w:r w:rsidRPr="00A80E80">
        <w:rPr>
          <w:rFonts w:ascii="Times New Roman" w:eastAsia="Times New Roman" w:hAnsi="Times New Roman" w:cs="Times New Roman"/>
          <w:color w:val="000000" w:themeColor="text1"/>
          <w:sz w:val="24"/>
          <w:szCs w:val="24"/>
        </w:rPr>
        <w:t xml:space="preserve">It can be concluded that maintaining accounting fundamentals is necessary for business entities to ensure the transparency and relevance of the financial transactions made within financial years. It is also needed to maintain proper accounting standards and concepts by the companies by which they can identify their current market performance and gather profit. Concepts such as Balance sheets, non-current assets, prepayments or accrued expenses need to be established within the financial management team signifying correct accounting standards to be followed. The importance of shareholder communication by managers, conducting ledgers and trial balance is also necessary for a business entity to generate in-depth ideas of the accounting dynamic environment. Ratio analysis eliminates misinterpretation and misconduct of internal and external business performance of a company that assists the higher authority to take effective actions for mitigating future threats. Therefore, it can be confirmed that understanding accounting fundamentals can guide an individual to gain knowledge regarding the financial process of the companies and provide further concepts of the business environment. </w:t>
      </w:r>
      <w:r w:rsidRPr="00A80E80">
        <w:rPr>
          <w:rFonts w:ascii="Times New Roman" w:hAnsi="Times New Roman"/>
          <w:color w:val="000000" w:themeColor="text1"/>
          <w:sz w:val="24"/>
        </w:rPr>
        <w:br w:type="page"/>
      </w:r>
    </w:p>
    <w:p w14:paraId="72A9A35B" w14:textId="739BC46B" w:rsidR="00617149" w:rsidRPr="00A80E80" w:rsidRDefault="00B64BB5" w:rsidP="00A80E80">
      <w:pPr>
        <w:pStyle w:val="Heading1"/>
        <w:spacing w:before="240"/>
        <w:rPr>
          <w:color w:val="000000" w:themeColor="text1"/>
          <w:sz w:val="24"/>
        </w:rPr>
      </w:pPr>
      <w:bookmarkStart w:id="5" w:name="_Toc153956582"/>
      <w:r w:rsidRPr="00A80E80">
        <w:rPr>
          <w:color w:val="000000" w:themeColor="text1"/>
          <w:sz w:val="24"/>
        </w:rPr>
        <w:lastRenderedPageBreak/>
        <w:t>Reference</w:t>
      </w:r>
      <w:r w:rsidR="00691BA1" w:rsidRPr="00A80E80">
        <w:rPr>
          <w:color w:val="000000" w:themeColor="text1"/>
          <w:sz w:val="24"/>
        </w:rPr>
        <w:t>s</w:t>
      </w:r>
      <w:bookmarkEnd w:id="5"/>
    </w:p>
    <w:p w14:paraId="27A358DA"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E80">
        <w:rPr>
          <w:rFonts w:ascii="Times New Roman" w:eastAsia="Times New Roman" w:hAnsi="Times New Roman" w:cs="Times New Roman"/>
          <w:color w:val="000000" w:themeColor="text1"/>
          <w:sz w:val="24"/>
          <w:szCs w:val="24"/>
          <w:highlight w:val="white"/>
        </w:rPr>
        <w:t>Atukalp</w:t>
      </w:r>
      <w:proofErr w:type="spellEnd"/>
      <w:r w:rsidRPr="00A80E80">
        <w:rPr>
          <w:rFonts w:ascii="Times New Roman" w:eastAsia="Times New Roman" w:hAnsi="Times New Roman" w:cs="Times New Roman"/>
          <w:color w:val="000000" w:themeColor="text1"/>
          <w:sz w:val="24"/>
          <w:szCs w:val="24"/>
          <w:highlight w:val="white"/>
        </w:rPr>
        <w:t xml:space="preserve">, M.E., 2023. The effect of financial statements on financial review results. Statement of financial position or income </w:t>
      </w:r>
      <w:proofErr w:type="gramStart"/>
      <w:r w:rsidRPr="00A80E80">
        <w:rPr>
          <w:rFonts w:ascii="Times New Roman" w:eastAsia="Times New Roman" w:hAnsi="Times New Roman" w:cs="Times New Roman"/>
          <w:color w:val="000000" w:themeColor="text1"/>
          <w:sz w:val="24"/>
          <w:szCs w:val="24"/>
          <w:highlight w:val="white"/>
        </w:rPr>
        <w:t>statement?.</w:t>
      </w:r>
      <w:proofErr w:type="gramEnd"/>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 xml:space="preserve">Gazi </w:t>
      </w:r>
      <w:proofErr w:type="spellStart"/>
      <w:r w:rsidRPr="00A80E80">
        <w:rPr>
          <w:rFonts w:ascii="Times New Roman" w:eastAsia="Times New Roman" w:hAnsi="Times New Roman" w:cs="Times New Roman"/>
          <w:i/>
          <w:color w:val="000000" w:themeColor="text1"/>
          <w:sz w:val="24"/>
          <w:szCs w:val="24"/>
          <w:highlight w:val="white"/>
        </w:rPr>
        <w:t>İktisat</w:t>
      </w:r>
      <w:proofErr w:type="spellEnd"/>
      <w:r w:rsidRPr="00A80E80">
        <w:rPr>
          <w:rFonts w:ascii="Times New Roman" w:eastAsia="Times New Roman" w:hAnsi="Times New Roman" w:cs="Times New Roman"/>
          <w:i/>
          <w:color w:val="000000" w:themeColor="text1"/>
          <w:sz w:val="24"/>
          <w:szCs w:val="24"/>
          <w:highlight w:val="white"/>
        </w:rPr>
        <w:t xml:space="preserve"> </w:t>
      </w:r>
      <w:proofErr w:type="spellStart"/>
      <w:r w:rsidRPr="00A80E80">
        <w:rPr>
          <w:rFonts w:ascii="Times New Roman" w:eastAsia="Times New Roman" w:hAnsi="Times New Roman" w:cs="Times New Roman"/>
          <w:i/>
          <w:color w:val="000000" w:themeColor="text1"/>
          <w:sz w:val="24"/>
          <w:szCs w:val="24"/>
          <w:highlight w:val="white"/>
        </w:rPr>
        <w:t>ve</w:t>
      </w:r>
      <w:proofErr w:type="spellEnd"/>
      <w:r w:rsidRPr="00A80E80">
        <w:rPr>
          <w:rFonts w:ascii="Times New Roman" w:eastAsia="Times New Roman" w:hAnsi="Times New Roman" w:cs="Times New Roman"/>
          <w:i/>
          <w:color w:val="000000" w:themeColor="text1"/>
          <w:sz w:val="24"/>
          <w:szCs w:val="24"/>
          <w:highlight w:val="white"/>
        </w:rPr>
        <w:t xml:space="preserve"> </w:t>
      </w:r>
      <w:proofErr w:type="spellStart"/>
      <w:r w:rsidRPr="00A80E80">
        <w:rPr>
          <w:rFonts w:ascii="Times New Roman" w:eastAsia="Times New Roman" w:hAnsi="Times New Roman" w:cs="Times New Roman"/>
          <w:i/>
          <w:color w:val="000000" w:themeColor="text1"/>
          <w:sz w:val="24"/>
          <w:szCs w:val="24"/>
          <w:highlight w:val="white"/>
        </w:rPr>
        <w:t>İşletme</w:t>
      </w:r>
      <w:proofErr w:type="spellEnd"/>
      <w:r w:rsidRPr="00A80E80">
        <w:rPr>
          <w:rFonts w:ascii="Times New Roman" w:eastAsia="Times New Roman" w:hAnsi="Times New Roman" w:cs="Times New Roman"/>
          <w:i/>
          <w:color w:val="000000" w:themeColor="text1"/>
          <w:sz w:val="24"/>
          <w:szCs w:val="24"/>
          <w:highlight w:val="white"/>
        </w:rPr>
        <w:t xml:space="preserve"> </w:t>
      </w:r>
      <w:proofErr w:type="spellStart"/>
      <w:r w:rsidRPr="00A80E80">
        <w:rPr>
          <w:rFonts w:ascii="Times New Roman" w:eastAsia="Times New Roman" w:hAnsi="Times New Roman" w:cs="Times New Roman"/>
          <w:i/>
          <w:color w:val="000000" w:themeColor="text1"/>
          <w:sz w:val="24"/>
          <w:szCs w:val="24"/>
          <w:highlight w:val="white"/>
        </w:rPr>
        <w:t>Dergisi</w:t>
      </w:r>
      <w:proofErr w:type="spellEnd"/>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9</w:t>
      </w:r>
      <w:r w:rsidRPr="00A80E80">
        <w:rPr>
          <w:rFonts w:ascii="Times New Roman" w:eastAsia="Times New Roman" w:hAnsi="Times New Roman" w:cs="Times New Roman"/>
          <w:color w:val="000000" w:themeColor="text1"/>
          <w:sz w:val="24"/>
          <w:szCs w:val="24"/>
          <w:highlight w:val="white"/>
        </w:rPr>
        <w:t xml:space="preserve">(1), pp.80-96. </w:t>
      </w:r>
      <w:hyperlink r:id="rId11">
        <w:r w:rsidRPr="00A80E80">
          <w:rPr>
            <w:rFonts w:ascii="Times New Roman" w:eastAsia="Times New Roman" w:hAnsi="Times New Roman" w:cs="Times New Roman"/>
            <w:color w:val="000000" w:themeColor="text1"/>
            <w:sz w:val="24"/>
            <w:szCs w:val="24"/>
            <w:highlight w:val="white"/>
            <w:u w:val="single"/>
          </w:rPr>
          <w:t>https://dergipark.org.tr/en/pub/gjeb/issue/75965/1183375</w:t>
        </w:r>
      </w:hyperlink>
      <w:r w:rsidRPr="00A80E80">
        <w:rPr>
          <w:rFonts w:ascii="Times New Roman" w:eastAsia="Times New Roman" w:hAnsi="Times New Roman" w:cs="Times New Roman"/>
          <w:color w:val="000000" w:themeColor="text1"/>
          <w:sz w:val="24"/>
          <w:szCs w:val="24"/>
          <w:highlight w:val="white"/>
        </w:rPr>
        <w:t xml:space="preserve"> </w:t>
      </w:r>
    </w:p>
    <w:p w14:paraId="40946A4D"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Cai, C.W., 2021. Triple‐entry accounting with blockchain: How far have we </w:t>
      </w:r>
      <w:proofErr w:type="gramStart"/>
      <w:r w:rsidRPr="00A80E80">
        <w:rPr>
          <w:rFonts w:ascii="Times New Roman" w:eastAsia="Times New Roman" w:hAnsi="Times New Roman" w:cs="Times New Roman"/>
          <w:color w:val="000000" w:themeColor="text1"/>
          <w:sz w:val="24"/>
          <w:szCs w:val="24"/>
          <w:highlight w:val="white"/>
        </w:rPr>
        <w:t>come?.</w:t>
      </w:r>
      <w:proofErr w:type="gramEnd"/>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Accounting &amp; Finance</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61</w:t>
      </w:r>
      <w:r w:rsidRPr="00A80E80">
        <w:rPr>
          <w:rFonts w:ascii="Times New Roman" w:eastAsia="Times New Roman" w:hAnsi="Times New Roman" w:cs="Times New Roman"/>
          <w:color w:val="000000" w:themeColor="text1"/>
          <w:sz w:val="24"/>
          <w:szCs w:val="24"/>
          <w:highlight w:val="white"/>
        </w:rPr>
        <w:t xml:space="preserve">(1), pp.71-93. </w:t>
      </w:r>
      <w:hyperlink r:id="rId12">
        <w:r w:rsidRPr="00A80E80">
          <w:rPr>
            <w:rFonts w:ascii="Times New Roman" w:eastAsia="Times New Roman" w:hAnsi="Times New Roman" w:cs="Times New Roman"/>
            <w:color w:val="000000" w:themeColor="text1"/>
            <w:sz w:val="24"/>
            <w:szCs w:val="24"/>
            <w:highlight w:val="white"/>
            <w:u w:val="single"/>
          </w:rPr>
          <w:t>https://onlinelibrary.wiley.com/doi/abs/10.1111/acfi.12556</w:t>
        </w:r>
      </w:hyperlink>
      <w:r w:rsidRPr="00A80E80">
        <w:rPr>
          <w:rFonts w:ascii="Times New Roman" w:eastAsia="Times New Roman" w:hAnsi="Times New Roman" w:cs="Times New Roman"/>
          <w:color w:val="000000" w:themeColor="text1"/>
          <w:sz w:val="24"/>
          <w:szCs w:val="24"/>
          <w:highlight w:val="white"/>
        </w:rPr>
        <w:t xml:space="preserve"> </w:t>
      </w:r>
    </w:p>
    <w:p w14:paraId="18BEF447"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Debelle, G., 2020. The Reserve Bank's Policy Actions and Balance Sheet. </w:t>
      </w:r>
      <w:r w:rsidRPr="00A80E80">
        <w:rPr>
          <w:rFonts w:ascii="Times New Roman" w:eastAsia="Times New Roman" w:hAnsi="Times New Roman" w:cs="Times New Roman"/>
          <w:i/>
          <w:color w:val="000000" w:themeColor="text1"/>
          <w:sz w:val="24"/>
          <w:szCs w:val="24"/>
          <w:highlight w:val="white"/>
        </w:rPr>
        <w:t>Speech at The Economic Society Australia</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30</w:t>
      </w:r>
      <w:r w:rsidRPr="00A80E80">
        <w:rPr>
          <w:rFonts w:ascii="Times New Roman" w:eastAsia="Times New Roman" w:hAnsi="Times New Roman" w:cs="Times New Roman"/>
          <w:color w:val="000000" w:themeColor="text1"/>
          <w:sz w:val="24"/>
          <w:szCs w:val="24"/>
          <w:highlight w:val="white"/>
        </w:rPr>
        <w:t xml:space="preserve">. </w:t>
      </w:r>
      <w:hyperlink r:id="rId13">
        <w:r w:rsidRPr="00A80E80">
          <w:rPr>
            <w:rFonts w:ascii="Times New Roman" w:eastAsia="Times New Roman" w:hAnsi="Times New Roman" w:cs="Times New Roman"/>
            <w:color w:val="000000" w:themeColor="text1"/>
            <w:sz w:val="24"/>
            <w:szCs w:val="24"/>
            <w:highlight w:val="white"/>
            <w:u w:val="single"/>
          </w:rPr>
          <w:t>https://rba.gov.au/speeches/2020/pdf/sp-dg-2020-06-30.pdf</w:t>
        </w:r>
      </w:hyperlink>
      <w:r w:rsidRPr="00A80E80">
        <w:rPr>
          <w:rFonts w:ascii="Times New Roman" w:eastAsia="Times New Roman" w:hAnsi="Times New Roman" w:cs="Times New Roman"/>
          <w:color w:val="000000" w:themeColor="text1"/>
          <w:sz w:val="24"/>
          <w:szCs w:val="24"/>
          <w:highlight w:val="white"/>
        </w:rPr>
        <w:t xml:space="preserve"> </w:t>
      </w:r>
    </w:p>
    <w:p w14:paraId="70ADF546"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Hales, C.P., 2019. What do managers do? A critical review of the evidence. </w:t>
      </w:r>
      <w:r w:rsidRPr="00A80E80">
        <w:rPr>
          <w:rFonts w:ascii="Times New Roman" w:eastAsia="Times New Roman" w:hAnsi="Times New Roman" w:cs="Times New Roman"/>
          <w:i/>
          <w:color w:val="000000" w:themeColor="text1"/>
          <w:sz w:val="24"/>
          <w:szCs w:val="24"/>
          <w:highlight w:val="white"/>
        </w:rPr>
        <w:t>Managerial Work</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23</w:t>
      </w:r>
      <w:r w:rsidRPr="00A80E80">
        <w:rPr>
          <w:rFonts w:ascii="Times New Roman" w:eastAsia="Times New Roman" w:hAnsi="Times New Roman" w:cs="Times New Roman"/>
          <w:color w:val="000000" w:themeColor="text1"/>
          <w:sz w:val="24"/>
          <w:szCs w:val="24"/>
          <w:highlight w:val="white"/>
        </w:rPr>
        <w:t xml:space="preserve">(1), p.263. </w:t>
      </w:r>
      <w:hyperlink r:id="rId14">
        <w:r w:rsidRPr="00A80E80">
          <w:rPr>
            <w:rFonts w:ascii="Times New Roman" w:eastAsia="Times New Roman" w:hAnsi="Times New Roman" w:cs="Times New Roman"/>
            <w:color w:val="000000" w:themeColor="text1"/>
            <w:sz w:val="24"/>
            <w:szCs w:val="24"/>
            <w:highlight w:val="white"/>
            <w:u w:val="single"/>
          </w:rPr>
          <w:t>https://books.google.com/books?hl=en&amp;lr=&amp;id=VTn3DwAAQBAJ&amp;oi=fnd&amp;pg=PA263&amp;dq=managers&amp;ots=PGVUIh6Acs&amp;sig=0ZPwLdjFVvGC5Hbp6usXBdAlk9U</w:t>
        </w:r>
      </w:hyperlink>
      <w:r w:rsidRPr="00A80E80">
        <w:rPr>
          <w:rFonts w:ascii="Times New Roman" w:eastAsia="Times New Roman" w:hAnsi="Times New Roman" w:cs="Times New Roman"/>
          <w:color w:val="000000" w:themeColor="text1"/>
          <w:sz w:val="24"/>
          <w:szCs w:val="24"/>
          <w:highlight w:val="white"/>
        </w:rPr>
        <w:t xml:space="preserve"> </w:t>
      </w:r>
    </w:p>
    <w:p w14:paraId="5CA76215"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Husna, A. and Satria, I., 2019. Effects of return on asset, debt to asset ratio, current ratio, firm size, and dividend payout ratio on firm value. </w:t>
      </w:r>
      <w:r w:rsidRPr="00A80E80">
        <w:rPr>
          <w:rFonts w:ascii="Times New Roman" w:eastAsia="Times New Roman" w:hAnsi="Times New Roman" w:cs="Times New Roman"/>
          <w:i/>
          <w:color w:val="000000" w:themeColor="text1"/>
          <w:sz w:val="24"/>
          <w:szCs w:val="24"/>
          <w:highlight w:val="white"/>
        </w:rPr>
        <w:t>International Journal of Economics and Financial Issues</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9</w:t>
      </w:r>
      <w:r w:rsidRPr="00A80E80">
        <w:rPr>
          <w:rFonts w:ascii="Times New Roman" w:eastAsia="Times New Roman" w:hAnsi="Times New Roman" w:cs="Times New Roman"/>
          <w:color w:val="000000" w:themeColor="text1"/>
          <w:sz w:val="24"/>
          <w:szCs w:val="24"/>
          <w:highlight w:val="white"/>
        </w:rPr>
        <w:t xml:space="preserve">(5), pp.50-54. </w:t>
      </w:r>
      <w:hyperlink r:id="rId15">
        <w:r w:rsidRPr="00A80E80">
          <w:rPr>
            <w:rFonts w:ascii="Times New Roman" w:eastAsia="Times New Roman" w:hAnsi="Times New Roman" w:cs="Times New Roman"/>
            <w:color w:val="000000" w:themeColor="text1"/>
            <w:sz w:val="24"/>
            <w:szCs w:val="24"/>
            <w:highlight w:val="white"/>
            <w:u w:val="single"/>
          </w:rPr>
          <w:t>https://www.academia.edu/download/72349718/pdf.pdf</w:t>
        </w:r>
      </w:hyperlink>
      <w:r w:rsidRPr="00A80E80">
        <w:rPr>
          <w:rFonts w:ascii="Times New Roman" w:eastAsia="Times New Roman" w:hAnsi="Times New Roman" w:cs="Times New Roman"/>
          <w:color w:val="000000" w:themeColor="text1"/>
          <w:sz w:val="24"/>
          <w:szCs w:val="24"/>
          <w:highlight w:val="white"/>
        </w:rPr>
        <w:t xml:space="preserve"> </w:t>
      </w:r>
    </w:p>
    <w:p w14:paraId="1C6AAFF3"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E80">
        <w:rPr>
          <w:rFonts w:ascii="Times New Roman" w:eastAsia="Times New Roman" w:hAnsi="Times New Roman" w:cs="Times New Roman"/>
          <w:color w:val="000000" w:themeColor="text1"/>
          <w:sz w:val="24"/>
          <w:szCs w:val="24"/>
          <w:highlight w:val="white"/>
        </w:rPr>
        <w:t>Imhanzenobe</w:t>
      </w:r>
      <w:proofErr w:type="spellEnd"/>
      <w:r w:rsidRPr="00A80E80">
        <w:rPr>
          <w:rFonts w:ascii="Times New Roman" w:eastAsia="Times New Roman" w:hAnsi="Times New Roman" w:cs="Times New Roman"/>
          <w:color w:val="000000" w:themeColor="text1"/>
          <w:sz w:val="24"/>
          <w:szCs w:val="24"/>
          <w:highlight w:val="white"/>
        </w:rPr>
        <w:t xml:space="preserve">, J., 2022. Value relevance and changes in accounting standards: A review of the IFRS adoption literature. </w:t>
      </w:r>
      <w:r w:rsidRPr="00A80E80">
        <w:rPr>
          <w:rFonts w:ascii="Times New Roman" w:eastAsia="Times New Roman" w:hAnsi="Times New Roman" w:cs="Times New Roman"/>
          <w:i/>
          <w:color w:val="000000" w:themeColor="text1"/>
          <w:sz w:val="24"/>
          <w:szCs w:val="24"/>
          <w:highlight w:val="white"/>
        </w:rPr>
        <w:t>Cogent Business &amp; Management</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9</w:t>
      </w:r>
      <w:r w:rsidRPr="00A80E80">
        <w:rPr>
          <w:rFonts w:ascii="Times New Roman" w:eastAsia="Times New Roman" w:hAnsi="Times New Roman" w:cs="Times New Roman"/>
          <w:color w:val="000000" w:themeColor="text1"/>
          <w:sz w:val="24"/>
          <w:szCs w:val="24"/>
          <w:highlight w:val="white"/>
        </w:rPr>
        <w:t xml:space="preserve">(1), p.2039057. </w:t>
      </w:r>
      <w:hyperlink r:id="rId16">
        <w:r w:rsidRPr="00A80E80">
          <w:rPr>
            <w:rFonts w:ascii="Times New Roman" w:eastAsia="Times New Roman" w:hAnsi="Times New Roman" w:cs="Times New Roman"/>
            <w:color w:val="000000" w:themeColor="text1"/>
            <w:sz w:val="24"/>
            <w:szCs w:val="24"/>
            <w:highlight w:val="white"/>
            <w:u w:val="single"/>
          </w:rPr>
          <w:t>https://www.tandfonline.com/doi/abs/10.1080/23311975.2022.2039057</w:t>
        </w:r>
      </w:hyperlink>
      <w:r w:rsidRPr="00A80E80">
        <w:rPr>
          <w:rFonts w:ascii="Times New Roman" w:eastAsia="Times New Roman" w:hAnsi="Times New Roman" w:cs="Times New Roman"/>
          <w:color w:val="000000" w:themeColor="text1"/>
          <w:sz w:val="24"/>
          <w:szCs w:val="24"/>
          <w:highlight w:val="white"/>
        </w:rPr>
        <w:t xml:space="preserve"> </w:t>
      </w:r>
    </w:p>
    <w:p w14:paraId="43ECBB78"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Lacombe, R.S. and Bazinet, R.P., 2021. Natural abundance carbon isotope ratio analysis and its application in the study of diet and metabolism. </w:t>
      </w:r>
      <w:r w:rsidRPr="00A80E80">
        <w:rPr>
          <w:rFonts w:ascii="Times New Roman" w:eastAsia="Times New Roman" w:hAnsi="Times New Roman" w:cs="Times New Roman"/>
          <w:i/>
          <w:color w:val="000000" w:themeColor="text1"/>
          <w:sz w:val="24"/>
          <w:szCs w:val="24"/>
          <w:highlight w:val="white"/>
        </w:rPr>
        <w:t>Nutrition reviews</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79</w:t>
      </w:r>
      <w:r w:rsidRPr="00A80E80">
        <w:rPr>
          <w:rFonts w:ascii="Times New Roman" w:eastAsia="Times New Roman" w:hAnsi="Times New Roman" w:cs="Times New Roman"/>
          <w:color w:val="000000" w:themeColor="text1"/>
          <w:sz w:val="24"/>
          <w:szCs w:val="24"/>
          <w:highlight w:val="white"/>
        </w:rPr>
        <w:t xml:space="preserve">(8), pp.869-888. </w:t>
      </w:r>
      <w:hyperlink r:id="rId17">
        <w:r w:rsidRPr="00A80E80">
          <w:rPr>
            <w:rFonts w:ascii="Times New Roman" w:eastAsia="Times New Roman" w:hAnsi="Times New Roman" w:cs="Times New Roman"/>
            <w:color w:val="000000" w:themeColor="text1"/>
            <w:sz w:val="24"/>
            <w:szCs w:val="24"/>
            <w:highlight w:val="white"/>
            <w:u w:val="single"/>
          </w:rPr>
          <w:t>https://academic.oup.com/nutritionreviews/article-abstract/79/8/869/5952898</w:t>
        </w:r>
      </w:hyperlink>
      <w:r w:rsidRPr="00A80E80">
        <w:rPr>
          <w:rFonts w:ascii="Times New Roman" w:eastAsia="Times New Roman" w:hAnsi="Times New Roman" w:cs="Times New Roman"/>
          <w:color w:val="000000" w:themeColor="text1"/>
          <w:sz w:val="24"/>
          <w:szCs w:val="24"/>
          <w:highlight w:val="white"/>
        </w:rPr>
        <w:t xml:space="preserve"> </w:t>
      </w:r>
    </w:p>
    <w:p w14:paraId="6BE0BB4A"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E80">
        <w:rPr>
          <w:rFonts w:ascii="Times New Roman" w:eastAsia="Times New Roman" w:hAnsi="Times New Roman" w:cs="Times New Roman"/>
          <w:color w:val="000000" w:themeColor="text1"/>
          <w:sz w:val="24"/>
          <w:szCs w:val="24"/>
          <w:highlight w:val="white"/>
        </w:rPr>
        <w:t>Lessambo</w:t>
      </w:r>
      <w:proofErr w:type="spellEnd"/>
      <w:r w:rsidRPr="00A80E80">
        <w:rPr>
          <w:rFonts w:ascii="Times New Roman" w:eastAsia="Times New Roman" w:hAnsi="Times New Roman" w:cs="Times New Roman"/>
          <w:color w:val="000000" w:themeColor="text1"/>
          <w:sz w:val="24"/>
          <w:szCs w:val="24"/>
          <w:highlight w:val="white"/>
        </w:rPr>
        <w:t xml:space="preserve">, F.I., 2022. Prepaid Expenses, Unearned Income, and Other Current Assets. In </w:t>
      </w:r>
      <w:r w:rsidRPr="00A80E80">
        <w:rPr>
          <w:rFonts w:ascii="Times New Roman" w:eastAsia="Times New Roman" w:hAnsi="Times New Roman" w:cs="Times New Roman"/>
          <w:i/>
          <w:color w:val="000000" w:themeColor="text1"/>
          <w:sz w:val="24"/>
          <w:szCs w:val="24"/>
          <w:highlight w:val="white"/>
        </w:rPr>
        <w:t>Financial Statements: Analysis, Reporting and Valuation</w:t>
      </w:r>
      <w:r w:rsidRPr="00A80E80">
        <w:rPr>
          <w:rFonts w:ascii="Times New Roman" w:eastAsia="Times New Roman" w:hAnsi="Times New Roman" w:cs="Times New Roman"/>
          <w:color w:val="000000" w:themeColor="text1"/>
          <w:sz w:val="24"/>
          <w:szCs w:val="24"/>
          <w:highlight w:val="white"/>
        </w:rPr>
        <w:t xml:space="preserve"> (pp. 77-82). Cham: Springer International Publishing. </w:t>
      </w:r>
      <w:hyperlink r:id="rId18">
        <w:r w:rsidRPr="00A80E80">
          <w:rPr>
            <w:rFonts w:ascii="Times New Roman" w:eastAsia="Times New Roman" w:hAnsi="Times New Roman" w:cs="Times New Roman"/>
            <w:color w:val="000000" w:themeColor="text1"/>
            <w:sz w:val="24"/>
            <w:szCs w:val="24"/>
            <w:highlight w:val="white"/>
            <w:u w:val="single"/>
          </w:rPr>
          <w:t>https://link.springer.com/chapter/10.1007/978-3-031-15663-2_5</w:t>
        </w:r>
      </w:hyperlink>
      <w:r w:rsidRPr="00A80E80">
        <w:rPr>
          <w:rFonts w:ascii="Times New Roman" w:eastAsia="Times New Roman" w:hAnsi="Times New Roman" w:cs="Times New Roman"/>
          <w:color w:val="000000" w:themeColor="text1"/>
          <w:sz w:val="24"/>
          <w:szCs w:val="24"/>
          <w:highlight w:val="white"/>
        </w:rPr>
        <w:t xml:space="preserve"> </w:t>
      </w:r>
    </w:p>
    <w:p w14:paraId="277DF7C7"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Nabella, S.D., Rivaldo, Y., </w:t>
      </w:r>
      <w:proofErr w:type="spellStart"/>
      <w:r w:rsidRPr="00A80E80">
        <w:rPr>
          <w:rFonts w:ascii="Times New Roman" w:eastAsia="Times New Roman" w:hAnsi="Times New Roman" w:cs="Times New Roman"/>
          <w:color w:val="000000" w:themeColor="text1"/>
          <w:sz w:val="24"/>
          <w:szCs w:val="24"/>
          <w:highlight w:val="white"/>
        </w:rPr>
        <w:t>Sumardin</w:t>
      </w:r>
      <w:proofErr w:type="spellEnd"/>
      <w:r w:rsidRPr="00A80E80">
        <w:rPr>
          <w:rFonts w:ascii="Times New Roman" w:eastAsia="Times New Roman" w:hAnsi="Times New Roman" w:cs="Times New Roman"/>
          <w:color w:val="000000" w:themeColor="text1"/>
          <w:sz w:val="24"/>
          <w:szCs w:val="24"/>
          <w:highlight w:val="white"/>
        </w:rPr>
        <w:t xml:space="preserve">, S., Kurniawan, R. and Sabri, S., 2023. the Effect of Financing on Islamic Banking Assets </w:t>
      </w:r>
      <w:proofErr w:type="gramStart"/>
      <w:r w:rsidRPr="00A80E80">
        <w:rPr>
          <w:rFonts w:ascii="Times New Roman" w:eastAsia="Times New Roman" w:hAnsi="Times New Roman" w:cs="Times New Roman"/>
          <w:color w:val="000000" w:themeColor="text1"/>
          <w:sz w:val="24"/>
          <w:szCs w:val="24"/>
          <w:highlight w:val="white"/>
        </w:rPr>
        <w:t>With</w:t>
      </w:r>
      <w:proofErr w:type="gramEnd"/>
      <w:r w:rsidRPr="00A80E80">
        <w:rPr>
          <w:rFonts w:ascii="Times New Roman" w:eastAsia="Times New Roman" w:hAnsi="Times New Roman" w:cs="Times New Roman"/>
          <w:color w:val="000000" w:themeColor="text1"/>
          <w:sz w:val="24"/>
          <w:szCs w:val="24"/>
          <w:highlight w:val="white"/>
        </w:rPr>
        <w:t xml:space="preserve"> Non-Performing Finance As a Moderating Variable </w:t>
      </w:r>
      <w:r w:rsidRPr="00A80E80">
        <w:rPr>
          <w:rFonts w:ascii="Times New Roman" w:eastAsia="Times New Roman" w:hAnsi="Times New Roman" w:cs="Times New Roman"/>
          <w:color w:val="000000" w:themeColor="text1"/>
          <w:sz w:val="24"/>
          <w:szCs w:val="24"/>
          <w:highlight w:val="white"/>
        </w:rPr>
        <w:lastRenderedPageBreak/>
        <w:t xml:space="preserve">in Indonesia. </w:t>
      </w:r>
      <w:proofErr w:type="spellStart"/>
      <w:r w:rsidRPr="00A80E80">
        <w:rPr>
          <w:rFonts w:ascii="Times New Roman" w:eastAsia="Times New Roman" w:hAnsi="Times New Roman" w:cs="Times New Roman"/>
          <w:i/>
          <w:color w:val="000000" w:themeColor="text1"/>
          <w:sz w:val="24"/>
          <w:szCs w:val="24"/>
          <w:highlight w:val="white"/>
        </w:rPr>
        <w:t>Jurnal</w:t>
      </w:r>
      <w:proofErr w:type="spellEnd"/>
      <w:r w:rsidRPr="00A80E80">
        <w:rPr>
          <w:rFonts w:ascii="Times New Roman" w:eastAsia="Times New Roman" w:hAnsi="Times New Roman" w:cs="Times New Roman"/>
          <w:i/>
          <w:color w:val="000000" w:themeColor="text1"/>
          <w:sz w:val="24"/>
          <w:szCs w:val="24"/>
          <w:highlight w:val="white"/>
        </w:rPr>
        <w:t xml:space="preserve"> Ekonomi</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12</w:t>
      </w:r>
      <w:r w:rsidRPr="00A80E80">
        <w:rPr>
          <w:rFonts w:ascii="Times New Roman" w:eastAsia="Times New Roman" w:hAnsi="Times New Roman" w:cs="Times New Roman"/>
          <w:color w:val="000000" w:themeColor="text1"/>
          <w:sz w:val="24"/>
          <w:szCs w:val="24"/>
          <w:highlight w:val="white"/>
        </w:rPr>
        <w:t xml:space="preserve">(01), pp.998-1004. </w:t>
      </w:r>
      <w:hyperlink r:id="rId19">
        <w:r w:rsidRPr="00A80E80">
          <w:rPr>
            <w:rFonts w:ascii="Times New Roman" w:eastAsia="Times New Roman" w:hAnsi="Times New Roman" w:cs="Times New Roman"/>
            <w:color w:val="000000" w:themeColor="text1"/>
            <w:sz w:val="24"/>
            <w:szCs w:val="24"/>
            <w:highlight w:val="white"/>
            <w:u w:val="single"/>
          </w:rPr>
          <w:t>https://ejournal.seaninstitute.or.id/index.php/Ekonomi/article/view/1241</w:t>
        </w:r>
      </w:hyperlink>
      <w:r w:rsidRPr="00A80E80">
        <w:rPr>
          <w:rFonts w:ascii="Times New Roman" w:eastAsia="Times New Roman" w:hAnsi="Times New Roman" w:cs="Times New Roman"/>
          <w:color w:val="000000" w:themeColor="text1"/>
          <w:sz w:val="24"/>
          <w:szCs w:val="24"/>
          <w:highlight w:val="white"/>
        </w:rPr>
        <w:t xml:space="preserve"> </w:t>
      </w:r>
    </w:p>
    <w:p w14:paraId="2697445E"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E80">
        <w:rPr>
          <w:rFonts w:ascii="Times New Roman" w:eastAsia="Times New Roman" w:hAnsi="Times New Roman" w:cs="Times New Roman"/>
          <w:color w:val="000000" w:themeColor="text1"/>
          <w:sz w:val="24"/>
          <w:szCs w:val="24"/>
          <w:highlight w:val="white"/>
        </w:rPr>
        <w:t>Nariswari</w:t>
      </w:r>
      <w:proofErr w:type="spellEnd"/>
      <w:r w:rsidRPr="00A80E80">
        <w:rPr>
          <w:rFonts w:ascii="Times New Roman" w:eastAsia="Times New Roman" w:hAnsi="Times New Roman" w:cs="Times New Roman"/>
          <w:color w:val="000000" w:themeColor="text1"/>
          <w:sz w:val="24"/>
          <w:szCs w:val="24"/>
          <w:highlight w:val="white"/>
        </w:rPr>
        <w:t xml:space="preserve">, T.N. and </w:t>
      </w:r>
      <w:proofErr w:type="spellStart"/>
      <w:r w:rsidRPr="00A80E80">
        <w:rPr>
          <w:rFonts w:ascii="Times New Roman" w:eastAsia="Times New Roman" w:hAnsi="Times New Roman" w:cs="Times New Roman"/>
          <w:color w:val="000000" w:themeColor="text1"/>
          <w:sz w:val="24"/>
          <w:szCs w:val="24"/>
          <w:highlight w:val="white"/>
        </w:rPr>
        <w:t>Nugraha</w:t>
      </w:r>
      <w:proofErr w:type="spellEnd"/>
      <w:r w:rsidRPr="00A80E80">
        <w:rPr>
          <w:rFonts w:ascii="Times New Roman" w:eastAsia="Times New Roman" w:hAnsi="Times New Roman" w:cs="Times New Roman"/>
          <w:color w:val="000000" w:themeColor="text1"/>
          <w:sz w:val="24"/>
          <w:szCs w:val="24"/>
          <w:highlight w:val="white"/>
        </w:rPr>
        <w:t xml:space="preserve">, N.M., 2020. Profit growth: impact of net profit margin, gross profit margin and total </w:t>
      </w:r>
      <w:proofErr w:type="spellStart"/>
      <w:r w:rsidRPr="00A80E80">
        <w:rPr>
          <w:rFonts w:ascii="Times New Roman" w:eastAsia="Times New Roman" w:hAnsi="Times New Roman" w:cs="Times New Roman"/>
          <w:color w:val="000000" w:themeColor="text1"/>
          <w:sz w:val="24"/>
          <w:szCs w:val="24"/>
          <w:highlight w:val="white"/>
        </w:rPr>
        <w:t>assests</w:t>
      </w:r>
      <w:proofErr w:type="spellEnd"/>
      <w:r w:rsidRPr="00A80E80">
        <w:rPr>
          <w:rFonts w:ascii="Times New Roman" w:eastAsia="Times New Roman" w:hAnsi="Times New Roman" w:cs="Times New Roman"/>
          <w:color w:val="000000" w:themeColor="text1"/>
          <w:sz w:val="24"/>
          <w:szCs w:val="24"/>
          <w:highlight w:val="white"/>
        </w:rPr>
        <w:t xml:space="preserve"> turnover. </w:t>
      </w:r>
      <w:r w:rsidRPr="00A80E80">
        <w:rPr>
          <w:rFonts w:ascii="Times New Roman" w:eastAsia="Times New Roman" w:hAnsi="Times New Roman" w:cs="Times New Roman"/>
          <w:i/>
          <w:color w:val="000000" w:themeColor="text1"/>
          <w:sz w:val="24"/>
          <w:szCs w:val="24"/>
          <w:highlight w:val="white"/>
        </w:rPr>
        <w:t>International Journal of Finance &amp; Banking Studies (2147-4486)</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9</w:t>
      </w:r>
      <w:r w:rsidRPr="00A80E80">
        <w:rPr>
          <w:rFonts w:ascii="Times New Roman" w:eastAsia="Times New Roman" w:hAnsi="Times New Roman" w:cs="Times New Roman"/>
          <w:color w:val="000000" w:themeColor="text1"/>
          <w:sz w:val="24"/>
          <w:szCs w:val="24"/>
          <w:highlight w:val="white"/>
        </w:rPr>
        <w:t xml:space="preserve">(4), pp.87-96. </w:t>
      </w:r>
      <w:hyperlink r:id="rId20">
        <w:r w:rsidRPr="00A80E80">
          <w:rPr>
            <w:rFonts w:ascii="Times New Roman" w:eastAsia="Times New Roman" w:hAnsi="Times New Roman" w:cs="Times New Roman"/>
            <w:color w:val="000000" w:themeColor="text1"/>
            <w:sz w:val="24"/>
            <w:szCs w:val="24"/>
            <w:highlight w:val="white"/>
            <w:u w:val="single"/>
          </w:rPr>
          <w:t>https://www.ssbfnet.com/ojs/index.php/ijfbs/article/view/937</w:t>
        </w:r>
      </w:hyperlink>
      <w:r w:rsidRPr="00A80E80">
        <w:rPr>
          <w:rFonts w:ascii="Times New Roman" w:eastAsia="Times New Roman" w:hAnsi="Times New Roman" w:cs="Times New Roman"/>
          <w:color w:val="000000" w:themeColor="text1"/>
          <w:sz w:val="24"/>
          <w:szCs w:val="24"/>
          <w:highlight w:val="white"/>
        </w:rPr>
        <w:t xml:space="preserve"> </w:t>
      </w:r>
    </w:p>
    <w:p w14:paraId="14269109"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Saputra, F., 2022. Analysis Effect Return on Assets (ROA), Return on Equity (ROE) and Price </w:t>
      </w:r>
      <w:proofErr w:type="spellStart"/>
      <w:r w:rsidRPr="00A80E80">
        <w:rPr>
          <w:rFonts w:ascii="Times New Roman" w:eastAsia="Times New Roman" w:hAnsi="Times New Roman" w:cs="Times New Roman"/>
          <w:color w:val="000000" w:themeColor="text1"/>
          <w:sz w:val="24"/>
          <w:szCs w:val="24"/>
          <w:highlight w:val="white"/>
        </w:rPr>
        <w:t>Earning</w:t>
      </w:r>
      <w:proofErr w:type="spellEnd"/>
      <w:r w:rsidRPr="00A80E80">
        <w:rPr>
          <w:rFonts w:ascii="Times New Roman" w:eastAsia="Times New Roman" w:hAnsi="Times New Roman" w:cs="Times New Roman"/>
          <w:color w:val="000000" w:themeColor="text1"/>
          <w:sz w:val="24"/>
          <w:szCs w:val="24"/>
          <w:highlight w:val="white"/>
        </w:rPr>
        <w:t xml:space="preserve"> Ratio (PER) on Stock Prices of Coal Companies in the Indonesia Stock Exchange (IDX) Period 2018-2021. </w:t>
      </w:r>
      <w:r w:rsidRPr="00A80E80">
        <w:rPr>
          <w:rFonts w:ascii="Times New Roman" w:eastAsia="Times New Roman" w:hAnsi="Times New Roman" w:cs="Times New Roman"/>
          <w:i/>
          <w:color w:val="000000" w:themeColor="text1"/>
          <w:sz w:val="24"/>
          <w:szCs w:val="24"/>
          <w:highlight w:val="white"/>
        </w:rPr>
        <w:t>Dinasti International Journal of Economics, Finance &amp; Accounting</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3</w:t>
      </w:r>
      <w:r w:rsidRPr="00A80E80">
        <w:rPr>
          <w:rFonts w:ascii="Times New Roman" w:eastAsia="Times New Roman" w:hAnsi="Times New Roman" w:cs="Times New Roman"/>
          <w:color w:val="000000" w:themeColor="text1"/>
          <w:sz w:val="24"/>
          <w:szCs w:val="24"/>
          <w:highlight w:val="white"/>
        </w:rPr>
        <w:t xml:space="preserve">(1), pp.82-94. </w:t>
      </w:r>
      <w:hyperlink r:id="rId21">
        <w:r w:rsidRPr="00A80E80">
          <w:rPr>
            <w:rFonts w:ascii="Times New Roman" w:eastAsia="Times New Roman" w:hAnsi="Times New Roman" w:cs="Times New Roman"/>
            <w:color w:val="000000" w:themeColor="text1"/>
            <w:sz w:val="24"/>
            <w:szCs w:val="24"/>
            <w:highlight w:val="white"/>
            <w:u w:val="single"/>
          </w:rPr>
          <w:t>https://www.dinastipub.org/DIJEFA/article/view/1238</w:t>
        </w:r>
      </w:hyperlink>
      <w:r w:rsidRPr="00A80E80">
        <w:rPr>
          <w:rFonts w:ascii="Times New Roman" w:eastAsia="Times New Roman" w:hAnsi="Times New Roman" w:cs="Times New Roman"/>
          <w:color w:val="000000" w:themeColor="text1"/>
          <w:sz w:val="24"/>
          <w:szCs w:val="24"/>
          <w:highlight w:val="white"/>
        </w:rPr>
        <w:t xml:space="preserve"> </w:t>
      </w:r>
    </w:p>
    <w:p w14:paraId="2696B34E"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E80">
        <w:rPr>
          <w:rFonts w:ascii="Times New Roman" w:eastAsia="Times New Roman" w:hAnsi="Times New Roman" w:cs="Times New Roman"/>
          <w:color w:val="000000" w:themeColor="text1"/>
          <w:sz w:val="24"/>
          <w:szCs w:val="24"/>
          <w:highlight w:val="white"/>
        </w:rPr>
        <w:t>Shrotriya</w:t>
      </w:r>
      <w:proofErr w:type="spellEnd"/>
      <w:r w:rsidRPr="00A80E80">
        <w:rPr>
          <w:rFonts w:ascii="Times New Roman" w:eastAsia="Times New Roman" w:hAnsi="Times New Roman" w:cs="Times New Roman"/>
          <w:color w:val="000000" w:themeColor="text1"/>
          <w:sz w:val="24"/>
          <w:szCs w:val="24"/>
          <w:highlight w:val="white"/>
        </w:rPr>
        <w:t xml:space="preserve">, V., 2019. Analysis of return on total assets (ROTA) and return on capital employed (ROCE) of IFFCO limited. </w:t>
      </w:r>
      <w:r w:rsidRPr="00A80E80">
        <w:rPr>
          <w:rFonts w:ascii="Times New Roman" w:eastAsia="Times New Roman" w:hAnsi="Times New Roman" w:cs="Times New Roman"/>
          <w:i/>
          <w:color w:val="000000" w:themeColor="text1"/>
          <w:sz w:val="24"/>
          <w:szCs w:val="24"/>
          <w:highlight w:val="white"/>
        </w:rPr>
        <w:t>International Journal of Research and Analytical Reviews</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6</w:t>
      </w:r>
      <w:r w:rsidRPr="00A80E80">
        <w:rPr>
          <w:rFonts w:ascii="Times New Roman" w:eastAsia="Times New Roman" w:hAnsi="Times New Roman" w:cs="Times New Roman"/>
          <w:color w:val="000000" w:themeColor="text1"/>
          <w:sz w:val="24"/>
          <w:szCs w:val="24"/>
          <w:highlight w:val="white"/>
        </w:rPr>
        <w:t xml:space="preserve">(2), pp.746-754. </w:t>
      </w:r>
      <w:hyperlink r:id="rId22">
        <w:r w:rsidRPr="00A80E80">
          <w:rPr>
            <w:rFonts w:ascii="Times New Roman" w:eastAsia="Times New Roman" w:hAnsi="Times New Roman" w:cs="Times New Roman"/>
            <w:color w:val="000000" w:themeColor="text1"/>
            <w:sz w:val="24"/>
            <w:szCs w:val="24"/>
            <w:highlight w:val="white"/>
            <w:u w:val="single"/>
          </w:rPr>
          <w:t>https://www.researchgate.net/profile/Vikas-Shrotriya/publication/337464978_Analysis_of_Return_on_Total_Assets_ROTA_and_Return_on_Capital_Employed_ROCE_of_IFFCO_Limited/links/5dd8ec51299bf10c5a2a9e43/Analysis-of-Return-on-Total-Assets-ROTA-and-Return-on-Capital-Employed-ROCE-of-IFFCO-Limited.pdf</w:t>
        </w:r>
      </w:hyperlink>
      <w:r w:rsidRPr="00A80E80">
        <w:rPr>
          <w:rFonts w:ascii="Times New Roman" w:eastAsia="Times New Roman" w:hAnsi="Times New Roman" w:cs="Times New Roman"/>
          <w:color w:val="000000" w:themeColor="text1"/>
          <w:sz w:val="24"/>
          <w:szCs w:val="24"/>
          <w:highlight w:val="white"/>
        </w:rPr>
        <w:t xml:space="preserve"> </w:t>
      </w:r>
    </w:p>
    <w:p w14:paraId="7E69712D"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Tan, Z., Yan, Z. and Zhu, G., 2019. Stock selection with random forest: An exploitation of excess return in the Chinese stock market. </w:t>
      </w:r>
      <w:proofErr w:type="spellStart"/>
      <w:r w:rsidRPr="00A80E80">
        <w:rPr>
          <w:rFonts w:ascii="Times New Roman" w:eastAsia="Times New Roman" w:hAnsi="Times New Roman" w:cs="Times New Roman"/>
          <w:i/>
          <w:color w:val="000000" w:themeColor="text1"/>
          <w:sz w:val="24"/>
          <w:szCs w:val="24"/>
          <w:highlight w:val="white"/>
        </w:rPr>
        <w:t>Heliyon</w:t>
      </w:r>
      <w:proofErr w:type="spellEnd"/>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5</w:t>
      </w:r>
      <w:r w:rsidRPr="00A80E80">
        <w:rPr>
          <w:rFonts w:ascii="Times New Roman" w:eastAsia="Times New Roman" w:hAnsi="Times New Roman" w:cs="Times New Roman"/>
          <w:color w:val="000000" w:themeColor="text1"/>
          <w:sz w:val="24"/>
          <w:szCs w:val="24"/>
          <w:highlight w:val="white"/>
        </w:rPr>
        <w:t xml:space="preserve">(8). </w:t>
      </w:r>
      <w:hyperlink r:id="rId23">
        <w:r w:rsidRPr="00A80E80">
          <w:rPr>
            <w:rFonts w:ascii="Times New Roman" w:eastAsia="Times New Roman" w:hAnsi="Times New Roman" w:cs="Times New Roman"/>
            <w:color w:val="000000" w:themeColor="text1"/>
            <w:sz w:val="24"/>
            <w:szCs w:val="24"/>
            <w:highlight w:val="white"/>
            <w:u w:val="single"/>
          </w:rPr>
          <w:t>https://www.cell.com/heliyon/pdf/S2405-8440(19)35970-5.pdf</w:t>
        </w:r>
      </w:hyperlink>
      <w:r w:rsidRPr="00A80E80">
        <w:rPr>
          <w:rFonts w:ascii="Times New Roman" w:eastAsia="Times New Roman" w:hAnsi="Times New Roman" w:cs="Times New Roman"/>
          <w:color w:val="000000" w:themeColor="text1"/>
          <w:sz w:val="24"/>
          <w:szCs w:val="24"/>
          <w:highlight w:val="white"/>
        </w:rPr>
        <w:t xml:space="preserve"> </w:t>
      </w:r>
    </w:p>
    <w:p w14:paraId="2E27D43E"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Warren, C.S., Jones, J.P. and Tayler, W.B., 2020. </w:t>
      </w:r>
      <w:r w:rsidRPr="00A80E80">
        <w:rPr>
          <w:rFonts w:ascii="Times New Roman" w:eastAsia="Times New Roman" w:hAnsi="Times New Roman" w:cs="Times New Roman"/>
          <w:i/>
          <w:color w:val="000000" w:themeColor="text1"/>
          <w:sz w:val="24"/>
          <w:szCs w:val="24"/>
          <w:highlight w:val="white"/>
        </w:rPr>
        <w:t>Financial and managerial accounting</w:t>
      </w:r>
      <w:r w:rsidRPr="00A80E80">
        <w:rPr>
          <w:rFonts w:ascii="Times New Roman" w:eastAsia="Times New Roman" w:hAnsi="Times New Roman" w:cs="Times New Roman"/>
          <w:color w:val="000000" w:themeColor="text1"/>
          <w:sz w:val="24"/>
          <w:szCs w:val="24"/>
          <w:highlight w:val="white"/>
        </w:rPr>
        <w:t xml:space="preserve">. Cengage Learning, </w:t>
      </w:r>
      <w:proofErr w:type="gramStart"/>
      <w:r w:rsidRPr="00A80E80">
        <w:rPr>
          <w:rFonts w:ascii="Times New Roman" w:eastAsia="Times New Roman" w:hAnsi="Times New Roman" w:cs="Times New Roman"/>
          <w:color w:val="000000" w:themeColor="text1"/>
          <w:sz w:val="24"/>
          <w:szCs w:val="24"/>
          <w:highlight w:val="white"/>
        </w:rPr>
        <w:t>Inc..</w:t>
      </w:r>
      <w:proofErr w:type="gramEnd"/>
      <w:r w:rsidRPr="00A80E80">
        <w:rPr>
          <w:rFonts w:ascii="Times New Roman" w:eastAsia="Times New Roman" w:hAnsi="Times New Roman" w:cs="Times New Roman"/>
          <w:color w:val="000000" w:themeColor="text1"/>
          <w:sz w:val="24"/>
          <w:szCs w:val="24"/>
          <w:highlight w:val="white"/>
        </w:rPr>
        <w:t xml:space="preserve"> </w:t>
      </w:r>
      <w:hyperlink r:id="rId24">
        <w:r w:rsidRPr="00A80E80">
          <w:rPr>
            <w:rFonts w:ascii="Times New Roman" w:eastAsia="Times New Roman" w:hAnsi="Times New Roman" w:cs="Times New Roman"/>
            <w:color w:val="000000" w:themeColor="text1"/>
            <w:sz w:val="24"/>
            <w:szCs w:val="24"/>
            <w:highlight w:val="white"/>
            <w:u w:val="single"/>
          </w:rPr>
          <w:t>https://thuvienso.hoasen.edu.vn/handle/123456789/13237</w:t>
        </w:r>
      </w:hyperlink>
      <w:r w:rsidRPr="00A80E80">
        <w:rPr>
          <w:rFonts w:ascii="Times New Roman" w:eastAsia="Times New Roman" w:hAnsi="Times New Roman" w:cs="Times New Roman"/>
          <w:color w:val="000000" w:themeColor="text1"/>
          <w:sz w:val="24"/>
          <w:szCs w:val="24"/>
          <w:highlight w:val="white"/>
        </w:rPr>
        <w:t xml:space="preserve"> </w:t>
      </w:r>
    </w:p>
    <w:p w14:paraId="490622F8" w14:textId="77777777" w:rsidR="000E13D4" w:rsidRPr="00A80E80" w:rsidRDefault="000E13D4" w:rsidP="00A80E80">
      <w:pPr>
        <w:spacing w:before="240" w:after="240" w:line="360" w:lineRule="auto"/>
        <w:jc w:val="both"/>
        <w:rPr>
          <w:rFonts w:ascii="Times New Roman" w:eastAsia="Times New Roman" w:hAnsi="Times New Roman" w:cs="Times New Roman"/>
          <w:color w:val="000000" w:themeColor="text1"/>
          <w:sz w:val="24"/>
          <w:szCs w:val="24"/>
          <w:highlight w:val="white"/>
        </w:rPr>
      </w:pPr>
      <w:r w:rsidRPr="00A80E80">
        <w:rPr>
          <w:rFonts w:ascii="Times New Roman" w:eastAsia="Times New Roman" w:hAnsi="Times New Roman" w:cs="Times New Roman"/>
          <w:color w:val="000000" w:themeColor="text1"/>
          <w:sz w:val="24"/>
          <w:szCs w:val="24"/>
          <w:highlight w:val="white"/>
        </w:rPr>
        <w:t xml:space="preserve">Zhang, Y., </w:t>
      </w:r>
      <w:proofErr w:type="spellStart"/>
      <w:r w:rsidRPr="00A80E80">
        <w:rPr>
          <w:rFonts w:ascii="Times New Roman" w:eastAsia="Times New Roman" w:hAnsi="Times New Roman" w:cs="Times New Roman"/>
          <w:color w:val="000000" w:themeColor="text1"/>
          <w:sz w:val="24"/>
          <w:szCs w:val="24"/>
          <w:highlight w:val="white"/>
        </w:rPr>
        <w:t>Pourroostaei</w:t>
      </w:r>
      <w:proofErr w:type="spellEnd"/>
      <w:r w:rsidRPr="00A80E80">
        <w:rPr>
          <w:rFonts w:ascii="Times New Roman" w:eastAsia="Times New Roman" w:hAnsi="Times New Roman" w:cs="Times New Roman"/>
          <w:color w:val="000000" w:themeColor="text1"/>
          <w:sz w:val="24"/>
          <w:szCs w:val="24"/>
          <w:highlight w:val="white"/>
        </w:rPr>
        <w:t xml:space="preserve"> </w:t>
      </w:r>
      <w:proofErr w:type="spellStart"/>
      <w:r w:rsidRPr="00A80E80">
        <w:rPr>
          <w:rFonts w:ascii="Times New Roman" w:eastAsia="Times New Roman" w:hAnsi="Times New Roman" w:cs="Times New Roman"/>
          <w:color w:val="000000" w:themeColor="text1"/>
          <w:sz w:val="24"/>
          <w:szCs w:val="24"/>
          <w:highlight w:val="white"/>
        </w:rPr>
        <w:t>Ardakani</w:t>
      </w:r>
      <w:proofErr w:type="spellEnd"/>
      <w:r w:rsidRPr="00A80E80">
        <w:rPr>
          <w:rFonts w:ascii="Times New Roman" w:eastAsia="Times New Roman" w:hAnsi="Times New Roman" w:cs="Times New Roman"/>
          <w:color w:val="000000" w:themeColor="text1"/>
          <w:sz w:val="24"/>
          <w:szCs w:val="24"/>
          <w:highlight w:val="white"/>
        </w:rPr>
        <w:t xml:space="preserve">, S. and Han, W., 2021. Smart ledger: The blockchain‐based accounting information recording protocol. </w:t>
      </w:r>
      <w:r w:rsidRPr="00A80E80">
        <w:rPr>
          <w:rFonts w:ascii="Times New Roman" w:eastAsia="Times New Roman" w:hAnsi="Times New Roman" w:cs="Times New Roman"/>
          <w:i/>
          <w:color w:val="000000" w:themeColor="text1"/>
          <w:sz w:val="24"/>
          <w:szCs w:val="24"/>
          <w:highlight w:val="white"/>
        </w:rPr>
        <w:t>Journal of Corporate Accounting &amp; Finance</w:t>
      </w:r>
      <w:r w:rsidRPr="00A80E80">
        <w:rPr>
          <w:rFonts w:ascii="Times New Roman" w:eastAsia="Times New Roman" w:hAnsi="Times New Roman" w:cs="Times New Roman"/>
          <w:color w:val="000000" w:themeColor="text1"/>
          <w:sz w:val="24"/>
          <w:szCs w:val="24"/>
          <w:highlight w:val="white"/>
        </w:rPr>
        <w:t xml:space="preserve">, </w:t>
      </w:r>
      <w:r w:rsidRPr="00A80E80">
        <w:rPr>
          <w:rFonts w:ascii="Times New Roman" w:eastAsia="Times New Roman" w:hAnsi="Times New Roman" w:cs="Times New Roman"/>
          <w:i/>
          <w:color w:val="000000" w:themeColor="text1"/>
          <w:sz w:val="24"/>
          <w:szCs w:val="24"/>
          <w:highlight w:val="white"/>
        </w:rPr>
        <w:t>32</w:t>
      </w:r>
      <w:r w:rsidRPr="00A80E80">
        <w:rPr>
          <w:rFonts w:ascii="Times New Roman" w:eastAsia="Times New Roman" w:hAnsi="Times New Roman" w:cs="Times New Roman"/>
          <w:color w:val="000000" w:themeColor="text1"/>
          <w:sz w:val="24"/>
          <w:szCs w:val="24"/>
          <w:highlight w:val="white"/>
        </w:rPr>
        <w:t xml:space="preserve">(4), pp.147-157. </w:t>
      </w:r>
      <w:hyperlink r:id="rId25">
        <w:r w:rsidRPr="00A80E80">
          <w:rPr>
            <w:rFonts w:ascii="Times New Roman" w:eastAsia="Times New Roman" w:hAnsi="Times New Roman" w:cs="Times New Roman"/>
            <w:color w:val="000000" w:themeColor="text1"/>
            <w:sz w:val="24"/>
            <w:szCs w:val="24"/>
            <w:highlight w:val="white"/>
            <w:u w:val="single"/>
          </w:rPr>
          <w:t>https://onlinelibrary.wiley.com/doi/abs/10.1002/jcaf.22515</w:t>
        </w:r>
      </w:hyperlink>
      <w:r w:rsidRPr="00A80E80">
        <w:rPr>
          <w:rFonts w:ascii="Times New Roman" w:eastAsia="Times New Roman" w:hAnsi="Times New Roman" w:cs="Times New Roman"/>
          <w:color w:val="000000" w:themeColor="text1"/>
          <w:sz w:val="24"/>
          <w:szCs w:val="24"/>
          <w:highlight w:val="white"/>
        </w:rPr>
        <w:t xml:space="preserve"> </w:t>
      </w:r>
    </w:p>
    <w:p w14:paraId="339DEDD4" w14:textId="77777777" w:rsidR="00617149" w:rsidRPr="00A80E80" w:rsidRDefault="00617149" w:rsidP="00A80E80">
      <w:pPr>
        <w:spacing w:before="240" w:after="240" w:line="360" w:lineRule="auto"/>
        <w:jc w:val="both"/>
        <w:rPr>
          <w:rFonts w:ascii="Times New Roman" w:eastAsia="Times New Roman" w:hAnsi="Times New Roman" w:cs="Times New Roman"/>
          <w:color w:val="000000" w:themeColor="text1"/>
          <w:sz w:val="24"/>
          <w:szCs w:val="24"/>
          <w:highlight w:val="white"/>
        </w:rPr>
      </w:pPr>
    </w:p>
    <w:p w14:paraId="4CB9B8FA" w14:textId="77777777" w:rsidR="00617149" w:rsidRPr="00A80E80" w:rsidRDefault="00617149" w:rsidP="00A80E80">
      <w:pPr>
        <w:spacing w:before="240" w:after="240" w:line="360" w:lineRule="auto"/>
        <w:jc w:val="both"/>
        <w:rPr>
          <w:rFonts w:ascii="Times New Roman" w:hAnsi="Times New Roman"/>
          <w:color w:val="000000" w:themeColor="text1"/>
          <w:sz w:val="24"/>
          <w:szCs w:val="20"/>
          <w:highlight w:val="white"/>
        </w:rPr>
      </w:pPr>
    </w:p>
    <w:p w14:paraId="0BFA3C4B" w14:textId="77777777" w:rsidR="00617149" w:rsidRPr="00A80E80" w:rsidRDefault="00617149" w:rsidP="00A80E80">
      <w:pPr>
        <w:spacing w:before="240" w:after="240" w:line="360" w:lineRule="auto"/>
        <w:jc w:val="both"/>
        <w:rPr>
          <w:rFonts w:ascii="Times New Roman" w:eastAsia="Times New Roman" w:hAnsi="Times New Roman" w:cs="Times New Roman"/>
          <w:b/>
          <w:color w:val="000000" w:themeColor="text1"/>
          <w:sz w:val="24"/>
          <w:szCs w:val="24"/>
          <w:highlight w:val="white"/>
        </w:rPr>
      </w:pPr>
    </w:p>
    <w:p w14:paraId="19E7CB30" w14:textId="77777777" w:rsidR="00617149" w:rsidRPr="00A80E80" w:rsidRDefault="00617149" w:rsidP="00A80E80">
      <w:pPr>
        <w:spacing w:before="240" w:after="240" w:line="360" w:lineRule="auto"/>
        <w:jc w:val="both"/>
        <w:rPr>
          <w:rFonts w:ascii="Times New Roman" w:eastAsia="Times New Roman" w:hAnsi="Times New Roman" w:cs="Times New Roman"/>
          <w:color w:val="000000" w:themeColor="text1"/>
          <w:sz w:val="24"/>
          <w:szCs w:val="24"/>
        </w:rPr>
      </w:pPr>
    </w:p>
    <w:sectPr w:rsidR="00617149" w:rsidRPr="00A80E80" w:rsidSect="004775AF">
      <w:footerReference w:type="default" r:id="rId26"/>
      <w:footerReference w:type="first" r:id="rId2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E94CF" w14:textId="77777777" w:rsidR="00B64BB5" w:rsidRDefault="00B64BB5" w:rsidP="000E13D4">
      <w:pPr>
        <w:spacing w:line="240" w:lineRule="auto"/>
      </w:pPr>
      <w:r>
        <w:separator/>
      </w:r>
    </w:p>
  </w:endnote>
  <w:endnote w:type="continuationSeparator" w:id="0">
    <w:p w14:paraId="7C286110" w14:textId="77777777" w:rsidR="00B64BB5" w:rsidRDefault="00B64BB5" w:rsidP="000E13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1195159"/>
      <w:docPartObj>
        <w:docPartGallery w:val="Page Numbers (Bottom of Page)"/>
        <w:docPartUnique/>
      </w:docPartObj>
    </w:sdtPr>
    <w:sdtEndPr>
      <w:rPr>
        <w:noProof/>
      </w:rPr>
    </w:sdtEndPr>
    <w:sdtContent>
      <w:p w14:paraId="0CB807B2" w14:textId="646528F2" w:rsidR="00A80E80" w:rsidRDefault="00A80E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D6D453" w14:textId="77777777" w:rsidR="000E13D4" w:rsidRDefault="000E13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4103220"/>
      <w:docPartObj>
        <w:docPartGallery w:val="Page Numbers (Bottom of Page)"/>
        <w:docPartUnique/>
      </w:docPartObj>
    </w:sdtPr>
    <w:sdtEndPr>
      <w:rPr>
        <w:noProof/>
      </w:rPr>
    </w:sdtEndPr>
    <w:sdtContent>
      <w:p w14:paraId="0A59EB39" w14:textId="6F0365B3" w:rsidR="007B3985" w:rsidRDefault="007B39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A07859" w14:textId="77777777" w:rsidR="007B3985" w:rsidRDefault="007B3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1F268" w14:textId="77777777" w:rsidR="00B64BB5" w:rsidRDefault="00B64BB5" w:rsidP="000E13D4">
      <w:pPr>
        <w:spacing w:line="240" w:lineRule="auto"/>
      </w:pPr>
      <w:r>
        <w:separator/>
      </w:r>
    </w:p>
  </w:footnote>
  <w:footnote w:type="continuationSeparator" w:id="0">
    <w:p w14:paraId="2472B6F6" w14:textId="77777777" w:rsidR="00B64BB5" w:rsidRDefault="00B64BB5" w:rsidP="000E13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A38C5"/>
    <w:multiLevelType w:val="hybridMultilevel"/>
    <w:tmpl w:val="3334976C"/>
    <w:lvl w:ilvl="0" w:tplc="76E6D234">
      <w:start w:val="1"/>
      <w:numFmt w:val="bullet"/>
      <w:lvlText w:val="•"/>
      <w:lvlJc w:val="left"/>
      <w:pPr>
        <w:tabs>
          <w:tab w:val="num" w:pos="360"/>
        </w:tabs>
        <w:ind w:left="360" w:hanging="360"/>
      </w:pPr>
      <w:rPr>
        <w:rFonts w:ascii="Arial" w:hAnsi="Arial" w:hint="default"/>
      </w:rPr>
    </w:lvl>
    <w:lvl w:ilvl="1" w:tplc="A5180A7C" w:tentative="1">
      <w:start w:val="1"/>
      <w:numFmt w:val="bullet"/>
      <w:lvlText w:val="•"/>
      <w:lvlJc w:val="left"/>
      <w:pPr>
        <w:tabs>
          <w:tab w:val="num" w:pos="1080"/>
        </w:tabs>
        <w:ind w:left="1080" w:hanging="360"/>
      </w:pPr>
      <w:rPr>
        <w:rFonts w:ascii="Arial" w:hAnsi="Arial" w:hint="default"/>
      </w:rPr>
    </w:lvl>
    <w:lvl w:ilvl="2" w:tplc="82928470" w:tentative="1">
      <w:start w:val="1"/>
      <w:numFmt w:val="bullet"/>
      <w:lvlText w:val="•"/>
      <w:lvlJc w:val="left"/>
      <w:pPr>
        <w:tabs>
          <w:tab w:val="num" w:pos="1800"/>
        </w:tabs>
        <w:ind w:left="1800" w:hanging="360"/>
      </w:pPr>
      <w:rPr>
        <w:rFonts w:ascii="Arial" w:hAnsi="Arial" w:hint="default"/>
      </w:rPr>
    </w:lvl>
    <w:lvl w:ilvl="3" w:tplc="2E9A4D4E" w:tentative="1">
      <w:start w:val="1"/>
      <w:numFmt w:val="bullet"/>
      <w:lvlText w:val="•"/>
      <w:lvlJc w:val="left"/>
      <w:pPr>
        <w:tabs>
          <w:tab w:val="num" w:pos="2520"/>
        </w:tabs>
        <w:ind w:left="2520" w:hanging="360"/>
      </w:pPr>
      <w:rPr>
        <w:rFonts w:ascii="Arial" w:hAnsi="Arial" w:hint="default"/>
      </w:rPr>
    </w:lvl>
    <w:lvl w:ilvl="4" w:tplc="FE7A57DC" w:tentative="1">
      <w:start w:val="1"/>
      <w:numFmt w:val="bullet"/>
      <w:lvlText w:val="•"/>
      <w:lvlJc w:val="left"/>
      <w:pPr>
        <w:tabs>
          <w:tab w:val="num" w:pos="3240"/>
        </w:tabs>
        <w:ind w:left="3240" w:hanging="360"/>
      </w:pPr>
      <w:rPr>
        <w:rFonts w:ascii="Arial" w:hAnsi="Arial" w:hint="default"/>
      </w:rPr>
    </w:lvl>
    <w:lvl w:ilvl="5" w:tplc="E8FEDDD2" w:tentative="1">
      <w:start w:val="1"/>
      <w:numFmt w:val="bullet"/>
      <w:lvlText w:val="•"/>
      <w:lvlJc w:val="left"/>
      <w:pPr>
        <w:tabs>
          <w:tab w:val="num" w:pos="3960"/>
        </w:tabs>
        <w:ind w:left="3960" w:hanging="360"/>
      </w:pPr>
      <w:rPr>
        <w:rFonts w:ascii="Arial" w:hAnsi="Arial" w:hint="default"/>
      </w:rPr>
    </w:lvl>
    <w:lvl w:ilvl="6" w:tplc="48289818" w:tentative="1">
      <w:start w:val="1"/>
      <w:numFmt w:val="bullet"/>
      <w:lvlText w:val="•"/>
      <w:lvlJc w:val="left"/>
      <w:pPr>
        <w:tabs>
          <w:tab w:val="num" w:pos="4680"/>
        </w:tabs>
        <w:ind w:left="4680" w:hanging="360"/>
      </w:pPr>
      <w:rPr>
        <w:rFonts w:ascii="Arial" w:hAnsi="Arial" w:hint="default"/>
      </w:rPr>
    </w:lvl>
    <w:lvl w:ilvl="7" w:tplc="74FAFDC0" w:tentative="1">
      <w:start w:val="1"/>
      <w:numFmt w:val="bullet"/>
      <w:lvlText w:val="•"/>
      <w:lvlJc w:val="left"/>
      <w:pPr>
        <w:tabs>
          <w:tab w:val="num" w:pos="5400"/>
        </w:tabs>
        <w:ind w:left="5400" w:hanging="360"/>
      </w:pPr>
      <w:rPr>
        <w:rFonts w:ascii="Arial" w:hAnsi="Arial" w:hint="default"/>
      </w:rPr>
    </w:lvl>
    <w:lvl w:ilvl="8" w:tplc="66EA88F4" w:tentative="1">
      <w:start w:val="1"/>
      <w:numFmt w:val="bullet"/>
      <w:lvlText w:val="•"/>
      <w:lvlJc w:val="left"/>
      <w:pPr>
        <w:tabs>
          <w:tab w:val="num" w:pos="6120"/>
        </w:tabs>
        <w:ind w:left="6120" w:hanging="360"/>
      </w:pPr>
      <w:rPr>
        <w:rFonts w:ascii="Arial" w:hAnsi="Arial" w:hint="default"/>
      </w:rPr>
    </w:lvl>
  </w:abstractNum>
  <w:abstractNum w:abstractNumId="1" w15:restartNumberingAfterBreak="0">
    <w:nsid w:val="35DE5107"/>
    <w:multiLevelType w:val="hybridMultilevel"/>
    <w:tmpl w:val="9C40E3A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41D12AF0"/>
    <w:multiLevelType w:val="multilevel"/>
    <w:tmpl w:val="F1561B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74062503">
    <w:abstractNumId w:val="2"/>
  </w:num>
  <w:num w:numId="2" w16cid:durableId="1786540661">
    <w:abstractNumId w:val="1"/>
  </w:num>
  <w:num w:numId="3" w16cid:durableId="1326202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7149"/>
    <w:rsid w:val="00073566"/>
    <w:rsid w:val="000E13D4"/>
    <w:rsid w:val="002F1AF4"/>
    <w:rsid w:val="00392B58"/>
    <w:rsid w:val="003951E1"/>
    <w:rsid w:val="0043088E"/>
    <w:rsid w:val="004775AF"/>
    <w:rsid w:val="004A651B"/>
    <w:rsid w:val="005F79CA"/>
    <w:rsid w:val="00617149"/>
    <w:rsid w:val="006377C0"/>
    <w:rsid w:val="00691BA1"/>
    <w:rsid w:val="006D3062"/>
    <w:rsid w:val="0077645A"/>
    <w:rsid w:val="007B3985"/>
    <w:rsid w:val="00910BB2"/>
    <w:rsid w:val="00911674"/>
    <w:rsid w:val="00A80E80"/>
    <w:rsid w:val="00B64BB5"/>
    <w:rsid w:val="00DF3292"/>
    <w:rsid w:val="00F51E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2E4F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E13D4"/>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E13D4"/>
    <w:pPr>
      <w:tabs>
        <w:tab w:val="center" w:pos="4513"/>
        <w:tab w:val="right" w:pos="9026"/>
      </w:tabs>
      <w:spacing w:line="240" w:lineRule="auto"/>
    </w:pPr>
  </w:style>
  <w:style w:type="character" w:customStyle="1" w:styleId="HeaderChar">
    <w:name w:val="Header Char"/>
    <w:basedOn w:val="DefaultParagraphFont"/>
    <w:link w:val="Header"/>
    <w:uiPriority w:val="99"/>
    <w:rsid w:val="000E13D4"/>
  </w:style>
  <w:style w:type="paragraph" w:styleId="Footer">
    <w:name w:val="footer"/>
    <w:basedOn w:val="Normal"/>
    <w:link w:val="FooterChar"/>
    <w:uiPriority w:val="99"/>
    <w:unhideWhenUsed/>
    <w:rsid w:val="000E13D4"/>
    <w:pPr>
      <w:tabs>
        <w:tab w:val="center" w:pos="4513"/>
        <w:tab w:val="right" w:pos="9026"/>
      </w:tabs>
      <w:spacing w:line="240" w:lineRule="auto"/>
    </w:pPr>
  </w:style>
  <w:style w:type="character" w:customStyle="1" w:styleId="FooterChar">
    <w:name w:val="Footer Char"/>
    <w:basedOn w:val="DefaultParagraphFont"/>
    <w:link w:val="Footer"/>
    <w:uiPriority w:val="99"/>
    <w:rsid w:val="000E13D4"/>
  </w:style>
  <w:style w:type="paragraph" w:styleId="TOCHeading">
    <w:name w:val="TOC Heading"/>
    <w:basedOn w:val="Heading1"/>
    <w:next w:val="Normal"/>
    <w:uiPriority w:val="39"/>
    <w:unhideWhenUsed/>
    <w:qFormat/>
    <w:rsid w:val="00A80E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0E80"/>
    <w:pPr>
      <w:spacing w:after="100"/>
    </w:pPr>
  </w:style>
  <w:style w:type="character" w:styleId="Hyperlink">
    <w:name w:val="Hyperlink"/>
    <w:basedOn w:val="DefaultParagraphFont"/>
    <w:uiPriority w:val="99"/>
    <w:unhideWhenUsed/>
    <w:rsid w:val="00A80E80"/>
    <w:rPr>
      <w:color w:val="0000FF" w:themeColor="hyperlink"/>
      <w:u w:val="single"/>
    </w:rPr>
  </w:style>
  <w:style w:type="paragraph" w:styleId="ListParagraph">
    <w:name w:val="List Paragraph"/>
    <w:basedOn w:val="Normal"/>
    <w:uiPriority w:val="34"/>
    <w:qFormat/>
    <w:rsid w:val="006377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ba.gov.au/speeches/2020/pdf/sp-dg-2020-06-30.pdf" TargetMode="External"/><Relationship Id="rId18" Type="http://schemas.openxmlformats.org/officeDocument/2006/relationships/hyperlink" Target="https://link.springer.com/chapter/10.1007/978-3-031-15663-2_5"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dinastipub.org/DIJEFA/article/view/1238" TargetMode="External"/><Relationship Id="rId7" Type="http://schemas.openxmlformats.org/officeDocument/2006/relationships/endnotes" Target="endnotes.xml"/><Relationship Id="rId12" Type="http://schemas.openxmlformats.org/officeDocument/2006/relationships/hyperlink" Target="https://onlinelibrary.wiley.com/doi/abs/10.1111/acfi.12556" TargetMode="External"/><Relationship Id="rId17" Type="http://schemas.openxmlformats.org/officeDocument/2006/relationships/hyperlink" Target="https://academic.oup.com/nutritionreviews/article-abstract/79/8/869/5952898" TargetMode="External"/><Relationship Id="rId25" Type="http://schemas.openxmlformats.org/officeDocument/2006/relationships/hyperlink" Target="https://onlinelibrary.wiley.com/doi/abs/10.1002/jcaf.22515" TargetMode="External"/><Relationship Id="rId2" Type="http://schemas.openxmlformats.org/officeDocument/2006/relationships/numbering" Target="numbering.xml"/><Relationship Id="rId16" Type="http://schemas.openxmlformats.org/officeDocument/2006/relationships/hyperlink" Target="https://www.tandfonline.com/doi/abs/10.1080/23311975.2022.2039057" TargetMode="External"/><Relationship Id="rId20" Type="http://schemas.openxmlformats.org/officeDocument/2006/relationships/hyperlink" Target="https://www.ssbfnet.com/ojs/index.php/ijfbs/article/view/93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gipark.org.tr/en/pub/gjeb/issue/75965/1183375" TargetMode="External"/><Relationship Id="rId24" Type="http://schemas.openxmlformats.org/officeDocument/2006/relationships/hyperlink" Target="https://thuvienso.hoasen.edu.vn/handle/123456789/13237" TargetMode="External"/><Relationship Id="rId5" Type="http://schemas.openxmlformats.org/officeDocument/2006/relationships/webSettings" Target="webSettings.xml"/><Relationship Id="rId15" Type="http://schemas.openxmlformats.org/officeDocument/2006/relationships/hyperlink" Target="https://www.academia.edu/download/72349718/pdf.pdf" TargetMode="External"/><Relationship Id="rId23" Type="http://schemas.openxmlformats.org/officeDocument/2006/relationships/hyperlink" Target="https://www.cell.com/heliyon/pdf/S2405-8440(19)35970-5.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journal.seaninstitute.or.id/index.php/Ekonomi/article/view/124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m/books?hl=en&amp;lr=&amp;id=VTn3DwAAQBAJ&amp;oi=fnd&amp;pg=PA263&amp;dq=managers&amp;ots=PGVUIh6Acs&amp;sig=0ZPwLdjFVvGC5Hbp6usXBdAlk9U" TargetMode="External"/><Relationship Id="rId22" Type="http://schemas.openxmlformats.org/officeDocument/2006/relationships/hyperlink" Target="https://www.researchgate.net/profile/Vikas-Shrotriya/publication/337464978_Analysis_of_Return_on_Total_Assets_ROTA_and_Return_on_Capital_Employed_ROCE_of_IFFCO_Limited/links/5dd8ec51299bf10c5a2a9e43/Analysis-of-Return-on-Total-Assets-ROTA-and-Return-on-Capital-Employed-ROCE-of-IFFCO-Limited.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E709D-D70B-4F04-9226-98816743C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3333</Words>
  <Characters>19003</Characters>
  <Application>Microsoft Office Word</Application>
  <DocSecurity>0</DocSecurity>
  <Lines>158</Lines>
  <Paragraphs>44</Paragraphs>
  <ScaleCrop>false</ScaleCrop>
  <Company/>
  <LinksUpToDate>false</LinksUpToDate>
  <CharactersWithSpaces>22292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2023-12-20T03:53:00Z</dcterms:created>
  <dcterms:modified xsi:type="dcterms:W3CDTF">2023-12-20T09:46:00Z</dcterms:modified>
</cp:coreProperties>
</file>