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178A3" w14:textId="206E697B" w:rsidR="34E5AF60" w:rsidRDefault="34E5AF60" w:rsidP="34E5AF60">
      <w:pPr>
        <w:ind w:right="237"/>
        <w:rPr>
          <w:color w:val="000000" w:themeColor="text1"/>
          <w:sz w:val="24"/>
          <w:szCs w:val="24"/>
        </w:rPr>
      </w:pPr>
    </w:p>
    <w:p w14:paraId="4D40915B" w14:textId="73E2EE89"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Ind w:w="137" w:type="dxa"/>
        <w:tblLayout w:type="fixed"/>
        <w:tblLook w:val="06A0" w:firstRow="1" w:lastRow="0" w:firstColumn="1" w:lastColumn="0" w:noHBand="1" w:noVBand="1"/>
      </w:tblPr>
      <w:tblGrid>
        <w:gridCol w:w="8878"/>
      </w:tblGrid>
      <w:tr w:rsidR="33572C6E" w14:paraId="32FDE32A" w14:textId="77777777" w:rsidTr="00E02F55">
        <w:tc>
          <w:tcPr>
            <w:tcW w:w="8878" w:type="dxa"/>
          </w:tcPr>
          <w:p w14:paraId="4F47683E" w14:textId="79693D8D" w:rsidR="7908378C" w:rsidRDefault="7908378C" w:rsidP="33572C6E">
            <w:pPr>
              <w:ind w:right="237"/>
              <w:rPr>
                <w:b/>
                <w:bCs/>
                <w:color w:val="auto"/>
                <w:sz w:val="32"/>
                <w:szCs w:val="32"/>
              </w:rPr>
            </w:pPr>
            <w:r w:rsidRPr="33572C6E">
              <w:rPr>
                <w:b/>
                <w:bCs/>
                <w:color w:val="auto"/>
                <w:sz w:val="32"/>
                <w:szCs w:val="32"/>
              </w:rPr>
              <w:t xml:space="preserve">Learner name: </w:t>
            </w:r>
            <w:r w:rsidR="00E02F55">
              <w:rPr>
                <w:b/>
                <w:bCs/>
                <w:color w:val="auto"/>
                <w:sz w:val="32"/>
                <w:szCs w:val="32"/>
              </w:rPr>
              <w:t>Naomi Rees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4F6A01A" w:rsidR="33572C6E" w:rsidRDefault="00E02F55" w:rsidP="33572C6E">
            <w:pPr>
              <w:ind w:right="237"/>
              <w:rPr>
                <w:b/>
                <w:bCs/>
                <w:color w:val="auto"/>
                <w:sz w:val="32"/>
                <w:szCs w:val="32"/>
              </w:rPr>
            </w:pPr>
            <w:r>
              <w:rPr>
                <w:b/>
                <w:bCs/>
                <w:color w:val="auto"/>
                <w:sz w:val="32"/>
                <w:szCs w:val="32"/>
              </w:rPr>
              <w:t>2029335</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34690559" w:rsidR="00A3273B" w:rsidRDefault="00A3273B" w:rsidP="00340E9A">
      <w:pPr>
        <w:overflowPunct/>
        <w:autoSpaceDE/>
        <w:autoSpaceDN/>
        <w:adjustRightInd/>
        <w:ind w:right="237"/>
        <w:textAlignment w:val="auto"/>
        <w:rPr>
          <w:b/>
          <w:color w:val="auto"/>
          <w:sz w:val="36"/>
        </w:rPr>
      </w:pPr>
    </w:p>
    <w:p w14:paraId="3BFF0392" w14:textId="4138C285" w:rsidR="00E02F55" w:rsidRDefault="00E02F55" w:rsidP="00340E9A">
      <w:pPr>
        <w:overflowPunct/>
        <w:autoSpaceDE/>
        <w:autoSpaceDN/>
        <w:adjustRightInd/>
        <w:ind w:right="237"/>
        <w:textAlignment w:val="auto"/>
        <w:rPr>
          <w:b/>
          <w:color w:val="auto"/>
          <w:sz w:val="36"/>
        </w:rPr>
      </w:pPr>
    </w:p>
    <w:p w14:paraId="398B30EC" w14:textId="2BE0A7F3" w:rsidR="00E02F55" w:rsidRDefault="00E02F55" w:rsidP="00340E9A">
      <w:pPr>
        <w:overflowPunct/>
        <w:autoSpaceDE/>
        <w:autoSpaceDN/>
        <w:adjustRightInd/>
        <w:ind w:right="237"/>
        <w:textAlignment w:val="auto"/>
        <w:rPr>
          <w:b/>
          <w:color w:val="auto"/>
          <w:sz w:val="36"/>
        </w:rPr>
      </w:pPr>
    </w:p>
    <w:p w14:paraId="6497E36D" w14:textId="31FCB7BF" w:rsidR="00E02F55" w:rsidRDefault="00E02F55" w:rsidP="00340E9A">
      <w:pPr>
        <w:overflowPunct/>
        <w:autoSpaceDE/>
        <w:autoSpaceDN/>
        <w:adjustRightInd/>
        <w:ind w:right="237"/>
        <w:textAlignment w:val="auto"/>
        <w:rPr>
          <w:b/>
          <w:color w:val="auto"/>
          <w:sz w:val="36"/>
        </w:rPr>
      </w:pPr>
    </w:p>
    <w:p w14:paraId="4721EA7C" w14:textId="7B2D778D" w:rsidR="00E02F55" w:rsidRDefault="00E02F55" w:rsidP="00340E9A">
      <w:pPr>
        <w:overflowPunct/>
        <w:autoSpaceDE/>
        <w:autoSpaceDN/>
        <w:adjustRightInd/>
        <w:ind w:right="237"/>
        <w:textAlignment w:val="auto"/>
        <w:rPr>
          <w:b/>
          <w:color w:val="auto"/>
          <w:sz w:val="36"/>
        </w:rPr>
      </w:pPr>
    </w:p>
    <w:p w14:paraId="1A505AA1" w14:textId="77777777" w:rsidR="00E02F55" w:rsidRPr="00E676F7" w:rsidRDefault="00E02F55"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935D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B34DB0E"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6CEBED7"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In this essay I will discuss an incident that I was involved in as part of my role as a response officer. Whilst discussing this incident I will look at the different vulnerabilities we encounter when dealing with members of the public, from victims to suspects and how those vulnerabilities are managed. This essay will also look at what evidence exists around tackling repeat victimisation and repeat offending and discuss methods that I used and could have used to support the victim in the incident I attended. </w:t>
      </w:r>
    </w:p>
    <w:p w14:paraId="247C335F" w14:textId="48F44F64" w:rsidR="00C935D5" w:rsidRPr="00C935D5" w:rsidRDefault="00C935D5" w:rsidP="00C935D5">
      <w:pPr>
        <w:overflowPunct/>
        <w:autoSpaceDE/>
        <w:autoSpaceDN/>
        <w:adjustRightInd/>
        <w:spacing w:after="160" w:line="259" w:lineRule="auto"/>
        <w:textAlignment w:val="auto"/>
        <w:rPr>
          <w:rFonts w:ascii="Calibri" w:eastAsia="Calibri" w:hAnsi="Calibri" w:cs="Times New Roman"/>
          <w:bCs/>
          <w:color w:val="auto"/>
          <w:sz w:val="22"/>
          <w:szCs w:val="22"/>
          <w:lang w:eastAsia="en-US"/>
        </w:rPr>
      </w:pPr>
      <w:r w:rsidRPr="00C935D5">
        <w:rPr>
          <w:rFonts w:ascii="Calibri" w:eastAsia="Calibri" w:hAnsi="Calibri" w:cs="Times New Roman"/>
          <w:color w:val="auto"/>
          <w:sz w:val="22"/>
          <w:szCs w:val="22"/>
          <w:lang w:eastAsia="en-US"/>
        </w:rPr>
        <w:t xml:space="preserve">The incident I will discuss involves a woman, around ninety years of age who discovered that she had lost all her life savings. </w:t>
      </w:r>
      <w:r w:rsidRPr="00C935D5">
        <w:rPr>
          <w:rFonts w:ascii="Calibri" w:eastAsia="Calibri" w:hAnsi="Calibri" w:cs="Times New Roman"/>
          <w:bCs/>
          <w:color w:val="auto"/>
          <w:sz w:val="22"/>
          <w:szCs w:val="22"/>
          <w:lang w:eastAsia="en-US"/>
        </w:rPr>
        <w:t>The offences that I had reason to believe had been committed at the time were fraud (</w:t>
      </w:r>
      <w:r>
        <w:rPr>
          <w:rFonts w:ascii="Calibri" w:eastAsia="Calibri" w:hAnsi="Calibri" w:cs="Times New Roman"/>
          <w:bCs/>
          <w:color w:val="auto"/>
          <w:sz w:val="22"/>
          <w:szCs w:val="22"/>
          <w:lang w:eastAsia="en-US"/>
        </w:rPr>
        <w:t xml:space="preserve">Section 2 of the </w:t>
      </w:r>
      <w:r w:rsidRPr="00C935D5">
        <w:rPr>
          <w:rFonts w:ascii="Calibri" w:eastAsia="Calibri" w:hAnsi="Calibri" w:cs="Times New Roman"/>
          <w:bCs/>
          <w:i/>
          <w:iCs/>
          <w:color w:val="auto"/>
          <w:sz w:val="22"/>
          <w:szCs w:val="22"/>
          <w:lang w:eastAsia="en-US"/>
        </w:rPr>
        <w:t>Fraud Act 2006</w:t>
      </w:r>
      <w:r w:rsidRPr="00C935D5">
        <w:rPr>
          <w:rFonts w:ascii="Calibri" w:eastAsia="Calibri" w:hAnsi="Calibri" w:cs="Times New Roman"/>
          <w:bCs/>
          <w:color w:val="auto"/>
          <w:sz w:val="22"/>
          <w:szCs w:val="22"/>
          <w:lang w:eastAsia="en-US"/>
        </w:rPr>
        <w:t xml:space="preserve">) and </w:t>
      </w:r>
      <w:r>
        <w:rPr>
          <w:rFonts w:ascii="Calibri" w:eastAsia="Calibri" w:hAnsi="Calibri" w:cs="Times New Roman"/>
          <w:bCs/>
          <w:color w:val="auto"/>
          <w:sz w:val="22"/>
          <w:szCs w:val="22"/>
          <w:lang w:eastAsia="en-US"/>
        </w:rPr>
        <w:t>t</w:t>
      </w:r>
      <w:r w:rsidRPr="00C935D5">
        <w:rPr>
          <w:rFonts w:ascii="Calibri" w:eastAsia="Calibri" w:hAnsi="Calibri" w:cs="Times New Roman"/>
          <w:bCs/>
          <w:color w:val="auto"/>
          <w:sz w:val="22"/>
          <w:szCs w:val="22"/>
          <w:lang w:eastAsia="en-US"/>
        </w:rPr>
        <w:t>heft (</w:t>
      </w:r>
      <w:r>
        <w:rPr>
          <w:rFonts w:ascii="Calibri" w:eastAsia="Calibri" w:hAnsi="Calibri" w:cs="Times New Roman"/>
          <w:bCs/>
          <w:color w:val="auto"/>
          <w:sz w:val="22"/>
          <w:szCs w:val="22"/>
          <w:lang w:eastAsia="en-US"/>
        </w:rPr>
        <w:t xml:space="preserve">Section 1 of the </w:t>
      </w:r>
      <w:r w:rsidRPr="00C935D5">
        <w:rPr>
          <w:rFonts w:ascii="Calibri" w:eastAsia="Calibri" w:hAnsi="Calibri" w:cs="Times New Roman"/>
          <w:bCs/>
          <w:i/>
          <w:iCs/>
          <w:color w:val="auto"/>
          <w:sz w:val="22"/>
          <w:szCs w:val="22"/>
          <w:lang w:eastAsia="en-US"/>
        </w:rPr>
        <w:t>Theft Act 1968</w:t>
      </w:r>
      <w:r w:rsidRPr="00C935D5">
        <w:rPr>
          <w:rFonts w:ascii="Calibri" w:eastAsia="Calibri" w:hAnsi="Calibri" w:cs="Times New Roman"/>
          <w:bCs/>
          <w:color w:val="auto"/>
          <w:sz w:val="22"/>
          <w:szCs w:val="22"/>
          <w:lang w:eastAsia="en-US"/>
        </w:rPr>
        <w:t>)</w:t>
      </w:r>
      <w:r>
        <w:rPr>
          <w:rFonts w:ascii="Calibri" w:eastAsia="Calibri" w:hAnsi="Calibri" w:cs="Times New Roman"/>
          <w:bCs/>
          <w:color w:val="auto"/>
          <w:sz w:val="22"/>
          <w:szCs w:val="22"/>
          <w:lang w:eastAsia="en-US"/>
        </w:rPr>
        <w:t xml:space="preserve">. </w:t>
      </w:r>
    </w:p>
    <w:p w14:paraId="4BCB8141"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The woman, who I will refer to as the victim, firstly discovered that she was missing around £3,000 in cash from her home and some personal documents. Shortly after this she discovered around £30,000 had been taken out of her bank accounts without her knowledge or permission. </w:t>
      </w:r>
      <w:r w:rsidRPr="00C935D5">
        <w:rPr>
          <w:rFonts w:ascii="Calibri" w:eastAsia="Calibri" w:hAnsi="Calibri" w:cs="Times New Roman"/>
          <w:bCs/>
          <w:color w:val="auto"/>
          <w:sz w:val="22"/>
          <w:szCs w:val="22"/>
          <w:lang w:eastAsia="en-US"/>
        </w:rPr>
        <w:t xml:space="preserve">The victim was in a great deal of shock following these discoveries and due to her age required family support in order discuss the matter with police. She was greatly upset at learning she had had so much of her life savings taken but the matter was complicated by the fact that the suspect for the fraud and theft was her own grandson. Family members explained that her grandson and his partner had been living with the victim for around two months when she discovered the missing money and documents. Due to the victim’s vulnerabilities (her age, age related disabilities etc.) her daughter cares for her each day and acts on her behalf in relation to her finances etc. Therefore, the victim’s daughter asked the grandson and his partner to leave the address on account of the missing money and documents to protect her mother. Shortly after this incident the victim’s daughter received notification from the victim’s bank that there had been activity on one of her accounts where a large amount of money had been transferred into the grandson’s account. They also discovered that a </w:t>
      </w:r>
      <w:r w:rsidRPr="00C935D5">
        <w:rPr>
          <w:rFonts w:ascii="Calibri" w:eastAsia="Calibri" w:hAnsi="Calibri" w:cs="Times New Roman"/>
          <w:bCs/>
          <w:color w:val="auto"/>
          <w:sz w:val="22"/>
          <w:szCs w:val="22"/>
          <w:lang w:eastAsia="en-US"/>
        </w:rPr>
        <w:lastRenderedPageBreak/>
        <w:t xml:space="preserve">further £5,000 had been taken from another bank account by way of a cheque that had been taken from the victim’s cheque book and fraudulently written out to her grandson. </w:t>
      </w:r>
    </w:p>
    <w:p w14:paraId="592A67DD"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The victim was initially unsure on how to proceed with regards to making a complaint and needed a lot of support from family as well as reassurance from myself. I explained the process of making a statement to police and the possible result of making such a complaint (the court process and possible results). The victim’s family were concerned about her ability to provide evidence in court and so the special measures available to victims and witnesses were explained to them. Special measures are options available to a vulnerable or intimidated witnesses giving evidence in court that allow them to give their ‘best evidence’ (CPS, 2021). The Y</w:t>
      </w:r>
      <w:r w:rsidRPr="00C935D5">
        <w:rPr>
          <w:rFonts w:ascii="Calibri" w:eastAsia="Calibri" w:hAnsi="Calibri" w:cs="Times New Roman"/>
          <w:i/>
          <w:iCs/>
          <w:color w:val="auto"/>
          <w:sz w:val="22"/>
          <w:szCs w:val="22"/>
          <w:lang w:eastAsia="en-US"/>
        </w:rPr>
        <w:t xml:space="preserve">outh Justice and Criminal Evidence Act 1999 </w:t>
      </w:r>
      <w:r w:rsidRPr="00C935D5">
        <w:rPr>
          <w:rFonts w:ascii="Calibri" w:eastAsia="Calibri" w:hAnsi="Calibri" w:cs="Times New Roman"/>
          <w:color w:val="auto"/>
          <w:sz w:val="22"/>
          <w:szCs w:val="22"/>
          <w:lang w:eastAsia="en-US"/>
        </w:rPr>
        <w:t xml:space="preserve">is the legislation that covers these Special Measures and options covered by this legislation include the victims/witnesses giving evidence behind a screen (s.23) or via video link (s.24) being two of several options available. </w:t>
      </w:r>
    </w:p>
    <w:p w14:paraId="4ADF6D8A" w14:textId="3BE1E688"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Of the two </w:t>
      </w:r>
      <w:proofErr w:type="gramStart"/>
      <w:r w:rsidRPr="00C935D5">
        <w:rPr>
          <w:rFonts w:ascii="Calibri" w:eastAsia="Calibri" w:hAnsi="Calibri" w:cs="Times New Roman"/>
          <w:color w:val="auto"/>
          <w:sz w:val="22"/>
          <w:szCs w:val="22"/>
          <w:lang w:eastAsia="en-US"/>
        </w:rPr>
        <w:t>categories;</w:t>
      </w:r>
      <w:proofErr w:type="gramEnd"/>
      <w:r w:rsidRPr="00C935D5">
        <w:rPr>
          <w:rFonts w:ascii="Calibri" w:eastAsia="Calibri" w:hAnsi="Calibri" w:cs="Times New Roman"/>
          <w:color w:val="auto"/>
          <w:sz w:val="22"/>
          <w:szCs w:val="22"/>
          <w:lang w:eastAsia="en-US"/>
        </w:rPr>
        <w:t xml:space="preserve"> vulnerable or intimidated witnesses, the victim in this case would be covered by S.16 Youth Justice and Criminal Evidence Act 1999, a vulnerable witnesses. This is as a result of her age and the vulnerabilities that brings, such as her </w:t>
      </w:r>
      <w:proofErr w:type="gramStart"/>
      <w:r w:rsidRPr="00C935D5">
        <w:rPr>
          <w:rFonts w:ascii="Calibri" w:eastAsia="Calibri" w:hAnsi="Calibri" w:cs="Times New Roman"/>
          <w:color w:val="auto"/>
          <w:sz w:val="22"/>
          <w:szCs w:val="22"/>
          <w:lang w:eastAsia="en-US"/>
        </w:rPr>
        <w:t>age related</w:t>
      </w:r>
      <w:proofErr w:type="gramEnd"/>
      <w:r w:rsidRPr="00C935D5">
        <w:rPr>
          <w:rFonts w:ascii="Calibri" w:eastAsia="Calibri" w:hAnsi="Calibri" w:cs="Times New Roman"/>
          <w:color w:val="auto"/>
          <w:sz w:val="22"/>
          <w:szCs w:val="22"/>
          <w:lang w:eastAsia="en-US"/>
        </w:rPr>
        <w:t xml:space="preserve"> disabilities. Which, if any, special measures are awarded is decided by the court and it is important that witnesses and victims are aware that although the police make the application for Special Measures (CPS, 2021) the court ultimately make the decision. Rule 1</w:t>
      </w:r>
      <w:r>
        <w:rPr>
          <w:rFonts w:ascii="Calibri" w:eastAsia="Calibri" w:hAnsi="Calibri" w:cs="Times New Roman"/>
          <w:color w:val="auto"/>
          <w:sz w:val="22"/>
          <w:szCs w:val="22"/>
          <w:lang w:eastAsia="en-US"/>
        </w:rPr>
        <w:t>8</w:t>
      </w:r>
      <w:r w:rsidRPr="00C935D5">
        <w:rPr>
          <w:rFonts w:ascii="Calibri" w:eastAsia="Calibri" w:hAnsi="Calibri" w:cs="Times New Roman"/>
          <w:color w:val="auto"/>
          <w:sz w:val="22"/>
          <w:szCs w:val="22"/>
          <w:lang w:eastAsia="en-US"/>
        </w:rPr>
        <w:t xml:space="preserve"> of the </w:t>
      </w:r>
      <w:r w:rsidRPr="00C935D5">
        <w:rPr>
          <w:rFonts w:ascii="Calibri" w:eastAsia="Calibri" w:hAnsi="Calibri" w:cs="Times New Roman"/>
          <w:i/>
          <w:iCs/>
          <w:color w:val="auto"/>
          <w:sz w:val="22"/>
          <w:szCs w:val="22"/>
          <w:lang w:eastAsia="en-US"/>
        </w:rPr>
        <w:t>Criminal Procedure Rules</w:t>
      </w:r>
      <w:r w:rsidRPr="00C935D5">
        <w:rPr>
          <w:rFonts w:ascii="Calibri" w:eastAsia="Calibri" w:hAnsi="Calibri" w:cs="Times New Roman"/>
          <w:i/>
          <w:iCs/>
          <w:color w:val="auto"/>
          <w:sz w:val="22"/>
          <w:szCs w:val="22"/>
          <w:lang w:eastAsia="en-US"/>
        </w:rPr>
        <w:t xml:space="preserve"> 2020</w:t>
      </w:r>
      <w:r>
        <w:rPr>
          <w:rFonts w:ascii="Calibri" w:eastAsia="Calibri" w:hAnsi="Calibri" w:cs="Times New Roman"/>
          <w:color w:val="auto"/>
          <w:sz w:val="22"/>
          <w:szCs w:val="22"/>
          <w:lang w:eastAsia="en-US"/>
        </w:rPr>
        <w:t xml:space="preserve"> </w:t>
      </w:r>
      <w:r w:rsidRPr="00C935D5">
        <w:rPr>
          <w:rFonts w:ascii="Calibri" w:eastAsia="Calibri" w:hAnsi="Calibri" w:cs="Times New Roman"/>
          <w:color w:val="auto"/>
          <w:sz w:val="22"/>
          <w:szCs w:val="22"/>
          <w:lang w:eastAsia="en-US"/>
        </w:rPr>
        <w:t xml:space="preserve">covers the test that the court will use to decide if special measures, and which specifically, will ‘maximise the quality of the evidence’. </w:t>
      </w:r>
    </w:p>
    <w:p w14:paraId="787A2251"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In some cases, the Youth </w:t>
      </w:r>
      <w:proofErr w:type="gramStart"/>
      <w:r w:rsidRPr="00C935D5">
        <w:rPr>
          <w:rFonts w:ascii="Calibri" w:eastAsia="Calibri" w:hAnsi="Calibri" w:cs="Times New Roman"/>
          <w:color w:val="auto"/>
          <w:sz w:val="22"/>
          <w:szCs w:val="22"/>
          <w:lang w:eastAsia="en-US"/>
        </w:rPr>
        <w:t>Justice</w:t>
      </w:r>
      <w:proofErr w:type="gramEnd"/>
      <w:r w:rsidRPr="00C935D5">
        <w:rPr>
          <w:rFonts w:ascii="Calibri" w:eastAsia="Calibri" w:hAnsi="Calibri" w:cs="Times New Roman"/>
          <w:color w:val="auto"/>
          <w:sz w:val="22"/>
          <w:szCs w:val="22"/>
          <w:lang w:eastAsia="en-US"/>
        </w:rPr>
        <w:t xml:space="preserve"> and Criminal Evidence Act (YJCEA) 1999 will not be applicable (</w:t>
      </w:r>
      <w:proofErr w:type="spellStart"/>
      <w:r w:rsidRPr="00C935D5">
        <w:rPr>
          <w:rFonts w:ascii="Calibri" w:eastAsia="Calibri" w:hAnsi="Calibri" w:cs="Times New Roman"/>
          <w:color w:val="auto"/>
          <w:sz w:val="22"/>
          <w:szCs w:val="22"/>
          <w:lang w:eastAsia="en-US"/>
        </w:rPr>
        <w:t>i.e</w:t>
      </w:r>
      <w:proofErr w:type="spellEnd"/>
      <w:r w:rsidRPr="00C935D5">
        <w:rPr>
          <w:rFonts w:ascii="Calibri" w:eastAsia="Calibri" w:hAnsi="Calibri" w:cs="Times New Roman"/>
          <w:color w:val="auto"/>
          <w:sz w:val="22"/>
          <w:szCs w:val="22"/>
          <w:lang w:eastAsia="en-US"/>
        </w:rPr>
        <w:t xml:space="preserve"> the victim or witness is not vulnerable or intimidated) but there may be reasons why a live link is still necessary, such as in the case of professional witnesses or those with mobility issues that don’t qualify under YJCEA. In these </w:t>
      </w:r>
      <w:proofErr w:type="gramStart"/>
      <w:r w:rsidRPr="00C935D5">
        <w:rPr>
          <w:rFonts w:ascii="Calibri" w:eastAsia="Calibri" w:hAnsi="Calibri" w:cs="Times New Roman"/>
          <w:color w:val="auto"/>
          <w:sz w:val="22"/>
          <w:szCs w:val="22"/>
          <w:lang w:eastAsia="en-US"/>
        </w:rPr>
        <w:t>cases</w:t>
      </w:r>
      <w:proofErr w:type="gramEnd"/>
      <w:r w:rsidRPr="00C935D5">
        <w:rPr>
          <w:rFonts w:ascii="Calibri" w:eastAsia="Calibri" w:hAnsi="Calibri" w:cs="Times New Roman"/>
          <w:color w:val="auto"/>
          <w:sz w:val="22"/>
          <w:szCs w:val="22"/>
          <w:lang w:eastAsia="en-US"/>
        </w:rPr>
        <w:t xml:space="preserve"> s.51 Criminal Evidence Act 2003 allows an application to be made to the Magistrates Court for a live link to be allowed (CPS, 2021). </w:t>
      </w:r>
    </w:p>
    <w:p w14:paraId="00837FCE"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Measures designed to support vulnerable and intimidated witnesses mean that those who may have previously not felt able to attend court, may now attend and give the best quality of evidence possible due to the measures helping to relieve the stress and anxiety of attending court (Victims Commissioner, 2022). However, a review into Special Measures conducted in 2021 resulted in there being 21 recommendations on how the system can improve as it was found that the process for identifying eligible victims and witnesses was unreliable and was resulting in some eligible people being missed (Victim’s Commissioner, 2021). </w:t>
      </w:r>
    </w:p>
    <w:p w14:paraId="4FCAB769"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Another way that the police can support victims during the court process is by submitting a referral for victim support. Victim Support are a charity which offers emotional and practical support to victims of crime, either from a victim approaching the service themselves or by the police sending a referral (Victim Support, 2020). Victims don’t need to be pursuing a complaint and supporting a police prosecution to receive support from Victim Support. However, for those that are, Victim Support can give advice before, during and after a trial (Victim Support, 2020). I made a Victim Support referral for the victim so that the family had a point of contact for advice when I was not available/not on duty to answer questions they had about the process. </w:t>
      </w:r>
    </w:p>
    <w:p w14:paraId="2EEB0C1E"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Another way victims are managed and supported is by different agencies working together. Information sharing and collaboration between agencies is the key to effective safeguarding by developing a co-ordinated, all-round package of support (NSPCC, 2019). When a concern is identified by the police a public protection notification form is submitted. This form contains information </w:t>
      </w:r>
      <w:r w:rsidRPr="00C935D5">
        <w:rPr>
          <w:rFonts w:ascii="Calibri" w:eastAsia="Calibri" w:hAnsi="Calibri" w:cs="Times New Roman"/>
          <w:color w:val="auto"/>
          <w:sz w:val="22"/>
          <w:szCs w:val="22"/>
          <w:lang w:eastAsia="en-US"/>
        </w:rPr>
        <w:lastRenderedPageBreak/>
        <w:t xml:space="preserve">about the concern and where necessary, the relevant and appropriate information is shared with the relevant partner agencies (South Wales Police, 2021). </w:t>
      </w:r>
    </w:p>
    <w:p w14:paraId="0A3C9918"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Multi-Agency Safeguarding Hubs (MASH) are the single point of contact for safeguarding concerns, enabling professionals to protect vulnerable adults and children at the earliest opportunity (Bridgend County Borough Council, 2022). The professionals involved in a MASH include the police, social services, health, social landlords etc. The information shared with a MASH enables them to provide support, taking all relevant agencies into account. </w:t>
      </w:r>
    </w:p>
    <w:p w14:paraId="51C9D80D"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In this case I submitted high risk PPN due to the victim’s age and other vulnerabilities in addition to the fact that the suspect is the victim’s grandson, who had been living with her for some time meaning this was a domestic incident. </w:t>
      </w:r>
    </w:p>
    <w:p w14:paraId="47725C9D"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As a result of the submission the details of the case were shared with adult services and Women’s Aid. Women’s Aid is a national charity which supports domestic abuse victims and survivors (Women’s Aid, 2022). </w:t>
      </w:r>
    </w:p>
    <w:p w14:paraId="0957D079" w14:textId="5B086034" w:rsid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It was clear from the details of this case that the victim had been targeted by her grandson and his partner several times, all unbeknown to her</w:t>
      </w:r>
      <w:r>
        <w:rPr>
          <w:rFonts w:ascii="Calibri" w:eastAsia="Calibri" w:hAnsi="Calibri" w:cs="Times New Roman"/>
          <w:color w:val="auto"/>
          <w:sz w:val="22"/>
          <w:szCs w:val="22"/>
          <w:lang w:eastAsia="en-US"/>
        </w:rPr>
        <w:t xml:space="preserve"> at the time</w:t>
      </w:r>
      <w:r w:rsidRPr="00C935D5">
        <w:rPr>
          <w:rFonts w:ascii="Calibri" w:eastAsia="Calibri" w:hAnsi="Calibri" w:cs="Times New Roman"/>
          <w:color w:val="auto"/>
          <w:sz w:val="22"/>
          <w:szCs w:val="22"/>
          <w:lang w:eastAsia="en-US"/>
        </w:rPr>
        <w:t xml:space="preserve">. It appeared that they had started with the theft of the money and then continued to take more and more money from the victim by obtaining her bank details, her cheque book etc until she had no money left in her accounts. Both the victim’s grandson and his partner had previous convictions for similar offences demonstrating that the victim was a repeat victim and the male and female, repeat offenders. </w:t>
      </w:r>
    </w:p>
    <w:p w14:paraId="5D31AD86" w14:textId="3FE413DA" w:rsid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Repeat victimisation refers to the repeated criminal victimisation of a person, </w:t>
      </w:r>
      <w:proofErr w:type="gramStart"/>
      <w:r>
        <w:rPr>
          <w:rFonts w:ascii="Calibri" w:eastAsia="Calibri" w:hAnsi="Calibri" w:cs="Times New Roman"/>
          <w:color w:val="auto"/>
          <w:sz w:val="22"/>
          <w:szCs w:val="22"/>
          <w:lang w:eastAsia="en-US"/>
        </w:rPr>
        <w:t>place</w:t>
      </w:r>
      <w:proofErr w:type="gramEnd"/>
      <w:r>
        <w:rPr>
          <w:rFonts w:ascii="Calibri" w:eastAsia="Calibri" w:hAnsi="Calibri" w:cs="Times New Roman"/>
          <w:color w:val="auto"/>
          <w:sz w:val="22"/>
          <w:szCs w:val="22"/>
          <w:lang w:eastAsia="en-US"/>
        </w:rPr>
        <w:t xml:space="preserve"> or other target (Nicholas and Farrell, 2020). A repeat offender therefore is simply an offender who has committed the same offence on more than one occasion (Oxford Reference, 2022). The importance of understanding these concepts is that when it comes to resource planning, crime prevention among those who are repeat victims and repeat offenders is seen as an effective use of resources (Nicholas and Farrell, 2020). </w:t>
      </w:r>
    </w:p>
    <w:p w14:paraId="08E578D8" w14:textId="2BDA6C09"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w:t>
      </w:r>
      <w:r w:rsidRPr="00C935D5">
        <w:rPr>
          <w:rFonts w:ascii="Calibri" w:eastAsia="Calibri" w:hAnsi="Calibri" w:cs="Times New Roman"/>
          <w:color w:val="auto"/>
          <w:sz w:val="22"/>
          <w:szCs w:val="22"/>
          <w:lang w:eastAsia="en-US"/>
        </w:rPr>
        <w:t xml:space="preserve">The term ‘Evidence – based policing’ refers the practice of using the best available evidence to inform new policing policies, practices and decisions and challenge those already in place (College of Policing, 2022a). A practical example of how evidence-based policing </w:t>
      </w:r>
      <w:proofErr w:type="gramStart"/>
      <w:r w:rsidRPr="00C935D5">
        <w:rPr>
          <w:rFonts w:ascii="Calibri" w:eastAsia="Calibri" w:hAnsi="Calibri" w:cs="Times New Roman"/>
          <w:color w:val="auto"/>
          <w:sz w:val="22"/>
          <w:szCs w:val="22"/>
          <w:lang w:eastAsia="en-US"/>
        </w:rPr>
        <w:t>actually looks</w:t>
      </w:r>
      <w:proofErr w:type="gramEnd"/>
      <w:r w:rsidRPr="00C935D5">
        <w:rPr>
          <w:rFonts w:ascii="Calibri" w:eastAsia="Calibri" w:hAnsi="Calibri" w:cs="Times New Roman"/>
          <w:color w:val="auto"/>
          <w:sz w:val="22"/>
          <w:szCs w:val="22"/>
          <w:lang w:eastAsia="en-US"/>
        </w:rPr>
        <w:t xml:space="preserve"> is the creation of the ‘crime reduction toolkit’.  This is a summary of the best available research for a specific issue </w:t>
      </w:r>
      <w:proofErr w:type="gramStart"/>
      <w:r w:rsidRPr="00C935D5">
        <w:rPr>
          <w:rFonts w:ascii="Calibri" w:eastAsia="Calibri" w:hAnsi="Calibri" w:cs="Times New Roman"/>
          <w:color w:val="auto"/>
          <w:sz w:val="22"/>
          <w:szCs w:val="22"/>
          <w:lang w:eastAsia="en-US"/>
        </w:rPr>
        <w:t>i.e.</w:t>
      </w:r>
      <w:proofErr w:type="gramEnd"/>
      <w:r w:rsidRPr="00C935D5">
        <w:rPr>
          <w:rFonts w:ascii="Calibri" w:eastAsia="Calibri" w:hAnsi="Calibri" w:cs="Times New Roman"/>
          <w:color w:val="auto"/>
          <w:sz w:val="22"/>
          <w:szCs w:val="22"/>
          <w:lang w:eastAsia="en-US"/>
        </w:rPr>
        <w:t xml:space="preserve"> burglaries, which then presents to the reader what works best to tackle that specific type of crime/issue, </w:t>
      </w:r>
      <w:proofErr w:type="spellStart"/>
      <w:r w:rsidRPr="00C935D5">
        <w:rPr>
          <w:rFonts w:ascii="Calibri" w:eastAsia="Calibri" w:hAnsi="Calibri" w:cs="Times New Roman"/>
          <w:color w:val="auto"/>
          <w:sz w:val="22"/>
          <w:szCs w:val="22"/>
          <w:lang w:eastAsia="en-US"/>
        </w:rPr>
        <w:t>i.e</w:t>
      </w:r>
      <w:proofErr w:type="spellEnd"/>
      <w:r w:rsidRPr="00C935D5">
        <w:rPr>
          <w:rFonts w:ascii="Calibri" w:eastAsia="Calibri" w:hAnsi="Calibri" w:cs="Times New Roman"/>
          <w:color w:val="auto"/>
          <w:sz w:val="22"/>
          <w:szCs w:val="22"/>
          <w:lang w:eastAsia="en-US"/>
        </w:rPr>
        <w:t xml:space="preserve"> alley gating, increased street lighting etc. The crime reduction toolkit allows practitioners and decision makers to see the impact different interventions have had on crime, in which situations interventions have and haven’t worked and gives instructions on how to implement the intervention and their implementation costs (College of Policing, 2022b). </w:t>
      </w:r>
    </w:p>
    <w:p w14:paraId="6659A380" w14:textId="7A2E6C86"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A recent development in policing that has come about </w:t>
      </w:r>
      <w:proofErr w:type="gramStart"/>
      <w:r w:rsidRPr="00C935D5">
        <w:rPr>
          <w:rFonts w:ascii="Calibri" w:eastAsia="Calibri" w:hAnsi="Calibri" w:cs="Times New Roman"/>
          <w:color w:val="auto"/>
          <w:sz w:val="22"/>
          <w:szCs w:val="22"/>
          <w:lang w:eastAsia="en-US"/>
        </w:rPr>
        <w:t>as a result of</w:t>
      </w:r>
      <w:proofErr w:type="gramEnd"/>
      <w:r w:rsidRPr="00C935D5">
        <w:rPr>
          <w:rFonts w:ascii="Calibri" w:eastAsia="Calibri" w:hAnsi="Calibri" w:cs="Times New Roman"/>
          <w:color w:val="auto"/>
          <w:sz w:val="22"/>
          <w:szCs w:val="22"/>
          <w:lang w:eastAsia="en-US"/>
        </w:rPr>
        <w:t xml:space="preserve"> looking at the best available evidence is the changes made to pre-charge bail. In 2017 legislative changes (Police and Crime Act 2017) meant that pre charge bail was reduced to </w:t>
      </w:r>
      <w:proofErr w:type="gramStart"/>
      <w:r w:rsidRPr="00C935D5">
        <w:rPr>
          <w:rFonts w:ascii="Calibri" w:eastAsia="Calibri" w:hAnsi="Calibri" w:cs="Times New Roman"/>
          <w:color w:val="auto"/>
          <w:sz w:val="22"/>
          <w:szCs w:val="22"/>
          <w:lang w:eastAsia="en-US"/>
        </w:rPr>
        <w:t>twenty eight</w:t>
      </w:r>
      <w:proofErr w:type="gramEnd"/>
      <w:r w:rsidRPr="00C935D5">
        <w:rPr>
          <w:rFonts w:ascii="Calibri" w:eastAsia="Calibri" w:hAnsi="Calibri" w:cs="Times New Roman"/>
          <w:color w:val="auto"/>
          <w:sz w:val="22"/>
          <w:szCs w:val="22"/>
          <w:lang w:eastAsia="en-US"/>
        </w:rPr>
        <w:t xml:space="preserve"> days (Home Office, 2017). This legislation came with a push towards having fewer people on bail and for shorter periods. </w:t>
      </w:r>
      <w:proofErr w:type="gramStart"/>
      <w:r w:rsidRPr="00C935D5">
        <w:rPr>
          <w:rFonts w:ascii="Calibri" w:eastAsia="Calibri" w:hAnsi="Calibri" w:cs="Times New Roman"/>
          <w:color w:val="auto"/>
          <w:sz w:val="22"/>
          <w:szCs w:val="22"/>
          <w:lang w:eastAsia="en-US"/>
        </w:rPr>
        <w:t>However,  the</w:t>
      </w:r>
      <w:proofErr w:type="gramEnd"/>
      <w:r w:rsidRPr="00C935D5">
        <w:rPr>
          <w:rFonts w:ascii="Calibri" w:eastAsia="Calibri" w:hAnsi="Calibri" w:cs="Times New Roman"/>
          <w:color w:val="auto"/>
          <w:sz w:val="22"/>
          <w:szCs w:val="22"/>
          <w:lang w:eastAsia="en-US"/>
        </w:rPr>
        <w:t xml:space="preserve"> new Police, Crime, Sentencing and Courts Act 2022 encourages the use of pre-charge bail and increases the standard pre charge bail length from twenty eight days to three months (Home Office, 2022). These reforms to the pre charge bail laws are being named ‘Kay’s Law’ after a woman was murdered after being released under investigation. When a suspect is released under investigation as opposed to being on bail there is less accountability for the police, no mechanism for suspects to be subject to any conditions to protect the victim/witnesses and less overall communication with </w:t>
      </w:r>
      <w:r w:rsidRPr="00C935D5">
        <w:rPr>
          <w:rFonts w:ascii="Calibri" w:eastAsia="Calibri" w:hAnsi="Calibri" w:cs="Times New Roman"/>
          <w:color w:val="auto"/>
          <w:sz w:val="22"/>
          <w:szCs w:val="22"/>
          <w:lang w:eastAsia="en-US"/>
        </w:rPr>
        <w:lastRenderedPageBreak/>
        <w:t xml:space="preserve">victims and witnesses (Home Office, 2022). The results of a public consultation into pre-charge bail published in 2021 was overwhelmingly that there should be an abolishment of the presumption against pre-charge bail, where 82% of respondents strongly agreed or agreed (Home Office, 2021). </w:t>
      </w:r>
    </w:p>
    <w:p w14:paraId="17E245B6" w14:textId="62064963" w:rsid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In my case, the male was arrested for fraud and theft and initially bailed for </w:t>
      </w:r>
      <w:proofErr w:type="gramStart"/>
      <w:r w:rsidRPr="00C935D5">
        <w:rPr>
          <w:rFonts w:ascii="Calibri" w:eastAsia="Calibri" w:hAnsi="Calibri" w:cs="Times New Roman"/>
          <w:color w:val="auto"/>
          <w:sz w:val="22"/>
          <w:szCs w:val="22"/>
          <w:lang w:eastAsia="en-US"/>
        </w:rPr>
        <w:t>twenty eight</w:t>
      </w:r>
      <w:proofErr w:type="gramEnd"/>
      <w:r w:rsidRPr="00C935D5">
        <w:rPr>
          <w:rFonts w:ascii="Calibri" w:eastAsia="Calibri" w:hAnsi="Calibri" w:cs="Times New Roman"/>
          <w:color w:val="auto"/>
          <w:sz w:val="22"/>
          <w:szCs w:val="22"/>
          <w:lang w:eastAsia="en-US"/>
        </w:rPr>
        <w:t xml:space="preserve"> days. In this </w:t>
      </w:r>
      <w:proofErr w:type="gramStart"/>
      <w:r w:rsidRPr="00C935D5">
        <w:rPr>
          <w:rFonts w:ascii="Calibri" w:eastAsia="Calibri" w:hAnsi="Calibri" w:cs="Times New Roman"/>
          <w:color w:val="auto"/>
          <w:sz w:val="22"/>
          <w:szCs w:val="22"/>
          <w:lang w:eastAsia="en-US"/>
        </w:rPr>
        <w:t>time</w:t>
      </w:r>
      <w:proofErr w:type="gramEnd"/>
      <w:r w:rsidRPr="00C935D5">
        <w:rPr>
          <w:rFonts w:ascii="Calibri" w:eastAsia="Calibri" w:hAnsi="Calibri" w:cs="Times New Roman"/>
          <w:color w:val="auto"/>
          <w:sz w:val="22"/>
          <w:szCs w:val="22"/>
          <w:lang w:eastAsia="en-US"/>
        </w:rPr>
        <w:t xml:space="preserve"> he had conditions not to contact the victim or any witnesses in the case. This was very important due to the close family relationship between the male and the victim and witnesses (one being his mother) and the potential that he could attempt to intimidate or otherwise coerce them into withdrawing their complaint. However, the case being so complex meant that after the </w:t>
      </w:r>
      <w:proofErr w:type="gramStart"/>
      <w:r w:rsidRPr="00C935D5">
        <w:rPr>
          <w:rFonts w:ascii="Calibri" w:eastAsia="Calibri" w:hAnsi="Calibri" w:cs="Times New Roman"/>
          <w:color w:val="auto"/>
          <w:sz w:val="22"/>
          <w:szCs w:val="22"/>
          <w:lang w:eastAsia="en-US"/>
        </w:rPr>
        <w:t>twenty eight</w:t>
      </w:r>
      <w:proofErr w:type="gramEnd"/>
      <w:r w:rsidRPr="00C935D5">
        <w:rPr>
          <w:rFonts w:ascii="Calibri" w:eastAsia="Calibri" w:hAnsi="Calibri" w:cs="Times New Roman"/>
          <w:color w:val="auto"/>
          <w:sz w:val="22"/>
          <w:szCs w:val="22"/>
          <w:lang w:eastAsia="en-US"/>
        </w:rPr>
        <w:t xml:space="preserve"> days there were many actions still outstanding and the male was released under investigation. This meant that the bail conditions that had been put in place to protect the victim and witnesses were no longer in place, which became a worrying factor for the family. This occurred before the introduction of the new pre charge bail legislation. The changes mean that if the male was arrested now, instead of when he was, there would have been a </w:t>
      </w:r>
      <w:proofErr w:type="gramStart"/>
      <w:r w:rsidRPr="00C935D5">
        <w:rPr>
          <w:rFonts w:ascii="Calibri" w:eastAsia="Calibri" w:hAnsi="Calibri" w:cs="Times New Roman"/>
          <w:color w:val="auto"/>
          <w:sz w:val="22"/>
          <w:szCs w:val="22"/>
          <w:lang w:eastAsia="en-US"/>
        </w:rPr>
        <w:t>three month</w:t>
      </w:r>
      <w:proofErr w:type="gramEnd"/>
      <w:r w:rsidRPr="00C935D5">
        <w:rPr>
          <w:rFonts w:ascii="Calibri" w:eastAsia="Calibri" w:hAnsi="Calibri" w:cs="Times New Roman"/>
          <w:color w:val="auto"/>
          <w:sz w:val="22"/>
          <w:szCs w:val="22"/>
          <w:lang w:eastAsia="en-US"/>
        </w:rPr>
        <w:t xml:space="preserve"> bail period granted, tripling the length of time the protections were in place for the family. </w:t>
      </w:r>
    </w:p>
    <w:p w14:paraId="263A4CC8" w14:textId="46F8A07D"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In conclusion, there are many ways the police and other relevant professionals support vulnerable victims and witnesses of crimes. Some of these methods have been discussed throughout this essay however </w:t>
      </w:r>
      <w:proofErr w:type="gramStart"/>
      <w:r>
        <w:rPr>
          <w:rFonts w:ascii="Calibri" w:eastAsia="Calibri" w:hAnsi="Calibri" w:cs="Times New Roman"/>
          <w:color w:val="auto"/>
          <w:sz w:val="22"/>
          <w:szCs w:val="22"/>
          <w:lang w:eastAsia="en-US"/>
        </w:rPr>
        <w:t>it is clear that it</w:t>
      </w:r>
      <w:proofErr w:type="gramEnd"/>
      <w:r>
        <w:rPr>
          <w:rFonts w:ascii="Calibri" w:eastAsia="Calibri" w:hAnsi="Calibri" w:cs="Times New Roman"/>
          <w:color w:val="auto"/>
          <w:sz w:val="22"/>
          <w:szCs w:val="22"/>
          <w:lang w:eastAsia="en-US"/>
        </w:rPr>
        <w:t xml:space="preserve"> is important that we must be constantly assessing how effective we actually are at doing this and making the necessary changes (as with the new pre-charge bail) when the evidence shows that a change is needed to better protect and support our victims. </w:t>
      </w:r>
    </w:p>
    <w:p w14:paraId="5E991348"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185ABE4"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0201188"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94D8818"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4E6AB398"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E78B4DE"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7BFA302"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DDD4F07"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E2DAE70"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5C46AB3" w14:textId="7B3E1ADB" w:rsidR="00C935D5" w:rsidRDefault="00C935D5" w:rsidP="5B843AF0">
      <w:pPr>
        <w:ind w:right="237"/>
        <w:jc w:val="both"/>
        <w:rPr>
          <w:rFonts w:eastAsia="Arial"/>
          <w:b/>
          <w:bCs/>
          <w:color w:val="000000" w:themeColor="text1"/>
          <w:sz w:val="24"/>
          <w:szCs w:val="24"/>
        </w:rPr>
      </w:pPr>
    </w:p>
    <w:p w14:paraId="18994EDA" w14:textId="4C72CE72" w:rsidR="00C935D5" w:rsidRDefault="00C935D5" w:rsidP="5B843AF0">
      <w:pPr>
        <w:ind w:right="237"/>
        <w:jc w:val="both"/>
        <w:rPr>
          <w:rFonts w:eastAsia="Arial"/>
          <w:b/>
          <w:bCs/>
          <w:color w:val="000000" w:themeColor="text1"/>
          <w:sz w:val="24"/>
          <w:szCs w:val="24"/>
        </w:rPr>
      </w:pPr>
    </w:p>
    <w:p w14:paraId="6B66CFAA" w14:textId="6239AE4F" w:rsidR="00C935D5" w:rsidRDefault="00C935D5" w:rsidP="5B843AF0">
      <w:pPr>
        <w:ind w:right="237"/>
        <w:jc w:val="both"/>
        <w:rPr>
          <w:rFonts w:eastAsia="Arial"/>
          <w:b/>
          <w:bCs/>
          <w:color w:val="000000" w:themeColor="text1"/>
          <w:sz w:val="24"/>
          <w:szCs w:val="24"/>
        </w:rPr>
      </w:pPr>
    </w:p>
    <w:p w14:paraId="59E0E8C9" w14:textId="244F49ED" w:rsidR="00C935D5" w:rsidRDefault="00C935D5" w:rsidP="5B843AF0">
      <w:pPr>
        <w:ind w:right="237"/>
        <w:jc w:val="both"/>
        <w:rPr>
          <w:rFonts w:eastAsia="Arial"/>
          <w:b/>
          <w:bCs/>
          <w:color w:val="000000" w:themeColor="text1"/>
          <w:sz w:val="24"/>
          <w:szCs w:val="24"/>
        </w:rPr>
      </w:pPr>
    </w:p>
    <w:p w14:paraId="10D3D9F3" w14:textId="2A5CF261" w:rsidR="00C935D5" w:rsidRDefault="00C935D5" w:rsidP="5B843AF0">
      <w:pPr>
        <w:ind w:right="237"/>
        <w:jc w:val="both"/>
        <w:rPr>
          <w:rFonts w:eastAsia="Arial"/>
          <w:b/>
          <w:bCs/>
          <w:color w:val="000000" w:themeColor="text1"/>
          <w:sz w:val="24"/>
          <w:szCs w:val="24"/>
        </w:rPr>
      </w:pPr>
    </w:p>
    <w:p w14:paraId="4ACB486E" w14:textId="73A691F4" w:rsidR="00C935D5" w:rsidRDefault="00C935D5" w:rsidP="5B843AF0">
      <w:pPr>
        <w:ind w:right="237"/>
        <w:jc w:val="both"/>
        <w:rPr>
          <w:rFonts w:eastAsia="Arial"/>
          <w:b/>
          <w:bCs/>
          <w:color w:val="000000" w:themeColor="text1"/>
          <w:sz w:val="24"/>
          <w:szCs w:val="24"/>
        </w:rPr>
      </w:pPr>
    </w:p>
    <w:p w14:paraId="583A305B" w14:textId="4B5DF07E" w:rsidR="00C935D5" w:rsidRDefault="00C935D5" w:rsidP="5B843AF0">
      <w:pPr>
        <w:ind w:right="237"/>
        <w:jc w:val="both"/>
        <w:rPr>
          <w:rFonts w:eastAsia="Arial"/>
          <w:b/>
          <w:bCs/>
          <w:color w:val="000000" w:themeColor="text1"/>
          <w:sz w:val="24"/>
          <w:szCs w:val="24"/>
        </w:rPr>
      </w:pPr>
    </w:p>
    <w:p w14:paraId="6DDFFF04" w14:textId="45473636" w:rsidR="00C935D5" w:rsidRDefault="00C935D5" w:rsidP="5B843AF0">
      <w:pPr>
        <w:ind w:right="237"/>
        <w:jc w:val="both"/>
        <w:rPr>
          <w:rFonts w:eastAsia="Arial"/>
          <w:b/>
          <w:bCs/>
          <w:color w:val="000000" w:themeColor="text1"/>
          <w:sz w:val="24"/>
          <w:szCs w:val="24"/>
        </w:rPr>
      </w:pPr>
    </w:p>
    <w:p w14:paraId="57F795E6" w14:textId="503E820E" w:rsidR="00C935D5" w:rsidRDefault="00C935D5" w:rsidP="5B843AF0">
      <w:pPr>
        <w:ind w:right="237"/>
        <w:jc w:val="both"/>
        <w:rPr>
          <w:rFonts w:eastAsia="Arial"/>
          <w:b/>
          <w:bCs/>
          <w:color w:val="000000" w:themeColor="text1"/>
          <w:sz w:val="24"/>
          <w:szCs w:val="24"/>
        </w:rPr>
      </w:pPr>
    </w:p>
    <w:p w14:paraId="09102356" w14:textId="4B286253" w:rsidR="00C935D5" w:rsidRDefault="00C935D5" w:rsidP="5B843AF0">
      <w:pPr>
        <w:ind w:right="237"/>
        <w:jc w:val="both"/>
        <w:rPr>
          <w:rFonts w:eastAsia="Arial"/>
          <w:b/>
          <w:bCs/>
          <w:color w:val="000000" w:themeColor="text1"/>
          <w:sz w:val="24"/>
          <w:szCs w:val="24"/>
        </w:rPr>
      </w:pPr>
    </w:p>
    <w:p w14:paraId="6750D9F3" w14:textId="23C62A47" w:rsidR="00C935D5" w:rsidRDefault="00C935D5" w:rsidP="5B843AF0">
      <w:pPr>
        <w:ind w:right="237"/>
        <w:jc w:val="both"/>
        <w:rPr>
          <w:rFonts w:eastAsia="Arial"/>
          <w:b/>
          <w:bCs/>
          <w:color w:val="000000" w:themeColor="text1"/>
          <w:sz w:val="24"/>
          <w:szCs w:val="24"/>
        </w:rPr>
      </w:pPr>
    </w:p>
    <w:p w14:paraId="0450A7F5" w14:textId="25482464" w:rsidR="00C935D5" w:rsidRDefault="00C935D5" w:rsidP="5B843AF0">
      <w:pPr>
        <w:ind w:right="237"/>
        <w:jc w:val="both"/>
        <w:rPr>
          <w:rFonts w:eastAsia="Arial"/>
          <w:b/>
          <w:bCs/>
          <w:color w:val="000000" w:themeColor="text1"/>
          <w:sz w:val="24"/>
          <w:szCs w:val="24"/>
        </w:rPr>
      </w:pPr>
    </w:p>
    <w:p w14:paraId="5BA8E79E" w14:textId="79CA89B0" w:rsidR="00C935D5" w:rsidRDefault="00C935D5" w:rsidP="5B843AF0">
      <w:pPr>
        <w:ind w:right="237"/>
        <w:jc w:val="both"/>
        <w:rPr>
          <w:rFonts w:eastAsia="Arial"/>
          <w:b/>
          <w:bCs/>
          <w:color w:val="000000" w:themeColor="text1"/>
          <w:sz w:val="24"/>
          <w:szCs w:val="24"/>
        </w:rPr>
      </w:pPr>
    </w:p>
    <w:p w14:paraId="6A11175A" w14:textId="2CB9BF9F" w:rsidR="00C935D5" w:rsidRDefault="00C935D5" w:rsidP="5B843AF0">
      <w:pPr>
        <w:ind w:right="237"/>
        <w:jc w:val="both"/>
        <w:rPr>
          <w:rFonts w:eastAsia="Arial"/>
          <w:b/>
          <w:bCs/>
          <w:color w:val="000000" w:themeColor="text1"/>
          <w:sz w:val="24"/>
          <w:szCs w:val="24"/>
        </w:rPr>
      </w:pPr>
    </w:p>
    <w:p w14:paraId="6CF90E20" w14:textId="77777777" w:rsidR="00C935D5" w:rsidRPr="00E676F7" w:rsidRDefault="00C935D5"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1F95EEC7"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Domestic abuse can be defined as abuse between people who are personally connected to each other. It can be one single </w:t>
      </w:r>
      <w:proofErr w:type="gramStart"/>
      <w:r w:rsidRPr="00E02F55">
        <w:rPr>
          <w:rFonts w:ascii="Calibri" w:eastAsia="Calibri" w:hAnsi="Calibri" w:cs="Times New Roman"/>
          <w:color w:val="auto"/>
          <w:sz w:val="22"/>
          <w:szCs w:val="22"/>
          <w:lang w:eastAsia="en-US"/>
        </w:rPr>
        <w:t>incident</w:t>
      </w:r>
      <w:proofErr w:type="gramEnd"/>
      <w:r w:rsidRPr="00E02F55">
        <w:rPr>
          <w:rFonts w:ascii="Calibri" w:eastAsia="Calibri" w:hAnsi="Calibri" w:cs="Times New Roman"/>
          <w:color w:val="auto"/>
          <w:sz w:val="22"/>
          <w:szCs w:val="22"/>
          <w:lang w:eastAsia="en-US"/>
        </w:rPr>
        <w:t xml:space="preserve"> or a pattern of incidents and the abuse can take many forms </w:t>
      </w:r>
      <w:proofErr w:type="spellStart"/>
      <w:r w:rsidRPr="00E02F55">
        <w:rPr>
          <w:rFonts w:ascii="Calibri" w:eastAsia="Calibri" w:hAnsi="Calibri" w:cs="Times New Roman"/>
          <w:color w:val="auto"/>
          <w:sz w:val="22"/>
          <w:szCs w:val="22"/>
          <w:lang w:eastAsia="en-US"/>
        </w:rPr>
        <w:t>i.e</w:t>
      </w:r>
      <w:proofErr w:type="spellEnd"/>
      <w:r w:rsidRPr="00E02F55">
        <w:rPr>
          <w:rFonts w:ascii="Calibri" w:eastAsia="Calibri" w:hAnsi="Calibri" w:cs="Times New Roman"/>
          <w:color w:val="auto"/>
          <w:sz w:val="22"/>
          <w:szCs w:val="22"/>
          <w:lang w:eastAsia="en-US"/>
        </w:rPr>
        <w:t xml:space="preserve"> physical violence, sexual abuse, financial abuse, controlling or coercive behaviour etc. (Women’s Aid, 2022). </w:t>
      </w:r>
    </w:p>
    <w:p w14:paraId="5C85BB2C" w14:textId="7F6FD37D"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Domestic abuse has a devastating impact on all those affected, victims and their families. Legislation changes over the last decade aim to raise awareness of the severity of the issue and improve the effectiveness of the criminal justice system in providing protection for victims and bringing perpetrators to justice. (CPS, 2022). South Wales Police recorded 35,687 incidents of domestic abuse reported to them during 2019/2020. Of this number, 13,063 were recorded as being crimes (Police and Crime Commissioner, no date). </w:t>
      </w:r>
    </w:p>
    <w:p w14:paraId="116A6925"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In this essay I will discuss a domestic incident that I dealt with which I feel gives an insight into the complexity of dealing with domestic abuse incidents and some of the challenges faced by police. </w:t>
      </w:r>
    </w:p>
    <w:p w14:paraId="38CB4368" w14:textId="00115C66"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incident I will discuss involves a report from a woman concerned about her adult daughter after her daughter disclosed a relationship breakdown between her and her partner. The woman was concerned about certain incidents her daughter had described to her and was looking for police advice on the matter. The female was contacted through safe means (by mobile when her partner was known to be at work). She explained that she had been in a relationship with her partner for several years. They had a child together and she had other children from a previous marriage. While speaking to officers she disclosed several incidents and behaviours which were indicative of her being a victim of coercive control. </w:t>
      </w:r>
    </w:p>
    <w:p w14:paraId="68E5BE3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Controlling or coercive behaviour was made a criminal offence with the introduction of the Serious Crime Act 2015. Section 76 (</w:t>
      </w:r>
      <w:r w:rsidRPr="00E02F55">
        <w:rPr>
          <w:rFonts w:ascii="Calibri" w:eastAsia="Calibri" w:hAnsi="Calibri" w:cs="Times New Roman"/>
          <w:i/>
          <w:color w:val="auto"/>
          <w:sz w:val="22"/>
          <w:szCs w:val="22"/>
          <w:lang w:eastAsia="en-US"/>
        </w:rPr>
        <w:t>Serious Crime Act 2015</w:t>
      </w:r>
      <w:r w:rsidRPr="00E02F55">
        <w:rPr>
          <w:rFonts w:ascii="Calibri" w:eastAsia="Calibri" w:hAnsi="Calibri" w:cs="Times New Roman"/>
          <w:color w:val="auto"/>
          <w:sz w:val="22"/>
          <w:szCs w:val="22"/>
          <w:lang w:eastAsia="en-US"/>
        </w:rPr>
        <w:t xml:space="preserve">) sets out that controlling or coercive behaviour between people who are personally connected, having serious effect on the victim, is an offence. The offence is committed if the victim fears on at least two occasions that violence will be used against them or if the behaviour of the perpetrator causes the victim alarm and distress, having an effect on their </w:t>
      </w:r>
      <w:proofErr w:type="gramStart"/>
      <w:r w:rsidRPr="00E02F55">
        <w:rPr>
          <w:rFonts w:ascii="Calibri" w:eastAsia="Calibri" w:hAnsi="Calibri" w:cs="Times New Roman"/>
          <w:color w:val="auto"/>
          <w:sz w:val="22"/>
          <w:szCs w:val="22"/>
          <w:lang w:eastAsia="en-US"/>
        </w:rPr>
        <w:t>day to day</w:t>
      </w:r>
      <w:proofErr w:type="gramEnd"/>
      <w:r w:rsidRPr="00E02F55">
        <w:rPr>
          <w:rFonts w:ascii="Calibri" w:eastAsia="Calibri" w:hAnsi="Calibri" w:cs="Times New Roman"/>
          <w:color w:val="auto"/>
          <w:sz w:val="22"/>
          <w:szCs w:val="22"/>
          <w:lang w:eastAsia="en-US"/>
        </w:rPr>
        <w:t xml:space="preserve"> activities. </w:t>
      </w:r>
    </w:p>
    <w:p w14:paraId="50BFA1EB"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female (to be referred to as the victim) disclosed incidents such as her partner taking her mobile to work with him so that she could not speak to anyone and restricting the use of the car they shared (after convincing her </w:t>
      </w:r>
      <w:proofErr w:type="gramStart"/>
      <w:r w:rsidRPr="00E02F55">
        <w:rPr>
          <w:rFonts w:ascii="Calibri" w:eastAsia="Calibri" w:hAnsi="Calibri" w:cs="Times New Roman"/>
          <w:color w:val="auto"/>
          <w:sz w:val="22"/>
          <w:szCs w:val="22"/>
          <w:lang w:eastAsia="en-US"/>
        </w:rPr>
        <w:t>early on in the</w:t>
      </w:r>
      <w:proofErr w:type="gramEnd"/>
      <w:r w:rsidRPr="00E02F55">
        <w:rPr>
          <w:rFonts w:ascii="Calibri" w:eastAsia="Calibri" w:hAnsi="Calibri" w:cs="Times New Roman"/>
          <w:color w:val="auto"/>
          <w:sz w:val="22"/>
          <w:szCs w:val="22"/>
          <w:lang w:eastAsia="en-US"/>
        </w:rPr>
        <w:t xml:space="preserve"> relationship to sell her own car). She described her partner as a very jealous person and described incidents where he had become aggressive in public </w:t>
      </w:r>
      <w:proofErr w:type="gramStart"/>
      <w:r w:rsidRPr="00E02F55">
        <w:rPr>
          <w:rFonts w:ascii="Calibri" w:eastAsia="Calibri" w:hAnsi="Calibri" w:cs="Times New Roman"/>
          <w:color w:val="auto"/>
          <w:sz w:val="22"/>
          <w:szCs w:val="22"/>
          <w:lang w:eastAsia="en-US"/>
        </w:rPr>
        <w:t>as a result of</w:t>
      </w:r>
      <w:proofErr w:type="gramEnd"/>
      <w:r w:rsidRPr="00E02F55">
        <w:rPr>
          <w:rFonts w:ascii="Calibri" w:eastAsia="Calibri" w:hAnsi="Calibri" w:cs="Times New Roman"/>
          <w:color w:val="auto"/>
          <w:sz w:val="22"/>
          <w:szCs w:val="22"/>
          <w:lang w:eastAsia="en-US"/>
        </w:rPr>
        <w:t xml:space="preserve"> her interacting with males known to her.  </w:t>
      </w:r>
    </w:p>
    <w:p w14:paraId="62B38EF5"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The victim described two incidents of physical violence that had occurred throughout the relationship, many years before speaking to the police She said that these incidents involved her partner pushing her and although she was not injured as a result it had left her feeling frightened of further violence. She said that this fear had caused her to alter how she behaves and her decision making.</w:t>
      </w:r>
    </w:p>
    <w:p w14:paraId="1D803E0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lastRenderedPageBreak/>
        <w:t>I discussed with her the impact of her partner’s behaviour on her children. She was very upset when discussing how her children had been impacted and stated that although the partner had never been violent towards the children or in front of the children, his general behaviour made the children frightened of him. She said that her two eldest children had spoken to their father about the situation and her youngest had asked if her and the three children could live elsewhere away from her father.</w:t>
      </w:r>
    </w:p>
    <w:p w14:paraId="6A4654AE" w14:textId="35125D71"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Research into Adverse Childhood Experiences (ACE’s) tells us that children exposed to adversity (such as violence and abuse at home) are more likely to suffer consequences throughout their lives, even so far as leading to behaviour which damages themselves or harming others (Police and Crime Commissioner South Wales, 2019). NSPCC Learning (2021) say that Domestic Abuse always has an impact on children and that children exposed to domestic abuse are themselves, victims of child abuse. Legislation already existed to say that ‘seeing or hearing the ill-treatment of another person’ is a form of harm </w:t>
      </w:r>
      <w:r w:rsidRPr="00E02F55">
        <w:rPr>
          <w:rFonts w:ascii="Calibri" w:eastAsia="Calibri" w:hAnsi="Calibri" w:cs="Times New Roman"/>
          <w:i/>
          <w:color w:val="auto"/>
          <w:sz w:val="22"/>
          <w:szCs w:val="22"/>
          <w:lang w:eastAsia="en-US"/>
        </w:rPr>
        <w:t>(s.120 Adoption and Children’s Act 2002</w:t>
      </w:r>
      <w:proofErr w:type="gramStart"/>
      <w:r w:rsidRPr="00E02F55">
        <w:rPr>
          <w:rFonts w:ascii="Calibri" w:eastAsia="Calibri" w:hAnsi="Calibri" w:cs="Times New Roman"/>
          <w:i/>
          <w:color w:val="auto"/>
          <w:sz w:val="22"/>
          <w:szCs w:val="22"/>
          <w:lang w:eastAsia="en-US"/>
        </w:rPr>
        <w:t xml:space="preserve">)  </w:t>
      </w:r>
      <w:r w:rsidRPr="00E02F55">
        <w:rPr>
          <w:rFonts w:ascii="Calibri" w:eastAsia="Calibri" w:hAnsi="Calibri" w:cs="Times New Roman"/>
          <w:color w:val="auto"/>
          <w:sz w:val="22"/>
          <w:szCs w:val="22"/>
          <w:lang w:eastAsia="en-US"/>
        </w:rPr>
        <w:t>however</w:t>
      </w:r>
      <w:proofErr w:type="gramEnd"/>
      <w:r w:rsidRPr="00E02F55">
        <w:rPr>
          <w:rFonts w:ascii="Calibri" w:eastAsia="Calibri" w:hAnsi="Calibri" w:cs="Times New Roman"/>
          <w:color w:val="auto"/>
          <w:sz w:val="22"/>
          <w:szCs w:val="22"/>
          <w:lang w:eastAsia="en-US"/>
        </w:rPr>
        <w:t xml:space="preserve">, the introduction of the </w:t>
      </w:r>
      <w:r w:rsidRPr="00E02F55">
        <w:rPr>
          <w:rFonts w:ascii="Calibri" w:eastAsia="Calibri" w:hAnsi="Calibri" w:cs="Times New Roman"/>
          <w:i/>
          <w:color w:val="auto"/>
          <w:sz w:val="22"/>
          <w:szCs w:val="22"/>
          <w:lang w:eastAsia="en-US"/>
        </w:rPr>
        <w:t>Domestic Abuse Act 2021</w:t>
      </w:r>
      <w:r w:rsidRPr="00E02F55">
        <w:rPr>
          <w:rFonts w:ascii="Calibri" w:eastAsia="Calibri" w:hAnsi="Calibri" w:cs="Times New Roman"/>
          <w:color w:val="auto"/>
          <w:sz w:val="22"/>
          <w:szCs w:val="22"/>
          <w:lang w:eastAsia="en-US"/>
        </w:rPr>
        <w:t xml:space="preserve">, section 3 makes a formal recognition of children as victims of domestic violence if they ‘see hear or otherwise experience the effects of abuse’. </w:t>
      </w:r>
    </w:p>
    <w:p w14:paraId="272B8C7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The victim stated her intentions to leave the relationship that week as she had already arranged a new property for her and the children, unbeknown to her partner. As a result of the stress of moving home secretly and the fear that he would take their child away from her, she felt unable to go through with the process of making a formal complaint against her partner for the offences she had disclosed. The support options available to her when making a complaint and the protections that would be offered (</w:t>
      </w:r>
      <w:proofErr w:type="spellStart"/>
      <w:r w:rsidRPr="00E02F55">
        <w:rPr>
          <w:rFonts w:ascii="Calibri" w:eastAsia="Calibri" w:hAnsi="Calibri" w:cs="Times New Roman"/>
          <w:color w:val="auto"/>
          <w:sz w:val="22"/>
          <w:szCs w:val="22"/>
          <w:lang w:eastAsia="en-US"/>
        </w:rPr>
        <w:t>i.e</w:t>
      </w:r>
      <w:proofErr w:type="spellEnd"/>
      <w:r w:rsidRPr="00E02F55">
        <w:rPr>
          <w:rFonts w:ascii="Calibri" w:eastAsia="Calibri" w:hAnsi="Calibri" w:cs="Times New Roman"/>
          <w:color w:val="auto"/>
          <w:sz w:val="22"/>
          <w:szCs w:val="22"/>
          <w:lang w:eastAsia="en-US"/>
        </w:rPr>
        <w:t xml:space="preserve"> bail conditions) were discussed. However, she stated that she did not feel she had the mental energy at that time to consider such an important process and just wanted to do things her way first (by moving out and leaving the relationship). </w:t>
      </w:r>
    </w:p>
    <w:p w14:paraId="4CB8E21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Domestic abuse cases pose a huge challenge for police when it comes to moving to a stage of prosecution due to victims of domestic abuse frequently not supporting a prosecution. There are more reasons than can be possibly named for why a victim is not willing/does not feel able to support a prosecution of their abuser. Some of these reasons are the danger that making a complaint to the police would put the victim (and children when present) in, the fear of being alone, the shame, the denial that they are in an abusive relationship, lack of trust in the police and criminal justice system and practical reasons such as financial dependence on the abuser (Women’s Aid, 2022). </w:t>
      </w:r>
    </w:p>
    <w:p w14:paraId="0B2A4312" w14:textId="1C978E39"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victim was provided with details of organisations that can provide ongoing support and advice to victims such as Live Fear Free and Women’s Aid. She was also advised about the process of police submitting a public protection notification and she consented to answer the associated Domestic Abuse, Stalking, Harassment and Honour based violence (DASH) checklist questions. Professionals working in the public protection arena use the DASH (2009) risk identification and assessment model </w:t>
      </w:r>
      <w:proofErr w:type="gramStart"/>
      <w:r w:rsidRPr="00E02F55">
        <w:rPr>
          <w:rFonts w:ascii="Calibri" w:eastAsia="Calibri" w:hAnsi="Calibri" w:cs="Times New Roman"/>
          <w:color w:val="auto"/>
          <w:sz w:val="22"/>
          <w:szCs w:val="22"/>
          <w:lang w:eastAsia="en-US"/>
        </w:rPr>
        <w:t>in order to</w:t>
      </w:r>
      <w:proofErr w:type="gramEnd"/>
      <w:r w:rsidRPr="00E02F55">
        <w:rPr>
          <w:rFonts w:ascii="Calibri" w:eastAsia="Calibri" w:hAnsi="Calibri" w:cs="Times New Roman"/>
          <w:color w:val="auto"/>
          <w:sz w:val="22"/>
          <w:szCs w:val="22"/>
          <w:lang w:eastAsia="en-US"/>
        </w:rPr>
        <w:t xml:space="preserve"> identify high risk cases and decide what level of support is required, including a MARAC referral for those deemed as high risk (DASH Risk Model, 2022). </w:t>
      </w:r>
    </w:p>
    <w:p w14:paraId="6F5BBE83"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A MARAC, Multi Agency Risk Assessment Conference, is a meeting involving agencies such as the police, social services, IDVA’s, Health visitors etc. The aim of the meeting is to discuss the risk posed to a person or family and to develop a safety plan going forward (Kent and Medway Domestic Abuse and Sexual Violence Group, 2022). </w:t>
      </w:r>
    </w:p>
    <w:p w14:paraId="2DA8918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E02F55">
        <w:rPr>
          <w:rFonts w:ascii="Calibri" w:eastAsia="Calibri" w:hAnsi="Calibri" w:cs="Times New Roman"/>
          <w:color w:val="auto"/>
          <w:sz w:val="22"/>
          <w:szCs w:val="22"/>
          <w:lang w:eastAsia="en-US"/>
        </w:rPr>
        <w:t>Multi agency</w:t>
      </w:r>
      <w:proofErr w:type="spellEnd"/>
      <w:r w:rsidRPr="00E02F55">
        <w:rPr>
          <w:rFonts w:ascii="Calibri" w:eastAsia="Calibri" w:hAnsi="Calibri" w:cs="Times New Roman"/>
          <w:color w:val="auto"/>
          <w:sz w:val="22"/>
          <w:szCs w:val="22"/>
          <w:lang w:eastAsia="en-US"/>
        </w:rPr>
        <w:t xml:space="preserve"> working is extremely important when it comes to working with victims with domestic abuse as very often, the impact the abuse has had on their lives far reaches beyond what the police </w:t>
      </w:r>
      <w:r w:rsidRPr="00E02F55">
        <w:rPr>
          <w:rFonts w:ascii="Calibri" w:eastAsia="Calibri" w:hAnsi="Calibri" w:cs="Times New Roman"/>
          <w:color w:val="auto"/>
          <w:sz w:val="22"/>
          <w:szCs w:val="22"/>
          <w:lang w:eastAsia="en-US"/>
        </w:rPr>
        <w:lastRenderedPageBreak/>
        <w:t xml:space="preserve">can hope to deal with. Other agencies, such as the ones mentioned above, plus GPs, schools etc. are all involved in some capacity when a victim and their children need support in dealing with abuse.  </w:t>
      </w:r>
    </w:p>
    <w:p w14:paraId="36E42EF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FF0000"/>
          <w:sz w:val="22"/>
          <w:szCs w:val="22"/>
          <w:lang w:eastAsia="en-US"/>
        </w:rPr>
      </w:pPr>
      <w:r w:rsidRPr="00E02F55">
        <w:rPr>
          <w:rFonts w:ascii="Calibri" w:eastAsia="Calibri" w:hAnsi="Calibri" w:cs="Times New Roman"/>
          <w:color w:val="auto"/>
          <w:sz w:val="22"/>
          <w:szCs w:val="22"/>
          <w:lang w:eastAsia="en-US"/>
        </w:rPr>
        <w:t xml:space="preserve">As a result of the answers the victim provided to the DASH questions, coupled with her plans to leave the relationship I felt she was at a high risk of abuse/violence going forward. </w:t>
      </w:r>
      <w:proofErr w:type="gramStart"/>
      <w:r w:rsidRPr="00E02F55">
        <w:rPr>
          <w:rFonts w:ascii="Calibri" w:eastAsia="Calibri" w:hAnsi="Calibri" w:cs="Times New Roman"/>
          <w:color w:val="auto"/>
          <w:sz w:val="22"/>
          <w:szCs w:val="22"/>
          <w:lang w:eastAsia="en-US"/>
        </w:rPr>
        <w:t>Therefore</w:t>
      </w:r>
      <w:proofErr w:type="gramEnd"/>
      <w:r w:rsidRPr="00E02F55">
        <w:rPr>
          <w:rFonts w:ascii="Calibri" w:eastAsia="Calibri" w:hAnsi="Calibri" w:cs="Times New Roman"/>
          <w:color w:val="auto"/>
          <w:sz w:val="22"/>
          <w:szCs w:val="22"/>
          <w:lang w:eastAsia="en-US"/>
        </w:rPr>
        <w:t xml:space="preserve"> I submitted the public protection notification graded as high risk which meant that a MARAC was held. </w:t>
      </w:r>
    </w:p>
    <w:p w14:paraId="6AEB1079"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In addition to this, based on what information she had provided safeguarding measures were put into place such as a critical marker on both the current and new address she was to move </w:t>
      </w:r>
      <w:proofErr w:type="gramStart"/>
      <w:r w:rsidRPr="00E02F55">
        <w:rPr>
          <w:rFonts w:ascii="Calibri" w:eastAsia="Calibri" w:hAnsi="Calibri" w:cs="Times New Roman"/>
          <w:color w:val="auto"/>
          <w:sz w:val="22"/>
          <w:szCs w:val="22"/>
          <w:lang w:eastAsia="en-US"/>
        </w:rPr>
        <w:t>to</w:t>
      </w:r>
      <w:proofErr w:type="gramEnd"/>
      <w:r w:rsidRPr="00E02F55">
        <w:rPr>
          <w:rFonts w:ascii="Calibri" w:eastAsia="Calibri" w:hAnsi="Calibri" w:cs="Times New Roman"/>
          <w:color w:val="auto"/>
          <w:sz w:val="22"/>
          <w:szCs w:val="22"/>
          <w:lang w:eastAsia="en-US"/>
        </w:rPr>
        <w:t xml:space="preserve"> and she was appointed an Independent Domestic Violence Advisor (IDVA). </w:t>
      </w:r>
    </w:p>
    <w:p w14:paraId="56E3E22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A few weeks after speaking to police about her relationship with her partner, the victim contacted police again. She explained that she had been able to leave the house and the relationship and had had been having support from domestic abuse charities and now felt she was able to go ahead with making a complaint.</w:t>
      </w:r>
      <w:r w:rsidRPr="00E02F55">
        <w:rPr>
          <w:rFonts w:ascii="Calibri" w:eastAsia="Calibri" w:hAnsi="Calibri" w:cs="Times New Roman"/>
          <w:color w:val="FF0000"/>
          <w:sz w:val="22"/>
          <w:szCs w:val="22"/>
          <w:lang w:eastAsia="en-US"/>
        </w:rPr>
        <w:t xml:space="preserve"> </w:t>
      </w:r>
      <w:r w:rsidRPr="00E02F55">
        <w:rPr>
          <w:rFonts w:ascii="Calibri" w:eastAsia="Calibri" w:hAnsi="Calibri" w:cs="Times New Roman"/>
          <w:color w:val="auto"/>
          <w:sz w:val="22"/>
          <w:szCs w:val="22"/>
          <w:lang w:eastAsia="en-US"/>
        </w:rPr>
        <w:t xml:space="preserve">She also stated that her partner had actively been trying to find out her new address by approaching friends and family members and even a local estate agent to find out if she was a tenant of theirs. She had CCTV footage of a vehicle she believed he was driving, driving past her address during the night. This occurred several times. </w:t>
      </w:r>
    </w:p>
    <w:p w14:paraId="23534F56" w14:textId="7D37DD78"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These new developments meant that there was a new offence of harassment </w:t>
      </w:r>
      <w:r w:rsidRPr="00E02F55">
        <w:rPr>
          <w:rFonts w:ascii="Calibri" w:eastAsia="Calibri" w:hAnsi="Calibri" w:cs="Times New Roman"/>
          <w:i/>
          <w:color w:val="auto"/>
          <w:sz w:val="22"/>
          <w:szCs w:val="22"/>
          <w:lang w:eastAsia="en-US"/>
        </w:rPr>
        <w:t xml:space="preserve">(S. 2 Protection from Harassment Act 1997) </w:t>
      </w:r>
      <w:r w:rsidRPr="00E02F55">
        <w:rPr>
          <w:rFonts w:ascii="Calibri" w:eastAsia="Calibri" w:hAnsi="Calibri" w:cs="Times New Roman"/>
          <w:color w:val="auto"/>
          <w:sz w:val="22"/>
          <w:szCs w:val="22"/>
          <w:lang w:eastAsia="en-US"/>
        </w:rPr>
        <w:t xml:space="preserve">being committed by the male. As a result of the new offence of harassment being committed and the victim’s newly acquired confidence to go through with making a complaint, a statement was taken from her. Statements were also taken from family members and friends who had witnessed incidents between the victim and the male. </w:t>
      </w:r>
    </w:p>
    <w:p w14:paraId="4E175CE6"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Shortly after, the male was arrested for coercive control and harassment. He was interviewed where he denied the offences and released on bail, with conditions not to contact or approach the victim or be in the local area where she was living. </w:t>
      </w:r>
    </w:p>
    <w:p w14:paraId="7153C868"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Both offences were fully </w:t>
      </w:r>
      <w:proofErr w:type="gramStart"/>
      <w:r w:rsidRPr="00E02F55">
        <w:rPr>
          <w:rFonts w:ascii="Calibri" w:eastAsia="Calibri" w:hAnsi="Calibri" w:cs="Times New Roman"/>
          <w:color w:val="auto"/>
          <w:sz w:val="22"/>
          <w:szCs w:val="22"/>
          <w:lang w:eastAsia="en-US"/>
        </w:rPr>
        <w:t>investigated</w:t>
      </w:r>
      <w:proofErr w:type="gramEnd"/>
      <w:r w:rsidRPr="00E02F55">
        <w:rPr>
          <w:rFonts w:ascii="Calibri" w:eastAsia="Calibri" w:hAnsi="Calibri" w:cs="Times New Roman"/>
          <w:color w:val="auto"/>
          <w:sz w:val="22"/>
          <w:szCs w:val="22"/>
          <w:lang w:eastAsia="en-US"/>
        </w:rPr>
        <w:t xml:space="preserve"> and it was determined that the evidence that existed did not meet the evidential stage of the full code test. The full code test is a test used by prosecutors to determine whether a prosecution will start/continue. It is split into two </w:t>
      </w:r>
      <w:proofErr w:type="gramStart"/>
      <w:r w:rsidRPr="00E02F55">
        <w:rPr>
          <w:rFonts w:ascii="Calibri" w:eastAsia="Calibri" w:hAnsi="Calibri" w:cs="Times New Roman"/>
          <w:color w:val="auto"/>
          <w:sz w:val="22"/>
          <w:szCs w:val="22"/>
          <w:lang w:eastAsia="en-US"/>
        </w:rPr>
        <w:t>stages;</w:t>
      </w:r>
      <w:proofErr w:type="gramEnd"/>
      <w:r w:rsidRPr="00E02F55">
        <w:rPr>
          <w:rFonts w:ascii="Calibri" w:eastAsia="Calibri" w:hAnsi="Calibri" w:cs="Times New Roman"/>
          <w:color w:val="auto"/>
          <w:sz w:val="22"/>
          <w:szCs w:val="22"/>
          <w:lang w:eastAsia="en-US"/>
        </w:rPr>
        <w:t xml:space="preserve"> the evidential stage and the public interest stage. In the evidential stage the prosecutor must be satisfied that the evidence available provides a realistic prospect of conviction. The defendant’s possible defences are considered during this stage and how they are likely to affect conviction prospects (CPS, 2018). </w:t>
      </w:r>
    </w:p>
    <w:p w14:paraId="3D31A02D" w14:textId="21D92B06"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In this case the officer in the case and supervising officer determined that the behaviours and incidents the victim had described in her statement describe an aggressive man, but that </w:t>
      </w:r>
      <w:proofErr w:type="gramStart"/>
      <w:r w:rsidRPr="00E02F55">
        <w:rPr>
          <w:rFonts w:ascii="Calibri" w:eastAsia="Calibri" w:hAnsi="Calibri" w:cs="Times New Roman"/>
          <w:color w:val="auto"/>
          <w:sz w:val="22"/>
          <w:szCs w:val="22"/>
          <w:lang w:eastAsia="en-US"/>
        </w:rPr>
        <w:t>in itself did</w:t>
      </w:r>
      <w:proofErr w:type="gramEnd"/>
      <w:r w:rsidRPr="00E02F55">
        <w:rPr>
          <w:rFonts w:ascii="Calibri" w:eastAsia="Calibri" w:hAnsi="Calibri" w:cs="Times New Roman"/>
          <w:color w:val="auto"/>
          <w:sz w:val="22"/>
          <w:szCs w:val="22"/>
          <w:lang w:eastAsia="en-US"/>
        </w:rPr>
        <w:t xml:space="preserve"> not provide enough evidence that there had been coercive and controlling behaviour occurring. </w:t>
      </w:r>
      <w:proofErr w:type="gramStart"/>
      <w:r w:rsidRPr="00E02F55">
        <w:rPr>
          <w:rFonts w:ascii="Calibri" w:eastAsia="Calibri" w:hAnsi="Calibri" w:cs="Times New Roman"/>
          <w:color w:val="auto"/>
          <w:sz w:val="22"/>
          <w:szCs w:val="22"/>
          <w:lang w:eastAsia="en-US"/>
        </w:rPr>
        <w:t>With regard to</w:t>
      </w:r>
      <w:proofErr w:type="gramEnd"/>
      <w:r w:rsidRPr="00E02F55">
        <w:rPr>
          <w:rFonts w:ascii="Calibri" w:eastAsia="Calibri" w:hAnsi="Calibri" w:cs="Times New Roman"/>
          <w:color w:val="auto"/>
          <w:sz w:val="22"/>
          <w:szCs w:val="22"/>
          <w:lang w:eastAsia="en-US"/>
        </w:rPr>
        <w:t xml:space="preserve"> the harassment, it was deemed that the CCTV footage could not identify the vehicle or who was driving the vehicle and therefore did not provide sufficient evidence of harassment. </w:t>
      </w:r>
      <w:r w:rsidR="00C935D5">
        <w:rPr>
          <w:rFonts w:ascii="Calibri" w:eastAsia="Calibri" w:hAnsi="Calibri" w:cs="Times New Roman"/>
          <w:color w:val="auto"/>
          <w:sz w:val="22"/>
          <w:szCs w:val="22"/>
          <w:lang w:eastAsia="en-US"/>
        </w:rPr>
        <w:t xml:space="preserve">As </w:t>
      </w:r>
      <w:r w:rsidRPr="00E02F55">
        <w:rPr>
          <w:rFonts w:ascii="Calibri" w:eastAsia="Calibri" w:hAnsi="Calibri" w:cs="Times New Roman"/>
          <w:color w:val="auto"/>
          <w:sz w:val="22"/>
          <w:szCs w:val="22"/>
          <w:lang w:eastAsia="en-US"/>
        </w:rPr>
        <w:t xml:space="preserve">a result, there was no further action taken and the male’s bail conditions were removed. The victim continued to receive domestic abuse support and was urged to report any future incidents in the hope that a course of conduct could be established which may enable a prosecution to be made.  </w:t>
      </w:r>
    </w:p>
    <w:p w14:paraId="33DAC44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This incident clearly demonstrates the complexity of domestic abuse incidents and how difficult it can be to gain successful convictions when domestic abuse takes place in the form of coercive control. Office for National Statistics (2021) census data shows that in the year ending March 2021 the CPS charging rate for Domestic abuse decreased from 76% in 2018 to 70%. A Home Office (2021) review into the offence of coercive and controlling behaviour suggested that the requirement for </w:t>
      </w:r>
      <w:r w:rsidRPr="00E02F55">
        <w:rPr>
          <w:rFonts w:ascii="Calibri" w:eastAsia="Calibri" w:hAnsi="Calibri" w:cs="Times New Roman"/>
          <w:color w:val="auto"/>
          <w:sz w:val="22"/>
          <w:szCs w:val="22"/>
          <w:lang w:eastAsia="en-US"/>
        </w:rPr>
        <w:lastRenderedPageBreak/>
        <w:t xml:space="preserve">proof of the suspect’s behaviour having a ‘serious effect’ on the victim proved difficult to show evidentially. </w:t>
      </w:r>
    </w:p>
    <w:p w14:paraId="6AA7A649"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This essay demonstrates that the challenges the police face when dealing with domestic abuse incidents come in two main forms; the victim not supporting a prosecution due to a large variety of reasons and evidential difficulties making it difficult to get a successful prosecution due to the nature of the offence. </w:t>
      </w:r>
    </w:p>
    <w:p w14:paraId="3CA332F5"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When I reflect on this incident it is easy to feel frustrated by the outcome. I spent a lot of time with the victim, offered her the support she needed to feel able to go forward with making a complaint, the male was arrested and unfortunately, the evidence was just not there to support a prosecution. </w:t>
      </w:r>
    </w:p>
    <w:p w14:paraId="3F27704B" w14:textId="4C1513D3"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However, I feel I learned a great deal when dealing with this case. I gained an understanding on how critical it is to allow victims time to decide on making a complaint in such cases. Because I sat with the victim for many hours the first time the issues were brought to police attention, once she’d she left the relationship and accepted the supported offered to </w:t>
      </w:r>
      <w:proofErr w:type="gramStart"/>
      <w:r w:rsidRPr="00E02F55">
        <w:rPr>
          <w:rFonts w:ascii="Calibri" w:eastAsia="Calibri" w:hAnsi="Calibri" w:cs="Times New Roman"/>
          <w:color w:val="auto"/>
          <w:sz w:val="22"/>
          <w:szCs w:val="22"/>
          <w:lang w:eastAsia="en-US"/>
        </w:rPr>
        <w:t>her</w:t>
      </w:r>
      <w:proofErr w:type="gramEnd"/>
      <w:r w:rsidRPr="00E02F55">
        <w:rPr>
          <w:rFonts w:ascii="Calibri" w:eastAsia="Calibri" w:hAnsi="Calibri" w:cs="Times New Roman"/>
          <w:color w:val="auto"/>
          <w:sz w:val="22"/>
          <w:szCs w:val="22"/>
          <w:lang w:eastAsia="en-US"/>
        </w:rPr>
        <w:t xml:space="preserve"> she had confidence to return to police as she had been listened to the first time and given time to make her decision. Also, because I had written such a full and comprehensive update after speaking with her the first time, each officer that dealt with the case had enough information that they did not have to keep asking the victim to recount the full relationship history each time they spoke to her. Although </w:t>
      </w:r>
      <w:proofErr w:type="gramStart"/>
      <w:r w:rsidRPr="00E02F55">
        <w:rPr>
          <w:rFonts w:ascii="Calibri" w:eastAsia="Calibri" w:hAnsi="Calibri" w:cs="Times New Roman"/>
          <w:color w:val="auto"/>
          <w:sz w:val="22"/>
          <w:szCs w:val="22"/>
          <w:lang w:eastAsia="en-US"/>
        </w:rPr>
        <w:t>the end result</w:t>
      </w:r>
      <w:proofErr w:type="gramEnd"/>
      <w:r w:rsidRPr="00E02F55">
        <w:rPr>
          <w:rFonts w:ascii="Calibri" w:eastAsia="Calibri" w:hAnsi="Calibri" w:cs="Times New Roman"/>
          <w:color w:val="auto"/>
          <w:sz w:val="22"/>
          <w:szCs w:val="22"/>
          <w:lang w:eastAsia="en-US"/>
        </w:rPr>
        <w:t xml:space="preserve"> is not what the victim would have wished for, I do feel that how I personally dealt with the situation meant that the victim, who had had very little contact with police previously, had confidence that we wanted to help and support her.  </w:t>
      </w:r>
    </w:p>
    <w:p w14:paraId="670BCD61" w14:textId="4B5489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Word count: 2155 </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052A7114" w:rsidR="00025650" w:rsidRDefault="00025650" w:rsidP="0FF883D4">
      <w:pPr>
        <w:ind w:right="237"/>
        <w:jc w:val="both"/>
        <w:rPr>
          <w:color w:val="000000" w:themeColor="text1"/>
          <w:sz w:val="24"/>
          <w:szCs w:val="24"/>
        </w:rPr>
      </w:pPr>
    </w:p>
    <w:p w14:paraId="4840AD62" w14:textId="74486D61" w:rsidR="00E02F55" w:rsidRDefault="00E02F55" w:rsidP="0FF883D4">
      <w:pPr>
        <w:ind w:right="237"/>
        <w:jc w:val="both"/>
        <w:rPr>
          <w:color w:val="000000" w:themeColor="text1"/>
          <w:sz w:val="24"/>
          <w:szCs w:val="24"/>
        </w:rPr>
      </w:pPr>
    </w:p>
    <w:p w14:paraId="199907D8" w14:textId="1ECEA8A3" w:rsidR="00E02F55" w:rsidRDefault="00E02F55" w:rsidP="0FF883D4">
      <w:pPr>
        <w:ind w:right="237"/>
        <w:jc w:val="both"/>
        <w:rPr>
          <w:color w:val="000000" w:themeColor="text1"/>
          <w:sz w:val="24"/>
          <w:szCs w:val="24"/>
        </w:rPr>
      </w:pPr>
    </w:p>
    <w:p w14:paraId="79282D68" w14:textId="1562F7D4" w:rsidR="00E02F55" w:rsidRDefault="00E02F55" w:rsidP="0FF883D4">
      <w:pPr>
        <w:ind w:right="237"/>
        <w:jc w:val="both"/>
        <w:rPr>
          <w:color w:val="000000" w:themeColor="text1"/>
          <w:sz w:val="24"/>
          <w:szCs w:val="24"/>
        </w:rPr>
      </w:pPr>
    </w:p>
    <w:p w14:paraId="10CA3C09" w14:textId="396DEBB4" w:rsidR="00E02F55" w:rsidRDefault="00E02F55" w:rsidP="0FF883D4">
      <w:pPr>
        <w:ind w:right="237"/>
        <w:jc w:val="both"/>
        <w:rPr>
          <w:color w:val="000000" w:themeColor="text1"/>
          <w:sz w:val="24"/>
          <w:szCs w:val="24"/>
        </w:rPr>
      </w:pPr>
    </w:p>
    <w:p w14:paraId="48F82857" w14:textId="77777777" w:rsidR="00E02F55" w:rsidRPr="00E676F7" w:rsidRDefault="00E02F55"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F3FCEB7" w:rsidR="0FF883D4" w:rsidRDefault="5CE196A1" w:rsidP="5CE196A1">
      <w:r w:rsidRPr="5CE196A1">
        <w:rPr>
          <w:rFonts w:eastAsia="Arial"/>
          <w:b/>
          <w:bCs/>
          <w:color w:val="000000" w:themeColor="text1"/>
          <w:sz w:val="24"/>
          <w:szCs w:val="24"/>
        </w:rPr>
        <w:t xml:space="preserve">Signed: </w:t>
      </w:r>
      <w:r w:rsidR="00E02F55">
        <w:rPr>
          <w:rFonts w:eastAsia="Arial"/>
          <w:b/>
          <w:bCs/>
          <w:color w:val="000000" w:themeColor="text1"/>
          <w:sz w:val="24"/>
          <w:szCs w:val="24"/>
        </w:rPr>
        <w:t>Naomi Rees</w:t>
      </w:r>
    </w:p>
    <w:p w14:paraId="563192E7" w14:textId="7A83C86F" w:rsidR="0FF883D4" w:rsidRDefault="5CE196A1" w:rsidP="5CE196A1">
      <w:r w:rsidRPr="5CE196A1">
        <w:rPr>
          <w:rFonts w:eastAsia="Arial"/>
          <w:b/>
          <w:bCs/>
          <w:color w:val="000000" w:themeColor="text1"/>
          <w:sz w:val="24"/>
          <w:szCs w:val="24"/>
        </w:rPr>
        <w:t xml:space="preserve"> </w:t>
      </w:r>
    </w:p>
    <w:p w14:paraId="6F8F462E" w14:textId="040C3420" w:rsidR="0FF883D4" w:rsidRDefault="5CE196A1" w:rsidP="00E02F55">
      <w:pPr>
        <w:rPr>
          <w:b/>
          <w:bCs/>
          <w:sz w:val="24"/>
          <w:szCs w:val="24"/>
          <w:lang w:eastAsia="zh-TW"/>
        </w:rPr>
      </w:pPr>
      <w:r w:rsidRPr="5CE196A1">
        <w:rPr>
          <w:rFonts w:eastAsia="Arial"/>
          <w:b/>
          <w:bCs/>
          <w:color w:val="000000" w:themeColor="text1"/>
          <w:sz w:val="24"/>
          <w:szCs w:val="24"/>
        </w:rPr>
        <w:t>Date:</w:t>
      </w:r>
      <w:r w:rsidR="00E02F55">
        <w:t xml:space="preserve"> </w:t>
      </w:r>
      <w:r w:rsidR="00C935D5">
        <w:rPr>
          <w:b/>
          <w:bCs/>
          <w:sz w:val="24"/>
          <w:szCs w:val="24"/>
          <w:lang w:eastAsia="zh-TW"/>
        </w:rPr>
        <w:t>31</w:t>
      </w:r>
      <w:r w:rsidR="00E02F55">
        <w:rPr>
          <w:b/>
          <w:bCs/>
          <w:sz w:val="24"/>
          <w:szCs w:val="24"/>
          <w:lang w:eastAsia="zh-TW"/>
        </w:rPr>
        <w:t>/10/2022</w:t>
      </w:r>
    </w:p>
    <w:p w14:paraId="7A44811E" w14:textId="77777777" w:rsidR="00E02F55" w:rsidRDefault="00E02F55" w:rsidP="00E02F55">
      <w:pPr>
        <w:rPr>
          <w:b/>
          <w:bCs/>
          <w:sz w:val="24"/>
          <w:szCs w:val="24"/>
          <w:lang w:eastAsia="zh-TW"/>
        </w:rPr>
      </w:pPr>
    </w:p>
    <w:p w14:paraId="482B2B3A" w14:textId="66843DD2" w:rsidR="00E02F55" w:rsidRPr="00E02F55" w:rsidRDefault="00E02F55" w:rsidP="00E02F55">
      <w:pPr>
        <w:sectPr w:rsidR="00E02F55" w:rsidRPr="00E02F5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80C96E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605F90F" w14:textId="77777777" w:rsidR="00C935D5" w:rsidRDefault="00C935D5" w:rsidP="00EA28F1">
      <w:pPr>
        <w:keepNext/>
        <w:spacing w:before="240" w:after="60"/>
        <w:ind w:right="237"/>
        <w:jc w:val="both"/>
        <w:rPr>
          <w:sz w:val="24"/>
          <w:szCs w:val="24"/>
        </w:rPr>
      </w:pPr>
    </w:p>
    <w:p w14:paraId="2787C0C8"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i/>
          <w:color w:val="auto"/>
          <w:sz w:val="22"/>
          <w:szCs w:val="22"/>
          <w:lang w:eastAsia="en-US"/>
        </w:rPr>
        <w:t>Adoption and Children’s Act 2002, c.38.</w:t>
      </w:r>
      <w:r w:rsidRPr="00C935D5">
        <w:rPr>
          <w:rFonts w:ascii="Calibri" w:eastAsia="Calibri" w:hAnsi="Calibri" w:cs="Times New Roman"/>
          <w:color w:val="auto"/>
          <w:sz w:val="22"/>
          <w:szCs w:val="22"/>
          <w:lang w:eastAsia="en-US"/>
        </w:rPr>
        <w:t xml:space="preserve"> Available at: https://www.legislation.gov.uk/ukpga/2002/38/section/120 (Accessed: 27 September 2022).   </w:t>
      </w:r>
    </w:p>
    <w:p w14:paraId="1DFB84A3"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CPS (2018) </w:t>
      </w:r>
      <w:r w:rsidRPr="00C935D5">
        <w:rPr>
          <w:rFonts w:ascii="Calibri" w:eastAsia="Calibri" w:hAnsi="Calibri" w:cs="Times New Roman"/>
          <w:i/>
          <w:color w:val="auto"/>
          <w:sz w:val="22"/>
          <w:szCs w:val="22"/>
          <w:lang w:eastAsia="en-US"/>
        </w:rPr>
        <w:t xml:space="preserve">The Code for Crown Prosecutors.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https://www.cps.gov.uk/publication/code-crown-prosecutors (Accessed: 27 September 2022). </w:t>
      </w:r>
    </w:p>
    <w:p w14:paraId="551C1BBC"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CPS (2021) </w:t>
      </w:r>
      <w:r w:rsidRPr="00C935D5">
        <w:rPr>
          <w:rFonts w:ascii="Calibri" w:eastAsia="Calibri" w:hAnsi="Calibri" w:cs="Times New Roman"/>
          <w:i/>
          <w:iCs/>
          <w:color w:val="auto"/>
          <w:sz w:val="22"/>
          <w:szCs w:val="22"/>
          <w:lang w:eastAsia="en-US"/>
        </w:rPr>
        <w:t>Special Measures.</w:t>
      </w:r>
      <w:r w:rsidRPr="00C935D5">
        <w:rPr>
          <w:rFonts w:ascii="Calibri" w:eastAsia="Calibri" w:hAnsi="Calibri" w:cs="Times New Roman"/>
          <w:color w:val="auto"/>
          <w:sz w:val="22"/>
          <w:szCs w:val="22"/>
          <w:lang w:eastAsia="en-US"/>
        </w:rPr>
        <w:t xml:space="preserve"> Available at: https://www.cps.gov.uk/legal-guidance/special-measures (Accessed 29 October 2022).</w:t>
      </w:r>
    </w:p>
    <w:p w14:paraId="3260CFD1"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CPS (2022) </w:t>
      </w:r>
      <w:r w:rsidRPr="00C935D5">
        <w:rPr>
          <w:rFonts w:ascii="Calibri" w:eastAsia="Calibri" w:hAnsi="Calibri" w:cs="Times New Roman"/>
          <w:i/>
          <w:color w:val="auto"/>
          <w:sz w:val="22"/>
          <w:szCs w:val="22"/>
          <w:lang w:eastAsia="en-US"/>
        </w:rPr>
        <w:t>Domestic Abuse</w:t>
      </w:r>
      <w:r w:rsidRPr="00C935D5">
        <w:rPr>
          <w:rFonts w:ascii="Calibri" w:eastAsia="Calibri" w:hAnsi="Calibri" w:cs="Times New Roman"/>
          <w:color w:val="auto"/>
          <w:sz w:val="22"/>
          <w:szCs w:val="22"/>
          <w:lang w:eastAsia="en-US"/>
        </w:rPr>
        <w:t xml:space="preserve">. Available at: https://www.cps.gov.uk/legal-guidance/domestic-abuse (Accessed 26 September 2022). </w:t>
      </w:r>
    </w:p>
    <w:p w14:paraId="47115A92"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i/>
          <w:iCs/>
          <w:color w:val="auto"/>
          <w:sz w:val="22"/>
          <w:szCs w:val="22"/>
          <w:lang w:eastAsia="en-US"/>
        </w:rPr>
        <w:t>Criminal Procedure Rules 2020</w:t>
      </w:r>
      <w:r w:rsidRPr="00C935D5">
        <w:rPr>
          <w:rFonts w:ascii="Calibri" w:eastAsia="Calibri" w:hAnsi="Calibri" w:cs="Times New Roman"/>
          <w:color w:val="auto"/>
          <w:sz w:val="22"/>
          <w:szCs w:val="22"/>
          <w:lang w:eastAsia="en-US"/>
        </w:rPr>
        <w:t xml:space="preserve"> (759/19) Available at: https://www.legislation.gov.uk/uksi/2020/759/part/18/made (Accessed: 29 October 2022). </w:t>
      </w:r>
    </w:p>
    <w:p w14:paraId="7FCC5E1D"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DASH Risk Model (2002) </w:t>
      </w:r>
      <w:r w:rsidRPr="00C935D5">
        <w:rPr>
          <w:rFonts w:ascii="Calibri" w:eastAsia="Calibri" w:hAnsi="Calibri" w:cs="Times New Roman"/>
          <w:i/>
          <w:color w:val="auto"/>
          <w:sz w:val="22"/>
          <w:szCs w:val="22"/>
          <w:lang w:eastAsia="en-US"/>
        </w:rPr>
        <w:t xml:space="preserve">DASH.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https://www.dashriskchecklist.co.uk/dash/ (Accessed: 27 September 2022). </w:t>
      </w:r>
    </w:p>
    <w:p w14:paraId="5E437EE3"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i/>
          <w:color w:val="auto"/>
          <w:sz w:val="22"/>
          <w:szCs w:val="22"/>
          <w:lang w:eastAsia="en-US"/>
        </w:rPr>
        <w:t xml:space="preserve">Domestic Abuse Act 2021, c.17. </w:t>
      </w:r>
      <w:r w:rsidRPr="00C935D5">
        <w:rPr>
          <w:rFonts w:ascii="Calibri" w:eastAsia="Calibri" w:hAnsi="Calibri" w:cs="Times New Roman"/>
          <w:color w:val="auto"/>
          <w:sz w:val="22"/>
          <w:szCs w:val="22"/>
          <w:lang w:eastAsia="en-US"/>
        </w:rPr>
        <w:t xml:space="preserve">Available at: </w:t>
      </w:r>
      <w:proofErr w:type="gramStart"/>
      <w:r w:rsidRPr="00C935D5">
        <w:rPr>
          <w:rFonts w:ascii="Calibri" w:eastAsia="Calibri" w:hAnsi="Calibri" w:cs="Times New Roman"/>
          <w:color w:val="auto"/>
          <w:sz w:val="22"/>
          <w:szCs w:val="22"/>
          <w:lang w:eastAsia="en-US"/>
        </w:rPr>
        <w:t>https://www.legislation.gov.uk/ukpga/2021/17/section/3  (</w:t>
      </w:r>
      <w:proofErr w:type="gramEnd"/>
      <w:r w:rsidRPr="00C935D5">
        <w:rPr>
          <w:rFonts w:ascii="Calibri" w:eastAsia="Calibri" w:hAnsi="Calibri" w:cs="Times New Roman"/>
          <w:color w:val="auto"/>
          <w:sz w:val="22"/>
          <w:szCs w:val="22"/>
          <w:lang w:eastAsia="en-US"/>
        </w:rPr>
        <w:t xml:space="preserve">Accessed 27 September 2022). </w:t>
      </w:r>
      <w:r w:rsidRPr="00C935D5">
        <w:rPr>
          <w:rFonts w:ascii="Calibri" w:eastAsia="Calibri" w:hAnsi="Calibri" w:cs="Times New Roman"/>
          <w:i/>
          <w:color w:val="auto"/>
          <w:sz w:val="22"/>
          <w:szCs w:val="22"/>
          <w:lang w:eastAsia="en-US"/>
        </w:rPr>
        <w:t xml:space="preserve"> </w:t>
      </w:r>
    </w:p>
    <w:p w14:paraId="5E67AA26"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i/>
          <w:iCs/>
          <w:color w:val="auto"/>
          <w:sz w:val="22"/>
          <w:szCs w:val="22"/>
          <w:lang w:eastAsia="en-US"/>
        </w:rPr>
        <w:t>Fraud Act 2006</w:t>
      </w:r>
      <w:r w:rsidRPr="00C935D5">
        <w:rPr>
          <w:rFonts w:ascii="Calibri" w:eastAsia="Calibri" w:hAnsi="Calibri" w:cs="Times New Roman"/>
          <w:color w:val="auto"/>
          <w:sz w:val="22"/>
          <w:szCs w:val="22"/>
          <w:lang w:eastAsia="en-US"/>
        </w:rPr>
        <w:t>, c.35. Available at: https://www.legislation.gov.uk/ukpga/2006/35/section/2 (Accessed 29 October 2022).</w:t>
      </w:r>
    </w:p>
    <w:p w14:paraId="49F74BEC"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C935D5">
        <w:rPr>
          <w:rFonts w:ascii="Calibri" w:eastAsia="Calibri" w:hAnsi="Calibri" w:cs="Times New Roman"/>
          <w:color w:val="auto"/>
          <w:sz w:val="22"/>
          <w:szCs w:val="22"/>
          <w:lang w:eastAsia="en-US"/>
        </w:rPr>
        <w:t xml:space="preserve">Home Office (2021) </w:t>
      </w:r>
      <w:r w:rsidRPr="00C935D5">
        <w:rPr>
          <w:rFonts w:ascii="Calibri" w:eastAsia="Calibri" w:hAnsi="Calibri" w:cs="Times New Roman"/>
          <w:i/>
          <w:color w:val="auto"/>
          <w:sz w:val="22"/>
          <w:szCs w:val="22"/>
          <w:lang w:eastAsia="en-US"/>
        </w:rPr>
        <w:t xml:space="preserve">Review of the controlling or coercive behaviour offence.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https://www.gov.uk/government/publications/review-of-the-controlling-or-coercive-behaviour-offence/review-of-the-controlling-or-coercive-behaviour-offence#fn:7 (Accessed: 27 September 2022). </w:t>
      </w:r>
    </w:p>
    <w:p w14:paraId="2F286797"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Kent and Medway Domestic Abuse and Sexual Violence Group (2022) </w:t>
      </w:r>
      <w:r w:rsidRPr="00C935D5">
        <w:rPr>
          <w:rFonts w:ascii="Calibri" w:eastAsia="Calibri" w:hAnsi="Calibri" w:cs="Times New Roman"/>
          <w:i/>
          <w:color w:val="auto"/>
          <w:sz w:val="22"/>
          <w:szCs w:val="22"/>
          <w:lang w:eastAsia="en-US"/>
        </w:rPr>
        <w:t xml:space="preserve">Multi-Agency Risk Assessment Conference (MARAC).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 https://www.domesticabuseservices.org.uk/latest-news-articles-advice/marac/ (Accessed: 27 September 2022). </w:t>
      </w:r>
    </w:p>
    <w:p w14:paraId="3C1AD0F1"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lastRenderedPageBreak/>
        <w:t xml:space="preserve">NSPCC Learning (2021) </w:t>
      </w:r>
      <w:r w:rsidRPr="00C935D5">
        <w:rPr>
          <w:rFonts w:ascii="Calibri" w:eastAsia="Calibri" w:hAnsi="Calibri" w:cs="Times New Roman"/>
          <w:i/>
          <w:color w:val="auto"/>
          <w:sz w:val="22"/>
          <w:szCs w:val="22"/>
          <w:lang w:eastAsia="en-US"/>
        </w:rPr>
        <w:t xml:space="preserve">Protecting children from domestic abuse. Available at: </w:t>
      </w:r>
      <w:proofErr w:type="gramStart"/>
      <w:r w:rsidRPr="00C935D5">
        <w:rPr>
          <w:rFonts w:ascii="Calibri" w:eastAsia="Calibri" w:hAnsi="Calibri" w:cs="Times New Roman"/>
          <w:color w:val="auto"/>
          <w:sz w:val="22"/>
          <w:szCs w:val="22"/>
          <w:lang w:eastAsia="en-US"/>
        </w:rPr>
        <w:t>https://learning.nspcc.org.uk/child-abuse-and-neglect/domestic-abuse</w:t>
      </w:r>
      <w:r w:rsidRPr="00C935D5">
        <w:rPr>
          <w:rFonts w:ascii="Calibri" w:eastAsia="Calibri" w:hAnsi="Calibri" w:cs="Times New Roman"/>
          <w:color w:val="0563C1"/>
          <w:sz w:val="22"/>
          <w:szCs w:val="22"/>
          <w:u w:val="single"/>
          <w:lang w:eastAsia="en-US"/>
        </w:rPr>
        <w:t xml:space="preserve">  </w:t>
      </w:r>
      <w:r w:rsidRPr="00C935D5">
        <w:rPr>
          <w:rFonts w:ascii="Calibri" w:eastAsia="Calibri" w:hAnsi="Calibri" w:cs="Times New Roman"/>
          <w:color w:val="auto"/>
          <w:sz w:val="22"/>
          <w:szCs w:val="22"/>
          <w:lang w:eastAsia="en-US"/>
        </w:rPr>
        <w:t>(</w:t>
      </w:r>
      <w:proofErr w:type="gramEnd"/>
      <w:r w:rsidRPr="00C935D5">
        <w:rPr>
          <w:rFonts w:ascii="Calibri" w:eastAsia="Calibri" w:hAnsi="Calibri" w:cs="Times New Roman"/>
          <w:color w:val="auto"/>
          <w:sz w:val="22"/>
          <w:szCs w:val="22"/>
          <w:lang w:eastAsia="en-US"/>
        </w:rPr>
        <w:t xml:space="preserve">Accessed: 26 September 2022). </w:t>
      </w:r>
    </w:p>
    <w:p w14:paraId="6BCE7328"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C935D5">
        <w:rPr>
          <w:rFonts w:ascii="Calibri" w:eastAsia="Calibri" w:hAnsi="Calibri" w:cs="Times New Roman"/>
          <w:color w:val="auto"/>
          <w:sz w:val="22"/>
          <w:szCs w:val="22"/>
          <w:lang w:eastAsia="en-US"/>
        </w:rPr>
        <w:t xml:space="preserve">Office for National Statistics (2021) </w:t>
      </w:r>
      <w:r w:rsidRPr="00C935D5">
        <w:rPr>
          <w:rFonts w:ascii="Calibri" w:eastAsia="Calibri" w:hAnsi="Calibri" w:cs="Times New Roman"/>
          <w:i/>
          <w:color w:val="auto"/>
          <w:sz w:val="22"/>
          <w:szCs w:val="22"/>
          <w:lang w:eastAsia="en-US"/>
        </w:rPr>
        <w:t xml:space="preserve">Domestic abuse in England and Wales overview: November 2021.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proofErr w:type="gramStart"/>
      <w:r w:rsidRPr="00C935D5">
        <w:rPr>
          <w:rFonts w:ascii="Calibri" w:eastAsia="Calibri" w:hAnsi="Calibri" w:cs="Times New Roman"/>
          <w:color w:val="auto"/>
          <w:sz w:val="22"/>
          <w:szCs w:val="22"/>
          <w:lang w:eastAsia="en-US"/>
        </w:rPr>
        <w:t>https://www.ons.gov.uk/peoplepopulationandcommunity/crimeandjustice/bulletins/domesticabuseinenglandandwalesoverview/november2021  (</w:t>
      </w:r>
      <w:proofErr w:type="gramEnd"/>
      <w:r w:rsidRPr="00C935D5">
        <w:rPr>
          <w:rFonts w:ascii="Calibri" w:eastAsia="Calibri" w:hAnsi="Calibri" w:cs="Times New Roman"/>
          <w:color w:val="auto"/>
          <w:sz w:val="22"/>
          <w:szCs w:val="22"/>
          <w:lang w:eastAsia="en-US"/>
        </w:rPr>
        <w:t xml:space="preserve">Accessed: 27 September 2022). </w:t>
      </w:r>
    </w:p>
    <w:p w14:paraId="6A24BBEA"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Police and Crime Commissioner (2019)</w:t>
      </w:r>
      <w:r w:rsidRPr="00C935D5">
        <w:rPr>
          <w:rFonts w:ascii="Calibri" w:eastAsia="Calibri" w:hAnsi="Calibri" w:cs="Times New Roman"/>
          <w:i/>
          <w:color w:val="auto"/>
          <w:sz w:val="22"/>
          <w:szCs w:val="22"/>
          <w:lang w:eastAsia="en-US"/>
        </w:rPr>
        <w:t xml:space="preserve"> Tackling Violence against Women and Girls: A Joint Strategy 2019 – 2024.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https://commissioner.south-wales.police.uk/media/1893/vawg-joint-strategy-eng-web.pdf (Accessed: 26 September 2022).  </w:t>
      </w:r>
    </w:p>
    <w:p w14:paraId="1E49FFEA"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Police and Crime Commissioner (no date) </w:t>
      </w:r>
      <w:r w:rsidRPr="00C935D5">
        <w:rPr>
          <w:rFonts w:ascii="Calibri" w:eastAsia="Calibri" w:hAnsi="Calibri" w:cs="Times New Roman"/>
          <w:i/>
          <w:color w:val="auto"/>
          <w:sz w:val="22"/>
          <w:szCs w:val="22"/>
          <w:lang w:eastAsia="en-US"/>
        </w:rPr>
        <w:t xml:space="preserve">Violence against Women and Girls. </w:t>
      </w:r>
      <w:r w:rsidRPr="00C935D5">
        <w:rPr>
          <w:rFonts w:ascii="Calibri" w:eastAsia="Calibri" w:hAnsi="Calibri" w:cs="Times New Roman"/>
          <w:color w:val="auto"/>
          <w:sz w:val="22"/>
          <w:szCs w:val="22"/>
          <w:lang w:eastAsia="en-US"/>
        </w:rPr>
        <w:t xml:space="preserve">Available at: https://commissioner.south-wales.police.uk/en/our-work/violence-against-women-and-girls/ (Accessed: 26 September 2022). </w:t>
      </w:r>
    </w:p>
    <w:p w14:paraId="17EB69CF"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C935D5">
        <w:rPr>
          <w:rFonts w:ascii="Calibri" w:eastAsia="Calibri" w:hAnsi="Calibri" w:cs="Times New Roman"/>
          <w:i/>
          <w:color w:val="auto"/>
          <w:sz w:val="22"/>
          <w:szCs w:val="22"/>
          <w:lang w:eastAsia="en-US"/>
        </w:rPr>
        <w:t xml:space="preserve">Protection From Harassment Act 1997, c.40.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https://www.legislation.gov.uk/ukpga/1997/40/section/2 (Accessed: 27 September 2022). </w:t>
      </w:r>
    </w:p>
    <w:p w14:paraId="3D46EDB6"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i/>
          <w:color w:val="auto"/>
          <w:sz w:val="22"/>
          <w:szCs w:val="22"/>
          <w:lang w:eastAsia="en-US"/>
        </w:rPr>
        <w:t>Serious Crime Act 2015, c.9</w:t>
      </w:r>
      <w:r w:rsidRPr="00C935D5">
        <w:rPr>
          <w:rFonts w:ascii="Calibri" w:eastAsia="Calibri" w:hAnsi="Calibri" w:cs="Times New Roman"/>
          <w:color w:val="auto"/>
          <w:sz w:val="22"/>
          <w:szCs w:val="22"/>
          <w:lang w:eastAsia="en-US"/>
        </w:rPr>
        <w:t xml:space="preserve">. Available at: https://www.legislation.gov.uk/ukpga/2015/9/section/76/enacted (Accessed: 26 September 2022). </w:t>
      </w:r>
    </w:p>
    <w:p w14:paraId="651A2BD8"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i/>
          <w:iCs/>
          <w:color w:val="auto"/>
          <w:sz w:val="22"/>
          <w:szCs w:val="22"/>
          <w:lang w:eastAsia="en-US"/>
        </w:rPr>
        <w:t>Theft Act 1968</w:t>
      </w:r>
      <w:r w:rsidRPr="00C935D5">
        <w:rPr>
          <w:rFonts w:ascii="Calibri" w:eastAsia="Calibri" w:hAnsi="Calibri" w:cs="Times New Roman"/>
          <w:color w:val="auto"/>
          <w:sz w:val="22"/>
          <w:szCs w:val="22"/>
          <w:lang w:eastAsia="en-US"/>
        </w:rPr>
        <w:t>, c.60. Available at: https://www.legislation.gov.uk/ukpga/1968/60/section/1</w:t>
      </w:r>
      <w:proofErr w:type="gramStart"/>
      <w:r w:rsidRPr="00C935D5">
        <w:rPr>
          <w:rFonts w:ascii="Calibri" w:eastAsia="Calibri" w:hAnsi="Calibri" w:cs="Times New Roman"/>
          <w:color w:val="auto"/>
          <w:sz w:val="22"/>
          <w:szCs w:val="22"/>
          <w:lang w:eastAsia="en-US"/>
        </w:rPr>
        <w:t xml:space="preserve">   (</w:t>
      </w:r>
      <w:proofErr w:type="gramEnd"/>
      <w:r w:rsidRPr="00C935D5">
        <w:rPr>
          <w:rFonts w:ascii="Calibri" w:eastAsia="Calibri" w:hAnsi="Calibri" w:cs="Times New Roman"/>
          <w:color w:val="auto"/>
          <w:sz w:val="22"/>
          <w:szCs w:val="22"/>
          <w:lang w:eastAsia="en-US"/>
        </w:rPr>
        <w:t xml:space="preserve">Accessed 29 October 2022). </w:t>
      </w:r>
    </w:p>
    <w:p w14:paraId="3810D74F"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Women’s Aid (2022) </w:t>
      </w:r>
      <w:r w:rsidRPr="00C935D5">
        <w:rPr>
          <w:rFonts w:ascii="Calibri" w:eastAsia="Calibri" w:hAnsi="Calibri" w:cs="Times New Roman"/>
          <w:i/>
          <w:color w:val="auto"/>
          <w:sz w:val="22"/>
          <w:szCs w:val="22"/>
          <w:lang w:eastAsia="en-US"/>
        </w:rPr>
        <w:t xml:space="preserve">What is domestic </w:t>
      </w:r>
      <w:proofErr w:type="gramStart"/>
      <w:r w:rsidRPr="00C935D5">
        <w:rPr>
          <w:rFonts w:ascii="Calibri" w:eastAsia="Calibri" w:hAnsi="Calibri" w:cs="Times New Roman"/>
          <w:i/>
          <w:color w:val="auto"/>
          <w:sz w:val="22"/>
          <w:szCs w:val="22"/>
          <w:lang w:eastAsia="en-US"/>
        </w:rPr>
        <w:t>abuse?.</w:t>
      </w:r>
      <w:proofErr w:type="gramEnd"/>
      <w:r w:rsidRPr="00C935D5">
        <w:rPr>
          <w:rFonts w:ascii="Calibri" w:eastAsia="Calibri" w:hAnsi="Calibri" w:cs="Times New Roman"/>
          <w:i/>
          <w:color w:val="auto"/>
          <w:sz w:val="22"/>
          <w:szCs w:val="22"/>
          <w:lang w:eastAsia="en-US"/>
        </w:rPr>
        <w:t xml:space="preserve"> Available at: </w:t>
      </w:r>
      <w:proofErr w:type="gramStart"/>
      <w:r w:rsidRPr="00C935D5">
        <w:rPr>
          <w:rFonts w:ascii="Calibri" w:eastAsia="Calibri" w:hAnsi="Calibri" w:cs="Times New Roman"/>
          <w:color w:val="auto"/>
          <w:sz w:val="22"/>
          <w:szCs w:val="22"/>
          <w:lang w:eastAsia="en-US"/>
        </w:rPr>
        <w:t>https://www.womensaid.org.uk/information-support/what-is-domestic-abuse/  (</w:t>
      </w:r>
      <w:proofErr w:type="gramEnd"/>
      <w:r w:rsidRPr="00C935D5">
        <w:rPr>
          <w:rFonts w:ascii="Calibri" w:eastAsia="Calibri" w:hAnsi="Calibri" w:cs="Times New Roman"/>
          <w:color w:val="auto"/>
          <w:sz w:val="22"/>
          <w:szCs w:val="22"/>
          <w:lang w:eastAsia="en-US"/>
        </w:rPr>
        <w:t xml:space="preserve">Accessed: 26 September 2022). </w:t>
      </w:r>
    </w:p>
    <w:p w14:paraId="7920C35E" w14:textId="77777777" w:rsidR="00C935D5" w:rsidRPr="00C935D5" w:rsidRDefault="00C935D5" w:rsidP="00C935D5">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935D5">
        <w:rPr>
          <w:rFonts w:ascii="Calibri" w:eastAsia="Calibri" w:hAnsi="Calibri" w:cs="Times New Roman"/>
          <w:color w:val="auto"/>
          <w:sz w:val="22"/>
          <w:szCs w:val="22"/>
          <w:lang w:eastAsia="en-US"/>
        </w:rPr>
        <w:t xml:space="preserve">Women’s Aid (2022) </w:t>
      </w:r>
      <w:r w:rsidRPr="00C935D5">
        <w:rPr>
          <w:rFonts w:ascii="Calibri" w:eastAsia="Calibri" w:hAnsi="Calibri" w:cs="Times New Roman"/>
          <w:i/>
          <w:color w:val="auto"/>
          <w:sz w:val="22"/>
          <w:szCs w:val="22"/>
          <w:lang w:eastAsia="en-US"/>
        </w:rPr>
        <w:t xml:space="preserve">Why don’t women leave abusive </w:t>
      </w:r>
      <w:proofErr w:type="gramStart"/>
      <w:r w:rsidRPr="00C935D5">
        <w:rPr>
          <w:rFonts w:ascii="Calibri" w:eastAsia="Calibri" w:hAnsi="Calibri" w:cs="Times New Roman"/>
          <w:i/>
          <w:color w:val="auto"/>
          <w:sz w:val="22"/>
          <w:szCs w:val="22"/>
          <w:lang w:eastAsia="en-US"/>
        </w:rPr>
        <w:t>relationships?.</w:t>
      </w:r>
      <w:proofErr w:type="gramEnd"/>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Available at:</w:t>
      </w:r>
      <w:r w:rsidRPr="00C935D5">
        <w:rPr>
          <w:rFonts w:ascii="Calibri" w:eastAsia="Calibri" w:hAnsi="Calibri" w:cs="Times New Roman"/>
          <w:i/>
          <w:color w:val="auto"/>
          <w:sz w:val="22"/>
          <w:szCs w:val="22"/>
          <w:lang w:eastAsia="en-US"/>
        </w:rPr>
        <w:t xml:space="preserve"> </w:t>
      </w:r>
      <w:r w:rsidRPr="00C935D5">
        <w:rPr>
          <w:rFonts w:ascii="Calibri" w:eastAsia="Calibri" w:hAnsi="Calibri" w:cs="Times New Roman"/>
          <w:color w:val="auto"/>
          <w:sz w:val="22"/>
          <w:szCs w:val="22"/>
          <w:lang w:eastAsia="en-US"/>
        </w:rPr>
        <w:t xml:space="preserve">https://www.womensaid.org.uk/information-support/what-is-domestic-abuse/women-leave/ (Accessed 27 September 2022). </w:t>
      </w:r>
    </w:p>
    <w:p w14:paraId="78F3ECE6" w14:textId="77777777" w:rsidR="00C935D5" w:rsidRPr="00C935D5" w:rsidRDefault="00C935D5" w:rsidP="00C935D5">
      <w:pPr>
        <w:overflowPunct/>
        <w:autoSpaceDE/>
        <w:autoSpaceDN/>
        <w:adjustRightInd/>
        <w:spacing w:after="160" w:line="259" w:lineRule="auto"/>
        <w:textAlignment w:val="auto"/>
        <w:rPr>
          <w:rFonts w:ascii="Calibri" w:eastAsia="Calibri" w:hAnsi="Calibri" w:cs="Times New Roman"/>
          <w:i/>
          <w:iCs/>
          <w:color w:val="auto"/>
          <w:sz w:val="22"/>
          <w:szCs w:val="22"/>
          <w:lang w:eastAsia="en-US"/>
        </w:rPr>
      </w:pPr>
      <w:r w:rsidRPr="00C935D5">
        <w:rPr>
          <w:rFonts w:ascii="Calibri" w:eastAsia="Calibri" w:hAnsi="Calibri" w:cs="Times New Roman"/>
          <w:i/>
          <w:iCs/>
          <w:color w:val="auto"/>
          <w:sz w:val="22"/>
          <w:szCs w:val="22"/>
          <w:lang w:eastAsia="en-US"/>
        </w:rPr>
        <w:t xml:space="preserve">Youth Justice and Criminal Evidence Act 1999, </w:t>
      </w:r>
      <w:r w:rsidRPr="00C935D5">
        <w:rPr>
          <w:rFonts w:ascii="Calibri" w:eastAsia="Calibri" w:hAnsi="Calibri" w:cs="Times New Roman"/>
          <w:color w:val="auto"/>
          <w:sz w:val="22"/>
          <w:szCs w:val="22"/>
          <w:lang w:eastAsia="en-US"/>
        </w:rPr>
        <w:t xml:space="preserve">c.23. Available at: https://www.legislation.gov.uk/ukpga/1999/23/contents </w:t>
      </w:r>
      <w:r w:rsidRPr="00C935D5">
        <w:rPr>
          <w:rFonts w:ascii="Calibri" w:eastAsia="Calibri" w:hAnsi="Calibri" w:cs="Times New Roman"/>
          <w:i/>
          <w:iCs/>
          <w:color w:val="auto"/>
          <w:sz w:val="22"/>
          <w:szCs w:val="22"/>
          <w:lang w:eastAsia="en-US"/>
        </w:rPr>
        <w:t xml:space="preserve">(Accessed 30 October 2022). </w:t>
      </w:r>
    </w:p>
    <w:p w14:paraId="111EE108" w14:textId="44F5E9AE" w:rsidR="00E02F55" w:rsidRDefault="00E02F55" w:rsidP="00EA28F1">
      <w:pPr>
        <w:keepNext/>
        <w:spacing w:before="240" w:after="60"/>
        <w:ind w:right="237"/>
        <w:jc w:val="both"/>
      </w:pPr>
    </w:p>
    <w:sectPr w:rsidR="00E02F5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09991" w14:textId="77777777" w:rsidR="00E02F55" w:rsidRDefault="00E02F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7BA76" w14:textId="77777777" w:rsidR="00E02F55" w:rsidRDefault="00E02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0AE2F" w14:textId="77777777" w:rsidR="00E02F55" w:rsidRDefault="00E02F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73CF0" w14:textId="77777777" w:rsidR="00E02F55" w:rsidRDefault="00E02F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A5C4F" w14:textId="77777777" w:rsidR="00E02F55" w:rsidRDefault="00E02F55">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76C0326"/>
    <w:lvl w:ilvl="0" w:tplc="0A8CECD2">
      <w:start w:val="1"/>
      <w:numFmt w:val="decimal"/>
      <w:lvlText w:val="%1."/>
      <w:lvlJc w:val="left"/>
      <w:pPr>
        <w:ind w:left="720" w:hanging="360"/>
      </w:pPr>
    </w:lvl>
    <w:lvl w:ilvl="1" w:tplc="F452A15A">
      <w:start w:val="1"/>
      <w:numFmt w:val="lowerLetter"/>
      <w:lvlText w:val="%2."/>
      <w:lvlJc w:val="left"/>
      <w:pPr>
        <w:ind w:left="1440" w:hanging="360"/>
      </w:pPr>
    </w:lvl>
    <w:lvl w:ilvl="2" w:tplc="6786E3DC">
      <w:start w:val="1"/>
      <w:numFmt w:val="lowerRoman"/>
      <w:lvlText w:val="%3."/>
      <w:lvlJc w:val="right"/>
      <w:pPr>
        <w:ind w:left="2160" w:hanging="180"/>
      </w:pPr>
    </w:lvl>
    <w:lvl w:ilvl="3" w:tplc="1C10D29E">
      <w:start w:val="1"/>
      <w:numFmt w:val="decimal"/>
      <w:lvlText w:val="%4."/>
      <w:lvlJc w:val="left"/>
      <w:pPr>
        <w:ind w:left="2880" w:hanging="360"/>
      </w:pPr>
    </w:lvl>
    <w:lvl w:ilvl="4" w:tplc="AAAC0632">
      <w:start w:val="1"/>
      <w:numFmt w:val="lowerLetter"/>
      <w:lvlText w:val="%5."/>
      <w:lvlJc w:val="left"/>
      <w:pPr>
        <w:ind w:left="3600" w:hanging="360"/>
      </w:pPr>
    </w:lvl>
    <w:lvl w:ilvl="5" w:tplc="07164B58">
      <w:start w:val="1"/>
      <w:numFmt w:val="lowerRoman"/>
      <w:lvlText w:val="%6."/>
      <w:lvlJc w:val="right"/>
      <w:pPr>
        <w:ind w:left="4320" w:hanging="180"/>
      </w:pPr>
    </w:lvl>
    <w:lvl w:ilvl="6" w:tplc="DC6C9C44">
      <w:start w:val="1"/>
      <w:numFmt w:val="decimal"/>
      <w:lvlText w:val="%7."/>
      <w:lvlJc w:val="left"/>
      <w:pPr>
        <w:ind w:left="5040" w:hanging="360"/>
      </w:pPr>
    </w:lvl>
    <w:lvl w:ilvl="7" w:tplc="7D84C744">
      <w:start w:val="1"/>
      <w:numFmt w:val="lowerLetter"/>
      <w:lvlText w:val="%8."/>
      <w:lvlJc w:val="left"/>
      <w:pPr>
        <w:ind w:left="5760" w:hanging="360"/>
      </w:pPr>
    </w:lvl>
    <w:lvl w:ilvl="8" w:tplc="F15AD38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CEEFA78"/>
    <w:lvl w:ilvl="0" w:tplc="57887E98">
      <w:start w:val="1"/>
      <w:numFmt w:val="decimal"/>
      <w:lvlText w:val="%1."/>
      <w:lvlJc w:val="left"/>
      <w:pPr>
        <w:ind w:left="720" w:hanging="360"/>
      </w:pPr>
    </w:lvl>
    <w:lvl w:ilvl="1" w:tplc="FC866548">
      <w:start w:val="1"/>
      <w:numFmt w:val="decimal"/>
      <w:lvlText w:val="%2."/>
      <w:lvlJc w:val="left"/>
      <w:pPr>
        <w:ind w:left="1440" w:hanging="360"/>
      </w:pPr>
    </w:lvl>
    <w:lvl w:ilvl="2" w:tplc="1490592E">
      <w:start w:val="1"/>
      <w:numFmt w:val="lowerRoman"/>
      <w:lvlText w:val="%3."/>
      <w:lvlJc w:val="right"/>
      <w:pPr>
        <w:ind w:left="2160" w:hanging="180"/>
      </w:pPr>
    </w:lvl>
    <w:lvl w:ilvl="3" w:tplc="C0B433FE">
      <w:start w:val="1"/>
      <w:numFmt w:val="decimal"/>
      <w:lvlText w:val="%4."/>
      <w:lvlJc w:val="left"/>
      <w:pPr>
        <w:ind w:left="2880" w:hanging="360"/>
      </w:pPr>
    </w:lvl>
    <w:lvl w:ilvl="4" w:tplc="2304C2B8">
      <w:start w:val="1"/>
      <w:numFmt w:val="lowerLetter"/>
      <w:lvlText w:val="%5."/>
      <w:lvlJc w:val="left"/>
      <w:pPr>
        <w:ind w:left="3600" w:hanging="360"/>
      </w:pPr>
    </w:lvl>
    <w:lvl w:ilvl="5" w:tplc="C16CE26E">
      <w:start w:val="1"/>
      <w:numFmt w:val="lowerRoman"/>
      <w:lvlText w:val="%6."/>
      <w:lvlJc w:val="right"/>
      <w:pPr>
        <w:ind w:left="4320" w:hanging="180"/>
      </w:pPr>
    </w:lvl>
    <w:lvl w:ilvl="6" w:tplc="572478AC">
      <w:start w:val="1"/>
      <w:numFmt w:val="decimal"/>
      <w:lvlText w:val="%7."/>
      <w:lvlJc w:val="left"/>
      <w:pPr>
        <w:ind w:left="5040" w:hanging="360"/>
      </w:pPr>
    </w:lvl>
    <w:lvl w:ilvl="7" w:tplc="F08A7BA8">
      <w:start w:val="1"/>
      <w:numFmt w:val="lowerLetter"/>
      <w:lvlText w:val="%8."/>
      <w:lvlJc w:val="left"/>
      <w:pPr>
        <w:ind w:left="5760" w:hanging="360"/>
      </w:pPr>
    </w:lvl>
    <w:lvl w:ilvl="8" w:tplc="478EA39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5D5"/>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2F55"/>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6111</Words>
  <Characters>34179</Characters>
  <Application>Microsoft Office Word</Application>
  <DocSecurity>0</DocSecurity>
  <Lines>284</Lines>
  <Paragraphs>80</Paragraphs>
  <ScaleCrop>false</ScaleCrop>
  <Company>Powys County Council</Company>
  <LinksUpToDate>false</LinksUpToDate>
  <CharactersWithSpaces>40210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Rees,Naomi swp6914</cp:lastModifiedBy>
  <cp:revision>2</cp:revision>
  <cp:lastPrinted>2014-08-26T08:55:00Z</cp:lastPrinted>
  <dcterms:created xsi:type="dcterms:W3CDTF">2022-10-31T23:50:00Z</dcterms:created>
  <dcterms:modified xsi:type="dcterms:W3CDTF">2022-10-31T23:50:00Z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2022-10-10T13:06:26Z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6984a98a-8663-4f41-b6ed-37e4ff024efc</vt:lpwstr>
  </property>
  <property fmtid="{D5CDD505-2E9C-101B-9397-08002B2CF9AE}" pid="9" name="MSIP_Label_66cf8fe5-b7b7-4df7-b38d-1c61ac2f6639_ContentBits">
    <vt:lpwstr>0</vt:lpwstr>
  </property>
</Properties>
</file>