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E50C03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0362D">
              <w:rPr>
                <w:b/>
                <w:color w:val="auto"/>
                <w:sz w:val="32"/>
              </w:rPr>
              <w:t>Scot Powderhill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622FB02" w:rsidR="005A1BA3" w:rsidRDefault="0070362D" w:rsidP="00340E9A">
            <w:pPr>
              <w:overflowPunct/>
              <w:autoSpaceDE/>
              <w:autoSpaceDN/>
              <w:adjustRightInd/>
              <w:ind w:right="237"/>
              <w:textAlignment w:val="auto"/>
              <w:rPr>
                <w:b/>
                <w:color w:val="auto"/>
                <w:sz w:val="32"/>
              </w:rPr>
            </w:pPr>
            <w:r>
              <w:rPr>
                <w:b/>
                <w:color w:val="auto"/>
                <w:sz w:val="32"/>
              </w:rPr>
              <w:t>1920617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2074F1"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3F2D91C" w14:textId="77777777" w:rsidR="0070362D" w:rsidRPr="0070362D" w:rsidRDefault="0070362D" w:rsidP="0070362D">
      <w:pPr>
        <w:spacing w:line="360" w:lineRule="auto"/>
        <w:rPr>
          <w:rFonts w:asciiTheme="minorHAnsi" w:hAnsiTheme="minorHAnsi" w:cstheme="minorHAnsi"/>
          <w:sz w:val="24"/>
        </w:rPr>
      </w:pPr>
      <w:r w:rsidRPr="0070362D">
        <w:rPr>
          <w:rFonts w:asciiTheme="minorHAnsi" w:hAnsiTheme="minorHAnsi" w:cstheme="minorHAnsi"/>
          <w:sz w:val="24"/>
        </w:rPr>
        <w:t xml:space="preserve">In this assignment I will explore the definition of organisational justice, as well as discussing how it has impacted on me now that I have settled into the role as a Police Constable. I will consider how the impact on me, can also impact the police service that I work for based around the Code of Ethics. </w:t>
      </w:r>
    </w:p>
    <w:p w14:paraId="567FF205" w14:textId="77777777" w:rsidR="0070362D" w:rsidRPr="0070362D" w:rsidRDefault="0070362D" w:rsidP="0070362D">
      <w:pPr>
        <w:spacing w:line="360" w:lineRule="auto"/>
        <w:rPr>
          <w:rFonts w:asciiTheme="minorHAnsi" w:hAnsiTheme="minorHAnsi" w:cstheme="minorHAnsi"/>
          <w:sz w:val="24"/>
        </w:rPr>
      </w:pPr>
      <w:r w:rsidRPr="0070362D">
        <w:rPr>
          <w:rFonts w:asciiTheme="minorHAnsi" w:hAnsiTheme="minorHAnsi" w:cstheme="minorHAnsi"/>
          <w:sz w:val="24"/>
        </w:rPr>
        <w:t xml:space="preserve">Organisational Justice is made up of two key components, which are Distributive justice and Procedural justice. Each component has a different aspect of affecting a person’s behaviour and attitude. However, as a whole it is best known as being “the extent to which employees perceive workplace procedures, interactions and outcomes to be fair in nature” (Baldwin, 2006). </w:t>
      </w:r>
    </w:p>
    <w:p w14:paraId="05748469" w14:textId="77777777" w:rsidR="0070362D" w:rsidRPr="0070362D" w:rsidRDefault="0070362D" w:rsidP="0070362D">
      <w:pPr>
        <w:spacing w:line="360" w:lineRule="auto"/>
        <w:rPr>
          <w:rFonts w:asciiTheme="minorHAnsi" w:hAnsiTheme="minorHAnsi" w:cstheme="minorHAnsi"/>
          <w:sz w:val="24"/>
        </w:rPr>
      </w:pPr>
      <w:r w:rsidRPr="0070362D">
        <w:rPr>
          <w:rFonts w:asciiTheme="minorHAnsi" w:hAnsiTheme="minorHAnsi" w:cstheme="minorHAnsi"/>
          <w:sz w:val="24"/>
        </w:rPr>
        <w:t xml:space="preserve">Distributive justice in terms of the police service, relates to pay, recognition and fairness in the distributing of workloads and resources (College of Policing, 2015). This is an opinion of each employee on fairness across the board, whilst comparing it to others. Within the police service, I believe this to be important for morale on shift, reducing the pressure and stress from staff when it can be. Whilst only having been working as a police constable for approximately 14 months, I feel that this has been a major impact on me in my role. I have been working on a team that has seen officers come and go, and this has meant me having to step up and manage my workload. There have been times where it feels that I am just constantly being allocated work, however when I looked at the bigger picture it is down to the fact that we were working below our minimum staffing levels for a long time. This impacted on the team as a whole and I noticed a change in the mood and motivation </w:t>
      </w:r>
      <w:r w:rsidRPr="0070362D">
        <w:rPr>
          <w:rFonts w:asciiTheme="minorHAnsi" w:hAnsiTheme="minorHAnsi" w:cstheme="minorHAnsi"/>
          <w:sz w:val="24"/>
        </w:rPr>
        <w:lastRenderedPageBreak/>
        <w:t xml:space="preserve">between us all. Meanwhile, on the other hand I have received many emails with recognition for my work and I feel that although there has been a lot of pressure on me to preform, it has positively impacted me and encouraged me to learn fast. </w:t>
      </w:r>
    </w:p>
    <w:p w14:paraId="62085468" w14:textId="77777777" w:rsidR="0070362D" w:rsidRPr="0070362D" w:rsidRDefault="0070362D" w:rsidP="0070362D">
      <w:pPr>
        <w:spacing w:line="360" w:lineRule="auto"/>
        <w:rPr>
          <w:rFonts w:asciiTheme="minorHAnsi" w:hAnsiTheme="minorHAnsi" w:cstheme="minorHAnsi"/>
          <w:sz w:val="24"/>
        </w:rPr>
      </w:pPr>
      <w:r w:rsidRPr="0070362D">
        <w:rPr>
          <w:rFonts w:asciiTheme="minorHAnsi" w:hAnsiTheme="minorHAnsi" w:cstheme="minorHAnsi"/>
          <w:sz w:val="24"/>
        </w:rPr>
        <w:t>Procedural justice is how impartial those working for the organisation are and how fair they are being treated. There are four key elements: neutrality, voice, respect and trust. The main point is that the employee trusts and holds a good working relationship with senior staff (Her Majesty’s Inspectorate of Probation, 2018). Within the police service, I believe that it is important for officers to feel respect from their senior staff, and to feel supported in all aspects of policing. This will lead to better productivity, which impacts on the public perception of the police. I feel that within the organisation that I work, I have been treated fairly since starting as a police constable. I have been amongst other colleagues that have faced issues when it comes to fair treating within their role, and I can see the impact that it has on morale as a whole. It is important within policing to be impartial with everything, whatever your rank is and whatever department that you work within. Indeed career guide (2021) encourages and addresses the importance of fairness in the workplace, by saying “fairness in the workplace contributes to employees feeling safe and engaged in the work they produce”. Although this source is not from a policing background, I feel this I relevant to policing because it fits with the fact that fairness in the workplace can affect the service provided to the public. This in turn could impact on the perception of the police as a whole.</w:t>
      </w:r>
    </w:p>
    <w:p w14:paraId="749B16AF" w14:textId="77777777" w:rsidR="0070362D" w:rsidRPr="0070362D" w:rsidRDefault="0070362D" w:rsidP="0070362D">
      <w:pPr>
        <w:spacing w:line="360" w:lineRule="auto"/>
        <w:rPr>
          <w:rFonts w:asciiTheme="minorHAnsi" w:hAnsiTheme="minorHAnsi" w:cstheme="minorHAnsi"/>
          <w:sz w:val="24"/>
        </w:rPr>
      </w:pPr>
      <w:r w:rsidRPr="0070362D">
        <w:rPr>
          <w:rFonts w:asciiTheme="minorHAnsi" w:hAnsiTheme="minorHAnsi" w:cstheme="minorHAnsi"/>
          <w:sz w:val="24"/>
        </w:rPr>
        <w:t>The Code of Ethics have been set out as a code of practice under (</w:t>
      </w:r>
      <w:r w:rsidRPr="0070362D">
        <w:rPr>
          <w:rFonts w:asciiTheme="minorHAnsi" w:hAnsiTheme="minorHAnsi" w:cstheme="minorHAnsi"/>
          <w:i/>
          <w:sz w:val="24"/>
        </w:rPr>
        <w:t>Section 39A - Police Act 1996</w:t>
      </w:r>
      <w:r w:rsidRPr="0070362D">
        <w:rPr>
          <w:rFonts w:asciiTheme="minorHAnsi" w:hAnsiTheme="minorHAnsi" w:cstheme="minorHAnsi"/>
          <w:sz w:val="24"/>
        </w:rPr>
        <w:t xml:space="preserve">). Every person working as a professional within policing, is expected from the moment of employment to adapt and conform to the codes of practice. The Code is set into policing principles and Standards of professional behaviour. They are set out to ensure that every person working in policing to make impartial decisions, always do the right thing and to challenge improper behaviour. This allows the enhancement of public relations and perception on the police as a whole (College of Policing, 2014). When starting as a police constable, I came across from a previous role within policing. However, when initially having to conform to the codes of practice it was challenging on times because I would doubt my actions and would always want to do the right thing immediately. However, it was important for me to remember that it doesn’t mean that mistakes can’t be made and that human error is still existent. Although there are occasions when some officers do not conform to the code of ethics and can be subject to investigation by the Professional </w:t>
      </w:r>
      <w:r w:rsidRPr="0070362D">
        <w:rPr>
          <w:rFonts w:asciiTheme="minorHAnsi" w:hAnsiTheme="minorHAnsi" w:cstheme="minorHAnsi"/>
          <w:sz w:val="24"/>
        </w:rPr>
        <w:lastRenderedPageBreak/>
        <w:t xml:space="preserve">standards department (PSD). PSD have a large role to play in ensuring the force is accountable for their officers and the maintenance of trust and confidence from the public towards the police (College of Policing, 2015). South Wales Police often publish information in relation to misconduct hearings to raise awareness for the non-acceptance of unprofessional behaviour and bad conduct from staff and officers. Another example is that they publish information to all staff and officers in relation to factors that can lead to ethical standards declining and some of these are things such as anxiety, risk taking, inappropriate associates and cutting corners (South Wales Police, n.d.). Although on the other hand there are often times where mistakes are made by officers and it is there duty to take ownership for their actions and be open about it. </w:t>
      </w:r>
    </w:p>
    <w:p w14:paraId="7CC22FE8" w14:textId="77777777" w:rsidR="0070362D" w:rsidRPr="0070362D" w:rsidRDefault="0070362D" w:rsidP="0070362D">
      <w:pPr>
        <w:spacing w:line="360" w:lineRule="auto"/>
        <w:rPr>
          <w:rFonts w:asciiTheme="minorHAnsi" w:hAnsiTheme="minorHAnsi" w:cstheme="minorHAnsi"/>
          <w:sz w:val="24"/>
        </w:rPr>
      </w:pPr>
      <w:r w:rsidRPr="0070362D">
        <w:rPr>
          <w:rFonts w:asciiTheme="minorHAnsi" w:hAnsiTheme="minorHAnsi" w:cstheme="minorHAnsi"/>
          <w:sz w:val="24"/>
        </w:rPr>
        <w:t xml:space="preserve">Policing today comes with many concerns for officers, due to the high public perception and scrutiny involved with the job. A tool that is used in order to protect officers and be impartial in police incidents and investigations, is the body worn video (BWV).  BWV was initially introduced in 2005 to ensure that the actions of the police, and behaviours and actions of an offender are recorded for evidence. Research suggests that there are many benefits to the public and the police, including the aiding of decisions made by the CPS for prosecuting cases at court. BWV raises the ethical standards and sense of support within South Wales Police because it “has the potential to improve the accountability and transparency within police forces” (Bigbrotherwatch, 2015). In my opinion, body worn video can help maintain a good standard of conduct, as well as possibly build better relationship with the public. </w:t>
      </w:r>
    </w:p>
    <w:p w14:paraId="40B4CCB2" w14:textId="77777777" w:rsidR="0070362D" w:rsidRPr="0070362D" w:rsidRDefault="0070362D" w:rsidP="0070362D">
      <w:pPr>
        <w:spacing w:line="360" w:lineRule="auto"/>
        <w:rPr>
          <w:rFonts w:asciiTheme="minorHAnsi" w:hAnsiTheme="minorHAnsi" w:cstheme="minorHAnsi"/>
          <w:sz w:val="24"/>
        </w:rPr>
      </w:pPr>
    </w:p>
    <w:p w14:paraId="3A745672" w14:textId="6BEC1E04" w:rsidR="0070362D" w:rsidRDefault="0070362D" w:rsidP="0070362D">
      <w:pPr>
        <w:spacing w:line="360" w:lineRule="auto"/>
        <w:rPr>
          <w:rFonts w:asciiTheme="minorHAnsi" w:hAnsiTheme="minorHAnsi" w:cstheme="minorHAnsi"/>
          <w:sz w:val="24"/>
        </w:rPr>
      </w:pPr>
      <w:r w:rsidRPr="0070362D">
        <w:rPr>
          <w:rFonts w:asciiTheme="minorHAnsi" w:hAnsiTheme="minorHAnsi" w:cstheme="minorHAnsi"/>
          <w:sz w:val="24"/>
        </w:rPr>
        <w:t xml:space="preserve">In conclusion, I feel that although I haven’t felt a huge impact from organisational justice, I have certainly felt a difference in the time I have been appointment as a police constable. It has highlighted that organisation justice can impact you whether it is directly or through others around you. The force that I work for has a positive way of raising awareness of ethics within the police and also to improve the ethical standards of those in the organisation. This assignment doesn’t exhaust the ways in which ethical standards are improved, however provides an insight into some. </w:t>
      </w:r>
    </w:p>
    <w:p w14:paraId="5C4871A4" w14:textId="4D6A8AFF" w:rsidR="0070362D" w:rsidRDefault="0070362D" w:rsidP="0070362D">
      <w:pPr>
        <w:spacing w:line="360" w:lineRule="auto"/>
        <w:rPr>
          <w:rFonts w:asciiTheme="minorHAnsi" w:hAnsiTheme="minorHAnsi" w:cstheme="minorHAnsi"/>
          <w:sz w:val="24"/>
        </w:rPr>
      </w:pPr>
    </w:p>
    <w:p w14:paraId="0B634117" w14:textId="71B06931" w:rsidR="0070362D" w:rsidRPr="0070362D" w:rsidRDefault="0070362D" w:rsidP="0070362D">
      <w:pPr>
        <w:spacing w:line="360" w:lineRule="auto"/>
        <w:rPr>
          <w:rFonts w:asciiTheme="minorHAnsi" w:hAnsiTheme="minorHAnsi" w:cstheme="minorHAnsi"/>
          <w:sz w:val="24"/>
        </w:rPr>
      </w:pPr>
      <w:r>
        <w:rPr>
          <w:rFonts w:asciiTheme="minorHAnsi" w:hAnsiTheme="minorHAnsi" w:cstheme="minorHAnsi"/>
          <w:sz w:val="24"/>
        </w:rPr>
        <w:t>Word count: 1169</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70362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8046183" w14:textId="2719B484"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06CFA09"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In this assignment I will be using Borton’s (1970) reflective cycle to reflect on a policing incident which I dealt with as a police constable. The incident that I have chosen for discussion is relating to mental health, whereby I responded to a police call of concern for a male’s safety. I will briefly describe the incident, however my aim for this is to discuss the multi-agency approach that was taken to best safeguard and protect the male. A multi-agency approach, within policing is best described as a “coordinated response of public sector agencies to address crime, social disorder and community safety” (Wakefield and Fleming, 2009, p. 202). I will explain throughout my decision making process, with regards to how the decisions were made and why I made the decisions that I did. At the end of my reflection, I will discuss the outcome and any considerations or thoughts I have post dealing with the incident. </w:t>
      </w:r>
    </w:p>
    <w:p w14:paraId="1FC10BB4" w14:textId="77777777" w:rsidR="0070362D" w:rsidRPr="0070362D" w:rsidRDefault="0070362D" w:rsidP="0070362D">
      <w:pPr>
        <w:spacing w:line="360" w:lineRule="auto"/>
        <w:ind w:right="237"/>
        <w:jc w:val="both"/>
        <w:rPr>
          <w:rFonts w:asciiTheme="minorHAnsi" w:hAnsiTheme="minorHAnsi" w:cstheme="minorHAnsi"/>
          <w:sz w:val="24"/>
          <w:szCs w:val="24"/>
        </w:rPr>
      </w:pPr>
    </w:p>
    <w:p w14:paraId="4BEAC98A"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What? </w:t>
      </w:r>
    </w:p>
    <w:p w14:paraId="0942821C"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I attended a call which was reported by a member of public, with concerns for their partner’s safety. The information provided initially by the caller was that her partner was </w:t>
      </w:r>
      <w:r w:rsidRPr="0070362D">
        <w:rPr>
          <w:rFonts w:asciiTheme="minorHAnsi" w:hAnsiTheme="minorHAnsi" w:cstheme="minorHAnsi"/>
          <w:sz w:val="24"/>
          <w:szCs w:val="24"/>
        </w:rPr>
        <w:lastRenderedPageBreak/>
        <w:t xml:space="preserve">suffering with his mental health and his behaviour was quite concerning and erratic. He was saying things that were irrational, such as the TV and radio had been talking to him and that people were bad for him. However, his behaviour escalated and he started shouting about things he could hear in his head and it then lead him leaving the address in a vehicle. </w:t>
      </w:r>
    </w:p>
    <w:p w14:paraId="578630E1"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I attended the location and spoke with the informant to clarify exactly the concerns and to identify and assess the threat and risk to the male. It was my main priority to work in the interest of the male, his family and the police force in order to locate him safely and ensure that information and intelligence was gathered to get to the outcome. Whilst at the address, I identified that there was no immediate threat to the male’s life, due to him not actively stating he wants to harm himself and he had made no reference to wanting to harm anybody or himself. </w:t>
      </w:r>
    </w:p>
    <w:p w14:paraId="520E173B"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When present at the address, the male in fact returned to the location and he appeared safe and well. When speaking to him he was displaying concerns around possible paranoia and other mental health conditions. Research suggests that “Paranoia is the irrational and persistent feeling that people are ‘out to get you’” (Better Health Channel, 2020). From discussing the matter with him and the informant, it was identified that he had been to a mental health assessment with the local crisis team the day before I was in attendance at the call. Although, he was waiting for the assessment to be discussed in an overall meeting to find out what help was available to him and the best options for him to take. Meanwhile, he was prescribed medication by them. </w:t>
      </w:r>
    </w:p>
    <w:p w14:paraId="019E1711"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I have then evaluated all the information and intelligence known to me, decided a route plan on how I was going to go forward in dealing with the call. It was decided at this point to discuss and engage with the mental health team as part of a multi-agency approach, to conclude at the best outcome in the interest of the male and his family’s safety. The College of Policing (2015) reiterates the importance of multi-agency work, by stating that it is vital for reducing risk and safeguarding people. It assists in early risk identification, joint decision making and helps to best share information. </w:t>
      </w:r>
    </w:p>
    <w:p w14:paraId="28E7987B" w14:textId="77777777" w:rsidR="0070362D" w:rsidRPr="0070362D" w:rsidRDefault="0070362D" w:rsidP="0070362D">
      <w:pPr>
        <w:spacing w:line="360" w:lineRule="auto"/>
        <w:ind w:right="237"/>
        <w:jc w:val="both"/>
        <w:rPr>
          <w:rFonts w:asciiTheme="minorHAnsi" w:hAnsiTheme="minorHAnsi" w:cstheme="minorHAnsi"/>
          <w:sz w:val="24"/>
          <w:szCs w:val="24"/>
        </w:rPr>
      </w:pPr>
    </w:p>
    <w:p w14:paraId="57D16E17"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So What?</w:t>
      </w:r>
    </w:p>
    <w:p w14:paraId="187951AB"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When first being informed of the incident, I knew that the incident would best be dealt with as a multi-agency approach. This incident would typically be dealt with in that way </w:t>
      </w:r>
      <w:r w:rsidRPr="0070362D">
        <w:rPr>
          <w:rFonts w:asciiTheme="minorHAnsi" w:hAnsiTheme="minorHAnsi" w:cstheme="minorHAnsi"/>
          <w:sz w:val="24"/>
          <w:szCs w:val="24"/>
        </w:rPr>
        <w:lastRenderedPageBreak/>
        <w:t xml:space="preserve">because of the limited powers that police have in dealing with mental health, along with it being a primacy matter for medical professionals to deal with and address the long term concerns or factors. Meanwhile, whilst having gathered the information that I did in relation to the risk factors, I identified that the male could either attend the hospital on a voluntary basis or I could discuss the matter with mental health practitioners for advice on alternative options. In essence both routes of dealing with the matter would result in a multi-agency approach, however I chose to speak with the mental health practitioners because I did not believe there was a requirement for a further assessment. I made a decision to contact the mental health team in our control room for advice and to make a collaborative decision on what action was best. I took this action based on my experience of dealing with similar vulnerable people at previous incidents. On reflection and review of those incidents, I know that decisions can be made more proportionately with the extra information that can be accessed in relation to mental health medical reports. I see this tool as being important to a successful intervention. A report from Her Majesty’s Inspectorate of Constabulary and Fire &amp; Rescue Services, highlights recognition of the enhanced service provided in the initial response to such calls. This has been recognised since putting in place the service of AMHPs, psychiatric nurses and representatives from mental health charities working in police control rooms. This approach and partnership has been described as being ‘invaluable’ with the increase in demand for mental health. </w:t>
      </w:r>
    </w:p>
    <w:p w14:paraId="013EDF19"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Whilst addressing my concerns, I discussed the matter with approved mental health professionals (AMHP’s) in the police control room. At this point, it was confirmed that he was known to mental health services and that he had been to an appointment the day before. To come to a collaborative decision I had to discuss everything that I knew and the behaviour that the male was displaying with them. The decision made was based heavily on the fact that there was no immediate concern for the male’s safety, in that he was not threatening to harm himself or anyone else and was just suffering with the same conditions as to what he was when he had the assessment the day before. Although the decision was made to allow the male to stay at his home address, it was also decided that he would be advised to contact his local mental health team if he felt that he was in immediate need for care and attention. With the evidence that I had, on evaluating it became apparent that realistically police powers were not an option as the elements to use them did not stand. </w:t>
      </w:r>
      <w:r w:rsidRPr="0070362D">
        <w:rPr>
          <w:rFonts w:asciiTheme="minorHAnsi" w:hAnsiTheme="minorHAnsi" w:cstheme="minorHAnsi"/>
          <w:sz w:val="24"/>
          <w:szCs w:val="24"/>
        </w:rPr>
        <w:lastRenderedPageBreak/>
        <w:t xml:space="preserve">The main reasons were that there were no concerns regarding his capacity, he was in a private dwelling and he was not displaying behaviour that caused concern that he was in need of immediate care and attention. The main concern raised by the male himself was that the medication he had been given the day before, didn’t appear to have an effect on him. Although it was discussed with him that medication more often than not, the medication he was taking doesn’t have an immediate impact. As stated by the National Alliance on mental Illness (n.d.) “A few psychiatric medication work quickly, and you will see improvements within days, but most work more slowly”. </w:t>
      </w:r>
    </w:p>
    <w:p w14:paraId="64016A9E" w14:textId="77777777" w:rsidR="0070362D" w:rsidRPr="0070362D" w:rsidRDefault="0070362D" w:rsidP="0070362D">
      <w:pPr>
        <w:spacing w:line="360" w:lineRule="auto"/>
        <w:ind w:right="237"/>
        <w:jc w:val="both"/>
        <w:rPr>
          <w:rFonts w:asciiTheme="minorHAnsi" w:hAnsiTheme="minorHAnsi" w:cstheme="minorHAnsi"/>
          <w:sz w:val="24"/>
          <w:szCs w:val="24"/>
        </w:rPr>
      </w:pPr>
    </w:p>
    <w:p w14:paraId="25641381"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Now what?</w:t>
      </w:r>
    </w:p>
    <w:p w14:paraId="0B4D1495"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Whilst dealing with any call within policing, the National Decision Making Model is a great tool that assist with ensuring decision made are ethical and justified. The College of Policing (2013) best describes the national decision model to assist with the “structure of a rationale of what they did during an incident and why”. It is also seen to be effective for identifying possible alternative and learning at the end of an incident. Whilst at the address the male was present with his partner and child, this was an important factor to consider when deciding an appropriate decision. Whilst considering possible consequences, my main concern was leaving the male at the address in the state of mind that he was in. The reason for my concern was that due to the male’s mental ill health, there was a risk factor that should his behaviour escalate it could affects the other people around him and therefore it was important to consider their safety also. Mental illness can cause a variety of emotions, with the main being anger and sadness. It often has a ‘ripple effect’ on families and more often than not adds tension and stress to the families (Better Health Channel, 2019). With the information gathered and the male’s demeanour and behaviour, I believed that it was within the interest of him and his family to let him stay there. He had not posed any risk towards them and a regular routine has positive effects on mental health. A study by Ginsberg (2020) states that “Routines can create a positive level of stress that keeps us focused”. </w:t>
      </w:r>
    </w:p>
    <w:p w14:paraId="271B4E01" w14:textId="77777777" w:rsidR="0070362D" w:rsidRPr="0070362D" w:rsidRDefault="0070362D" w:rsidP="0070362D">
      <w:pPr>
        <w:spacing w:line="360" w:lineRule="auto"/>
        <w:ind w:right="237"/>
        <w:jc w:val="both"/>
        <w:rPr>
          <w:rFonts w:asciiTheme="minorHAnsi" w:hAnsiTheme="minorHAnsi" w:cstheme="minorHAnsi"/>
          <w:sz w:val="24"/>
          <w:szCs w:val="24"/>
        </w:rPr>
      </w:pPr>
    </w:p>
    <w:p w14:paraId="5D8C46D7" w14:textId="77777777" w:rsidR="0070362D"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In conclusion, I believe that a multi-agency approach can have many positive impacts on how the police work and enhance the service provided to a service user. This assignment </w:t>
      </w:r>
      <w:r w:rsidRPr="0070362D">
        <w:rPr>
          <w:rFonts w:asciiTheme="minorHAnsi" w:hAnsiTheme="minorHAnsi" w:cstheme="minorHAnsi"/>
          <w:sz w:val="24"/>
          <w:szCs w:val="24"/>
        </w:rPr>
        <w:lastRenderedPageBreak/>
        <w:t xml:space="preserve">has proved the importance in information sharing in order to safeguard and protect the public. Whilst information can be shared at the time of the incident, multi-agency work also allows further information to be shared following the incident if required to do so for the safety of each individual. I am now more aware of the importance in gathering all information, intelligence or evidence before making a substantial decision on the best appropriate action. </w:t>
      </w:r>
    </w:p>
    <w:p w14:paraId="69869512" w14:textId="77777777" w:rsidR="0070362D" w:rsidRPr="0070362D" w:rsidRDefault="0070362D" w:rsidP="0070362D">
      <w:pPr>
        <w:spacing w:line="360" w:lineRule="auto"/>
        <w:ind w:right="237"/>
        <w:jc w:val="both"/>
        <w:rPr>
          <w:rFonts w:asciiTheme="minorHAnsi" w:hAnsiTheme="minorHAnsi" w:cstheme="minorHAnsi"/>
          <w:sz w:val="24"/>
          <w:szCs w:val="24"/>
        </w:rPr>
      </w:pPr>
    </w:p>
    <w:p w14:paraId="79C6F38B" w14:textId="6B11D41D" w:rsidR="00AA666E" w:rsidRPr="0070362D" w:rsidRDefault="0070362D" w:rsidP="0070362D">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Word count: 1573</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41461956" w14:textId="77777777" w:rsidR="0070362D"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 xml:space="preserve">The incident that I have chosen for discussion is a domestic incident in which I assisted with enquiries when the suspect had been arrested. The main focus will be discussing the service provided and engagement with the victim of domestic violence. The decisions that I made whilst dealing with this incident were mainly based around the vulnerability of the victim. There are many ways to define vulnerability, however it is best described as “a person is vulnerable if, as a result of their situation or circumstances, they are unable to take care of or protect themselves or others from harm or exploitation” (Northumbria Police, 2017). I will talk about different ways the actions taken could have been done differently, and why it was important, in the circumstances to deal with it the way that I did. </w:t>
      </w:r>
    </w:p>
    <w:p w14:paraId="3946C305" w14:textId="77777777" w:rsidR="0070362D"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I was asked to assist with outstanding enquiries in relation to a domestic crime that had taken place the night before. The information provided to me was that a male had been arrested for a domestic assault. The male perpetrator and female victim were known to me from previous dealings, therefore instantly I knew that the risk to the victim was high.</w:t>
      </w:r>
    </w:p>
    <w:p w14:paraId="6AB47B4B" w14:textId="77777777" w:rsidR="0070362D"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 xml:space="preserve">My main responsibility was engagement with the victim. The victim had provided a statement the night of the incident, however had since contacted the police and requested to retract her statement. I knew that it was important at this stage to have a </w:t>
      </w:r>
      <w:r w:rsidRPr="0070362D">
        <w:rPr>
          <w:rFonts w:asciiTheme="minorHAnsi" w:hAnsiTheme="minorHAnsi" w:cstheme="minorHAnsi"/>
          <w:sz w:val="24"/>
          <w:szCs w:val="24"/>
        </w:rPr>
        <w:lastRenderedPageBreak/>
        <w:t>plan with actions to take, to ensure positive engagement with the victim and in the hope of gaining her support for prosecution. Robinson (2007) discusses victim retraction in cases of domestic violence and states that it is viewed as seriously problematic when it comes to prosecution in such cases. Therefore, force policies are vital to ensure that the victim is supported in the hope that they can be educated around the seriousness of the criminal offence and their vulnerability, and encouraged to support the case. Domestic Violence is something that I always approach in a multi-agency way. I remained impartial and took the retraction statement whilst encouraging the victim to speak with someone from RISE. RISE is a support service for “women, children and young people who are experiencing the effects of any form of violence against women, domestic abuse” (RISE, 2021). Whilst with the victim, I contacted RISE in order for her to speak with an Independent Domestic Violence Advisor (IDVA), this was for encouragement and support throughout the process. After speaking with an IDVA, the victim’s views still remained the same and she wished to withdraw her support.</w:t>
      </w:r>
    </w:p>
    <w:p w14:paraId="28EADC57" w14:textId="77777777" w:rsidR="0070362D"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South Wales Police (2004) sets out a policy for the police officers dealing with cases of domestic abuse, which states “the first priority of attending officer is to ensure the safety of the victim and take positive action”. It is important when working with victims of domestic abuse to safeguard and protect them, as well as build a good rapport with them. It is important to approach domestic violence cases impartially, whilst encouraging the victim to pursue a complaint because more often than not they are afraid of the perpetrator, and fear repercussions of reporting matters to the police or speaking out. Research supports this point by stating “on average victims experience 50 incidents of abuse before getting effective help” (SafeLives, 2015).</w:t>
      </w:r>
    </w:p>
    <w:p w14:paraId="5513C541" w14:textId="77777777" w:rsidR="0070362D"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 xml:space="preserve">Police deal with domestic abuse on a regular basis. In this incident, the greatest opportunity to support the victim was whilst the male was in police custody. The victim in this case was high-risk from the perpetrator and therefore, a positive engagement was vital. Whilst engaging with the victim, it was important to encourage her to support prosecution because this could be one step closer to her leaving the relationship. A report by SafeLives (2015) discusses the importance in getting things right from the first time we have contact with any domestic abuse victims. It addresses the importance in services working together to best safeguard and protect the victim. Her Majesty’s Inspectorate of </w:t>
      </w:r>
      <w:r w:rsidRPr="0070362D">
        <w:rPr>
          <w:rFonts w:asciiTheme="minorHAnsi" w:hAnsiTheme="minorHAnsi" w:cstheme="minorHAnsi"/>
          <w:sz w:val="24"/>
          <w:szCs w:val="24"/>
        </w:rPr>
        <w:lastRenderedPageBreak/>
        <w:t xml:space="preserve">Constabulary and Fire &amp; Rescue Services (2019) supports positive engagement with the victim by saying that contact with domestic abuse victims has to be supportive and empathetic for them to gain trust in the police. It also states that a negative experience with police can lead to them losing trust and confidence in the police and failing to report further incidents. </w:t>
      </w:r>
    </w:p>
    <w:p w14:paraId="72832BAC" w14:textId="77777777" w:rsidR="0070362D"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 xml:space="preserve">On the other hand, some victims wish for contact by other means for their own safeguarding and protection. Often, some victims will request telephone contact at certain times so that the perpetrator doesn’t find out or so that neighbours of family do not see police attending the address. HMICFRS (2019) discuss the pilot for telephone-based first response to victims of domestic abuse, and state that this came as a result of police forces identifying a problem. On occasions, victims wanted contact at a time suitable for them and this was sometimes a challenge for police due to their operational demand. Therefore, sometimes telephone contact would be more appropriate as it is more adaptable. It is discussed that this may be a more encouraging approach for victims, albeit it may not always be suitable for complete safeguarding of the victim. </w:t>
      </w:r>
    </w:p>
    <w:p w14:paraId="2D2F5641" w14:textId="77777777" w:rsidR="0070362D"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 xml:space="preserve">Meanwhile, although I was with the victim, the IDVA was not present and spoke to the victim on the telephone. I deemed this to be suitable in the circumstances as the IDVA was there to speak to the victim and encourage her to make steps to leave the relationship and safeguard themselves, whilst we were there for support in person. Although this may not always be appropriate, it may be less overwhelming for the victim and this could lead to a more positive outcome. This displays that different roles and responsibilities will affect how you deal with certain incidents. The main aim for police and the IDVA in this incident was to protect and safeguard the victim, however the approach is completely different in encouraging the victim to make changes. </w:t>
      </w:r>
    </w:p>
    <w:p w14:paraId="0C0CBD54" w14:textId="77777777" w:rsidR="0070362D"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 xml:space="preserve">Repeat victimisation is best described as “the experience of being a victim of more than one crime of the same type within the last 12 months” (Office for National Statistics, 2018). In the case of domestic abuse, 54% of domestic violence cases reported in 2007/2008 were repeat victims (GOV.UK, 2010). </w:t>
      </w:r>
    </w:p>
    <w:p w14:paraId="5FC7FE74" w14:textId="77777777" w:rsidR="0070362D"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 xml:space="preserve">When police attend a domestic incident, whilst engaging with the victim and perpetrator they will submit a public protection notification (PPN). The PPN is for information of the incident, risk and surrounding factors or concerns to be shared with partner agencies. </w:t>
      </w:r>
      <w:r w:rsidRPr="0070362D">
        <w:rPr>
          <w:rFonts w:asciiTheme="minorHAnsi" w:hAnsiTheme="minorHAnsi" w:cstheme="minorHAnsi"/>
          <w:sz w:val="24"/>
          <w:szCs w:val="24"/>
        </w:rPr>
        <w:lastRenderedPageBreak/>
        <w:t xml:space="preserve">Police always encourage the victim to engage with partner agencies to get additional support. One specific way of support and prevention in repeat victimisation is getting the victim to engage with an IDVA, which I have previously discussed. A study by SafeLives (2014) provides that engagements with high risk clients, displays a clear and measurable change to safety, including the severity of abuse and repeat incidents. The insights IDVA dataset 2017-18 provides evidence that from their services, support from an IDVA stopped the abuse for more than half their clients, with the data stating 54%. Although, 2142 cases were closed with no further support to victims. Meanwhile, risk was reduced for 73% of their clients that positively engaged with an IDVA (SafeLives, 2018). This displays a clear positive impact from IDVA services. </w:t>
      </w:r>
    </w:p>
    <w:p w14:paraId="16799829" w14:textId="77777777" w:rsidR="0070362D"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 xml:space="preserve">In this incident, although a retraction statement was taken, the victim was taken to a women’s refuge for her protection and safeguarding. This decision was made by both professionals and the victim. </w:t>
      </w:r>
    </w:p>
    <w:p w14:paraId="51CF2593" w14:textId="77777777" w:rsidR="0070362D"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 xml:space="preserve">In conclusion, I believe that there is clear evidence that different approaches by different agencies still reach the ultimate goal that they are both working to achieve. Although it has been recognised that sometimes victims wishes should come first, safeguarding is the priority and this has to come first. It is important to be open with victims and ensure that they know and understand why certain actions are taken, even if they do not wish for it to happen. Repeat victimisation is highly likely in cases of domestic abuse and it is important to ensure that we encourage, engage, support and safeguard a victim. </w:t>
      </w:r>
    </w:p>
    <w:p w14:paraId="12E15996" w14:textId="77777777" w:rsidR="0070362D" w:rsidRPr="0070362D" w:rsidRDefault="0070362D" w:rsidP="0070362D">
      <w:pPr>
        <w:spacing w:line="360" w:lineRule="auto"/>
        <w:ind w:right="237"/>
        <w:rPr>
          <w:rFonts w:asciiTheme="minorHAnsi" w:hAnsiTheme="minorHAnsi" w:cstheme="minorHAnsi"/>
          <w:sz w:val="24"/>
          <w:szCs w:val="24"/>
        </w:rPr>
      </w:pPr>
    </w:p>
    <w:p w14:paraId="3BBDE61A" w14:textId="6A369985" w:rsidR="5B63D80E" w:rsidRPr="0070362D" w:rsidRDefault="0070362D" w:rsidP="0070362D">
      <w:pPr>
        <w:spacing w:line="360" w:lineRule="auto"/>
        <w:ind w:right="237"/>
        <w:rPr>
          <w:rFonts w:asciiTheme="minorHAnsi" w:hAnsiTheme="minorHAnsi" w:cstheme="minorHAnsi"/>
          <w:sz w:val="24"/>
          <w:szCs w:val="24"/>
        </w:rPr>
      </w:pPr>
      <w:r w:rsidRPr="0070362D">
        <w:rPr>
          <w:rFonts w:asciiTheme="minorHAnsi" w:hAnsiTheme="minorHAnsi" w:cstheme="minorHAnsi"/>
          <w:sz w:val="24"/>
          <w:szCs w:val="24"/>
        </w:rPr>
        <w:t>Word count: 1355</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2C5F564"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In this assignment I will be using Borton’s (1970) reflective cycle to reflect on a policing incident which I dealt with as a police constable. The incident that I have chosen for discussion is a rape investigation. </w:t>
      </w:r>
    </w:p>
    <w:p w14:paraId="3F63C868" w14:textId="77777777" w:rsidR="00A34775" w:rsidRPr="00A34775" w:rsidRDefault="00A34775" w:rsidP="00A34775">
      <w:pPr>
        <w:spacing w:line="360" w:lineRule="auto"/>
        <w:rPr>
          <w:rFonts w:asciiTheme="minorHAnsi" w:hAnsiTheme="minorHAnsi" w:cstheme="minorHAnsi"/>
          <w:sz w:val="24"/>
          <w:szCs w:val="24"/>
        </w:rPr>
      </w:pPr>
    </w:p>
    <w:p w14:paraId="720C17C4"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What? </w:t>
      </w:r>
    </w:p>
    <w:p w14:paraId="54F8C02D"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I attended a policing incident which was reported by third party, who disclosed that her friend had come home from a night out and had been raped by the taxi driver. The information known to me whilst attending the call was that the female had been intoxicated and had got an UBER taxi home following a night out with friends. Whilst she was on her way home, the driver of the UBER took her to a secluded fielded area and raped her in the back of his vehicle. At the time of the report and whilst on route to the call, there was very </w:t>
      </w:r>
      <w:r w:rsidRPr="00A34775">
        <w:rPr>
          <w:rFonts w:asciiTheme="minorHAnsi" w:hAnsiTheme="minorHAnsi" w:cstheme="minorHAnsi"/>
          <w:sz w:val="24"/>
          <w:szCs w:val="24"/>
        </w:rPr>
        <w:lastRenderedPageBreak/>
        <w:t>limited information known about the vehicle and offender involved. My first priority was to safeguard the victim and secure and preserve any evidence relating to the offence.</w:t>
      </w:r>
    </w:p>
    <w:p w14:paraId="65F14F7E"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On arrival at the scene, the victim was clearly distraught and upset, displaying signs of being intoxicated. My priority was to ensure that the victim was dealt with in an appropriate and sensitive manner. This was important more so in this case which was a rape, because in 2018, HM Government introduced the Victim Strategy, which was to enhance the experience for victims and witnesses through cases dealt with by the Criminal Justice System. One specific element of this was to ensure victims of more serious crimes, such as rapes and serious sexual offences received an enhanced victim service (HM Government, 2018). A first account was obtained from her in the format of a PPD3, in which she disclosed that a member of public had advised her an UBER to get back to her university halls due to her intoxication level. Whilst she was on her way home in the taxi, she realised that the route the driver was taking wasn’t the usual route to get to her university. The vehicle then pulled up at a secluded fielded area and she immediately got concerned and text her friends saying “HELP”. It was at this time that the driver got into the back of the vehicle and vaginally and orally raped the victim. </w:t>
      </w:r>
    </w:p>
    <w:p w14:paraId="75838A1C"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I established that this amounted to an offence of Rape contrary to (</w:t>
      </w:r>
      <w:r w:rsidRPr="00A34775">
        <w:rPr>
          <w:rFonts w:asciiTheme="minorHAnsi" w:hAnsiTheme="minorHAnsi" w:cstheme="minorHAnsi"/>
          <w:i/>
          <w:iCs/>
          <w:sz w:val="24"/>
          <w:szCs w:val="24"/>
        </w:rPr>
        <w:t>Section 1 of the Sexual Offences Act 2003)</w:t>
      </w:r>
      <w:r w:rsidRPr="00A34775">
        <w:rPr>
          <w:rFonts w:asciiTheme="minorHAnsi" w:hAnsiTheme="minorHAnsi" w:cstheme="minorHAnsi"/>
          <w:sz w:val="24"/>
          <w:szCs w:val="24"/>
        </w:rPr>
        <w:t xml:space="preserve">. After the victim had disclosed to me that she had been vaginally raped, my main priority at this stage was the location and apprehension of the suspect to ensure that other members of the public that he could come into contact with were safeguarded. I was also mindful that during a rape investigation, there is a set forensic window in which intimate samples would need to be obtained from the suspect once arrested to secure and preserve any possible evidence. The Criminal Investigation Department (CID) was the primacy lead on the investigation and due to my significant role with the victim, I was in regular contact with them to ensure that the information was communicated accurately and efficiently.  </w:t>
      </w:r>
    </w:p>
    <w:p w14:paraId="52563F3E"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From previous learning I am aware that the role ‘taxi driver’ is a notifiable occupation and therefore this arrest could impact his occupation. This was a consideration when dealing with such a serious offence, when balancing it along with the legitimacy of the allegation and evidence available. </w:t>
      </w:r>
    </w:p>
    <w:p w14:paraId="51C51D17"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lastRenderedPageBreak/>
        <w:t xml:space="preserve">A major line of enquiry, in line with the golden hour principles was CCTV. With a description of the victim, location and slight description of the offending vehicle, I contacted units on ‘Cardiff After Dark’, an operation run in Cardiff City Centre. I made this decision because they were the closest units to secure and preserve CCTV footage that would have captured the victim leaving the town centre and getting into the suspect’s taxi. I also contacted the local council CCTV to see if they had captured any footage that could identify any information to support the investigation. The main aim of this task was to identify a registration mark from the offending vehicle. </w:t>
      </w:r>
    </w:p>
    <w:p w14:paraId="11F9E6F5"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Following the initial account, my colleague obtained an early evidence kit. I sought to gather information about the potential suspect involved. The victim made a disclosure that the suspect had added her on snapchat. From this, I identified a line of enquiry in relation to identifying the suspect. I made the decision to accept the request on the victim mobile phone, with a view to possibly ascertaining a location for the suspect from the location services on the social media app. Whilst considering this line of enquiry, I had to balance this against possible collateral intrusion, data protection rights and human rights of the owner of the phone (CPS, 2021). This enquiry proved negative, however we were able to obtain a name for the suspect. I then thought of sources were available to me, in order to identify the suspect with the information I had obtained. I have then utilised the police local database to search the name obtained and have submitted a request to the intelligence department to do checks on the username from snapchat. This enquiry highlighted a possible identify for the suspect, including personal details. I ran further intelligence checks by using the police national computer and was able to identify a vehicle linked to the possible suspect. This was corroborated with an intelligence report which suggested this vehicle was being used by someone who is a taxi driver. </w:t>
      </w:r>
    </w:p>
    <w:p w14:paraId="3B1DF230"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Once the vehicle registration mark had been identified for the offending vehicle, this presented a further line of enquiry to follow. I utilised investigative tactics such as ANPR to identify the route in which the offending vehicle had travelled both prior to, during and after the offence. This helped not only support the victims account but also established the route that the possible offender had taken following the incident. This allowed us to narrow down a possible current location for the suspect so that he could be located and arrested. The College of Policing (2013) supports the use of ANPR data in investigations. It is </w:t>
      </w:r>
      <w:r w:rsidRPr="00A34775">
        <w:rPr>
          <w:rFonts w:asciiTheme="minorHAnsi" w:hAnsiTheme="minorHAnsi" w:cstheme="minorHAnsi"/>
          <w:sz w:val="24"/>
          <w:szCs w:val="24"/>
        </w:rPr>
        <w:lastRenderedPageBreak/>
        <w:t xml:space="preserve">suggested that the use of ANPR in an investigation can support the direction of an investigation or present other lines of enquiry. It is a useful tool for identifying and locating a suspect and collaborating information obtained as part of the investigation. </w:t>
      </w:r>
    </w:p>
    <w:p w14:paraId="06E0E339" w14:textId="77777777" w:rsidR="00A34775" w:rsidRPr="00A34775" w:rsidRDefault="00A34775" w:rsidP="00A34775">
      <w:pPr>
        <w:spacing w:line="360" w:lineRule="auto"/>
        <w:rPr>
          <w:rFonts w:asciiTheme="minorHAnsi" w:hAnsiTheme="minorHAnsi" w:cstheme="minorHAnsi"/>
          <w:sz w:val="24"/>
          <w:szCs w:val="24"/>
        </w:rPr>
      </w:pPr>
    </w:p>
    <w:p w14:paraId="7C79B5A1"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When intelligence had been gained from the ANPR system, I used this information to liaise with other departments to ensure that the suspect was located as quickly as possible. I communicated with the Roads Policing Unit and other divisional patrols in the area that the vehicle last hit ANPR cameras. This ensured that there were sufficient resources trying to locate and arrest the suspect whilst I remained with the victim to provide reassurance, gather early evidence and to safeguard her from any further harm. </w:t>
      </w:r>
    </w:p>
    <w:p w14:paraId="6439DCF8"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At this point of the investigation, it was clear that the suspect was in the forensic window for examination. This would provide police with best evidence and it was important to ensure that officers dealing with the suspect had not been in contact with the victim. </w:t>
      </w:r>
    </w:p>
    <w:p w14:paraId="1ADEFD1F"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From previous experience of dealing with serious and complex investigations such as rape and serious sexual offences, I have learnt the importance in applying the golden hour principles. The core principles in the case were to safeguard the victim and other members of the public, whilst obtaining information to quickly identify reasonable lines of enquiry that would ensure the investigation was dealt with expeditiously. I have also learnt the importance in arresting the suspect within the forensic window and within appropriate timelines to ensure that any relevant searches can be carried to secure and preserve any evidence relating to the offence.</w:t>
      </w:r>
    </w:p>
    <w:p w14:paraId="77A15EBB"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Now what? </w:t>
      </w:r>
    </w:p>
    <w:p w14:paraId="04BC2F49"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When obtaining the account from the victim, I had to establish that this version of events was accurate and not malicious so that we could form the reasonable suspicion that the suspect was involved. I was mindful that should an individual be arrested for the offence of rape, this could have a detrimental impact on their human rights. I was aware at the time of dealing with the incident that the seriousness of the offence could not only impact not only on the suspects lifestyle, however it could also have cultural impact on his community beliefs. Factoring in all of these considerations, there was sufficient evidence for me to form the grounds of reasonable suspicion to arrest the suspect. </w:t>
      </w:r>
    </w:p>
    <w:p w14:paraId="426EC708" w14:textId="77777777" w:rsidR="00A34775" w:rsidRPr="00A34775"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lastRenderedPageBreak/>
        <w:t>As a result of collating this information and disseminating it to the relevant departments, the roads policing unit were able to stop the offending vehicle and apprehend the suspect and arrest him for rape. This highlighted how the information that I had obtained when dealing with the victim was able to be developed into information that I disseminated to the relevant departments who assisted with the apprehension of the suspect.</w:t>
      </w:r>
    </w:p>
    <w:p w14:paraId="2ED64AA2" w14:textId="77777777" w:rsidR="00A34775" w:rsidRPr="00A34775" w:rsidRDefault="00A34775" w:rsidP="00A34775">
      <w:pPr>
        <w:spacing w:line="360" w:lineRule="auto"/>
        <w:rPr>
          <w:rFonts w:asciiTheme="minorHAnsi" w:hAnsiTheme="minorHAnsi" w:cstheme="minorHAnsi"/>
          <w:sz w:val="24"/>
          <w:szCs w:val="24"/>
        </w:rPr>
      </w:pPr>
    </w:p>
    <w:p w14:paraId="1967E2A8" w14:textId="7B98D00E" w:rsidR="00025650" w:rsidRDefault="00A34775" w:rsidP="00A34775">
      <w:pPr>
        <w:spacing w:line="360" w:lineRule="auto"/>
        <w:rPr>
          <w:rFonts w:asciiTheme="minorHAnsi" w:hAnsiTheme="minorHAnsi" w:cstheme="minorHAnsi"/>
          <w:sz w:val="24"/>
          <w:szCs w:val="24"/>
        </w:rPr>
      </w:pPr>
      <w:r w:rsidRPr="00A34775">
        <w:rPr>
          <w:rFonts w:asciiTheme="minorHAnsi" w:hAnsiTheme="minorHAnsi" w:cstheme="minorHAnsi"/>
          <w:sz w:val="24"/>
          <w:szCs w:val="24"/>
        </w:rPr>
        <w:t xml:space="preserve">In this assignment, I have discussed an incident in which I played a significant role with the victim that had reported an offence of rape. Whilst dealing with the incident, I gathered information and intelligence, whilst supporting the victim, with a view to identify relevant lines of enquiry to identifying a suspect. Whilst I gathered the information and intelligence I considered the rights of the victim and the suspect, in line with the code of practice and legislation set out. I ensured that the investigation was dealt with in a timely manner, to ensure that the suspect was identified and located expeditiously to ensure that the general public were safeguarded. I did this by sharing and disseminating the information I had gathered through golden hour enquiries, to various departments and utilised intelligence tactics to ensure that the offender was arrested as quickly as possible. The result was that the suspect was in custody within 90 minutes of the victim making the initial disclosure to me. </w:t>
      </w:r>
    </w:p>
    <w:p w14:paraId="3072B1D5" w14:textId="0A4BA938" w:rsidR="00A34775" w:rsidRDefault="00A34775" w:rsidP="00A34775">
      <w:pPr>
        <w:spacing w:line="360" w:lineRule="auto"/>
        <w:rPr>
          <w:rFonts w:asciiTheme="minorHAnsi" w:hAnsiTheme="minorHAnsi" w:cstheme="minorHAnsi"/>
          <w:sz w:val="24"/>
          <w:szCs w:val="24"/>
        </w:rPr>
      </w:pPr>
    </w:p>
    <w:p w14:paraId="13A784FD" w14:textId="4BB2EDAB" w:rsidR="00A34775" w:rsidRPr="00A34775" w:rsidRDefault="00A34775" w:rsidP="00A34775">
      <w:pPr>
        <w:spacing w:line="360" w:lineRule="auto"/>
        <w:rPr>
          <w:rFonts w:asciiTheme="minorHAnsi" w:hAnsiTheme="minorHAnsi" w:cstheme="minorHAnsi"/>
          <w:sz w:val="24"/>
          <w:szCs w:val="24"/>
        </w:rPr>
      </w:pPr>
      <w:r>
        <w:rPr>
          <w:rFonts w:asciiTheme="minorHAnsi" w:hAnsiTheme="minorHAnsi" w:cstheme="minorHAnsi"/>
          <w:sz w:val="24"/>
          <w:szCs w:val="24"/>
        </w:rPr>
        <w:t>Word count: 1646</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AB7647F"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In this assignment I will be using Borton’s (1970) reflective cycle to reflect on a policing incident which I dealt with as a police constable. The incident that I have chosen for discussion is relating to an offence, which falls in the (Malicious Communications Act 1988). The incident that I will discuss relates to a criminal offence, which involves the use of mobile phones and social media. I have chosen this incident to discuss because it is a crime which relates to a previous crime report dealt with by police, leading to having to deal with both people involved as victims and being sensitive in the nature of dealing with the incident. It is also an incident that had to be dealt with immediately due to the possibly impact of harm and publicity from the incident profiling on social media. I will explain the impact of this incident on the victim and a perspective from a wider view on who else could be impacted. </w:t>
      </w:r>
    </w:p>
    <w:p w14:paraId="68976301" w14:textId="77777777" w:rsidR="00757ED1" w:rsidRPr="0070362D" w:rsidRDefault="00757ED1" w:rsidP="00757ED1">
      <w:pPr>
        <w:spacing w:line="360" w:lineRule="auto"/>
        <w:ind w:right="237"/>
        <w:jc w:val="both"/>
        <w:rPr>
          <w:rFonts w:asciiTheme="minorHAnsi" w:hAnsiTheme="minorHAnsi" w:cstheme="minorHAnsi"/>
          <w:sz w:val="24"/>
          <w:szCs w:val="24"/>
        </w:rPr>
      </w:pPr>
    </w:p>
    <w:p w14:paraId="12BE1BC5"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What?</w:t>
      </w:r>
    </w:p>
    <w:p w14:paraId="223C1874"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I attended a call which was reported by the parents of a teenager, someone had posted something on social media about him and the parents had serious concerns about the consequences to the family, from the post. The information known to me was that the boy had previously been reported to police a few years back for an incident which relates to sexual offences. The case that was investigated by police got closed down due to insufficient evidence and discrepancies in the account provided by people involved. It was at a time of high publicity around ‘women’s movement’, when the victim of the previous reported posted a malicious post about him. The post displayed photographs of him and </w:t>
      </w:r>
      <w:r w:rsidRPr="0070362D">
        <w:rPr>
          <w:rFonts w:asciiTheme="minorHAnsi" w:hAnsiTheme="minorHAnsi" w:cstheme="minorHAnsi"/>
          <w:sz w:val="24"/>
          <w:szCs w:val="24"/>
        </w:rPr>
        <w:lastRenderedPageBreak/>
        <w:t xml:space="preserve">also text messages between them, and captioned the photograph as ‘this is my rapist everyone’. </w:t>
      </w:r>
    </w:p>
    <w:p w14:paraId="7682E358"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When dealing with this call, I instantly knew that this could have a large impact on the male, his family and the wider community because of the seriousness in the allegation on the post. The main concern was that the impact of that post being online, with relation to the risk of harm to anyone involved. It was clarified at the time of initial contact that the post had been removed, however it was not known how many people had seen the post and what the potential consequences could be as a result of it. When information is shared on platforms such as social media, there is no taking it back. Although you may remove the post, the post will still be able to be located online due to the advantage technology this day and age (Patel, 2020). An article by Green (2015) states that things such as social media post, text messages and emails can still be located by people with knowledge of advanced technology. Whilst discussing the incident with the family, my main priority was ensuring that the post was not still viewable to the public. Then the safeguarding and re-assurance to the family, whilst discussing the options available to progress the complaint. </w:t>
      </w:r>
    </w:p>
    <w:p w14:paraId="16589292" w14:textId="77777777" w:rsidR="00757ED1" w:rsidRPr="0070362D" w:rsidRDefault="00757ED1" w:rsidP="00757ED1">
      <w:pPr>
        <w:spacing w:line="360" w:lineRule="auto"/>
        <w:ind w:right="237"/>
        <w:jc w:val="both"/>
        <w:rPr>
          <w:rFonts w:asciiTheme="minorHAnsi" w:hAnsiTheme="minorHAnsi" w:cstheme="minorHAnsi"/>
          <w:sz w:val="24"/>
          <w:szCs w:val="24"/>
        </w:rPr>
      </w:pPr>
    </w:p>
    <w:p w14:paraId="5EFB9838"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So what?</w:t>
      </w:r>
    </w:p>
    <w:p w14:paraId="750B8A7C"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When initially reviewing the incident I recognised the actions that needed to be taken immediately to deal with the matter appropriately. It was identified early that the post could cause serious strain on tension within the local community and therefore pose a risk to the victim because of the nature of the post. </w:t>
      </w:r>
    </w:p>
    <w:p w14:paraId="56CCB7B3"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The immediate action that I took was to attend and re-assure the family that something was going to be done to ensure that the post is not online and the offender is dealt with accordingly. The College of Policing (2013) addresses the importance in the initial response to policing incidents with building and restoring public confidence. Police must be seen to address the matter reported to them and deal with it in a timely and transparent manner. Firstly, I obtained the screenshots of the post and viewed the profile to ensure that the post was no longer active or viewable on the profile. This is the first thing which would act towards safeguarding the victim as it reduces the risk if not many people had seen the post. When at the address with the victim I discussed the matter with him and his family, whilst discussing with them the most appropriate action they feel police could take to resolve the </w:t>
      </w:r>
      <w:r w:rsidRPr="0070362D">
        <w:rPr>
          <w:rFonts w:asciiTheme="minorHAnsi" w:hAnsiTheme="minorHAnsi" w:cstheme="minorHAnsi"/>
          <w:sz w:val="24"/>
          <w:szCs w:val="24"/>
        </w:rPr>
        <w:lastRenderedPageBreak/>
        <w:t xml:space="preserve">matter. Initially they were reluctant to take any formal action and stated that they had only reported it because they wanted to make police aware and ensure the post was removed. Whilst considering the expectations of the victim and family, I felt that taking positive action was appropriate in this incident due to the nature of the matter. </w:t>
      </w:r>
    </w:p>
    <w:p w14:paraId="06B0233A"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I identified the possible consequences of the post, on not just the victim but also his family that he lives with. Although the post had been removed, it was not know who has seen the post and what their reaction may be to such a serious allegation. Sexual offences can generate a considerable worry, fear and anger amongst the public. Generally the term ‘sex offender’ arouses serious negative perceptions and harsh emotions (Olver and Barlow, 2010, p. 849) and this came with concern that people’s reactions to the post could pose a danger to the family in their own community or home. Therefore, I discussed safeguarding and ensured that they knew what to do if they had any concerns regarding their safety. As part of safeguarding, I also discussed that I would be putting in a referral for this incident due to the age of those involved and asked if any further support was needed, however it was declined. The main concern around the vulnerability was for the victim, although it was clear that there could be an impact on the family also that he lives with. </w:t>
      </w:r>
    </w:p>
    <w:p w14:paraId="2E440957" w14:textId="77777777" w:rsidR="00757ED1" w:rsidRPr="0070362D" w:rsidRDefault="00757ED1" w:rsidP="00757ED1">
      <w:pPr>
        <w:spacing w:line="360" w:lineRule="auto"/>
        <w:ind w:right="237"/>
        <w:jc w:val="both"/>
        <w:rPr>
          <w:rFonts w:asciiTheme="minorHAnsi" w:hAnsiTheme="minorHAnsi" w:cstheme="minorHAnsi"/>
          <w:sz w:val="24"/>
          <w:szCs w:val="24"/>
        </w:rPr>
      </w:pPr>
    </w:p>
    <w:p w14:paraId="03271AF6"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Now what?</w:t>
      </w:r>
    </w:p>
    <w:p w14:paraId="0E42065E"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Due to my positive engagement and re-assurance with the family, it was discussed for me to have a formal conversation with the offender and her parents to educate her on the seriousness of posting such things online. This action would prevent further incidents, which could further put the victim at risk and expose him in a way that he may be extremely vulnerable.</w:t>
      </w:r>
    </w:p>
    <w:p w14:paraId="15FB0411"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Due to the nature of the previous report, it was important to ensure that the offender was dealt with accordingly. Although there was a requirement for education, it was important to be mindful of the previous incident between those involved and not cause negative public relations. I say this because although the incident previously reported was closed with no further action being taken, it was closed for reasons of insufficient evidence and not proving or disproving the offence. Whilst educating the offender on the impact of the post, it was important to discuss that there is a right to raise awareness, however in the correct way. Whilst posting online it is important to remember that it makes </w:t>
      </w:r>
      <w:r w:rsidRPr="0070362D">
        <w:rPr>
          <w:rFonts w:asciiTheme="minorHAnsi" w:hAnsiTheme="minorHAnsi" w:cstheme="minorHAnsi"/>
          <w:sz w:val="24"/>
          <w:szCs w:val="24"/>
        </w:rPr>
        <w:lastRenderedPageBreak/>
        <w:t xml:space="preserve">communications between people easier, it increases the speed in which people find out the information posted (Hiller, 2018). Whilst discussing the matter with the offender and her family, I raised awareness that the consequences of the post were far more impacting than she had realised when initially making the post. </w:t>
      </w:r>
    </w:p>
    <w:p w14:paraId="59D7C855"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The actions that were taken to address the matter and safeguard the victim have proven to prevent any further incidents occurring. There have been no further reports to police since the incident and I feel that= this is because the police dealt with it in a timely manner, preventing it causing more public concern and possible reaction. This will positively impact on a wider community as I address my concerns about online platforms and this will be discussed no doubt between the friends and family of those involved. In turn, this could possibly raise awareness and safeguard many others using online platforms and ensure parents start ensuring they’re aware of what children are posting online. </w:t>
      </w:r>
    </w:p>
    <w:p w14:paraId="462D3BA5" w14:textId="77777777" w:rsidR="00757ED1" w:rsidRPr="0070362D" w:rsidRDefault="00757ED1" w:rsidP="00757ED1">
      <w:pPr>
        <w:spacing w:line="360" w:lineRule="auto"/>
        <w:ind w:right="237"/>
        <w:jc w:val="both"/>
        <w:rPr>
          <w:rFonts w:asciiTheme="minorHAnsi" w:hAnsiTheme="minorHAnsi" w:cstheme="minorHAnsi"/>
          <w:sz w:val="24"/>
          <w:szCs w:val="24"/>
        </w:rPr>
      </w:pPr>
    </w:p>
    <w:p w14:paraId="50560FD1" w14:textId="77777777" w:rsidR="00757ED1" w:rsidRPr="0070362D" w:rsidRDefault="00757ED1" w:rsidP="00757ED1">
      <w:pPr>
        <w:spacing w:line="360" w:lineRule="auto"/>
        <w:ind w:right="237"/>
        <w:jc w:val="both"/>
        <w:rPr>
          <w:rFonts w:asciiTheme="minorHAnsi" w:hAnsiTheme="minorHAnsi" w:cstheme="minorHAnsi"/>
          <w:sz w:val="24"/>
          <w:szCs w:val="24"/>
        </w:rPr>
      </w:pPr>
      <w:r w:rsidRPr="0070362D">
        <w:rPr>
          <w:rFonts w:asciiTheme="minorHAnsi" w:hAnsiTheme="minorHAnsi" w:cstheme="minorHAnsi"/>
          <w:sz w:val="24"/>
          <w:szCs w:val="24"/>
        </w:rPr>
        <w:t xml:space="preserve">In conclusion, I believe that this assignment had addressed the concerns for digital technology’s impact on certain cases. The initial response has been highlighted as an important factor of safeguarding those involved in specific incident, especially children in incidents relating to sexual offences. I believe that the actions I took to resolve the matter and safeguard the victim, were proportionate and they were in the interest of those involved as well as looking at the wider picture for education to those using online platforms. </w:t>
      </w:r>
    </w:p>
    <w:p w14:paraId="10A9ADD4" w14:textId="77777777" w:rsidR="00757ED1" w:rsidRPr="0070362D" w:rsidRDefault="00757ED1" w:rsidP="00757ED1">
      <w:pPr>
        <w:spacing w:line="360" w:lineRule="auto"/>
        <w:ind w:right="237"/>
        <w:jc w:val="both"/>
        <w:rPr>
          <w:rFonts w:asciiTheme="minorHAnsi" w:hAnsiTheme="minorHAnsi" w:cstheme="minorHAnsi"/>
          <w:sz w:val="24"/>
          <w:szCs w:val="24"/>
        </w:rPr>
      </w:pPr>
    </w:p>
    <w:p w14:paraId="4C50E184" w14:textId="587E5CE1" w:rsidR="00025650" w:rsidRPr="00270EEB" w:rsidRDefault="00757ED1" w:rsidP="00757ED1">
      <w:pPr>
        <w:ind w:right="237"/>
        <w:jc w:val="both"/>
        <w:rPr>
          <w:sz w:val="24"/>
          <w:szCs w:val="24"/>
        </w:rPr>
      </w:pPr>
      <w:r w:rsidRPr="0070362D">
        <w:rPr>
          <w:rFonts w:asciiTheme="minorHAnsi" w:hAnsiTheme="minorHAnsi" w:cstheme="minorHAnsi"/>
          <w:sz w:val="24"/>
          <w:szCs w:val="24"/>
        </w:rPr>
        <w:t>Word count: 1</w:t>
      </w:r>
      <w:r>
        <w:rPr>
          <w:rFonts w:asciiTheme="minorHAnsi" w:hAnsiTheme="minorHAnsi" w:cstheme="minorHAnsi"/>
          <w:sz w:val="24"/>
          <w:szCs w:val="24"/>
        </w:rPr>
        <w:t>397</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70362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634D2FC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w:t>
      </w:r>
      <w:r w:rsidR="002074F1">
        <w:rPr>
          <w:rStyle w:val="normaltextrun"/>
          <w:rFonts w:eastAsia="Arial"/>
          <w:color w:val="000000" w:themeColor="text1"/>
          <w:sz w:val="24"/>
          <w:szCs w:val="24"/>
        </w:rPr>
        <w:t>:  Scot A Powderhill (PC 6606)</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1E8990C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2074F1">
        <w:rPr>
          <w:rStyle w:val="normaltextrun"/>
          <w:rFonts w:eastAsia="Arial"/>
          <w:color w:val="000000" w:themeColor="text1"/>
          <w:sz w:val="24"/>
          <w:szCs w:val="24"/>
        </w:rPr>
        <w:t>29.11.2021</w:t>
      </w:r>
      <w:bookmarkStart w:id="12" w:name="_GoBack"/>
      <w:bookmarkEnd w:id="12"/>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295AC6A6" w14:textId="77777777" w:rsidR="00A34775" w:rsidRDefault="00A34775" w:rsidP="00340E9A">
      <w:pPr>
        <w:keepNext/>
        <w:spacing w:before="240" w:after="60"/>
        <w:ind w:right="237"/>
        <w:jc w:val="both"/>
        <w:rPr>
          <w:b/>
          <w:bCs/>
          <w:sz w:val="24"/>
          <w:szCs w:val="24"/>
        </w:rPr>
      </w:pPr>
    </w:p>
    <w:p w14:paraId="386B8295" w14:textId="77777777" w:rsidR="00A34775" w:rsidRDefault="00A34775" w:rsidP="00340E9A">
      <w:pPr>
        <w:keepNext/>
        <w:spacing w:before="240" w:after="60"/>
        <w:ind w:right="237"/>
        <w:jc w:val="both"/>
        <w:rPr>
          <w:b/>
          <w:bCs/>
          <w:sz w:val="24"/>
          <w:szCs w:val="24"/>
        </w:rPr>
      </w:pPr>
    </w:p>
    <w:p w14:paraId="14FC8A09" w14:textId="77777777" w:rsidR="00A34775" w:rsidRDefault="00A34775" w:rsidP="00340E9A">
      <w:pPr>
        <w:keepNext/>
        <w:spacing w:before="240" w:after="60"/>
        <w:ind w:right="237"/>
        <w:jc w:val="both"/>
        <w:rPr>
          <w:b/>
          <w:bCs/>
          <w:sz w:val="24"/>
          <w:szCs w:val="24"/>
        </w:rPr>
      </w:pPr>
    </w:p>
    <w:p w14:paraId="60C1FFF2" w14:textId="77777777" w:rsidR="00A34775" w:rsidRDefault="00A34775" w:rsidP="00340E9A">
      <w:pPr>
        <w:keepNext/>
        <w:spacing w:before="240" w:after="60"/>
        <w:ind w:right="237"/>
        <w:jc w:val="both"/>
        <w:rPr>
          <w:b/>
          <w:bCs/>
          <w:sz w:val="24"/>
          <w:szCs w:val="24"/>
        </w:rPr>
      </w:pPr>
    </w:p>
    <w:p w14:paraId="2B4DA333" w14:textId="0B2BBBD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7A4A9C1" w14:textId="77777777" w:rsidR="00A34775" w:rsidRPr="00B93449" w:rsidRDefault="00A34775" w:rsidP="00A34775">
      <w:pPr>
        <w:rPr>
          <w:sz w:val="24"/>
          <w:szCs w:val="24"/>
        </w:rPr>
      </w:pPr>
      <w:r w:rsidRPr="00B93449">
        <w:rPr>
          <w:sz w:val="24"/>
          <w:szCs w:val="24"/>
        </w:rPr>
        <w:t xml:space="preserve">Baldwin, S. (2006) Organisational Justice. Available at: </w:t>
      </w:r>
      <w:hyperlink r:id="rId26" w:history="1">
        <w:r w:rsidRPr="00B93449">
          <w:rPr>
            <w:rStyle w:val="Hyperlink"/>
            <w:sz w:val="24"/>
            <w:szCs w:val="24"/>
          </w:rPr>
          <w:t>https://www.employment-studies.co.uk/system/files/resources/files/mp73.pdf</w:t>
        </w:r>
      </w:hyperlink>
      <w:r w:rsidRPr="00B93449">
        <w:rPr>
          <w:sz w:val="24"/>
          <w:szCs w:val="24"/>
        </w:rPr>
        <w:t xml:space="preserve"> (Accessed: 23 November 2021).</w:t>
      </w:r>
    </w:p>
    <w:p w14:paraId="131139F1" w14:textId="77777777" w:rsidR="00A34775" w:rsidRPr="00B93449" w:rsidRDefault="00A34775" w:rsidP="00A34775">
      <w:pPr>
        <w:rPr>
          <w:sz w:val="24"/>
          <w:szCs w:val="24"/>
        </w:rPr>
      </w:pPr>
      <w:r w:rsidRPr="00B93449">
        <w:rPr>
          <w:sz w:val="24"/>
          <w:szCs w:val="24"/>
        </w:rPr>
        <w:lastRenderedPageBreak/>
        <w:t xml:space="preserve">Better Health Channel. (2019) Mental illness – family and friends. Available at: </w:t>
      </w:r>
      <w:hyperlink r:id="rId27" w:history="1">
        <w:r w:rsidRPr="00B93449">
          <w:rPr>
            <w:rStyle w:val="Hyperlink"/>
            <w:sz w:val="24"/>
            <w:szCs w:val="24"/>
          </w:rPr>
          <w:t>https://www.betterhealth.vic.gov.au/health/conditionsandtreatments/mental-illness-family-and-friends</w:t>
        </w:r>
      </w:hyperlink>
      <w:r w:rsidRPr="00B93449">
        <w:rPr>
          <w:sz w:val="24"/>
          <w:szCs w:val="24"/>
        </w:rPr>
        <w:t xml:space="preserve"> (Accessed: 13 November 2021).</w:t>
      </w:r>
    </w:p>
    <w:p w14:paraId="16E88A73" w14:textId="77777777" w:rsidR="00A34775" w:rsidRPr="00B93449" w:rsidRDefault="00A34775" w:rsidP="00A34775">
      <w:pPr>
        <w:rPr>
          <w:sz w:val="24"/>
          <w:szCs w:val="24"/>
        </w:rPr>
      </w:pPr>
      <w:r w:rsidRPr="00B93449">
        <w:rPr>
          <w:sz w:val="24"/>
          <w:szCs w:val="24"/>
        </w:rPr>
        <w:t xml:space="preserve">Better Health Channel. (2020) Paranoia. Available at: </w:t>
      </w:r>
      <w:hyperlink r:id="rId28" w:history="1">
        <w:r w:rsidRPr="00B93449">
          <w:rPr>
            <w:rStyle w:val="Hyperlink"/>
            <w:sz w:val="24"/>
            <w:szCs w:val="24"/>
          </w:rPr>
          <w:t>https://www.betterhealth.vic.gov.au/health/conditionsandtreatments/paranoia</w:t>
        </w:r>
      </w:hyperlink>
      <w:r w:rsidRPr="00B93449">
        <w:rPr>
          <w:sz w:val="24"/>
          <w:szCs w:val="24"/>
        </w:rPr>
        <w:t xml:space="preserve"> (Accessed: 13 November 2021). </w:t>
      </w:r>
    </w:p>
    <w:p w14:paraId="72142495" w14:textId="77777777" w:rsidR="00A34775" w:rsidRPr="00B93449" w:rsidRDefault="00A34775" w:rsidP="00A34775">
      <w:pPr>
        <w:rPr>
          <w:sz w:val="24"/>
          <w:szCs w:val="24"/>
        </w:rPr>
      </w:pPr>
      <w:r w:rsidRPr="00B93449">
        <w:rPr>
          <w:sz w:val="24"/>
          <w:szCs w:val="24"/>
        </w:rPr>
        <w:t xml:space="preserve">Bigbrotherwatch. (2015) Body Worn Video Cameras. Available at: </w:t>
      </w:r>
      <w:hyperlink r:id="rId29" w:history="1">
        <w:r w:rsidRPr="00B93449">
          <w:rPr>
            <w:rStyle w:val="Hyperlink"/>
            <w:sz w:val="24"/>
            <w:szCs w:val="24"/>
          </w:rPr>
          <w:t>https://www.bigbrotherwatch.org.uk/wp-content/uploads/2014/07/Body-Worn-Cameras-Briefing-Update.pdf</w:t>
        </w:r>
      </w:hyperlink>
      <w:r w:rsidRPr="00B93449">
        <w:rPr>
          <w:sz w:val="24"/>
          <w:szCs w:val="24"/>
        </w:rPr>
        <w:t xml:space="preserve"> (Accessed: 23 November 2021).</w:t>
      </w:r>
    </w:p>
    <w:p w14:paraId="09CC5AEC" w14:textId="77777777" w:rsidR="00A34775" w:rsidRPr="00B93449" w:rsidRDefault="00A34775" w:rsidP="00A34775">
      <w:pPr>
        <w:rPr>
          <w:rFonts w:asciiTheme="minorHAnsi" w:hAnsiTheme="minorHAnsi" w:cstheme="minorHAnsi"/>
          <w:sz w:val="24"/>
          <w:szCs w:val="24"/>
        </w:rPr>
      </w:pPr>
      <w:r w:rsidRPr="00B93449">
        <w:rPr>
          <w:rFonts w:asciiTheme="minorHAnsi" w:hAnsiTheme="minorHAnsi" w:cstheme="minorHAnsi"/>
          <w:sz w:val="24"/>
          <w:szCs w:val="24"/>
        </w:rPr>
        <w:t xml:space="preserve">College of Policing. (2013) </w:t>
      </w:r>
      <w:r w:rsidRPr="00B93449">
        <w:rPr>
          <w:rFonts w:asciiTheme="minorHAnsi" w:hAnsiTheme="minorHAnsi" w:cstheme="minorHAnsi"/>
          <w:i/>
          <w:sz w:val="24"/>
          <w:szCs w:val="24"/>
        </w:rPr>
        <w:t xml:space="preserve">Critical incident management. Phase 3 – restoring public confidence. </w:t>
      </w:r>
      <w:r w:rsidRPr="00B93449">
        <w:rPr>
          <w:rFonts w:asciiTheme="minorHAnsi" w:hAnsiTheme="minorHAnsi" w:cstheme="minorHAnsi"/>
          <w:sz w:val="24"/>
          <w:szCs w:val="24"/>
        </w:rPr>
        <w:t xml:space="preserve">Available at: </w:t>
      </w:r>
      <w:hyperlink r:id="rId30" w:history="1">
        <w:r w:rsidRPr="00B93449">
          <w:rPr>
            <w:rStyle w:val="Hyperlink"/>
            <w:rFonts w:asciiTheme="minorHAnsi" w:hAnsiTheme="minorHAnsi" w:cstheme="minorHAnsi"/>
            <w:sz w:val="24"/>
            <w:szCs w:val="24"/>
          </w:rPr>
          <w:t>https://www.app.college.police.uk/app-content/critical-incident-management/phase-3-restoring-public-confidence/</w:t>
        </w:r>
      </w:hyperlink>
      <w:r w:rsidRPr="00B93449">
        <w:rPr>
          <w:rFonts w:asciiTheme="minorHAnsi" w:hAnsiTheme="minorHAnsi" w:cstheme="minorHAnsi"/>
          <w:sz w:val="24"/>
          <w:szCs w:val="24"/>
        </w:rPr>
        <w:t xml:space="preserve"> (Accessed: 23 November 2021). </w:t>
      </w:r>
    </w:p>
    <w:p w14:paraId="7FC8CDB2" w14:textId="77777777" w:rsidR="00A34775" w:rsidRPr="00B93449" w:rsidRDefault="00A34775" w:rsidP="00A34775">
      <w:pPr>
        <w:rPr>
          <w:iCs/>
          <w:sz w:val="24"/>
          <w:szCs w:val="24"/>
        </w:rPr>
      </w:pPr>
      <w:r w:rsidRPr="00B93449">
        <w:rPr>
          <w:iCs/>
          <w:sz w:val="24"/>
          <w:szCs w:val="24"/>
        </w:rPr>
        <w:t xml:space="preserve">College of Policing. (2013) </w:t>
      </w:r>
      <w:r w:rsidRPr="00B93449">
        <w:rPr>
          <w:i/>
          <w:sz w:val="24"/>
          <w:szCs w:val="24"/>
        </w:rPr>
        <w:t xml:space="preserve">Investigation: ANPR. </w:t>
      </w:r>
      <w:r w:rsidRPr="00B93449">
        <w:rPr>
          <w:iCs/>
          <w:sz w:val="24"/>
          <w:szCs w:val="24"/>
        </w:rPr>
        <w:t xml:space="preserve">Available at: </w:t>
      </w:r>
      <w:hyperlink r:id="rId31" w:history="1">
        <w:r w:rsidRPr="00B93449">
          <w:rPr>
            <w:rStyle w:val="Hyperlink"/>
            <w:iCs/>
            <w:sz w:val="24"/>
            <w:szCs w:val="24"/>
          </w:rPr>
          <w:t>https://www.app.college.police.uk/app-content/investigations/investigative-strategies/investigative-strategiesanpr/</w:t>
        </w:r>
      </w:hyperlink>
      <w:r w:rsidRPr="00B93449">
        <w:rPr>
          <w:iCs/>
          <w:sz w:val="24"/>
          <w:szCs w:val="24"/>
        </w:rPr>
        <w:t xml:space="preserve"> (Accessed: 24 November 2021). </w:t>
      </w:r>
    </w:p>
    <w:p w14:paraId="55882E2F" w14:textId="77777777" w:rsidR="00A34775" w:rsidRPr="00B93449" w:rsidRDefault="00A34775" w:rsidP="00A34775">
      <w:pPr>
        <w:rPr>
          <w:sz w:val="24"/>
          <w:szCs w:val="24"/>
        </w:rPr>
      </w:pPr>
      <w:r w:rsidRPr="00B93449">
        <w:rPr>
          <w:sz w:val="24"/>
          <w:szCs w:val="24"/>
        </w:rPr>
        <w:t xml:space="preserve">College of Policing. (2013) National Decision Model. Available at: </w:t>
      </w:r>
      <w:hyperlink r:id="rId32" w:history="1">
        <w:r w:rsidRPr="00B93449">
          <w:rPr>
            <w:rStyle w:val="Hyperlink"/>
            <w:sz w:val="24"/>
            <w:szCs w:val="24"/>
          </w:rPr>
          <w:t>https://www.app.college.police.uk/app-content/national-decision-model/the-national-decision-model/</w:t>
        </w:r>
      </w:hyperlink>
      <w:r w:rsidRPr="00B93449">
        <w:rPr>
          <w:sz w:val="24"/>
          <w:szCs w:val="24"/>
        </w:rPr>
        <w:t xml:space="preserve"> (Accessed: 13 November 2021).</w:t>
      </w:r>
    </w:p>
    <w:p w14:paraId="6460991D" w14:textId="77777777" w:rsidR="00A34775" w:rsidRPr="00B93449" w:rsidRDefault="00A34775" w:rsidP="00A34775">
      <w:pPr>
        <w:rPr>
          <w:sz w:val="24"/>
          <w:szCs w:val="24"/>
        </w:rPr>
      </w:pPr>
      <w:r w:rsidRPr="00B93449">
        <w:rPr>
          <w:sz w:val="24"/>
          <w:szCs w:val="24"/>
        </w:rPr>
        <w:t xml:space="preserve">College of Policing. (2014) Code of Ethics – Summary July 2014. Available at: </w:t>
      </w:r>
      <w:hyperlink r:id="rId33" w:history="1">
        <w:r w:rsidRPr="00B93449">
          <w:rPr>
            <w:rStyle w:val="Hyperlink"/>
            <w:sz w:val="24"/>
            <w:szCs w:val="24"/>
          </w:rPr>
          <w:t>https://assets.college.police.uk/s3fs-public/2021-02/code_of_ethics_summary.pdf</w:t>
        </w:r>
      </w:hyperlink>
      <w:r w:rsidRPr="00B93449">
        <w:rPr>
          <w:sz w:val="24"/>
          <w:szCs w:val="24"/>
        </w:rPr>
        <w:t xml:space="preserve"> (Accessed: 23 November 2021).</w:t>
      </w:r>
    </w:p>
    <w:p w14:paraId="68DED7C8" w14:textId="77777777" w:rsidR="00A34775" w:rsidRPr="00B93449" w:rsidRDefault="00A34775" w:rsidP="00A34775">
      <w:pPr>
        <w:rPr>
          <w:sz w:val="24"/>
          <w:szCs w:val="24"/>
        </w:rPr>
      </w:pPr>
      <w:r w:rsidRPr="00B93449">
        <w:rPr>
          <w:sz w:val="24"/>
          <w:szCs w:val="24"/>
        </w:rPr>
        <w:t xml:space="preserve">College of Policing. (2015) Fair cop 2: Organisational justice, behaviour and ethical policing. Available at: </w:t>
      </w:r>
      <w:hyperlink r:id="rId34" w:history="1">
        <w:r w:rsidRPr="00B93449">
          <w:rPr>
            <w:rStyle w:val="Hyperlink"/>
            <w:sz w:val="24"/>
            <w:szCs w:val="24"/>
          </w:rPr>
          <w:t>https://whatworks.college.police.uk/Research/Documents/150317_Fair_cop%202_FINAL_REPORT.pdf</w:t>
        </w:r>
      </w:hyperlink>
      <w:r w:rsidRPr="00B93449">
        <w:rPr>
          <w:sz w:val="24"/>
          <w:szCs w:val="24"/>
        </w:rPr>
        <w:t xml:space="preserve"> (Accessed: 23 November 2021).</w:t>
      </w:r>
    </w:p>
    <w:p w14:paraId="48090339" w14:textId="77777777" w:rsidR="00A34775" w:rsidRPr="00B93449" w:rsidRDefault="00A34775" w:rsidP="00A34775">
      <w:pPr>
        <w:rPr>
          <w:sz w:val="24"/>
          <w:szCs w:val="24"/>
        </w:rPr>
      </w:pPr>
      <w:r w:rsidRPr="00B93449">
        <w:rPr>
          <w:sz w:val="24"/>
          <w:szCs w:val="24"/>
        </w:rPr>
        <w:t xml:space="preserve">College of Policing. (2015) Partnership working and information sharing. Available at: </w:t>
      </w:r>
      <w:hyperlink r:id="rId35" w:history="1">
        <w:r w:rsidRPr="00B93449">
          <w:rPr>
            <w:rStyle w:val="Hyperlink"/>
            <w:sz w:val="24"/>
            <w:szCs w:val="24"/>
          </w:rPr>
          <w:t>https://www.app.college.police.uk/app-content/major-investigation-and-public-protection/domestic-abuse/partnership-working-and-multi-agency-responses/</w:t>
        </w:r>
      </w:hyperlink>
      <w:r w:rsidRPr="00B93449">
        <w:rPr>
          <w:sz w:val="24"/>
          <w:szCs w:val="24"/>
        </w:rPr>
        <w:t xml:space="preserve"> (Accessed: 13 November 2021).</w:t>
      </w:r>
    </w:p>
    <w:p w14:paraId="1CCD8D4E" w14:textId="77777777" w:rsidR="00A34775" w:rsidRPr="00B93449" w:rsidRDefault="00A34775" w:rsidP="00A34775">
      <w:pPr>
        <w:rPr>
          <w:sz w:val="24"/>
          <w:szCs w:val="24"/>
        </w:rPr>
      </w:pPr>
      <w:r w:rsidRPr="00B93449">
        <w:rPr>
          <w:sz w:val="24"/>
          <w:szCs w:val="24"/>
        </w:rPr>
        <w:t xml:space="preserve">College of Policing. (2015) Professional standards. Available at: </w:t>
      </w:r>
      <w:hyperlink r:id="rId36" w:history="1">
        <w:r w:rsidRPr="00B93449">
          <w:rPr>
            <w:rStyle w:val="Hyperlink"/>
            <w:sz w:val="24"/>
            <w:szCs w:val="24"/>
          </w:rPr>
          <w:t>https://www.app.college.police.uk/app-content/professional-standards/</w:t>
        </w:r>
      </w:hyperlink>
      <w:r w:rsidRPr="00B93449">
        <w:rPr>
          <w:sz w:val="24"/>
          <w:szCs w:val="24"/>
        </w:rPr>
        <w:t xml:space="preserve"> (Accessed: 23 November 2021). </w:t>
      </w:r>
    </w:p>
    <w:p w14:paraId="14B2BCE2" w14:textId="77777777" w:rsidR="00A34775" w:rsidRPr="00B93449" w:rsidRDefault="00A34775" w:rsidP="00A34775">
      <w:pPr>
        <w:rPr>
          <w:sz w:val="24"/>
          <w:szCs w:val="24"/>
        </w:rPr>
      </w:pPr>
      <w:r w:rsidRPr="00B93449">
        <w:rPr>
          <w:iCs/>
          <w:sz w:val="24"/>
          <w:szCs w:val="24"/>
        </w:rPr>
        <w:t xml:space="preserve">CPS. (2021) </w:t>
      </w:r>
      <w:r w:rsidRPr="00B93449">
        <w:rPr>
          <w:i/>
          <w:iCs/>
          <w:sz w:val="24"/>
          <w:szCs w:val="24"/>
        </w:rPr>
        <w:t xml:space="preserve">Rape and Sexual Offence – Chapter 3: Case Building. </w:t>
      </w:r>
      <w:r w:rsidRPr="00B93449">
        <w:rPr>
          <w:sz w:val="24"/>
          <w:szCs w:val="24"/>
        </w:rPr>
        <w:t xml:space="preserve">Available at: </w:t>
      </w:r>
      <w:hyperlink r:id="rId37" w:history="1">
        <w:r w:rsidRPr="00B93449">
          <w:rPr>
            <w:rStyle w:val="Hyperlink"/>
            <w:sz w:val="24"/>
            <w:szCs w:val="24"/>
          </w:rPr>
          <w:t>https://www.cps.gov.uk/legal-guidance/rape-and-sexual-offences-chapter-3-case-building</w:t>
        </w:r>
      </w:hyperlink>
      <w:r w:rsidRPr="00B93449">
        <w:rPr>
          <w:sz w:val="24"/>
          <w:szCs w:val="24"/>
        </w:rPr>
        <w:t xml:space="preserve"> (Accessed: 24 November 2021). </w:t>
      </w:r>
    </w:p>
    <w:p w14:paraId="2804F1E2" w14:textId="77777777" w:rsidR="00A34775" w:rsidRPr="00B93449" w:rsidRDefault="00A34775" w:rsidP="00A34775">
      <w:pPr>
        <w:rPr>
          <w:sz w:val="24"/>
          <w:szCs w:val="24"/>
        </w:rPr>
      </w:pPr>
      <w:r w:rsidRPr="00B93449">
        <w:rPr>
          <w:sz w:val="24"/>
          <w:szCs w:val="24"/>
        </w:rPr>
        <w:t xml:space="preserve">Ginsberg, L. (2020) Why Routines are Important for Mental Health. Available at: </w:t>
      </w:r>
      <w:hyperlink r:id="rId38" w:history="1">
        <w:r w:rsidRPr="00B93449">
          <w:rPr>
            <w:rStyle w:val="Hyperlink"/>
            <w:sz w:val="24"/>
            <w:szCs w:val="24"/>
          </w:rPr>
          <w:t>https://www.hackensackmeridianhealth.org/HealthU/2020/06/02/why-routines-are-important-for-mental-health/</w:t>
        </w:r>
      </w:hyperlink>
      <w:r w:rsidRPr="00B93449">
        <w:rPr>
          <w:sz w:val="24"/>
          <w:szCs w:val="24"/>
        </w:rPr>
        <w:t xml:space="preserve"> (Accessed: 13 November 2021).</w:t>
      </w:r>
    </w:p>
    <w:p w14:paraId="60C04563" w14:textId="77777777" w:rsidR="00A34775" w:rsidRPr="00B93449" w:rsidRDefault="00A34775" w:rsidP="00A34775">
      <w:pPr>
        <w:rPr>
          <w:sz w:val="24"/>
          <w:szCs w:val="24"/>
        </w:rPr>
      </w:pPr>
      <w:r w:rsidRPr="00B93449">
        <w:rPr>
          <w:sz w:val="24"/>
          <w:szCs w:val="24"/>
        </w:rPr>
        <w:t xml:space="preserve">GOV.UK. (2010) The Women’s Commission: Women’s Voices to Government (2010). Available at: </w:t>
      </w:r>
      <w:hyperlink r:id="rId39" w:history="1">
        <w:r w:rsidRPr="00B93449">
          <w:rPr>
            <w:rStyle w:val="Hyperlink"/>
            <w:sz w:val="24"/>
            <w:szCs w:val="24"/>
          </w:rPr>
          <w:t>https://assets.publishing.service.gov.uk/government/uploads/system/uploads/attachment_data/file/268885/h12_key_facts_about_domestic_abuse.pdf</w:t>
        </w:r>
      </w:hyperlink>
      <w:r w:rsidRPr="00B93449">
        <w:rPr>
          <w:sz w:val="24"/>
          <w:szCs w:val="24"/>
        </w:rPr>
        <w:t xml:space="preserve"> (Accessed: 13 November 2021). </w:t>
      </w:r>
    </w:p>
    <w:p w14:paraId="4B32E272" w14:textId="77777777" w:rsidR="00A34775" w:rsidRPr="00B93449" w:rsidRDefault="00A34775" w:rsidP="00A34775">
      <w:pPr>
        <w:rPr>
          <w:rFonts w:asciiTheme="minorHAnsi" w:hAnsiTheme="minorHAnsi" w:cstheme="minorHAnsi"/>
          <w:sz w:val="24"/>
          <w:szCs w:val="24"/>
        </w:rPr>
      </w:pPr>
      <w:r w:rsidRPr="00B93449">
        <w:rPr>
          <w:rFonts w:asciiTheme="minorHAnsi" w:hAnsiTheme="minorHAnsi" w:cstheme="minorHAnsi"/>
          <w:sz w:val="24"/>
          <w:szCs w:val="24"/>
        </w:rPr>
        <w:t xml:space="preserve">Green. J. (2015) </w:t>
      </w:r>
      <w:r w:rsidRPr="00B93449">
        <w:rPr>
          <w:rFonts w:asciiTheme="minorHAnsi" w:hAnsiTheme="minorHAnsi" w:cstheme="minorHAnsi"/>
          <w:i/>
          <w:sz w:val="24"/>
          <w:szCs w:val="24"/>
        </w:rPr>
        <w:t xml:space="preserve">Here’s What Really Happens When You ‘Delete’ Something on the Internet. </w:t>
      </w:r>
      <w:r w:rsidRPr="00B93449">
        <w:rPr>
          <w:rFonts w:asciiTheme="minorHAnsi" w:hAnsiTheme="minorHAnsi" w:cstheme="minorHAnsi"/>
          <w:sz w:val="24"/>
          <w:szCs w:val="24"/>
        </w:rPr>
        <w:t xml:space="preserve">Available at: </w:t>
      </w:r>
      <w:hyperlink r:id="rId40" w:history="1">
        <w:r w:rsidRPr="00B93449">
          <w:rPr>
            <w:rStyle w:val="Hyperlink"/>
            <w:rFonts w:asciiTheme="minorHAnsi" w:hAnsiTheme="minorHAnsi" w:cstheme="minorHAnsi"/>
            <w:sz w:val="24"/>
            <w:szCs w:val="24"/>
          </w:rPr>
          <w:t>https://www.menshealth.com/technology-gear/a19547921/deleted-social-media-posts/</w:t>
        </w:r>
      </w:hyperlink>
      <w:r w:rsidRPr="00B93449">
        <w:rPr>
          <w:rFonts w:asciiTheme="minorHAnsi" w:hAnsiTheme="minorHAnsi" w:cstheme="minorHAnsi"/>
          <w:sz w:val="24"/>
          <w:szCs w:val="24"/>
        </w:rPr>
        <w:t xml:space="preserve"> (Accessed: 23 November 2021). </w:t>
      </w:r>
    </w:p>
    <w:p w14:paraId="7A261670" w14:textId="77777777" w:rsidR="00A34775" w:rsidRPr="00B93449" w:rsidRDefault="00A34775" w:rsidP="00A34775">
      <w:pPr>
        <w:rPr>
          <w:sz w:val="24"/>
          <w:szCs w:val="24"/>
        </w:rPr>
      </w:pPr>
      <w:r w:rsidRPr="00B93449">
        <w:rPr>
          <w:sz w:val="24"/>
          <w:szCs w:val="24"/>
        </w:rPr>
        <w:t xml:space="preserve">Her Majesty’s Inspectorate of Constabulary and Fire &amp; Rescue Services. (2018) Policing and Mental Health. Picking Up the Pieces. Available at: </w:t>
      </w:r>
      <w:hyperlink r:id="rId41" w:history="1">
        <w:r w:rsidRPr="00B93449">
          <w:rPr>
            <w:rStyle w:val="Hyperlink"/>
            <w:sz w:val="24"/>
            <w:szCs w:val="24"/>
          </w:rPr>
          <w:t>https://www.justiceinspectorates.gov.uk/hmicfrs/wp-content/uploads/policing-and-mental-health-picking-up-the-pieces.pdf</w:t>
        </w:r>
      </w:hyperlink>
      <w:r w:rsidRPr="00B93449">
        <w:rPr>
          <w:sz w:val="24"/>
          <w:szCs w:val="24"/>
        </w:rPr>
        <w:t xml:space="preserve"> (Accessed: 13 November 2021). </w:t>
      </w:r>
    </w:p>
    <w:p w14:paraId="2237BD87" w14:textId="77777777" w:rsidR="00A34775" w:rsidRPr="00B93449" w:rsidRDefault="00A34775" w:rsidP="00A34775">
      <w:pPr>
        <w:rPr>
          <w:sz w:val="24"/>
          <w:szCs w:val="24"/>
        </w:rPr>
      </w:pPr>
      <w:r w:rsidRPr="00B93449">
        <w:rPr>
          <w:sz w:val="24"/>
          <w:szCs w:val="24"/>
        </w:rPr>
        <w:t xml:space="preserve">Her Majesty’s Inspectorate of Probation. (2018) Procedural justice. Available at: </w:t>
      </w:r>
      <w:hyperlink r:id="rId42" w:history="1">
        <w:r w:rsidRPr="00B93449">
          <w:rPr>
            <w:rStyle w:val="Hyperlink"/>
            <w:sz w:val="24"/>
            <w:szCs w:val="24"/>
          </w:rPr>
          <w:t>https://www.justiceinspectorates.gov.uk/hmiprobation/research/the-evidence-base-probation/models-and-principles/procedural-justice/</w:t>
        </w:r>
      </w:hyperlink>
      <w:r w:rsidRPr="00B93449">
        <w:rPr>
          <w:sz w:val="24"/>
          <w:szCs w:val="24"/>
        </w:rPr>
        <w:t xml:space="preserve"> (Accessed: 23 November 2021). </w:t>
      </w:r>
    </w:p>
    <w:p w14:paraId="4F6E9AD1" w14:textId="77777777" w:rsidR="00A34775" w:rsidRPr="00B93449" w:rsidRDefault="00A34775" w:rsidP="00A34775">
      <w:pPr>
        <w:rPr>
          <w:rFonts w:asciiTheme="minorHAnsi" w:hAnsiTheme="minorHAnsi" w:cstheme="minorHAnsi"/>
          <w:sz w:val="24"/>
          <w:szCs w:val="24"/>
        </w:rPr>
      </w:pPr>
      <w:r w:rsidRPr="00B93449">
        <w:rPr>
          <w:rFonts w:asciiTheme="minorHAnsi" w:hAnsiTheme="minorHAnsi" w:cstheme="minorHAnsi"/>
          <w:sz w:val="24"/>
          <w:szCs w:val="24"/>
        </w:rPr>
        <w:t xml:space="preserve">Hiller, P. (2018) </w:t>
      </w:r>
      <w:r w:rsidRPr="00B93449">
        <w:rPr>
          <w:rFonts w:asciiTheme="minorHAnsi" w:hAnsiTheme="minorHAnsi" w:cstheme="minorHAnsi"/>
          <w:i/>
          <w:sz w:val="24"/>
          <w:szCs w:val="24"/>
        </w:rPr>
        <w:t xml:space="preserve">How Social Media is Changing Conflict. </w:t>
      </w:r>
      <w:r w:rsidRPr="00B93449">
        <w:rPr>
          <w:rFonts w:asciiTheme="minorHAnsi" w:hAnsiTheme="minorHAnsi" w:cstheme="minorHAnsi"/>
          <w:sz w:val="24"/>
          <w:szCs w:val="24"/>
        </w:rPr>
        <w:t xml:space="preserve">Available at: </w:t>
      </w:r>
      <w:hyperlink r:id="rId43" w:history="1">
        <w:r w:rsidRPr="00B93449">
          <w:rPr>
            <w:rStyle w:val="Hyperlink"/>
            <w:rFonts w:asciiTheme="minorHAnsi" w:hAnsiTheme="minorHAnsi" w:cstheme="minorHAnsi"/>
            <w:sz w:val="24"/>
            <w:szCs w:val="24"/>
          </w:rPr>
          <w:t>https://peacesciencedigest.org/social-media-changing-conflict/</w:t>
        </w:r>
      </w:hyperlink>
      <w:r w:rsidRPr="00B93449">
        <w:rPr>
          <w:rFonts w:asciiTheme="minorHAnsi" w:hAnsiTheme="minorHAnsi" w:cstheme="minorHAnsi"/>
          <w:sz w:val="24"/>
          <w:szCs w:val="24"/>
        </w:rPr>
        <w:t xml:space="preserve"> (Accessed: 23 November 2021). </w:t>
      </w:r>
    </w:p>
    <w:p w14:paraId="6136154C" w14:textId="77777777" w:rsidR="00A34775" w:rsidRPr="00B93449" w:rsidRDefault="00A34775" w:rsidP="00A34775">
      <w:pPr>
        <w:rPr>
          <w:iCs/>
          <w:sz w:val="24"/>
          <w:szCs w:val="24"/>
        </w:rPr>
      </w:pPr>
      <w:r w:rsidRPr="00B93449">
        <w:rPr>
          <w:sz w:val="24"/>
          <w:szCs w:val="24"/>
        </w:rPr>
        <w:t xml:space="preserve">HM Government. (2018) </w:t>
      </w:r>
      <w:r w:rsidRPr="00B93449">
        <w:rPr>
          <w:i/>
          <w:iCs/>
          <w:sz w:val="24"/>
          <w:szCs w:val="24"/>
        </w:rPr>
        <w:t xml:space="preserve">Victims Strategy. </w:t>
      </w:r>
      <w:r w:rsidRPr="00B93449">
        <w:rPr>
          <w:iCs/>
          <w:sz w:val="24"/>
          <w:szCs w:val="24"/>
        </w:rPr>
        <w:t xml:space="preserve">Available at: </w:t>
      </w:r>
      <w:hyperlink r:id="rId44" w:history="1">
        <w:r w:rsidRPr="00B93449">
          <w:rPr>
            <w:rStyle w:val="Hyperlink"/>
            <w:iCs/>
            <w:sz w:val="24"/>
            <w:szCs w:val="24"/>
          </w:rPr>
          <w:t>https://assets.publishing.service.gov.uk/government/uploads/system/uploads/attachment_data/file/746930/victim-strategy.pdf</w:t>
        </w:r>
      </w:hyperlink>
      <w:r w:rsidRPr="00B93449">
        <w:rPr>
          <w:iCs/>
          <w:sz w:val="24"/>
          <w:szCs w:val="24"/>
        </w:rPr>
        <w:t xml:space="preserve"> (Accessed: 24 November 2021). </w:t>
      </w:r>
    </w:p>
    <w:p w14:paraId="72DBE87C" w14:textId="77777777" w:rsidR="00A34775" w:rsidRPr="00B93449" w:rsidRDefault="00A34775" w:rsidP="00A34775">
      <w:pPr>
        <w:rPr>
          <w:sz w:val="24"/>
          <w:szCs w:val="24"/>
        </w:rPr>
      </w:pPr>
      <w:r w:rsidRPr="00B93449">
        <w:rPr>
          <w:sz w:val="24"/>
          <w:szCs w:val="24"/>
        </w:rPr>
        <w:t xml:space="preserve">HMICFRS. (2019) The police response to domestic abuse. Available at: </w:t>
      </w:r>
      <w:hyperlink r:id="rId45" w:history="1">
        <w:r w:rsidRPr="00B93449">
          <w:rPr>
            <w:rStyle w:val="Hyperlink"/>
            <w:sz w:val="24"/>
            <w:szCs w:val="24"/>
          </w:rPr>
          <w:t>https://www.justiceinspectorates.gov.uk/hmicfrs/wp-content/uploads/the-police-response-to-domestic-abuse-an-update-report.pdf</w:t>
        </w:r>
      </w:hyperlink>
      <w:r w:rsidRPr="00B93449">
        <w:rPr>
          <w:sz w:val="24"/>
          <w:szCs w:val="24"/>
        </w:rPr>
        <w:t xml:space="preserve"> (Accessed: 13 November 2021). </w:t>
      </w:r>
    </w:p>
    <w:p w14:paraId="7972E21E" w14:textId="77777777" w:rsidR="00A34775" w:rsidRPr="00B93449" w:rsidRDefault="00A34775" w:rsidP="00A34775">
      <w:pPr>
        <w:rPr>
          <w:sz w:val="24"/>
          <w:szCs w:val="24"/>
        </w:rPr>
      </w:pPr>
      <w:r w:rsidRPr="00B93449">
        <w:rPr>
          <w:sz w:val="24"/>
          <w:szCs w:val="24"/>
        </w:rPr>
        <w:t xml:space="preserve">Indeed. (2021) 7 Ways to Exhibit Fairness in the Workplace. Available at: </w:t>
      </w:r>
      <w:hyperlink r:id="rId46" w:history="1">
        <w:r w:rsidRPr="00B93449">
          <w:rPr>
            <w:rStyle w:val="Hyperlink"/>
            <w:sz w:val="24"/>
            <w:szCs w:val="24"/>
          </w:rPr>
          <w:t>https://www.indeed.com/career-advice/career-development/fairness-in-the-workplace</w:t>
        </w:r>
      </w:hyperlink>
      <w:r w:rsidRPr="00B93449">
        <w:rPr>
          <w:sz w:val="24"/>
          <w:szCs w:val="24"/>
        </w:rPr>
        <w:t xml:space="preserve"> (Accessed: 23 November 2021).</w:t>
      </w:r>
    </w:p>
    <w:p w14:paraId="47598984" w14:textId="77777777" w:rsidR="00A34775" w:rsidRPr="00B93449" w:rsidRDefault="00A34775" w:rsidP="00A34775">
      <w:pPr>
        <w:rPr>
          <w:rFonts w:asciiTheme="minorHAnsi" w:hAnsiTheme="minorHAnsi" w:cstheme="minorHAnsi"/>
          <w:sz w:val="24"/>
          <w:szCs w:val="24"/>
        </w:rPr>
      </w:pPr>
      <w:r w:rsidRPr="00B93449">
        <w:rPr>
          <w:rFonts w:asciiTheme="minorHAnsi" w:hAnsiTheme="minorHAnsi" w:cstheme="minorHAnsi"/>
          <w:i/>
          <w:sz w:val="24"/>
          <w:szCs w:val="24"/>
        </w:rPr>
        <w:t>Malicious Communications Act 1988, c. 27.</w:t>
      </w:r>
      <w:r w:rsidRPr="00B93449">
        <w:rPr>
          <w:rFonts w:asciiTheme="minorHAnsi" w:hAnsiTheme="minorHAnsi" w:cstheme="minorHAnsi"/>
          <w:sz w:val="24"/>
          <w:szCs w:val="24"/>
        </w:rPr>
        <w:t xml:space="preserve"> Available at: </w:t>
      </w:r>
      <w:hyperlink r:id="rId47" w:history="1">
        <w:r w:rsidRPr="00B93449">
          <w:rPr>
            <w:rStyle w:val="Hyperlink"/>
            <w:rFonts w:asciiTheme="minorHAnsi" w:hAnsiTheme="minorHAnsi" w:cstheme="minorHAnsi"/>
            <w:sz w:val="24"/>
            <w:szCs w:val="24"/>
          </w:rPr>
          <w:t>https://www.legislation.gov.uk/ukpga/1988/27/section/1</w:t>
        </w:r>
      </w:hyperlink>
      <w:r w:rsidRPr="00B93449">
        <w:rPr>
          <w:rFonts w:asciiTheme="minorHAnsi" w:hAnsiTheme="minorHAnsi" w:cstheme="minorHAnsi"/>
          <w:sz w:val="24"/>
          <w:szCs w:val="24"/>
        </w:rPr>
        <w:t xml:space="preserve"> (Accessed: 23 November 2021).</w:t>
      </w:r>
    </w:p>
    <w:p w14:paraId="50FD6717" w14:textId="77777777" w:rsidR="00A34775" w:rsidRPr="00B93449" w:rsidRDefault="00A34775" w:rsidP="00A34775">
      <w:pPr>
        <w:rPr>
          <w:sz w:val="24"/>
          <w:szCs w:val="24"/>
        </w:rPr>
      </w:pPr>
      <w:r w:rsidRPr="00B93449">
        <w:rPr>
          <w:sz w:val="24"/>
          <w:szCs w:val="24"/>
        </w:rPr>
        <w:t xml:space="preserve">National Alliance on Mental Illness. (n.d) Mental Health Medications. Available at: </w:t>
      </w:r>
      <w:hyperlink r:id="rId48" w:history="1">
        <w:r w:rsidRPr="00B93449">
          <w:rPr>
            <w:rStyle w:val="Hyperlink"/>
            <w:sz w:val="24"/>
            <w:szCs w:val="24"/>
          </w:rPr>
          <w:t>https://www.nami.org/About-Mental-Illness/Treatments/Mental-Health-Medications</w:t>
        </w:r>
      </w:hyperlink>
      <w:r w:rsidRPr="00B93449">
        <w:rPr>
          <w:sz w:val="24"/>
          <w:szCs w:val="24"/>
        </w:rPr>
        <w:t xml:space="preserve"> (Accessed: 13 November 2021). </w:t>
      </w:r>
    </w:p>
    <w:p w14:paraId="2468CAE7" w14:textId="77777777" w:rsidR="00A34775" w:rsidRPr="00B93449" w:rsidRDefault="00A34775" w:rsidP="00A34775">
      <w:pPr>
        <w:rPr>
          <w:sz w:val="24"/>
          <w:szCs w:val="24"/>
        </w:rPr>
      </w:pPr>
      <w:r w:rsidRPr="00B93449">
        <w:rPr>
          <w:sz w:val="24"/>
          <w:szCs w:val="24"/>
        </w:rPr>
        <w:t xml:space="preserve">Northumbria Police. (2017) Protecting the vulnerable. Available at: </w:t>
      </w:r>
      <w:hyperlink r:id="rId49" w:history="1">
        <w:r w:rsidRPr="00B93449">
          <w:rPr>
            <w:rStyle w:val="Hyperlink"/>
            <w:sz w:val="24"/>
            <w:szCs w:val="24"/>
          </w:rPr>
          <w:t>https://beta.northumbria.police.uk/about-us/policies/crime/protecting-the-vulnerable/</w:t>
        </w:r>
      </w:hyperlink>
      <w:r w:rsidRPr="00B93449">
        <w:rPr>
          <w:sz w:val="24"/>
          <w:szCs w:val="24"/>
        </w:rPr>
        <w:t xml:space="preserve"> (Accessed: 13 November 2021). </w:t>
      </w:r>
    </w:p>
    <w:p w14:paraId="633CC8D2" w14:textId="77777777" w:rsidR="00A34775" w:rsidRPr="00B93449" w:rsidRDefault="00A34775" w:rsidP="00A34775">
      <w:pPr>
        <w:rPr>
          <w:sz w:val="24"/>
          <w:szCs w:val="24"/>
        </w:rPr>
      </w:pPr>
      <w:r w:rsidRPr="00B93449">
        <w:rPr>
          <w:sz w:val="24"/>
          <w:szCs w:val="24"/>
        </w:rPr>
        <w:t xml:space="preserve">Office for National Statistics. (2018) The nature of violent crime in England and Wales: year ending March 2018. Available at: </w:t>
      </w:r>
      <w:hyperlink r:id="rId50" w:history="1">
        <w:r w:rsidRPr="00B93449">
          <w:rPr>
            <w:rStyle w:val="Hyperlink"/>
            <w:sz w:val="24"/>
            <w:szCs w:val="24"/>
          </w:rPr>
          <w:t>https://www.ons.gov.uk/peoplepopulationandcommunity/crimeandjustice/articles/thenatureofviolentcrimeinenglandandwales/yearendingmarch2018/previous/v1</w:t>
        </w:r>
      </w:hyperlink>
      <w:r w:rsidRPr="00B93449">
        <w:rPr>
          <w:sz w:val="24"/>
          <w:szCs w:val="24"/>
        </w:rPr>
        <w:t xml:space="preserve"> (Accessed: 13 November 2021). </w:t>
      </w:r>
    </w:p>
    <w:p w14:paraId="2DF11661" w14:textId="77777777" w:rsidR="00A34775" w:rsidRPr="00B93449" w:rsidRDefault="00A34775" w:rsidP="00A34775">
      <w:pPr>
        <w:rPr>
          <w:rFonts w:asciiTheme="minorHAnsi" w:hAnsiTheme="minorHAnsi" w:cstheme="minorHAnsi"/>
          <w:sz w:val="24"/>
          <w:szCs w:val="24"/>
        </w:rPr>
      </w:pPr>
      <w:r w:rsidRPr="00B93449">
        <w:rPr>
          <w:rFonts w:asciiTheme="minorHAnsi" w:hAnsiTheme="minorHAnsi" w:cstheme="minorHAnsi"/>
          <w:sz w:val="24"/>
          <w:szCs w:val="24"/>
        </w:rPr>
        <w:t xml:space="preserve">Olver, M. and Barlow, A. (2010) </w:t>
      </w:r>
      <w:r w:rsidRPr="00B93449">
        <w:rPr>
          <w:rFonts w:asciiTheme="minorHAnsi" w:hAnsiTheme="minorHAnsi" w:cstheme="minorHAnsi"/>
          <w:i/>
          <w:sz w:val="24"/>
          <w:szCs w:val="24"/>
        </w:rPr>
        <w:t xml:space="preserve">Public attitudes towards sex offenders and their relationship to personality traits and demographic characteristics. </w:t>
      </w:r>
      <w:r w:rsidRPr="00B93449">
        <w:rPr>
          <w:rFonts w:asciiTheme="minorHAnsi" w:hAnsiTheme="minorHAnsi" w:cstheme="minorHAnsi"/>
          <w:sz w:val="24"/>
          <w:szCs w:val="24"/>
        </w:rPr>
        <w:t xml:space="preserve">Available at: </w:t>
      </w:r>
      <w:hyperlink r:id="rId51" w:history="1">
        <w:r w:rsidRPr="00B93449">
          <w:rPr>
            <w:rStyle w:val="Hyperlink"/>
            <w:rFonts w:asciiTheme="minorHAnsi" w:hAnsiTheme="minorHAnsi" w:cstheme="minorHAnsi"/>
            <w:sz w:val="24"/>
            <w:szCs w:val="24"/>
          </w:rPr>
          <w:t>https://reader.elsevier.com/reader/sd/pii/S2666353820300321?token=BE9B9C5A385AED6CF880798982727D5B9CA96386C7ED492E1D78629F120BE48D6175783FCF75CF77E6614E08D15B5B77&amp;originRegion=eu-west-1&amp;originCreation=20211129182114</w:t>
        </w:r>
      </w:hyperlink>
      <w:r w:rsidRPr="00B93449">
        <w:rPr>
          <w:rFonts w:asciiTheme="minorHAnsi" w:hAnsiTheme="minorHAnsi" w:cstheme="minorHAnsi"/>
          <w:sz w:val="24"/>
          <w:szCs w:val="24"/>
        </w:rPr>
        <w:t xml:space="preserve"> (Accessed: 23 November 2021). </w:t>
      </w:r>
    </w:p>
    <w:p w14:paraId="14F444E8" w14:textId="77777777" w:rsidR="00A34775" w:rsidRPr="00B93449" w:rsidRDefault="00A34775" w:rsidP="00A34775">
      <w:pPr>
        <w:rPr>
          <w:rFonts w:asciiTheme="minorHAnsi" w:hAnsiTheme="minorHAnsi" w:cstheme="minorHAnsi"/>
          <w:sz w:val="24"/>
          <w:szCs w:val="24"/>
        </w:rPr>
      </w:pPr>
      <w:r w:rsidRPr="00B93449">
        <w:rPr>
          <w:rFonts w:asciiTheme="minorHAnsi" w:hAnsiTheme="minorHAnsi" w:cstheme="minorHAnsi"/>
          <w:sz w:val="24"/>
          <w:szCs w:val="24"/>
        </w:rPr>
        <w:t xml:space="preserve">Patel, D. (2020) </w:t>
      </w:r>
      <w:r w:rsidRPr="00B93449">
        <w:rPr>
          <w:rFonts w:asciiTheme="minorHAnsi" w:hAnsiTheme="minorHAnsi" w:cstheme="minorHAnsi"/>
          <w:i/>
          <w:sz w:val="24"/>
          <w:szCs w:val="24"/>
        </w:rPr>
        <w:t xml:space="preserve">The dangers of sharing personal information on social media. </w:t>
      </w:r>
      <w:r w:rsidRPr="00B93449">
        <w:rPr>
          <w:rFonts w:asciiTheme="minorHAnsi" w:hAnsiTheme="minorHAnsi" w:cstheme="minorHAnsi"/>
          <w:sz w:val="24"/>
          <w:szCs w:val="24"/>
        </w:rPr>
        <w:t xml:space="preserve">Available at: </w:t>
      </w:r>
      <w:hyperlink r:id="rId52" w:history="1">
        <w:r w:rsidRPr="00B93449">
          <w:rPr>
            <w:rStyle w:val="Hyperlink"/>
            <w:rFonts w:asciiTheme="minorHAnsi" w:hAnsiTheme="minorHAnsi" w:cstheme="minorHAnsi"/>
            <w:sz w:val="24"/>
            <w:szCs w:val="24"/>
          </w:rPr>
          <w:t>https://penntoday.upenn.edu/news/dangers-sharing-personal-information-social-media</w:t>
        </w:r>
      </w:hyperlink>
      <w:r w:rsidRPr="00B93449">
        <w:rPr>
          <w:rFonts w:asciiTheme="minorHAnsi" w:hAnsiTheme="minorHAnsi" w:cstheme="minorHAnsi"/>
          <w:sz w:val="24"/>
          <w:szCs w:val="24"/>
        </w:rPr>
        <w:t xml:space="preserve"> (Accessed: 23 November 2021). </w:t>
      </w:r>
    </w:p>
    <w:p w14:paraId="7A043E90" w14:textId="77777777" w:rsidR="00A34775" w:rsidRPr="00B93449" w:rsidRDefault="00A34775" w:rsidP="00A34775">
      <w:pPr>
        <w:rPr>
          <w:sz w:val="24"/>
          <w:szCs w:val="24"/>
        </w:rPr>
      </w:pPr>
      <w:r w:rsidRPr="00B93449">
        <w:rPr>
          <w:sz w:val="24"/>
          <w:szCs w:val="24"/>
        </w:rPr>
        <w:t xml:space="preserve">RISE. (2021) About us. Available at: </w:t>
      </w:r>
      <w:hyperlink r:id="rId53" w:history="1">
        <w:r w:rsidRPr="00B93449">
          <w:rPr>
            <w:rStyle w:val="Hyperlink"/>
            <w:sz w:val="24"/>
            <w:szCs w:val="24"/>
          </w:rPr>
          <w:t>https://rise-cardiff.cymru/</w:t>
        </w:r>
      </w:hyperlink>
      <w:r w:rsidRPr="00B93449">
        <w:rPr>
          <w:sz w:val="24"/>
          <w:szCs w:val="24"/>
        </w:rPr>
        <w:t xml:space="preserve"> (Accessed: 13 November 2021). </w:t>
      </w:r>
    </w:p>
    <w:p w14:paraId="0FE102B1" w14:textId="77777777" w:rsidR="00A34775" w:rsidRPr="00B93449" w:rsidRDefault="00A34775" w:rsidP="00A34775">
      <w:pPr>
        <w:rPr>
          <w:sz w:val="24"/>
          <w:szCs w:val="24"/>
        </w:rPr>
      </w:pPr>
      <w:r w:rsidRPr="00B93449">
        <w:rPr>
          <w:sz w:val="24"/>
          <w:szCs w:val="24"/>
        </w:rPr>
        <w:t xml:space="preserve">Robinson, A. (2007) Understanding Victim Retraction in Cases of Domestic Violence: Specialist Courts, Government Policy, and Victim-Centred Justice. London: Routledge. </w:t>
      </w:r>
    </w:p>
    <w:p w14:paraId="4630F4D3" w14:textId="77777777" w:rsidR="00A34775" w:rsidRPr="00B93449" w:rsidRDefault="00A34775" w:rsidP="00A34775">
      <w:pPr>
        <w:rPr>
          <w:sz w:val="24"/>
          <w:szCs w:val="24"/>
        </w:rPr>
      </w:pPr>
      <w:r w:rsidRPr="00B93449">
        <w:rPr>
          <w:sz w:val="24"/>
          <w:szCs w:val="24"/>
        </w:rPr>
        <w:t xml:space="preserve">Safe Lives. (2014) National definition of IDVA work. Available at: </w:t>
      </w:r>
      <w:hyperlink r:id="rId54" w:history="1">
        <w:r w:rsidRPr="00B93449">
          <w:rPr>
            <w:rStyle w:val="Hyperlink"/>
            <w:sz w:val="24"/>
            <w:szCs w:val="24"/>
          </w:rPr>
          <w:t>https://safelives.org.uk/sites/default/files/resources/National%20definition%20of%20IDVA%20work%20FINAL.pdf</w:t>
        </w:r>
      </w:hyperlink>
      <w:r w:rsidRPr="00B93449">
        <w:rPr>
          <w:sz w:val="24"/>
          <w:szCs w:val="24"/>
        </w:rPr>
        <w:t xml:space="preserve"> (Accessed: 13 November 2021). </w:t>
      </w:r>
    </w:p>
    <w:p w14:paraId="5F2D2927" w14:textId="77777777" w:rsidR="00A34775" w:rsidRPr="00B93449" w:rsidRDefault="00A34775" w:rsidP="00A34775">
      <w:pPr>
        <w:rPr>
          <w:sz w:val="24"/>
          <w:szCs w:val="24"/>
        </w:rPr>
      </w:pPr>
      <w:r w:rsidRPr="00B93449">
        <w:rPr>
          <w:sz w:val="24"/>
          <w:szCs w:val="24"/>
        </w:rPr>
        <w:t>Safe Lives. (2015) Getting it right first time: policy report. Bristol: SafeLives.</w:t>
      </w:r>
    </w:p>
    <w:p w14:paraId="6290A996" w14:textId="77777777" w:rsidR="00A34775" w:rsidRPr="00B93449" w:rsidRDefault="00A34775" w:rsidP="00A34775">
      <w:pPr>
        <w:rPr>
          <w:sz w:val="24"/>
          <w:szCs w:val="24"/>
        </w:rPr>
      </w:pPr>
      <w:r w:rsidRPr="00B93449">
        <w:rPr>
          <w:sz w:val="24"/>
          <w:szCs w:val="24"/>
        </w:rPr>
        <w:lastRenderedPageBreak/>
        <w:t xml:space="preserve">SafeLives. (2018) Insight Idva England and Wales datatset 2017-18: Adult Independent domestic violence advisor (Idva) services. Available at: </w:t>
      </w:r>
      <w:hyperlink r:id="rId55" w:history="1">
        <w:r w:rsidRPr="00B93449">
          <w:rPr>
            <w:rStyle w:val="Hyperlink"/>
            <w:sz w:val="24"/>
            <w:szCs w:val="24"/>
          </w:rPr>
          <w:t>https://safelives.org.uk/sites/default/files/resources/Insights%20Idva%20national%20dataset%2012%20months%20to%20April%202018.pdf</w:t>
        </w:r>
      </w:hyperlink>
      <w:r w:rsidRPr="00B93449">
        <w:rPr>
          <w:sz w:val="24"/>
          <w:szCs w:val="24"/>
        </w:rPr>
        <w:t xml:space="preserve"> (Accessed: 13 November 2021).</w:t>
      </w:r>
    </w:p>
    <w:p w14:paraId="62C6D953" w14:textId="77777777" w:rsidR="00A34775" w:rsidRPr="00B93449" w:rsidRDefault="00A34775" w:rsidP="00A34775">
      <w:pPr>
        <w:rPr>
          <w:sz w:val="24"/>
          <w:szCs w:val="24"/>
        </w:rPr>
      </w:pPr>
      <w:r w:rsidRPr="00B93449">
        <w:rPr>
          <w:sz w:val="24"/>
          <w:szCs w:val="24"/>
        </w:rPr>
        <w:t xml:space="preserve">Section 39A Police Act 1996, c. 16. Available at: </w:t>
      </w:r>
      <w:hyperlink r:id="rId56" w:history="1">
        <w:r w:rsidRPr="00B93449">
          <w:rPr>
            <w:rStyle w:val="Hyperlink"/>
            <w:sz w:val="24"/>
            <w:szCs w:val="24"/>
          </w:rPr>
          <w:t>https://www.legislation.gov.uk/ukpga/1996/16/section/39</w:t>
        </w:r>
      </w:hyperlink>
      <w:r w:rsidRPr="00B93449">
        <w:rPr>
          <w:sz w:val="24"/>
          <w:szCs w:val="24"/>
        </w:rPr>
        <w:t xml:space="preserve"> (Accessed: 23 November 2021).</w:t>
      </w:r>
    </w:p>
    <w:p w14:paraId="018C2C55" w14:textId="77777777" w:rsidR="00A34775" w:rsidRPr="00B93449" w:rsidRDefault="00A34775" w:rsidP="00A34775">
      <w:pPr>
        <w:rPr>
          <w:sz w:val="24"/>
          <w:szCs w:val="24"/>
        </w:rPr>
      </w:pPr>
      <w:r w:rsidRPr="00B93449">
        <w:rPr>
          <w:sz w:val="24"/>
          <w:szCs w:val="24"/>
        </w:rPr>
        <w:t xml:space="preserve">Sexual Offences Act 2003, c. 42. Available at: </w:t>
      </w:r>
      <w:hyperlink r:id="rId57" w:history="1">
        <w:r w:rsidRPr="00B93449">
          <w:rPr>
            <w:rStyle w:val="Hyperlink"/>
            <w:sz w:val="24"/>
            <w:szCs w:val="24"/>
          </w:rPr>
          <w:t>https://www.legislation.gov.uk/ukpga/2003/42/section/1</w:t>
        </w:r>
      </w:hyperlink>
      <w:r w:rsidRPr="00B93449">
        <w:rPr>
          <w:sz w:val="24"/>
          <w:szCs w:val="24"/>
        </w:rPr>
        <w:t xml:space="preserve"> (Accessed: 20 November 2021). </w:t>
      </w:r>
    </w:p>
    <w:p w14:paraId="798D70EC" w14:textId="77777777" w:rsidR="00A34775" w:rsidRPr="00B93449" w:rsidRDefault="00A34775" w:rsidP="00A34775">
      <w:pPr>
        <w:rPr>
          <w:sz w:val="24"/>
          <w:szCs w:val="24"/>
        </w:rPr>
      </w:pPr>
      <w:r w:rsidRPr="00B93449">
        <w:rPr>
          <w:sz w:val="24"/>
          <w:szCs w:val="24"/>
        </w:rPr>
        <w:t xml:space="preserve">South Wales Police. (2004) South Wales Police – DA Policy. Unpublished. </w:t>
      </w:r>
    </w:p>
    <w:p w14:paraId="423208D8" w14:textId="77777777" w:rsidR="00A34775" w:rsidRPr="00B93449" w:rsidRDefault="00A34775" w:rsidP="00A34775">
      <w:pPr>
        <w:rPr>
          <w:sz w:val="24"/>
          <w:szCs w:val="24"/>
        </w:rPr>
      </w:pPr>
      <w:r w:rsidRPr="00B93449">
        <w:rPr>
          <w:sz w:val="24"/>
          <w:szCs w:val="24"/>
        </w:rPr>
        <w:t xml:space="preserve">South Wales Police. (n.d.) Professional Standards – Guidance for Supervisors. Unpublished. </w:t>
      </w:r>
    </w:p>
    <w:p w14:paraId="148A1645" w14:textId="77777777" w:rsidR="00A34775" w:rsidRPr="00B93449" w:rsidRDefault="00A34775" w:rsidP="00A34775">
      <w:pPr>
        <w:rPr>
          <w:sz w:val="24"/>
          <w:szCs w:val="24"/>
        </w:rPr>
      </w:pPr>
      <w:r w:rsidRPr="00B93449">
        <w:rPr>
          <w:sz w:val="24"/>
          <w:szCs w:val="24"/>
        </w:rPr>
        <w:t>Wakefield, A. and Fleming, J. (2009) The SAGE dictionary of policing. London: SAGE.</w:t>
      </w:r>
    </w:p>
    <w:p w14:paraId="62165D1A" w14:textId="07CFF7FC" w:rsidR="6E85A413" w:rsidRPr="00DD7FFD" w:rsidRDefault="6E85A413" w:rsidP="00DD7FFD">
      <w:pPr>
        <w:keepNext/>
        <w:ind w:right="237"/>
        <w:rPr>
          <w:b/>
          <w:sz w:val="24"/>
          <w:szCs w:val="24"/>
          <w:highlight w:val="yellow"/>
        </w:rPr>
      </w:pPr>
    </w:p>
    <w:sectPr w:rsidR="6E85A413" w:rsidRPr="00DD7FFD" w:rsidSect="0070362D">
      <w:headerReference w:type="even" r:id="rId58"/>
      <w:headerReference w:type="default" r:id="rId59"/>
      <w:footerReference w:type="even" r:id="rId60"/>
      <w:footerReference w:type="default" r:id="rId61"/>
      <w:headerReference w:type="first" r:id="rId62"/>
      <w:footerReference w:type="first" r:id="rId6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AED450" w14:textId="3C2D4899" w:rsidR="0070362D" w:rsidRDefault="002074F1" w:rsidP="002074F1">
    <w:pPr>
      <w:pStyle w:val="Footer"/>
      <w:rPr>
        <w:sz w:val="17"/>
      </w:rPr>
    </w:pPr>
    <w:bookmarkStart w:id="2" w:name="TITUS1FooterEvenPages"/>
    <w:r>
      <w:rPr>
        <w:sz w:val="17"/>
      </w:rPr>
      <w:t> </w:t>
    </w:r>
  </w:p>
  <w:bookmarkEnd w:id="2"/>
  <w:p w14:paraId="7A5CC659" w14:textId="60D020CD" w:rsidR="0070362D" w:rsidRDefault="0070362D" w:rsidP="0070362D">
    <w:pPr>
      <w:pStyle w:val="Footer"/>
      <w:jc w:val="right"/>
    </w:pPr>
    <w:r>
      <w:fldChar w:fldCharType="begin"/>
    </w:r>
    <w:r>
      <w:instrText xml:space="preserve"> PAGE   \* MERGEFORMAT </w:instrText>
    </w:r>
    <w:r>
      <w:fldChar w:fldCharType="separate"/>
    </w:r>
    <w:r w:rsidR="002074F1">
      <w:rPr>
        <w:noProof/>
      </w:rPr>
      <w:t>8</w:t>
    </w:r>
    <w:r>
      <w:rPr>
        <w:noProof/>
      </w:rPr>
      <w:fldChar w:fldCharType="end"/>
    </w:r>
  </w:p>
  <w:p w14:paraId="54324E59" w14:textId="77777777" w:rsidR="0070362D" w:rsidRPr="00BB5EAA" w:rsidRDefault="0070362D" w:rsidP="0070362D">
    <w:pPr>
      <w:pStyle w:val="Footer"/>
      <w:ind w:right="360"/>
      <w:jc w:val="center"/>
    </w:pPr>
  </w:p>
  <w:p w14:paraId="48E9F73D" w14:textId="77777777" w:rsidR="0070362D" w:rsidRDefault="007036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597B16" w14:textId="63BF799B" w:rsidR="0070362D" w:rsidRDefault="002074F1" w:rsidP="002074F1">
    <w:pPr>
      <w:pStyle w:val="Footer"/>
      <w:rPr>
        <w:sz w:val="17"/>
      </w:rPr>
    </w:pPr>
    <w:bookmarkStart w:id="3" w:name="TITUS1FooterPrimary"/>
    <w:r>
      <w:rPr>
        <w:sz w:val="17"/>
      </w:rPr>
      <w:t> </w:t>
    </w:r>
  </w:p>
  <w:bookmarkEnd w:id="3"/>
  <w:p w14:paraId="50521BFA" w14:textId="5E6CD428" w:rsidR="00F6513F" w:rsidRDefault="00F6513F">
    <w:pPr>
      <w:pStyle w:val="Footer"/>
      <w:jc w:val="right"/>
    </w:pPr>
    <w:r>
      <w:fldChar w:fldCharType="begin"/>
    </w:r>
    <w:r>
      <w:instrText xml:space="preserve"> PAGE   \* MERGEFORMAT </w:instrText>
    </w:r>
    <w:r>
      <w:fldChar w:fldCharType="separate"/>
    </w:r>
    <w:r w:rsidR="002074F1">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92464" w14:textId="07A849BB" w:rsidR="0070362D" w:rsidRDefault="002074F1" w:rsidP="002074F1">
    <w:pPr>
      <w:pStyle w:val="Footer"/>
      <w:rPr>
        <w:sz w:val="17"/>
      </w:rPr>
    </w:pPr>
    <w:bookmarkStart w:id="5" w:name="TITUS1FooterFirstPage"/>
    <w:r>
      <w:rPr>
        <w:sz w:val="17"/>
      </w:rPr>
      <w:t> </w:t>
    </w:r>
  </w:p>
  <w:bookmarkEnd w:id="5"/>
  <w:p w14:paraId="67AF6BFF" w14:textId="5C499832" w:rsidR="0070362D" w:rsidRDefault="0070362D" w:rsidP="0070362D">
    <w:pPr>
      <w:pStyle w:val="Footer"/>
      <w:jc w:val="right"/>
    </w:pPr>
    <w:r>
      <w:fldChar w:fldCharType="begin"/>
    </w:r>
    <w:r>
      <w:instrText xml:space="preserve"> PAGE   \* MERGEFORMAT </w:instrText>
    </w:r>
    <w:r>
      <w:fldChar w:fldCharType="separate"/>
    </w:r>
    <w:r w:rsidR="002074F1">
      <w:rPr>
        <w:noProof/>
      </w:rPr>
      <w:t>1</w:t>
    </w:r>
    <w:r>
      <w:rPr>
        <w:noProof/>
      </w:rPr>
      <w:fldChar w:fldCharType="end"/>
    </w:r>
  </w:p>
  <w:p w14:paraId="4FCEF89E" w14:textId="77777777" w:rsidR="0070362D" w:rsidRPr="00BB5EAA" w:rsidRDefault="0070362D" w:rsidP="0070362D">
    <w:pPr>
      <w:pStyle w:val="Footer"/>
      <w:ind w:right="360"/>
      <w:jc w:val="center"/>
    </w:pPr>
  </w:p>
  <w:p w14:paraId="1D7002DA" w14:textId="77777777" w:rsidR="0070362D" w:rsidRDefault="0070362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0AAF7C" w14:textId="5B0A8C26" w:rsidR="0070362D" w:rsidRDefault="002074F1" w:rsidP="002074F1">
    <w:pPr>
      <w:pStyle w:val="Footer"/>
      <w:rPr>
        <w:sz w:val="17"/>
      </w:rPr>
    </w:pPr>
    <w:bookmarkStart w:id="8" w:name="TITUS2FooterEvenPages"/>
    <w:r>
      <w:rPr>
        <w:sz w:val="17"/>
      </w:rPr>
      <w:t> </w:t>
    </w:r>
  </w:p>
  <w:bookmarkEnd w:id="8"/>
  <w:p w14:paraId="100C8FCD" w14:textId="77777777" w:rsidR="0070362D" w:rsidRDefault="0070362D" w:rsidP="0070362D">
    <w:pPr>
      <w:pStyle w:val="Footer"/>
      <w:jc w:val="right"/>
    </w:pPr>
  </w:p>
  <w:p w14:paraId="5AFB2374" w14:textId="32C7E517" w:rsidR="0070362D" w:rsidRDefault="0070362D" w:rsidP="0070362D">
    <w:pPr>
      <w:pStyle w:val="Footer"/>
      <w:jc w:val="right"/>
    </w:pPr>
    <w:r>
      <w:fldChar w:fldCharType="begin"/>
    </w:r>
    <w:r>
      <w:instrText xml:space="preserve"> PAGE   \* MERGEFORMAT </w:instrText>
    </w:r>
    <w:r>
      <w:fldChar w:fldCharType="separate"/>
    </w:r>
    <w:r w:rsidR="002074F1">
      <w:rPr>
        <w:noProof/>
      </w:rPr>
      <w:t>26</w:t>
    </w:r>
    <w:r>
      <w:rPr>
        <w:noProof/>
      </w:rPr>
      <w:fldChar w:fldCharType="end"/>
    </w:r>
  </w:p>
  <w:p w14:paraId="6F8BF932" w14:textId="77777777" w:rsidR="0070362D" w:rsidRPr="00BB5EAA" w:rsidRDefault="0070362D" w:rsidP="0070362D">
    <w:pPr>
      <w:pStyle w:val="Footer"/>
      <w:ind w:right="360"/>
      <w:jc w:val="center"/>
    </w:pPr>
  </w:p>
  <w:p w14:paraId="67E3EE1F" w14:textId="77777777" w:rsidR="0070362D" w:rsidRDefault="0070362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03EF79" w14:textId="59BBD835" w:rsidR="0070362D" w:rsidRDefault="002074F1" w:rsidP="002074F1">
    <w:pPr>
      <w:pStyle w:val="Footer"/>
      <w:rPr>
        <w:sz w:val="17"/>
      </w:rPr>
    </w:pPr>
    <w:bookmarkStart w:id="9" w:name="TITUS2FooterPrimary"/>
    <w:r>
      <w:rPr>
        <w:sz w:val="17"/>
      </w:rPr>
      <w:t> </w:t>
    </w:r>
  </w:p>
  <w:bookmarkEnd w:id="9"/>
  <w:p w14:paraId="5FDE6BF5" w14:textId="77777777" w:rsidR="0070362D" w:rsidRDefault="0070362D">
    <w:pPr>
      <w:pStyle w:val="Footer"/>
      <w:jc w:val="right"/>
    </w:pPr>
  </w:p>
  <w:p w14:paraId="0D06BF5D" w14:textId="0D4F5A77" w:rsidR="0070362D" w:rsidRDefault="0070362D">
    <w:pPr>
      <w:pStyle w:val="Footer"/>
      <w:jc w:val="right"/>
    </w:pPr>
    <w:r>
      <w:fldChar w:fldCharType="begin"/>
    </w:r>
    <w:r>
      <w:instrText xml:space="preserve"> PAGE   \* MERGEFORMAT </w:instrText>
    </w:r>
    <w:r>
      <w:fldChar w:fldCharType="separate"/>
    </w:r>
    <w:r w:rsidR="002074F1">
      <w:rPr>
        <w:noProof/>
      </w:rPr>
      <w:t>27</w:t>
    </w:r>
    <w:r>
      <w:rPr>
        <w:noProof/>
      </w:rPr>
      <w:fldChar w:fldCharType="end"/>
    </w:r>
  </w:p>
  <w:p w14:paraId="56E8146C" w14:textId="77777777" w:rsidR="0070362D" w:rsidRPr="00BB5EAA" w:rsidRDefault="0070362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A8A2BC" w14:textId="05425146" w:rsidR="0070362D" w:rsidRDefault="002074F1" w:rsidP="002074F1">
    <w:pPr>
      <w:pStyle w:val="Footer"/>
      <w:rPr>
        <w:sz w:val="17"/>
      </w:rPr>
    </w:pPr>
    <w:bookmarkStart w:id="11" w:name="TITUS2FooterFirstPage"/>
    <w:r>
      <w:rPr>
        <w:sz w:val="17"/>
      </w:rPr>
      <w:t> </w:t>
    </w:r>
  </w:p>
  <w:bookmarkEnd w:id="11"/>
  <w:p w14:paraId="14A5E045" w14:textId="77777777" w:rsidR="0070362D" w:rsidRDefault="0070362D" w:rsidP="0070362D">
    <w:pPr>
      <w:pStyle w:val="Footer"/>
      <w:jc w:val="right"/>
    </w:pPr>
  </w:p>
  <w:p w14:paraId="3F7801DB" w14:textId="397877D1" w:rsidR="0070362D" w:rsidRDefault="0070362D" w:rsidP="0070362D">
    <w:pPr>
      <w:pStyle w:val="Footer"/>
      <w:jc w:val="right"/>
    </w:pPr>
    <w:r>
      <w:fldChar w:fldCharType="begin"/>
    </w:r>
    <w:r>
      <w:instrText xml:space="preserve"> PAGE   \* MERGEFORMAT </w:instrText>
    </w:r>
    <w:r>
      <w:fldChar w:fldCharType="separate"/>
    </w:r>
    <w:r w:rsidR="002074F1">
      <w:rPr>
        <w:noProof/>
      </w:rPr>
      <w:t>10</w:t>
    </w:r>
    <w:r>
      <w:rPr>
        <w:noProof/>
      </w:rPr>
      <w:fldChar w:fldCharType="end"/>
    </w:r>
  </w:p>
  <w:p w14:paraId="79EBF643" w14:textId="77777777" w:rsidR="0070362D" w:rsidRPr="00BB5EAA" w:rsidRDefault="0070362D" w:rsidP="0070362D">
    <w:pPr>
      <w:pStyle w:val="Footer"/>
      <w:ind w:right="360"/>
      <w:jc w:val="center"/>
    </w:pPr>
  </w:p>
  <w:p w14:paraId="4988B7C1" w14:textId="77777777" w:rsidR="0070362D" w:rsidRDefault="0070362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C7CABF" w14:textId="1C36C0CA" w:rsidR="0070362D" w:rsidRDefault="002074F1" w:rsidP="002074F1">
    <w:pPr>
      <w:pStyle w:val="Footer"/>
      <w:rPr>
        <w:sz w:val="17"/>
      </w:rPr>
    </w:pPr>
    <w:bookmarkStart w:id="15" w:name="TITUS3FooterEvenPages"/>
    <w:r>
      <w:rPr>
        <w:sz w:val="17"/>
      </w:rPr>
      <w:t> </w:t>
    </w:r>
  </w:p>
  <w:bookmarkEnd w:id="15"/>
  <w:p w14:paraId="1ABC8EB7" w14:textId="77777777" w:rsidR="0070362D" w:rsidRDefault="0070362D" w:rsidP="0070362D">
    <w:pPr>
      <w:pStyle w:val="Footer"/>
      <w:jc w:val="right"/>
    </w:pPr>
  </w:p>
  <w:p w14:paraId="04B9CF51" w14:textId="67539A57" w:rsidR="0070362D" w:rsidRDefault="0070362D" w:rsidP="0070362D">
    <w:pPr>
      <w:pStyle w:val="Footer"/>
      <w:jc w:val="right"/>
    </w:pPr>
    <w:r>
      <w:fldChar w:fldCharType="begin"/>
    </w:r>
    <w:r>
      <w:instrText xml:space="preserve"> PAGE   \* MERGEFORMAT </w:instrText>
    </w:r>
    <w:r>
      <w:fldChar w:fldCharType="separate"/>
    </w:r>
    <w:r w:rsidR="002074F1">
      <w:rPr>
        <w:noProof/>
      </w:rPr>
      <w:t>30</w:t>
    </w:r>
    <w:r>
      <w:rPr>
        <w:noProof/>
      </w:rPr>
      <w:fldChar w:fldCharType="end"/>
    </w:r>
  </w:p>
  <w:p w14:paraId="6753064E" w14:textId="77777777" w:rsidR="0070362D" w:rsidRPr="00BB5EAA" w:rsidRDefault="0070362D" w:rsidP="0070362D">
    <w:pPr>
      <w:pStyle w:val="Footer"/>
      <w:ind w:right="360"/>
      <w:jc w:val="center"/>
    </w:pPr>
  </w:p>
  <w:p w14:paraId="7725BACB" w14:textId="77777777" w:rsidR="0070362D" w:rsidRDefault="0070362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18E4A2" w14:textId="12DD23C3" w:rsidR="0070362D" w:rsidRDefault="002074F1" w:rsidP="002074F1">
    <w:pPr>
      <w:pStyle w:val="Footer"/>
      <w:rPr>
        <w:sz w:val="17"/>
      </w:rPr>
    </w:pPr>
    <w:bookmarkStart w:id="16" w:name="TITUS3FooterPrimary"/>
    <w:r>
      <w:rPr>
        <w:sz w:val="17"/>
      </w:rPr>
      <w:t> </w:t>
    </w:r>
  </w:p>
  <w:bookmarkEnd w:id="16"/>
  <w:p w14:paraId="09D4E143" w14:textId="77777777" w:rsidR="0070362D" w:rsidRDefault="0070362D">
    <w:pPr>
      <w:pStyle w:val="Footer"/>
      <w:jc w:val="right"/>
    </w:pPr>
  </w:p>
  <w:p w14:paraId="6607FB5B" w14:textId="2992D72A" w:rsidR="0070362D" w:rsidRDefault="0070362D">
    <w:pPr>
      <w:pStyle w:val="Footer"/>
      <w:jc w:val="right"/>
    </w:pPr>
    <w:r>
      <w:fldChar w:fldCharType="begin"/>
    </w:r>
    <w:r>
      <w:instrText xml:space="preserve"> PAGE   \* MERGEFORMAT </w:instrText>
    </w:r>
    <w:r>
      <w:fldChar w:fldCharType="separate"/>
    </w:r>
    <w:r w:rsidR="002074F1">
      <w:rPr>
        <w:noProof/>
      </w:rPr>
      <w:t>29</w:t>
    </w:r>
    <w:r>
      <w:rPr>
        <w:noProof/>
      </w:rPr>
      <w:fldChar w:fldCharType="end"/>
    </w:r>
  </w:p>
  <w:p w14:paraId="5B42D076" w14:textId="77777777" w:rsidR="0070362D" w:rsidRPr="00BB5EAA" w:rsidRDefault="0070362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6A933A" w14:textId="43C081ED" w:rsidR="0070362D" w:rsidRDefault="002074F1" w:rsidP="002074F1">
    <w:pPr>
      <w:pStyle w:val="Footer"/>
      <w:rPr>
        <w:sz w:val="17"/>
      </w:rPr>
    </w:pPr>
    <w:bookmarkStart w:id="18" w:name="TITUS3FooterFirstPage"/>
    <w:r>
      <w:rPr>
        <w:sz w:val="17"/>
      </w:rPr>
      <w:t> </w:t>
    </w:r>
  </w:p>
  <w:bookmarkEnd w:id="18"/>
  <w:p w14:paraId="15C9C0F1" w14:textId="77777777" w:rsidR="0070362D" w:rsidRDefault="0070362D" w:rsidP="0070362D">
    <w:pPr>
      <w:pStyle w:val="Footer"/>
      <w:jc w:val="right"/>
    </w:pPr>
  </w:p>
  <w:p w14:paraId="6C9EECA9" w14:textId="205C2D31" w:rsidR="0070362D" w:rsidRDefault="0070362D" w:rsidP="0070362D">
    <w:pPr>
      <w:pStyle w:val="Footer"/>
      <w:jc w:val="right"/>
    </w:pPr>
    <w:r>
      <w:fldChar w:fldCharType="begin"/>
    </w:r>
    <w:r>
      <w:instrText xml:space="preserve"> PAGE   \* MERGEFORMAT </w:instrText>
    </w:r>
    <w:r>
      <w:fldChar w:fldCharType="separate"/>
    </w:r>
    <w:r w:rsidR="002074F1">
      <w:rPr>
        <w:noProof/>
      </w:rPr>
      <w:t>28</w:t>
    </w:r>
    <w:r>
      <w:rPr>
        <w:noProof/>
      </w:rPr>
      <w:fldChar w:fldCharType="end"/>
    </w:r>
  </w:p>
  <w:p w14:paraId="27EA125F" w14:textId="77777777" w:rsidR="0070362D" w:rsidRPr="00BB5EAA" w:rsidRDefault="0070362D" w:rsidP="0070362D">
    <w:pPr>
      <w:pStyle w:val="Footer"/>
      <w:ind w:right="360"/>
      <w:jc w:val="center"/>
    </w:pPr>
  </w:p>
  <w:p w14:paraId="1D29FA34" w14:textId="77777777" w:rsidR="0070362D" w:rsidRDefault="00703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F5E2CA" w14:textId="631DDCB8" w:rsidR="00A34775" w:rsidRDefault="002074F1" w:rsidP="002074F1">
    <w:pPr>
      <w:pStyle w:val="Header"/>
      <w:rPr>
        <w:sz w:val="17"/>
      </w:rPr>
    </w:pPr>
    <w:bookmarkStart w:id="0" w:name="TITUS1HeaderEvenPages"/>
    <w:r>
      <w:rPr>
        <w:sz w:val="17"/>
      </w:rPr>
      <w:t> </w:t>
    </w:r>
  </w:p>
  <w:bookmarkEnd w:id="0"/>
  <w:p w14:paraId="79AEF9C6" w14:textId="77777777" w:rsidR="00A34775" w:rsidRDefault="00A34775" w:rsidP="00A34775">
    <w:pPr>
      <w:pStyle w:val="Header"/>
    </w:pPr>
  </w:p>
  <w:p w14:paraId="5FC1D469" w14:textId="77777777" w:rsidR="0070362D" w:rsidRDefault="007036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C8989C" w14:textId="4C23C0A3" w:rsidR="0070362D" w:rsidRDefault="002074F1" w:rsidP="002074F1">
    <w:pPr>
      <w:pStyle w:val="Header"/>
      <w:rPr>
        <w:sz w:val="17"/>
      </w:rPr>
    </w:pPr>
    <w:bookmarkStart w:id="1" w:name="TITUS1HeaderPrimary"/>
    <w:r>
      <w:rPr>
        <w:sz w:val="17"/>
      </w:rPr>
      <w:t> </w:t>
    </w:r>
  </w:p>
  <w:bookmarkEnd w:id="1"/>
  <w:p w14:paraId="311D3ADC" w14:textId="77777777" w:rsidR="0070362D" w:rsidRDefault="007036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21EBC5" w14:textId="01451589" w:rsidR="0070362D" w:rsidRDefault="002074F1" w:rsidP="002074F1">
    <w:pPr>
      <w:pStyle w:val="Header"/>
      <w:rPr>
        <w:sz w:val="17"/>
      </w:rPr>
    </w:pPr>
    <w:bookmarkStart w:id="4" w:name="TITUS1HeaderFirstPage"/>
    <w:r>
      <w:rPr>
        <w:sz w:val="17"/>
      </w:rPr>
      <w:t> </w:t>
    </w:r>
  </w:p>
  <w:bookmarkEnd w:id="4"/>
  <w:p w14:paraId="318B131B" w14:textId="77777777" w:rsidR="0070362D" w:rsidRDefault="0070362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116447" w14:textId="6D51537B" w:rsidR="0070362D" w:rsidRDefault="002074F1" w:rsidP="002074F1">
    <w:pPr>
      <w:pStyle w:val="Header"/>
      <w:rPr>
        <w:sz w:val="17"/>
      </w:rPr>
    </w:pPr>
    <w:bookmarkStart w:id="6" w:name="TITUS2HeaderEvenPages"/>
    <w:r>
      <w:rPr>
        <w:sz w:val="17"/>
      </w:rPr>
      <w:t> </w:t>
    </w:r>
  </w:p>
  <w:bookmarkEnd w:id="6"/>
  <w:p w14:paraId="4B62DB7F" w14:textId="77777777" w:rsidR="0070362D" w:rsidRDefault="0070362D" w:rsidP="0070362D">
    <w:pPr>
      <w:pStyle w:val="Header"/>
    </w:pPr>
  </w:p>
  <w:p w14:paraId="61FE04D3" w14:textId="77777777" w:rsidR="0070362D" w:rsidRDefault="0070362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98D62B" w14:textId="02992786" w:rsidR="0070362D" w:rsidRDefault="002074F1" w:rsidP="002074F1">
    <w:pPr>
      <w:pStyle w:val="Header"/>
      <w:rPr>
        <w:sz w:val="17"/>
      </w:rPr>
    </w:pPr>
    <w:bookmarkStart w:id="7" w:name="TITUS2HeaderPrimary"/>
    <w:r>
      <w:rPr>
        <w:sz w:val="17"/>
      </w:rPr>
      <w:t> </w:t>
    </w:r>
  </w:p>
  <w:bookmarkEnd w:id="7"/>
  <w:p w14:paraId="7F68EB5F" w14:textId="77777777" w:rsidR="0070362D" w:rsidRDefault="0070362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4E722" w14:textId="2B1EEDB9" w:rsidR="0070362D" w:rsidRDefault="002074F1" w:rsidP="002074F1">
    <w:pPr>
      <w:pStyle w:val="Header"/>
      <w:rPr>
        <w:sz w:val="17"/>
      </w:rPr>
    </w:pPr>
    <w:bookmarkStart w:id="10" w:name="TITUS2HeaderFirstPage"/>
    <w:r>
      <w:rPr>
        <w:sz w:val="17"/>
      </w:rPr>
      <w:t> </w:t>
    </w:r>
  </w:p>
  <w:bookmarkEnd w:id="10"/>
  <w:p w14:paraId="22D1BE2A" w14:textId="77777777" w:rsidR="0070362D" w:rsidRDefault="0070362D" w:rsidP="0070362D">
    <w:pPr>
      <w:pStyle w:val="Header"/>
    </w:pPr>
  </w:p>
  <w:p w14:paraId="57206644" w14:textId="77777777" w:rsidR="0070362D" w:rsidRDefault="0070362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5B4DB1" w14:textId="5E617D1A" w:rsidR="0070362D" w:rsidRDefault="002074F1" w:rsidP="002074F1">
    <w:pPr>
      <w:pStyle w:val="Header"/>
      <w:rPr>
        <w:sz w:val="17"/>
      </w:rPr>
    </w:pPr>
    <w:bookmarkStart w:id="13" w:name="TITUS3HeaderEvenPages"/>
    <w:r>
      <w:rPr>
        <w:sz w:val="17"/>
      </w:rPr>
      <w:t> </w:t>
    </w:r>
  </w:p>
  <w:bookmarkEnd w:id="13"/>
  <w:p w14:paraId="33D66ABA" w14:textId="77777777" w:rsidR="0070362D" w:rsidRDefault="0070362D" w:rsidP="0070362D">
    <w:pPr>
      <w:pStyle w:val="Header"/>
    </w:pPr>
  </w:p>
  <w:p w14:paraId="3AC05339" w14:textId="77777777" w:rsidR="0070362D" w:rsidRDefault="0070362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EFC04B" w14:textId="3EFC8BDA" w:rsidR="0070362D" w:rsidRDefault="002074F1" w:rsidP="002074F1">
    <w:pPr>
      <w:pStyle w:val="Header"/>
      <w:rPr>
        <w:sz w:val="17"/>
      </w:rPr>
    </w:pPr>
    <w:bookmarkStart w:id="14" w:name="TITUS3HeaderPrimary"/>
    <w:r>
      <w:rPr>
        <w:sz w:val="17"/>
      </w:rPr>
      <w:t> </w:t>
    </w:r>
  </w:p>
  <w:bookmarkEnd w:id="14"/>
  <w:p w14:paraId="43DBDD39" w14:textId="77777777" w:rsidR="0070362D" w:rsidRDefault="0070362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423879" w14:textId="259D4AF3" w:rsidR="0070362D" w:rsidRDefault="002074F1" w:rsidP="002074F1">
    <w:pPr>
      <w:pStyle w:val="Header"/>
      <w:rPr>
        <w:sz w:val="17"/>
      </w:rPr>
    </w:pPr>
    <w:bookmarkStart w:id="17" w:name="TITUS3HeaderFirstPage"/>
    <w:r>
      <w:rPr>
        <w:sz w:val="17"/>
      </w:rPr>
      <w:t> </w:t>
    </w:r>
  </w:p>
  <w:bookmarkEnd w:id="17"/>
  <w:p w14:paraId="183B70DD" w14:textId="77777777" w:rsidR="0070362D" w:rsidRDefault="0070362D" w:rsidP="0070362D">
    <w:pPr>
      <w:pStyle w:val="Header"/>
    </w:pPr>
  </w:p>
  <w:p w14:paraId="75367E8D" w14:textId="77777777" w:rsidR="0070362D" w:rsidRDefault="007036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0861"/>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074F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362D"/>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57ED1"/>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4775"/>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mployment-studies.co.uk/system/files/resources/files/mp73.pdf" TargetMode="External"/><Relationship Id="rId39" Type="http://schemas.openxmlformats.org/officeDocument/2006/relationships/hyperlink" Target="https://assets.publishing.service.gov.uk/government/uploads/system/uploads/attachment_data/file/268885/h12_key_facts_about_domestic_abuse.pdf" TargetMode="External"/><Relationship Id="rId21" Type="http://schemas.openxmlformats.org/officeDocument/2006/relationships/header" Target="header5.xml"/><Relationship Id="rId34" Type="http://schemas.openxmlformats.org/officeDocument/2006/relationships/hyperlink" Target="https://whatworks.college.police.uk/Research/Documents/150317_Fair_cop%202_FINAL_REPORT.pdf" TargetMode="External"/><Relationship Id="rId42" Type="http://schemas.openxmlformats.org/officeDocument/2006/relationships/hyperlink" Target="https://www.justiceinspectorates.gov.uk/hmiprobation/research/the-evidence-base-probation/models-and-principles/procedural-justice/" TargetMode="External"/><Relationship Id="rId47" Type="http://schemas.openxmlformats.org/officeDocument/2006/relationships/hyperlink" Target="https://www.legislation.gov.uk/ukpga/1988/27/section/1" TargetMode="External"/><Relationship Id="rId50" Type="http://schemas.openxmlformats.org/officeDocument/2006/relationships/hyperlink" Target="https://www.ons.gov.uk/peoplepopulationandcommunity/crimeandjustice/articles/thenatureofviolentcrimeinenglandandwales/yearendingmarch2018/previous/v1" TargetMode="External"/><Relationship Id="rId55" Type="http://schemas.openxmlformats.org/officeDocument/2006/relationships/hyperlink" Target="https://safelives.org.uk/sites/default/files/resources/Insights%20Idva%20national%20dataset%2012%20months%20to%20April%202018.pdf" TargetMode="External"/><Relationship Id="rId63" Type="http://schemas.openxmlformats.org/officeDocument/2006/relationships/footer" Target="footer9.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bigbrotherwatch.org.uk/wp-content/uploads/2014/07/Body-Worn-Cameras-Briefing-Update.pdf" TargetMode="External"/><Relationship Id="rId41" Type="http://schemas.openxmlformats.org/officeDocument/2006/relationships/hyperlink" Target="https://www.justiceinspectorates.gov.uk/hmicfrs/wp-content/uploads/policing-and-mental-health-picking-up-the-pieces.pdf" TargetMode="External"/><Relationship Id="rId54" Type="http://schemas.openxmlformats.org/officeDocument/2006/relationships/hyperlink" Target="https://safelives.org.uk/sites/default/files/resources/National%20definition%20of%20IDVA%20work%20FINAL.pdf" TargetMode="External"/><Relationship Id="rId62"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app.college.police.uk/app-content/national-decision-model/the-national-decision-model/" TargetMode="External"/><Relationship Id="rId37" Type="http://schemas.openxmlformats.org/officeDocument/2006/relationships/hyperlink" Target="https://www.cps.gov.uk/legal-guidance/rape-and-sexual-offences-chapter-3-case-building" TargetMode="External"/><Relationship Id="rId40" Type="http://schemas.openxmlformats.org/officeDocument/2006/relationships/hyperlink" Target="https://www.menshealth.com/technology-gear/a19547921/deleted-social-media-posts/" TargetMode="External"/><Relationship Id="rId45" Type="http://schemas.openxmlformats.org/officeDocument/2006/relationships/hyperlink" Target="https://www.justiceinspectorates.gov.uk/hmicfrs/wp-content/uploads/the-police-response-to-domestic-abuse-an-update-report.pdf" TargetMode="External"/><Relationship Id="rId53" Type="http://schemas.openxmlformats.org/officeDocument/2006/relationships/hyperlink" Target="https://rise-cardiff.cymru/" TargetMode="External"/><Relationship Id="rId58" Type="http://schemas.openxmlformats.org/officeDocument/2006/relationships/header" Target="header7.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betterhealth.vic.gov.au/health/conditionsandtreatments/paranoia" TargetMode="External"/><Relationship Id="rId36" Type="http://schemas.openxmlformats.org/officeDocument/2006/relationships/hyperlink" Target="https://www.app.college.police.uk/app-content/professional-standards/" TargetMode="External"/><Relationship Id="rId49" Type="http://schemas.openxmlformats.org/officeDocument/2006/relationships/hyperlink" Target="https://beta.northumbria.police.uk/about-us/policies/crime/protecting-the-vulnerable/" TargetMode="External"/><Relationship Id="rId57" Type="http://schemas.openxmlformats.org/officeDocument/2006/relationships/hyperlink" Target="https://www.legislation.gov.uk/ukpga/2003/42/section/1" TargetMode="External"/><Relationship Id="rId61"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investigations/investigative-strategies/investigative-strategiesanpr/" TargetMode="External"/><Relationship Id="rId44" Type="http://schemas.openxmlformats.org/officeDocument/2006/relationships/hyperlink" Target="https://assets.publishing.service.gov.uk/government/uploads/system/uploads/attachment_data/file/746930/victim-strategy.pdf" TargetMode="External"/><Relationship Id="rId52" Type="http://schemas.openxmlformats.org/officeDocument/2006/relationships/hyperlink" Target="https://penntoday.upenn.edu/news/dangers-sharing-personal-information-social-media" TargetMode="External"/><Relationship Id="rId60" Type="http://schemas.openxmlformats.org/officeDocument/2006/relationships/footer" Target="footer7.xm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etterhealth.vic.gov.au/health/conditionsandtreatments/mental-illness-family-and-friends" TargetMode="External"/><Relationship Id="rId30" Type="http://schemas.openxmlformats.org/officeDocument/2006/relationships/hyperlink" Target="https://www.app.college.police.uk/app-content/critical-incident-management/phase-3-restoring-public-confidence/" TargetMode="External"/><Relationship Id="rId35" Type="http://schemas.openxmlformats.org/officeDocument/2006/relationships/hyperlink" Target="https://www.app.college.police.uk/app-content/major-investigation-and-public-protection/domestic-abuse/partnership-working-and-multi-agency-responses/" TargetMode="External"/><Relationship Id="rId43" Type="http://schemas.openxmlformats.org/officeDocument/2006/relationships/hyperlink" Target="https://peacesciencedigest.org/social-media-changing-conflict/" TargetMode="External"/><Relationship Id="rId48" Type="http://schemas.openxmlformats.org/officeDocument/2006/relationships/hyperlink" Target="https://www.nami.org/About-Mental-Illness/Treatments/Mental-Health-Medications" TargetMode="External"/><Relationship Id="rId56" Type="http://schemas.openxmlformats.org/officeDocument/2006/relationships/hyperlink" Target="https://www.legislation.gov.uk/ukpga/1996/16/section/39"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reader.elsevier.com/reader/sd/pii/S2666353820300321?token=BE9B9C5A385AED6CF880798982727D5B9CA96386C7ED492E1D78629F120BE48D6175783FCF75CF77E6614E08D15B5B77&amp;originRegion=eu-west-1&amp;originCreation=20211129182114"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assets.college.police.uk/s3fs-public/2021-02/code_of_ethics_summary.pdf" TargetMode="External"/><Relationship Id="rId38" Type="http://schemas.openxmlformats.org/officeDocument/2006/relationships/hyperlink" Target="https://www.hackensackmeridianhealth.org/HealthU/2020/06/02/why-routines-are-important-for-mental-health/" TargetMode="External"/><Relationship Id="rId46" Type="http://schemas.openxmlformats.org/officeDocument/2006/relationships/hyperlink" Target="https://www.indeed.com/career-advice/career-development/fairness-in-the-workplace" TargetMode="External"/><Relationship Id="rId59" Type="http://schemas.openxmlformats.org/officeDocument/2006/relationships/header" Target="head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183EB0B3-1D65-4B7D-9012-4EF760DEC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31</Pages>
  <Words>9548</Words>
  <Characters>54426</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Powderhill,Scot swp6606</cp:lastModifiedBy>
  <cp:revision>5</cp:revision>
  <cp:lastPrinted>2014-08-26T08:55:00Z</cp:lastPrinted>
  <dcterms:created xsi:type="dcterms:W3CDTF">2021-10-25T15:54:00Z</dcterms:created>
  <dcterms:modified xsi:type="dcterms:W3CDTF">2021-11-29T23:11:00Z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fa7c6c69-483e-4f15-9873-67ae45c4c7c9</vt:lpwstr>
  </property>
  <property fmtid="{D5CDD505-2E9C-101B-9397-08002B2CF9AE}" pid="4" name="Classification">
    <vt:lpwstr>OFFICIAL</vt:lpwstr>
  </property>
  <property fmtid="{D5CDD505-2E9C-101B-9397-08002B2CF9AE}" pid="5" name="Visibility">
    <vt:lpwstr>NOT VISIBLE</vt:lpwstr>
  </property>
</Properties>
</file>