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C2ED8" w14:textId="7AD74E89" w:rsidR="006537A5" w:rsidRPr="00F608A3" w:rsidRDefault="00F608A3">
      <w:pPr>
        <w:rPr>
          <w:rFonts w:ascii="Arial" w:hAnsi="Arial" w:cs="Arial"/>
        </w:rPr>
      </w:pPr>
      <w:r w:rsidRPr="00F608A3">
        <w:rPr>
          <w:rFonts w:ascii="Arial" w:hAnsi="Arial" w:cs="Arial"/>
        </w:rPr>
        <w:t>Student name:</w:t>
      </w:r>
      <w:r w:rsidR="005E4950">
        <w:rPr>
          <w:rFonts w:ascii="Arial" w:hAnsi="Arial" w:cs="Arial"/>
        </w:rPr>
        <w:t xml:space="preserve"> Victoria Dixon</w:t>
      </w:r>
    </w:p>
    <w:p w14:paraId="54083F9C" w14:textId="71AD74BC" w:rsidR="00F608A3" w:rsidRPr="00F608A3" w:rsidRDefault="00F608A3">
      <w:pPr>
        <w:rPr>
          <w:rFonts w:ascii="Arial" w:hAnsi="Arial" w:cs="Arial"/>
        </w:rPr>
      </w:pPr>
      <w:r w:rsidRPr="00F608A3">
        <w:rPr>
          <w:rFonts w:ascii="Arial" w:hAnsi="Arial" w:cs="Arial"/>
        </w:rPr>
        <w:t>Student ID:</w:t>
      </w:r>
      <w:r w:rsidR="005E4950">
        <w:rPr>
          <w:rFonts w:ascii="Arial" w:hAnsi="Arial" w:cs="Arial"/>
        </w:rPr>
        <w:t xml:space="preserve"> </w:t>
      </w:r>
      <w:r w:rsidR="00A93BCE" w:rsidRPr="00A93BCE">
        <w:rPr>
          <w:rFonts w:ascii="Arial" w:hAnsi="Arial" w:cs="Arial"/>
        </w:rPr>
        <w:t>2328178</w:t>
      </w:r>
    </w:p>
    <w:p w14:paraId="2B2B6E2C" w14:textId="63A41DC6" w:rsidR="00F608A3" w:rsidRPr="00F608A3" w:rsidRDefault="00F608A3">
      <w:pPr>
        <w:rPr>
          <w:rFonts w:ascii="Arial" w:hAnsi="Arial" w:cs="Arial"/>
        </w:rPr>
      </w:pPr>
      <w:r w:rsidRPr="00F608A3">
        <w:rPr>
          <w:rFonts w:ascii="Arial" w:hAnsi="Arial" w:cs="Arial"/>
        </w:rPr>
        <w:t>Module Code:</w:t>
      </w:r>
      <w:r>
        <w:rPr>
          <w:rFonts w:ascii="Arial" w:hAnsi="Arial" w:cs="Arial"/>
        </w:rPr>
        <w:t xml:space="preserve"> BMHP5016</w:t>
      </w:r>
      <w:r>
        <w:rPr>
          <w:rFonts w:ascii="Arial" w:hAnsi="Arial" w:cs="Arial"/>
        </w:rPr>
        <w:tab/>
      </w:r>
    </w:p>
    <w:p w14:paraId="72C8862F" w14:textId="4BEF6829" w:rsidR="00F608A3" w:rsidRPr="00F608A3" w:rsidRDefault="00F608A3">
      <w:pPr>
        <w:rPr>
          <w:rFonts w:ascii="Arial" w:hAnsi="Arial" w:cs="Arial"/>
        </w:rPr>
      </w:pPr>
      <w:r w:rsidRPr="00F608A3">
        <w:rPr>
          <w:rFonts w:ascii="Arial" w:hAnsi="Arial" w:cs="Arial"/>
        </w:rPr>
        <w:t>Module title:</w:t>
      </w:r>
      <w:r>
        <w:rPr>
          <w:rFonts w:ascii="Arial" w:hAnsi="Arial" w:cs="Arial"/>
        </w:rPr>
        <w:t xml:space="preserve"> Principles of health and social care practice. </w:t>
      </w:r>
    </w:p>
    <w:p w14:paraId="3638AB5A" w14:textId="0B2DFA7C" w:rsidR="00F608A3" w:rsidRPr="00945712" w:rsidRDefault="00F608A3">
      <w:pPr>
        <w:rPr>
          <w:rFonts w:ascii="Arial" w:hAnsi="Arial" w:cs="Arial"/>
        </w:rPr>
      </w:pPr>
      <w:r w:rsidRPr="00F608A3">
        <w:rPr>
          <w:rFonts w:ascii="Arial" w:hAnsi="Arial" w:cs="Arial"/>
        </w:rPr>
        <w:t>Assignment title:</w:t>
      </w:r>
      <w:r w:rsidR="00A93BCE">
        <w:rPr>
          <w:rFonts w:ascii="Arial" w:hAnsi="Arial" w:cs="Arial"/>
        </w:rPr>
        <w:t xml:space="preserve"> </w:t>
      </w:r>
      <w:bookmarkStart w:id="0" w:name="_Int_GyRktJe2"/>
      <w:r w:rsidR="0029627C" w:rsidRPr="00945712">
        <w:rPr>
          <w:rStyle w:val="s12"/>
          <w:rFonts w:ascii="Arial" w:eastAsia="Times New Roman" w:hAnsi="Arial" w:cs="Arial"/>
          <w:color w:val="000000"/>
        </w:rPr>
        <w:t>Component</w:t>
      </w:r>
      <w:bookmarkEnd w:id="0"/>
      <w:r w:rsidR="0029627C" w:rsidRPr="00945712">
        <w:rPr>
          <w:rStyle w:val="apple-converted-space"/>
          <w:rFonts w:ascii="Arial" w:eastAsia="Times New Roman" w:hAnsi="Arial" w:cs="Arial"/>
          <w:color w:val="000000"/>
        </w:rPr>
        <w:t> </w:t>
      </w:r>
      <w:r w:rsidR="0029627C" w:rsidRPr="00945712">
        <w:rPr>
          <w:rStyle w:val="s12"/>
          <w:rFonts w:ascii="Arial" w:eastAsia="Times New Roman" w:hAnsi="Arial" w:cs="Arial"/>
          <w:color w:val="000000"/>
        </w:rPr>
        <w:t>1:</w:t>
      </w:r>
      <w:r w:rsidR="0029627C" w:rsidRPr="00945712">
        <w:rPr>
          <w:rStyle w:val="apple-converted-space"/>
          <w:rFonts w:ascii="Arial" w:eastAsia="Times New Roman" w:hAnsi="Arial" w:cs="Arial"/>
          <w:color w:val="000000"/>
        </w:rPr>
        <w:t> </w:t>
      </w:r>
      <w:r w:rsidR="0029627C" w:rsidRPr="00945712">
        <w:rPr>
          <w:rStyle w:val="s12"/>
          <w:rFonts w:ascii="Arial" w:eastAsia="Times New Roman" w:hAnsi="Arial" w:cs="Arial"/>
          <w:color w:val="000000"/>
        </w:rPr>
        <w:t>Written Assignment</w:t>
      </w:r>
      <w:r w:rsidR="0029627C" w:rsidRPr="00945712">
        <w:rPr>
          <w:rStyle w:val="apple-converted-space"/>
          <w:rFonts w:ascii="Arial" w:eastAsia="Times New Roman" w:hAnsi="Arial" w:cs="Arial"/>
          <w:color w:val="000000"/>
        </w:rPr>
        <w:t> </w:t>
      </w:r>
      <w:r w:rsidR="0029627C" w:rsidRPr="00945712">
        <w:rPr>
          <w:rStyle w:val="s12"/>
          <w:rFonts w:ascii="Arial" w:eastAsia="Times New Roman" w:hAnsi="Arial" w:cs="Arial"/>
          <w:color w:val="000000"/>
        </w:rPr>
        <w:t>(Reflective Report)</w:t>
      </w:r>
    </w:p>
    <w:p w14:paraId="068BA2F1" w14:textId="77777777" w:rsidR="00F608A3" w:rsidRPr="00F608A3" w:rsidRDefault="00F608A3">
      <w:pPr>
        <w:rPr>
          <w:rFonts w:ascii="Arial" w:hAnsi="Arial" w:cs="Arial"/>
        </w:rPr>
      </w:pPr>
    </w:p>
    <w:p w14:paraId="53CC948D" w14:textId="77777777" w:rsidR="00F608A3" w:rsidRPr="00F608A3" w:rsidRDefault="00F608A3">
      <w:pPr>
        <w:rPr>
          <w:rFonts w:ascii="Arial" w:hAnsi="Arial" w:cs="Arial"/>
        </w:rPr>
      </w:pPr>
    </w:p>
    <w:p w14:paraId="415A0853" w14:textId="77777777" w:rsidR="00F608A3" w:rsidRPr="00F608A3" w:rsidRDefault="00F608A3">
      <w:pPr>
        <w:rPr>
          <w:rFonts w:ascii="Arial" w:hAnsi="Arial" w:cs="Arial"/>
        </w:rPr>
      </w:pPr>
    </w:p>
    <w:p w14:paraId="70D6F137" w14:textId="77777777" w:rsidR="00F608A3" w:rsidRPr="00F608A3" w:rsidRDefault="00F608A3">
      <w:pPr>
        <w:rPr>
          <w:rFonts w:ascii="Arial" w:hAnsi="Arial" w:cs="Arial"/>
        </w:rPr>
      </w:pPr>
    </w:p>
    <w:p w14:paraId="2D8D9FD4" w14:textId="77777777" w:rsidR="00F608A3" w:rsidRPr="00F608A3" w:rsidRDefault="00F608A3">
      <w:pPr>
        <w:rPr>
          <w:rFonts w:ascii="Arial" w:hAnsi="Arial" w:cs="Arial"/>
        </w:rPr>
      </w:pPr>
    </w:p>
    <w:p w14:paraId="0D2F8E74" w14:textId="77777777" w:rsidR="00F608A3" w:rsidRPr="00F608A3" w:rsidRDefault="00F608A3">
      <w:pPr>
        <w:rPr>
          <w:rFonts w:ascii="Arial" w:hAnsi="Arial" w:cs="Arial"/>
        </w:rPr>
      </w:pPr>
    </w:p>
    <w:p w14:paraId="523626D6" w14:textId="77777777" w:rsidR="00F608A3" w:rsidRPr="00F608A3" w:rsidRDefault="00F608A3">
      <w:pPr>
        <w:rPr>
          <w:rFonts w:ascii="Arial" w:hAnsi="Arial" w:cs="Arial"/>
        </w:rPr>
      </w:pPr>
    </w:p>
    <w:p w14:paraId="064456AB" w14:textId="77777777" w:rsidR="00F608A3" w:rsidRPr="00F608A3" w:rsidRDefault="00F608A3">
      <w:pPr>
        <w:rPr>
          <w:rFonts w:ascii="Arial" w:hAnsi="Arial" w:cs="Arial"/>
        </w:rPr>
      </w:pPr>
    </w:p>
    <w:p w14:paraId="2EF260FE" w14:textId="77777777" w:rsidR="00F608A3" w:rsidRPr="00F608A3" w:rsidRDefault="00F608A3">
      <w:pPr>
        <w:rPr>
          <w:rFonts w:ascii="Arial" w:hAnsi="Arial" w:cs="Arial"/>
        </w:rPr>
      </w:pPr>
    </w:p>
    <w:p w14:paraId="78D3BC28" w14:textId="77777777" w:rsidR="00F608A3" w:rsidRPr="00F608A3" w:rsidRDefault="00F608A3">
      <w:pPr>
        <w:rPr>
          <w:rFonts w:ascii="Arial" w:hAnsi="Arial" w:cs="Arial"/>
        </w:rPr>
      </w:pPr>
    </w:p>
    <w:p w14:paraId="34BCF7D7" w14:textId="77777777" w:rsidR="00F608A3" w:rsidRPr="00F608A3" w:rsidRDefault="00F608A3">
      <w:pPr>
        <w:rPr>
          <w:rFonts w:ascii="Arial" w:hAnsi="Arial" w:cs="Arial"/>
        </w:rPr>
      </w:pPr>
    </w:p>
    <w:p w14:paraId="5E7335B9" w14:textId="77777777" w:rsidR="00F608A3" w:rsidRPr="00F608A3" w:rsidRDefault="00F608A3">
      <w:pPr>
        <w:rPr>
          <w:rFonts w:ascii="Arial" w:hAnsi="Arial" w:cs="Arial"/>
        </w:rPr>
      </w:pPr>
    </w:p>
    <w:p w14:paraId="42A645D7" w14:textId="77777777" w:rsidR="00F608A3" w:rsidRPr="00F608A3" w:rsidRDefault="00F608A3">
      <w:pPr>
        <w:rPr>
          <w:rFonts w:ascii="Arial" w:hAnsi="Arial" w:cs="Arial"/>
        </w:rPr>
      </w:pPr>
    </w:p>
    <w:p w14:paraId="391B0C0A" w14:textId="77777777" w:rsidR="00F608A3" w:rsidRPr="00F608A3" w:rsidRDefault="00F608A3">
      <w:pPr>
        <w:rPr>
          <w:rFonts w:ascii="Arial" w:hAnsi="Arial" w:cs="Arial"/>
        </w:rPr>
      </w:pPr>
    </w:p>
    <w:p w14:paraId="507BCD75" w14:textId="77777777" w:rsidR="00F608A3" w:rsidRPr="00F608A3" w:rsidRDefault="00F608A3">
      <w:pPr>
        <w:rPr>
          <w:rFonts w:ascii="Arial" w:hAnsi="Arial" w:cs="Arial"/>
        </w:rPr>
      </w:pPr>
    </w:p>
    <w:p w14:paraId="05C32809" w14:textId="77777777" w:rsidR="00F608A3" w:rsidRPr="00F608A3" w:rsidRDefault="00F608A3">
      <w:pPr>
        <w:rPr>
          <w:rFonts w:ascii="Arial" w:hAnsi="Arial" w:cs="Arial"/>
        </w:rPr>
      </w:pPr>
    </w:p>
    <w:p w14:paraId="7949A3FC" w14:textId="77777777" w:rsidR="00F608A3" w:rsidRPr="00F608A3" w:rsidRDefault="00F608A3">
      <w:pPr>
        <w:rPr>
          <w:rFonts w:ascii="Arial" w:hAnsi="Arial" w:cs="Arial"/>
        </w:rPr>
      </w:pPr>
    </w:p>
    <w:p w14:paraId="399AB62C" w14:textId="77777777" w:rsidR="00F608A3" w:rsidRPr="00F608A3" w:rsidRDefault="00F608A3">
      <w:pPr>
        <w:rPr>
          <w:rFonts w:ascii="Arial" w:hAnsi="Arial" w:cs="Arial"/>
        </w:rPr>
      </w:pPr>
    </w:p>
    <w:p w14:paraId="0F1BD75F" w14:textId="77777777" w:rsidR="00F608A3" w:rsidRPr="00F608A3" w:rsidRDefault="00F608A3">
      <w:pPr>
        <w:rPr>
          <w:rFonts w:ascii="Arial" w:hAnsi="Arial" w:cs="Arial"/>
        </w:rPr>
      </w:pPr>
    </w:p>
    <w:p w14:paraId="4ABB332A" w14:textId="77777777" w:rsidR="00F608A3" w:rsidRPr="00F608A3" w:rsidRDefault="00F608A3">
      <w:pPr>
        <w:rPr>
          <w:rFonts w:ascii="Arial" w:hAnsi="Arial" w:cs="Arial"/>
        </w:rPr>
      </w:pPr>
    </w:p>
    <w:p w14:paraId="35BADD0D" w14:textId="77777777" w:rsidR="00F608A3" w:rsidRPr="00F608A3" w:rsidRDefault="00F608A3">
      <w:pPr>
        <w:rPr>
          <w:rFonts w:ascii="Arial" w:hAnsi="Arial" w:cs="Arial"/>
        </w:rPr>
      </w:pPr>
    </w:p>
    <w:p w14:paraId="26EDA68B" w14:textId="77777777" w:rsidR="00F608A3" w:rsidRPr="00F608A3" w:rsidRDefault="00F608A3">
      <w:pPr>
        <w:rPr>
          <w:rFonts w:ascii="Arial" w:hAnsi="Arial" w:cs="Arial"/>
        </w:rPr>
      </w:pPr>
    </w:p>
    <w:p w14:paraId="4FB4B5F0" w14:textId="77777777" w:rsidR="00F608A3" w:rsidRPr="00F608A3" w:rsidRDefault="00F608A3">
      <w:pPr>
        <w:rPr>
          <w:rFonts w:ascii="Arial" w:hAnsi="Arial" w:cs="Arial"/>
        </w:rPr>
      </w:pPr>
    </w:p>
    <w:p w14:paraId="4480E625" w14:textId="77777777" w:rsidR="00F608A3" w:rsidRPr="00F608A3" w:rsidRDefault="00F608A3">
      <w:pPr>
        <w:rPr>
          <w:rFonts w:ascii="Arial" w:hAnsi="Arial" w:cs="Arial"/>
        </w:rPr>
      </w:pPr>
    </w:p>
    <w:p w14:paraId="3A5390FB" w14:textId="77777777" w:rsidR="00F608A3" w:rsidRPr="00F608A3" w:rsidRDefault="00F608A3">
      <w:pPr>
        <w:rPr>
          <w:rFonts w:ascii="Arial" w:hAnsi="Arial" w:cs="Arial"/>
        </w:rPr>
      </w:pPr>
    </w:p>
    <w:p w14:paraId="2F4791C7" w14:textId="77777777" w:rsidR="00F608A3" w:rsidRPr="00F608A3" w:rsidRDefault="00F608A3">
      <w:pPr>
        <w:rPr>
          <w:rFonts w:ascii="Arial" w:hAnsi="Arial" w:cs="Arial"/>
        </w:rPr>
      </w:pPr>
    </w:p>
    <w:p w14:paraId="1E8590D5" w14:textId="77777777" w:rsidR="00F608A3" w:rsidRPr="00F608A3" w:rsidRDefault="00F608A3" w:rsidP="00F608A3">
      <w:pPr>
        <w:rPr>
          <w:rFonts w:ascii="Arial" w:hAnsi="Arial" w:cs="Arial"/>
          <w:b/>
          <w:bCs/>
        </w:rPr>
      </w:pPr>
      <w:r w:rsidRPr="00F608A3">
        <w:rPr>
          <w:rFonts w:ascii="Arial" w:hAnsi="Arial" w:cs="Arial"/>
          <w:b/>
          <w:bCs/>
        </w:rPr>
        <w:t>Task 1: Reflection on the Importance of Principles of Health and Social Care</w:t>
      </w:r>
    </w:p>
    <w:p w14:paraId="2120FE64" w14:textId="77777777" w:rsidR="00F608A3" w:rsidRPr="00F608A3" w:rsidRDefault="00F608A3" w:rsidP="00F608A3">
      <w:pPr>
        <w:rPr>
          <w:rFonts w:ascii="Arial" w:hAnsi="Arial" w:cs="Arial"/>
        </w:rPr>
      </w:pPr>
      <w:r w:rsidRPr="00F608A3">
        <w:rPr>
          <w:rFonts w:ascii="Arial" w:hAnsi="Arial" w:cs="Arial"/>
        </w:rPr>
        <w:lastRenderedPageBreak/>
        <w:t>The principles of health and social care—person-centred care, partnership working, and ethics—are fundamental to delivering high-quality support within UK care settings. These core principles not only guide day-to-day practice but also underpin the legal, professional, and moral responsibilities of care providers. Their integration enhances the effectiveness, safety, and dignity of care recipients while promoting collaborative and accountable working relationships among professionals.</w:t>
      </w:r>
    </w:p>
    <w:p w14:paraId="71458A22" w14:textId="77777777" w:rsidR="00F608A3" w:rsidRPr="00F608A3" w:rsidRDefault="00F608A3" w:rsidP="00F608A3">
      <w:pPr>
        <w:rPr>
          <w:rFonts w:ascii="Arial" w:hAnsi="Arial" w:cs="Arial"/>
        </w:rPr>
      </w:pPr>
      <w:r w:rsidRPr="00F608A3">
        <w:rPr>
          <w:rFonts w:ascii="Arial" w:hAnsi="Arial" w:cs="Arial"/>
        </w:rPr>
        <w:t>Person-centred care (PCC) prioritises the individual’s preferences, values, and unique circumstances. Rooted in the belief that people are experts in their own lives, PCC fosters autonomy, respect, and personalised support. The Care Act 2014 legally enshrines the principle of promoting individual wellbeing, which includes dignity, control, and participation in decision-making. The National Institute for Health and Care Excellence (NICE, 2021) also emphasises the importance of involving service users in planning their care. Theoretical frameworks such as Maslow’s Hierarchy of Needs (1943) support this, asserting that for individuals to thrive, their basic physiological and psychological needs must first be met. By acknowledging a person’s social, emotional, and spiritual needs, practitioners can deliver care that is more holistic and meaningful.</w:t>
      </w:r>
    </w:p>
    <w:p w14:paraId="5BF9D454" w14:textId="77777777" w:rsidR="00F608A3" w:rsidRPr="00F608A3" w:rsidRDefault="00F608A3" w:rsidP="00F608A3">
      <w:pPr>
        <w:rPr>
          <w:rFonts w:ascii="Arial" w:hAnsi="Arial" w:cs="Arial"/>
        </w:rPr>
      </w:pPr>
      <w:r w:rsidRPr="00F608A3">
        <w:rPr>
          <w:rFonts w:ascii="Arial" w:hAnsi="Arial" w:cs="Arial"/>
        </w:rPr>
        <w:t xml:space="preserve">Partnership working is equally vital in achieving coordinated, integrated care. It involves collaboration between health professionals, social workers, service users, families, and external agencies. Effective partnerships reduce duplication, close service gaps, and ensure continuity of care, especially in complex or long-term conditions. “Working Together to Safeguard Children” (HM Government, 2023) and the Health and Care Act 2022 both reinforce the need for inter-agency cooperation to improve outcomes. </w:t>
      </w:r>
      <w:proofErr w:type="spellStart"/>
      <w:r w:rsidRPr="00F608A3">
        <w:rPr>
          <w:rFonts w:ascii="Arial" w:hAnsi="Arial" w:cs="Arial"/>
        </w:rPr>
        <w:t>Interprofessional</w:t>
      </w:r>
      <w:proofErr w:type="spellEnd"/>
      <w:r w:rsidRPr="00F608A3">
        <w:rPr>
          <w:rFonts w:ascii="Arial" w:hAnsi="Arial" w:cs="Arial"/>
        </w:rPr>
        <w:t xml:space="preserve"> collaboration also promotes shared responsibility and accountability. For example, in a multidisciplinary team supporting an older adult with dementia, shared knowledge and coordinated planning ensure that health, housing, and emotional support needs are addressed simultaneously.</w:t>
      </w:r>
    </w:p>
    <w:p w14:paraId="1307862B" w14:textId="77777777" w:rsidR="00F608A3" w:rsidRPr="00F608A3" w:rsidRDefault="00F608A3" w:rsidP="00F608A3">
      <w:pPr>
        <w:rPr>
          <w:rFonts w:ascii="Arial" w:hAnsi="Arial" w:cs="Arial"/>
        </w:rPr>
      </w:pPr>
      <w:r w:rsidRPr="00F608A3">
        <w:rPr>
          <w:rFonts w:ascii="Arial" w:hAnsi="Arial" w:cs="Arial"/>
        </w:rPr>
        <w:t>Ethical practice forms the backbone of trustworthy and respectful care. Ethical principles such as autonomy, beneficence, non-maleficence, and justice guide professionals in making morally sound decisions, especially in sensitive or challenging circumstances. These principles are embedded in professional codes of conduct, such as those by the Nursing and Midwifery Council (NMC) and the Health and Care Professions Council (HCPC). Ethical reflection helps practitioners navigate dilemmas, such as balancing risk and choice or upholding confidentiality while ensuring safeguarding. For example, respecting a person’s choice to refuse treatment must be weighed against their capacity to make that decision and the potential consequences of inaction.</w:t>
      </w:r>
    </w:p>
    <w:p w14:paraId="414518A9" w14:textId="77777777" w:rsidR="00F608A3" w:rsidRPr="00F608A3" w:rsidRDefault="00F608A3" w:rsidP="00F608A3">
      <w:pPr>
        <w:rPr>
          <w:rFonts w:ascii="Arial" w:hAnsi="Arial" w:cs="Arial"/>
        </w:rPr>
      </w:pPr>
      <w:r w:rsidRPr="00F608A3">
        <w:rPr>
          <w:rFonts w:ascii="Arial" w:hAnsi="Arial" w:cs="Arial"/>
        </w:rPr>
        <w:t>In practice, these three principles are interconnected. Person-centred care cannot be achieved without meaningful partnership working, and both must be underpinned by strong ethical foundations. Together, they improve the quality of care by ensuring that services are safe, respectful, collaborative, and tailored to individual needs. They also promote trust between service users and professionals and contribute to better health outcomes.</w:t>
      </w:r>
    </w:p>
    <w:p w14:paraId="4B1BB1AB" w14:textId="77777777" w:rsidR="00F608A3" w:rsidRPr="00F608A3" w:rsidRDefault="00F608A3" w:rsidP="00F608A3">
      <w:pPr>
        <w:rPr>
          <w:rFonts w:ascii="Arial" w:hAnsi="Arial" w:cs="Arial"/>
        </w:rPr>
      </w:pPr>
      <w:r w:rsidRPr="00F608A3">
        <w:rPr>
          <w:rFonts w:ascii="Arial" w:hAnsi="Arial" w:cs="Arial"/>
        </w:rPr>
        <w:t>In summary, the principles of person-centred care, partnership working, and ethics are not just theoretical ideals; they are practical necessities that define quality care in the UK. Embedding these values in everyday practice supports individual dignity, fosters collaboration, and ensures that decisions are morally and professionally justified.</w:t>
      </w:r>
    </w:p>
    <w:p w14:paraId="2921EACE" w14:textId="77777777" w:rsidR="00F608A3" w:rsidRPr="00F608A3" w:rsidRDefault="00F608A3" w:rsidP="00F608A3">
      <w:pPr>
        <w:rPr>
          <w:rFonts w:ascii="Arial" w:hAnsi="Arial" w:cs="Arial"/>
          <w:b/>
          <w:bCs/>
        </w:rPr>
      </w:pPr>
      <w:r w:rsidRPr="00F608A3">
        <w:rPr>
          <w:rFonts w:ascii="Arial" w:hAnsi="Arial" w:cs="Arial"/>
          <w:b/>
          <w:bCs/>
        </w:rPr>
        <w:t>Task 2: Practical Examples of Concepts in Practice</w:t>
      </w:r>
    </w:p>
    <w:p w14:paraId="61D2867F" w14:textId="77777777" w:rsidR="00F608A3" w:rsidRPr="00F608A3" w:rsidRDefault="00F608A3" w:rsidP="00F608A3">
      <w:pPr>
        <w:rPr>
          <w:rFonts w:ascii="Arial" w:hAnsi="Arial" w:cs="Arial"/>
        </w:rPr>
      </w:pPr>
      <w:r w:rsidRPr="00F608A3">
        <w:rPr>
          <w:rFonts w:ascii="Arial" w:hAnsi="Arial" w:cs="Arial"/>
        </w:rPr>
        <w:t xml:space="preserve">A practical example of how person-centred care, partnership working, and ethics are applied in UK health and social care can be found in the management of an older adult with </w:t>
      </w:r>
      <w:r w:rsidRPr="00F608A3">
        <w:rPr>
          <w:rFonts w:ascii="Arial" w:hAnsi="Arial" w:cs="Arial"/>
        </w:rPr>
        <w:lastRenderedPageBreak/>
        <w:t>dementia living in a supported residential care home. Let us consider “Mrs Taylor,” an 82-year-old woman diagnosed with vascular dementia, who also has mobility difficulties and type 2 diabetes.</w:t>
      </w:r>
    </w:p>
    <w:p w14:paraId="66CF26BB" w14:textId="77777777" w:rsidR="00F608A3" w:rsidRPr="00F608A3" w:rsidRDefault="00F608A3" w:rsidP="00F608A3">
      <w:pPr>
        <w:rPr>
          <w:rFonts w:ascii="Arial" w:hAnsi="Arial" w:cs="Arial"/>
        </w:rPr>
      </w:pPr>
      <w:r w:rsidRPr="00F608A3">
        <w:rPr>
          <w:rFonts w:ascii="Arial" w:hAnsi="Arial" w:cs="Arial"/>
        </w:rPr>
        <w:t>Person-centred care was fundamental to her care plan. Staff prioritised her individual preferences, such as her love for classical music and her wish to maintain a routine similar to her life before entering care. This was achieved by including these preferences in her daily schedule, such as playing her favourite music during mealtimes and offering her choices in clothing and activities. According to the Care Act 2014, promoting individual wellbeing includes supporting autonomy, control, and dignity. By focusing on what mattered most to Mrs Taylor, rather than simply her diagnosis, the care team upheld her identity and preserved her quality of life. This approach aligns with the NICE (2018) guidelines on dementia care, which advocate for involving individuals in decisions and recognising their history and preferences.</w:t>
      </w:r>
    </w:p>
    <w:p w14:paraId="116D95F1" w14:textId="77777777" w:rsidR="00F608A3" w:rsidRPr="00F608A3" w:rsidRDefault="00F608A3" w:rsidP="00F608A3">
      <w:pPr>
        <w:rPr>
          <w:rFonts w:ascii="Arial" w:hAnsi="Arial" w:cs="Arial"/>
        </w:rPr>
      </w:pPr>
      <w:r w:rsidRPr="00F608A3">
        <w:rPr>
          <w:rFonts w:ascii="Arial" w:hAnsi="Arial" w:cs="Arial"/>
        </w:rPr>
        <w:t>Partnership working was vital in ensuring her needs were met holistically. The care home staff worked closely with a district nurse, the GP, a social worker, and Mrs Taylor’s daughter. Weekly team meetings were held to review her care, medications, and nutritional needs, especially given her diabetes. The nurse monitored her wound healing (due to a pressure ulcer), while the GP reviewed her medication. The daughter contributed personal insights about her mother’s behaviour and preferences, which improved care planning. This reflects the guidance in “Working Together to Safeguard Adults” (DHSC, 2022), which promotes multi-agency coordination to prevent harm and improve outcomes. Such collaborative practice reduces fragmentation, ensures continuity of care, and enhances the safety and wellbeing of vulnerable adults.</w:t>
      </w:r>
    </w:p>
    <w:p w14:paraId="7D72F5D9" w14:textId="77777777" w:rsidR="00F608A3" w:rsidRPr="00F608A3" w:rsidRDefault="00F608A3" w:rsidP="00F608A3">
      <w:pPr>
        <w:rPr>
          <w:rFonts w:ascii="Arial" w:hAnsi="Arial" w:cs="Arial"/>
        </w:rPr>
      </w:pPr>
      <w:r w:rsidRPr="00F608A3">
        <w:rPr>
          <w:rFonts w:ascii="Arial" w:hAnsi="Arial" w:cs="Arial"/>
        </w:rPr>
        <w:t>Ethical practice was also evident when Mrs Taylor began refusing personal care. Staff faced a dilemma between respecting her autonomy and ensuring her hygiene and health needs were met. A Mental Capacity Act (2005) assessment determined she lacked capacity during those episodes due to confusion. In line with the principle of least restrictive intervention, staff used gentle encouragement, familiar routines, and her daughter’s involvement to gain cooperation rather than forcing care. Ethical values such as autonomy, beneficence, and dignity guided the response. The team avoided coercion and prioritised her psychological comfort, upholding the HCPC Standards of Conduct, Performance and Ethics.</w:t>
      </w:r>
    </w:p>
    <w:p w14:paraId="63F1EA9A" w14:textId="77777777" w:rsidR="00F608A3" w:rsidRPr="00F608A3" w:rsidRDefault="00F608A3" w:rsidP="00F608A3">
      <w:pPr>
        <w:rPr>
          <w:rFonts w:ascii="Arial" w:hAnsi="Arial" w:cs="Arial"/>
        </w:rPr>
      </w:pPr>
      <w:r w:rsidRPr="00F608A3">
        <w:rPr>
          <w:rFonts w:ascii="Arial" w:hAnsi="Arial" w:cs="Arial"/>
        </w:rPr>
        <w:t>While challenges such as fluctuating capacity and conflicting family opinions arose, applying these three principles helped the team balance professional judgement with compassionate, ethical practice. Furthermore, involving the family and using evidence-based guidelines led to more consistent and person-focused care.</w:t>
      </w:r>
    </w:p>
    <w:p w14:paraId="7993B016" w14:textId="77777777" w:rsidR="00F608A3" w:rsidRPr="00F608A3" w:rsidRDefault="00F608A3" w:rsidP="00F608A3">
      <w:pPr>
        <w:rPr>
          <w:rFonts w:ascii="Arial" w:hAnsi="Arial" w:cs="Arial"/>
        </w:rPr>
      </w:pPr>
      <w:r w:rsidRPr="00F608A3">
        <w:rPr>
          <w:rFonts w:ascii="Arial" w:hAnsi="Arial" w:cs="Arial"/>
        </w:rPr>
        <w:t>In conclusion, this example illustrates how person-centred care, partnership working, and ethics are not just ideals but essential tools for managing complex care needs. Their combined application improves patient outcomes, ensures legal and moral compliance, and enhances trust in health and social care services. Ongoing staff training, communication, and a shared values framework are crucial to sustaining these standards in everyday practice.</w:t>
      </w:r>
    </w:p>
    <w:p w14:paraId="7E3D7A75" w14:textId="77777777" w:rsidR="00BB719D" w:rsidRDefault="00BB719D" w:rsidP="00F608A3">
      <w:pPr>
        <w:rPr>
          <w:rFonts w:ascii="Arial" w:hAnsi="Arial" w:cs="Arial"/>
        </w:rPr>
      </w:pPr>
    </w:p>
    <w:p w14:paraId="053BFE21" w14:textId="77777777" w:rsidR="00BB719D" w:rsidRDefault="00BB719D" w:rsidP="00F608A3">
      <w:pPr>
        <w:rPr>
          <w:rFonts w:ascii="Arial" w:hAnsi="Arial" w:cs="Arial"/>
        </w:rPr>
      </w:pPr>
    </w:p>
    <w:p w14:paraId="7541C172" w14:textId="77777777" w:rsidR="00BB719D" w:rsidRDefault="00BB719D" w:rsidP="00F608A3">
      <w:pPr>
        <w:rPr>
          <w:rFonts w:ascii="Arial" w:hAnsi="Arial" w:cs="Arial"/>
        </w:rPr>
      </w:pPr>
    </w:p>
    <w:p w14:paraId="1544667E" w14:textId="77777777" w:rsidR="00BB719D" w:rsidRDefault="00BB719D" w:rsidP="00F608A3">
      <w:pPr>
        <w:rPr>
          <w:rFonts w:ascii="Arial" w:hAnsi="Arial" w:cs="Arial"/>
        </w:rPr>
      </w:pPr>
    </w:p>
    <w:p w14:paraId="29E7F36E" w14:textId="69204001" w:rsidR="00F608A3" w:rsidRPr="00F608A3" w:rsidRDefault="00F608A3" w:rsidP="00F608A3">
      <w:pPr>
        <w:rPr>
          <w:rFonts w:ascii="Arial" w:hAnsi="Arial" w:cs="Arial"/>
          <w:b/>
          <w:bCs/>
        </w:rPr>
      </w:pPr>
      <w:r w:rsidRPr="00F608A3">
        <w:rPr>
          <w:rFonts w:ascii="Arial" w:hAnsi="Arial" w:cs="Arial"/>
          <w:b/>
          <w:bCs/>
        </w:rPr>
        <w:lastRenderedPageBreak/>
        <w:t>Task 3: Self-Reflection as a Health and Social Care Professional</w:t>
      </w:r>
    </w:p>
    <w:p w14:paraId="41FED5C2" w14:textId="77777777" w:rsidR="00F608A3" w:rsidRPr="00F608A3" w:rsidRDefault="00F608A3" w:rsidP="00F608A3">
      <w:pPr>
        <w:rPr>
          <w:rFonts w:ascii="Arial" w:hAnsi="Arial" w:cs="Arial"/>
        </w:rPr>
      </w:pPr>
      <w:r w:rsidRPr="00F608A3">
        <w:rPr>
          <w:rFonts w:ascii="Arial" w:hAnsi="Arial" w:cs="Arial"/>
        </w:rPr>
        <w:t>Working in health and social care has helped me understand that person-centred care, partnership working, and ethics are not just guidelines—they are essential values that shape safe, respectful, and effective care. These principles not only influence the quality of care delivered to service users but also play a central role in shaping my own professional behaviour, decision-making, and career development.</w:t>
      </w:r>
    </w:p>
    <w:p w14:paraId="0FC66437" w14:textId="77777777" w:rsidR="00F608A3" w:rsidRPr="00F608A3" w:rsidRDefault="00F608A3" w:rsidP="00F608A3">
      <w:pPr>
        <w:rPr>
          <w:rFonts w:ascii="Arial" w:hAnsi="Arial" w:cs="Arial"/>
          <w:b/>
          <w:bCs/>
        </w:rPr>
      </w:pPr>
      <w:r w:rsidRPr="00F608A3">
        <w:rPr>
          <w:rFonts w:ascii="Arial" w:hAnsi="Arial" w:cs="Arial"/>
          <w:b/>
          <w:bCs/>
        </w:rPr>
        <w:t>Person-Centred Care in Practice</w:t>
      </w:r>
    </w:p>
    <w:p w14:paraId="06267383" w14:textId="77777777" w:rsidR="00F608A3" w:rsidRPr="00F608A3" w:rsidRDefault="00F608A3" w:rsidP="00F608A3">
      <w:pPr>
        <w:rPr>
          <w:rFonts w:ascii="Arial" w:hAnsi="Arial" w:cs="Arial"/>
        </w:rPr>
      </w:pPr>
      <w:r w:rsidRPr="00F608A3">
        <w:rPr>
          <w:rFonts w:ascii="Arial" w:hAnsi="Arial" w:cs="Arial"/>
        </w:rPr>
        <w:t>Person-centred care (PCC) involves recognising individuals as experts in their own lives and tailoring care to their unique needs, preferences, and values. In my current role supporting adults with physical and cognitive impairments, I have seen the importance of adapting care to the person rather than expecting the person to fit into a rigid system. One example involved a service user who was non-verbal and had sensory processing difficulties. By working with his family, using non-verbal communication techniques, and observing his responses to different environments, we created a care plan that respected his preferences and promoted comfort and participation in daily activities.</w:t>
      </w:r>
    </w:p>
    <w:p w14:paraId="486953FE" w14:textId="77777777" w:rsidR="00F608A3" w:rsidRPr="00F608A3" w:rsidRDefault="00F608A3" w:rsidP="00F608A3">
      <w:pPr>
        <w:rPr>
          <w:rFonts w:ascii="Arial" w:hAnsi="Arial" w:cs="Arial"/>
        </w:rPr>
      </w:pPr>
      <w:r w:rsidRPr="00F608A3">
        <w:rPr>
          <w:rFonts w:ascii="Arial" w:hAnsi="Arial" w:cs="Arial"/>
        </w:rPr>
        <w:t>This approach aligns with Maslow’s Hierarchy of Needs (1943), which identifies psychological safety and belonging as foundational to wellbeing. Meeting these basic needs before addressing higher-level goals such as independence or social engagement helps ensure that care is not only clinically appropriate but emotionally supportive. The Care Act 2014 places person-centred care at the heart of all adult social care by requiring local authorities to promote individual wellbeing and give people greater choice and control over their lives.</w:t>
      </w:r>
    </w:p>
    <w:p w14:paraId="14510234" w14:textId="77777777" w:rsidR="00F608A3" w:rsidRPr="00F608A3" w:rsidRDefault="00F608A3" w:rsidP="00F608A3">
      <w:pPr>
        <w:rPr>
          <w:rFonts w:ascii="Arial" w:hAnsi="Arial" w:cs="Arial"/>
        </w:rPr>
      </w:pPr>
      <w:r w:rsidRPr="00F608A3">
        <w:rPr>
          <w:rFonts w:ascii="Arial" w:hAnsi="Arial" w:cs="Arial"/>
        </w:rPr>
        <w:t>Reflecting on this, I recognise that truly person-centred care requires me to be flexible, to actively listen, and to continuously adapt my approach. It also means recognising and challenging institutional barriers that may undermine individual preferences, such as time constraints or staffing pressures.</w:t>
      </w:r>
    </w:p>
    <w:p w14:paraId="3D0497EF" w14:textId="77777777" w:rsidR="00F608A3" w:rsidRPr="00F608A3" w:rsidRDefault="00F608A3" w:rsidP="00F608A3">
      <w:pPr>
        <w:rPr>
          <w:rFonts w:ascii="Arial" w:hAnsi="Arial" w:cs="Arial"/>
          <w:b/>
          <w:bCs/>
        </w:rPr>
      </w:pPr>
      <w:r w:rsidRPr="00F608A3">
        <w:rPr>
          <w:rFonts w:ascii="Arial" w:hAnsi="Arial" w:cs="Arial"/>
          <w:b/>
          <w:bCs/>
        </w:rPr>
        <w:t>Partnership Working and Integrated Support</w:t>
      </w:r>
    </w:p>
    <w:p w14:paraId="26E6F8CF" w14:textId="77777777" w:rsidR="00F608A3" w:rsidRPr="00F608A3" w:rsidRDefault="00F608A3" w:rsidP="00F608A3">
      <w:pPr>
        <w:rPr>
          <w:rFonts w:ascii="Arial" w:hAnsi="Arial" w:cs="Arial"/>
        </w:rPr>
      </w:pPr>
      <w:r w:rsidRPr="00F608A3">
        <w:rPr>
          <w:rFonts w:ascii="Arial" w:hAnsi="Arial" w:cs="Arial"/>
        </w:rPr>
        <w:t>Effective partnership working is key to delivering holistic, coordinated care. This involves collaboration between health professionals, social workers, service users, families, and voluntary sector organisations. In one case, I supported a woman with early-stage dementia who lived alone and was increasingly at risk of self-neglect. By working closely with her GP, district nurse, housing officer, and family members, we implemented a support plan that included home visits, medication checks, and adaptations to her property to reduce risk and encourage independence.</w:t>
      </w:r>
    </w:p>
    <w:p w14:paraId="145E19C2" w14:textId="77777777" w:rsidR="00F608A3" w:rsidRPr="00F608A3" w:rsidRDefault="00F608A3" w:rsidP="00F608A3">
      <w:pPr>
        <w:rPr>
          <w:rFonts w:ascii="Arial" w:hAnsi="Arial" w:cs="Arial"/>
        </w:rPr>
      </w:pPr>
      <w:r w:rsidRPr="00F608A3">
        <w:rPr>
          <w:rFonts w:ascii="Arial" w:hAnsi="Arial" w:cs="Arial"/>
        </w:rPr>
        <w:t>This example demonstrates the importance of inter-agency collaboration, as recommended by the Health and Care Act 2022, which promotes integrated care systems to improve service delivery and reduce inequalities. Regular multidisciplinary meetings allowed for better information sharing, problem-solving, and a shared understanding of the woman’s needs. Partnership working also strengthens safeguarding by ensuring that concerns are raised and addressed by a team rather than in isolation.</w:t>
      </w:r>
    </w:p>
    <w:p w14:paraId="4ADE49B5" w14:textId="77777777" w:rsidR="00F608A3" w:rsidRPr="00F608A3" w:rsidRDefault="00F608A3" w:rsidP="00F608A3">
      <w:pPr>
        <w:rPr>
          <w:rFonts w:ascii="Arial" w:hAnsi="Arial" w:cs="Arial"/>
        </w:rPr>
      </w:pPr>
      <w:r w:rsidRPr="00F608A3">
        <w:rPr>
          <w:rFonts w:ascii="Arial" w:hAnsi="Arial" w:cs="Arial"/>
        </w:rPr>
        <w:t>From this experience, I’ve learned that good partnership working depends on mutual respect, communication, and clarity about roles and responsibilities. However, I have also faced challenges—for example, delays in information sharing or conflicting priorities between agencies. These experiences have encouraged me to improve my assertiveness and become more proactive in coordinating care and following up with external partners.</w:t>
      </w:r>
    </w:p>
    <w:p w14:paraId="4413D2FE" w14:textId="77777777" w:rsidR="00F608A3" w:rsidRPr="00F608A3" w:rsidRDefault="00F608A3" w:rsidP="00F608A3">
      <w:pPr>
        <w:rPr>
          <w:rFonts w:ascii="Arial" w:hAnsi="Arial" w:cs="Arial"/>
          <w:b/>
          <w:bCs/>
        </w:rPr>
      </w:pPr>
      <w:r w:rsidRPr="00F608A3">
        <w:rPr>
          <w:rFonts w:ascii="Arial" w:hAnsi="Arial" w:cs="Arial"/>
          <w:b/>
          <w:bCs/>
        </w:rPr>
        <w:lastRenderedPageBreak/>
        <w:t>Ethics in Everyday Practice</w:t>
      </w:r>
    </w:p>
    <w:p w14:paraId="4F814739" w14:textId="77777777" w:rsidR="00F608A3" w:rsidRPr="00F608A3" w:rsidRDefault="00F608A3" w:rsidP="00F608A3">
      <w:pPr>
        <w:rPr>
          <w:rFonts w:ascii="Arial" w:hAnsi="Arial" w:cs="Arial"/>
        </w:rPr>
      </w:pPr>
      <w:r w:rsidRPr="00F608A3">
        <w:rPr>
          <w:rFonts w:ascii="Arial" w:hAnsi="Arial" w:cs="Arial"/>
        </w:rPr>
        <w:t>Ethical decision-making is a daily reality in health and social care, particularly when navigating issues of consent, autonomy, and risk. I remember supporting an adult with fluctuating mental capacity who repeatedly refused medication. While I wanted to respect their choice, I was also concerned about the long-term consequences of missed doses. I followed the principles of the Mental Capacity Act 2005, completing a capacity assessment and working with the wider team to develop a best-interest decision that prioritised safety while minimising restriction.</w:t>
      </w:r>
    </w:p>
    <w:p w14:paraId="76BED31D" w14:textId="77777777" w:rsidR="00F608A3" w:rsidRPr="00F608A3" w:rsidRDefault="00F608A3" w:rsidP="00F608A3">
      <w:pPr>
        <w:rPr>
          <w:rFonts w:ascii="Arial" w:hAnsi="Arial" w:cs="Arial"/>
        </w:rPr>
      </w:pPr>
      <w:r w:rsidRPr="00F608A3">
        <w:rPr>
          <w:rFonts w:ascii="Arial" w:hAnsi="Arial" w:cs="Arial"/>
        </w:rPr>
        <w:t>This situation made me reflect on the importance of ethical principles such as autonomy, beneficence, and non-maleficence. These are embedded in professional codes of conduct, such as those of the Health and Care Professions Council (HCPC), which require practitioners to respect confidentiality, obtain valid consent, and act in service users’ best interests. I have come to see ethical reflection as a vital skill—one that involves balancing competing values, acknowledging personal biases, and making justifiable decisions.</w:t>
      </w:r>
    </w:p>
    <w:p w14:paraId="0C439CE1" w14:textId="77777777" w:rsidR="00F608A3" w:rsidRPr="00F608A3" w:rsidRDefault="00F608A3" w:rsidP="00F608A3">
      <w:pPr>
        <w:rPr>
          <w:rFonts w:ascii="Arial" w:hAnsi="Arial" w:cs="Arial"/>
        </w:rPr>
      </w:pPr>
      <w:r w:rsidRPr="00F608A3">
        <w:rPr>
          <w:rFonts w:ascii="Arial" w:hAnsi="Arial" w:cs="Arial"/>
        </w:rPr>
        <w:t>As I grow professionally, I want to develop more confidence in managing ethical dilemmas, especially in high-pressure situations. I plan to achieve this by attending ethical decision-making workshops and engaging in regular supervision, where I can explore complex scenarios and receive guidance.</w:t>
      </w:r>
    </w:p>
    <w:p w14:paraId="4E184A86" w14:textId="77777777" w:rsidR="00F608A3" w:rsidRPr="00F608A3" w:rsidRDefault="00F608A3" w:rsidP="00F608A3">
      <w:pPr>
        <w:rPr>
          <w:rFonts w:ascii="Arial" w:hAnsi="Arial" w:cs="Arial"/>
          <w:b/>
          <w:bCs/>
        </w:rPr>
      </w:pPr>
      <w:r w:rsidRPr="00F608A3">
        <w:rPr>
          <w:rFonts w:ascii="Arial" w:hAnsi="Arial" w:cs="Arial"/>
          <w:b/>
          <w:bCs/>
        </w:rPr>
        <w:t>Professional Growth and Development</w:t>
      </w:r>
    </w:p>
    <w:p w14:paraId="4E6FF7E0" w14:textId="77777777" w:rsidR="00F608A3" w:rsidRPr="00F608A3" w:rsidRDefault="00F608A3" w:rsidP="00F608A3">
      <w:pPr>
        <w:rPr>
          <w:rFonts w:ascii="Arial" w:hAnsi="Arial" w:cs="Arial"/>
        </w:rPr>
      </w:pPr>
      <w:r w:rsidRPr="00F608A3">
        <w:rPr>
          <w:rFonts w:ascii="Arial" w:hAnsi="Arial" w:cs="Arial"/>
        </w:rPr>
        <w:t>Reflecting on my current skills, I feel confident in my ability to build trust with service users, communicate effectively, and apply safeguarding principles. I am empathetic and good at picking up on non-verbal cues, which helps me identify distress or unmet needs. These skills have been vital in delivering compassionate and responsive care.</w:t>
      </w:r>
    </w:p>
    <w:p w14:paraId="6A3419D4" w14:textId="77777777" w:rsidR="00F608A3" w:rsidRPr="00F608A3" w:rsidRDefault="00F608A3" w:rsidP="00F608A3">
      <w:pPr>
        <w:rPr>
          <w:rFonts w:ascii="Arial" w:hAnsi="Arial" w:cs="Arial"/>
        </w:rPr>
      </w:pPr>
      <w:r w:rsidRPr="00F608A3">
        <w:rPr>
          <w:rFonts w:ascii="Arial" w:hAnsi="Arial" w:cs="Arial"/>
        </w:rPr>
        <w:t>However, I acknowledge areas for development. One key area is keeping up with changes in policy and legislation. While I understand core frameworks like the Care Act 2014 and Mental Capacity Act 2005, I am less familiar with emerging legislation such as the Liberty Protection Safeguards. To address this, I intend to subscribe to updates from organisations such as SCIE, NICE, and Skills for Care, and to attend CPD events focusing on legal and policy changes.</w:t>
      </w:r>
    </w:p>
    <w:p w14:paraId="1B89BAD8" w14:textId="77777777" w:rsidR="00F608A3" w:rsidRPr="00F608A3" w:rsidRDefault="00F608A3" w:rsidP="00F608A3">
      <w:pPr>
        <w:rPr>
          <w:rFonts w:ascii="Arial" w:hAnsi="Arial" w:cs="Arial"/>
        </w:rPr>
      </w:pPr>
      <w:r w:rsidRPr="00F608A3">
        <w:rPr>
          <w:rFonts w:ascii="Arial" w:hAnsi="Arial" w:cs="Arial"/>
        </w:rPr>
        <w:t>Another area for improvement is my ability to challenge poor practice confidently. There have been times when I noticed a colleague being dismissive toward a service user’s preferences, but I hesitated to speak up due to fear of conflict. In future, I aim to use reflective models like Gibbs’ Reflective Cycle (1988) to explore my responses and build strategies to advocate more effectively. I also plan to complete additional training in assertive communication.</w:t>
      </w:r>
    </w:p>
    <w:p w14:paraId="3FBBFEE1" w14:textId="77777777" w:rsidR="00F608A3" w:rsidRPr="00F608A3" w:rsidRDefault="00F608A3" w:rsidP="00F608A3">
      <w:pPr>
        <w:rPr>
          <w:rFonts w:ascii="Arial" w:hAnsi="Arial" w:cs="Arial"/>
        </w:rPr>
      </w:pPr>
      <w:r w:rsidRPr="00F608A3">
        <w:rPr>
          <w:rFonts w:ascii="Arial" w:hAnsi="Arial" w:cs="Arial"/>
        </w:rPr>
        <w:t>To support my development, I am creating a Personal Development Plan (PDP). This includes:</w:t>
      </w:r>
    </w:p>
    <w:p w14:paraId="2A2DC84B" w14:textId="77777777" w:rsidR="00F608A3" w:rsidRPr="00F608A3" w:rsidRDefault="00F608A3" w:rsidP="00F608A3">
      <w:pPr>
        <w:numPr>
          <w:ilvl w:val="0"/>
          <w:numId w:val="1"/>
        </w:numPr>
        <w:rPr>
          <w:rFonts w:ascii="Arial" w:hAnsi="Arial" w:cs="Arial"/>
        </w:rPr>
      </w:pPr>
      <w:r w:rsidRPr="00F608A3">
        <w:rPr>
          <w:rFonts w:ascii="Arial" w:hAnsi="Arial" w:cs="Arial"/>
        </w:rPr>
        <w:t>Attending monthly safeguarding and equality training</w:t>
      </w:r>
    </w:p>
    <w:p w14:paraId="3969B4D2" w14:textId="77777777" w:rsidR="00F608A3" w:rsidRPr="00F608A3" w:rsidRDefault="00F608A3" w:rsidP="00F608A3">
      <w:pPr>
        <w:numPr>
          <w:ilvl w:val="0"/>
          <w:numId w:val="1"/>
        </w:numPr>
        <w:rPr>
          <w:rFonts w:ascii="Arial" w:hAnsi="Arial" w:cs="Arial"/>
        </w:rPr>
      </w:pPr>
      <w:r w:rsidRPr="00F608A3">
        <w:rPr>
          <w:rFonts w:ascii="Arial" w:hAnsi="Arial" w:cs="Arial"/>
        </w:rPr>
        <w:t>Undertaking a short course in ethical decision-making</w:t>
      </w:r>
    </w:p>
    <w:p w14:paraId="274AB262" w14:textId="77777777" w:rsidR="00F608A3" w:rsidRPr="00F608A3" w:rsidRDefault="00F608A3" w:rsidP="00F608A3">
      <w:pPr>
        <w:numPr>
          <w:ilvl w:val="0"/>
          <w:numId w:val="1"/>
        </w:numPr>
        <w:rPr>
          <w:rFonts w:ascii="Arial" w:hAnsi="Arial" w:cs="Arial"/>
        </w:rPr>
      </w:pPr>
      <w:r w:rsidRPr="00F608A3">
        <w:rPr>
          <w:rFonts w:ascii="Arial" w:hAnsi="Arial" w:cs="Arial"/>
        </w:rPr>
        <w:t>Scheduling reflective supervision every six weeks</w:t>
      </w:r>
    </w:p>
    <w:p w14:paraId="77AA2820" w14:textId="77777777" w:rsidR="00F608A3" w:rsidRPr="00F608A3" w:rsidRDefault="00F608A3" w:rsidP="00F608A3">
      <w:pPr>
        <w:numPr>
          <w:ilvl w:val="0"/>
          <w:numId w:val="1"/>
        </w:numPr>
        <w:rPr>
          <w:rFonts w:ascii="Arial" w:hAnsi="Arial" w:cs="Arial"/>
        </w:rPr>
      </w:pPr>
      <w:r w:rsidRPr="00F608A3">
        <w:rPr>
          <w:rFonts w:ascii="Arial" w:hAnsi="Arial" w:cs="Arial"/>
        </w:rPr>
        <w:t>Developing a resource folder with summaries of key legislation and updates</w:t>
      </w:r>
    </w:p>
    <w:p w14:paraId="74FB3087" w14:textId="77777777" w:rsidR="00F608A3" w:rsidRPr="00F608A3" w:rsidRDefault="00F608A3" w:rsidP="00F608A3">
      <w:pPr>
        <w:numPr>
          <w:ilvl w:val="0"/>
          <w:numId w:val="1"/>
        </w:numPr>
        <w:rPr>
          <w:rFonts w:ascii="Arial" w:hAnsi="Arial" w:cs="Arial"/>
        </w:rPr>
      </w:pPr>
      <w:r w:rsidRPr="00F608A3">
        <w:rPr>
          <w:rFonts w:ascii="Arial" w:hAnsi="Arial" w:cs="Arial"/>
        </w:rPr>
        <w:t>Engaging with reflective journaling using Gibbs’ model</w:t>
      </w:r>
    </w:p>
    <w:p w14:paraId="11022647" w14:textId="6381A985" w:rsidR="00F608A3" w:rsidRPr="00F608A3" w:rsidRDefault="00F608A3" w:rsidP="00F608A3">
      <w:pPr>
        <w:rPr>
          <w:rFonts w:ascii="Arial" w:hAnsi="Arial" w:cs="Arial"/>
        </w:rPr>
      </w:pPr>
      <w:r w:rsidRPr="00F608A3">
        <w:rPr>
          <w:rFonts w:ascii="Arial" w:hAnsi="Arial" w:cs="Arial"/>
          <w:b/>
          <w:bCs/>
        </w:rPr>
        <w:lastRenderedPageBreak/>
        <w:t>Conclusion</w:t>
      </w:r>
    </w:p>
    <w:p w14:paraId="1A8329B1" w14:textId="77777777" w:rsidR="00F608A3" w:rsidRPr="00F608A3" w:rsidRDefault="00F608A3" w:rsidP="00F608A3">
      <w:pPr>
        <w:rPr>
          <w:rFonts w:ascii="Arial" w:hAnsi="Arial" w:cs="Arial"/>
        </w:rPr>
      </w:pPr>
      <w:r w:rsidRPr="00F608A3">
        <w:rPr>
          <w:rFonts w:ascii="Arial" w:hAnsi="Arial" w:cs="Arial"/>
        </w:rPr>
        <w:t>In summary, person-centred care, partnership working, and ethics are the pillars of professional health and social care practice. These principles enable me to provide respectful, safe, and empowering care, while also guiding my moral and professional growth. Through self-reflection, I have identified areas of strength, such as communication and empathy, as well as areas for improvement, including policy awareness and assertiveness. By taking specific actions to build on these areas, I will continue to develop into a more confident, skilled, and ethical practitioner—one who champions high-quality, person-centred care in all aspects of practice.</w:t>
      </w:r>
    </w:p>
    <w:p w14:paraId="34E3321C" w14:textId="77777777" w:rsidR="00F608A3" w:rsidRDefault="00F608A3" w:rsidP="00F608A3"/>
    <w:p w14:paraId="48BF00DA" w14:textId="3625489C" w:rsidR="00F608A3" w:rsidRPr="00F608A3" w:rsidRDefault="00F608A3" w:rsidP="00F608A3">
      <w:r>
        <w:t>References:</w:t>
      </w:r>
    </w:p>
    <w:p w14:paraId="0B06289A" w14:textId="77777777" w:rsidR="00F608A3" w:rsidRPr="00F608A3" w:rsidRDefault="00F608A3" w:rsidP="00F608A3">
      <w:r w:rsidRPr="00F608A3">
        <w:t xml:space="preserve">Care Act 2014. (2014) c.23. London: The Stationery Office. Available at: </w:t>
      </w:r>
      <w:hyperlink r:id="rId5" w:history="1">
        <w:r w:rsidRPr="00F608A3">
          <w:rPr>
            <w:rStyle w:val="Hyperlink"/>
          </w:rPr>
          <w:t>https://www.legislation.gov.uk/ukpga/2014/23/contents/enacted</w:t>
        </w:r>
      </w:hyperlink>
      <w:r w:rsidRPr="00F608A3">
        <w:t xml:space="preserve"> (Accessed: 1 August 2025).</w:t>
      </w:r>
    </w:p>
    <w:p w14:paraId="065059EA" w14:textId="77777777" w:rsidR="00F608A3" w:rsidRPr="00F608A3" w:rsidRDefault="00F608A3" w:rsidP="00F608A3"/>
    <w:p w14:paraId="539621CD" w14:textId="77777777" w:rsidR="00F608A3" w:rsidRPr="00F608A3" w:rsidRDefault="00F608A3" w:rsidP="00F608A3">
      <w:r w:rsidRPr="00F608A3">
        <w:t xml:space="preserve">Department of Health and Social Care (DHSC). (2022) Working together to safeguard adults: a guide to inter-agency working. London: DHSC. Available at: </w:t>
      </w:r>
      <w:hyperlink r:id="rId6" w:history="1">
        <w:r w:rsidRPr="00F608A3">
          <w:rPr>
            <w:rStyle w:val="Hyperlink"/>
          </w:rPr>
          <w:t>https://www.gov.uk/government/publications</w:t>
        </w:r>
      </w:hyperlink>
      <w:r w:rsidRPr="00F608A3">
        <w:t xml:space="preserve"> (Accessed: 1 August 2025).</w:t>
      </w:r>
    </w:p>
    <w:p w14:paraId="419B8D5D" w14:textId="77777777" w:rsidR="00F608A3" w:rsidRPr="00F608A3" w:rsidRDefault="00F608A3" w:rsidP="00F608A3"/>
    <w:p w14:paraId="078B051A" w14:textId="77777777" w:rsidR="00F608A3" w:rsidRPr="00F608A3" w:rsidRDefault="00F608A3" w:rsidP="00F608A3">
      <w:r w:rsidRPr="00F608A3">
        <w:t>Gibbs, G. (1988) Learning by doing: A guide to teaching and learning methods. Oxford: Oxford Further Education Unit.</w:t>
      </w:r>
    </w:p>
    <w:p w14:paraId="7B4F6187" w14:textId="77777777" w:rsidR="00F608A3" w:rsidRPr="00F608A3" w:rsidRDefault="00F608A3" w:rsidP="00F608A3"/>
    <w:p w14:paraId="2F5D62E4" w14:textId="77777777" w:rsidR="00F608A3" w:rsidRPr="00F608A3" w:rsidRDefault="00F608A3" w:rsidP="00F608A3">
      <w:r w:rsidRPr="00F608A3">
        <w:t xml:space="preserve">Health and Care Professions Council (HCPC). (2023) Standards of conduct, performance and ethics. London: HCPC. Available at: </w:t>
      </w:r>
      <w:hyperlink r:id="rId7" w:history="1">
        <w:r w:rsidRPr="00F608A3">
          <w:rPr>
            <w:rStyle w:val="Hyperlink"/>
          </w:rPr>
          <w:t>https://www.hcpc-uk.org/standards/standards-of-conduct-performance-and-ethics</w:t>
        </w:r>
      </w:hyperlink>
      <w:r w:rsidRPr="00F608A3">
        <w:t xml:space="preserve"> (Accessed: 1 August 2025).</w:t>
      </w:r>
    </w:p>
    <w:p w14:paraId="2CA79F91" w14:textId="77777777" w:rsidR="00F608A3" w:rsidRPr="00F608A3" w:rsidRDefault="00F608A3" w:rsidP="00F608A3"/>
    <w:p w14:paraId="1DD5DA19" w14:textId="301CAFF3" w:rsidR="00F608A3" w:rsidRDefault="00F608A3">
      <w:r w:rsidRPr="00F608A3">
        <w:t xml:space="preserve">Health and Care Act 2022. (2022) c.31. London: The Stationery Office. Available at: </w:t>
      </w:r>
      <w:hyperlink r:id="rId8" w:history="1">
        <w:r w:rsidRPr="00F608A3">
          <w:rPr>
            <w:rStyle w:val="Hyperlink"/>
          </w:rPr>
          <w:t>https://www.legislation.gov.uk/ukpga/2022/31/contents/enacted</w:t>
        </w:r>
      </w:hyperlink>
      <w:r w:rsidRPr="00F608A3">
        <w:t xml:space="preserve"> (Accessed: 1 August 2025).</w:t>
      </w:r>
    </w:p>
    <w:sectPr w:rsidR="00F608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GyRktJe2" int2:invalidationBookmarkName="" int2:hashCode="ySxSngcxxX79dV" int2:id="AAhga6Qm">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866FD2"/>
    <w:multiLevelType w:val="multilevel"/>
    <w:tmpl w:val="504602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2063626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8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8A3"/>
    <w:rsid w:val="00184841"/>
    <w:rsid w:val="0027353F"/>
    <w:rsid w:val="0029627C"/>
    <w:rsid w:val="004770DF"/>
    <w:rsid w:val="005E4950"/>
    <w:rsid w:val="006537A5"/>
    <w:rsid w:val="00685AF0"/>
    <w:rsid w:val="006B363C"/>
    <w:rsid w:val="007B49A6"/>
    <w:rsid w:val="00945712"/>
    <w:rsid w:val="00A93BCE"/>
    <w:rsid w:val="00BB719D"/>
    <w:rsid w:val="00D446DE"/>
    <w:rsid w:val="00DC0157"/>
    <w:rsid w:val="00F31DB9"/>
    <w:rsid w:val="00F60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AB1BC"/>
  <w15:chartTrackingRefBased/>
  <w15:docId w15:val="{3A13D5FF-C4C5-4E43-9B4A-7673ABCBD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8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08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08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08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08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08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08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08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08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8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08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08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08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08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08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08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08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08A3"/>
    <w:rPr>
      <w:rFonts w:eastAsiaTheme="majorEastAsia" w:cstheme="majorBidi"/>
      <w:color w:val="272727" w:themeColor="text1" w:themeTint="D8"/>
    </w:rPr>
  </w:style>
  <w:style w:type="paragraph" w:styleId="Title">
    <w:name w:val="Title"/>
    <w:basedOn w:val="Normal"/>
    <w:next w:val="Normal"/>
    <w:link w:val="TitleChar"/>
    <w:uiPriority w:val="10"/>
    <w:qFormat/>
    <w:rsid w:val="00F608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08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08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08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08A3"/>
    <w:pPr>
      <w:spacing w:before="160"/>
      <w:jc w:val="center"/>
    </w:pPr>
    <w:rPr>
      <w:i/>
      <w:iCs/>
      <w:color w:val="404040" w:themeColor="text1" w:themeTint="BF"/>
    </w:rPr>
  </w:style>
  <w:style w:type="character" w:customStyle="1" w:styleId="QuoteChar">
    <w:name w:val="Quote Char"/>
    <w:basedOn w:val="DefaultParagraphFont"/>
    <w:link w:val="Quote"/>
    <w:uiPriority w:val="29"/>
    <w:rsid w:val="00F608A3"/>
    <w:rPr>
      <w:i/>
      <w:iCs/>
      <w:color w:val="404040" w:themeColor="text1" w:themeTint="BF"/>
    </w:rPr>
  </w:style>
  <w:style w:type="paragraph" w:styleId="ListParagraph">
    <w:name w:val="List Paragraph"/>
    <w:basedOn w:val="Normal"/>
    <w:uiPriority w:val="34"/>
    <w:qFormat/>
    <w:rsid w:val="00F608A3"/>
    <w:pPr>
      <w:ind w:left="720"/>
      <w:contextualSpacing/>
    </w:pPr>
  </w:style>
  <w:style w:type="character" w:styleId="IntenseEmphasis">
    <w:name w:val="Intense Emphasis"/>
    <w:basedOn w:val="DefaultParagraphFont"/>
    <w:uiPriority w:val="21"/>
    <w:qFormat/>
    <w:rsid w:val="00F608A3"/>
    <w:rPr>
      <w:i/>
      <w:iCs/>
      <w:color w:val="0F4761" w:themeColor="accent1" w:themeShade="BF"/>
    </w:rPr>
  </w:style>
  <w:style w:type="paragraph" w:styleId="IntenseQuote">
    <w:name w:val="Intense Quote"/>
    <w:basedOn w:val="Normal"/>
    <w:next w:val="Normal"/>
    <w:link w:val="IntenseQuoteChar"/>
    <w:uiPriority w:val="30"/>
    <w:qFormat/>
    <w:rsid w:val="00F608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08A3"/>
    <w:rPr>
      <w:i/>
      <w:iCs/>
      <w:color w:val="0F4761" w:themeColor="accent1" w:themeShade="BF"/>
    </w:rPr>
  </w:style>
  <w:style w:type="character" w:styleId="IntenseReference">
    <w:name w:val="Intense Reference"/>
    <w:basedOn w:val="DefaultParagraphFont"/>
    <w:uiPriority w:val="32"/>
    <w:qFormat/>
    <w:rsid w:val="00F608A3"/>
    <w:rPr>
      <w:b/>
      <w:bCs/>
      <w:smallCaps/>
      <w:color w:val="0F4761" w:themeColor="accent1" w:themeShade="BF"/>
      <w:spacing w:val="5"/>
    </w:rPr>
  </w:style>
  <w:style w:type="character" w:styleId="Hyperlink">
    <w:name w:val="Hyperlink"/>
    <w:basedOn w:val="DefaultParagraphFont"/>
    <w:uiPriority w:val="99"/>
    <w:unhideWhenUsed/>
    <w:rsid w:val="00F608A3"/>
    <w:rPr>
      <w:color w:val="467886" w:themeColor="hyperlink"/>
      <w:u w:val="single"/>
    </w:rPr>
  </w:style>
  <w:style w:type="character" w:styleId="UnresolvedMention">
    <w:name w:val="Unresolved Mention"/>
    <w:basedOn w:val="DefaultParagraphFont"/>
    <w:uiPriority w:val="99"/>
    <w:semiHidden/>
    <w:unhideWhenUsed/>
    <w:rsid w:val="00F608A3"/>
    <w:rPr>
      <w:color w:val="605E5C"/>
      <w:shd w:val="clear" w:color="auto" w:fill="E1DFDD"/>
    </w:rPr>
  </w:style>
  <w:style w:type="character" w:customStyle="1" w:styleId="s12">
    <w:name w:val="s12"/>
    <w:basedOn w:val="DefaultParagraphFont"/>
    <w:rsid w:val="0029627C"/>
  </w:style>
  <w:style w:type="character" w:customStyle="1" w:styleId="apple-converted-space">
    <w:name w:val="apple-converted-space"/>
    <w:basedOn w:val="DefaultParagraphFont"/>
    <w:rsid w:val="002962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140440">
      <w:bodyDiv w:val="1"/>
      <w:marLeft w:val="0"/>
      <w:marRight w:val="0"/>
      <w:marTop w:val="0"/>
      <w:marBottom w:val="0"/>
      <w:divBdr>
        <w:top w:val="none" w:sz="0" w:space="0" w:color="auto"/>
        <w:left w:val="none" w:sz="0" w:space="0" w:color="auto"/>
        <w:bottom w:val="none" w:sz="0" w:space="0" w:color="auto"/>
        <w:right w:val="none" w:sz="0" w:space="0" w:color="auto"/>
      </w:divBdr>
    </w:div>
    <w:div w:id="1758594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rldefense.com/v3/__https:/www.legislation.gov.uk/ukpga/2022/31/contents/enacted__;!!G7x19LdBoP0e!nJgHqase25TIu1O6A-OAvmEuhB9xmuYdBZeNTMq61rT7Dj6tCMgX-nthbTiyMpidydb0TOcdP1feNl6CwperlImILw$" TargetMode="External"/><Relationship Id="rId3" Type="http://schemas.openxmlformats.org/officeDocument/2006/relationships/settings" Target="settings.xml"/><Relationship Id="rId7" Type="http://schemas.openxmlformats.org/officeDocument/2006/relationships/hyperlink" Target="https://urldefense.com/v3/__https:/www.hcpc-uk.org/standards/standards-of-conduct-performance-and-ethics__;!!G7x19LdBoP0e!nJgHqase25TIu1O6A-OAvmEuhB9xmuYdBZeNTMq61rT7Dj6tCMgX-nthbTiyMpidydb0TOcdP1feNl6CwpeeB-SzbQ$"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rldefense.com/v3/__https:/www.gov.uk/government/publications__;!!G7x19LdBoP0e!nJgHqase25TIu1O6A-OAvmEuhB9xmuYdBZeNTMq61rT7Dj6tCMgX-nthbTiyMpidydb0TOcdP1feNl6CwpchA9QZiA$" TargetMode="External"/><Relationship Id="rId11" Type="http://schemas.microsoft.com/office/2020/10/relationships/intelligence" Target="intelligence2.xml"/><Relationship Id="rId5" Type="http://schemas.openxmlformats.org/officeDocument/2006/relationships/hyperlink" Target="https://urldefense.com/v3/__https:/www.legislation.gov.uk/ukpga/2014/23/contents/enacted__;!!G7x19LdBoP0e!nJgHqase25TIu1O6A-OAvmEuhB9xmuYdBZeNTMq61rT7Dj6tCMgX-nthbTiyMpidydb0TOcdP1feNl6CwpcPlB7Tp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2487</Words>
  <Characters>14179</Characters>
  <Application>Microsoft Office Word</Application>
  <DocSecurity>0</DocSecurity>
  <Lines>118</Lines>
  <Paragraphs>33</Paragraphs>
  <ScaleCrop>false</ScaleCrop>
  <Company/>
  <LinksUpToDate>false</LinksUpToDate>
  <CharactersWithSpaces>16633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Dunnion, Melissa : Customer and Colleague Support</dc:creator>
  <cp:keywords/>
  <dc:description/>
  <cp:lastModifiedBy>tega williams</cp:lastModifiedBy>
  <cp:revision>2</cp:revision>
  <dcterms:created xsi:type="dcterms:W3CDTF">2025-11-19T21:17:00Z</dcterms:created>
  <dcterms:modified xsi:type="dcterms:W3CDTF">2025-11-19T21:17:00Z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c754cbb2-29ed-4ffe-af90-a08465e0dd2c_Enabled">
    <vt:lpwstr>true</vt:lpwstr>
  </property>
  <property fmtid="{D5CDD505-2E9C-101B-9397-08002B2CF9AE}" pid="3" name="MSIP_Label_c754cbb2-29ed-4ffe-af90-a08465e0dd2c_SetDate">
    <vt:lpwstr>2025-08-02T19:06:11Z</vt:lpwstr>
  </property>
  <property fmtid="{D5CDD505-2E9C-101B-9397-08002B2CF9AE}" pid="4" name="MSIP_Label_c754cbb2-29ed-4ffe-af90-a08465e0dd2c_Method">
    <vt:lpwstr>Privileged</vt:lpwstr>
  </property>
  <property fmtid="{D5CDD505-2E9C-101B-9397-08002B2CF9AE}" pid="5" name="MSIP_Label_c754cbb2-29ed-4ffe-af90-a08465e0dd2c_Name">
    <vt:lpwstr>Unrestricted</vt:lpwstr>
  </property>
  <property fmtid="{D5CDD505-2E9C-101B-9397-08002B2CF9AE}" pid="6" name="MSIP_Label_c754cbb2-29ed-4ffe-af90-a08465e0dd2c_SiteId">
    <vt:lpwstr>c4b62f1d-01e0-4107-a0cc-5ac886858b23</vt:lpwstr>
  </property>
  <property fmtid="{D5CDD505-2E9C-101B-9397-08002B2CF9AE}" pid="7" name="MSIP_Label_c754cbb2-29ed-4ffe-af90-a08465e0dd2c_ActionId">
    <vt:lpwstr>3df8d936-7ac9-4a5b-b4d7-ac81b4714a9f</vt:lpwstr>
  </property>
  <property fmtid="{D5CDD505-2E9C-101B-9397-08002B2CF9AE}" pid="8" name="MSIP_Label_c754cbb2-29ed-4ffe-af90-a08465e0dd2c_ContentBits">
    <vt:lpwstr>0</vt:lpwstr>
  </property>
  <property fmtid="{D5CDD505-2E9C-101B-9397-08002B2CF9AE}" pid="9" name="MSIP_Label_c754cbb2-29ed-4ffe-af90-a08465e0dd2c_Tag">
    <vt:lpwstr>10, 0, 1, 1</vt:lpwstr>
  </property>
</Properties>
</file>