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280FAC" w:rsidRDefault="00301299" w:rsidP="00301299">
      <w:pPr>
        <w:jc w:val="center"/>
        <w:rPr>
          <w:sz w:val="52"/>
          <w:szCs w:val="52"/>
        </w:rPr>
      </w:pPr>
      <w:r w:rsidRPr="00280FAC">
        <w:rPr>
          <w:sz w:val="52"/>
          <w:szCs w:val="52"/>
        </w:rPr>
        <w:t>University of Wales Trinity Saint David</w:t>
      </w:r>
    </w:p>
    <w:p w14:paraId="4C871724" w14:textId="58984D01" w:rsidR="00301299" w:rsidRPr="00280FAC" w:rsidRDefault="3B5FE139" w:rsidP="1A0829CE">
      <w:pPr>
        <w:jc w:val="center"/>
        <w:rPr>
          <w:sz w:val="28"/>
          <w:szCs w:val="28"/>
        </w:rPr>
      </w:pPr>
      <w:r w:rsidRPr="00280FAC">
        <w:rPr>
          <w:sz w:val="28"/>
          <w:szCs w:val="28"/>
        </w:rPr>
        <w:t>Wales Institute of Scien</w:t>
      </w:r>
      <w:r w:rsidR="1CEEA826" w:rsidRPr="00280FAC">
        <w:rPr>
          <w:sz w:val="28"/>
          <w:szCs w:val="28"/>
        </w:rPr>
        <w:t>ce</w:t>
      </w:r>
    </w:p>
    <w:p w14:paraId="3B4F1989" w14:textId="40933548" w:rsidR="1A0829CE" w:rsidRPr="00280FAC" w:rsidRDefault="1A0829CE" w:rsidP="1A0829CE">
      <w:pPr>
        <w:jc w:val="center"/>
        <w:rPr>
          <w:sz w:val="28"/>
          <w:szCs w:val="28"/>
        </w:rPr>
      </w:pPr>
    </w:p>
    <w:p w14:paraId="3CE4CF69" w14:textId="3F2C4F1E" w:rsidR="1A0829CE" w:rsidRPr="00280FAC" w:rsidRDefault="1A0829CE" w:rsidP="1A0829CE">
      <w:pPr>
        <w:jc w:val="center"/>
        <w:rPr>
          <w:sz w:val="28"/>
          <w:szCs w:val="28"/>
        </w:rPr>
      </w:pPr>
    </w:p>
    <w:p w14:paraId="042AB3FE" w14:textId="5C7E2E43" w:rsidR="1A0829CE" w:rsidRPr="00280FAC" w:rsidRDefault="1A0829CE" w:rsidP="1A0829CE">
      <w:pPr>
        <w:jc w:val="center"/>
        <w:rPr>
          <w:sz w:val="28"/>
          <w:szCs w:val="28"/>
        </w:rPr>
      </w:pPr>
    </w:p>
    <w:p w14:paraId="7BDCFF25" w14:textId="71231398" w:rsidR="1A0829CE" w:rsidRPr="00280FAC" w:rsidRDefault="1A0829CE" w:rsidP="1A0829CE">
      <w:pPr>
        <w:jc w:val="center"/>
        <w:rPr>
          <w:sz w:val="28"/>
          <w:szCs w:val="28"/>
        </w:rPr>
      </w:pPr>
    </w:p>
    <w:p w14:paraId="676C45DA" w14:textId="40CB95F0" w:rsidR="1A0829CE" w:rsidRPr="00280FAC" w:rsidRDefault="1A0829CE" w:rsidP="1A0829CE">
      <w:pPr>
        <w:jc w:val="center"/>
        <w:rPr>
          <w:sz w:val="28"/>
          <w:szCs w:val="28"/>
        </w:rPr>
      </w:pPr>
    </w:p>
    <w:p w14:paraId="1DEAC1D4" w14:textId="094FACF9" w:rsidR="1A0829CE" w:rsidRPr="00280FAC" w:rsidRDefault="1A0829CE" w:rsidP="1A0829CE">
      <w:pPr>
        <w:jc w:val="center"/>
        <w:rPr>
          <w:sz w:val="28"/>
          <w:szCs w:val="28"/>
        </w:rPr>
      </w:pPr>
    </w:p>
    <w:p w14:paraId="689AB7DC" w14:textId="271B0765" w:rsidR="1A0829CE" w:rsidRPr="00280FAC" w:rsidRDefault="1A0829CE" w:rsidP="1A0829CE">
      <w:pPr>
        <w:jc w:val="center"/>
        <w:rPr>
          <w:sz w:val="28"/>
          <w:szCs w:val="28"/>
        </w:rPr>
      </w:pPr>
    </w:p>
    <w:p w14:paraId="7563B8FC" w14:textId="77793451" w:rsidR="1CEEA826" w:rsidRPr="00280FAC" w:rsidRDefault="1CEEA826" w:rsidP="1A0829CE">
      <w:pPr>
        <w:jc w:val="center"/>
        <w:rPr>
          <w:sz w:val="28"/>
          <w:szCs w:val="28"/>
        </w:rPr>
      </w:pPr>
      <w:r w:rsidRPr="00280FAC">
        <w:rPr>
          <w:sz w:val="28"/>
          <w:szCs w:val="28"/>
        </w:rPr>
        <w:t>Electrical Control Systems</w:t>
      </w:r>
    </w:p>
    <w:p w14:paraId="75602CC8" w14:textId="5E145F9C" w:rsidR="00301299" w:rsidRPr="00280FAC" w:rsidRDefault="1CEEA826" w:rsidP="00301299">
      <w:pPr>
        <w:jc w:val="center"/>
        <w:rPr>
          <w:sz w:val="32"/>
          <w:szCs w:val="32"/>
        </w:rPr>
      </w:pPr>
      <w:r w:rsidRPr="00280FAC">
        <w:rPr>
          <w:sz w:val="32"/>
          <w:szCs w:val="32"/>
        </w:rPr>
        <w:t>ACHA4010</w:t>
      </w:r>
    </w:p>
    <w:p w14:paraId="53BFEA00" w14:textId="77777777" w:rsidR="00301299" w:rsidRPr="00280FAC" w:rsidRDefault="00301299" w:rsidP="00301299">
      <w:pPr>
        <w:jc w:val="center"/>
        <w:rPr>
          <w:sz w:val="32"/>
          <w:szCs w:val="32"/>
        </w:rPr>
      </w:pPr>
    </w:p>
    <w:p w14:paraId="5ECC3549" w14:textId="77777777" w:rsidR="00301299" w:rsidRPr="00280FAC" w:rsidRDefault="00301299" w:rsidP="00301299">
      <w:pPr>
        <w:jc w:val="center"/>
        <w:rPr>
          <w:sz w:val="32"/>
          <w:szCs w:val="32"/>
        </w:rPr>
      </w:pPr>
    </w:p>
    <w:p w14:paraId="37B2F446" w14:textId="77777777" w:rsidR="00301299" w:rsidRPr="00280FAC" w:rsidRDefault="00301299" w:rsidP="00301299">
      <w:pPr>
        <w:jc w:val="center"/>
        <w:rPr>
          <w:sz w:val="32"/>
          <w:szCs w:val="32"/>
        </w:rPr>
      </w:pPr>
    </w:p>
    <w:p w14:paraId="50046D85" w14:textId="77777777" w:rsidR="00301299" w:rsidRPr="00280FAC" w:rsidRDefault="00301299" w:rsidP="00301299">
      <w:pPr>
        <w:jc w:val="center"/>
        <w:rPr>
          <w:sz w:val="32"/>
          <w:szCs w:val="32"/>
        </w:rPr>
      </w:pPr>
    </w:p>
    <w:p w14:paraId="35A27D40" w14:textId="2B24AAFA" w:rsidR="1CEEA826" w:rsidRPr="00280FAC" w:rsidRDefault="009F7CCB" w:rsidP="1A0829CE">
      <w:pPr>
        <w:jc w:val="center"/>
        <w:rPr>
          <w:sz w:val="24"/>
          <w:szCs w:val="24"/>
        </w:rPr>
      </w:pPr>
      <w:r w:rsidRPr="00280FAC">
        <w:rPr>
          <w:sz w:val="24"/>
          <w:szCs w:val="24"/>
        </w:rPr>
        <w:t>Finlay Kingscott</w:t>
      </w:r>
    </w:p>
    <w:p w14:paraId="6D5F9500" w14:textId="48AA7A6B" w:rsidR="00301299" w:rsidRPr="00280FAC" w:rsidRDefault="009F7CCB" w:rsidP="00301299">
      <w:pPr>
        <w:jc w:val="center"/>
      </w:pPr>
      <w:r w:rsidRPr="00280FAC">
        <w:t>2410844</w:t>
      </w:r>
    </w:p>
    <w:p w14:paraId="5E3CE57E" w14:textId="13C13524" w:rsidR="00301299" w:rsidRPr="00280FAC" w:rsidRDefault="1CEEA826" w:rsidP="1A0829CE">
      <w:pPr>
        <w:jc w:val="center"/>
        <w:sectPr w:rsidR="00301299" w:rsidRPr="00280FAC" w:rsidSect="00D26C24">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r w:rsidRPr="00280FAC">
        <w:t>27/03/2025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rPr>
      </w:sdtEndPr>
      <w:sdtContent>
        <w:p w14:paraId="50721EAD" w14:textId="26566536" w:rsidR="00B25D24" w:rsidRPr="00280FAC" w:rsidRDefault="00B25D24">
          <w:pPr>
            <w:pStyle w:val="TOCHeading"/>
            <w:rPr>
              <w:lang w:val="en-GB"/>
            </w:rPr>
          </w:pPr>
          <w:r w:rsidRPr="00280FAC">
            <w:rPr>
              <w:lang w:val="en-GB"/>
            </w:rPr>
            <w:t>Contents</w:t>
          </w:r>
        </w:p>
        <w:p w14:paraId="2B3378C3" w14:textId="1ECC63A8" w:rsidR="00660A53" w:rsidRPr="00280FAC" w:rsidRDefault="00B25D24">
          <w:pPr>
            <w:pStyle w:val="TOC1"/>
            <w:tabs>
              <w:tab w:val="left" w:pos="440"/>
              <w:tab w:val="right" w:leader="dot" w:pos="9016"/>
            </w:tabs>
            <w:rPr>
              <w:rFonts w:eastAsiaTheme="minorEastAsia"/>
              <w:kern w:val="2"/>
              <w:sz w:val="24"/>
              <w:szCs w:val="24"/>
              <w:lang w:eastAsia="zh-CN"/>
              <w14:ligatures w14:val="standardContextual"/>
            </w:rPr>
          </w:pPr>
          <w:r w:rsidRPr="00280FAC">
            <w:fldChar w:fldCharType="begin"/>
          </w:r>
          <w:r w:rsidRPr="00280FAC">
            <w:instrText xml:space="preserve"> TOC \o "1-3" \h \z \u </w:instrText>
          </w:r>
          <w:r w:rsidRPr="00280FAC">
            <w:fldChar w:fldCharType="separate"/>
          </w:r>
          <w:hyperlink w:anchor="_Toc192754482" w:history="1">
            <w:r w:rsidR="00660A53" w:rsidRPr="00280FAC">
              <w:rPr>
                <w:rStyle w:val="Hyperlink"/>
              </w:rPr>
              <w:t>1</w:t>
            </w:r>
            <w:r w:rsidR="00660A53" w:rsidRPr="00280FAC">
              <w:rPr>
                <w:rFonts w:eastAsiaTheme="minorEastAsia"/>
                <w:kern w:val="2"/>
                <w:sz w:val="24"/>
                <w:szCs w:val="24"/>
                <w:lang w:eastAsia="zh-CN"/>
                <w14:ligatures w14:val="standardContextual"/>
              </w:rPr>
              <w:tab/>
            </w:r>
            <w:r w:rsidR="00660A53" w:rsidRPr="00280FAC">
              <w:rPr>
                <w:rStyle w:val="Hyperlink"/>
              </w:rPr>
              <w:t>Task 3</w:t>
            </w:r>
            <w:r w:rsidR="00660A53" w:rsidRPr="00280FAC">
              <w:rPr>
                <w:webHidden/>
              </w:rPr>
              <w:tab/>
            </w:r>
            <w:r w:rsidR="00660A53" w:rsidRPr="00280FAC">
              <w:rPr>
                <w:webHidden/>
              </w:rPr>
              <w:fldChar w:fldCharType="begin"/>
            </w:r>
            <w:r w:rsidR="00660A53" w:rsidRPr="00280FAC">
              <w:rPr>
                <w:webHidden/>
              </w:rPr>
              <w:instrText xml:space="preserve"> PAGEREF _Toc192754482 \h </w:instrText>
            </w:r>
            <w:r w:rsidR="00660A53" w:rsidRPr="00280FAC">
              <w:rPr>
                <w:webHidden/>
              </w:rPr>
            </w:r>
            <w:r w:rsidR="00660A53" w:rsidRPr="00280FAC">
              <w:rPr>
                <w:webHidden/>
              </w:rPr>
              <w:fldChar w:fldCharType="separate"/>
            </w:r>
            <w:r w:rsidR="00660A53" w:rsidRPr="00280FAC">
              <w:rPr>
                <w:webHidden/>
              </w:rPr>
              <w:t>1</w:t>
            </w:r>
            <w:r w:rsidR="00660A53" w:rsidRPr="00280FAC">
              <w:rPr>
                <w:webHidden/>
              </w:rPr>
              <w:fldChar w:fldCharType="end"/>
            </w:r>
          </w:hyperlink>
        </w:p>
        <w:p w14:paraId="70AC9B04" w14:textId="355D2245"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3" w:history="1">
            <w:r w:rsidRPr="00280FAC">
              <w:rPr>
                <w:rStyle w:val="Hyperlink"/>
              </w:rPr>
              <w:t>1.1</w:t>
            </w:r>
            <w:r w:rsidRPr="00280FAC">
              <w:rPr>
                <w:rFonts w:eastAsiaTheme="minorEastAsia"/>
                <w:kern w:val="2"/>
                <w:sz w:val="24"/>
                <w:szCs w:val="24"/>
                <w:lang w:eastAsia="zh-CN"/>
                <w14:ligatures w14:val="standardContextual"/>
              </w:rPr>
              <w:tab/>
            </w:r>
            <w:r w:rsidRPr="00280FAC">
              <w:rPr>
                <w:rStyle w:val="Hyperlink"/>
              </w:rPr>
              <w:t>Scope Time Division Calculations (3)</w:t>
            </w:r>
            <w:r w:rsidRPr="00280FAC">
              <w:rPr>
                <w:webHidden/>
              </w:rPr>
              <w:tab/>
            </w:r>
            <w:r w:rsidRPr="00280FAC">
              <w:rPr>
                <w:webHidden/>
              </w:rPr>
              <w:fldChar w:fldCharType="begin"/>
            </w:r>
            <w:r w:rsidRPr="00280FAC">
              <w:rPr>
                <w:webHidden/>
              </w:rPr>
              <w:instrText xml:space="preserve"> PAGEREF _Toc192754483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28C3E1EA" w14:textId="07166F8B"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4" w:history="1">
            <w:r w:rsidRPr="00280FAC">
              <w:rPr>
                <w:rStyle w:val="Hyperlink"/>
              </w:rPr>
              <w:t>1.2</w:t>
            </w:r>
            <w:r w:rsidRPr="00280FAC">
              <w:rPr>
                <w:rFonts w:eastAsiaTheme="minorEastAsia"/>
                <w:kern w:val="2"/>
                <w:sz w:val="24"/>
                <w:szCs w:val="24"/>
                <w:lang w:eastAsia="zh-CN"/>
                <w14:ligatures w14:val="standardContextual"/>
              </w:rPr>
              <w:tab/>
            </w:r>
            <w:r w:rsidRPr="00280FAC">
              <w:rPr>
                <w:rStyle w:val="Hyperlink"/>
              </w:rPr>
              <w:t>Function Generator output square wave (3)</w:t>
            </w:r>
            <w:r w:rsidRPr="00280FAC">
              <w:rPr>
                <w:webHidden/>
              </w:rPr>
              <w:tab/>
            </w:r>
            <w:r w:rsidRPr="00280FAC">
              <w:rPr>
                <w:webHidden/>
              </w:rPr>
              <w:fldChar w:fldCharType="begin"/>
            </w:r>
            <w:r w:rsidRPr="00280FAC">
              <w:rPr>
                <w:webHidden/>
              </w:rPr>
              <w:instrText xml:space="preserve"> PAGEREF _Toc192754484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7DBE926A" w14:textId="76D576EA"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5" w:history="1">
            <w:r w:rsidRPr="00280FAC">
              <w:rPr>
                <w:rStyle w:val="Hyperlink"/>
              </w:rPr>
              <w:t>1.3</w:t>
            </w:r>
            <w:r w:rsidRPr="00280FAC">
              <w:rPr>
                <w:rFonts w:eastAsiaTheme="minorEastAsia"/>
                <w:kern w:val="2"/>
                <w:sz w:val="24"/>
                <w:szCs w:val="24"/>
                <w:lang w:eastAsia="zh-CN"/>
                <w14:ligatures w14:val="standardContextual"/>
              </w:rPr>
              <w:tab/>
            </w:r>
            <w:r w:rsidRPr="00280FAC">
              <w:rPr>
                <w:rStyle w:val="Hyperlink"/>
              </w:rPr>
              <w:t>Capacitor charge and discharge wave marked at correct points. (3)</w:t>
            </w:r>
            <w:r w:rsidRPr="00280FAC">
              <w:rPr>
                <w:webHidden/>
              </w:rPr>
              <w:tab/>
            </w:r>
            <w:r w:rsidRPr="00280FAC">
              <w:rPr>
                <w:webHidden/>
              </w:rPr>
              <w:fldChar w:fldCharType="begin"/>
            </w:r>
            <w:r w:rsidRPr="00280FAC">
              <w:rPr>
                <w:webHidden/>
              </w:rPr>
              <w:instrText xml:space="preserve"> PAGEREF _Toc192754485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1303E67E" w14:textId="51DE313D"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6" w:history="1">
            <w:r w:rsidRPr="00280FAC">
              <w:rPr>
                <w:rStyle w:val="Hyperlink"/>
              </w:rPr>
              <w:t>1.4</w:t>
            </w:r>
            <w:r w:rsidRPr="00280FAC">
              <w:rPr>
                <w:rFonts w:eastAsiaTheme="minorEastAsia"/>
                <w:kern w:val="2"/>
                <w:sz w:val="24"/>
                <w:szCs w:val="24"/>
                <w:lang w:eastAsia="zh-CN"/>
                <w14:ligatures w14:val="standardContextual"/>
              </w:rPr>
              <w:tab/>
            </w:r>
            <w:r w:rsidRPr="00280FAC">
              <w:rPr>
                <w:rStyle w:val="Hyperlink"/>
              </w:rPr>
              <w:t>Basic Capacitor Calculations (3)</w:t>
            </w:r>
            <w:r w:rsidRPr="00280FAC">
              <w:rPr>
                <w:webHidden/>
              </w:rPr>
              <w:tab/>
            </w:r>
            <w:r w:rsidRPr="00280FAC">
              <w:rPr>
                <w:webHidden/>
              </w:rPr>
              <w:fldChar w:fldCharType="begin"/>
            </w:r>
            <w:r w:rsidRPr="00280FAC">
              <w:rPr>
                <w:webHidden/>
              </w:rPr>
              <w:instrText xml:space="preserve"> PAGEREF _Toc192754486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17AE3E87" w14:textId="38364BD3"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7" w:history="1">
            <w:r w:rsidRPr="00280FAC">
              <w:rPr>
                <w:rStyle w:val="Hyperlink"/>
              </w:rPr>
              <w:t>1.5</w:t>
            </w:r>
            <w:r w:rsidRPr="00280FAC">
              <w:rPr>
                <w:rFonts w:eastAsiaTheme="minorEastAsia"/>
                <w:kern w:val="2"/>
                <w:sz w:val="24"/>
                <w:szCs w:val="24"/>
                <w:lang w:eastAsia="zh-CN"/>
                <w14:ligatures w14:val="standardContextual"/>
              </w:rPr>
              <w:tab/>
            </w:r>
            <w:r w:rsidRPr="00280FAC">
              <w:rPr>
                <w:rStyle w:val="Hyperlink"/>
              </w:rPr>
              <w:t>Capacitor discharge table (2)</w:t>
            </w:r>
            <w:r w:rsidRPr="00280FAC">
              <w:rPr>
                <w:webHidden/>
              </w:rPr>
              <w:tab/>
            </w:r>
            <w:r w:rsidRPr="00280FAC">
              <w:rPr>
                <w:webHidden/>
              </w:rPr>
              <w:fldChar w:fldCharType="begin"/>
            </w:r>
            <w:r w:rsidRPr="00280FAC">
              <w:rPr>
                <w:webHidden/>
              </w:rPr>
              <w:instrText xml:space="preserve"> PAGEREF _Toc192754487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12A170DA" w14:textId="7A691B84"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8" w:history="1">
            <w:r w:rsidRPr="00280FAC">
              <w:rPr>
                <w:rStyle w:val="Hyperlink"/>
              </w:rPr>
              <w:t>1.6</w:t>
            </w:r>
            <w:r w:rsidRPr="00280FAC">
              <w:rPr>
                <w:rFonts w:eastAsiaTheme="minorEastAsia"/>
                <w:kern w:val="2"/>
                <w:sz w:val="24"/>
                <w:szCs w:val="24"/>
                <w:lang w:eastAsia="zh-CN"/>
                <w14:ligatures w14:val="standardContextual"/>
              </w:rPr>
              <w:tab/>
            </w:r>
            <w:r w:rsidRPr="00280FAC">
              <w:rPr>
                <w:rStyle w:val="Hyperlink"/>
              </w:rPr>
              <w:t>Plot log(V) Gradient (2)</w:t>
            </w:r>
            <w:r w:rsidRPr="00280FAC">
              <w:rPr>
                <w:webHidden/>
              </w:rPr>
              <w:tab/>
            </w:r>
            <w:r w:rsidRPr="00280FAC">
              <w:rPr>
                <w:webHidden/>
              </w:rPr>
              <w:fldChar w:fldCharType="begin"/>
            </w:r>
            <w:r w:rsidRPr="00280FAC">
              <w:rPr>
                <w:webHidden/>
              </w:rPr>
              <w:instrText xml:space="preserve"> PAGEREF _Toc192754488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56730A53" w14:textId="6BC57F90"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89" w:history="1">
            <w:r w:rsidRPr="00280FAC">
              <w:rPr>
                <w:rStyle w:val="Hyperlink"/>
              </w:rPr>
              <w:t>1.7</w:t>
            </w:r>
            <w:r w:rsidRPr="00280FAC">
              <w:rPr>
                <w:rFonts w:eastAsiaTheme="minorEastAsia"/>
                <w:kern w:val="2"/>
                <w:sz w:val="24"/>
                <w:szCs w:val="24"/>
                <w:lang w:eastAsia="zh-CN"/>
                <w14:ligatures w14:val="standardContextual"/>
              </w:rPr>
              <w:tab/>
            </w:r>
            <w:r w:rsidRPr="00280FAC">
              <w:rPr>
                <w:rStyle w:val="Hyperlink"/>
              </w:rPr>
              <w:t>Gradient Calculations and Compare(4)</w:t>
            </w:r>
            <w:r w:rsidRPr="00280FAC">
              <w:rPr>
                <w:webHidden/>
              </w:rPr>
              <w:tab/>
            </w:r>
            <w:r w:rsidRPr="00280FAC">
              <w:rPr>
                <w:webHidden/>
              </w:rPr>
              <w:fldChar w:fldCharType="begin"/>
            </w:r>
            <w:r w:rsidRPr="00280FAC">
              <w:rPr>
                <w:webHidden/>
              </w:rPr>
              <w:instrText xml:space="preserve"> PAGEREF _Toc192754489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165FF5A9" w14:textId="123A1117" w:rsidR="00660A53" w:rsidRPr="00280FAC" w:rsidRDefault="00660A53">
          <w:pPr>
            <w:pStyle w:val="TOC3"/>
            <w:tabs>
              <w:tab w:val="left" w:pos="1200"/>
              <w:tab w:val="right" w:leader="dot" w:pos="9016"/>
            </w:tabs>
            <w:rPr>
              <w:rFonts w:eastAsiaTheme="minorEastAsia"/>
              <w:kern w:val="2"/>
              <w:sz w:val="24"/>
              <w:szCs w:val="24"/>
              <w:lang w:eastAsia="zh-CN"/>
              <w14:ligatures w14:val="standardContextual"/>
            </w:rPr>
          </w:pPr>
          <w:hyperlink w:anchor="_Toc192754490" w:history="1">
            <w:r w:rsidRPr="00280FAC">
              <w:rPr>
                <w:rStyle w:val="Hyperlink"/>
              </w:rPr>
              <w:t>1.7.1</w:t>
            </w:r>
            <w:r w:rsidRPr="00280FAC">
              <w:rPr>
                <w:rFonts w:eastAsiaTheme="minorEastAsia"/>
                <w:kern w:val="2"/>
                <w:sz w:val="24"/>
                <w:szCs w:val="24"/>
                <w:lang w:eastAsia="zh-CN"/>
                <w14:ligatures w14:val="standardContextual"/>
              </w:rPr>
              <w:tab/>
            </w:r>
            <w:r w:rsidRPr="00280FAC">
              <w:rPr>
                <w:rStyle w:val="Hyperlink"/>
              </w:rPr>
              <w:t>Gradient Calculations</w:t>
            </w:r>
            <w:r w:rsidRPr="00280FAC">
              <w:rPr>
                <w:webHidden/>
              </w:rPr>
              <w:tab/>
            </w:r>
            <w:r w:rsidRPr="00280FAC">
              <w:rPr>
                <w:webHidden/>
              </w:rPr>
              <w:fldChar w:fldCharType="begin"/>
            </w:r>
            <w:r w:rsidRPr="00280FAC">
              <w:rPr>
                <w:webHidden/>
              </w:rPr>
              <w:instrText xml:space="preserve"> PAGEREF _Toc192754490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7A601042" w14:textId="1F4962B0" w:rsidR="00660A53" w:rsidRPr="00280FAC" w:rsidRDefault="00660A53">
          <w:pPr>
            <w:pStyle w:val="TOC3"/>
            <w:tabs>
              <w:tab w:val="left" w:pos="1200"/>
              <w:tab w:val="right" w:leader="dot" w:pos="9016"/>
            </w:tabs>
            <w:rPr>
              <w:rFonts w:eastAsiaTheme="minorEastAsia"/>
              <w:kern w:val="2"/>
              <w:sz w:val="24"/>
              <w:szCs w:val="24"/>
              <w:lang w:eastAsia="zh-CN"/>
              <w14:ligatures w14:val="standardContextual"/>
            </w:rPr>
          </w:pPr>
          <w:hyperlink w:anchor="_Toc192754491" w:history="1">
            <w:r w:rsidRPr="00280FAC">
              <w:rPr>
                <w:rStyle w:val="Hyperlink"/>
              </w:rPr>
              <w:t>1.7.2</w:t>
            </w:r>
            <w:r w:rsidRPr="00280FAC">
              <w:rPr>
                <w:rFonts w:eastAsiaTheme="minorEastAsia"/>
                <w:kern w:val="2"/>
                <w:sz w:val="24"/>
                <w:szCs w:val="24"/>
                <w:lang w:eastAsia="zh-CN"/>
                <w14:ligatures w14:val="standardContextual"/>
              </w:rPr>
              <w:tab/>
            </w:r>
            <w:r w:rsidRPr="00280FAC">
              <w:rPr>
                <w:rStyle w:val="Hyperlink"/>
              </w:rPr>
              <w:t>Comparison table</w:t>
            </w:r>
            <w:r w:rsidRPr="00280FAC">
              <w:rPr>
                <w:webHidden/>
              </w:rPr>
              <w:tab/>
            </w:r>
            <w:r w:rsidRPr="00280FAC">
              <w:rPr>
                <w:webHidden/>
              </w:rPr>
              <w:fldChar w:fldCharType="begin"/>
            </w:r>
            <w:r w:rsidRPr="00280FAC">
              <w:rPr>
                <w:webHidden/>
              </w:rPr>
              <w:instrText xml:space="preserve"> PAGEREF _Toc192754491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525CB933" w14:textId="653503DE"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92" w:history="1">
            <w:r w:rsidRPr="00280FAC">
              <w:rPr>
                <w:rStyle w:val="Hyperlink"/>
              </w:rPr>
              <w:t>1.8</w:t>
            </w:r>
            <w:r w:rsidRPr="00280FAC">
              <w:rPr>
                <w:rFonts w:eastAsiaTheme="minorEastAsia"/>
                <w:kern w:val="2"/>
                <w:sz w:val="24"/>
                <w:szCs w:val="24"/>
                <w:lang w:eastAsia="zh-CN"/>
                <w14:ligatures w14:val="standardContextual"/>
              </w:rPr>
              <w:tab/>
            </w:r>
            <w:r w:rsidRPr="00280FAC">
              <w:rPr>
                <w:rStyle w:val="Hyperlink"/>
              </w:rPr>
              <w:t>Capacitor Uses (5)</w:t>
            </w:r>
            <w:r w:rsidRPr="00280FAC">
              <w:rPr>
                <w:webHidden/>
              </w:rPr>
              <w:tab/>
            </w:r>
            <w:r w:rsidRPr="00280FAC">
              <w:rPr>
                <w:webHidden/>
              </w:rPr>
              <w:fldChar w:fldCharType="begin"/>
            </w:r>
            <w:r w:rsidRPr="00280FAC">
              <w:rPr>
                <w:webHidden/>
              </w:rPr>
              <w:instrText xml:space="preserve"> PAGEREF _Toc192754492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4A39B1DE" w14:textId="1EF6F7D2" w:rsidR="00660A53" w:rsidRPr="00280FAC" w:rsidRDefault="00660A53">
          <w:pPr>
            <w:pStyle w:val="TOC2"/>
            <w:tabs>
              <w:tab w:val="left" w:pos="960"/>
              <w:tab w:val="right" w:leader="dot" w:pos="9016"/>
            </w:tabs>
            <w:rPr>
              <w:rFonts w:eastAsiaTheme="minorEastAsia"/>
              <w:kern w:val="2"/>
              <w:sz w:val="24"/>
              <w:szCs w:val="24"/>
              <w:lang w:eastAsia="zh-CN"/>
              <w14:ligatures w14:val="standardContextual"/>
            </w:rPr>
          </w:pPr>
          <w:hyperlink w:anchor="_Toc192754493" w:history="1">
            <w:r w:rsidRPr="00280FAC">
              <w:rPr>
                <w:rStyle w:val="Hyperlink"/>
              </w:rPr>
              <w:t>1.9</w:t>
            </w:r>
            <w:r w:rsidRPr="00280FAC">
              <w:rPr>
                <w:rFonts w:eastAsiaTheme="minorEastAsia"/>
                <w:kern w:val="2"/>
                <w:sz w:val="24"/>
                <w:szCs w:val="24"/>
                <w:lang w:eastAsia="zh-CN"/>
                <w14:ligatures w14:val="standardContextual"/>
              </w:rPr>
              <w:tab/>
            </w:r>
            <w:r w:rsidRPr="00280FAC">
              <w:rPr>
                <w:rStyle w:val="Hyperlink"/>
              </w:rPr>
              <w:t>Inaccuracies Question (4)</w:t>
            </w:r>
            <w:r w:rsidRPr="00280FAC">
              <w:rPr>
                <w:webHidden/>
              </w:rPr>
              <w:tab/>
            </w:r>
            <w:r w:rsidRPr="00280FAC">
              <w:rPr>
                <w:webHidden/>
              </w:rPr>
              <w:fldChar w:fldCharType="begin"/>
            </w:r>
            <w:r w:rsidRPr="00280FAC">
              <w:rPr>
                <w:webHidden/>
              </w:rPr>
              <w:instrText xml:space="preserve"> PAGEREF _Toc192754493 \h </w:instrText>
            </w:r>
            <w:r w:rsidRPr="00280FAC">
              <w:rPr>
                <w:webHidden/>
              </w:rPr>
            </w:r>
            <w:r w:rsidRPr="00280FAC">
              <w:rPr>
                <w:webHidden/>
              </w:rPr>
              <w:fldChar w:fldCharType="separate"/>
            </w:r>
            <w:r w:rsidRPr="00280FAC">
              <w:rPr>
                <w:webHidden/>
              </w:rPr>
              <w:t>1</w:t>
            </w:r>
            <w:r w:rsidRPr="00280FAC">
              <w:rPr>
                <w:webHidden/>
              </w:rPr>
              <w:fldChar w:fldCharType="end"/>
            </w:r>
          </w:hyperlink>
        </w:p>
        <w:p w14:paraId="22697169" w14:textId="22C6E1A1" w:rsidR="00660A53" w:rsidRPr="00280FAC" w:rsidRDefault="00660A53">
          <w:pPr>
            <w:pStyle w:val="TOC1"/>
            <w:tabs>
              <w:tab w:val="left" w:pos="440"/>
              <w:tab w:val="right" w:leader="dot" w:pos="9016"/>
            </w:tabs>
            <w:rPr>
              <w:rFonts w:eastAsiaTheme="minorEastAsia"/>
              <w:kern w:val="2"/>
              <w:sz w:val="24"/>
              <w:szCs w:val="24"/>
              <w:lang w:eastAsia="zh-CN"/>
              <w14:ligatures w14:val="standardContextual"/>
            </w:rPr>
          </w:pPr>
          <w:hyperlink w:anchor="_Toc192754494" w:history="1">
            <w:r w:rsidRPr="00280FAC">
              <w:rPr>
                <w:rStyle w:val="Hyperlink"/>
              </w:rPr>
              <w:t>2</w:t>
            </w:r>
            <w:r w:rsidRPr="00280FAC">
              <w:rPr>
                <w:rFonts w:eastAsiaTheme="minorEastAsia"/>
                <w:kern w:val="2"/>
                <w:sz w:val="24"/>
                <w:szCs w:val="24"/>
                <w:lang w:eastAsia="zh-CN"/>
                <w14:ligatures w14:val="standardContextual"/>
              </w:rPr>
              <w:tab/>
            </w:r>
            <w:r w:rsidRPr="00280FAC">
              <w:rPr>
                <w:rStyle w:val="Hyperlink"/>
              </w:rPr>
              <w:t>References</w:t>
            </w:r>
            <w:r w:rsidRPr="00280FAC">
              <w:rPr>
                <w:webHidden/>
              </w:rPr>
              <w:tab/>
            </w:r>
            <w:r w:rsidRPr="00280FAC">
              <w:rPr>
                <w:webHidden/>
              </w:rPr>
              <w:fldChar w:fldCharType="begin"/>
            </w:r>
            <w:r w:rsidRPr="00280FAC">
              <w:rPr>
                <w:webHidden/>
              </w:rPr>
              <w:instrText xml:space="preserve"> PAGEREF _Toc192754494 \h </w:instrText>
            </w:r>
            <w:r w:rsidRPr="00280FAC">
              <w:rPr>
                <w:webHidden/>
              </w:rPr>
            </w:r>
            <w:r w:rsidRPr="00280FAC">
              <w:rPr>
                <w:webHidden/>
              </w:rPr>
              <w:fldChar w:fldCharType="separate"/>
            </w:r>
            <w:r w:rsidRPr="00280FAC">
              <w:rPr>
                <w:webHidden/>
              </w:rPr>
              <w:t>2</w:t>
            </w:r>
            <w:r w:rsidRPr="00280FAC">
              <w:rPr>
                <w:webHidden/>
              </w:rPr>
              <w:fldChar w:fldCharType="end"/>
            </w:r>
          </w:hyperlink>
        </w:p>
        <w:p w14:paraId="450FA7E4" w14:textId="423081DE" w:rsidR="00B25D24" w:rsidRPr="00280FAC" w:rsidRDefault="00B25D24">
          <w:r w:rsidRPr="00280FAC">
            <w:rPr>
              <w:b/>
              <w:bCs/>
            </w:rPr>
            <w:fldChar w:fldCharType="end"/>
          </w:r>
        </w:p>
      </w:sdtContent>
    </w:sdt>
    <w:p w14:paraId="4EFDA460" w14:textId="77777777" w:rsidR="001728B1" w:rsidRPr="00280FAC" w:rsidRDefault="001728B1" w:rsidP="77E69633">
      <w:pPr>
        <w:pStyle w:val="Heading1"/>
        <w:numPr>
          <w:ilvl w:val="0"/>
          <w:numId w:val="0"/>
        </w:numPr>
        <w:ind w:left="432"/>
        <w:sectPr w:rsidR="001728B1" w:rsidRPr="00280FAC" w:rsidSect="00D26C24">
          <w:headerReference w:type="first" r:id="rId15"/>
          <w:footerReference w:type="first" r:id="rId16"/>
          <w:pgSz w:w="11906" w:h="16838"/>
          <w:pgMar w:top="1440" w:right="1440" w:bottom="1440" w:left="1440" w:header="708" w:footer="708" w:gutter="0"/>
          <w:pgNumType w:start="1"/>
          <w:cols w:space="708"/>
          <w:docGrid w:linePitch="360"/>
        </w:sectPr>
      </w:pPr>
    </w:p>
    <w:p w14:paraId="47B315D1" w14:textId="5A011412" w:rsidR="00952BC4" w:rsidRPr="00280FAC" w:rsidRDefault="00952BC4" w:rsidP="00952BC4">
      <w:pPr>
        <w:pStyle w:val="Heading1"/>
      </w:pPr>
      <w:bookmarkStart w:id="0" w:name="_Toc192754482"/>
      <w:r w:rsidRPr="00280FAC">
        <w:lastRenderedPageBreak/>
        <w:t xml:space="preserve">Task </w:t>
      </w:r>
      <w:r w:rsidR="001728B1" w:rsidRPr="00280FAC">
        <w:t>3</w:t>
      </w:r>
      <w:bookmarkEnd w:id="0"/>
    </w:p>
    <w:p w14:paraId="30BD5770" w14:textId="7460B7D9" w:rsidR="001728B1" w:rsidRPr="00280FAC" w:rsidRDefault="4F9696B8" w:rsidP="001728B1">
      <w:pPr>
        <w:pStyle w:val="Heading2"/>
      </w:pPr>
      <w:bookmarkStart w:id="1" w:name="_Toc192754483"/>
      <w:r w:rsidRPr="00280FAC">
        <w:t>Scope Time Division Calculations</w:t>
      </w:r>
      <w:r w:rsidR="67767180" w:rsidRPr="00280FAC">
        <w:t xml:space="preserve"> (</w:t>
      </w:r>
      <w:r w:rsidR="46557EE8" w:rsidRPr="00280FAC">
        <w:t>3</w:t>
      </w:r>
      <w:r w:rsidR="67767180" w:rsidRPr="00280FAC">
        <w:t>)</w:t>
      </w:r>
      <w:bookmarkEnd w:id="1"/>
    </w:p>
    <w:p w14:paraId="2770714A" w14:textId="6665E012" w:rsidR="1A0829CE" w:rsidRPr="00280FAC" w:rsidRDefault="1A0829CE" w:rsidP="1A0829CE"/>
    <w:p w14:paraId="1B000712" w14:textId="1BD4E70E" w:rsidR="38FEB65A" w:rsidRPr="00280FAC" w:rsidRDefault="38FEB65A" w:rsidP="1A0829CE">
      <w:pPr>
        <w:rPr>
          <w:vertAlign w:val="superscript"/>
        </w:rPr>
      </w:pPr>
      <w:r w:rsidRPr="00280FAC">
        <w:t>T= 1/ f = 1/250 = 4* 10</w:t>
      </w:r>
      <w:r w:rsidR="00074BE3" w:rsidRPr="00280FAC">
        <w:rPr>
          <w:vertAlign w:val="superscript"/>
        </w:rPr>
        <w:t>-3</w:t>
      </w:r>
    </w:p>
    <w:p w14:paraId="3ADCD5F1" w14:textId="1FAC5481" w:rsidR="78EA4528" w:rsidRPr="00280FAC" w:rsidRDefault="78EA4528" w:rsidP="1A0829CE">
      <w:r w:rsidRPr="00280FAC">
        <w:t xml:space="preserve">Time Per Div = </w:t>
      </w:r>
      <w:r w:rsidR="2B26DA36" w:rsidRPr="00280FAC">
        <w:t>4 * 10</w:t>
      </w:r>
      <w:r w:rsidR="00FF63F2" w:rsidRPr="00280FAC">
        <w:rPr>
          <w:vertAlign w:val="superscript"/>
        </w:rPr>
        <w:t>-3</w:t>
      </w:r>
      <w:r w:rsidR="2B26DA36" w:rsidRPr="00280FAC">
        <w:t xml:space="preserve"> / 10 = 1| 2500 = 400us </w:t>
      </w:r>
    </w:p>
    <w:p w14:paraId="45BD94E8" w14:textId="5E24A36C" w:rsidR="3BB308CF" w:rsidRPr="00280FAC" w:rsidRDefault="3BB308CF">
      <w:r w:rsidRPr="00280FAC">
        <w:rPr>
          <w:noProof/>
        </w:rPr>
        <w:drawing>
          <wp:inline distT="0" distB="0" distL="0" distR="0" wp14:anchorId="31FC44B6" wp14:editId="3A99DF06">
            <wp:extent cx="1685925" cy="5724524"/>
            <wp:effectExtent l="0" t="0" r="0" b="0"/>
            <wp:docPr id="871524388" name="Picture 87152438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685925" cy="5724524"/>
                    </a:xfrm>
                    <a:prstGeom prst="rect">
                      <a:avLst/>
                    </a:prstGeom>
                  </pic:spPr>
                </pic:pic>
              </a:graphicData>
            </a:graphic>
          </wp:inline>
        </w:drawing>
      </w:r>
      <w:r w:rsidRPr="00280FAC">
        <w:t xml:space="preserve"> </w:t>
      </w:r>
    </w:p>
    <w:p w14:paraId="5662DDE8" w14:textId="55755C46" w:rsidR="01960972" w:rsidRPr="00280FAC" w:rsidRDefault="01960972" w:rsidP="1A0829CE">
      <w:r w:rsidRPr="00280FAC">
        <w:t xml:space="preserve">The image above shows </w:t>
      </w:r>
      <w:r w:rsidR="0DCFEBB1" w:rsidRPr="00280FAC">
        <w:t>the Time/Div that is available on the software</w:t>
      </w:r>
      <w:r w:rsidR="54A69498" w:rsidRPr="00280FAC">
        <w:t xml:space="preserve">. </w:t>
      </w:r>
    </w:p>
    <w:p w14:paraId="18DD1A78" w14:textId="2CED7445" w:rsidR="1A0829CE" w:rsidRPr="00280FAC" w:rsidRDefault="1A0829CE" w:rsidP="1A0829CE"/>
    <w:p w14:paraId="05F8EEB0" w14:textId="5D1C95A4" w:rsidR="1A0829CE" w:rsidRPr="00280FAC" w:rsidRDefault="1A0829CE" w:rsidP="1A0829CE"/>
    <w:p w14:paraId="5AC76A71" w14:textId="658C1798" w:rsidR="1A0829CE" w:rsidRPr="00280FAC" w:rsidRDefault="1A0829CE" w:rsidP="1A0829CE"/>
    <w:p w14:paraId="6AD036B5" w14:textId="77777777" w:rsidR="001728B1" w:rsidRPr="00280FAC" w:rsidRDefault="001728B1" w:rsidP="001728B1"/>
    <w:p w14:paraId="50CFA17C" w14:textId="3A42F7DD" w:rsidR="001728B1" w:rsidRPr="00280FAC" w:rsidRDefault="4F9696B8" w:rsidP="001728B1">
      <w:pPr>
        <w:pStyle w:val="Heading2"/>
      </w:pPr>
      <w:bookmarkStart w:id="2" w:name="_Toc192754484"/>
      <w:r w:rsidRPr="00280FAC">
        <w:lastRenderedPageBreak/>
        <w:t>Function Generator output s</w:t>
      </w:r>
      <w:r w:rsidR="67767180" w:rsidRPr="00280FAC">
        <w:t>quare</w:t>
      </w:r>
      <w:r w:rsidRPr="00280FAC">
        <w:t xml:space="preserve"> wave</w:t>
      </w:r>
      <w:r w:rsidR="67767180" w:rsidRPr="00280FAC">
        <w:t xml:space="preserve"> (3)</w:t>
      </w:r>
      <w:bookmarkEnd w:id="2"/>
    </w:p>
    <w:p w14:paraId="5CE3EAB2" w14:textId="01B154BD" w:rsidR="6C87AB0F" w:rsidRPr="00280FAC" w:rsidRDefault="00A803E8">
      <w:r w:rsidRPr="00280FAC">
        <w:rPr>
          <w:noProof/>
        </w:rPr>
        <w:drawing>
          <wp:inline distT="0" distB="0" distL="0" distR="0" wp14:anchorId="0B0C98E6" wp14:editId="37B2EC69">
            <wp:extent cx="5731510" cy="2263140"/>
            <wp:effectExtent l="0" t="0" r="2540" b="3810"/>
            <wp:docPr id="62930378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03783" name="Picture 1" descr="A screen 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inline>
        </w:drawing>
      </w:r>
    </w:p>
    <w:p w14:paraId="4872E2E5" w14:textId="77777777" w:rsidR="001728B1" w:rsidRPr="00280FAC" w:rsidRDefault="001728B1" w:rsidP="001728B1"/>
    <w:p w14:paraId="7A7744A7" w14:textId="0CC941AE" w:rsidR="001728B1" w:rsidRPr="00280FAC" w:rsidRDefault="1E6D955D" w:rsidP="001728B1">
      <w:pPr>
        <w:pStyle w:val="Heading2"/>
      </w:pPr>
      <w:bookmarkStart w:id="3" w:name="_Toc192754485"/>
      <w:r w:rsidRPr="00280FAC">
        <w:t>Capacitor charge and discharge wave</w:t>
      </w:r>
      <w:r w:rsidR="1C6A5902" w:rsidRPr="00280FAC">
        <w:t xml:space="preserve"> marked at correct </w:t>
      </w:r>
      <w:r w:rsidR="0B4B5C16" w:rsidRPr="00280FAC">
        <w:t>points.</w:t>
      </w:r>
      <w:r w:rsidR="67767180" w:rsidRPr="00280FAC">
        <w:t xml:space="preserve"> (3)</w:t>
      </w:r>
      <w:bookmarkEnd w:id="3"/>
    </w:p>
    <w:p w14:paraId="5A02269E" w14:textId="58F7EC02" w:rsidR="1A0829CE" w:rsidRPr="00280FAC" w:rsidRDefault="001A28D5">
      <w:r w:rsidRPr="00280FAC">
        <w:rPr>
          <w:noProof/>
        </w:rPr>
        <w:drawing>
          <wp:inline distT="0" distB="0" distL="0" distR="0" wp14:anchorId="3A25EAF5" wp14:editId="7E08EE82">
            <wp:extent cx="5731510" cy="2601595"/>
            <wp:effectExtent l="0" t="0" r="2540" b="8255"/>
            <wp:docPr id="548264467" name="Picture 3"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64467" name="Picture 3" descr="A screen shot of a computer scree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01595"/>
                    </a:xfrm>
                    <a:prstGeom prst="rect">
                      <a:avLst/>
                    </a:prstGeom>
                  </pic:spPr>
                </pic:pic>
              </a:graphicData>
            </a:graphic>
          </wp:inline>
        </w:drawing>
      </w:r>
    </w:p>
    <w:p w14:paraId="4C91B639" w14:textId="77777777" w:rsidR="001728B1" w:rsidRPr="00280FAC" w:rsidRDefault="001728B1" w:rsidP="001728B1"/>
    <w:p w14:paraId="0D0896C8" w14:textId="52D8192E" w:rsidR="001728B1" w:rsidRPr="00280FAC" w:rsidRDefault="1C6A5902" w:rsidP="001728B1">
      <w:pPr>
        <w:pStyle w:val="Heading2"/>
      </w:pPr>
      <w:bookmarkStart w:id="4" w:name="_Toc192754486"/>
      <w:r w:rsidRPr="00280FAC">
        <w:t xml:space="preserve">Basic Capacitor </w:t>
      </w:r>
      <w:r w:rsidR="0B4B5C16" w:rsidRPr="00280FAC">
        <w:t>Calculations</w:t>
      </w:r>
      <w:r w:rsidR="67767180" w:rsidRPr="00280FAC">
        <w:t xml:space="preserve"> (</w:t>
      </w:r>
      <w:r w:rsidR="06266E98" w:rsidRPr="00280FAC">
        <w:t>3)</w:t>
      </w:r>
      <w:bookmarkEnd w:id="4"/>
    </w:p>
    <w:p w14:paraId="7422FDAB" w14:textId="0B33906C" w:rsidR="6FAF2070" w:rsidRPr="00280FAC" w:rsidRDefault="00AF4C87">
      <w:r w:rsidRPr="00280FAC">
        <w:t>3.48</w:t>
      </w:r>
      <w:r w:rsidR="6FAF2070" w:rsidRPr="00280FAC">
        <w:t xml:space="preserve"> x 0.63</w:t>
      </w:r>
      <w:r w:rsidRPr="00280FAC">
        <w:t>2</w:t>
      </w:r>
      <w:r w:rsidR="6FAF2070" w:rsidRPr="00280FAC">
        <w:t xml:space="preserve"> = </w:t>
      </w:r>
      <w:r w:rsidR="00CE1BEC" w:rsidRPr="00280FAC">
        <w:t>2.2</w:t>
      </w:r>
      <w:r w:rsidR="6FAF2070" w:rsidRPr="00280FAC">
        <w:t xml:space="preserve"> </w:t>
      </w:r>
    </w:p>
    <w:p w14:paraId="687E5775" w14:textId="6326583E" w:rsidR="6FAF2070" w:rsidRPr="00280FAC" w:rsidRDefault="6FAF2070">
      <w:r w:rsidRPr="00280FAC">
        <w:t xml:space="preserve">C = Time Constants/ resistance (100) </w:t>
      </w:r>
    </w:p>
    <w:p w14:paraId="7F542FC1" w14:textId="4E917CC6" w:rsidR="000B00C5" w:rsidRPr="00280FAC" w:rsidRDefault="000A153D">
      <w:r w:rsidRPr="00280FAC">
        <w:t>63.2us</w:t>
      </w:r>
      <w:r w:rsidR="000B00C5" w:rsidRPr="00280FAC">
        <w:t xml:space="preserve">/100 = </w:t>
      </w:r>
      <w:r w:rsidR="005D7784" w:rsidRPr="00280FAC">
        <w:t>6.32x10</w:t>
      </w:r>
      <w:r w:rsidR="003F05B1" w:rsidRPr="00280FAC">
        <w:rPr>
          <w:vertAlign w:val="superscript"/>
        </w:rPr>
        <w:t>-7</w:t>
      </w:r>
      <w:r w:rsidR="003F05B1" w:rsidRPr="00280FAC">
        <w:t xml:space="preserve"> </w:t>
      </w:r>
      <w:r w:rsidR="001A3EB3" w:rsidRPr="00280FAC">
        <w:t>F</w:t>
      </w:r>
    </w:p>
    <w:p w14:paraId="4A9C1746" w14:textId="482EF070" w:rsidR="001728B1" w:rsidRPr="00280FAC" w:rsidRDefault="000C44D0" w:rsidP="001728B1">
      <w:pPr>
        <w:pStyle w:val="Heading2"/>
      </w:pPr>
      <w:bookmarkStart w:id="5" w:name="_Toc192754487"/>
      <w:r w:rsidRPr="00280FAC">
        <w:t>Capacitor discharge table</w:t>
      </w:r>
      <w:r w:rsidR="00C34C38" w:rsidRPr="00280FAC">
        <w:t xml:space="preserve"> (</w:t>
      </w:r>
      <w:r w:rsidR="00684820" w:rsidRPr="00280FAC">
        <w:t>2</w:t>
      </w:r>
      <w:r w:rsidR="00156CE0" w:rsidRPr="00280FAC">
        <w:t>)</w:t>
      </w:r>
      <w:bookmarkEnd w:id="5"/>
    </w:p>
    <w:tbl>
      <w:tblPr>
        <w:tblW w:w="7157" w:type="dxa"/>
        <w:tblLook w:val="04A0" w:firstRow="1" w:lastRow="0" w:firstColumn="1" w:lastColumn="0" w:noHBand="0" w:noVBand="1"/>
      </w:tblPr>
      <w:tblGrid>
        <w:gridCol w:w="1054"/>
        <w:gridCol w:w="960"/>
        <w:gridCol w:w="960"/>
        <w:gridCol w:w="1704"/>
        <w:gridCol w:w="1985"/>
        <w:gridCol w:w="854"/>
        <w:gridCol w:w="89"/>
      </w:tblGrid>
      <w:tr w:rsidR="00A328F8" w:rsidRPr="00280FAC" w14:paraId="37F4141C" w14:textId="77777777" w:rsidTr="005243C9">
        <w:trPr>
          <w:trHeight w:val="300"/>
        </w:trPr>
        <w:tc>
          <w:tcPr>
            <w:tcW w:w="1054" w:type="dxa"/>
            <w:tcBorders>
              <w:top w:val="nil"/>
              <w:left w:val="nil"/>
              <w:bottom w:val="nil"/>
              <w:right w:val="nil"/>
            </w:tcBorders>
            <w:shd w:val="clear" w:color="auto" w:fill="auto"/>
            <w:noWrap/>
            <w:vAlign w:val="bottom"/>
            <w:hideMark/>
          </w:tcPr>
          <w:p w14:paraId="5E1A5C81"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Time (s)</w:t>
            </w:r>
          </w:p>
        </w:tc>
        <w:tc>
          <w:tcPr>
            <w:tcW w:w="960" w:type="dxa"/>
            <w:tcBorders>
              <w:top w:val="nil"/>
              <w:left w:val="nil"/>
              <w:bottom w:val="nil"/>
              <w:right w:val="nil"/>
            </w:tcBorders>
            <w:shd w:val="clear" w:color="auto" w:fill="auto"/>
            <w:noWrap/>
            <w:vAlign w:val="bottom"/>
            <w:hideMark/>
          </w:tcPr>
          <w:p w14:paraId="345BB18E"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Voltage (V)</w:t>
            </w:r>
          </w:p>
        </w:tc>
        <w:tc>
          <w:tcPr>
            <w:tcW w:w="960" w:type="dxa"/>
            <w:tcBorders>
              <w:top w:val="nil"/>
              <w:left w:val="nil"/>
              <w:bottom w:val="nil"/>
              <w:right w:val="nil"/>
            </w:tcBorders>
            <w:shd w:val="clear" w:color="auto" w:fill="auto"/>
            <w:noWrap/>
            <w:vAlign w:val="bottom"/>
            <w:hideMark/>
          </w:tcPr>
          <w:p w14:paraId="3CB7759E"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ln (V)</w:t>
            </w:r>
          </w:p>
        </w:tc>
        <w:tc>
          <w:tcPr>
            <w:tcW w:w="1704" w:type="dxa"/>
            <w:tcBorders>
              <w:top w:val="nil"/>
              <w:left w:val="nil"/>
              <w:bottom w:val="nil"/>
              <w:right w:val="nil"/>
            </w:tcBorders>
            <w:shd w:val="clear" w:color="auto" w:fill="auto"/>
            <w:noWrap/>
            <w:vAlign w:val="bottom"/>
            <w:hideMark/>
          </w:tcPr>
          <w:p w14:paraId="652810DA" w14:textId="77777777" w:rsidR="00A328F8" w:rsidRPr="00280FAC" w:rsidRDefault="00A328F8" w:rsidP="00A328F8">
            <w:pPr>
              <w:spacing w:after="0" w:line="240" w:lineRule="auto"/>
              <w:rPr>
                <w:rFonts w:ascii="Aptos Narrow" w:eastAsia="Times New Roman" w:hAnsi="Aptos Narrow" w:cs="Times New Roman"/>
                <w:color w:val="000000"/>
                <w:lang w:eastAsia="en-GB"/>
              </w:rPr>
            </w:pPr>
            <w:proofErr w:type="spellStart"/>
            <w:r w:rsidRPr="00280FAC">
              <w:rPr>
                <w:rFonts w:ascii="Aptos Narrow" w:eastAsia="Times New Roman" w:hAnsi="Aptos Narrow" w:cs="Times New Roman"/>
                <w:color w:val="000000"/>
                <w:lang w:eastAsia="en-GB"/>
              </w:rPr>
              <w:t>dy</w:t>
            </w:r>
            <w:proofErr w:type="spellEnd"/>
            <w:r w:rsidRPr="00280FAC">
              <w:rPr>
                <w:rFonts w:ascii="Aptos Narrow" w:eastAsia="Times New Roman" w:hAnsi="Aptos Narrow" w:cs="Times New Roman"/>
                <w:color w:val="000000"/>
                <w:lang w:eastAsia="en-GB"/>
              </w:rPr>
              <w:t xml:space="preserve"> = y2 – y1</w:t>
            </w:r>
          </w:p>
        </w:tc>
        <w:tc>
          <w:tcPr>
            <w:tcW w:w="1985" w:type="dxa"/>
            <w:tcBorders>
              <w:top w:val="nil"/>
              <w:left w:val="nil"/>
              <w:bottom w:val="nil"/>
              <w:right w:val="nil"/>
            </w:tcBorders>
            <w:shd w:val="clear" w:color="auto" w:fill="auto"/>
            <w:noWrap/>
            <w:vAlign w:val="bottom"/>
            <w:hideMark/>
          </w:tcPr>
          <w:p w14:paraId="4D1B6EF6"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dx = x2- x1</w:t>
            </w:r>
          </w:p>
        </w:tc>
        <w:tc>
          <w:tcPr>
            <w:tcW w:w="494" w:type="dxa"/>
            <w:gridSpan w:val="2"/>
            <w:tcBorders>
              <w:top w:val="nil"/>
              <w:left w:val="nil"/>
              <w:bottom w:val="nil"/>
              <w:right w:val="nil"/>
            </w:tcBorders>
            <w:shd w:val="clear" w:color="auto" w:fill="auto"/>
            <w:noWrap/>
            <w:vAlign w:val="bottom"/>
            <w:hideMark/>
          </w:tcPr>
          <w:p w14:paraId="307C9F32" w14:textId="77777777" w:rsidR="00A328F8" w:rsidRPr="00280FAC" w:rsidRDefault="00A328F8" w:rsidP="00A328F8">
            <w:pPr>
              <w:spacing w:after="0" w:line="240" w:lineRule="auto"/>
              <w:rPr>
                <w:rFonts w:ascii="Aptos Narrow" w:eastAsia="Times New Roman" w:hAnsi="Aptos Narrow" w:cs="Times New Roman"/>
                <w:color w:val="000000"/>
                <w:lang w:eastAsia="en-GB"/>
              </w:rPr>
            </w:pPr>
            <w:proofErr w:type="spellStart"/>
            <w:r w:rsidRPr="00280FAC">
              <w:rPr>
                <w:rFonts w:ascii="Aptos Narrow" w:eastAsia="Times New Roman" w:hAnsi="Aptos Narrow" w:cs="Times New Roman"/>
                <w:color w:val="000000"/>
                <w:lang w:eastAsia="en-GB"/>
              </w:rPr>
              <w:t>dy</w:t>
            </w:r>
            <w:proofErr w:type="spellEnd"/>
            <w:r w:rsidRPr="00280FAC">
              <w:rPr>
                <w:rFonts w:ascii="Aptos Narrow" w:eastAsia="Times New Roman" w:hAnsi="Aptos Narrow" w:cs="Times New Roman"/>
                <w:color w:val="000000"/>
                <w:lang w:eastAsia="en-GB"/>
              </w:rPr>
              <w:t>/dx</w:t>
            </w:r>
          </w:p>
        </w:tc>
      </w:tr>
      <w:tr w:rsidR="00A328F8" w:rsidRPr="00280FAC" w14:paraId="10AA6D23" w14:textId="77777777" w:rsidTr="005243C9">
        <w:trPr>
          <w:gridAfter w:val="1"/>
          <w:wAfter w:w="42" w:type="dxa"/>
          <w:trHeight w:val="300"/>
        </w:trPr>
        <w:tc>
          <w:tcPr>
            <w:tcW w:w="1054" w:type="dxa"/>
            <w:tcBorders>
              <w:top w:val="nil"/>
              <w:left w:val="nil"/>
              <w:bottom w:val="nil"/>
              <w:right w:val="nil"/>
            </w:tcBorders>
            <w:shd w:val="clear" w:color="auto" w:fill="auto"/>
            <w:noWrap/>
            <w:vAlign w:val="bottom"/>
            <w:hideMark/>
          </w:tcPr>
          <w:p w14:paraId="29B452EF" w14:textId="77777777" w:rsidR="00A328F8" w:rsidRPr="00280FAC" w:rsidRDefault="00A328F8" w:rsidP="00A328F8">
            <w:pPr>
              <w:spacing w:after="0" w:line="240" w:lineRule="auto"/>
              <w:rPr>
                <w:rFonts w:ascii="Aptos Narrow" w:eastAsia="Times New Roman" w:hAnsi="Aptos Narrow" w:cs="Times New Roman"/>
                <w:color w:val="000000"/>
                <w:lang w:eastAsia="en-GB"/>
              </w:rPr>
            </w:pPr>
          </w:p>
        </w:tc>
        <w:tc>
          <w:tcPr>
            <w:tcW w:w="960" w:type="dxa"/>
            <w:tcBorders>
              <w:top w:val="nil"/>
              <w:left w:val="nil"/>
              <w:bottom w:val="nil"/>
              <w:right w:val="nil"/>
            </w:tcBorders>
            <w:shd w:val="clear" w:color="auto" w:fill="auto"/>
            <w:noWrap/>
            <w:vAlign w:val="bottom"/>
            <w:hideMark/>
          </w:tcPr>
          <w:p w14:paraId="05DE6FB9" w14:textId="77777777" w:rsidR="00A328F8" w:rsidRPr="00280FAC" w:rsidRDefault="00A328F8" w:rsidP="00A328F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70B7F7" w14:textId="77777777" w:rsidR="00A328F8" w:rsidRPr="00280FAC" w:rsidRDefault="00A328F8" w:rsidP="00A328F8">
            <w:pPr>
              <w:spacing w:after="0" w:line="240" w:lineRule="auto"/>
              <w:rPr>
                <w:rFonts w:ascii="Times New Roman" w:eastAsia="Times New Roman" w:hAnsi="Times New Roman" w:cs="Times New Roman"/>
                <w:sz w:val="20"/>
                <w:szCs w:val="20"/>
                <w:lang w:eastAsia="en-GB"/>
              </w:rPr>
            </w:pPr>
          </w:p>
        </w:tc>
        <w:tc>
          <w:tcPr>
            <w:tcW w:w="1704" w:type="dxa"/>
            <w:tcBorders>
              <w:top w:val="nil"/>
              <w:left w:val="nil"/>
              <w:bottom w:val="nil"/>
              <w:right w:val="nil"/>
            </w:tcBorders>
            <w:shd w:val="clear" w:color="auto" w:fill="auto"/>
            <w:noWrap/>
            <w:vAlign w:val="bottom"/>
            <w:hideMark/>
          </w:tcPr>
          <w:p w14:paraId="1C4E5B92" w14:textId="77777777" w:rsidR="00A328F8" w:rsidRPr="00280FAC" w:rsidRDefault="00A328F8" w:rsidP="00A328F8">
            <w:pPr>
              <w:spacing w:after="0" w:line="240" w:lineRule="auto"/>
              <w:rPr>
                <w:rFonts w:ascii="Aptos Narrow" w:eastAsia="Times New Roman" w:hAnsi="Aptos Narrow" w:cs="Times New Roman"/>
                <w:color w:val="000000"/>
                <w:lang w:eastAsia="en-GB"/>
              </w:rPr>
            </w:pPr>
            <w:proofErr w:type="spellStart"/>
            <w:r w:rsidRPr="00280FAC">
              <w:rPr>
                <w:rFonts w:ascii="Aptos Narrow" w:eastAsia="Times New Roman" w:hAnsi="Aptos Narrow" w:cs="Times New Roman"/>
                <w:color w:val="000000"/>
                <w:lang w:eastAsia="en-GB"/>
              </w:rPr>
              <w:t>dy</w:t>
            </w:r>
            <w:proofErr w:type="spellEnd"/>
            <w:r w:rsidRPr="00280FAC">
              <w:rPr>
                <w:rFonts w:ascii="Aptos Narrow" w:eastAsia="Times New Roman" w:hAnsi="Aptos Narrow" w:cs="Times New Roman"/>
                <w:color w:val="000000"/>
                <w:lang w:eastAsia="en-GB"/>
              </w:rPr>
              <w:t xml:space="preserve"> = ln(V)2-ln(V)1</w:t>
            </w:r>
          </w:p>
        </w:tc>
        <w:tc>
          <w:tcPr>
            <w:tcW w:w="2437" w:type="dxa"/>
            <w:gridSpan w:val="2"/>
            <w:tcBorders>
              <w:top w:val="nil"/>
              <w:left w:val="nil"/>
              <w:bottom w:val="nil"/>
              <w:right w:val="nil"/>
            </w:tcBorders>
            <w:shd w:val="clear" w:color="auto" w:fill="auto"/>
            <w:noWrap/>
            <w:vAlign w:val="bottom"/>
            <w:hideMark/>
          </w:tcPr>
          <w:p w14:paraId="051BA58B"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dx = Time2 – Time1</w:t>
            </w:r>
          </w:p>
        </w:tc>
      </w:tr>
      <w:tr w:rsidR="00A328F8" w:rsidRPr="00280FAC" w14:paraId="63B50E59" w14:textId="77777777" w:rsidTr="005243C9">
        <w:trPr>
          <w:trHeight w:val="300"/>
        </w:trPr>
        <w:tc>
          <w:tcPr>
            <w:tcW w:w="1054" w:type="dxa"/>
            <w:tcBorders>
              <w:top w:val="nil"/>
              <w:left w:val="nil"/>
              <w:bottom w:val="nil"/>
              <w:right w:val="nil"/>
            </w:tcBorders>
            <w:shd w:val="clear" w:color="auto" w:fill="auto"/>
            <w:noWrap/>
            <w:vAlign w:val="bottom"/>
            <w:hideMark/>
          </w:tcPr>
          <w:p w14:paraId="75298E8F"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0.00437</w:t>
            </w:r>
          </w:p>
        </w:tc>
        <w:tc>
          <w:tcPr>
            <w:tcW w:w="960" w:type="dxa"/>
            <w:tcBorders>
              <w:top w:val="nil"/>
              <w:left w:val="nil"/>
              <w:bottom w:val="nil"/>
              <w:right w:val="nil"/>
            </w:tcBorders>
            <w:shd w:val="clear" w:color="auto" w:fill="auto"/>
            <w:noWrap/>
            <w:vAlign w:val="bottom"/>
            <w:hideMark/>
          </w:tcPr>
          <w:p w14:paraId="564F02A7"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0.8282</w:t>
            </w:r>
          </w:p>
        </w:tc>
        <w:tc>
          <w:tcPr>
            <w:tcW w:w="960" w:type="dxa"/>
            <w:tcBorders>
              <w:top w:val="nil"/>
              <w:left w:val="nil"/>
              <w:bottom w:val="nil"/>
              <w:right w:val="nil"/>
            </w:tcBorders>
            <w:shd w:val="clear" w:color="auto" w:fill="auto"/>
            <w:noWrap/>
            <w:vAlign w:val="bottom"/>
            <w:hideMark/>
          </w:tcPr>
          <w:p w14:paraId="3025A081"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-0.1885</w:t>
            </w:r>
          </w:p>
        </w:tc>
        <w:tc>
          <w:tcPr>
            <w:tcW w:w="1704" w:type="dxa"/>
            <w:tcBorders>
              <w:top w:val="nil"/>
              <w:left w:val="nil"/>
              <w:bottom w:val="nil"/>
              <w:right w:val="nil"/>
            </w:tcBorders>
            <w:shd w:val="clear" w:color="auto" w:fill="auto"/>
            <w:noWrap/>
            <w:vAlign w:val="bottom"/>
            <w:hideMark/>
          </w:tcPr>
          <w:p w14:paraId="2E8B348E"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x</w:t>
            </w:r>
          </w:p>
        </w:tc>
        <w:tc>
          <w:tcPr>
            <w:tcW w:w="1985" w:type="dxa"/>
            <w:tcBorders>
              <w:top w:val="nil"/>
              <w:left w:val="nil"/>
              <w:bottom w:val="nil"/>
              <w:right w:val="nil"/>
            </w:tcBorders>
            <w:shd w:val="clear" w:color="auto" w:fill="auto"/>
            <w:noWrap/>
            <w:vAlign w:val="bottom"/>
            <w:hideMark/>
          </w:tcPr>
          <w:p w14:paraId="2D6BEE33"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x</w:t>
            </w:r>
          </w:p>
        </w:tc>
        <w:tc>
          <w:tcPr>
            <w:tcW w:w="494" w:type="dxa"/>
            <w:gridSpan w:val="2"/>
            <w:tcBorders>
              <w:top w:val="nil"/>
              <w:left w:val="nil"/>
              <w:bottom w:val="nil"/>
              <w:right w:val="nil"/>
            </w:tcBorders>
            <w:shd w:val="clear" w:color="auto" w:fill="auto"/>
            <w:noWrap/>
            <w:vAlign w:val="bottom"/>
            <w:hideMark/>
          </w:tcPr>
          <w:p w14:paraId="209DE05D" w14:textId="77777777" w:rsidR="00A328F8" w:rsidRPr="00280FAC" w:rsidRDefault="00A328F8" w:rsidP="00A328F8">
            <w:pPr>
              <w:spacing w:after="0" w:line="240" w:lineRule="auto"/>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x</w:t>
            </w:r>
          </w:p>
        </w:tc>
      </w:tr>
      <w:tr w:rsidR="00A328F8" w:rsidRPr="00280FAC" w14:paraId="13A1986B" w14:textId="77777777" w:rsidTr="005243C9">
        <w:trPr>
          <w:trHeight w:val="300"/>
        </w:trPr>
        <w:tc>
          <w:tcPr>
            <w:tcW w:w="1054" w:type="dxa"/>
            <w:tcBorders>
              <w:top w:val="nil"/>
              <w:left w:val="nil"/>
              <w:bottom w:val="nil"/>
              <w:right w:val="nil"/>
            </w:tcBorders>
            <w:shd w:val="clear" w:color="auto" w:fill="auto"/>
            <w:noWrap/>
            <w:vAlign w:val="bottom"/>
            <w:hideMark/>
          </w:tcPr>
          <w:p w14:paraId="33F45FDF"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0.004381</w:t>
            </w:r>
          </w:p>
        </w:tc>
        <w:tc>
          <w:tcPr>
            <w:tcW w:w="960" w:type="dxa"/>
            <w:tcBorders>
              <w:top w:val="nil"/>
              <w:left w:val="nil"/>
              <w:bottom w:val="nil"/>
              <w:right w:val="nil"/>
            </w:tcBorders>
            <w:shd w:val="clear" w:color="auto" w:fill="auto"/>
            <w:noWrap/>
            <w:vAlign w:val="bottom"/>
            <w:hideMark/>
          </w:tcPr>
          <w:p w14:paraId="410ECB4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0.6525</w:t>
            </w:r>
          </w:p>
        </w:tc>
        <w:tc>
          <w:tcPr>
            <w:tcW w:w="960" w:type="dxa"/>
            <w:tcBorders>
              <w:top w:val="nil"/>
              <w:left w:val="nil"/>
              <w:bottom w:val="nil"/>
              <w:right w:val="nil"/>
            </w:tcBorders>
            <w:shd w:val="clear" w:color="auto" w:fill="auto"/>
            <w:noWrap/>
            <w:vAlign w:val="bottom"/>
            <w:hideMark/>
          </w:tcPr>
          <w:p w14:paraId="6F9A01EA"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-0.42694</w:t>
            </w:r>
          </w:p>
        </w:tc>
        <w:tc>
          <w:tcPr>
            <w:tcW w:w="1704" w:type="dxa"/>
            <w:tcBorders>
              <w:top w:val="nil"/>
              <w:left w:val="nil"/>
              <w:bottom w:val="nil"/>
              <w:right w:val="nil"/>
            </w:tcBorders>
            <w:shd w:val="clear" w:color="auto" w:fill="auto"/>
            <w:noWrap/>
            <w:vAlign w:val="bottom"/>
            <w:hideMark/>
          </w:tcPr>
          <w:p w14:paraId="0248700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-0.23844</w:t>
            </w:r>
          </w:p>
        </w:tc>
        <w:tc>
          <w:tcPr>
            <w:tcW w:w="1985" w:type="dxa"/>
            <w:tcBorders>
              <w:top w:val="nil"/>
              <w:left w:val="nil"/>
              <w:bottom w:val="nil"/>
              <w:right w:val="nil"/>
            </w:tcBorders>
            <w:shd w:val="clear" w:color="auto" w:fill="auto"/>
            <w:noWrap/>
            <w:vAlign w:val="bottom"/>
            <w:hideMark/>
          </w:tcPr>
          <w:p w14:paraId="2FFDDC4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1.10E-05</w:t>
            </w:r>
          </w:p>
        </w:tc>
        <w:tc>
          <w:tcPr>
            <w:tcW w:w="494" w:type="dxa"/>
            <w:gridSpan w:val="2"/>
            <w:tcBorders>
              <w:top w:val="nil"/>
              <w:left w:val="nil"/>
              <w:bottom w:val="nil"/>
              <w:right w:val="nil"/>
            </w:tcBorders>
            <w:shd w:val="clear" w:color="auto" w:fill="auto"/>
            <w:noWrap/>
            <w:vAlign w:val="bottom"/>
            <w:hideMark/>
          </w:tcPr>
          <w:p w14:paraId="38F7C08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-21676.7</w:t>
            </w:r>
          </w:p>
        </w:tc>
      </w:tr>
      <w:tr w:rsidR="00A328F8" w:rsidRPr="00280FAC" w14:paraId="6B7E4500" w14:textId="77777777" w:rsidTr="005243C9">
        <w:trPr>
          <w:trHeight w:val="300"/>
        </w:trPr>
        <w:tc>
          <w:tcPr>
            <w:tcW w:w="1054" w:type="dxa"/>
            <w:tcBorders>
              <w:top w:val="nil"/>
              <w:left w:val="nil"/>
              <w:bottom w:val="nil"/>
              <w:right w:val="nil"/>
            </w:tcBorders>
            <w:shd w:val="clear" w:color="auto" w:fill="auto"/>
            <w:noWrap/>
            <w:vAlign w:val="bottom"/>
            <w:hideMark/>
          </w:tcPr>
          <w:p w14:paraId="3960FC24"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0.004393</w:t>
            </w:r>
          </w:p>
        </w:tc>
        <w:tc>
          <w:tcPr>
            <w:tcW w:w="960" w:type="dxa"/>
            <w:tcBorders>
              <w:top w:val="nil"/>
              <w:left w:val="nil"/>
              <w:bottom w:val="nil"/>
              <w:right w:val="nil"/>
            </w:tcBorders>
            <w:shd w:val="clear" w:color="auto" w:fill="auto"/>
            <w:noWrap/>
            <w:vAlign w:val="bottom"/>
            <w:hideMark/>
          </w:tcPr>
          <w:p w14:paraId="58B5BE8E"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0.4392</w:t>
            </w:r>
          </w:p>
        </w:tc>
        <w:tc>
          <w:tcPr>
            <w:tcW w:w="960" w:type="dxa"/>
            <w:tcBorders>
              <w:top w:val="nil"/>
              <w:left w:val="nil"/>
              <w:bottom w:val="nil"/>
              <w:right w:val="nil"/>
            </w:tcBorders>
            <w:shd w:val="clear" w:color="auto" w:fill="auto"/>
            <w:noWrap/>
            <w:vAlign w:val="bottom"/>
            <w:hideMark/>
          </w:tcPr>
          <w:p w14:paraId="4F5C2062"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-0.8228</w:t>
            </w:r>
          </w:p>
        </w:tc>
        <w:tc>
          <w:tcPr>
            <w:tcW w:w="1704" w:type="dxa"/>
            <w:tcBorders>
              <w:top w:val="nil"/>
              <w:left w:val="nil"/>
              <w:bottom w:val="nil"/>
              <w:right w:val="nil"/>
            </w:tcBorders>
            <w:shd w:val="clear" w:color="auto" w:fill="auto"/>
            <w:noWrap/>
            <w:vAlign w:val="bottom"/>
            <w:hideMark/>
          </w:tcPr>
          <w:p w14:paraId="1C531E6E"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-0.39586</w:t>
            </w:r>
          </w:p>
        </w:tc>
        <w:tc>
          <w:tcPr>
            <w:tcW w:w="1985" w:type="dxa"/>
            <w:tcBorders>
              <w:top w:val="nil"/>
              <w:left w:val="nil"/>
              <w:bottom w:val="nil"/>
              <w:right w:val="nil"/>
            </w:tcBorders>
            <w:shd w:val="clear" w:color="auto" w:fill="auto"/>
            <w:noWrap/>
            <w:vAlign w:val="bottom"/>
            <w:hideMark/>
          </w:tcPr>
          <w:p w14:paraId="3BC318B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4698B5AB"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-32988</w:t>
            </w:r>
          </w:p>
        </w:tc>
      </w:tr>
      <w:tr w:rsidR="00A328F8" w:rsidRPr="00280FAC" w14:paraId="514A11B0" w14:textId="77777777" w:rsidTr="005243C9">
        <w:trPr>
          <w:trHeight w:val="300"/>
        </w:trPr>
        <w:tc>
          <w:tcPr>
            <w:tcW w:w="1054" w:type="dxa"/>
            <w:tcBorders>
              <w:top w:val="nil"/>
              <w:left w:val="nil"/>
              <w:bottom w:val="nil"/>
              <w:right w:val="nil"/>
            </w:tcBorders>
            <w:shd w:val="clear" w:color="auto" w:fill="auto"/>
            <w:noWrap/>
            <w:vAlign w:val="bottom"/>
            <w:hideMark/>
          </w:tcPr>
          <w:p w14:paraId="6629EFB5"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lastRenderedPageBreak/>
              <w:t>0.004405</w:t>
            </w:r>
          </w:p>
        </w:tc>
        <w:tc>
          <w:tcPr>
            <w:tcW w:w="960" w:type="dxa"/>
            <w:tcBorders>
              <w:top w:val="nil"/>
              <w:left w:val="nil"/>
              <w:bottom w:val="nil"/>
              <w:right w:val="nil"/>
            </w:tcBorders>
            <w:shd w:val="clear" w:color="auto" w:fill="auto"/>
            <w:noWrap/>
            <w:vAlign w:val="bottom"/>
            <w:hideMark/>
          </w:tcPr>
          <w:p w14:paraId="71DDE35E"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0.32</w:t>
            </w:r>
          </w:p>
        </w:tc>
        <w:tc>
          <w:tcPr>
            <w:tcW w:w="960" w:type="dxa"/>
            <w:tcBorders>
              <w:top w:val="nil"/>
              <w:left w:val="nil"/>
              <w:bottom w:val="nil"/>
              <w:right w:val="nil"/>
            </w:tcBorders>
            <w:shd w:val="clear" w:color="auto" w:fill="auto"/>
            <w:noWrap/>
            <w:vAlign w:val="bottom"/>
            <w:hideMark/>
          </w:tcPr>
          <w:p w14:paraId="68688D9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-1.13943</w:t>
            </w:r>
          </w:p>
        </w:tc>
        <w:tc>
          <w:tcPr>
            <w:tcW w:w="1704" w:type="dxa"/>
            <w:tcBorders>
              <w:top w:val="nil"/>
              <w:left w:val="nil"/>
              <w:bottom w:val="nil"/>
              <w:right w:val="nil"/>
            </w:tcBorders>
            <w:shd w:val="clear" w:color="auto" w:fill="auto"/>
            <w:noWrap/>
            <w:vAlign w:val="bottom"/>
            <w:hideMark/>
          </w:tcPr>
          <w:p w14:paraId="0E0C2722"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-0.31663</w:t>
            </w:r>
          </w:p>
        </w:tc>
        <w:tc>
          <w:tcPr>
            <w:tcW w:w="1985" w:type="dxa"/>
            <w:tcBorders>
              <w:top w:val="nil"/>
              <w:left w:val="nil"/>
              <w:bottom w:val="nil"/>
              <w:right w:val="nil"/>
            </w:tcBorders>
            <w:shd w:val="clear" w:color="auto" w:fill="auto"/>
            <w:noWrap/>
            <w:vAlign w:val="bottom"/>
            <w:hideMark/>
          </w:tcPr>
          <w:p w14:paraId="0345F7F5"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2E4612C0"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-26386.2</w:t>
            </w:r>
          </w:p>
        </w:tc>
      </w:tr>
      <w:tr w:rsidR="00A328F8" w:rsidRPr="00280FAC" w14:paraId="73B524D0" w14:textId="77777777" w:rsidTr="005243C9">
        <w:trPr>
          <w:trHeight w:val="300"/>
        </w:trPr>
        <w:tc>
          <w:tcPr>
            <w:tcW w:w="1054" w:type="dxa"/>
            <w:tcBorders>
              <w:top w:val="nil"/>
              <w:left w:val="nil"/>
              <w:bottom w:val="nil"/>
              <w:right w:val="nil"/>
            </w:tcBorders>
            <w:shd w:val="clear" w:color="auto" w:fill="auto"/>
            <w:noWrap/>
            <w:vAlign w:val="bottom"/>
            <w:hideMark/>
          </w:tcPr>
          <w:p w14:paraId="219577CA"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0.004416</w:t>
            </w:r>
          </w:p>
        </w:tc>
        <w:tc>
          <w:tcPr>
            <w:tcW w:w="960" w:type="dxa"/>
            <w:tcBorders>
              <w:top w:val="nil"/>
              <w:left w:val="nil"/>
              <w:bottom w:val="nil"/>
              <w:right w:val="nil"/>
            </w:tcBorders>
            <w:shd w:val="clear" w:color="auto" w:fill="auto"/>
            <w:noWrap/>
            <w:vAlign w:val="bottom"/>
            <w:hideMark/>
          </w:tcPr>
          <w:p w14:paraId="7E21349B"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0.2447</w:t>
            </w:r>
          </w:p>
        </w:tc>
        <w:tc>
          <w:tcPr>
            <w:tcW w:w="960" w:type="dxa"/>
            <w:tcBorders>
              <w:top w:val="nil"/>
              <w:left w:val="nil"/>
              <w:bottom w:val="nil"/>
              <w:right w:val="nil"/>
            </w:tcBorders>
            <w:shd w:val="clear" w:color="auto" w:fill="auto"/>
            <w:noWrap/>
            <w:vAlign w:val="bottom"/>
            <w:hideMark/>
          </w:tcPr>
          <w:p w14:paraId="5AEC0F4D"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-1.40772</w:t>
            </w:r>
          </w:p>
        </w:tc>
        <w:tc>
          <w:tcPr>
            <w:tcW w:w="1704" w:type="dxa"/>
            <w:tcBorders>
              <w:top w:val="nil"/>
              <w:left w:val="nil"/>
              <w:bottom w:val="nil"/>
              <w:right w:val="nil"/>
            </w:tcBorders>
            <w:shd w:val="clear" w:color="auto" w:fill="auto"/>
            <w:noWrap/>
            <w:vAlign w:val="bottom"/>
            <w:hideMark/>
          </w:tcPr>
          <w:p w14:paraId="2D13D384"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-0.26829</w:t>
            </w:r>
          </w:p>
        </w:tc>
        <w:tc>
          <w:tcPr>
            <w:tcW w:w="1985" w:type="dxa"/>
            <w:tcBorders>
              <w:top w:val="nil"/>
              <w:left w:val="nil"/>
              <w:bottom w:val="nil"/>
              <w:right w:val="nil"/>
            </w:tcBorders>
            <w:shd w:val="clear" w:color="auto" w:fill="auto"/>
            <w:noWrap/>
            <w:vAlign w:val="bottom"/>
            <w:hideMark/>
          </w:tcPr>
          <w:p w14:paraId="6CA640E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1.10E-05</w:t>
            </w:r>
          </w:p>
        </w:tc>
        <w:tc>
          <w:tcPr>
            <w:tcW w:w="494" w:type="dxa"/>
            <w:gridSpan w:val="2"/>
            <w:tcBorders>
              <w:top w:val="nil"/>
              <w:left w:val="nil"/>
              <w:bottom w:val="nil"/>
              <w:right w:val="nil"/>
            </w:tcBorders>
            <w:shd w:val="clear" w:color="auto" w:fill="auto"/>
            <w:noWrap/>
            <w:vAlign w:val="bottom"/>
            <w:hideMark/>
          </w:tcPr>
          <w:p w14:paraId="411592FF"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-24389.8</w:t>
            </w:r>
          </w:p>
        </w:tc>
      </w:tr>
      <w:tr w:rsidR="00A328F8" w:rsidRPr="00280FAC" w14:paraId="7F02D747" w14:textId="77777777" w:rsidTr="005243C9">
        <w:trPr>
          <w:trHeight w:val="300"/>
        </w:trPr>
        <w:tc>
          <w:tcPr>
            <w:tcW w:w="1054" w:type="dxa"/>
            <w:tcBorders>
              <w:top w:val="nil"/>
              <w:left w:val="nil"/>
              <w:bottom w:val="nil"/>
              <w:right w:val="nil"/>
            </w:tcBorders>
            <w:shd w:val="clear" w:color="auto" w:fill="auto"/>
            <w:noWrap/>
            <w:vAlign w:val="bottom"/>
            <w:hideMark/>
          </w:tcPr>
          <w:p w14:paraId="07523A2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0.004428</w:t>
            </w:r>
          </w:p>
        </w:tc>
        <w:tc>
          <w:tcPr>
            <w:tcW w:w="960" w:type="dxa"/>
            <w:tcBorders>
              <w:top w:val="nil"/>
              <w:left w:val="nil"/>
              <w:bottom w:val="nil"/>
              <w:right w:val="nil"/>
            </w:tcBorders>
            <w:shd w:val="clear" w:color="auto" w:fill="auto"/>
            <w:noWrap/>
            <w:vAlign w:val="bottom"/>
            <w:hideMark/>
          </w:tcPr>
          <w:p w14:paraId="788D7D92"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0.2071</w:t>
            </w:r>
          </w:p>
        </w:tc>
        <w:tc>
          <w:tcPr>
            <w:tcW w:w="960" w:type="dxa"/>
            <w:tcBorders>
              <w:top w:val="nil"/>
              <w:left w:val="nil"/>
              <w:bottom w:val="nil"/>
              <w:right w:val="nil"/>
            </w:tcBorders>
            <w:shd w:val="clear" w:color="auto" w:fill="auto"/>
            <w:noWrap/>
            <w:vAlign w:val="bottom"/>
            <w:hideMark/>
          </w:tcPr>
          <w:p w14:paraId="67174BF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-1.57455</w:t>
            </w:r>
          </w:p>
        </w:tc>
        <w:tc>
          <w:tcPr>
            <w:tcW w:w="1704" w:type="dxa"/>
            <w:tcBorders>
              <w:top w:val="nil"/>
              <w:left w:val="nil"/>
              <w:bottom w:val="nil"/>
              <w:right w:val="nil"/>
            </w:tcBorders>
            <w:shd w:val="clear" w:color="auto" w:fill="auto"/>
            <w:noWrap/>
            <w:vAlign w:val="bottom"/>
            <w:hideMark/>
          </w:tcPr>
          <w:p w14:paraId="03CA1B60"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-0.16683</w:t>
            </w:r>
          </w:p>
        </w:tc>
        <w:tc>
          <w:tcPr>
            <w:tcW w:w="1985" w:type="dxa"/>
            <w:tcBorders>
              <w:top w:val="nil"/>
              <w:left w:val="nil"/>
              <w:bottom w:val="nil"/>
              <w:right w:val="nil"/>
            </w:tcBorders>
            <w:shd w:val="clear" w:color="auto" w:fill="auto"/>
            <w:noWrap/>
            <w:vAlign w:val="bottom"/>
            <w:hideMark/>
          </w:tcPr>
          <w:p w14:paraId="7B88E0C7"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4D242741"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-13902.6</w:t>
            </w:r>
          </w:p>
        </w:tc>
      </w:tr>
      <w:tr w:rsidR="00A328F8" w:rsidRPr="00280FAC" w14:paraId="7031B58B" w14:textId="77777777" w:rsidTr="005243C9">
        <w:trPr>
          <w:trHeight w:val="300"/>
        </w:trPr>
        <w:tc>
          <w:tcPr>
            <w:tcW w:w="1054" w:type="dxa"/>
            <w:tcBorders>
              <w:top w:val="nil"/>
              <w:left w:val="nil"/>
              <w:bottom w:val="nil"/>
              <w:right w:val="nil"/>
            </w:tcBorders>
            <w:shd w:val="clear" w:color="auto" w:fill="auto"/>
            <w:noWrap/>
            <w:vAlign w:val="bottom"/>
            <w:hideMark/>
          </w:tcPr>
          <w:p w14:paraId="2B09C9DD"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0.00444</w:t>
            </w:r>
          </w:p>
        </w:tc>
        <w:tc>
          <w:tcPr>
            <w:tcW w:w="960" w:type="dxa"/>
            <w:tcBorders>
              <w:top w:val="nil"/>
              <w:left w:val="nil"/>
              <w:bottom w:val="nil"/>
              <w:right w:val="nil"/>
            </w:tcBorders>
            <w:shd w:val="clear" w:color="auto" w:fill="auto"/>
            <w:noWrap/>
            <w:vAlign w:val="bottom"/>
            <w:hideMark/>
          </w:tcPr>
          <w:p w14:paraId="3191DB8F"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0.1694</w:t>
            </w:r>
          </w:p>
        </w:tc>
        <w:tc>
          <w:tcPr>
            <w:tcW w:w="960" w:type="dxa"/>
            <w:tcBorders>
              <w:top w:val="nil"/>
              <w:left w:val="nil"/>
              <w:bottom w:val="nil"/>
              <w:right w:val="nil"/>
            </w:tcBorders>
            <w:shd w:val="clear" w:color="auto" w:fill="auto"/>
            <w:noWrap/>
            <w:vAlign w:val="bottom"/>
            <w:hideMark/>
          </w:tcPr>
          <w:p w14:paraId="43A0C03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-1.77549</w:t>
            </w:r>
          </w:p>
        </w:tc>
        <w:tc>
          <w:tcPr>
            <w:tcW w:w="1704" w:type="dxa"/>
            <w:tcBorders>
              <w:top w:val="nil"/>
              <w:left w:val="nil"/>
              <w:bottom w:val="nil"/>
              <w:right w:val="nil"/>
            </w:tcBorders>
            <w:shd w:val="clear" w:color="auto" w:fill="auto"/>
            <w:noWrap/>
            <w:vAlign w:val="bottom"/>
            <w:hideMark/>
          </w:tcPr>
          <w:p w14:paraId="08FB9BF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-0.20094</w:t>
            </w:r>
          </w:p>
        </w:tc>
        <w:tc>
          <w:tcPr>
            <w:tcW w:w="1985" w:type="dxa"/>
            <w:tcBorders>
              <w:top w:val="nil"/>
              <w:left w:val="nil"/>
              <w:bottom w:val="nil"/>
              <w:right w:val="nil"/>
            </w:tcBorders>
            <w:shd w:val="clear" w:color="auto" w:fill="auto"/>
            <w:noWrap/>
            <w:vAlign w:val="bottom"/>
            <w:hideMark/>
          </w:tcPr>
          <w:p w14:paraId="379BD26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6FE2F08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-16744.9</w:t>
            </w:r>
          </w:p>
        </w:tc>
      </w:tr>
      <w:tr w:rsidR="00A328F8" w:rsidRPr="00280FAC" w14:paraId="0ABE2344" w14:textId="77777777" w:rsidTr="005243C9">
        <w:trPr>
          <w:trHeight w:val="300"/>
        </w:trPr>
        <w:tc>
          <w:tcPr>
            <w:tcW w:w="1054" w:type="dxa"/>
            <w:tcBorders>
              <w:top w:val="nil"/>
              <w:left w:val="nil"/>
              <w:bottom w:val="nil"/>
              <w:right w:val="nil"/>
            </w:tcBorders>
            <w:shd w:val="clear" w:color="auto" w:fill="auto"/>
            <w:noWrap/>
            <w:vAlign w:val="bottom"/>
            <w:hideMark/>
          </w:tcPr>
          <w:p w14:paraId="3E0E7B53"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0.004451</w:t>
            </w:r>
          </w:p>
        </w:tc>
        <w:tc>
          <w:tcPr>
            <w:tcW w:w="960" w:type="dxa"/>
            <w:tcBorders>
              <w:top w:val="nil"/>
              <w:left w:val="nil"/>
              <w:bottom w:val="nil"/>
              <w:right w:val="nil"/>
            </w:tcBorders>
            <w:shd w:val="clear" w:color="auto" w:fill="auto"/>
            <w:noWrap/>
            <w:vAlign w:val="bottom"/>
            <w:hideMark/>
          </w:tcPr>
          <w:p w14:paraId="4C9DF34C"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0.1506</w:t>
            </w:r>
          </w:p>
        </w:tc>
        <w:tc>
          <w:tcPr>
            <w:tcW w:w="960" w:type="dxa"/>
            <w:tcBorders>
              <w:top w:val="nil"/>
              <w:left w:val="nil"/>
              <w:bottom w:val="nil"/>
              <w:right w:val="nil"/>
            </w:tcBorders>
            <w:shd w:val="clear" w:color="auto" w:fill="auto"/>
            <w:noWrap/>
            <w:vAlign w:val="bottom"/>
            <w:hideMark/>
          </w:tcPr>
          <w:p w14:paraId="628B83C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-1.89313</w:t>
            </w:r>
          </w:p>
        </w:tc>
        <w:tc>
          <w:tcPr>
            <w:tcW w:w="1704" w:type="dxa"/>
            <w:tcBorders>
              <w:top w:val="nil"/>
              <w:left w:val="nil"/>
              <w:bottom w:val="nil"/>
              <w:right w:val="nil"/>
            </w:tcBorders>
            <w:shd w:val="clear" w:color="auto" w:fill="auto"/>
            <w:noWrap/>
            <w:vAlign w:val="bottom"/>
            <w:hideMark/>
          </w:tcPr>
          <w:p w14:paraId="1D4B229E"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-0.11764</w:t>
            </w:r>
          </w:p>
        </w:tc>
        <w:tc>
          <w:tcPr>
            <w:tcW w:w="1985" w:type="dxa"/>
            <w:tcBorders>
              <w:top w:val="nil"/>
              <w:left w:val="nil"/>
              <w:bottom w:val="nil"/>
              <w:right w:val="nil"/>
            </w:tcBorders>
            <w:shd w:val="clear" w:color="auto" w:fill="auto"/>
            <w:noWrap/>
            <w:vAlign w:val="bottom"/>
            <w:hideMark/>
          </w:tcPr>
          <w:p w14:paraId="667BB92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1.10E-05</w:t>
            </w:r>
          </w:p>
        </w:tc>
        <w:tc>
          <w:tcPr>
            <w:tcW w:w="494" w:type="dxa"/>
            <w:gridSpan w:val="2"/>
            <w:tcBorders>
              <w:top w:val="nil"/>
              <w:left w:val="nil"/>
              <w:bottom w:val="nil"/>
              <w:right w:val="nil"/>
            </w:tcBorders>
            <w:shd w:val="clear" w:color="auto" w:fill="auto"/>
            <w:noWrap/>
            <w:vAlign w:val="bottom"/>
            <w:hideMark/>
          </w:tcPr>
          <w:p w14:paraId="337AD80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-10694.1</w:t>
            </w:r>
          </w:p>
        </w:tc>
      </w:tr>
      <w:tr w:rsidR="00A328F8" w:rsidRPr="00280FAC" w14:paraId="62EB08E6" w14:textId="77777777" w:rsidTr="005243C9">
        <w:trPr>
          <w:trHeight w:val="300"/>
        </w:trPr>
        <w:tc>
          <w:tcPr>
            <w:tcW w:w="1054" w:type="dxa"/>
            <w:tcBorders>
              <w:top w:val="nil"/>
              <w:left w:val="nil"/>
              <w:bottom w:val="nil"/>
              <w:right w:val="nil"/>
            </w:tcBorders>
            <w:shd w:val="clear" w:color="auto" w:fill="auto"/>
            <w:noWrap/>
            <w:vAlign w:val="bottom"/>
            <w:hideMark/>
          </w:tcPr>
          <w:p w14:paraId="3B5BAD50"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0.004463</w:t>
            </w:r>
          </w:p>
        </w:tc>
        <w:tc>
          <w:tcPr>
            <w:tcW w:w="960" w:type="dxa"/>
            <w:tcBorders>
              <w:top w:val="nil"/>
              <w:left w:val="nil"/>
              <w:bottom w:val="nil"/>
              <w:right w:val="nil"/>
            </w:tcBorders>
            <w:shd w:val="clear" w:color="auto" w:fill="auto"/>
            <w:noWrap/>
            <w:vAlign w:val="bottom"/>
            <w:hideMark/>
          </w:tcPr>
          <w:p w14:paraId="4714A61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0.138</w:t>
            </w:r>
          </w:p>
        </w:tc>
        <w:tc>
          <w:tcPr>
            <w:tcW w:w="960" w:type="dxa"/>
            <w:tcBorders>
              <w:top w:val="nil"/>
              <w:left w:val="nil"/>
              <w:bottom w:val="nil"/>
              <w:right w:val="nil"/>
            </w:tcBorders>
            <w:shd w:val="clear" w:color="auto" w:fill="auto"/>
            <w:noWrap/>
            <w:vAlign w:val="bottom"/>
            <w:hideMark/>
          </w:tcPr>
          <w:p w14:paraId="7E347387"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-1.9805</w:t>
            </w:r>
          </w:p>
        </w:tc>
        <w:tc>
          <w:tcPr>
            <w:tcW w:w="1704" w:type="dxa"/>
            <w:tcBorders>
              <w:top w:val="nil"/>
              <w:left w:val="nil"/>
              <w:bottom w:val="nil"/>
              <w:right w:val="nil"/>
            </w:tcBorders>
            <w:shd w:val="clear" w:color="auto" w:fill="auto"/>
            <w:noWrap/>
            <w:vAlign w:val="bottom"/>
            <w:hideMark/>
          </w:tcPr>
          <w:p w14:paraId="3D410492"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-0.08737</w:t>
            </w:r>
          </w:p>
        </w:tc>
        <w:tc>
          <w:tcPr>
            <w:tcW w:w="1985" w:type="dxa"/>
            <w:tcBorders>
              <w:top w:val="nil"/>
              <w:left w:val="nil"/>
              <w:bottom w:val="nil"/>
              <w:right w:val="nil"/>
            </w:tcBorders>
            <w:shd w:val="clear" w:color="auto" w:fill="auto"/>
            <w:noWrap/>
            <w:vAlign w:val="bottom"/>
            <w:hideMark/>
          </w:tcPr>
          <w:p w14:paraId="025918B4"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2F1565B1"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-7281.14</w:t>
            </w:r>
          </w:p>
        </w:tc>
      </w:tr>
      <w:tr w:rsidR="00A328F8" w:rsidRPr="00280FAC" w14:paraId="3DEA81F9" w14:textId="77777777" w:rsidTr="005243C9">
        <w:trPr>
          <w:trHeight w:val="300"/>
        </w:trPr>
        <w:tc>
          <w:tcPr>
            <w:tcW w:w="1054" w:type="dxa"/>
            <w:tcBorders>
              <w:top w:val="nil"/>
              <w:left w:val="nil"/>
              <w:bottom w:val="nil"/>
              <w:right w:val="nil"/>
            </w:tcBorders>
            <w:shd w:val="clear" w:color="auto" w:fill="auto"/>
            <w:noWrap/>
            <w:vAlign w:val="bottom"/>
            <w:hideMark/>
          </w:tcPr>
          <w:p w14:paraId="6DC148FA"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0.004475</w:t>
            </w:r>
          </w:p>
        </w:tc>
        <w:tc>
          <w:tcPr>
            <w:tcW w:w="960" w:type="dxa"/>
            <w:tcBorders>
              <w:top w:val="nil"/>
              <w:left w:val="nil"/>
              <w:bottom w:val="nil"/>
              <w:right w:val="nil"/>
            </w:tcBorders>
            <w:shd w:val="clear" w:color="auto" w:fill="auto"/>
            <w:noWrap/>
            <w:vAlign w:val="bottom"/>
            <w:hideMark/>
          </w:tcPr>
          <w:p w14:paraId="2B198E77"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0.1192</w:t>
            </w:r>
          </w:p>
        </w:tc>
        <w:tc>
          <w:tcPr>
            <w:tcW w:w="960" w:type="dxa"/>
            <w:tcBorders>
              <w:top w:val="nil"/>
              <w:left w:val="nil"/>
              <w:bottom w:val="nil"/>
              <w:right w:val="nil"/>
            </w:tcBorders>
            <w:shd w:val="clear" w:color="auto" w:fill="auto"/>
            <w:noWrap/>
            <w:vAlign w:val="bottom"/>
            <w:hideMark/>
          </w:tcPr>
          <w:p w14:paraId="0E7B3796"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-2.12695</w:t>
            </w:r>
          </w:p>
        </w:tc>
        <w:tc>
          <w:tcPr>
            <w:tcW w:w="1704" w:type="dxa"/>
            <w:tcBorders>
              <w:top w:val="nil"/>
              <w:left w:val="nil"/>
              <w:bottom w:val="nil"/>
              <w:right w:val="nil"/>
            </w:tcBorders>
            <w:shd w:val="clear" w:color="auto" w:fill="auto"/>
            <w:noWrap/>
            <w:vAlign w:val="bottom"/>
            <w:hideMark/>
          </w:tcPr>
          <w:p w14:paraId="28102C7E"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-0.14645</w:t>
            </w:r>
          </w:p>
        </w:tc>
        <w:tc>
          <w:tcPr>
            <w:tcW w:w="1985" w:type="dxa"/>
            <w:tcBorders>
              <w:top w:val="nil"/>
              <w:left w:val="nil"/>
              <w:bottom w:val="nil"/>
              <w:right w:val="nil"/>
            </w:tcBorders>
            <w:shd w:val="clear" w:color="auto" w:fill="auto"/>
            <w:noWrap/>
            <w:vAlign w:val="bottom"/>
            <w:hideMark/>
          </w:tcPr>
          <w:p w14:paraId="0F879DB1"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1.20E-05</w:t>
            </w:r>
          </w:p>
        </w:tc>
        <w:tc>
          <w:tcPr>
            <w:tcW w:w="494" w:type="dxa"/>
            <w:gridSpan w:val="2"/>
            <w:tcBorders>
              <w:top w:val="nil"/>
              <w:left w:val="nil"/>
              <w:bottom w:val="nil"/>
              <w:right w:val="nil"/>
            </w:tcBorders>
            <w:shd w:val="clear" w:color="auto" w:fill="auto"/>
            <w:noWrap/>
            <w:vAlign w:val="bottom"/>
            <w:hideMark/>
          </w:tcPr>
          <w:p w14:paraId="60B94074" w14:textId="77777777" w:rsidR="00A328F8" w:rsidRPr="00280FAC" w:rsidRDefault="00A328F8" w:rsidP="00A328F8">
            <w:pPr>
              <w:spacing w:after="0" w:line="240" w:lineRule="auto"/>
              <w:jc w:val="right"/>
              <w:rPr>
                <w:rFonts w:ascii="Aptos Narrow" w:eastAsia="Times New Roman" w:hAnsi="Aptos Narrow" w:cs="Times New Roman"/>
                <w:color w:val="000000"/>
                <w:lang w:eastAsia="en-GB"/>
              </w:rPr>
            </w:pPr>
            <w:r w:rsidRPr="00280FAC">
              <w:rPr>
                <w:rFonts w:ascii="Aptos Narrow" w:eastAsia="Times New Roman" w:hAnsi="Aptos Narrow" w:cs="Times New Roman"/>
                <w:color w:val="000000"/>
                <w:lang w:eastAsia="en-GB"/>
              </w:rPr>
              <w:t>-12204.2</w:t>
            </w:r>
          </w:p>
        </w:tc>
      </w:tr>
    </w:tbl>
    <w:p w14:paraId="0738F9E8" w14:textId="77777777" w:rsidR="00156CE0" w:rsidRPr="00280FAC" w:rsidRDefault="00156CE0" w:rsidP="00156CE0"/>
    <w:p w14:paraId="24153F6F" w14:textId="171A79CC" w:rsidR="00B030CA" w:rsidRPr="00280FAC" w:rsidRDefault="00E5667C" w:rsidP="001728B1">
      <w:pPr>
        <w:pStyle w:val="Heading2"/>
      </w:pPr>
      <w:bookmarkStart w:id="6" w:name="_Toc192754488"/>
      <w:r w:rsidRPr="00280FAC">
        <w:t xml:space="preserve">Plot log(V) </w:t>
      </w:r>
      <w:r w:rsidR="008F2254" w:rsidRPr="00280FAC">
        <w:t>Gradient</w:t>
      </w:r>
      <w:r w:rsidR="00915067" w:rsidRPr="00280FAC">
        <w:t xml:space="preserve"> (2)</w:t>
      </w:r>
      <w:bookmarkEnd w:id="6"/>
    </w:p>
    <w:p w14:paraId="038B4D22" w14:textId="363BC9A0" w:rsidR="00E5667C" w:rsidRPr="00280FAC" w:rsidRDefault="00CB26E8" w:rsidP="00E5667C">
      <w:r w:rsidRPr="00280FAC">
        <w:rPr>
          <w:noProof/>
        </w:rPr>
        <w:drawing>
          <wp:inline distT="0" distB="0" distL="0" distR="0" wp14:anchorId="2EB2DD89" wp14:editId="2DEB8CEF">
            <wp:extent cx="4572000" cy="2743200"/>
            <wp:effectExtent l="0" t="0" r="0" b="0"/>
            <wp:docPr id="889671831" name="Chart 1">
              <a:extLst xmlns:a="http://schemas.openxmlformats.org/drawingml/2006/main">
                <a:ext uri="{FF2B5EF4-FFF2-40B4-BE49-F238E27FC236}">
                  <a16:creationId xmlns:a16="http://schemas.microsoft.com/office/drawing/2014/main" id="{FAC151F5-3F6F-2E7D-2EF8-488411AC5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E33188C" w14:textId="5AD33F5C" w:rsidR="0083020F" w:rsidRPr="00280FAC" w:rsidRDefault="00915067" w:rsidP="0083020F">
      <w:pPr>
        <w:pStyle w:val="Heading2"/>
      </w:pPr>
      <w:bookmarkStart w:id="7" w:name="_Toc192754489"/>
      <w:r w:rsidRPr="00280FAC">
        <w:t xml:space="preserve">Gradient </w:t>
      </w:r>
      <w:r w:rsidR="001D60EB" w:rsidRPr="00280FAC">
        <w:t>Calculations</w:t>
      </w:r>
      <w:r w:rsidR="00E829CD" w:rsidRPr="00280FAC">
        <w:t xml:space="preserve"> </w:t>
      </w:r>
      <w:r w:rsidR="002F0B84" w:rsidRPr="00280FAC">
        <w:t>and Compare</w:t>
      </w:r>
      <w:r w:rsidR="007C7D1F" w:rsidRPr="00280FAC">
        <w:t>(4)</w:t>
      </w:r>
      <w:bookmarkEnd w:id="7"/>
    </w:p>
    <w:p w14:paraId="22AD50A2" w14:textId="142256FB" w:rsidR="003D3658" w:rsidRPr="00280FAC" w:rsidRDefault="003D3658" w:rsidP="003D3658">
      <w:pPr>
        <w:pStyle w:val="Heading3"/>
      </w:pPr>
      <w:bookmarkStart w:id="8" w:name="_Toc192754490"/>
      <w:r w:rsidRPr="00280FAC">
        <w:t>Gradient Calculations</w:t>
      </w:r>
      <w:bookmarkEnd w:id="8"/>
    </w:p>
    <w:p w14:paraId="45340CEA" w14:textId="77777777" w:rsidR="003D3658" w:rsidRPr="00280FAC" w:rsidRDefault="003D3658" w:rsidP="003D3658"/>
    <w:p w14:paraId="4DF6D0EB" w14:textId="3B83A601" w:rsidR="003D3658" w:rsidRPr="00280FAC" w:rsidRDefault="00AB4271" w:rsidP="003D3658">
      <w:pPr>
        <w:pStyle w:val="Heading3"/>
      </w:pPr>
      <w:bookmarkStart w:id="9" w:name="_Toc192754491"/>
      <w:r w:rsidRPr="00280FAC">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rsidRPr="00280FAC" w14:paraId="050FAEAE" w14:textId="77777777" w:rsidTr="00F16119">
        <w:tc>
          <w:tcPr>
            <w:tcW w:w="2492" w:type="dxa"/>
          </w:tcPr>
          <w:p w14:paraId="57097462" w14:textId="77777777" w:rsidR="006F12E5" w:rsidRPr="00280FAC" w:rsidRDefault="006F12E5" w:rsidP="00F16119"/>
        </w:tc>
        <w:tc>
          <w:tcPr>
            <w:tcW w:w="2522" w:type="dxa"/>
          </w:tcPr>
          <w:p w14:paraId="20C2C8A2" w14:textId="77777777" w:rsidR="006F12E5" w:rsidRPr="00280FAC" w:rsidRDefault="006F12E5" w:rsidP="00F16119">
            <w:r w:rsidRPr="00280FAC">
              <w:t>Capacitance</w:t>
            </w:r>
          </w:p>
        </w:tc>
        <w:tc>
          <w:tcPr>
            <w:tcW w:w="2168" w:type="dxa"/>
          </w:tcPr>
          <w:p w14:paraId="6B97AEC3" w14:textId="77777777" w:rsidR="006F12E5" w:rsidRPr="00280FAC" w:rsidRDefault="006F12E5" w:rsidP="00F16119">
            <w:r w:rsidRPr="00280FAC">
              <w:t>Delta</w:t>
            </w:r>
          </w:p>
        </w:tc>
        <w:tc>
          <w:tcPr>
            <w:tcW w:w="2168" w:type="dxa"/>
          </w:tcPr>
          <w:p w14:paraId="35186CB8" w14:textId="77777777" w:rsidR="006F12E5" w:rsidRPr="00280FAC" w:rsidRDefault="006F12E5" w:rsidP="00F16119">
            <w:r w:rsidRPr="00280FAC">
              <w:t>Percentage difference</w:t>
            </w:r>
          </w:p>
        </w:tc>
      </w:tr>
      <w:tr w:rsidR="006F12E5" w:rsidRPr="00280FAC" w14:paraId="42A28B9B" w14:textId="77777777" w:rsidTr="00F16119">
        <w:tc>
          <w:tcPr>
            <w:tcW w:w="2492" w:type="dxa"/>
          </w:tcPr>
          <w:p w14:paraId="45AD08E6" w14:textId="77777777" w:rsidR="006F12E5" w:rsidRPr="00280FAC" w:rsidRDefault="006F12E5" w:rsidP="00F16119">
            <w:r w:rsidRPr="00280FAC">
              <w:t>Actual</w:t>
            </w:r>
          </w:p>
        </w:tc>
        <w:tc>
          <w:tcPr>
            <w:tcW w:w="2522" w:type="dxa"/>
          </w:tcPr>
          <w:p w14:paraId="1A3B4888" w14:textId="77777777" w:rsidR="006F12E5" w:rsidRPr="00280FAC" w:rsidRDefault="006F12E5" w:rsidP="00F16119">
            <w:r w:rsidRPr="00280FAC">
              <w:t>1</w:t>
            </w:r>
            <w:r w:rsidRPr="00280FAC">
              <w:rPr>
                <w:rFonts w:cstheme="minorHAnsi"/>
              </w:rPr>
              <w:t xml:space="preserve"> µF</w:t>
            </w:r>
          </w:p>
        </w:tc>
        <w:tc>
          <w:tcPr>
            <w:tcW w:w="2168" w:type="dxa"/>
          </w:tcPr>
          <w:p w14:paraId="6F5A4F3D" w14:textId="77777777" w:rsidR="006F12E5" w:rsidRPr="00280FAC" w:rsidRDefault="006F12E5" w:rsidP="00F16119">
            <w:r w:rsidRPr="00280FAC">
              <w:t>x</w:t>
            </w:r>
          </w:p>
        </w:tc>
        <w:tc>
          <w:tcPr>
            <w:tcW w:w="2168" w:type="dxa"/>
          </w:tcPr>
          <w:p w14:paraId="769EBC16" w14:textId="77777777" w:rsidR="006F12E5" w:rsidRPr="00280FAC" w:rsidRDefault="006F12E5" w:rsidP="00F16119">
            <w:r w:rsidRPr="00280FAC">
              <w:t>X</w:t>
            </w:r>
          </w:p>
        </w:tc>
      </w:tr>
      <w:tr w:rsidR="006F12E5" w:rsidRPr="00280FAC" w14:paraId="79B55629" w14:textId="77777777" w:rsidTr="00F16119">
        <w:tc>
          <w:tcPr>
            <w:tcW w:w="2492" w:type="dxa"/>
          </w:tcPr>
          <w:p w14:paraId="70D29DA3" w14:textId="77777777" w:rsidR="006F12E5" w:rsidRPr="00280FAC" w:rsidRDefault="006F12E5" w:rsidP="00F16119">
            <w:r w:rsidRPr="00280FAC">
              <w:t>Marker Calculation</w:t>
            </w:r>
          </w:p>
        </w:tc>
        <w:tc>
          <w:tcPr>
            <w:tcW w:w="2522" w:type="dxa"/>
          </w:tcPr>
          <w:p w14:paraId="5AF6585F" w14:textId="77777777" w:rsidR="006F12E5" w:rsidRPr="00280FAC" w:rsidRDefault="006F12E5" w:rsidP="00F16119"/>
        </w:tc>
        <w:tc>
          <w:tcPr>
            <w:tcW w:w="2168" w:type="dxa"/>
          </w:tcPr>
          <w:p w14:paraId="37A90C8E" w14:textId="77777777" w:rsidR="006F12E5" w:rsidRPr="00280FAC" w:rsidRDefault="006F12E5" w:rsidP="00F16119"/>
        </w:tc>
        <w:tc>
          <w:tcPr>
            <w:tcW w:w="2168" w:type="dxa"/>
          </w:tcPr>
          <w:p w14:paraId="6B536778" w14:textId="77777777" w:rsidR="006F12E5" w:rsidRPr="00280FAC" w:rsidRDefault="006F12E5" w:rsidP="00F16119"/>
        </w:tc>
      </w:tr>
      <w:tr w:rsidR="006F12E5" w:rsidRPr="00280FAC" w14:paraId="2DB11235" w14:textId="77777777" w:rsidTr="00F16119">
        <w:tc>
          <w:tcPr>
            <w:tcW w:w="2492" w:type="dxa"/>
          </w:tcPr>
          <w:p w14:paraId="3CB74E91" w14:textId="77777777" w:rsidR="006F12E5" w:rsidRPr="00280FAC" w:rsidRDefault="006F12E5" w:rsidP="00F16119">
            <w:r w:rsidRPr="00280FAC">
              <w:t>Gradient Calculation</w:t>
            </w:r>
          </w:p>
        </w:tc>
        <w:tc>
          <w:tcPr>
            <w:tcW w:w="2522" w:type="dxa"/>
          </w:tcPr>
          <w:p w14:paraId="5F4DEB43" w14:textId="77777777" w:rsidR="006F12E5" w:rsidRPr="00280FAC" w:rsidRDefault="006F12E5" w:rsidP="00F16119"/>
        </w:tc>
        <w:tc>
          <w:tcPr>
            <w:tcW w:w="2168" w:type="dxa"/>
          </w:tcPr>
          <w:p w14:paraId="4B475A55" w14:textId="77777777" w:rsidR="006F12E5" w:rsidRPr="00280FAC" w:rsidRDefault="006F12E5" w:rsidP="00F16119"/>
        </w:tc>
        <w:tc>
          <w:tcPr>
            <w:tcW w:w="2168" w:type="dxa"/>
          </w:tcPr>
          <w:p w14:paraId="0B61456D" w14:textId="77777777" w:rsidR="006F12E5" w:rsidRPr="00280FAC" w:rsidRDefault="006F12E5" w:rsidP="00F16119"/>
        </w:tc>
      </w:tr>
    </w:tbl>
    <w:p w14:paraId="40462598" w14:textId="77777777" w:rsidR="00AB4271" w:rsidRPr="00280FAC" w:rsidRDefault="00AB4271" w:rsidP="00AB4271"/>
    <w:p w14:paraId="097EA5C9" w14:textId="77777777" w:rsidR="00666414" w:rsidRPr="00280FAC" w:rsidRDefault="00666414" w:rsidP="00AB4271"/>
    <w:p w14:paraId="63711870" w14:textId="77777777" w:rsidR="00666414" w:rsidRPr="00280FAC" w:rsidRDefault="00666414" w:rsidP="00AB4271"/>
    <w:p w14:paraId="2C8A0689" w14:textId="77777777" w:rsidR="00666414" w:rsidRPr="00280FAC" w:rsidRDefault="00666414" w:rsidP="00AB4271"/>
    <w:p w14:paraId="60182EC0" w14:textId="39CFB00A" w:rsidR="00CC77EF" w:rsidRPr="00CC77EF" w:rsidRDefault="007C7D1F" w:rsidP="00CC77EF">
      <w:pPr>
        <w:pStyle w:val="Heading2"/>
      </w:pPr>
      <w:bookmarkStart w:id="10" w:name="_Toc192754492"/>
      <w:r w:rsidRPr="00280FAC">
        <w:lastRenderedPageBreak/>
        <w:t>Capacitor Uses (5)</w:t>
      </w:r>
      <w:bookmarkEnd w:id="10"/>
    </w:p>
    <w:p w14:paraId="3080E70A" w14:textId="73498FBD" w:rsidR="004D3FDE" w:rsidRDefault="00986974" w:rsidP="00986974">
      <w:r w:rsidRPr="00280FAC">
        <w:t>Noise filtering</w:t>
      </w:r>
      <w:r w:rsidR="00DD4388" w:rsidRPr="00280FAC">
        <w:t xml:space="preserve"> (EMI/RFI suppression) </w:t>
      </w:r>
      <w:r w:rsidR="00280FAC" w:rsidRPr="00280FAC">
        <w:t>in alternator,</w:t>
      </w:r>
      <w:r w:rsidR="00280FAC">
        <w:t xml:space="preserve"> ECU and </w:t>
      </w:r>
      <w:r w:rsidR="004D3FDE">
        <w:t>ignition system (Bosch, 2014)</w:t>
      </w:r>
    </w:p>
    <w:p w14:paraId="1D6C5B28" w14:textId="696F052A" w:rsidR="004D3FDE" w:rsidRDefault="004D3FDE" w:rsidP="00986974">
      <w:r>
        <w:t xml:space="preserve">Power </w:t>
      </w:r>
      <w:r w:rsidR="00F82C32">
        <w:t>stabilisation in ECU power supplies and sensors (Navet</w:t>
      </w:r>
      <w:r w:rsidR="00176DA7">
        <w:t xml:space="preserve">, N. and </w:t>
      </w:r>
      <w:proofErr w:type="spellStart"/>
      <w:r w:rsidR="00176DA7">
        <w:t>Simonot</w:t>
      </w:r>
      <w:proofErr w:type="spellEnd"/>
      <w:r w:rsidR="00176DA7">
        <w:t>-Lion, F., 2009)</w:t>
      </w:r>
    </w:p>
    <w:p w14:paraId="433964ED" w14:textId="05620826" w:rsidR="00176DA7" w:rsidRDefault="00176DA7" w:rsidP="00986974">
      <w:r>
        <w:t xml:space="preserve">Auto stop start </w:t>
      </w:r>
      <w:r w:rsidR="00CC77EF">
        <w:t>systems in some modern cars (</w:t>
      </w:r>
      <w:r w:rsidR="003B781D">
        <w:t>Maxwell Technologies, 2015</w:t>
      </w:r>
      <w:r w:rsidR="00CC77EF">
        <w:t>)</w:t>
      </w:r>
    </w:p>
    <w:p w14:paraId="1B2D45E1" w14:textId="2AA0555D" w:rsidR="00CC77EF" w:rsidRDefault="00FF0192" w:rsidP="00986974">
      <w:r>
        <w:t>Regenerative braking</w:t>
      </w:r>
      <w:r w:rsidR="00831828">
        <w:t xml:space="preserve"> and </w:t>
      </w:r>
      <w:proofErr w:type="spellStart"/>
      <w:r w:rsidR="00831828">
        <w:t>supercapaitors</w:t>
      </w:r>
      <w:proofErr w:type="spellEnd"/>
      <w:r w:rsidR="009645F8">
        <w:t xml:space="preserve"> (Burke, A., 2010)</w:t>
      </w:r>
    </w:p>
    <w:p w14:paraId="2CB8EC10" w14:textId="79247627" w:rsidR="009645F8" w:rsidRDefault="00F97B92" w:rsidP="00986974">
      <w:r>
        <w:t xml:space="preserve">Supressing voltage spikes in older ignition systems (Erjavec, J. and Thompson, R., </w:t>
      </w:r>
      <w:r w:rsidR="0042155A">
        <w:t>2014)</w:t>
      </w:r>
    </w:p>
    <w:p w14:paraId="4EDC369B" w14:textId="75B6ABD7" w:rsidR="0042155A" w:rsidRDefault="0042155A" w:rsidP="00986974">
      <w:r>
        <w:t>Airbag deployment/ control systems</w:t>
      </w:r>
      <w:r w:rsidR="00E36ECA">
        <w:t xml:space="preserve"> (Bosch, 2018)</w:t>
      </w:r>
    </w:p>
    <w:p w14:paraId="0CC6975E" w14:textId="2BA76BC6" w:rsidR="00E36ECA" w:rsidRDefault="0062384E" w:rsidP="00986974">
      <w:r>
        <w:t>Stereo audio systems (Knowles, D., 2008)</w:t>
      </w:r>
    </w:p>
    <w:p w14:paraId="7C5CB7B7" w14:textId="5B50F250" w:rsidR="00E36ECA" w:rsidRDefault="0009060A" w:rsidP="00986974">
      <w:r>
        <w:t>LED lights</w:t>
      </w:r>
      <w:r w:rsidR="00FE596D">
        <w:t xml:space="preserve"> – internal and external. (</w:t>
      </w:r>
      <w:r w:rsidR="008C62A6">
        <w:t>Bauer, G., Harnish, B. and Reiner, R., 2016)</w:t>
      </w:r>
    </w:p>
    <w:p w14:paraId="254E19CF" w14:textId="65B1694E" w:rsidR="008C62A6" w:rsidRDefault="0006179A" w:rsidP="00986974">
      <w:r>
        <w:t>Electric power steering</w:t>
      </w:r>
      <w:r w:rsidR="006805BE">
        <w:t xml:space="preserve"> control modules (</w:t>
      </w:r>
      <w:proofErr w:type="spellStart"/>
      <w:r w:rsidR="006805BE">
        <w:t>K</w:t>
      </w:r>
      <w:r w:rsidR="00930B84">
        <w:t>iencke</w:t>
      </w:r>
      <w:proofErr w:type="spellEnd"/>
      <w:r w:rsidR="00930B84">
        <w:t>, U. and Nielsen, L., 2005)</w:t>
      </w:r>
    </w:p>
    <w:p w14:paraId="45A570D7" w14:textId="48C61D1C" w:rsidR="00930B84" w:rsidRDefault="00930B84" w:rsidP="00986974">
      <w:r>
        <w:t xml:space="preserve">Auto and dual clutch </w:t>
      </w:r>
      <w:r w:rsidR="00230873">
        <w:t xml:space="preserve">box </w:t>
      </w:r>
      <w:r w:rsidR="00E821F6">
        <w:t>shift smoothing (Reif, K., 2015)</w:t>
      </w:r>
    </w:p>
    <w:p w14:paraId="0EC6B641" w14:textId="77777777" w:rsidR="00CC77EF" w:rsidRPr="00280FAC" w:rsidRDefault="00CC77EF" w:rsidP="00986974"/>
    <w:p w14:paraId="0E5831A0" w14:textId="0E77EEB9" w:rsidR="001728B1" w:rsidRPr="00280FAC" w:rsidRDefault="004D5065" w:rsidP="001728B1">
      <w:pPr>
        <w:pStyle w:val="Heading2"/>
      </w:pPr>
      <w:bookmarkStart w:id="11" w:name="_Toc192754493"/>
      <w:r w:rsidRPr="00280FAC">
        <w:t>Inaccur</w:t>
      </w:r>
      <w:r w:rsidR="009F732A" w:rsidRPr="00280FAC">
        <w:t>acies Question</w:t>
      </w:r>
      <w:r w:rsidR="007C7D1F" w:rsidRPr="00280FAC">
        <w:t xml:space="preserve"> (4)</w:t>
      </w:r>
      <w:bookmarkEnd w:id="11"/>
    </w:p>
    <w:p w14:paraId="4EA02785" w14:textId="16425096" w:rsidR="00301299" w:rsidRDefault="00EB4A0A" w:rsidP="00952BC4">
      <w:r>
        <w:t xml:space="preserve">There </w:t>
      </w:r>
      <w:r w:rsidR="00A84AA9">
        <w:t xml:space="preserve">may be some discrepancies between the data acquired and the </w:t>
      </w:r>
      <w:r w:rsidR="00A91597">
        <w:t xml:space="preserve">specified figures of the capacitor. </w:t>
      </w:r>
      <w:r w:rsidR="00A17AF0">
        <w:t xml:space="preserve">This could be </w:t>
      </w:r>
      <w:r w:rsidR="00602542">
        <w:t xml:space="preserve">due to the </w:t>
      </w:r>
      <w:r w:rsidR="00D662A8">
        <w:t xml:space="preserve">inexpensive scopes used not providing the most accurate readings. </w:t>
      </w:r>
      <w:r w:rsidR="00195931" w:rsidRPr="00195931">
        <w:t>High-bandwidth oscilloscopes are better suited for capturing the rapid voltage changes across a capacitor, essential when measuring small capacitances or high-speed circuits (Agilent Technologies, 2006). Similarly, a higher sampling rate improves the resolution of waveform capture, reducing errors in calculating the RC time constant (Keysight Technologies, 2018).</w:t>
      </w:r>
      <w:r w:rsidR="00195931">
        <w:t xml:space="preserve"> </w:t>
      </w:r>
      <w:r w:rsidR="004826A3" w:rsidRPr="004826A3">
        <w:t>low-quality test instruments may have insufficient resolution or accuracy, especially when measuring small capacitances (Keysight Technologies, 2018). Parasitic capacitance from test leads and PCB traces can add to the measured value, while stray inductance can distort high-frequency readings (Agilent Technologies, 2006).</w:t>
      </w:r>
    </w:p>
    <w:p w14:paraId="0DBD6723" w14:textId="01572E6F" w:rsidR="004B6F21" w:rsidRDefault="004B6F21" w:rsidP="00952BC4">
      <w:r>
        <w:t>Being realistic, there is also a significant chance that</w:t>
      </w:r>
      <w:r w:rsidR="003340DE">
        <w:t xml:space="preserve"> user error, both in measuring and calculating could </w:t>
      </w:r>
      <w:r w:rsidR="00C54956">
        <w:t>result in minor discrepancies in results</w:t>
      </w:r>
      <w:r w:rsidR="00D3593C">
        <w:t xml:space="preserve">. </w:t>
      </w:r>
      <w:r w:rsidR="00527C98">
        <w:t>Not having a suitable enough probe contact or have the wrong settings/units</w:t>
      </w:r>
      <w:r w:rsidR="0032384A">
        <w:t xml:space="preserve"> are the most likely </w:t>
      </w:r>
      <w:r w:rsidR="004977EB">
        <w:t xml:space="preserve">issues of this sort to happen, but </w:t>
      </w:r>
      <w:r w:rsidR="002F1DBE">
        <w:t xml:space="preserve">other </w:t>
      </w:r>
      <w:r w:rsidR="001E52C1">
        <w:t xml:space="preserve">things such as the frequency set </w:t>
      </w:r>
      <w:r w:rsidR="00020A71">
        <w:t xml:space="preserve">on the wrong scale </w:t>
      </w:r>
      <w:r w:rsidR="00020A71" w:rsidRPr="00020A71">
        <w:t>(Tektronix, 2019)</w:t>
      </w:r>
      <w:r w:rsidR="00020A71">
        <w:t>.</w:t>
      </w:r>
    </w:p>
    <w:p w14:paraId="04C9B4DC" w14:textId="77777777" w:rsidR="004826A3" w:rsidRDefault="004826A3" w:rsidP="00952BC4"/>
    <w:p w14:paraId="3B23A48C" w14:textId="77777777" w:rsidR="004826A3" w:rsidRDefault="004826A3" w:rsidP="00952BC4"/>
    <w:p w14:paraId="4DA6E050" w14:textId="77777777" w:rsidR="004826A3" w:rsidRDefault="004826A3" w:rsidP="00952BC4"/>
    <w:p w14:paraId="462D743F" w14:textId="77777777" w:rsidR="004826A3" w:rsidRDefault="004826A3" w:rsidP="00952BC4"/>
    <w:p w14:paraId="4D67D41C" w14:textId="77777777" w:rsidR="004826A3" w:rsidRDefault="004826A3" w:rsidP="00952BC4"/>
    <w:p w14:paraId="7F489267" w14:textId="77777777" w:rsidR="004826A3" w:rsidRDefault="004826A3" w:rsidP="00952BC4"/>
    <w:p w14:paraId="602D6D1F" w14:textId="77777777" w:rsidR="004826A3" w:rsidRDefault="004826A3" w:rsidP="00952BC4"/>
    <w:p w14:paraId="7FFEA8D8" w14:textId="77777777" w:rsidR="004826A3" w:rsidRDefault="004826A3" w:rsidP="00952BC4"/>
    <w:p w14:paraId="3DEE041B" w14:textId="77777777" w:rsidR="004826A3" w:rsidRDefault="004826A3" w:rsidP="00952BC4"/>
    <w:p w14:paraId="32265558" w14:textId="77777777" w:rsidR="004826A3" w:rsidRDefault="004826A3" w:rsidP="00952BC4"/>
    <w:p w14:paraId="2CB23205" w14:textId="77777777" w:rsidR="004826A3" w:rsidRPr="00280FAC" w:rsidRDefault="004826A3" w:rsidP="00952BC4">
      <w:pPr>
        <w:rPr>
          <w:rFonts w:asciiTheme="majorHAnsi" w:eastAsiaTheme="majorEastAsia" w:hAnsiTheme="majorHAnsi" w:cstheme="majorBidi"/>
          <w:color w:val="2F5496" w:themeColor="accent1" w:themeShade="BF"/>
          <w:sz w:val="26"/>
          <w:szCs w:val="26"/>
        </w:rPr>
      </w:pPr>
    </w:p>
    <w:p w14:paraId="3B12337A" w14:textId="05F730F7" w:rsidR="00301299" w:rsidRPr="00280FAC" w:rsidRDefault="00B25D24" w:rsidP="00301299">
      <w:pPr>
        <w:pStyle w:val="Heading1"/>
      </w:pPr>
      <w:bookmarkStart w:id="12" w:name="_Toc192754494"/>
      <w:r w:rsidRPr="00280FAC">
        <w:t>References</w:t>
      </w:r>
      <w:r w:rsidR="613AC13F" w:rsidRPr="00280FAC">
        <w:t xml:space="preserve">       </w:t>
      </w:r>
      <w:bookmarkEnd w:id="12"/>
    </w:p>
    <w:p w14:paraId="134B9820" w14:textId="3B9E35A3" w:rsidR="00C379F8" w:rsidRDefault="00C379F8" w:rsidP="007232F0">
      <w:pPr>
        <w:spacing w:before="100" w:beforeAutospacing="1" w:after="100" w:afterAutospacing="1" w:line="240" w:lineRule="auto"/>
        <w:rPr>
          <w:rFonts w:eastAsia="Times New Roman" w:cstheme="minorHAnsi"/>
          <w:sz w:val="24"/>
          <w:szCs w:val="24"/>
          <w:lang w:eastAsia="en-GB"/>
        </w:rPr>
      </w:pPr>
      <w:r w:rsidRPr="00C379F8">
        <w:rPr>
          <w:rFonts w:eastAsia="Times New Roman" w:cstheme="minorHAnsi"/>
          <w:sz w:val="24"/>
          <w:szCs w:val="24"/>
          <w:lang w:eastAsia="en-GB"/>
        </w:rPr>
        <w:t xml:space="preserve">Agilent Technologies (2006) </w:t>
      </w:r>
      <w:r w:rsidRPr="00C379F8">
        <w:rPr>
          <w:rFonts w:eastAsia="Times New Roman" w:cstheme="minorHAnsi"/>
          <w:i/>
          <w:iCs/>
          <w:sz w:val="24"/>
          <w:szCs w:val="24"/>
          <w:lang w:eastAsia="en-GB"/>
        </w:rPr>
        <w:t>Evaluating Oscilloscope Bandwidths for Your Application</w:t>
      </w:r>
      <w:r w:rsidRPr="00C379F8">
        <w:rPr>
          <w:rFonts w:eastAsia="Times New Roman" w:cstheme="minorHAnsi"/>
          <w:sz w:val="24"/>
          <w:szCs w:val="24"/>
          <w:lang w:eastAsia="en-GB"/>
        </w:rPr>
        <w:t xml:space="preserve">. Application Note 54855-1. Available at: </w:t>
      </w:r>
      <w:hyperlink r:id="rId21" w:tgtFrame="_new" w:history="1">
        <w:r w:rsidRPr="00C379F8">
          <w:rPr>
            <w:rStyle w:val="Hyperlink"/>
            <w:rFonts w:eastAsia="Times New Roman" w:cstheme="minorHAnsi"/>
            <w:sz w:val="24"/>
            <w:szCs w:val="24"/>
            <w:lang w:eastAsia="en-GB"/>
          </w:rPr>
          <w:t>https://www.keysight.com</w:t>
        </w:r>
      </w:hyperlink>
      <w:r w:rsidR="00307192">
        <w:rPr>
          <w:rFonts w:eastAsia="Times New Roman" w:cstheme="minorHAnsi"/>
          <w:sz w:val="24"/>
          <w:szCs w:val="24"/>
          <w:lang w:eastAsia="en-GB"/>
        </w:rPr>
        <w:t>.</w:t>
      </w:r>
    </w:p>
    <w:p w14:paraId="7C3CECA7" w14:textId="793221E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Bosch (2014) </w:t>
      </w:r>
      <w:r w:rsidRPr="007232F0">
        <w:rPr>
          <w:rFonts w:eastAsia="Times New Roman" w:cstheme="minorHAnsi"/>
          <w:i/>
          <w:iCs/>
          <w:sz w:val="24"/>
          <w:szCs w:val="24"/>
          <w:lang w:eastAsia="en-GB"/>
        </w:rPr>
        <w:t>Automotive Electrics and Automotive Electronics</w:t>
      </w:r>
      <w:r w:rsidRPr="007232F0">
        <w:rPr>
          <w:rFonts w:eastAsia="Times New Roman" w:cstheme="minorHAnsi"/>
          <w:sz w:val="24"/>
          <w:szCs w:val="24"/>
          <w:lang w:eastAsia="en-GB"/>
        </w:rPr>
        <w:t xml:space="preserve">. 5th ed. </w:t>
      </w:r>
      <w:proofErr w:type="spellStart"/>
      <w:r w:rsidRPr="007232F0">
        <w:rPr>
          <w:rFonts w:eastAsia="Times New Roman" w:cstheme="minorHAnsi"/>
          <w:sz w:val="24"/>
          <w:szCs w:val="24"/>
          <w:lang w:eastAsia="en-GB"/>
        </w:rPr>
        <w:t>Plochingen</w:t>
      </w:r>
      <w:proofErr w:type="spellEnd"/>
      <w:r w:rsidRPr="007232F0">
        <w:rPr>
          <w:rFonts w:eastAsia="Times New Roman" w:cstheme="minorHAnsi"/>
          <w:sz w:val="24"/>
          <w:szCs w:val="24"/>
          <w:lang w:eastAsia="en-GB"/>
        </w:rPr>
        <w:t>: Robert Bosch GmbH.</w:t>
      </w:r>
    </w:p>
    <w:p w14:paraId="484FB130"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Bosch (2018) </w:t>
      </w:r>
      <w:r w:rsidRPr="007232F0">
        <w:rPr>
          <w:rFonts w:eastAsia="Times New Roman" w:cstheme="minorHAnsi"/>
          <w:i/>
          <w:iCs/>
          <w:sz w:val="24"/>
          <w:szCs w:val="24"/>
          <w:lang w:eastAsia="en-GB"/>
        </w:rPr>
        <w:t>Automotive Handbook</w:t>
      </w:r>
      <w:r w:rsidRPr="007232F0">
        <w:rPr>
          <w:rFonts w:eastAsia="Times New Roman" w:cstheme="minorHAnsi"/>
          <w:sz w:val="24"/>
          <w:szCs w:val="24"/>
          <w:lang w:eastAsia="en-GB"/>
        </w:rPr>
        <w:t xml:space="preserve">. 10th ed. </w:t>
      </w:r>
      <w:proofErr w:type="spellStart"/>
      <w:r w:rsidRPr="007232F0">
        <w:rPr>
          <w:rFonts w:eastAsia="Times New Roman" w:cstheme="minorHAnsi"/>
          <w:sz w:val="24"/>
          <w:szCs w:val="24"/>
          <w:lang w:eastAsia="en-GB"/>
        </w:rPr>
        <w:t>Plochingen</w:t>
      </w:r>
      <w:proofErr w:type="spellEnd"/>
      <w:r w:rsidRPr="007232F0">
        <w:rPr>
          <w:rFonts w:eastAsia="Times New Roman" w:cstheme="minorHAnsi"/>
          <w:sz w:val="24"/>
          <w:szCs w:val="24"/>
          <w:lang w:eastAsia="en-GB"/>
        </w:rPr>
        <w:t>: Robert Bosch GmbH.</w:t>
      </w:r>
    </w:p>
    <w:p w14:paraId="344D5548"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Bauer, G., Harnisch, B. and Reiner, R. (2016) </w:t>
      </w:r>
      <w:r w:rsidRPr="007232F0">
        <w:rPr>
          <w:rFonts w:eastAsia="Times New Roman" w:cstheme="minorHAnsi"/>
          <w:i/>
          <w:iCs/>
          <w:sz w:val="24"/>
          <w:szCs w:val="24"/>
          <w:lang w:eastAsia="en-GB"/>
        </w:rPr>
        <w:t>Automotive Lighting and Human Vision</w:t>
      </w:r>
      <w:r w:rsidRPr="007232F0">
        <w:rPr>
          <w:rFonts w:eastAsia="Times New Roman" w:cstheme="minorHAnsi"/>
          <w:sz w:val="24"/>
          <w:szCs w:val="24"/>
          <w:lang w:eastAsia="en-GB"/>
        </w:rPr>
        <w:t>. Cham: Springer.</w:t>
      </w:r>
    </w:p>
    <w:p w14:paraId="15CD72A4"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Burke, A. (2010) ‘Applications of supercapacitors in electric and hybrid vehicles’, </w:t>
      </w:r>
      <w:r w:rsidRPr="007232F0">
        <w:rPr>
          <w:rFonts w:eastAsia="Times New Roman" w:cstheme="minorHAnsi"/>
          <w:i/>
          <w:iCs/>
          <w:sz w:val="24"/>
          <w:szCs w:val="24"/>
          <w:lang w:eastAsia="en-GB"/>
        </w:rPr>
        <w:t>Journal of Power Sources</w:t>
      </w:r>
      <w:r w:rsidRPr="007232F0">
        <w:rPr>
          <w:rFonts w:eastAsia="Times New Roman" w:cstheme="minorHAnsi"/>
          <w:sz w:val="24"/>
          <w:szCs w:val="24"/>
          <w:lang w:eastAsia="en-GB"/>
        </w:rPr>
        <w:t>, 195(24), pp. 6670–6678.</w:t>
      </w:r>
    </w:p>
    <w:p w14:paraId="05B3BBFF" w14:textId="77777777" w:rsid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Erjavec, J. and Thompson, R. (2014) </w:t>
      </w:r>
      <w:r w:rsidRPr="007232F0">
        <w:rPr>
          <w:rFonts w:eastAsia="Times New Roman" w:cstheme="minorHAnsi"/>
          <w:i/>
          <w:iCs/>
          <w:sz w:val="24"/>
          <w:szCs w:val="24"/>
          <w:lang w:eastAsia="en-GB"/>
        </w:rPr>
        <w:t>Automotive Technology: A Systems Approach</w:t>
      </w:r>
      <w:r w:rsidRPr="007232F0">
        <w:rPr>
          <w:rFonts w:eastAsia="Times New Roman" w:cstheme="minorHAnsi"/>
          <w:sz w:val="24"/>
          <w:szCs w:val="24"/>
          <w:lang w:eastAsia="en-GB"/>
        </w:rPr>
        <w:t>. 6th ed. Boston, MA: Cengage Learning.</w:t>
      </w:r>
    </w:p>
    <w:p w14:paraId="5F9A5846" w14:textId="54C0E03B" w:rsidR="00307192" w:rsidRPr="007232F0" w:rsidRDefault="00307192" w:rsidP="007232F0">
      <w:pPr>
        <w:spacing w:before="100" w:beforeAutospacing="1" w:after="100" w:afterAutospacing="1" w:line="240" w:lineRule="auto"/>
        <w:rPr>
          <w:rFonts w:eastAsia="Times New Roman" w:cstheme="minorHAnsi"/>
          <w:sz w:val="24"/>
          <w:szCs w:val="24"/>
          <w:lang w:eastAsia="en-GB"/>
        </w:rPr>
      </w:pPr>
      <w:r w:rsidRPr="00307192">
        <w:rPr>
          <w:rFonts w:eastAsia="Times New Roman" w:cstheme="minorHAnsi"/>
          <w:sz w:val="24"/>
          <w:szCs w:val="24"/>
          <w:lang w:eastAsia="en-GB"/>
        </w:rPr>
        <w:t xml:space="preserve">Keysight Technologies (2018) </w:t>
      </w:r>
      <w:r w:rsidRPr="00307192">
        <w:rPr>
          <w:rFonts w:eastAsia="Times New Roman" w:cstheme="minorHAnsi"/>
          <w:i/>
          <w:iCs/>
          <w:sz w:val="24"/>
          <w:szCs w:val="24"/>
          <w:lang w:eastAsia="en-GB"/>
        </w:rPr>
        <w:t>Making Accurate Impedance Measurements</w:t>
      </w:r>
      <w:r w:rsidRPr="00307192">
        <w:rPr>
          <w:rFonts w:eastAsia="Times New Roman" w:cstheme="minorHAnsi"/>
          <w:sz w:val="24"/>
          <w:szCs w:val="24"/>
          <w:lang w:eastAsia="en-GB"/>
        </w:rPr>
        <w:t xml:space="preserve">. Application Note 5989-3079EN. Available at: </w:t>
      </w:r>
      <w:hyperlink r:id="rId22" w:tgtFrame="_new" w:history="1">
        <w:r w:rsidRPr="00307192">
          <w:rPr>
            <w:rStyle w:val="Hyperlink"/>
            <w:rFonts w:eastAsia="Times New Roman" w:cstheme="minorHAnsi"/>
            <w:sz w:val="24"/>
            <w:szCs w:val="24"/>
            <w:lang w:eastAsia="en-GB"/>
          </w:rPr>
          <w:t>https://www.keysight.com</w:t>
        </w:r>
      </w:hyperlink>
      <w:r>
        <w:rPr>
          <w:rFonts w:eastAsia="Times New Roman" w:cstheme="minorHAnsi"/>
          <w:sz w:val="24"/>
          <w:szCs w:val="24"/>
          <w:lang w:eastAsia="en-GB"/>
        </w:rPr>
        <w:t>.</w:t>
      </w:r>
    </w:p>
    <w:p w14:paraId="5B3FE4E0"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proofErr w:type="spellStart"/>
      <w:r w:rsidRPr="007232F0">
        <w:rPr>
          <w:rFonts w:eastAsia="Times New Roman" w:cstheme="minorHAnsi"/>
          <w:sz w:val="24"/>
          <w:szCs w:val="24"/>
          <w:lang w:eastAsia="en-GB"/>
        </w:rPr>
        <w:t>Kiencke</w:t>
      </w:r>
      <w:proofErr w:type="spellEnd"/>
      <w:r w:rsidRPr="007232F0">
        <w:rPr>
          <w:rFonts w:eastAsia="Times New Roman" w:cstheme="minorHAnsi"/>
          <w:sz w:val="24"/>
          <w:szCs w:val="24"/>
          <w:lang w:eastAsia="en-GB"/>
        </w:rPr>
        <w:t xml:space="preserve">, U. and Nielsen, L. (2005) </w:t>
      </w:r>
      <w:r w:rsidRPr="007232F0">
        <w:rPr>
          <w:rFonts w:eastAsia="Times New Roman" w:cstheme="minorHAnsi"/>
          <w:i/>
          <w:iCs/>
          <w:sz w:val="24"/>
          <w:szCs w:val="24"/>
          <w:lang w:eastAsia="en-GB"/>
        </w:rPr>
        <w:t>Automotive Control Systems: For Engine, Driveline, and Vehicle</w:t>
      </w:r>
      <w:r w:rsidRPr="007232F0">
        <w:rPr>
          <w:rFonts w:eastAsia="Times New Roman" w:cstheme="minorHAnsi"/>
          <w:sz w:val="24"/>
          <w:szCs w:val="24"/>
          <w:lang w:eastAsia="en-GB"/>
        </w:rPr>
        <w:t>. 2nd ed. Berlin: Springer.</w:t>
      </w:r>
    </w:p>
    <w:p w14:paraId="3D3C4AE7"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Knowles, D. (2008) </w:t>
      </w:r>
      <w:r w:rsidRPr="007232F0">
        <w:rPr>
          <w:rFonts w:eastAsia="Times New Roman" w:cstheme="minorHAnsi"/>
          <w:i/>
          <w:iCs/>
          <w:sz w:val="24"/>
          <w:szCs w:val="24"/>
          <w:lang w:eastAsia="en-GB"/>
        </w:rPr>
        <w:t>Audio Systems: Delmar's Automotive Series</w:t>
      </w:r>
      <w:r w:rsidRPr="007232F0">
        <w:rPr>
          <w:rFonts w:eastAsia="Times New Roman" w:cstheme="minorHAnsi"/>
          <w:sz w:val="24"/>
          <w:szCs w:val="24"/>
          <w:lang w:eastAsia="en-GB"/>
        </w:rPr>
        <w:t>. Clifton Park, NY: Delmar Cengage Learning.</w:t>
      </w:r>
    </w:p>
    <w:p w14:paraId="4D125E7A"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Maxwell Technologies (2015) </w:t>
      </w:r>
      <w:r w:rsidRPr="007232F0">
        <w:rPr>
          <w:rFonts w:eastAsia="Times New Roman" w:cstheme="minorHAnsi"/>
          <w:i/>
          <w:iCs/>
          <w:sz w:val="24"/>
          <w:szCs w:val="24"/>
          <w:lang w:eastAsia="en-GB"/>
        </w:rPr>
        <w:t>Ultracapacitor Engine Start Module (ESM)</w:t>
      </w:r>
      <w:r w:rsidRPr="007232F0">
        <w:rPr>
          <w:rFonts w:eastAsia="Times New Roman" w:cstheme="minorHAnsi"/>
          <w:sz w:val="24"/>
          <w:szCs w:val="24"/>
          <w:lang w:eastAsia="en-GB"/>
        </w:rPr>
        <w:t xml:space="preserve"> [Technical note]. Available at: https://www.maxwell.com/products/esm/ (Accessed: [insert date]).</w:t>
      </w:r>
    </w:p>
    <w:p w14:paraId="54BF5100" w14:textId="77777777" w:rsidR="007232F0" w:rsidRP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Navet, N. and </w:t>
      </w:r>
      <w:proofErr w:type="spellStart"/>
      <w:r w:rsidRPr="007232F0">
        <w:rPr>
          <w:rFonts w:eastAsia="Times New Roman" w:cstheme="minorHAnsi"/>
          <w:sz w:val="24"/>
          <w:szCs w:val="24"/>
          <w:lang w:eastAsia="en-GB"/>
        </w:rPr>
        <w:t>Simonot</w:t>
      </w:r>
      <w:proofErr w:type="spellEnd"/>
      <w:r w:rsidRPr="007232F0">
        <w:rPr>
          <w:rFonts w:eastAsia="Times New Roman" w:cstheme="minorHAnsi"/>
          <w:sz w:val="24"/>
          <w:szCs w:val="24"/>
          <w:lang w:eastAsia="en-GB"/>
        </w:rPr>
        <w:t xml:space="preserve">-Lion, F. (2009) </w:t>
      </w:r>
      <w:r w:rsidRPr="007232F0">
        <w:rPr>
          <w:rFonts w:eastAsia="Times New Roman" w:cstheme="minorHAnsi"/>
          <w:i/>
          <w:iCs/>
          <w:sz w:val="24"/>
          <w:szCs w:val="24"/>
          <w:lang w:eastAsia="en-GB"/>
        </w:rPr>
        <w:t>Automotive Embedded Systems Handbook</w:t>
      </w:r>
      <w:r w:rsidRPr="007232F0">
        <w:rPr>
          <w:rFonts w:eastAsia="Times New Roman" w:cstheme="minorHAnsi"/>
          <w:sz w:val="24"/>
          <w:szCs w:val="24"/>
          <w:lang w:eastAsia="en-GB"/>
        </w:rPr>
        <w:t>. Boca Raton, FL: CRC Press.</w:t>
      </w:r>
    </w:p>
    <w:p w14:paraId="4A934F4E" w14:textId="77777777" w:rsidR="007232F0" w:rsidRDefault="007232F0" w:rsidP="007232F0">
      <w:pPr>
        <w:spacing w:before="100" w:beforeAutospacing="1" w:after="100" w:afterAutospacing="1" w:line="240" w:lineRule="auto"/>
        <w:rPr>
          <w:rFonts w:eastAsia="Times New Roman" w:cstheme="minorHAnsi"/>
          <w:sz w:val="24"/>
          <w:szCs w:val="24"/>
          <w:lang w:eastAsia="en-GB"/>
        </w:rPr>
      </w:pPr>
      <w:r w:rsidRPr="007232F0">
        <w:rPr>
          <w:rFonts w:eastAsia="Times New Roman" w:cstheme="minorHAnsi"/>
          <w:sz w:val="24"/>
          <w:szCs w:val="24"/>
          <w:lang w:eastAsia="en-GB"/>
        </w:rPr>
        <w:t xml:space="preserve">Reif, K. (2015) </w:t>
      </w:r>
      <w:r w:rsidRPr="007232F0">
        <w:rPr>
          <w:rFonts w:eastAsia="Times New Roman" w:cstheme="minorHAnsi"/>
          <w:i/>
          <w:iCs/>
          <w:sz w:val="24"/>
          <w:szCs w:val="24"/>
          <w:lang w:eastAsia="en-GB"/>
        </w:rPr>
        <w:t>Automotive Mechatronics: Automotive Networking, Driving Stability Systems, Electronics</w:t>
      </w:r>
      <w:r w:rsidRPr="007232F0">
        <w:rPr>
          <w:rFonts w:eastAsia="Times New Roman" w:cstheme="minorHAnsi"/>
          <w:sz w:val="24"/>
          <w:szCs w:val="24"/>
          <w:lang w:eastAsia="en-GB"/>
        </w:rPr>
        <w:t>. Wiesbaden: Springer Vieweg.</w:t>
      </w:r>
    </w:p>
    <w:p w14:paraId="076BFBC4" w14:textId="4CF543F5" w:rsidR="00307192" w:rsidRPr="007232F0" w:rsidRDefault="00307192" w:rsidP="007232F0">
      <w:pPr>
        <w:spacing w:before="100" w:beforeAutospacing="1" w:after="100" w:afterAutospacing="1" w:line="240" w:lineRule="auto"/>
        <w:rPr>
          <w:rFonts w:eastAsia="Times New Roman" w:cstheme="minorHAnsi"/>
          <w:sz w:val="24"/>
          <w:szCs w:val="24"/>
          <w:lang w:eastAsia="en-GB"/>
        </w:rPr>
      </w:pPr>
      <w:r w:rsidRPr="00307192">
        <w:rPr>
          <w:rFonts w:eastAsia="Times New Roman" w:cstheme="minorHAnsi"/>
          <w:sz w:val="24"/>
          <w:szCs w:val="24"/>
          <w:lang w:eastAsia="en-GB"/>
        </w:rPr>
        <w:t xml:space="preserve">Tektronix (2019) </w:t>
      </w:r>
      <w:r w:rsidRPr="00307192">
        <w:rPr>
          <w:rFonts w:eastAsia="Times New Roman" w:cstheme="minorHAnsi"/>
          <w:i/>
          <w:iCs/>
          <w:sz w:val="24"/>
          <w:szCs w:val="24"/>
          <w:lang w:eastAsia="en-GB"/>
        </w:rPr>
        <w:t>Oscilloscope Fundamentals Primer</w:t>
      </w:r>
      <w:r w:rsidRPr="00307192">
        <w:rPr>
          <w:rFonts w:eastAsia="Times New Roman" w:cstheme="minorHAnsi"/>
          <w:sz w:val="24"/>
          <w:szCs w:val="24"/>
          <w:lang w:eastAsia="en-GB"/>
        </w:rPr>
        <w:t xml:space="preserve">. Available at: </w:t>
      </w:r>
      <w:hyperlink r:id="rId23" w:history="1">
        <w:r w:rsidR="00035557" w:rsidRPr="00C3737D">
          <w:rPr>
            <w:rStyle w:val="Hyperlink"/>
            <w:rFonts w:eastAsia="Times New Roman" w:cstheme="minorHAnsi"/>
            <w:sz w:val="24"/>
            <w:szCs w:val="24"/>
            <w:lang w:eastAsia="en-GB"/>
          </w:rPr>
          <w:t>https://www.tek.com/document/primer/oscilloscope-fundamentals-primer</w:t>
        </w:r>
      </w:hyperlink>
      <w:r w:rsidR="00035557">
        <w:rPr>
          <w:rFonts w:eastAsia="Times New Roman" w:cstheme="minorHAnsi"/>
          <w:sz w:val="24"/>
          <w:szCs w:val="24"/>
          <w:lang w:eastAsia="en-GB"/>
        </w:rPr>
        <w:t xml:space="preserve">. </w:t>
      </w:r>
    </w:p>
    <w:p w14:paraId="622A0EBC" w14:textId="5E22E876" w:rsidR="0004542F" w:rsidRPr="0004542F" w:rsidRDefault="0004542F" w:rsidP="007232F0"/>
    <w:sectPr w:rsidR="0004542F" w:rsidRPr="0004542F" w:rsidSect="00D26C24">
      <w:headerReference w:type="first" r:id="rId24"/>
      <w:footerReference w:type="firs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9B77D" w14:textId="77777777" w:rsidR="009C3E6D" w:rsidRPr="00280FAC" w:rsidRDefault="009C3E6D" w:rsidP="00962E5F">
      <w:pPr>
        <w:spacing w:after="0" w:line="240" w:lineRule="auto"/>
      </w:pPr>
      <w:r w:rsidRPr="00280FAC">
        <w:separator/>
      </w:r>
    </w:p>
  </w:endnote>
  <w:endnote w:type="continuationSeparator" w:id="0">
    <w:p w14:paraId="67907E5A" w14:textId="77777777" w:rsidR="009C3E6D" w:rsidRPr="00280FAC" w:rsidRDefault="009C3E6D" w:rsidP="00962E5F">
      <w:pPr>
        <w:spacing w:after="0" w:line="240" w:lineRule="auto"/>
      </w:pPr>
      <w:r w:rsidRPr="00280FAC">
        <w:continuationSeparator/>
      </w:r>
    </w:p>
  </w:endnote>
  <w:endnote w:type="continuationNotice" w:id="1">
    <w:p w14:paraId="5ECF6455" w14:textId="77777777" w:rsidR="009C3E6D" w:rsidRPr="00280FAC" w:rsidRDefault="009C3E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Content>
      <w:p w14:paraId="391E8D6E" w14:textId="6A13F9CE" w:rsidR="00962E5F" w:rsidRPr="00280FAC" w:rsidRDefault="00962E5F">
        <w:pPr>
          <w:pStyle w:val="Footer"/>
          <w:jc w:val="center"/>
        </w:pPr>
        <w:r w:rsidRPr="00280FAC">
          <w:fldChar w:fldCharType="begin"/>
        </w:r>
        <w:r w:rsidRPr="00280FAC">
          <w:instrText xml:space="preserve"> PAGE   \* MERGEFORMAT </w:instrText>
        </w:r>
        <w:r w:rsidRPr="00280FAC">
          <w:fldChar w:fldCharType="separate"/>
        </w:r>
        <w:r w:rsidRPr="00280FAC">
          <w:t>2</w:t>
        </w:r>
        <w:r w:rsidRPr="00280FAC">
          <w:fldChar w:fldCharType="end"/>
        </w:r>
      </w:p>
    </w:sdtContent>
  </w:sdt>
  <w:p w14:paraId="035E37B3" w14:textId="548A9824" w:rsidR="00962E5F" w:rsidRPr="00280FAC" w:rsidRDefault="00962E5F" w:rsidP="00962E5F">
    <w:pPr>
      <w:pStyle w:val="Footer"/>
      <w:tabs>
        <w:tab w:val="clear" w:pos="4513"/>
        <w:tab w:val="clear" w:pos="9026"/>
        <w:tab w:val="left" w:pos="5570"/>
      </w:tabs>
    </w:pPr>
    <w:r w:rsidRPr="00280FAC">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63FA2016" w14:textId="77777777" w:rsidTr="1A0829CE">
      <w:trPr>
        <w:trHeight w:val="300"/>
      </w:trPr>
      <w:tc>
        <w:tcPr>
          <w:tcW w:w="3005" w:type="dxa"/>
        </w:tcPr>
        <w:p w14:paraId="247D2B80" w14:textId="5C98CF36" w:rsidR="1A0829CE" w:rsidRPr="00280FAC" w:rsidRDefault="1A0829CE" w:rsidP="1A0829CE">
          <w:pPr>
            <w:pStyle w:val="Header"/>
            <w:ind w:left="-115"/>
          </w:pPr>
        </w:p>
      </w:tc>
      <w:tc>
        <w:tcPr>
          <w:tcW w:w="3005" w:type="dxa"/>
        </w:tcPr>
        <w:p w14:paraId="7ACBC4B6" w14:textId="599828BC" w:rsidR="1A0829CE" w:rsidRPr="00280FAC" w:rsidRDefault="1A0829CE" w:rsidP="1A0829CE">
          <w:pPr>
            <w:pStyle w:val="Header"/>
            <w:jc w:val="center"/>
          </w:pPr>
        </w:p>
      </w:tc>
      <w:tc>
        <w:tcPr>
          <w:tcW w:w="3005" w:type="dxa"/>
        </w:tcPr>
        <w:p w14:paraId="5A074F27" w14:textId="2C9DEACD" w:rsidR="1A0829CE" w:rsidRPr="00280FAC" w:rsidRDefault="1A0829CE" w:rsidP="1A0829CE">
          <w:pPr>
            <w:pStyle w:val="Header"/>
            <w:ind w:right="-115"/>
            <w:jc w:val="right"/>
          </w:pPr>
        </w:p>
      </w:tc>
    </w:tr>
  </w:tbl>
  <w:p w14:paraId="30283796" w14:textId="64830F06" w:rsidR="1A0829CE" w:rsidRPr="00280FAC" w:rsidRDefault="1A0829CE" w:rsidP="1A0829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596CDB7F" w14:textId="77777777" w:rsidTr="1A0829CE">
      <w:trPr>
        <w:trHeight w:val="300"/>
      </w:trPr>
      <w:tc>
        <w:tcPr>
          <w:tcW w:w="3005" w:type="dxa"/>
        </w:tcPr>
        <w:p w14:paraId="3F4E2983" w14:textId="249E6186" w:rsidR="1A0829CE" w:rsidRPr="00280FAC" w:rsidRDefault="1A0829CE" w:rsidP="1A0829CE">
          <w:pPr>
            <w:pStyle w:val="Header"/>
            <w:ind w:left="-115"/>
          </w:pPr>
        </w:p>
      </w:tc>
      <w:tc>
        <w:tcPr>
          <w:tcW w:w="3005" w:type="dxa"/>
        </w:tcPr>
        <w:p w14:paraId="232B2A00" w14:textId="05FE30BE" w:rsidR="1A0829CE" w:rsidRPr="00280FAC" w:rsidRDefault="1A0829CE" w:rsidP="1A0829CE">
          <w:pPr>
            <w:pStyle w:val="Header"/>
            <w:jc w:val="center"/>
          </w:pPr>
        </w:p>
      </w:tc>
      <w:tc>
        <w:tcPr>
          <w:tcW w:w="3005" w:type="dxa"/>
        </w:tcPr>
        <w:p w14:paraId="2E60699F" w14:textId="65E3425E" w:rsidR="1A0829CE" w:rsidRPr="00280FAC" w:rsidRDefault="1A0829CE" w:rsidP="1A0829CE">
          <w:pPr>
            <w:pStyle w:val="Header"/>
            <w:ind w:right="-115"/>
            <w:jc w:val="right"/>
          </w:pPr>
        </w:p>
      </w:tc>
    </w:tr>
  </w:tbl>
  <w:p w14:paraId="1EDAEE3D" w14:textId="3BB5DF82" w:rsidR="1A0829CE" w:rsidRPr="00280FAC" w:rsidRDefault="1A0829CE" w:rsidP="1A0829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2F03F09F" w14:textId="77777777" w:rsidTr="1A0829CE">
      <w:trPr>
        <w:trHeight w:val="300"/>
      </w:trPr>
      <w:tc>
        <w:tcPr>
          <w:tcW w:w="3005" w:type="dxa"/>
        </w:tcPr>
        <w:p w14:paraId="57223AF9" w14:textId="4D85606B" w:rsidR="1A0829CE" w:rsidRPr="00280FAC" w:rsidRDefault="1A0829CE" w:rsidP="1A0829CE">
          <w:pPr>
            <w:pStyle w:val="Header"/>
            <w:ind w:left="-115"/>
          </w:pPr>
        </w:p>
      </w:tc>
      <w:tc>
        <w:tcPr>
          <w:tcW w:w="3005" w:type="dxa"/>
        </w:tcPr>
        <w:p w14:paraId="2BB998E8" w14:textId="5A8E2AC9" w:rsidR="1A0829CE" w:rsidRPr="00280FAC" w:rsidRDefault="1A0829CE" w:rsidP="1A0829CE">
          <w:pPr>
            <w:pStyle w:val="Header"/>
            <w:jc w:val="center"/>
          </w:pPr>
        </w:p>
      </w:tc>
      <w:tc>
        <w:tcPr>
          <w:tcW w:w="3005" w:type="dxa"/>
        </w:tcPr>
        <w:p w14:paraId="2C3D369B" w14:textId="07055622" w:rsidR="1A0829CE" w:rsidRPr="00280FAC" w:rsidRDefault="1A0829CE" w:rsidP="1A0829CE">
          <w:pPr>
            <w:pStyle w:val="Header"/>
            <w:ind w:right="-115"/>
            <w:jc w:val="right"/>
          </w:pPr>
        </w:p>
      </w:tc>
    </w:tr>
  </w:tbl>
  <w:p w14:paraId="17CCC09B" w14:textId="3CF3D0ED" w:rsidR="1A0829CE" w:rsidRPr="00280FAC" w:rsidRDefault="1A0829CE" w:rsidP="1A082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6278E" w14:textId="77777777" w:rsidR="009C3E6D" w:rsidRPr="00280FAC" w:rsidRDefault="009C3E6D" w:rsidP="00962E5F">
      <w:pPr>
        <w:spacing w:after="0" w:line="240" w:lineRule="auto"/>
      </w:pPr>
      <w:r w:rsidRPr="00280FAC">
        <w:separator/>
      </w:r>
    </w:p>
  </w:footnote>
  <w:footnote w:type="continuationSeparator" w:id="0">
    <w:p w14:paraId="0DE04AEB" w14:textId="77777777" w:rsidR="009C3E6D" w:rsidRPr="00280FAC" w:rsidRDefault="009C3E6D" w:rsidP="00962E5F">
      <w:pPr>
        <w:spacing w:after="0" w:line="240" w:lineRule="auto"/>
      </w:pPr>
      <w:r w:rsidRPr="00280FAC">
        <w:continuationSeparator/>
      </w:r>
    </w:p>
  </w:footnote>
  <w:footnote w:type="continuationNotice" w:id="1">
    <w:p w14:paraId="4CED5165" w14:textId="77777777" w:rsidR="009C3E6D" w:rsidRPr="00280FAC" w:rsidRDefault="009C3E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D25CBD2" w:rsidR="000D61BC" w:rsidRPr="00280FAC" w:rsidRDefault="00BF22C4">
    <w:pPr>
      <w:pStyle w:val="Header"/>
    </w:pPr>
    <w:r>
      <w:t>Finlay Kingscott</w:t>
    </w:r>
    <w:r w:rsidR="000D61BC" w:rsidRPr="00280FAC">
      <w:ptab w:relativeTo="margin" w:alignment="center" w:leader="none"/>
    </w:r>
    <w:r>
      <w:t>Electrical Control Systems</w:t>
    </w:r>
    <w:r w:rsidR="000D61BC" w:rsidRPr="00280FAC">
      <w:ptab w:relativeTo="margin" w:alignment="right" w:leader="none"/>
    </w:r>
    <w:r>
      <w:t>2410844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507E3931" w14:textId="77777777" w:rsidTr="1A0829CE">
      <w:trPr>
        <w:trHeight w:val="300"/>
      </w:trPr>
      <w:tc>
        <w:tcPr>
          <w:tcW w:w="3005" w:type="dxa"/>
        </w:tcPr>
        <w:p w14:paraId="34C40AB8" w14:textId="0D6EA5D4" w:rsidR="1A0829CE" w:rsidRPr="00280FAC" w:rsidRDefault="1A0829CE" w:rsidP="1A0829CE">
          <w:pPr>
            <w:pStyle w:val="Header"/>
            <w:ind w:left="-115"/>
          </w:pPr>
        </w:p>
      </w:tc>
      <w:tc>
        <w:tcPr>
          <w:tcW w:w="3005" w:type="dxa"/>
        </w:tcPr>
        <w:p w14:paraId="2503EBC1" w14:textId="69ADCE0A" w:rsidR="1A0829CE" w:rsidRPr="00280FAC" w:rsidRDefault="1A0829CE" w:rsidP="1A0829CE">
          <w:pPr>
            <w:pStyle w:val="Header"/>
            <w:jc w:val="center"/>
          </w:pPr>
        </w:p>
      </w:tc>
      <w:tc>
        <w:tcPr>
          <w:tcW w:w="3005" w:type="dxa"/>
        </w:tcPr>
        <w:p w14:paraId="474E914E" w14:textId="269771D4" w:rsidR="1A0829CE" w:rsidRPr="00280FAC" w:rsidRDefault="1A0829CE" w:rsidP="1A0829CE">
          <w:pPr>
            <w:pStyle w:val="Header"/>
            <w:ind w:right="-115"/>
            <w:jc w:val="right"/>
          </w:pPr>
        </w:p>
      </w:tc>
    </w:tr>
  </w:tbl>
  <w:p w14:paraId="1B99F48F" w14:textId="10AC78E3" w:rsidR="1A0829CE" w:rsidRPr="00280FAC" w:rsidRDefault="1A0829CE" w:rsidP="1A0829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5B53F344" w14:textId="77777777" w:rsidTr="1A0829CE">
      <w:trPr>
        <w:trHeight w:val="300"/>
      </w:trPr>
      <w:tc>
        <w:tcPr>
          <w:tcW w:w="3005" w:type="dxa"/>
        </w:tcPr>
        <w:p w14:paraId="3E7F36F2" w14:textId="19763CF9" w:rsidR="1A0829CE" w:rsidRPr="00280FAC" w:rsidRDefault="1A0829CE" w:rsidP="1A0829CE">
          <w:pPr>
            <w:pStyle w:val="Header"/>
            <w:ind w:left="-115"/>
          </w:pPr>
        </w:p>
      </w:tc>
      <w:tc>
        <w:tcPr>
          <w:tcW w:w="3005" w:type="dxa"/>
        </w:tcPr>
        <w:p w14:paraId="18399E1C" w14:textId="4A88A9BC" w:rsidR="1A0829CE" w:rsidRPr="00280FAC" w:rsidRDefault="1A0829CE" w:rsidP="1A0829CE">
          <w:pPr>
            <w:pStyle w:val="Header"/>
            <w:jc w:val="center"/>
          </w:pPr>
        </w:p>
      </w:tc>
      <w:tc>
        <w:tcPr>
          <w:tcW w:w="3005" w:type="dxa"/>
        </w:tcPr>
        <w:p w14:paraId="498929EB" w14:textId="5661047C" w:rsidR="1A0829CE" w:rsidRPr="00280FAC" w:rsidRDefault="1A0829CE" w:rsidP="1A0829CE">
          <w:pPr>
            <w:pStyle w:val="Header"/>
            <w:ind w:right="-115"/>
            <w:jc w:val="right"/>
          </w:pPr>
        </w:p>
      </w:tc>
    </w:tr>
  </w:tbl>
  <w:p w14:paraId="749E7A59" w14:textId="41AEB877" w:rsidR="1A0829CE" w:rsidRPr="00280FAC" w:rsidRDefault="1A0829CE" w:rsidP="1A0829C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0829CE" w:rsidRPr="00280FAC" w14:paraId="1F64C6E0" w14:textId="77777777" w:rsidTr="1A0829CE">
      <w:trPr>
        <w:trHeight w:val="300"/>
      </w:trPr>
      <w:tc>
        <w:tcPr>
          <w:tcW w:w="3005" w:type="dxa"/>
        </w:tcPr>
        <w:p w14:paraId="66FCC165" w14:textId="72D11416" w:rsidR="1A0829CE" w:rsidRPr="00280FAC" w:rsidRDefault="1A0829CE" w:rsidP="1A0829CE">
          <w:pPr>
            <w:pStyle w:val="Header"/>
            <w:ind w:left="-115"/>
          </w:pPr>
        </w:p>
      </w:tc>
      <w:tc>
        <w:tcPr>
          <w:tcW w:w="3005" w:type="dxa"/>
        </w:tcPr>
        <w:p w14:paraId="2F8BD73E" w14:textId="4CECA441" w:rsidR="1A0829CE" w:rsidRPr="00280FAC" w:rsidRDefault="1A0829CE" w:rsidP="1A0829CE">
          <w:pPr>
            <w:pStyle w:val="Header"/>
            <w:jc w:val="center"/>
          </w:pPr>
        </w:p>
      </w:tc>
      <w:tc>
        <w:tcPr>
          <w:tcW w:w="3005" w:type="dxa"/>
        </w:tcPr>
        <w:p w14:paraId="7E711A2E" w14:textId="36EC90DA" w:rsidR="1A0829CE" w:rsidRPr="00280FAC" w:rsidRDefault="1A0829CE" w:rsidP="1A0829CE">
          <w:pPr>
            <w:pStyle w:val="Header"/>
            <w:ind w:right="-115"/>
            <w:jc w:val="right"/>
          </w:pPr>
        </w:p>
      </w:tc>
    </w:tr>
  </w:tbl>
  <w:p w14:paraId="0AA9FE5E" w14:textId="649F16FA" w:rsidR="1A0829CE" w:rsidRPr="00280FAC" w:rsidRDefault="1A0829CE" w:rsidP="1A0829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20A71"/>
    <w:rsid w:val="00035557"/>
    <w:rsid w:val="0004542F"/>
    <w:rsid w:val="00060EC0"/>
    <w:rsid w:val="0006179A"/>
    <w:rsid w:val="00067C94"/>
    <w:rsid w:val="00074BE3"/>
    <w:rsid w:val="000857FE"/>
    <w:rsid w:val="0009060A"/>
    <w:rsid w:val="000A153D"/>
    <w:rsid w:val="000B00C5"/>
    <w:rsid w:val="000C44D0"/>
    <w:rsid w:val="000D61BC"/>
    <w:rsid w:val="000F0D22"/>
    <w:rsid w:val="00123D93"/>
    <w:rsid w:val="001454FC"/>
    <w:rsid w:val="00156CE0"/>
    <w:rsid w:val="001728B1"/>
    <w:rsid w:val="00176DA7"/>
    <w:rsid w:val="0019332E"/>
    <w:rsid w:val="00195931"/>
    <w:rsid w:val="001A28D5"/>
    <w:rsid w:val="001A3EB3"/>
    <w:rsid w:val="001A4EB7"/>
    <w:rsid w:val="001D16D3"/>
    <w:rsid w:val="001D34E0"/>
    <w:rsid w:val="001D60EB"/>
    <w:rsid w:val="001E3C05"/>
    <w:rsid w:val="001E52C1"/>
    <w:rsid w:val="001F6919"/>
    <w:rsid w:val="00201A61"/>
    <w:rsid w:val="00203670"/>
    <w:rsid w:val="002044B2"/>
    <w:rsid w:val="00230873"/>
    <w:rsid w:val="0024740C"/>
    <w:rsid w:val="00270878"/>
    <w:rsid w:val="00280FAC"/>
    <w:rsid w:val="002A2C0D"/>
    <w:rsid w:val="002A400B"/>
    <w:rsid w:val="002C2808"/>
    <w:rsid w:val="002D0F41"/>
    <w:rsid w:val="002F0B84"/>
    <w:rsid w:val="002F1DBE"/>
    <w:rsid w:val="00301299"/>
    <w:rsid w:val="00307192"/>
    <w:rsid w:val="003211F6"/>
    <w:rsid w:val="0032384A"/>
    <w:rsid w:val="00324D41"/>
    <w:rsid w:val="00324EDD"/>
    <w:rsid w:val="003340DE"/>
    <w:rsid w:val="00337E35"/>
    <w:rsid w:val="00367038"/>
    <w:rsid w:val="0037417D"/>
    <w:rsid w:val="00395053"/>
    <w:rsid w:val="003A02C3"/>
    <w:rsid w:val="003B1A68"/>
    <w:rsid w:val="003B781D"/>
    <w:rsid w:val="003D2A1B"/>
    <w:rsid w:val="003D3658"/>
    <w:rsid w:val="003F05B1"/>
    <w:rsid w:val="00400DC7"/>
    <w:rsid w:val="0042155A"/>
    <w:rsid w:val="00431D66"/>
    <w:rsid w:val="004506B2"/>
    <w:rsid w:val="0045095D"/>
    <w:rsid w:val="004826A3"/>
    <w:rsid w:val="004977EB"/>
    <w:rsid w:val="004B6F21"/>
    <w:rsid w:val="004D3FDE"/>
    <w:rsid w:val="004D5065"/>
    <w:rsid w:val="004E2E7C"/>
    <w:rsid w:val="004E38F5"/>
    <w:rsid w:val="004F1C1E"/>
    <w:rsid w:val="004F2C29"/>
    <w:rsid w:val="0050456F"/>
    <w:rsid w:val="00510730"/>
    <w:rsid w:val="00514DC8"/>
    <w:rsid w:val="005243C9"/>
    <w:rsid w:val="00527C98"/>
    <w:rsid w:val="005356C3"/>
    <w:rsid w:val="005919FC"/>
    <w:rsid w:val="005A1A57"/>
    <w:rsid w:val="005D62C6"/>
    <w:rsid w:val="005D7784"/>
    <w:rsid w:val="005E4F7B"/>
    <w:rsid w:val="005F4B3F"/>
    <w:rsid w:val="00602542"/>
    <w:rsid w:val="0062384E"/>
    <w:rsid w:val="0063622C"/>
    <w:rsid w:val="00647B3D"/>
    <w:rsid w:val="00651E6C"/>
    <w:rsid w:val="00660A53"/>
    <w:rsid w:val="00664834"/>
    <w:rsid w:val="0066554A"/>
    <w:rsid w:val="00666414"/>
    <w:rsid w:val="006805BE"/>
    <w:rsid w:val="00684820"/>
    <w:rsid w:val="0069150D"/>
    <w:rsid w:val="006A4811"/>
    <w:rsid w:val="006F12E5"/>
    <w:rsid w:val="007071B6"/>
    <w:rsid w:val="007232F0"/>
    <w:rsid w:val="00746710"/>
    <w:rsid w:val="0075047F"/>
    <w:rsid w:val="00750A67"/>
    <w:rsid w:val="00762464"/>
    <w:rsid w:val="007861CC"/>
    <w:rsid w:val="007A0C00"/>
    <w:rsid w:val="007C7D1F"/>
    <w:rsid w:val="007D5B33"/>
    <w:rsid w:val="008104B7"/>
    <w:rsid w:val="00814DB7"/>
    <w:rsid w:val="0083020F"/>
    <w:rsid w:val="00831828"/>
    <w:rsid w:val="0086680C"/>
    <w:rsid w:val="008B05DA"/>
    <w:rsid w:val="008B60DA"/>
    <w:rsid w:val="008C62A6"/>
    <w:rsid w:val="008F2254"/>
    <w:rsid w:val="00901BF3"/>
    <w:rsid w:val="00915067"/>
    <w:rsid w:val="00930B84"/>
    <w:rsid w:val="00952BC4"/>
    <w:rsid w:val="00962E5F"/>
    <w:rsid w:val="009645F8"/>
    <w:rsid w:val="00965787"/>
    <w:rsid w:val="00975679"/>
    <w:rsid w:val="00986974"/>
    <w:rsid w:val="0098747D"/>
    <w:rsid w:val="009C3E6D"/>
    <w:rsid w:val="009D1102"/>
    <w:rsid w:val="009E723C"/>
    <w:rsid w:val="009F732A"/>
    <w:rsid w:val="009F7CCB"/>
    <w:rsid w:val="00A17AF0"/>
    <w:rsid w:val="00A270CA"/>
    <w:rsid w:val="00A328F8"/>
    <w:rsid w:val="00A358CC"/>
    <w:rsid w:val="00A64BD1"/>
    <w:rsid w:val="00A803E8"/>
    <w:rsid w:val="00A84AA9"/>
    <w:rsid w:val="00A91597"/>
    <w:rsid w:val="00AB4271"/>
    <w:rsid w:val="00AE0A7D"/>
    <w:rsid w:val="00AE0F5E"/>
    <w:rsid w:val="00AF4C87"/>
    <w:rsid w:val="00B0072D"/>
    <w:rsid w:val="00B030CA"/>
    <w:rsid w:val="00B14C99"/>
    <w:rsid w:val="00B25D24"/>
    <w:rsid w:val="00B44170"/>
    <w:rsid w:val="00BA4DAA"/>
    <w:rsid w:val="00BF22C4"/>
    <w:rsid w:val="00C34C38"/>
    <w:rsid w:val="00C379F8"/>
    <w:rsid w:val="00C54956"/>
    <w:rsid w:val="00C675BB"/>
    <w:rsid w:val="00C8273F"/>
    <w:rsid w:val="00CA5F1C"/>
    <w:rsid w:val="00CB26E8"/>
    <w:rsid w:val="00CC77EF"/>
    <w:rsid w:val="00CD63BF"/>
    <w:rsid w:val="00CE1BEC"/>
    <w:rsid w:val="00CE51D4"/>
    <w:rsid w:val="00D26C24"/>
    <w:rsid w:val="00D31B44"/>
    <w:rsid w:val="00D3593C"/>
    <w:rsid w:val="00D662A8"/>
    <w:rsid w:val="00D80299"/>
    <w:rsid w:val="00D95D78"/>
    <w:rsid w:val="00DB24FE"/>
    <w:rsid w:val="00DC25E0"/>
    <w:rsid w:val="00DD4388"/>
    <w:rsid w:val="00DD6E31"/>
    <w:rsid w:val="00E24076"/>
    <w:rsid w:val="00E279FB"/>
    <w:rsid w:val="00E33435"/>
    <w:rsid w:val="00E36ECA"/>
    <w:rsid w:val="00E44D60"/>
    <w:rsid w:val="00E5667C"/>
    <w:rsid w:val="00E614D4"/>
    <w:rsid w:val="00E821F6"/>
    <w:rsid w:val="00E829CD"/>
    <w:rsid w:val="00E872AF"/>
    <w:rsid w:val="00E930BA"/>
    <w:rsid w:val="00EB1358"/>
    <w:rsid w:val="00EB4A0A"/>
    <w:rsid w:val="00EC72C3"/>
    <w:rsid w:val="00EE230E"/>
    <w:rsid w:val="00EE755C"/>
    <w:rsid w:val="00F16119"/>
    <w:rsid w:val="00F32D0B"/>
    <w:rsid w:val="00F63948"/>
    <w:rsid w:val="00F67E11"/>
    <w:rsid w:val="00F82C32"/>
    <w:rsid w:val="00F97B92"/>
    <w:rsid w:val="00FA11A3"/>
    <w:rsid w:val="00FC3082"/>
    <w:rsid w:val="00FC4B58"/>
    <w:rsid w:val="00FE596D"/>
    <w:rsid w:val="00FF0192"/>
    <w:rsid w:val="00FF63F2"/>
    <w:rsid w:val="012A51D9"/>
    <w:rsid w:val="01960972"/>
    <w:rsid w:val="05F86DFE"/>
    <w:rsid w:val="06266E98"/>
    <w:rsid w:val="0684E59C"/>
    <w:rsid w:val="06B93D80"/>
    <w:rsid w:val="0AFDD9E6"/>
    <w:rsid w:val="0B4B5C16"/>
    <w:rsid w:val="0D34DA61"/>
    <w:rsid w:val="0DCFEBB1"/>
    <w:rsid w:val="1A0829CE"/>
    <w:rsid w:val="1C4488E8"/>
    <w:rsid w:val="1C6A5902"/>
    <w:rsid w:val="1CEEA826"/>
    <w:rsid w:val="1E6D955D"/>
    <w:rsid w:val="201B2788"/>
    <w:rsid w:val="2533FD66"/>
    <w:rsid w:val="25D2E748"/>
    <w:rsid w:val="286770BE"/>
    <w:rsid w:val="2B26DA36"/>
    <w:rsid w:val="2B3DF5E0"/>
    <w:rsid w:val="2C427063"/>
    <w:rsid w:val="2D70D8B1"/>
    <w:rsid w:val="2F5A190B"/>
    <w:rsid w:val="36AB078E"/>
    <w:rsid w:val="38FEB65A"/>
    <w:rsid w:val="3B5FE139"/>
    <w:rsid w:val="3B61E6A1"/>
    <w:rsid w:val="3BB308CF"/>
    <w:rsid w:val="40179EBE"/>
    <w:rsid w:val="42813550"/>
    <w:rsid w:val="46557EE8"/>
    <w:rsid w:val="47686081"/>
    <w:rsid w:val="4C4B5C84"/>
    <w:rsid w:val="4F9696B8"/>
    <w:rsid w:val="501848AD"/>
    <w:rsid w:val="504FBD03"/>
    <w:rsid w:val="525F2E88"/>
    <w:rsid w:val="54A69498"/>
    <w:rsid w:val="56C02DB3"/>
    <w:rsid w:val="5AC24BAE"/>
    <w:rsid w:val="5C9E52D4"/>
    <w:rsid w:val="5E1E16CD"/>
    <w:rsid w:val="5F706589"/>
    <w:rsid w:val="613AC13F"/>
    <w:rsid w:val="613E7354"/>
    <w:rsid w:val="61412DC5"/>
    <w:rsid w:val="6682E89A"/>
    <w:rsid w:val="67767180"/>
    <w:rsid w:val="695E19A3"/>
    <w:rsid w:val="6C87AB0F"/>
    <w:rsid w:val="6FAF2070"/>
    <w:rsid w:val="72329F8C"/>
    <w:rsid w:val="7793F878"/>
    <w:rsid w:val="77E69633"/>
    <w:rsid w:val="78EA4528"/>
    <w:rsid w:val="79B3B1B4"/>
    <w:rsid w:val="79D74201"/>
    <w:rsid w:val="7AC9E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2A606F51-0A27-40C5-ABF2-DF256B45A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Emphasis">
    <w:name w:val="Emphasis"/>
    <w:basedOn w:val="DefaultParagraphFont"/>
    <w:uiPriority w:val="20"/>
    <w:qFormat/>
    <w:rsid w:val="007232F0"/>
    <w:rPr>
      <w:i/>
      <w:iCs/>
    </w:rPr>
  </w:style>
  <w:style w:type="character" w:styleId="UnresolvedMention">
    <w:name w:val="Unresolved Mention"/>
    <w:basedOn w:val="DefaultParagraphFont"/>
    <w:uiPriority w:val="99"/>
    <w:semiHidden/>
    <w:unhideWhenUsed/>
    <w:rsid w:val="00C379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764753">
      <w:bodyDiv w:val="1"/>
      <w:marLeft w:val="0"/>
      <w:marRight w:val="0"/>
      <w:marTop w:val="0"/>
      <w:marBottom w:val="0"/>
      <w:divBdr>
        <w:top w:val="none" w:sz="0" w:space="0" w:color="auto"/>
        <w:left w:val="none" w:sz="0" w:space="0" w:color="auto"/>
        <w:bottom w:val="none" w:sz="0" w:space="0" w:color="auto"/>
        <w:right w:val="none" w:sz="0" w:space="0" w:color="auto"/>
      </w:divBdr>
    </w:div>
    <w:div w:id="2045517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keysight.com"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1.png"/><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www.tek.com/document/primer/oscilloscope-fundamentals-primer" TargetMode="Externa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keysight.co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0844_student_uwtsd_ac_uk/Documents/Microsoft%20Teams%20Chat%20Files/wave.%20csv.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Log(V)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'wave. csv'!$E$46:$E$55</c:f>
              <c:numCache>
                <c:formatCode>General</c:formatCode>
                <c:ptCount val="10"/>
                <c:pt idx="0">
                  <c:v>4.3699999999999998E-3</c:v>
                </c:pt>
                <c:pt idx="1">
                  <c:v>4.3810000000000003E-3</c:v>
                </c:pt>
                <c:pt idx="2">
                  <c:v>4.3930000000000002E-3</c:v>
                </c:pt>
                <c:pt idx="3">
                  <c:v>4.4050000000000001E-3</c:v>
                </c:pt>
                <c:pt idx="4">
                  <c:v>4.4159999999999998E-3</c:v>
                </c:pt>
                <c:pt idx="5">
                  <c:v>4.4279999999999996E-3</c:v>
                </c:pt>
                <c:pt idx="6">
                  <c:v>4.4400000000000004E-3</c:v>
                </c:pt>
                <c:pt idx="7">
                  <c:v>4.4510000000000001E-3</c:v>
                </c:pt>
                <c:pt idx="8">
                  <c:v>4.463E-3</c:v>
                </c:pt>
                <c:pt idx="9">
                  <c:v>4.4749999999999998E-3</c:v>
                </c:pt>
              </c:numCache>
            </c:numRef>
          </c:xVal>
          <c:yVal>
            <c:numRef>
              <c:f>'wave. csv'!$G$46:$G$55</c:f>
              <c:numCache>
                <c:formatCode>General</c:formatCode>
                <c:ptCount val="10"/>
                <c:pt idx="0">
                  <c:v>-0.18850060799999999</c:v>
                </c:pt>
                <c:pt idx="1">
                  <c:v>-0.42694414000000003</c:v>
                </c:pt>
                <c:pt idx="2">
                  <c:v>-0.82280038899999997</c:v>
                </c:pt>
                <c:pt idx="3">
                  <c:v>-1.1394342829999999</c:v>
                </c:pt>
                <c:pt idx="4">
                  <c:v>-1.4077223089999999</c:v>
                </c:pt>
                <c:pt idx="5">
                  <c:v>-1.574553511</c:v>
                </c:pt>
                <c:pt idx="6">
                  <c:v>-1.7754924969999999</c:v>
                </c:pt>
                <c:pt idx="7">
                  <c:v>-1.8931279640000001</c:v>
                </c:pt>
                <c:pt idx="8">
                  <c:v>-1.9805015939999999</c:v>
                </c:pt>
                <c:pt idx="9">
                  <c:v>-2.126952524</c:v>
                </c:pt>
              </c:numCache>
            </c:numRef>
          </c:yVal>
          <c:smooth val="1"/>
          <c:extLst>
            <c:ext xmlns:c16="http://schemas.microsoft.com/office/drawing/2014/chart" uri="{C3380CC4-5D6E-409C-BE32-E72D297353CC}">
              <c16:uniqueId val="{00000000-17B4-4E15-B4D5-B87418EE0664}"/>
            </c:ext>
          </c:extLst>
        </c:ser>
        <c:dLbls>
          <c:showLegendKey val="0"/>
          <c:showVal val="0"/>
          <c:showCatName val="0"/>
          <c:showSerName val="0"/>
          <c:showPercent val="0"/>
          <c:showBubbleSize val="0"/>
        </c:dLbls>
        <c:axId val="1323803759"/>
        <c:axId val="1323801359"/>
      </c:scatterChart>
      <c:valAx>
        <c:axId val="13238037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3801359"/>
        <c:crosses val="autoZero"/>
        <c:crossBetween val="midCat"/>
      </c:valAx>
      <c:valAx>
        <c:axId val="1323801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38037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7</Pages>
  <Words>972</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Finlay Kingscott (2410844)</cp:lastModifiedBy>
  <cp:revision>169</cp:revision>
  <cp:lastPrinted>2021-09-30T11:07:00Z</cp:lastPrinted>
  <dcterms:created xsi:type="dcterms:W3CDTF">2021-09-30T07:43:00Z</dcterms:created>
  <dcterms:modified xsi:type="dcterms:W3CDTF">2025-04-05T15:11:00Z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