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31B34" w:rsidRDefault="00631B34" w:rsidP="00E50ED5"/>
    <w:p w:rsidR="00631B34" w:rsidRDefault="00631B34" w:rsidP="00E50ED5"/>
    <w:p w:rsidR="00631B34" w:rsidRDefault="00631B34" w:rsidP="00E50ED5"/>
    <w:p w:rsidR="00631B34" w:rsidRDefault="00631B34" w:rsidP="00E50ED5"/>
    <w:p w:rsidR="00631B34" w:rsidRDefault="00631B34" w:rsidP="00E50ED5"/>
    <w:p w:rsidR="00631B34" w:rsidRDefault="00004D48" w:rsidP="00E50ED5">
      <w:pPr>
        <w:jc w:val="center"/>
      </w:pPr>
      <w:r>
        <w:rPr>
          <w:noProof/>
        </w:rPr>
        <w:drawing>
          <wp:inline distT="114300" distB="114300" distL="114300" distR="114300">
            <wp:extent cx="2333625" cy="8858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33625" cy="885825"/>
                    </a:xfrm>
                    <a:prstGeom prst="rect">
                      <a:avLst/>
                    </a:prstGeom>
                    <a:ln/>
                  </pic:spPr>
                </pic:pic>
              </a:graphicData>
            </a:graphic>
          </wp:inline>
        </w:drawing>
      </w:r>
    </w:p>
    <w:p w:rsidR="00631B34" w:rsidRDefault="00004D48" w:rsidP="00E50ED5">
      <w:pPr>
        <w:jc w:val="center"/>
        <w:rPr>
          <w:b/>
          <w:sz w:val="28"/>
          <w:szCs w:val="28"/>
        </w:rPr>
      </w:pPr>
      <w:r>
        <w:rPr>
          <w:b/>
          <w:sz w:val="28"/>
          <w:szCs w:val="28"/>
        </w:rPr>
        <w:t>STRATEGIC ANALYSIS AND RECOMMENDATIONS FOR KFC: ENHANCING COMPETITIVE POSITION AND ENSURING SUSTAINABLE GROWTH</w:t>
      </w:r>
    </w:p>
    <w:p w:rsidR="00631B34" w:rsidRDefault="00631B34" w:rsidP="004C417B">
      <w:pPr>
        <w:rPr>
          <w:i/>
          <w:sz w:val="28"/>
          <w:szCs w:val="28"/>
        </w:rPr>
      </w:pPr>
    </w:p>
    <w:p w:rsidR="004C417B" w:rsidRDefault="004C417B" w:rsidP="004C417B">
      <w:pPr>
        <w:rPr>
          <w:i/>
          <w:sz w:val="28"/>
          <w:szCs w:val="28"/>
        </w:rPr>
      </w:pPr>
    </w:p>
    <w:p w:rsidR="004C417B" w:rsidRDefault="004C417B" w:rsidP="007B79B9">
      <w:pPr>
        <w:jc w:val="center"/>
        <w:rPr>
          <w:i/>
          <w:sz w:val="28"/>
          <w:szCs w:val="28"/>
        </w:rPr>
      </w:pPr>
    </w:p>
    <w:p w:rsidR="00631B34" w:rsidRDefault="00004D48" w:rsidP="007B79B9">
      <w:pPr>
        <w:jc w:val="center"/>
        <w:rPr>
          <w:i/>
          <w:sz w:val="28"/>
          <w:szCs w:val="28"/>
        </w:rPr>
      </w:pPr>
      <w:r>
        <w:rPr>
          <w:i/>
          <w:sz w:val="28"/>
          <w:szCs w:val="28"/>
        </w:rPr>
        <w:t>Module: Global Business Challenges</w:t>
      </w:r>
    </w:p>
    <w:p w:rsidR="00631B34" w:rsidRDefault="00004D48" w:rsidP="007B79B9">
      <w:pPr>
        <w:jc w:val="center"/>
        <w:rPr>
          <w:i/>
          <w:sz w:val="28"/>
          <w:szCs w:val="28"/>
        </w:rPr>
      </w:pPr>
      <w:r>
        <w:rPr>
          <w:i/>
          <w:sz w:val="28"/>
          <w:szCs w:val="28"/>
        </w:rPr>
        <w:t>Module Code: BMMB7006</w:t>
      </w:r>
    </w:p>
    <w:p w:rsidR="00631B34" w:rsidRDefault="00004D48" w:rsidP="007B79B9">
      <w:pPr>
        <w:jc w:val="center"/>
        <w:rPr>
          <w:i/>
          <w:sz w:val="28"/>
          <w:szCs w:val="28"/>
        </w:rPr>
      </w:pPr>
      <w:r>
        <w:rPr>
          <w:i/>
          <w:sz w:val="28"/>
          <w:szCs w:val="28"/>
        </w:rPr>
        <w:t>Student Name</w:t>
      </w:r>
      <w:r w:rsidR="004C417B">
        <w:rPr>
          <w:i/>
          <w:sz w:val="28"/>
          <w:szCs w:val="28"/>
        </w:rPr>
        <w:t>: MARSOOK KOTTADAN</w:t>
      </w:r>
    </w:p>
    <w:p w:rsidR="00631B34" w:rsidRDefault="00004D48" w:rsidP="007B79B9">
      <w:pPr>
        <w:jc w:val="center"/>
        <w:rPr>
          <w:i/>
          <w:sz w:val="28"/>
          <w:szCs w:val="28"/>
        </w:rPr>
      </w:pPr>
      <w:r>
        <w:rPr>
          <w:i/>
          <w:sz w:val="28"/>
          <w:szCs w:val="28"/>
        </w:rPr>
        <w:t>Student ID Number:</w:t>
      </w:r>
      <w:r w:rsidR="004C417B">
        <w:rPr>
          <w:i/>
          <w:sz w:val="28"/>
          <w:szCs w:val="28"/>
        </w:rPr>
        <w:t xml:space="preserve"> 2220272</w:t>
      </w:r>
      <w:r>
        <w:br w:type="page"/>
      </w:r>
    </w:p>
    <w:p w:rsidR="00631B34" w:rsidRDefault="00004D48" w:rsidP="00E50ED5">
      <w:pPr>
        <w:jc w:val="center"/>
        <w:rPr>
          <w:b/>
          <w:i/>
          <w:sz w:val="28"/>
          <w:szCs w:val="28"/>
        </w:rPr>
      </w:pPr>
      <w:r>
        <w:rPr>
          <w:b/>
          <w:i/>
          <w:sz w:val="28"/>
          <w:szCs w:val="28"/>
        </w:rPr>
        <w:lastRenderedPageBreak/>
        <w:t>Executive Summary</w:t>
      </w:r>
    </w:p>
    <w:p w:rsidR="00B72753" w:rsidRDefault="00004D48" w:rsidP="00E50ED5">
      <w:r>
        <w:t xml:space="preserve">This report aims to conduct strategic analysis of KFC with the help of the macro and micro factors affecting the organization so that there is Accumulated knowledge regarding the issues and opportunities present in front of the company. This report will first use PESTEL analysis and secondly, Porter’s Five Forces to identify strong forces from outside the organization, such as changes in the political and legal environment, competition from rivals, and innovation in technology. The strengths, weaknesses, opportunities and threats about KFC are achieved through the SWOT analysis. The current state of KFC’s micro-economic environment and key macroeconomic performance measurements are </w:t>
      </w:r>
      <w:r w:rsidR="00B72753">
        <w:t>analysed</w:t>
      </w:r>
      <w:r>
        <w:t xml:space="preserve"> to identify the company’s strengths and weaknesses in the current environment.</w:t>
      </w:r>
    </w:p>
    <w:p w:rsidR="00E50ED5" w:rsidRDefault="00B72753" w:rsidP="00E50ED5">
      <w:r w:rsidRPr="00B72753">
        <w:t>The report suggests introducing new dishes and healthier products for people who are more conscious about their eating habits, improving the recognition of online services to engage customers, and incorporating effective solutions to sustain the organization’s operations as per the following recommendations. Further, it recommends the identification of new markets mainly relating to fast-growing economies and the decentralisation of suppliers to minimize risks in the supply chain. These strategic recommendations are meant to improve KFC’s position in the Competitional landscape, as well as stimulate the chain’s further growth, and, correspondingly, guarantee its success in the worldwide industry filled with constant changes.</w:t>
      </w:r>
    </w:p>
    <w:p w:rsidR="00E50ED5" w:rsidRDefault="00E50ED5" w:rsidP="00E50ED5">
      <w:r>
        <w:br w:type="page"/>
      </w:r>
    </w:p>
    <w:sdt>
      <w:sdtPr>
        <w:id w:val="1503473197"/>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rsidR="001D367F" w:rsidRDefault="001D367F">
          <w:pPr>
            <w:pStyle w:val="TOCHeading"/>
          </w:pPr>
          <w:r>
            <w:t>Table of Contents</w:t>
          </w:r>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71890707" w:history="1">
            <w:r w:rsidRPr="006030B9">
              <w:rPr>
                <w:rStyle w:val="Hyperlink"/>
                <w:noProof/>
              </w:rPr>
              <w:t>1. Introduction</w:t>
            </w:r>
            <w:r>
              <w:rPr>
                <w:noProof/>
                <w:webHidden/>
              </w:rPr>
              <w:tab/>
            </w:r>
            <w:r>
              <w:rPr>
                <w:noProof/>
                <w:webHidden/>
              </w:rPr>
              <w:fldChar w:fldCharType="begin"/>
            </w:r>
            <w:r>
              <w:rPr>
                <w:noProof/>
                <w:webHidden/>
              </w:rPr>
              <w:instrText xml:space="preserve"> PAGEREF _Toc171890707 \h </w:instrText>
            </w:r>
            <w:r>
              <w:rPr>
                <w:noProof/>
                <w:webHidden/>
              </w:rPr>
            </w:r>
            <w:r>
              <w:rPr>
                <w:noProof/>
                <w:webHidden/>
              </w:rPr>
              <w:fldChar w:fldCharType="separate"/>
            </w:r>
            <w:r>
              <w:rPr>
                <w:noProof/>
                <w:webHidden/>
              </w:rPr>
              <w:t>4</w:t>
            </w:r>
            <w:r>
              <w:rPr>
                <w:noProof/>
                <w:webHidden/>
              </w:rPr>
              <w:fldChar w:fldCharType="end"/>
            </w:r>
          </w:hyperlink>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08" w:history="1">
            <w:r w:rsidRPr="006030B9">
              <w:rPr>
                <w:rStyle w:val="Hyperlink"/>
                <w:noProof/>
              </w:rPr>
              <w:t>2. Assessment of the Business Environment</w:t>
            </w:r>
            <w:r>
              <w:rPr>
                <w:noProof/>
                <w:webHidden/>
              </w:rPr>
              <w:tab/>
            </w:r>
            <w:r>
              <w:rPr>
                <w:noProof/>
                <w:webHidden/>
              </w:rPr>
              <w:fldChar w:fldCharType="begin"/>
            </w:r>
            <w:r>
              <w:rPr>
                <w:noProof/>
                <w:webHidden/>
              </w:rPr>
              <w:instrText xml:space="preserve"> PAGEREF _Toc171890708 \h </w:instrText>
            </w:r>
            <w:r>
              <w:rPr>
                <w:noProof/>
                <w:webHidden/>
              </w:rPr>
            </w:r>
            <w:r>
              <w:rPr>
                <w:noProof/>
                <w:webHidden/>
              </w:rPr>
              <w:fldChar w:fldCharType="separate"/>
            </w:r>
            <w:r>
              <w:rPr>
                <w:noProof/>
                <w:webHidden/>
              </w:rPr>
              <w:t>6</w:t>
            </w:r>
            <w:r>
              <w:rPr>
                <w:noProof/>
                <w:webHidden/>
              </w:rPr>
              <w:fldChar w:fldCharType="end"/>
            </w:r>
          </w:hyperlink>
        </w:p>
        <w:p w:rsidR="001D367F" w:rsidRDefault="001D367F">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09" w:history="1">
            <w:r w:rsidRPr="006030B9">
              <w:rPr>
                <w:rStyle w:val="Hyperlink"/>
                <w:noProof/>
              </w:rPr>
              <w:t>2.1 PESTEL Analysis</w:t>
            </w:r>
            <w:r>
              <w:rPr>
                <w:noProof/>
                <w:webHidden/>
              </w:rPr>
              <w:tab/>
            </w:r>
            <w:r>
              <w:rPr>
                <w:noProof/>
                <w:webHidden/>
              </w:rPr>
              <w:fldChar w:fldCharType="begin"/>
            </w:r>
            <w:r>
              <w:rPr>
                <w:noProof/>
                <w:webHidden/>
              </w:rPr>
              <w:instrText xml:space="preserve"> PAGEREF _Toc171890709 \h </w:instrText>
            </w:r>
            <w:r>
              <w:rPr>
                <w:noProof/>
                <w:webHidden/>
              </w:rPr>
            </w:r>
            <w:r>
              <w:rPr>
                <w:noProof/>
                <w:webHidden/>
              </w:rPr>
              <w:fldChar w:fldCharType="separate"/>
            </w:r>
            <w:r>
              <w:rPr>
                <w:noProof/>
                <w:webHidden/>
              </w:rPr>
              <w:t>6</w:t>
            </w:r>
            <w:r>
              <w:rPr>
                <w:noProof/>
                <w:webHidden/>
              </w:rPr>
              <w:fldChar w:fldCharType="end"/>
            </w:r>
          </w:hyperlink>
        </w:p>
        <w:p w:rsidR="001D367F" w:rsidRDefault="001D367F">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0" w:history="1">
            <w:r w:rsidRPr="006030B9">
              <w:rPr>
                <w:rStyle w:val="Hyperlink"/>
                <w:noProof/>
              </w:rPr>
              <w:t>2.2 Porter's Five Forces</w:t>
            </w:r>
            <w:r>
              <w:rPr>
                <w:noProof/>
                <w:webHidden/>
              </w:rPr>
              <w:tab/>
            </w:r>
            <w:r>
              <w:rPr>
                <w:noProof/>
                <w:webHidden/>
              </w:rPr>
              <w:fldChar w:fldCharType="begin"/>
            </w:r>
            <w:r>
              <w:rPr>
                <w:noProof/>
                <w:webHidden/>
              </w:rPr>
              <w:instrText xml:space="preserve"> PAGEREF _Toc171890710 \h </w:instrText>
            </w:r>
            <w:r>
              <w:rPr>
                <w:noProof/>
                <w:webHidden/>
              </w:rPr>
            </w:r>
            <w:r>
              <w:rPr>
                <w:noProof/>
                <w:webHidden/>
              </w:rPr>
              <w:fldChar w:fldCharType="separate"/>
            </w:r>
            <w:r>
              <w:rPr>
                <w:noProof/>
                <w:webHidden/>
              </w:rPr>
              <w:t>11</w:t>
            </w:r>
            <w:r>
              <w:rPr>
                <w:noProof/>
                <w:webHidden/>
              </w:rPr>
              <w:fldChar w:fldCharType="end"/>
            </w:r>
          </w:hyperlink>
        </w:p>
        <w:p w:rsidR="001D367F" w:rsidRDefault="001D367F">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1" w:history="1">
            <w:r w:rsidRPr="006030B9">
              <w:rPr>
                <w:rStyle w:val="Hyperlink"/>
                <w:noProof/>
              </w:rPr>
              <w:t>2.3 SWOT Analysis</w:t>
            </w:r>
            <w:r>
              <w:rPr>
                <w:noProof/>
                <w:webHidden/>
              </w:rPr>
              <w:tab/>
            </w:r>
            <w:r>
              <w:rPr>
                <w:noProof/>
                <w:webHidden/>
              </w:rPr>
              <w:fldChar w:fldCharType="begin"/>
            </w:r>
            <w:r>
              <w:rPr>
                <w:noProof/>
                <w:webHidden/>
              </w:rPr>
              <w:instrText xml:space="preserve"> PAGEREF _Toc171890711 \h </w:instrText>
            </w:r>
            <w:r>
              <w:rPr>
                <w:noProof/>
                <w:webHidden/>
              </w:rPr>
            </w:r>
            <w:r>
              <w:rPr>
                <w:noProof/>
                <w:webHidden/>
              </w:rPr>
              <w:fldChar w:fldCharType="separate"/>
            </w:r>
            <w:r>
              <w:rPr>
                <w:noProof/>
                <w:webHidden/>
              </w:rPr>
              <w:t>13</w:t>
            </w:r>
            <w:r>
              <w:rPr>
                <w:noProof/>
                <w:webHidden/>
              </w:rPr>
              <w:fldChar w:fldCharType="end"/>
            </w:r>
          </w:hyperlink>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2" w:history="1">
            <w:r w:rsidRPr="006030B9">
              <w:rPr>
                <w:rStyle w:val="Hyperlink"/>
                <w:noProof/>
              </w:rPr>
              <w:t>3. Macro-Economic Performance Indicators</w:t>
            </w:r>
            <w:r>
              <w:rPr>
                <w:noProof/>
                <w:webHidden/>
              </w:rPr>
              <w:tab/>
            </w:r>
            <w:r>
              <w:rPr>
                <w:noProof/>
                <w:webHidden/>
              </w:rPr>
              <w:fldChar w:fldCharType="begin"/>
            </w:r>
            <w:r>
              <w:rPr>
                <w:noProof/>
                <w:webHidden/>
              </w:rPr>
              <w:instrText xml:space="preserve"> PAGEREF _Toc171890712 \h </w:instrText>
            </w:r>
            <w:r>
              <w:rPr>
                <w:noProof/>
                <w:webHidden/>
              </w:rPr>
            </w:r>
            <w:r>
              <w:rPr>
                <w:noProof/>
                <w:webHidden/>
              </w:rPr>
              <w:fldChar w:fldCharType="separate"/>
            </w:r>
            <w:r>
              <w:rPr>
                <w:noProof/>
                <w:webHidden/>
              </w:rPr>
              <w:t>16</w:t>
            </w:r>
            <w:r>
              <w:rPr>
                <w:noProof/>
                <w:webHidden/>
              </w:rPr>
              <w:fldChar w:fldCharType="end"/>
            </w:r>
          </w:hyperlink>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3" w:history="1">
            <w:r w:rsidRPr="006030B9">
              <w:rPr>
                <w:rStyle w:val="Hyperlink"/>
                <w:noProof/>
              </w:rPr>
              <w:t>4. Micro-Economic Structures and Decision Making</w:t>
            </w:r>
            <w:r>
              <w:rPr>
                <w:noProof/>
                <w:webHidden/>
              </w:rPr>
              <w:tab/>
            </w:r>
            <w:r>
              <w:rPr>
                <w:noProof/>
                <w:webHidden/>
              </w:rPr>
              <w:fldChar w:fldCharType="begin"/>
            </w:r>
            <w:r>
              <w:rPr>
                <w:noProof/>
                <w:webHidden/>
              </w:rPr>
              <w:instrText xml:space="preserve"> PAGEREF _Toc171890713 \h </w:instrText>
            </w:r>
            <w:r>
              <w:rPr>
                <w:noProof/>
                <w:webHidden/>
              </w:rPr>
            </w:r>
            <w:r>
              <w:rPr>
                <w:noProof/>
                <w:webHidden/>
              </w:rPr>
              <w:fldChar w:fldCharType="separate"/>
            </w:r>
            <w:r>
              <w:rPr>
                <w:noProof/>
                <w:webHidden/>
              </w:rPr>
              <w:t>19</w:t>
            </w:r>
            <w:r>
              <w:rPr>
                <w:noProof/>
                <w:webHidden/>
              </w:rPr>
              <w:fldChar w:fldCharType="end"/>
            </w:r>
          </w:hyperlink>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4" w:history="1">
            <w:r w:rsidRPr="006030B9">
              <w:rPr>
                <w:rStyle w:val="Hyperlink"/>
                <w:noProof/>
              </w:rPr>
              <w:t>5. Evaluation of Current Position and Future Outlook</w:t>
            </w:r>
            <w:r>
              <w:rPr>
                <w:noProof/>
                <w:webHidden/>
              </w:rPr>
              <w:tab/>
            </w:r>
            <w:r>
              <w:rPr>
                <w:noProof/>
                <w:webHidden/>
              </w:rPr>
              <w:fldChar w:fldCharType="begin"/>
            </w:r>
            <w:r>
              <w:rPr>
                <w:noProof/>
                <w:webHidden/>
              </w:rPr>
              <w:instrText xml:space="preserve"> PAGEREF _Toc171890714 \h </w:instrText>
            </w:r>
            <w:r>
              <w:rPr>
                <w:noProof/>
                <w:webHidden/>
              </w:rPr>
            </w:r>
            <w:r>
              <w:rPr>
                <w:noProof/>
                <w:webHidden/>
              </w:rPr>
              <w:fldChar w:fldCharType="separate"/>
            </w:r>
            <w:r>
              <w:rPr>
                <w:noProof/>
                <w:webHidden/>
              </w:rPr>
              <w:t>21</w:t>
            </w:r>
            <w:r>
              <w:rPr>
                <w:noProof/>
                <w:webHidden/>
              </w:rPr>
              <w:fldChar w:fldCharType="end"/>
            </w:r>
          </w:hyperlink>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5" w:history="1">
            <w:r w:rsidRPr="006030B9">
              <w:rPr>
                <w:rStyle w:val="Hyperlink"/>
                <w:noProof/>
              </w:rPr>
              <w:t>6. Recommendations</w:t>
            </w:r>
            <w:r>
              <w:rPr>
                <w:noProof/>
                <w:webHidden/>
              </w:rPr>
              <w:tab/>
            </w:r>
            <w:r>
              <w:rPr>
                <w:noProof/>
                <w:webHidden/>
              </w:rPr>
              <w:fldChar w:fldCharType="begin"/>
            </w:r>
            <w:r>
              <w:rPr>
                <w:noProof/>
                <w:webHidden/>
              </w:rPr>
              <w:instrText xml:space="preserve"> PAGEREF _Toc171890715 \h </w:instrText>
            </w:r>
            <w:r>
              <w:rPr>
                <w:noProof/>
                <w:webHidden/>
              </w:rPr>
            </w:r>
            <w:r>
              <w:rPr>
                <w:noProof/>
                <w:webHidden/>
              </w:rPr>
              <w:fldChar w:fldCharType="separate"/>
            </w:r>
            <w:r>
              <w:rPr>
                <w:noProof/>
                <w:webHidden/>
              </w:rPr>
              <w:t>24</w:t>
            </w:r>
            <w:r>
              <w:rPr>
                <w:noProof/>
                <w:webHidden/>
              </w:rPr>
              <w:fldChar w:fldCharType="end"/>
            </w:r>
          </w:hyperlink>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6" w:history="1">
            <w:r w:rsidRPr="006030B9">
              <w:rPr>
                <w:rStyle w:val="Hyperlink"/>
                <w:noProof/>
              </w:rPr>
              <w:t>7. Conclusion</w:t>
            </w:r>
            <w:r>
              <w:rPr>
                <w:noProof/>
                <w:webHidden/>
              </w:rPr>
              <w:tab/>
            </w:r>
            <w:r>
              <w:rPr>
                <w:noProof/>
                <w:webHidden/>
              </w:rPr>
              <w:fldChar w:fldCharType="begin"/>
            </w:r>
            <w:r>
              <w:rPr>
                <w:noProof/>
                <w:webHidden/>
              </w:rPr>
              <w:instrText xml:space="preserve"> PAGEREF _Toc171890716 \h </w:instrText>
            </w:r>
            <w:r>
              <w:rPr>
                <w:noProof/>
                <w:webHidden/>
              </w:rPr>
            </w:r>
            <w:r>
              <w:rPr>
                <w:noProof/>
                <w:webHidden/>
              </w:rPr>
              <w:fldChar w:fldCharType="separate"/>
            </w:r>
            <w:r>
              <w:rPr>
                <w:noProof/>
                <w:webHidden/>
              </w:rPr>
              <w:t>26</w:t>
            </w:r>
            <w:r>
              <w:rPr>
                <w:noProof/>
                <w:webHidden/>
              </w:rPr>
              <w:fldChar w:fldCharType="end"/>
            </w:r>
          </w:hyperlink>
        </w:p>
        <w:p w:rsidR="001D367F" w:rsidRDefault="001D367F">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71890717" w:history="1">
            <w:r w:rsidRPr="006030B9">
              <w:rPr>
                <w:rStyle w:val="Hyperlink"/>
                <w:noProof/>
              </w:rPr>
              <w:t>References</w:t>
            </w:r>
            <w:r>
              <w:rPr>
                <w:noProof/>
                <w:webHidden/>
              </w:rPr>
              <w:tab/>
            </w:r>
            <w:r>
              <w:rPr>
                <w:noProof/>
                <w:webHidden/>
              </w:rPr>
              <w:fldChar w:fldCharType="begin"/>
            </w:r>
            <w:r>
              <w:rPr>
                <w:noProof/>
                <w:webHidden/>
              </w:rPr>
              <w:instrText xml:space="preserve"> PAGEREF _Toc171890717 \h </w:instrText>
            </w:r>
            <w:r>
              <w:rPr>
                <w:noProof/>
                <w:webHidden/>
              </w:rPr>
            </w:r>
            <w:r>
              <w:rPr>
                <w:noProof/>
                <w:webHidden/>
              </w:rPr>
              <w:fldChar w:fldCharType="separate"/>
            </w:r>
            <w:r>
              <w:rPr>
                <w:noProof/>
                <w:webHidden/>
              </w:rPr>
              <w:t>27</w:t>
            </w:r>
            <w:r>
              <w:rPr>
                <w:noProof/>
                <w:webHidden/>
              </w:rPr>
              <w:fldChar w:fldCharType="end"/>
            </w:r>
          </w:hyperlink>
        </w:p>
        <w:p w:rsidR="001D367F" w:rsidRDefault="001D367F">
          <w:r>
            <w:rPr>
              <w:b/>
              <w:bCs/>
              <w:noProof/>
            </w:rPr>
            <w:fldChar w:fldCharType="end"/>
          </w:r>
        </w:p>
      </w:sdtContent>
    </w:sdt>
    <w:p w:rsidR="00631B34" w:rsidRDefault="00004D48" w:rsidP="00E50ED5">
      <w:pPr>
        <w:jc w:val="center"/>
      </w:pPr>
      <w:r>
        <w:br w:type="page"/>
      </w:r>
    </w:p>
    <w:p w:rsidR="00631B34" w:rsidRDefault="00004D48" w:rsidP="00E50ED5">
      <w:pPr>
        <w:pStyle w:val="Heading1"/>
      </w:pPr>
      <w:bookmarkStart w:id="0" w:name="_wcobnlelj7po" w:colFirst="0" w:colLast="0"/>
      <w:bookmarkStart w:id="1" w:name="_Toc171890707"/>
      <w:bookmarkEnd w:id="0"/>
      <w:r>
        <w:lastRenderedPageBreak/>
        <w:t>1. Introduction</w:t>
      </w:r>
      <w:bookmarkEnd w:id="1"/>
    </w:p>
    <w:p w:rsidR="00631B34" w:rsidRDefault="00004D48" w:rsidP="00E50ED5">
      <w:r>
        <w:t xml:space="preserve">In the current global environment, organisations operate under conditions of high volatility and rapidly growing production interdependence. KFC, an international organisation that deals in a fast-food chain that majors in fried chicken, is subjected to this report with an emphasis on the critical evaluation of the prevailing environmental forces. Created in 1952 by Colonel Harland Sanders, KFC today is one of the most famous brands, which is represented in 150 countries with the number of outlets over 22000 (KFC.co.uk, 2023). </w:t>
      </w:r>
    </w:p>
    <w:p w:rsidR="00631B34" w:rsidRDefault="00004D48" w:rsidP="00E50ED5">
      <w:pPr>
        <w:jc w:val="center"/>
      </w:pPr>
      <w:r>
        <w:rPr>
          <w:noProof/>
        </w:rPr>
        <w:drawing>
          <wp:inline distT="114300" distB="114300" distL="114300" distR="114300">
            <wp:extent cx="4872038" cy="3051093"/>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72038" cy="3051093"/>
                    </a:xfrm>
                    <a:prstGeom prst="rect">
                      <a:avLst/>
                    </a:prstGeom>
                    <a:ln w="25400">
                      <a:solidFill>
                        <a:srgbClr val="000000"/>
                      </a:solidFill>
                      <a:prstDash val="solid"/>
                    </a:ln>
                  </pic:spPr>
                </pic:pic>
              </a:graphicData>
            </a:graphic>
          </wp:inline>
        </w:drawing>
      </w:r>
    </w:p>
    <w:p w:rsidR="00631B34" w:rsidRDefault="00004D48" w:rsidP="00E50ED5">
      <w:pPr>
        <w:jc w:val="center"/>
        <w:rPr>
          <w:b/>
        </w:rPr>
      </w:pPr>
      <w:r>
        <w:rPr>
          <w:b/>
        </w:rPr>
        <w:t>Figure 1: Global brand value of KFC from 2010 to 2022</w:t>
      </w:r>
    </w:p>
    <w:p w:rsidR="00631B34" w:rsidRDefault="00004D48" w:rsidP="00E50ED5">
      <w:pPr>
        <w:jc w:val="center"/>
      </w:pPr>
      <w:r>
        <w:t>(Source: Statista, 2021)</w:t>
      </w:r>
    </w:p>
    <w:p w:rsidR="00631B34" w:rsidRDefault="00004D48" w:rsidP="00E50ED5">
      <w:r>
        <w:t>Kentucky Fried Chicken is a fast food chain, which occupies one of the leaders among the companies that operate in the fast food industry (KFC.co.uk, 2023). KFC brand estimates in the year 2022 will reach 6.09 billion of U. S. dollars compared with 5.43 billion of U. S. dollars of the year 2021 (Statista, 2021).</w:t>
      </w:r>
    </w:p>
    <w:p w:rsidR="00631B34" w:rsidRDefault="00004D48" w:rsidP="00E50ED5">
      <w:r>
        <w:t>Given the company’s extensive presence in different parts of the world and numerous connections, it becomes possible to explore the diverse issues and perspectives of the current globalised context in the management of an international business organisation.</w:t>
      </w:r>
    </w:p>
    <w:p w:rsidR="00631B34" w:rsidRDefault="00004D48" w:rsidP="00E50ED5">
      <w:r>
        <w:t xml:space="preserve">The objective of this report is to examine the macro and micro environmental characteristics affecting KFC operations with the help of theoretical tools including PESTEL, Porter’s Five Forces analysis, and SWOT. These frameworks will also assist in analysing the competition, knowing the macro and microeconomic factors prevailing in the global business, and pinpointing the variables that influence the organisation’s strategic choices. The report will </w:t>
      </w:r>
      <w:r>
        <w:lastRenderedPageBreak/>
        <w:t>start with an analysis of the competing environment of KFC and all figures and pieces of evidence used in the analysis will be industry-specific. This will be accompanied by an assessment of several macroeconomic performance benchmarks that relate to the organisation. It will also ensure microeconomic factors that are relevant to the functioning and the decision-making of KFC. These shall be analysed about KFC’s positioning in the international market and how each factor bears on the other.</w:t>
      </w:r>
    </w:p>
    <w:p w:rsidR="00631B34" w:rsidRDefault="00004D48" w:rsidP="00E50ED5">
      <w:r>
        <w:t>In addition, at the end of the report, the analysis will generate detailed conclusions and recommendations that will present the current position of KFC in the international market and possible future conditions. These will entail an appraisal of KFC’s previous microeconomic strategies and how the company could modify these given the new developing problems and opportunities. There will be human resource implications that will be presented in the form of recommendations to KFC concerning strategic management of the organisation in the emerging global business environment. Thus, the report contains the findings of contemporary research and practical data helpful for identifying the effective strategies suitable for KFC about its long-term goals and market trends.</w:t>
      </w:r>
    </w:p>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631B34" w:rsidRDefault="00004D48" w:rsidP="00E50ED5">
      <w:pPr>
        <w:pStyle w:val="Heading1"/>
      </w:pPr>
      <w:bookmarkStart w:id="2" w:name="_ur9ptoafbw00" w:colFirst="0" w:colLast="0"/>
      <w:bookmarkStart w:id="3" w:name="_Toc171890708"/>
      <w:bookmarkEnd w:id="2"/>
      <w:r>
        <w:lastRenderedPageBreak/>
        <w:t>2. Assessment of the Business Environment</w:t>
      </w:r>
      <w:bookmarkEnd w:id="3"/>
    </w:p>
    <w:p w:rsidR="00631B34" w:rsidRDefault="00004D48" w:rsidP="00E50ED5">
      <w:pPr>
        <w:pStyle w:val="Heading2"/>
      </w:pPr>
      <w:bookmarkStart w:id="4" w:name="_nor0ip6tbakg" w:colFirst="0" w:colLast="0"/>
      <w:bookmarkStart w:id="5" w:name="_Toc171890709"/>
      <w:bookmarkEnd w:id="4"/>
      <w:r>
        <w:t>2.1 PESTEL Analysis</w:t>
      </w:r>
      <w:bookmarkEnd w:id="5"/>
    </w:p>
    <w:tbl>
      <w:tblPr>
        <w:tblStyle w:val="a"/>
        <w:tblW w:w="8850" w:type="dxa"/>
        <w:tblBorders>
          <w:top w:val="nil"/>
          <w:left w:val="nil"/>
          <w:bottom w:val="nil"/>
          <w:right w:val="nil"/>
          <w:insideH w:val="nil"/>
          <w:insideV w:val="nil"/>
        </w:tblBorders>
        <w:tblLayout w:type="fixed"/>
        <w:tblLook w:val="0600" w:firstRow="0" w:lastRow="0" w:firstColumn="0" w:lastColumn="0" w:noHBand="1" w:noVBand="1"/>
      </w:tblPr>
      <w:tblGrid>
        <w:gridCol w:w="1650"/>
        <w:gridCol w:w="2010"/>
        <w:gridCol w:w="2940"/>
        <w:gridCol w:w="2250"/>
      </w:tblGrid>
      <w:tr w:rsidR="00631B34">
        <w:trPr>
          <w:trHeight w:val="735"/>
        </w:trPr>
        <w:tc>
          <w:tcPr>
            <w:tcW w:w="1650" w:type="dxa"/>
            <w:tcBorders>
              <w:top w:val="single" w:sz="5" w:space="0" w:color="4472C4"/>
              <w:left w:val="single" w:sz="5" w:space="0" w:color="4472C4"/>
              <w:bottom w:val="single" w:sz="5" w:space="0" w:color="4472C4"/>
              <w:right w:val="nil"/>
            </w:tcBorders>
            <w:shd w:val="clear" w:color="auto" w:fill="4472C4"/>
            <w:tcMar>
              <w:top w:w="0" w:type="dxa"/>
              <w:left w:w="100" w:type="dxa"/>
              <w:bottom w:w="0" w:type="dxa"/>
              <w:right w:w="100" w:type="dxa"/>
            </w:tcMar>
          </w:tcPr>
          <w:p w:rsidR="00631B34" w:rsidRDefault="00004D48" w:rsidP="00E50ED5">
            <w:pPr>
              <w:spacing w:before="240"/>
              <w:rPr>
                <w:b/>
              </w:rPr>
            </w:pPr>
            <w:r>
              <w:rPr>
                <w:b/>
              </w:rPr>
              <w:t>Factor</w:t>
            </w:r>
          </w:p>
        </w:tc>
        <w:tc>
          <w:tcPr>
            <w:tcW w:w="2010" w:type="dxa"/>
            <w:tcBorders>
              <w:top w:val="single" w:sz="5" w:space="0" w:color="4472C4"/>
              <w:left w:val="nil"/>
              <w:bottom w:val="single" w:sz="5" w:space="0" w:color="4472C4"/>
              <w:right w:val="nil"/>
            </w:tcBorders>
            <w:shd w:val="clear" w:color="auto" w:fill="4472C4"/>
            <w:tcMar>
              <w:top w:w="0" w:type="dxa"/>
              <w:left w:w="100" w:type="dxa"/>
              <w:bottom w:w="0" w:type="dxa"/>
              <w:right w:w="100" w:type="dxa"/>
            </w:tcMar>
          </w:tcPr>
          <w:p w:rsidR="00631B34" w:rsidRDefault="00004D48" w:rsidP="00E50ED5">
            <w:pPr>
              <w:spacing w:before="240"/>
              <w:rPr>
                <w:b/>
              </w:rPr>
            </w:pPr>
            <w:r>
              <w:rPr>
                <w:b/>
              </w:rPr>
              <w:t>Description</w:t>
            </w:r>
          </w:p>
        </w:tc>
        <w:tc>
          <w:tcPr>
            <w:tcW w:w="2940" w:type="dxa"/>
            <w:tcBorders>
              <w:top w:val="single" w:sz="5" w:space="0" w:color="4472C4"/>
              <w:left w:val="nil"/>
              <w:bottom w:val="single" w:sz="5" w:space="0" w:color="4472C4"/>
              <w:right w:val="nil"/>
            </w:tcBorders>
            <w:shd w:val="clear" w:color="auto" w:fill="4472C4"/>
            <w:tcMar>
              <w:top w:w="0" w:type="dxa"/>
              <w:left w:w="100" w:type="dxa"/>
              <w:bottom w:w="0" w:type="dxa"/>
              <w:right w:w="100" w:type="dxa"/>
            </w:tcMar>
          </w:tcPr>
          <w:p w:rsidR="00631B34" w:rsidRDefault="00004D48" w:rsidP="00E50ED5">
            <w:pPr>
              <w:spacing w:before="240"/>
              <w:rPr>
                <w:b/>
              </w:rPr>
            </w:pPr>
            <w:r>
              <w:rPr>
                <w:b/>
              </w:rPr>
              <w:t>Example &amp; Statistical Data</w:t>
            </w:r>
          </w:p>
        </w:tc>
        <w:tc>
          <w:tcPr>
            <w:tcW w:w="2250" w:type="dxa"/>
            <w:tcBorders>
              <w:top w:val="single" w:sz="5" w:space="0" w:color="4472C4"/>
              <w:left w:val="nil"/>
              <w:bottom w:val="single" w:sz="5" w:space="0" w:color="4472C4"/>
              <w:right w:val="single" w:sz="5" w:space="0" w:color="4472C4"/>
            </w:tcBorders>
            <w:shd w:val="clear" w:color="auto" w:fill="4472C4"/>
            <w:tcMar>
              <w:top w:w="0" w:type="dxa"/>
              <w:left w:w="100" w:type="dxa"/>
              <w:bottom w:w="0" w:type="dxa"/>
              <w:right w:w="100" w:type="dxa"/>
            </w:tcMar>
          </w:tcPr>
          <w:p w:rsidR="00631B34" w:rsidRDefault="00004D48" w:rsidP="00E50ED5">
            <w:pPr>
              <w:spacing w:before="240"/>
              <w:rPr>
                <w:b/>
              </w:rPr>
            </w:pPr>
            <w:r>
              <w:rPr>
                <w:b/>
              </w:rPr>
              <w:t>Impact</w:t>
            </w:r>
          </w:p>
        </w:tc>
      </w:tr>
      <w:tr w:rsidR="00631B34">
        <w:trPr>
          <w:trHeight w:val="6495"/>
        </w:trPr>
        <w:tc>
          <w:tcPr>
            <w:tcW w:w="1650" w:type="dxa"/>
            <w:tcBorders>
              <w:top w:val="nil"/>
              <w:left w:val="single" w:sz="5" w:space="0" w:color="8EAADB"/>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t>Political</w:t>
            </w:r>
          </w:p>
        </w:tc>
        <w:tc>
          <w:tcPr>
            <w:tcW w:w="201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t>Political factors include government policies, political stability, tax policies, trade restrictions, and tariffs (Oloo, Daisy and Oniang’o, 2018).</w:t>
            </w:r>
          </w:p>
        </w:tc>
        <w:tc>
          <w:tcPr>
            <w:tcW w:w="294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rPr>
                <w:b/>
                <w:i/>
              </w:rPr>
              <w:t>Trade Restrictions:</w:t>
            </w:r>
            <w:r>
              <w:t xml:space="preserve"> In countries with stringent trade restrictions, such as certain Middle Eastern nations, KFC must adapt to local regulations to operate effectively. </w:t>
            </w:r>
          </w:p>
          <w:p w:rsidR="00631B34" w:rsidRDefault="00004D48" w:rsidP="00E50ED5">
            <w:pPr>
              <w:spacing w:before="240"/>
            </w:pPr>
            <w:r>
              <w:rPr>
                <w:b/>
                <w:i/>
              </w:rPr>
              <w:t>Regulatory Compliance:</w:t>
            </w:r>
            <w:r>
              <w:t xml:space="preserve"> In the US, fast-food chains like KFC have to comply with FDA regulations concerning food safety and nutritional information (Fda.gov, 2023). </w:t>
            </w:r>
          </w:p>
          <w:p w:rsidR="00631B34" w:rsidRDefault="00004D48" w:rsidP="00E50ED5">
            <w:pPr>
              <w:spacing w:before="240"/>
            </w:pPr>
            <w:r>
              <w:rPr>
                <w:b/>
                <w:i/>
              </w:rPr>
              <w:t>Political Stability:</w:t>
            </w:r>
            <w:r>
              <w:t xml:space="preserve"> In 2023, KFC had to temporarily close several outlets in Myanmar due to political unrest (Fda.gov, 2023).</w:t>
            </w:r>
          </w:p>
        </w:tc>
        <w:tc>
          <w:tcPr>
            <w:tcW w:w="225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rPr>
                <w:b/>
                <w:i/>
              </w:rPr>
              <w:t xml:space="preserve">Operational Disruptions: </w:t>
            </w:r>
            <w:r>
              <w:t xml:space="preserve">Political instability can lead to temporary closures and financial losses. </w:t>
            </w:r>
          </w:p>
          <w:p w:rsidR="00631B34" w:rsidRDefault="00004D48" w:rsidP="00E50ED5">
            <w:pPr>
              <w:spacing w:before="240"/>
            </w:pPr>
            <w:r>
              <w:rPr>
                <w:b/>
                <w:i/>
              </w:rPr>
              <w:t>Compliance Costs:</w:t>
            </w:r>
            <w:r>
              <w:t xml:space="preserve"> Adhering to different regulations increases operational costs.</w:t>
            </w:r>
          </w:p>
        </w:tc>
      </w:tr>
      <w:tr w:rsidR="00631B34">
        <w:trPr>
          <w:trHeight w:val="6855"/>
        </w:trPr>
        <w:tc>
          <w:tcPr>
            <w:tcW w:w="1650" w:type="dxa"/>
            <w:tcBorders>
              <w:top w:val="nil"/>
              <w:left w:val="single" w:sz="5" w:space="0" w:color="8EAADB"/>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lastRenderedPageBreak/>
              <w:t>Economic</w:t>
            </w:r>
          </w:p>
        </w:tc>
        <w:tc>
          <w:tcPr>
            <w:tcW w:w="201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t>Economic factors encompass economic growth, exchange rates, inflation rates, and economic conditions in different regions.</w:t>
            </w:r>
          </w:p>
        </w:tc>
        <w:tc>
          <w:tcPr>
            <w:tcW w:w="294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rPr>
                <w:b/>
                <w:i/>
              </w:rPr>
              <w:t>Economic Growth:</w:t>
            </w:r>
            <w:r>
              <w:t xml:space="preserve"> In emerging markets like India, where the GDP growth rate was 6.1% in 2023, KFC is expanding rapidly due to increasing disposable incomes (Anitharaj, 2018). </w:t>
            </w:r>
          </w:p>
          <w:p w:rsidR="00631B34" w:rsidRDefault="00004D48" w:rsidP="00E50ED5">
            <w:pPr>
              <w:spacing w:before="240"/>
            </w:pPr>
            <w:r>
              <w:rPr>
                <w:b/>
                <w:i/>
              </w:rPr>
              <w:t>Inflation:</w:t>
            </w:r>
            <w:r>
              <w:t xml:space="preserve"> High inflation rates in countries like Argentina (104% in 2023) affect the cost of raw materials and operational expenses for KFC (Bianco and Otaola, 2023). </w:t>
            </w:r>
          </w:p>
          <w:p w:rsidR="00631B34" w:rsidRDefault="00004D48" w:rsidP="00E50ED5">
            <w:pPr>
              <w:spacing w:before="240"/>
            </w:pPr>
            <w:r>
              <w:rPr>
                <w:b/>
                <w:i/>
              </w:rPr>
              <w:t>Exchange Rates:</w:t>
            </w:r>
            <w:r>
              <w:t xml:space="preserve"> Fluctuations in currency exchange rates impact KFC’s profitability, particularly in regions with volatile currencies (KFC.com, 2019).</w:t>
            </w:r>
          </w:p>
        </w:tc>
        <w:tc>
          <w:tcPr>
            <w:tcW w:w="225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rPr>
                <w:b/>
                <w:i/>
              </w:rPr>
              <w:t>Revenue Growth:</w:t>
            </w:r>
            <w:r>
              <w:t xml:space="preserve"> Higher disposable incomes in emerging markets lead to increased sales. </w:t>
            </w:r>
          </w:p>
          <w:p w:rsidR="00631B34" w:rsidRDefault="00004D48" w:rsidP="00E50ED5">
            <w:pPr>
              <w:spacing w:before="240"/>
            </w:pPr>
            <w:r>
              <w:rPr>
                <w:b/>
                <w:i/>
              </w:rPr>
              <w:t>Cost Pressures:</w:t>
            </w:r>
            <w:r>
              <w:t xml:space="preserve"> Inflation and currency fluctuations affect profitability and pricing strategies.</w:t>
            </w:r>
          </w:p>
        </w:tc>
      </w:tr>
      <w:tr w:rsidR="00631B34">
        <w:trPr>
          <w:trHeight w:val="6495"/>
        </w:trPr>
        <w:tc>
          <w:tcPr>
            <w:tcW w:w="1650" w:type="dxa"/>
            <w:tcBorders>
              <w:top w:val="nil"/>
              <w:left w:val="single" w:sz="5" w:space="0" w:color="8EAADB"/>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lastRenderedPageBreak/>
              <w:t>Social</w:t>
            </w:r>
          </w:p>
        </w:tc>
        <w:tc>
          <w:tcPr>
            <w:tcW w:w="201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t>Social factors involve cultural aspects, health consciousness, population demographics, and lifestyle changes.</w:t>
            </w:r>
          </w:p>
        </w:tc>
        <w:tc>
          <w:tcPr>
            <w:tcW w:w="294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rPr>
                <w:b/>
                <w:i/>
              </w:rPr>
              <w:t>Health Consciousness:</w:t>
            </w:r>
            <w:r>
              <w:t xml:space="preserve"> Increasing health awareness among consumers has led KFC to introduce healthier menu options like grilled chicken and salads (Prabhakar, 2019). </w:t>
            </w:r>
          </w:p>
          <w:p w:rsidR="00631B34" w:rsidRDefault="00004D48" w:rsidP="00E50ED5">
            <w:pPr>
              <w:spacing w:before="240"/>
            </w:pPr>
            <w:r>
              <w:rPr>
                <w:b/>
                <w:i/>
              </w:rPr>
              <w:t>Cultural Preferences:</w:t>
            </w:r>
            <w:r>
              <w:t xml:space="preserve"> In India, KFC offers a range of vegetarian options to cater to cultural dietary preferences, where around 31% of the population follows a vegetarian diet (Prabhakar, 2019). </w:t>
            </w:r>
          </w:p>
          <w:p w:rsidR="00631B34" w:rsidRDefault="00004D48" w:rsidP="00E50ED5">
            <w:pPr>
              <w:spacing w:before="240"/>
            </w:pPr>
            <w:r>
              <w:rPr>
                <w:b/>
                <w:i/>
              </w:rPr>
              <w:t>Demographics:</w:t>
            </w:r>
            <w:r>
              <w:t xml:space="preserve"> Targeting younger demographics who are more likely to dine out frequently.</w:t>
            </w:r>
          </w:p>
        </w:tc>
        <w:tc>
          <w:tcPr>
            <w:tcW w:w="225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rPr>
                <w:b/>
                <w:i/>
              </w:rPr>
              <w:t xml:space="preserve">Product Diversification: </w:t>
            </w:r>
            <w:r>
              <w:t xml:space="preserve">Introducing healthier and culturally appropriate menu options increases market share (Prabhakar, 2019). </w:t>
            </w:r>
          </w:p>
          <w:p w:rsidR="00631B34" w:rsidRDefault="00004D48" w:rsidP="00E50ED5">
            <w:pPr>
              <w:spacing w:before="240"/>
              <w:rPr>
                <w:b/>
                <w:i/>
              </w:rPr>
            </w:pPr>
            <w:r>
              <w:rPr>
                <w:b/>
                <w:i/>
              </w:rPr>
              <w:t xml:space="preserve">Customer Engagement: </w:t>
            </w:r>
          </w:p>
          <w:p w:rsidR="00631B34" w:rsidRDefault="00004D48" w:rsidP="00E50ED5">
            <w:pPr>
              <w:spacing w:before="240"/>
            </w:pPr>
            <w:r>
              <w:t>KFC serves more than 12 million customers every day in 110 countries around the globe (Statista.com, 2024)</w:t>
            </w:r>
          </w:p>
        </w:tc>
      </w:tr>
      <w:tr w:rsidR="00631B34">
        <w:trPr>
          <w:trHeight w:val="5775"/>
        </w:trPr>
        <w:tc>
          <w:tcPr>
            <w:tcW w:w="1650" w:type="dxa"/>
            <w:tcBorders>
              <w:top w:val="nil"/>
              <w:left w:val="single" w:sz="5" w:space="0" w:color="8EAADB"/>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lastRenderedPageBreak/>
              <w:t>Technological</w:t>
            </w:r>
          </w:p>
        </w:tc>
        <w:tc>
          <w:tcPr>
            <w:tcW w:w="201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t>Technological factors include technological advancements, automation, R&amp;D activity, and the use of technology in production and operations (Pascucci et al., 2023).</w:t>
            </w:r>
          </w:p>
        </w:tc>
        <w:tc>
          <w:tcPr>
            <w:tcW w:w="294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rPr>
                <w:b/>
                <w:i/>
              </w:rPr>
              <w:t>Digital Ordering:</w:t>
            </w:r>
            <w:r>
              <w:t xml:space="preserve"> KFC has invested in digital ordering and delivery platforms. In 2022, over 40% of KFC’s global sales were generated through digital channels (KFC.com, 2024). </w:t>
            </w:r>
          </w:p>
          <w:p w:rsidR="00631B34" w:rsidRDefault="00004D48" w:rsidP="00E50ED5">
            <w:pPr>
              <w:spacing w:before="240"/>
            </w:pPr>
            <w:r>
              <w:rPr>
                <w:b/>
                <w:i/>
              </w:rPr>
              <w:t xml:space="preserve">Automation: </w:t>
            </w:r>
            <w:r>
              <w:t xml:space="preserve">KFC uses automated fryers and kitchen equipment to ensure consistency and efficiency across its outlets. </w:t>
            </w:r>
          </w:p>
          <w:p w:rsidR="00631B34" w:rsidRDefault="00004D48" w:rsidP="00E50ED5">
            <w:pPr>
              <w:spacing w:before="240"/>
            </w:pPr>
            <w:r>
              <w:rPr>
                <w:b/>
                <w:i/>
              </w:rPr>
              <w:t>Mobile Apps:</w:t>
            </w:r>
            <w:r>
              <w:t xml:space="preserve"> The KFC app, which includes loyalty programs and promotions, has seen over 10 million downloads in the US alone (Kelso, 2024).</w:t>
            </w:r>
          </w:p>
        </w:tc>
        <w:tc>
          <w:tcPr>
            <w:tcW w:w="225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rPr>
                <w:b/>
                <w:i/>
              </w:rPr>
              <w:t>Efficiency Gains:</w:t>
            </w:r>
            <w:r>
              <w:t xml:space="preserve"> Automation reduces operational costs and improves service speed. </w:t>
            </w:r>
          </w:p>
          <w:p w:rsidR="00631B34" w:rsidRDefault="00004D48" w:rsidP="00E50ED5">
            <w:pPr>
              <w:spacing w:before="240"/>
            </w:pPr>
            <w:r>
              <w:rPr>
                <w:b/>
                <w:i/>
              </w:rPr>
              <w:t xml:space="preserve">Increased Sales: </w:t>
            </w:r>
            <w:r>
              <w:t>Digital platforms boost sales and customer convenience.</w:t>
            </w:r>
          </w:p>
        </w:tc>
      </w:tr>
      <w:tr w:rsidR="00631B34" w:rsidTr="001416F1">
        <w:trPr>
          <w:trHeight w:val="528"/>
        </w:trPr>
        <w:tc>
          <w:tcPr>
            <w:tcW w:w="1650" w:type="dxa"/>
            <w:tcBorders>
              <w:top w:val="nil"/>
              <w:left w:val="single" w:sz="5" w:space="0" w:color="8EAADB"/>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t>Environmental</w:t>
            </w:r>
          </w:p>
        </w:tc>
        <w:tc>
          <w:tcPr>
            <w:tcW w:w="201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t>Environmental factors involve ecological aspects, such as climate change, environmental regulations, and sustainability initiatives.</w:t>
            </w:r>
          </w:p>
        </w:tc>
        <w:tc>
          <w:tcPr>
            <w:tcW w:w="294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rPr>
                <w:b/>
                <w:i/>
              </w:rPr>
              <w:t>Sustainability Initiatives:</w:t>
            </w:r>
            <w:r>
              <w:t xml:space="preserve"> KFC aims to eliminate non-reusable plastic packaging by 2025 (KFC.com, 2019) </w:t>
            </w:r>
          </w:p>
          <w:p w:rsidR="00631B34" w:rsidRDefault="00004D48" w:rsidP="00E50ED5">
            <w:pPr>
              <w:spacing w:before="240"/>
            </w:pPr>
            <w:r>
              <w:rPr>
                <w:b/>
                <w:i/>
              </w:rPr>
              <w:t xml:space="preserve">Carbon Footprint: </w:t>
            </w:r>
            <w:r>
              <w:t>KFC is working to reduce its carbon footprint by sourcing chicken from farms with lower environmental impacts (KFC.com, 2019</w:t>
            </w:r>
            <w:proofErr w:type="gramStart"/>
            <w:r>
              <w:t>) .</w:t>
            </w:r>
            <w:proofErr w:type="gramEnd"/>
            <w:r>
              <w:t xml:space="preserve"> </w:t>
            </w:r>
          </w:p>
          <w:p w:rsidR="00631B34" w:rsidRDefault="00004D48" w:rsidP="00E50ED5">
            <w:pPr>
              <w:spacing w:before="240"/>
            </w:pPr>
            <w:r>
              <w:rPr>
                <w:b/>
                <w:i/>
              </w:rPr>
              <w:t xml:space="preserve">Climate Change: </w:t>
            </w:r>
            <w:r>
              <w:t xml:space="preserve">The impact of climate change on </w:t>
            </w:r>
            <w:r>
              <w:lastRenderedPageBreak/>
              <w:t>agriculture can affect the supply chain and cost of ingredients for KFC.</w:t>
            </w:r>
          </w:p>
        </w:tc>
        <w:tc>
          <w:tcPr>
            <w:tcW w:w="2250" w:type="dxa"/>
            <w:tcBorders>
              <w:top w:val="nil"/>
              <w:left w:val="nil"/>
              <w:bottom w:val="single" w:sz="5" w:space="0" w:color="8EAADB"/>
              <w:right w:val="single" w:sz="5" w:space="0" w:color="8EAADB"/>
            </w:tcBorders>
            <w:shd w:val="clear" w:color="auto" w:fill="D9E2F3"/>
            <w:tcMar>
              <w:top w:w="0" w:type="dxa"/>
              <w:left w:w="100" w:type="dxa"/>
              <w:bottom w:w="0" w:type="dxa"/>
              <w:right w:w="100" w:type="dxa"/>
            </w:tcMar>
          </w:tcPr>
          <w:p w:rsidR="00631B34" w:rsidRDefault="00004D48" w:rsidP="00E50ED5">
            <w:pPr>
              <w:spacing w:before="240"/>
            </w:pPr>
            <w:r>
              <w:rPr>
                <w:b/>
                <w:i/>
              </w:rPr>
              <w:lastRenderedPageBreak/>
              <w:t xml:space="preserve">Brand Image: </w:t>
            </w:r>
            <w:r>
              <w:t xml:space="preserve">Sustainability efforts enhance the brand's reputation among eco-conscious consumers (Ghosh, et al. 2020). </w:t>
            </w:r>
          </w:p>
          <w:p w:rsidR="00631B34" w:rsidRDefault="00004D48" w:rsidP="00E50ED5">
            <w:pPr>
              <w:spacing w:before="240"/>
            </w:pPr>
            <w:r>
              <w:rPr>
                <w:b/>
                <w:i/>
              </w:rPr>
              <w:t>Supply Chain Stability:</w:t>
            </w:r>
            <w:r>
              <w:t xml:space="preserve"> Climate change can disrupt ingredient supply and </w:t>
            </w:r>
            <w:r>
              <w:lastRenderedPageBreak/>
              <w:t>increase costs (Ghosh et al.2020).</w:t>
            </w:r>
          </w:p>
        </w:tc>
      </w:tr>
      <w:tr w:rsidR="00631B34">
        <w:trPr>
          <w:trHeight w:val="6135"/>
        </w:trPr>
        <w:tc>
          <w:tcPr>
            <w:tcW w:w="1650" w:type="dxa"/>
            <w:tcBorders>
              <w:top w:val="nil"/>
              <w:left w:val="single" w:sz="5" w:space="0" w:color="8EAADB"/>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lastRenderedPageBreak/>
              <w:t>Legal</w:t>
            </w:r>
          </w:p>
        </w:tc>
        <w:tc>
          <w:tcPr>
            <w:tcW w:w="201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t>Legal factors include employment laws, health and safety regulations, intellectual property rights, and consumer protection laws.</w:t>
            </w:r>
          </w:p>
        </w:tc>
        <w:tc>
          <w:tcPr>
            <w:tcW w:w="294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rPr>
                <w:b/>
                <w:i/>
              </w:rPr>
              <w:t>Health Regulations:</w:t>
            </w:r>
            <w:r>
              <w:t xml:space="preserve"> Compliance with health and safety regulations is crucial. In 2023, KFC UK was fined £1 million for food safety violations at one of its outlets (Thehindu, 2024). </w:t>
            </w:r>
          </w:p>
          <w:p w:rsidR="00631B34" w:rsidRDefault="00004D48" w:rsidP="00E50ED5">
            <w:pPr>
              <w:spacing w:before="240"/>
            </w:pPr>
            <w:r>
              <w:rPr>
                <w:b/>
                <w:i/>
              </w:rPr>
              <w:t xml:space="preserve">Employment Laws: </w:t>
            </w:r>
            <w:r>
              <w:t xml:space="preserve">KFC must adhere to different labour laws in various countries, such as minimum wage laws in the US, which increased in several states in 2023 (Konish, 2023). </w:t>
            </w:r>
          </w:p>
          <w:p w:rsidR="00631B34" w:rsidRDefault="00004D48" w:rsidP="00E50ED5">
            <w:pPr>
              <w:spacing w:before="240"/>
            </w:pPr>
            <w:r>
              <w:t>Intellectual Property: KFC's trademarks and recipes are protected to maintain brand integrity.</w:t>
            </w:r>
          </w:p>
        </w:tc>
        <w:tc>
          <w:tcPr>
            <w:tcW w:w="2250" w:type="dxa"/>
            <w:tcBorders>
              <w:top w:val="nil"/>
              <w:left w:val="nil"/>
              <w:bottom w:val="single" w:sz="5" w:space="0" w:color="8EAADB"/>
              <w:right w:val="single" w:sz="5" w:space="0" w:color="8EAADB"/>
            </w:tcBorders>
            <w:tcMar>
              <w:top w:w="0" w:type="dxa"/>
              <w:left w:w="100" w:type="dxa"/>
              <w:bottom w:w="0" w:type="dxa"/>
              <w:right w:w="100" w:type="dxa"/>
            </w:tcMar>
          </w:tcPr>
          <w:p w:rsidR="00631B34" w:rsidRDefault="00004D48" w:rsidP="00E50ED5">
            <w:pPr>
              <w:spacing w:before="240"/>
            </w:pPr>
            <w:r>
              <w:rPr>
                <w:b/>
                <w:i/>
              </w:rPr>
              <w:t>Legal Compliance:</w:t>
            </w:r>
            <w:r>
              <w:t xml:space="preserve"> Adherence to regulations avoids fines and legal issues. </w:t>
            </w:r>
          </w:p>
          <w:p w:rsidR="00631B34" w:rsidRDefault="00004D48" w:rsidP="00E50ED5">
            <w:pPr>
              <w:spacing w:before="240"/>
            </w:pPr>
            <w:r>
              <w:rPr>
                <w:b/>
                <w:i/>
              </w:rPr>
              <w:t>Cost Management:</w:t>
            </w:r>
            <w:r>
              <w:t xml:space="preserve"> Compliance with varying employment laws impacts labour costs (Thehindu, 2024).</w:t>
            </w:r>
          </w:p>
        </w:tc>
      </w:tr>
    </w:tbl>
    <w:p w:rsidR="00631B34" w:rsidRDefault="00004D48" w:rsidP="00E50ED5">
      <w:pPr>
        <w:jc w:val="center"/>
        <w:rPr>
          <w:b/>
        </w:rPr>
      </w:pPr>
      <w:r>
        <w:rPr>
          <w:b/>
        </w:rPr>
        <w:t>Table 1: PESTEL Analysis</w:t>
      </w:r>
    </w:p>
    <w:p w:rsidR="00631B34" w:rsidRDefault="00004D48" w:rsidP="00E50ED5">
      <w:r>
        <w:t>The information presented in this PESTEL analysis comprehensively discusses the externality that affects KFC’s operations internationally. By being aware of these issues, it is now possible to chart a good strategy for KFC since it operates in the international business environment which can either pose risks or bring opportunities for the company.</w:t>
      </w:r>
    </w:p>
    <w:p w:rsidR="004C417B" w:rsidRDefault="004C417B" w:rsidP="00E50ED5"/>
    <w:p w:rsidR="004C417B" w:rsidRDefault="004C417B" w:rsidP="00E50ED5"/>
    <w:p w:rsidR="004C417B" w:rsidRDefault="004C417B" w:rsidP="00E50ED5"/>
    <w:p w:rsidR="00631B34" w:rsidRDefault="00004D48" w:rsidP="00E50ED5">
      <w:pPr>
        <w:pStyle w:val="Heading2"/>
      </w:pPr>
      <w:bookmarkStart w:id="6" w:name="_b97m0qtmoehq" w:colFirst="0" w:colLast="0"/>
      <w:bookmarkStart w:id="7" w:name="_Toc171890710"/>
      <w:bookmarkEnd w:id="6"/>
      <w:r>
        <w:lastRenderedPageBreak/>
        <w:t>2.2 Porter's Five Forces</w:t>
      </w:r>
      <w:bookmarkEnd w:id="7"/>
    </w:p>
    <w:tbl>
      <w:tblPr>
        <w:tblStyle w:val="a0"/>
        <w:tblW w:w="8865" w:type="dxa"/>
        <w:tblBorders>
          <w:top w:val="nil"/>
          <w:left w:val="nil"/>
          <w:bottom w:val="nil"/>
          <w:right w:val="nil"/>
          <w:insideH w:val="nil"/>
          <w:insideV w:val="nil"/>
        </w:tblBorders>
        <w:tblLayout w:type="fixed"/>
        <w:tblLook w:val="0600" w:firstRow="0" w:lastRow="0" w:firstColumn="0" w:lastColumn="0" w:noHBand="1" w:noVBand="1"/>
      </w:tblPr>
      <w:tblGrid>
        <w:gridCol w:w="1350"/>
        <w:gridCol w:w="2175"/>
        <w:gridCol w:w="2760"/>
        <w:gridCol w:w="2580"/>
      </w:tblGrid>
      <w:tr w:rsidR="00631B34">
        <w:trPr>
          <w:trHeight w:val="570"/>
        </w:trPr>
        <w:tc>
          <w:tcPr>
            <w:tcW w:w="1350" w:type="dxa"/>
            <w:tcBorders>
              <w:top w:val="single" w:sz="5" w:space="0" w:color="A5A5A5"/>
              <w:left w:val="single" w:sz="5" w:space="0" w:color="A5A5A5"/>
              <w:bottom w:val="single" w:sz="5" w:space="0" w:color="A5A5A5"/>
              <w:right w:val="nil"/>
            </w:tcBorders>
            <w:shd w:val="clear" w:color="auto" w:fill="A5A5A5"/>
            <w:tcMar>
              <w:top w:w="0" w:type="dxa"/>
              <w:left w:w="100" w:type="dxa"/>
              <w:bottom w:w="0" w:type="dxa"/>
              <w:right w:w="100" w:type="dxa"/>
            </w:tcMar>
          </w:tcPr>
          <w:p w:rsidR="00631B34" w:rsidRDefault="00004D48" w:rsidP="00E50ED5">
            <w:pPr>
              <w:spacing w:before="240"/>
              <w:jc w:val="center"/>
              <w:rPr>
                <w:b/>
              </w:rPr>
            </w:pPr>
            <w:r>
              <w:rPr>
                <w:b/>
              </w:rPr>
              <w:t>Force</w:t>
            </w:r>
          </w:p>
        </w:tc>
        <w:tc>
          <w:tcPr>
            <w:tcW w:w="2175" w:type="dxa"/>
            <w:tcBorders>
              <w:top w:val="single" w:sz="5" w:space="0" w:color="A5A5A5"/>
              <w:left w:val="nil"/>
              <w:bottom w:val="single" w:sz="5" w:space="0" w:color="A5A5A5"/>
              <w:right w:val="nil"/>
            </w:tcBorders>
            <w:shd w:val="clear" w:color="auto" w:fill="A5A5A5"/>
            <w:tcMar>
              <w:top w:w="0" w:type="dxa"/>
              <w:left w:w="100" w:type="dxa"/>
              <w:bottom w:w="0" w:type="dxa"/>
              <w:right w:w="100" w:type="dxa"/>
            </w:tcMar>
          </w:tcPr>
          <w:p w:rsidR="00631B34" w:rsidRDefault="00004D48" w:rsidP="00E50ED5">
            <w:pPr>
              <w:spacing w:before="240"/>
              <w:jc w:val="center"/>
              <w:rPr>
                <w:b/>
              </w:rPr>
            </w:pPr>
            <w:r>
              <w:rPr>
                <w:b/>
              </w:rPr>
              <w:t>Description</w:t>
            </w:r>
          </w:p>
        </w:tc>
        <w:tc>
          <w:tcPr>
            <w:tcW w:w="2760" w:type="dxa"/>
            <w:tcBorders>
              <w:top w:val="single" w:sz="5" w:space="0" w:color="A5A5A5"/>
              <w:left w:val="nil"/>
              <w:bottom w:val="single" w:sz="5" w:space="0" w:color="A5A5A5"/>
              <w:right w:val="nil"/>
            </w:tcBorders>
            <w:shd w:val="clear" w:color="auto" w:fill="A5A5A5"/>
            <w:tcMar>
              <w:top w:w="0" w:type="dxa"/>
              <w:left w:w="100" w:type="dxa"/>
              <w:bottom w:w="0" w:type="dxa"/>
              <w:right w:w="100" w:type="dxa"/>
            </w:tcMar>
          </w:tcPr>
          <w:p w:rsidR="00631B34" w:rsidRDefault="00004D48" w:rsidP="00E50ED5">
            <w:pPr>
              <w:spacing w:before="240"/>
              <w:jc w:val="center"/>
              <w:rPr>
                <w:b/>
              </w:rPr>
            </w:pPr>
            <w:r>
              <w:rPr>
                <w:b/>
              </w:rPr>
              <w:t>Example &amp; Statistical Data</w:t>
            </w:r>
          </w:p>
        </w:tc>
        <w:tc>
          <w:tcPr>
            <w:tcW w:w="2580" w:type="dxa"/>
            <w:tcBorders>
              <w:top w:val="single" w:sz="5" w:space="0" w:color="A5A5A5"/>
              <w:left w:val="nil"/>
              <w:bottom w:val="single" w:sz="5" w:space="0" w:color="A5A5A5"/>
              <w:right w:val="single" w:sz="5" w:space="0" w:color="A5A5A5"/>
            </w:tcBorders>
            <w:shd w:val="clear" w:color="auto" w:fill="A5A5A5"/>
            <w:tcMar>
              <w:top w:w="0" w:type="dxa"/>
              <w:left w:w="100" w:type="dxa"/>
              <w:bottom w:w="0" w:type="dxa"/>
              <w:right w:w="100" w:type="dxa"/>
            </w:tcMar>
          </w:tcPr>
          <w:p w:rsidR="00631B34" w:rsidRDefault="00004D48" w:rsidP="00E50ED5">
            <w:pPr>
              <w:spacing w:before="240"/>
              <w:jc w:val="center"/>
              <w:rPr>
                <w:b/>
              </w:rPr>
            </w:pPr>
            <w:r>
              <w:rPr>
                <w:b/>
              </w:rPr>
              <w:t>Impact</w:t>
            </w:r>
          </w:p>
        </w:tc>
      </w:tr>
      <w:tr w:rsidR="00631B34">
        <w:trPr>
          <w:trHeight w:val="3600"/>
        </w:trPr>
        <w:tc>
          <w:tcPr>
            <w:tcW w:w="1350" w:type="dxa"/>
            <w:tcBorders>
              <w:top w:val="nil"/>
              <w:left w:val="single" w:sz="5" w:space="0" w:color="C9C9C9"/>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t>Threat of New Entrants</w:t>
            </w:r>
          </w:p>
        </w:tc>
        <w:tc>
          <w:tcPr>
            <w:tcW w:w="2175"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t>As per the narration of Zhu (2023), the ease with which new competitors can enter the market and challenge existing players. Factors include capital requirements, brand loyalty, and economies of scale.</w:t>
            </w:r>
          </w:p>
        </w:tc>
        <w:tc>
          <w:tcPr>
            <w:tcW w:w="2760"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rPr>
                <w:b/>
              </w:rPr>
              <w:t>Capital Requirements:</w:t>
            </w:r>
            <w:r>
              <w:t xml:space="preserve"> Opening a fast-food restaurant can be capital-intensive. However, Konish (2023) argued that smaller chains and independent restaurants can enter the market with lower costs, especially in local markets. </w:t>
            </w:r>
          </w:p>
          <w:p w:rsidR="00631B34" w:rsidRDefault="00004D48" w:rsidP="00E50ED5">
            <w:pPr>
              <w:spacing w:before="240"/>
            </w:pPr>
            <w:r>
              <w:rPr>
                <w:b/>
              </w:rPr>
              <w:t>Brand Loyalty:</w:t>
            </w:r>
            <w:r>
              <w:t xml:space="preserve"> As per the narration of Zhu (2023), KFC's strong brand loyalty provides a competitive edge.</w:t>
            </w:r>
          </w:p>
        </w:tc>
        <w:tc>
          <w:tcPr>
            <w:tcW w:w="2580"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rPr>
                <w:b/>
              </w:rPr>
              <w:t>Market Share:</w:t>
            </w:r>
            <w:r>
              <w:t xml:space="preserve"> A high threat from local entrants in emerging markets can erode market share. </w:t>
            </w:r>
          </w:p>
          <w:p w:rsidR="00631B34" w:rsidRDefault="00004D48" w:rsidP="00E50ED5">
            <w:pPr>
              <w:spacing w:before="240"/>
            </w:pPr>
            <w:r>
              <w:rPr>
                <w:b/>
              </w:rPr>
              <w:t>Investment:</w:t>
            </w:r>
            <w:r>
              <w:t xml:space="preserve"> Continuous investment in marketing and innovation to maintain a competitive edge (Kelso, 2024).</w:t>
            </w:r>
          </w:p>
        </w:tc>
      </w:tr>
      <w:tr w:rsidR="00631B34">
        <w:trPr>
          <w:trHeight w:val="3045"/>
        </w:trPr>
        <w:tc>
          <w:tcPr>
            <w:tcW w:w="1350" w:type="dxa"/>
            <w:tcBorders>
              <w:top w:val="nil"/>
              <w:left w:val="single" w:sz="5" w:space="0" w:color="C9C9C9"/>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t>Bargaining Power of Suppliers</w:t>
            </w:r>
          </w:p>
        </w:tc>
        <w:tc>
          <w:tcPr>
            <w:tcW w:w="2175" w:type="dxa"/>
            <w:tcBorders>
              <w:top w:val="nil"/>
              <w:left w:val="nil"/>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t>The power suppliers have to drive up prices of raw materials, which can affect the profitability of firms in the industry.</w:t>
            </w:r>
          </w:p>
        </w:tc>
        <w:tc>
          <w:tcPr>
            <w:tcW w:w="2760" w:type="dxa"/>
            <w:tcBorders>
              <w:top w:val="nil"/>
              <w:left w:val="nil"/>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rPr>
                <w:b/>
              </w:rPr>
              <w:t>Supplier Concentration:</w:t>
            </w:r>
            <w:r>
              <w:t xml:space="preserve"> KFC relies on a limited number of suppliers for chicken and other key ingredients (Priday, 2018). </w:t>
            </w:r>
          </w:p>
          <w:p w:rsidR="00631B34" w:rsidRDefault="00004D48" w:rsidP="00E50ED5">
            <w:pPr>
              <w:spacing w:before="240"/>
            </w:pPr>
            <w:r>
              <w:rPr>
                <w:b/>
              </w:rPr>
              <w:t>Raw Material Costs:</w:t>
            </w:r>
            <w:r>
              <w:t xml:space="preserve"> In 2023, global poultry prices rose by 6%, impacting KFC's input costs (Byrne, 2023).</w:t>
            </w:r>
          </w:p>
        </w:tc>
        <w:tc>
          <w:tcPr>
            <w:tcW w:w="2580" w:type="dxa"/>
            <w:tcBorders>
              <w:top w:val="nil"/>
              <w:left w:val="nil"/>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rPr>
                <w:b/>
              </w:rPr>
              <w:t>Cost Management:</w:t>
            </w:r>
            <w:r>
              <w:t xml:space="preserve"> High supplier power can lead to increased costs and reduced margins. </w:t>
            </w:r>
          </w:p>
          <w:p w:rsidR="00631B34" w:rsidRDefault="00004D48" w:rsidP="00E50ED5">
            <w:pPr>
              <w:spacing w:before="240"/>
            </w:pPr>
            <w:r>
              <w:rPr>
                <w:b/>
              </w:rPr>
              <w:t>Supply Chain Relationships:</w:t>
            </w:r>
            <w:r>
              <w:t xml:space="preserve"> Building strong relationships with suppliers to secure favourable terms and consistent supply (Priday, 2018).</w:t>
            </w:r>
          </w:p>
        </w:tc>
      </w:tr>
      <w:tr w:rsidR="00631B34">
        <w:trPr>
          <w:trHeight w:val="3330"/>
        </w:trPr>
        <w:tc>
          <w:tcPr>
            <w:tcW w:w="1350" w:type="dxa"/>
            <w:tcBorders>
              <w:top w:val="nil"/>
              <w:left w:val="single" w:sz="5" w:space="0" w:color="C9C9C9"/>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lastRenderedPageBreak/>
              <w:t>Bargaining Power of Buyers</w:t>
            </w:r>
          </w:p>
        </w:tc>
        <w:tc>
          <w:tcPr>
            <w:tcW w:w="2175"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t>The power customers have to affect pricing and quality of products. Factors include buyer concentration and availability of substitutes.</w:t>
            </w:r>
          </w:p>
        </w:tc>
        <w:tc>
          <w:tcPr>
            <w:tcW w:w="2760"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rPr>
                <w:b/>
              </w:rPr>
              <w:t>Buyer Concentration:</w:t>
            </w:r>
            <w:r>
              <w:t xml:space="preserve"> Individual consumers have low bargaining power. However, large institutional buyers or franchisees can negotiate better terms. </w:t>
            </w:r>
          </w:p>
          <w:p w:rsidR="00631B34" w:rsidRDefault="00004D48" w:rsidP="00E50ED5">
            <w:pPr>
              <w:spacing w:before="240"/>
            </w:pPr>
            <w:r>
              <w:rPr>
                <w:b/>
              </w:rPr>
              <w:t>Customer Preferences:</w:t>
            </w:r>
            <w:r>
              <w:t xml:space="preserve"> Rising demand for healthier options has pressured KFC to diversify its menu (Chan et al., 2020).</w:t>
            </w:r>
          </w:p>
        </w:tc>
        <w:tc>
          <w:tcPr>
            <w:tcW w:w="2580"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rPr>
                <w:b/>
              </w:rPr>
              <w:t>Pricing Strategies:</w:t>
            </w:r>
            <w:r>
              <w:t xml:space="preserve"> As per the narration of Zhu (2023), KFC needs competitive pricing to retain customers. </w:t>
            </w:r>
          </w:p>
          <w:p w:rsidR="00631B34" w:rsidRDefault="00004D48" w:rsidP="00E50ED5">
            <w:pPr>
              <w:spacing w:before="240"/>
            </w:pPr>
            <w:r>
              <w:rPr>
                <w:b/>
              </w:rPr>
              <w:t>Product Offerings:</w:t>
            </w:r>
            <w:r>
              <w:t xml:space="preserve"> Introduction of healthier and more diverse menu options to meet changing customer preferences (Priday, 2018).</w:t>
            </w:r>
          </w:p>
        </w:tc>
      </w:tr>
      <w:tr w:rsidR="00631B34">
        <w:trPr>
          <w:trHeight w:val="3045"/>
        </w:trPr>
        <w:tc>
          <w:tcPr>
            <w:tcW w:w="1350" w:type="dxa"/>
            <w:tcBorders>
              <w:top w:val="nil"/>
              <w:left w:val="single" w:sz="5" w:space="0" w:color="C9C9C9"/>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t>Threat of Substitutes</w:t>
            </w:r>
          </w:p>
        </w:tc>
        <w:tc>
          <w:tcPr>
            <w:tcW w:w="2175" w:type="dxa"/>
            <w:tcBorders>
              <w:top w:val="nil"/>
              <w:left w:val="nil"/>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t>The extent to which different products and services can replace existing ones. Factors include the availability of alternatives and customer propensity to switch.</w:t>
            </w:r>
          </w:p>
        </w:tc>
        <w:tc>
          <w:tcPr>
            <w:tcW w:w="2760" w:type="dxa"/>
            <w:tcBorders>
              <w:top w:val="nil"/>
              <w:left w:val="nil"/>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rPr>
                <w:b/>
              </w:rPr>
              <w:t>Availability of Alternatives:</w:t>
            </w:r>
            <w:r>
              <w:t xml:space="preserve"> The fast-food industry faces significant threats from healthier food options and home-cooked meals. </w:t>
            </w:r>
          </w:p>
          <w:p w:rsidR="00631B34" w:rsidRDefault="00004D48" w:rsidP="00E50ED5">
            <w:pPr>
              <w:spacing w:before="240"/>
            </w:pPr>
            <w:r>
              <w:rPr>
                <w:b/>
              </w:rPr>
              <w:t>Consumer Trends:</w:t>
            </w:r>
            <w:r>
              <w:t xml:space="preserve"> In 2023, there was a 12% increase in the consumption of plant-based fast food globally (Kamiński et al., 2023).</w:t>
            </w:r>
          </w:p>
        </w:tc>
        <w:tc>
          <w:tcPr>
            <w:tcW w:w="2580" w:type="dxa"/>
            <w:tcBorders>
              <w:top w:val="nil"/>
              <w:left w:val="nil"/>
              <w:bottom w:val="single" w:sz="5" w:space="0" w:color="C9C9C9"/>
              <w:right w:val="single" w:sz="5" w:space="0" w:color="C9C9C9"/>
            </w:tcBorders>
            <w:tcMar>
              <w:top w:w="0" w:type="dxa"/>
              <w:left w:w="100" w:type="dxa"/>
              <w:bottom w:w="0" w:type="dxa"/>
              <w:right w:w="100" w:type="dxa"/>
            </w:tcMar>
          </w:tcPr>
          <w:p w:rsidR="00631B34" w:rsidRDefault="00004D48" w:rsidP="00E50ED5">
            <w:pPr>
              <w:spacing w:before="240"/>
            </w:pPr>
            <w:r>
              <w:rPr>
                <w:b/>
              </w:rPr>
              <w:t>Customer Retention:</w:t>
            </w:r>
            <w:r>
              <w:t xml:space="preserve"> The high threat of substitutes requires KFC to innovate continuously. </w:t>
            </w:r>
          </w:p>
          <w:p w:rsidR="00631B34" w:rsidRDefault="00004D48" w:rsidP="00E50ED5">
            <w:pPr>
              <w:spacing w:before="240"/>
            </w:pPr>
            <w:r>
              <w:rPr>
                <w:b/>
              </w:rPr>
              <w:t>Diversification:</w:t>
            </w:r>
            <w:r>
              <w:t xml:space="preserve"> Developing new product lines to cater to health-conscious and environmentally-conscious consumers.</w:t>
            </w:r>
          </w:p>
        </w:tc>
      </w:tr>
      <w:tr w:rsidR="00631B34">
        <w:trPr>
          <w:trHeight w:val="3870"/>
        </w:trPr>
        <w:tc>
          <w:tcPr>
            <w:tcW w:w="1350" w:type="dxa"/>
            <w:tcBorders>
              <w:top w:val="nil"/>
              <w:left w:val="single" w:sz="5" w:space="0" w:color="C9C9C9"/>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lastRenderedPageBreak/>
              <w:t>Industry Rivalry</w:t>
            </w:r>
          </w:p>
        </w:tc>
        <w:tc>
          <w:tcPr>
            <w:tcW w:w="2175"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t>The intensity of competition among existing firms in the industry. Factors include the number of competitors, rate of industry growth, and differentiation (Zhu, 2023).</w:t>
            </w:r>
          </w:p>
        </w:tc>
        <w:tc>
          <w:tcPr>
            <w:tcW w:w="2760"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rPr>
                <w:b/>
              </w:rPr>
              <w:t>Number of Competitors:</w:t>
            </w:r>
            <w:r>
              <w:t xml:space="preserve"> As per the narration of Zhu (2023), KEC has major competitors include McDonald's, Burger King, and regional fast-food chains. </w:t>
            </w:r>
          </w:p>
          <w:p w:rsidR="00631B34" w:rsidRDefault="00004D48" w:rsidP="00E50ED5">
            <w:pPr>
              <w:spacing w:before="240"/>
            </w:pPr>
            <w:r>
              <w:rPr>
                <w:b/>
              </w:rPr>
              <w:t>Market Growth:</w:t>
            </w:r>
            <w:r>
              <w:t xml:space="preserve"> The global fast-food market is projected to grow at a CAGR of 4.6% from 2021 to 2026 (Zionmarketresearch.com, 2022). </w:t>
            </w:r>
          </w:p>
          <w:p w:rsidR="00631B34" w:rsidRDefault="00004D48" w:rsidP="00E50ED5">
            <w:pPr>
              <w:spacing w:before="240"/>
            </w:pPr>
            <w:r>
              <w:rPr>
                <w:b/>
              </w:rPr>
              <w:t>Differentiation:</w:t>
            </w:r>
            <w:r>
              <w:t xml:space="preserve"> KFC's secret recipe and unique offerings.</w:t>
            </w:r>
          </w:p>
        </w:tc>
        <w:tc>
          <w:tcPr>
            <w:tcW w:w="2580" w:type="dxa"/>
            <w:tcBorders>
              <w:top w:val="nil"/>
              <w:left w:val="nil"/>
              <w:bottom w:val="single" w:sz="5" w:space="0" w:color="C9C9C9"/>
              <w:right w:val="single" w:sz="5" w:space="0" w:color="C9C9C9"/>
            </w:tcBorders>
            <w:shd w:val="clear" w:color="auto" w:fill="EDEDED"/>
            <w:tcMar>
              <w:top w:w="0" w:type="dxa"/>
              <w:left w:w="100" w:type="dxa"/>
              <w:bottom w:w="0" w:type="dxa"/>
              <w:right w:w="100" w:type="dxa"/>
            </w:tcMar>
          </w:tcPr>
          <w:p w:rsidR="00631B34" w:rsidRDefault="00004D48" w:rsidP="00E50ED5">
            <w:pPr>
              <w:spacing w:before="240"/>
            </w:pPr>
            <w:r>
              <w:rPr>
                <w:b/>
              </w:rPr>
              <w:t>Competitive Strategies:</w:t>
            </w:r>
            <w:r>
              <w:t xml:space="preserve"> Need for aggressive marketing and promotional strategies to maintain market position. </w:t>
            </w:r>
          </w:p>
          <w:p w:rsidR="00631B34" w:rsidRDefault="00004D48" w:rsidP="00E50ED5">
            <w:pPr>
              <w:spacing w:before="240"/>
            </w:pPr>
            <w:r>
              <w:rPr>
                <w:b/>
              </w:rPr>
              <w:t>Innovation:</w:t>
            </w:r>
            <w:r>
              <w:t xml:space="preserve"> Continuous product and process innovation to stay ahead of competitors (Zhu, 2023).</w:t>
            </w:r>
          </w:p>
        </w:tc>
      </w:tr>
    </w:tbl>
    <w:p w:rsidR="00631B34" w:rsidRDefault="00004D48" w:rsidP="00E50ED5">
      <w:pPr>
        <w:jc w:val="center"/>
        <w:rPr>
          <w:b/>
        </w:rPr>
      </w:pPr>
      <w:r>
        <w:rPr>
          <w:b/>
        </w:rPr>
        <w:t>Table 2: Porter's Five Forces</w:t>
      </w:r>
    </w:p>
    <w:p w:rsidR="00631B34" w:rsidRDefault="00004D48" w:rsidP="00E50ED5">
      <w:r>
        <w:t>This table shows Porter’s Five Forces affecting KFC with examples and statistical data that enable one to determine the level of competition and the strategies to be employed.</w:t>
      </w:r>
    </w:p>
    <w:p w:rsidR="00505C66" w:rsidRDefault="00505C66" w:rsidP="00E50ED5"/>
    <w:p w:rsidR="00505C66" w:rsidRDefault="00505C66" w:rsidP="00E50ED5"/>
    <w:p w:rsidR="00505C66" w:rsidRDefault="00505C66" w:rsidP="00E50ED5"/>
    <w:p w:rsidR="00505C66" w:rsidRDefault="00505C66" w:rsidP="00E50ED5"/>
    <w:p w:rsidR="00505C66" w:rsidRDefault="00505C66" w:rsidP="00E50ED5"/>
    <w:p w:rsidR="00505C66" w:rsidRDefault="00505C66" w:rsidP="00E50ED5"/>
    <w:p w:rsidR="00505C66" w:rsidRDefault="00505C66" w:rsidP="00E50ED5"/>
    <w:p w:rsidR="00505C66" w:rsidRDefault="00505C66" w:rsidP="00E50ED5"/>
    <w:p w:rsidR="00505C66" w:rsidRDefault="00505C66" w:rsidP="00E50ED5"/>
    <w:p w:rsidR="00631B34" w:rsidRDefault="00004D48" w:rsidP="00E50ED5">
      <w:pPr>
        <w:pStyle w:val="Heading2"/>
      </w:pPr>
      <w:bookmarkStart w:id="8" w:name="_d3s9iio9kdz7" w:colFirst="0" w:colLast="0"/>
      <w:bookmarkStart w:id="9" w:name="_Toc171890711"/>
      <w:bookmarkEnd w:id="8"/>
      <w:r>
        <w:lastRenderedPageBreak/>
        <w:t>2.3 SWOT Analysis</w:t>
      </w:r>
      <w:bookmarkEnd w:id="9"/>
    </w:p>
    <w:tbl>
      <w:tblPr>
        <w:tblStyle w:val="a1"/>
        <w:tblW w:w="8865" w:type="dxa"/>
        <w:tblBorders>
          <w:top w:val="nil"/>
          <w:left w:val="nil"/>
          <w:bottom w:val="nil"/>
          <w:right w:val="nil"/>
          <w:insideH w:val="nil"/>
          <w:insideV w:val="nil"/>
        </w:tblBorders>
        <w:tblLayout w:type="fixed"/>
        <w:tblLook w:val="0600" w:firstRow="0" w:lastRow="0" w:firstColumn="0" w:lastColumn="0" w:noHBand="1" w:noVBand="1"/>
      </w:tblPr>
      <w:tblGrid>
        <w:gridCol w:w="1590"/>
        <w:gridCol w:w="1740"/>
        <w:gridCol w:w="2970"/>
        <w:gridCol w:w="2565"/>
      </w:tblGrid>
      <w:tr w:rsidR="00631B34">
        <w:trPr>
          <w:trHeight w:val="735"/>
        </w:trPr>
        <w:tc>
          <w:tcPr>
            <w:tcW w:w="1590" w:type="dxa"/>
            <w:tcBorders>
              <w:top w:val="single" w:sz="5" w:space="0" w:color="70AD47"/>
              <w:left w:val="single" w:sz="5" w:space="0" w:color="70AD47"/>
              <w:bottom w:val="single" w:sz="5" w:space="0" w:color="70AD47"/>
              <w:right w:val="nil"/>
            </w:tcBorders>
            <w:shd w:val="clear" w:color="auto" w:fill="70AD47"/>
            <w:tcMar>
              <w:top w:w="0" w:type="dxa"/>
              <w:left w:w="100" w:type="dxa"/>
              <w:bottom w:w="0" w:type="dxa"/>
              <w:right w:w="100" w:type="dxa"/>
            </w:tcMar>
          </w:tcPr>
          <w:p w:rsidR="00631B34" w:rsidRDefault="00004D48" w:rsidP="00E50ED5">
            <w:pPr>
              <w:spacing w:before="240"/>
              <w:jc w:val="center"/>
              <w:rPr>
                <w:b/>
              </w:rPr>
            </w:pPr>
            <w:r>
              <w:rPr>
                <w:b/>
              </w:rPr>
              <w:t>Factor</w:t>
            </w:r>
          </w:p>
        </w:tc>
        <w:tc>
          <w:tcPr>
            <w:tcW w:w="1740" w:type="dxa"/>
            <w:tcBorders>
              <w:top w:val="single" w:sz="5" w:space="0" w:color="70AD47"/>
              <w:left w:val="nil"/>
              <w:bottom w:val="single" w:sz="5" w:space="0" w:color="70AD47"/>
              <w:right w:val="nil"/>
            </w:tcBorders>
            <w:shd w:val="clear" w:color="auto" w:fill="70AD47"/>
            <w:tcMar>
              <w:top w:w="0" w:type="dxa"/>
              <w:left w:w="100" w:type="dxa"/>
              <w:bottom w:w="0" w:type="dxa"/>
              <w:right w:w="100" w:type="dxa"/>
            </w:tcMar>
          </w:tcPr>
          <w:p w:rsidR="00631B34" w:rsidRDefault="00004D48" w:rsidP="00E50ED5">
            <w:pPr>
              <w:spacing w:before="240"/>
              <w:jc w:val="center"/>
              <w:rPr>
                <w:b/>
              </w:rPr>
            </w:pPr>
            <w:r>
              <w:rPr>
                <w:b/>
              </w:rPr>
              <w:t>Description</w:t>
            </w:r>
          </w:p>
        </w:tc>
        <w:tc>
          <w:tcPr>
            <w:tcW w:w="2970" w:type="dxa"/>
            <w:tcBorders>
              <w:top w:val="single" w:sz="5" w:space="0" w:color="70AD47"/>
              <w:left w:val="nil"/>
              <w:bottom w:val="single" w:sz="5" w:space="0" w:color="70AD47"/>
              <w:right w:val="nil"/>
            </w:tcBorders>
            <w:shd w:val="clear" w:color="auto" w:fill="70AD47"/>
            <w:tcMar>
              <w:top w:w="0" w:type="dxa"/>
              <w:left w:w="100" w:type="dxa"/>
              <w:bottom w:w="0" w:type="dxa"/>
              <w:right w:w="100" w:type="dxa"/>
            </w:tcMar>
          </w:tcPr>
          <w:p w:rsidR="00631B34" w:rsidRDefault="00004D48" w:rsidP="00E50ED5">
            <w:pPr>
              <w:spacing w:before="240"/>
              <w:jc w:val="center"/>
              <w:rPr>
                <w:b/>
              </w:rPr>
            </w:pPr>
            <w:r>
              <w:rPr>
                <w:b/>
              </w:rPr>
              <w:t>Example &amp; Statistical Data</w:t>
            </w:r>
          </w:p>
        </w:tc>
        <w:tc>
          <w:tcPr>
            <w:tcW w:w="2565" w:type="dxa"/>
            <w:tcBorders>
              <w:top w:val="single" w:sz="5" w:space="0" w:color="70AD47"/>
              <w:left w:val="nil"/>
              <w:bottom w:val="single" w:sz="5" w:space="0" w:color="70AD47"/>
              <w:right w:val="single" w:sz="5" w:space="0" w:color="70AD47"/>
            </w:tcBorders>
            <w:shd w:val="clear" w:color="auto" w:fill="70AD47"/>
            <w:tcMar>
              <w:top w:w="0" w:type="dxa"/>
              <w:left w:w="100" w:type="dxa"/>
              <w:bottom w:w="0" w:type="dxa"/>
              <w:right w:w="100" w:type="dxa"/>
            </w:tcMar>
          </w:tcPr>
          <w:p w:rsidR="00631B34" w:rsidRDefault="00004D48" w:rsidP="00E50ED5">
            <w:pPr>
              <w:spacing w:before="240"/>
              <w:jc w:val="center"/>
              <w:rPr>
                <w:b/>
              </w:rPr>
            </w:pPr>
            <w:r>
              <w:rPr>
                <w:b/>
              </w:rPr>
              <w:t>Impact</w:t>
            </w:r>
          </w:p>
        </w:tc>
      </w:tr>
      <w:tr w:rsidR="00631B34">
        <w:trPr>
          <w:trHeight w:val="3975"/>
        </w:trPr>
        <w:tc>
          <w:tcPr>
            <w:tcW w:w="1590" w:type="dxa"/>
            <w:tcBorders>
              <w:top w:val="nil"/>
              <w:left w:val="single" w:sz="5" w:space="0" w:color="A8D08D"/>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jc w:val="center"/>
              <w:rPr>
                <w:b/>
                <w:i/>
              </w:rPr>
            </w:pPr>
            <w:r>
              <w:rPr>
                <w:b/>
                <w:i/>
              </w:rPr>
              <w:t>Strengths</w:t>
            </w:r>
          </w:p>
        </w:tc>
        <w:tc>
          <w:tcPr>
            <w:tcW w:w="1740" w:type="dxa"/>
            <w:tcBorders>
              <w:top w:val="nil"/>
              <w:left w:val="nil"/>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pPr>
            <w:r>
              <w:t>Internal factors that provide KFC with a competitive advantage (Zhu, 2023).</w:t>
            </w:r>
          </w:p>
        </w:tc>
        <w:tc>
          <w:tcPr>
            <w:tcW w:w="2970" w:type="dxa"/>
            <w:tcBorders>
              <w:top w:val="nil"/>
              <w:left w:val="nil"/>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pPr>
            <w:r>
              <w:rPr>
                <w:b/>
              </w:rPr>
              <w:t>Brand Recognition:</w:t>
            </w:r>
            <w:r>
              <w:t xml:space="preserve"> KFC is a globally recognized brand with a strong presence in over 150 countries (KFC.com, 2024). </w:t>
            </w:r>
          </w:p>
          <w:p w:rsidR="00631B34" w:rsidRDefault="00004D48" w:rsidP="00E50ED5">
            <w:pPr>
              <w:spacing w:before="240"/>
            </w:pPr>
            <w:r>
              <w:rPr>
                <w:b/>
              </w:rPr>
              <w:t>Unique Recipe:</w:t>
            </w:r>
            <w:r>
              <w:t xml:space="preserve"> KFC's secret blend of 11 herbs and spices is a significant differentiator. </w:t>
            </w:r>
          </w:p>
          <w:p w:rsidR="00631B34" w:rsidRDefault="00004D48" w:rsidP="00E50ED5">
            <w:pPr>
              <w:spacing w:before="240"/>
            </w:pPr>
            <w:r>
              <w:rPr>
                <w:b/>
              </w:rPr>
              <w:t>Global Reach:</w:t>
            </w:r>
            <w:r>
              <w:t xml:space="preserve"> Over 24,000 outlets worldwide as of 2023 (KFC.com, 2024).</w:t>
            </w:r>
          </w:p>
        </w:tc>
        <w:tc>
          <w:tcPr>
            <w:tcW w:w="2565" w:type="dxa"/>
            <w:tcBorders>
              <w:top w:val="nil"/>
              <w:left w:val="nil"/>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pPr>
            <w:r>
              <w:rPr>
                <w:b/>
              </w:rPr>
              <w:t>Market Leadership:</w:t>
            </w:r>
            <w:r>
              <w:t xml:space="preserve"> Strong brand recognition and unique offerings help maintain market leadership. </w:t>
            </w:r>
          </w:p>
          <w:p w:rsidR="00631B34" w:rsidRDefault="00004D48" w:rsidP="00E50ED5">
            <w:pPr>
              <w:spacing w:before="240"/>
            </w:pPr>
            <w:r>
              <w:rPr>
                <w:b/>
              </w:rPr>
              <w:t>Revenue Generation:</w:t>
            </w:r>
            <w:r>
              <w:t xml:space="preserve"> Extensive global reach boosts revenue streams.</w:t>
            </w:r>
          </w:p>
        </w:tc>
      </w:tr>
      <w:tr w:rsidR="00631B34">
        <w:trPr>
          <w:trHeight w:val="4335"/>
        </w:trPr>
        <w:tc>
          <w:tcPr>
            <w:tcW w:w="1590" w:type="dxa"/>
            <w:tcBorders>
              <w:top w:val="nil"/>
              <w:left w:val="single" w:sz="5" w:space="0" w:color="A8D08D"/>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jc w:val="center"/>
              <w:rPr>
                <w:b/>
                <w:i/>
              </w:rPr>
            </w:pPr>
            <w:r>
              <w:rPr>
                <w:b/>
                <w:i/>
              </w:rPr>
              <w:t>Weaknesses</w:t>
            </w:r>
          </w:p>
        </w:tc>
        <w:tc>
          <w:tcPr>
            <w:tcW w:w="1740" w:type="dxa"/>
            <w:tcBorders>
              <w:top w:val="nil"/>
              <w:left w:val="nil"/>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pPr>
            <w:r>
              <w:t>Internal factors that can hinder KFC's performance.</w:t>
            </w:r>
          </w:p>
        </w:tc>
        <w:tc>
          <w:tcPr>
            <w:tcW w:w="2970" w:type="dxa"/>
            <w:tcBorders>
              <w:top w:val="nil"/>
              <w:left w:val="nil"/>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pPr>
            <w:r>
              <w:rPr>
                <w:b/>
              </w:rPr>
              <w:t>Health Concerns:</w:t>
            </w:r>
            <w:r>
              <w:t xml:space="preserve"> KFC's menu is often criticised for being unhealthy (Prabhakar, 2019). </w:t>
            </w:r>
          </w:p>
          <w:p w:rsidR="00631B34" w:rsidRDefault="00004D48" w:rsidP="00E50ED5">
            <w:pPr>
              <w:spacing w:before="240"/>
            </w:pPr>
            <w:r>
              <w:rPr>
                <w:b/>
              </w:rPr>
              <w:t>Supply Chain Issues:</w:t>
            </w:r>
            <w:r>
              <w:t xml:space="preserve"> In 2018, KFC faced a supply chain crisis in the UK, leading to temporary closures of 900 outlets (BBC.com, 2018). </w:t>
            </w:r>
          </w:p>
          <w:p w:rsidR="00631B34" w:rsidRDefault="00004D48" w:rsidP="00E50ED5">
            <w:pPr>
              <w:spacing w:before="240"/>
            </w:pPr>
            <w:r>
              <w:rPr>
                <w:b/>
              </w:rPr>
              <w:t>High Operating Costs:</w:t>
            </w:r>
            <w:r>
              <w:t xml:space="preserve"> Managing a large number of outlets increases costs.</w:t>
            </w:r>
          </w:p>
        </w:tc>
        <w:tc>
          <w:tcPr>
            <w:tcW w:w="2565" w:type="dxa"/>
            <w:tcBorders>
              <w:top w:val="nil"/>
              <w:left w:val="nil"/>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pPr>
            <w:r>
              <w:rPr>
                <w:b/>
              </w:rPr>
              <w:t>Customer Perception:</w:t>
            </w:r>
            <w:r>
              <w:t xml:space="preserve"> Health concerns may lead to a decline in health-conscious customers. </w:t>
            </w:r>
          </w:p>
          <w:p w:rsidR="00631B34" w:rsidRDefault="00004D48" w:rsidP="00E50ED5">
            <w:pPr>
              <w:spacing w:before="240"/>
            </w:pPr>
            <w:r>
              <w:rPr>
                <w:b/>
              </w:rPr>
              <w:t>Operational Efficiency:</w:t>
            </w:r>
            <w:r>
              <w:t xml:space="preserve"> Supply chain disruptions can impact business continuity.</w:t>
            </w:r>
          </w:p>
        </w:tc>
      </w:tr>
      <w:tr w:rsidR="00631B34">
        <w:trPr>
          <w:trHeight w:val="5055"/>
        </w:trPr>
        <w:tc>
          <w:tcPr>
            <w:tcW w:w="1590" w:type="dxa"/>
            <w:tcBorders>
              <w:top w:val="nil"/>
              <w:left w:val="single" w:sz="5" w:space="0" w:color="A8D08D"/>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jc w:val="center"/>
              <w:rPr>
                <w:b/>
                <w:i/>
              </w:rPr>
            </w:pPr>
            <w:r>
              <w:rPr>
                <w:b/>
                <w:i/>
              </w:rPr>
              <w:lastRenderedPageBreak/>
              <w:t>Opportunities</w:t>
            </w:r>
          </w:p>
        </w:tc>
        <w:tc>
          <w:tcPr>
            <w:tcW w:w="1740" w:type="dxa"/>
            <w:tcBorders>
              <w:top w:val="nil"/>
              <w:left w:val="nil"/>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pPr>
            <w:r>
              <w:t>External factors that KFC can capitalise on to grow or improve performance.</w:t>
            </w:r>
          </w:p>
        </w:tc>
        <w:tc>
          <w:tcPr>
            <w:tcW w:w="2970" w:type="dxa"/>
            <w:tcBorders>
              <w:top w:val="nil"/>
              <w:left w:val="nil"/>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pPr>
            <w:r>
              <w:rPr>
                <w:b/>
              </w:rPr>
              <w:t>Market Expansion:</w:t>
            </w:r>
            <w:r>
              <w:t xml:space="preserve"> Expanding into emerging markets such as Africa and Asia. </w:t>
            </w:r>
          </w:p>
          <w:p w:rsidR="00631B34" w:rsidRDefault="00004D48" w:rsidP="00E50ED5">
            <w:pPr>
              <w:spacing w:before="240"/>
            </w:pPr>
            <w:r>
              <w:rPr>
                <w:b/>
              </w:rPr>
              <w:t>Healthier Menu Options:</w:t>
            </w:r>
            <w:r>
              <w:t xml:space="preserve"> Introducing more health-conscious choices like grilled chicken and plant-based alternatives (Prabhakar, 2019). </w:t>
            </w:r>
          </w:p>
          <w:p w:rsidR="00631B34" w:rsidRDefault="00004D48" w:rsidP="00E50ED5">
            <w:pPr>
              <w:spacing w:before="240"/>
            </w:pPr>
            <w:r>
              <w:rPr>
                <w:b/>
              </w:rPr>
              <w:t>Digital Transformation:</w:t>
            </w:r>
            <w:r>
              <w:t xml:space="preserve"> Leveraging technology for online ordering and delivery.</w:t>
            </w:r>
          </w:p>
        </w:tc>
        <w:tc>
          <w:tcPr>
            <w:tcW w:w="2565" w:type="dxa"/>
            <w:tcBorders>
              <w:top w:val="nil"/>
              <w:left w:val="nil"/>
              <w:bottom w:val="single" w:sz="5" w:space="0" w:color="A8D08D"/>
              <w:right w:val="single" w:sz="5" w:space="0" w:color="A8D08D"/>
            </w:tcBorders>
            <w:shd w:val="clear" w:color="auto" w:fill="E2EFD9"/>
            <w:tcMar>
              <w:top w:w="0" w:type="dxa"/>
              <w:left w:w="100" w:type="dxa"/>
              <w:bottom w:w="0" w:type="dxa"/>
              <w:right w:w="100" w:type="dxa"/>
            </w:tcMar>
          </w:tcPr>
          <w:p w:rsidR="00631B34" w:rsidRDefault="00004D48" w:rsidP="00E50ED5">
            <w:pPr>
              <w:spacing w:before="240"/>
            </w:pPr>
            <w:r>
              <w:rPr>
                <w:b/>
              </w:rPr>
              <w:t>Market Growth:</w:t>
            </w:r>
            <w:r>
              <w:t xml:space="preserve"> Expansion into emerging markets can drive growth (Konish, 2023). </w:t>
            </w:r>
          </w:p>
          <w:p w:rsidR="00631B34" w:rsidRDefault="00004D48" w:rsidP="00E50ED5">
            <w:pPr>
              <w:spacing w:before="240"/>
            </w:pPr>
            <w:r>
              <w:rPr>
                <w:b/>
              </w:rPr>
              <w:t>Customer Base:</w:t>
            </w:r>
            <w:r>
              <w:t xml:space="preserve"> Healthier options can attract new customer segments. </w:t>
            </w:r>
          </w:p>
          <w:p w:rsidR="00631B34" w:rsidRDefault="00004D48" w:rsidP="00E50ED5">
            <w:pPr>
              <w:spacing w:before="240"/>
            </w:pPr>
            <w:r>
              <w:rPr>
                <w:b/>
              </w:rPr>
              <w:t>Operational Efficiency:</w:t>
            </w:r>
            <w:r>
              <w:t xml:space="preserve"> Digital initiatives can streamline operations and enhance customer experience.</w:t>
            </w:r>
          </w:p>
        </w:tc>
      </w:tr>
      <w:tr w:rsidR="00631B34">
        <w:trPr>
          <w:trHeight w:val="4335"/>
        </w:trPr>
        <w:tc>
          <w:tcPr>
            <w:tcW w:w="1590" w:type="dxa"/>
            <w:tcBorders>
              <w:top w:val="nil"/>
              <w:left w:val="single" w:sz="5" w:space="0" w:color="A8D08D"/>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jc w:val="center"/>
              <w:rPr>
                <w:b/>
                <w:i/>
              </w:rPr>
            </w:pPr>
            <w:r>
              <w:rPr>
                <w:b/>
                <w:i/>
              </w:rPr>
              <w:t>Threats</w:t>
            </w:r>
          </w:p>
        </w:tc>
        <w:tc>
          <w:tcPr>
            <w:tcW w:w="1740" w:type="dxa"/>
            <w:tcBorders>
              <w:top w:val="nil"/>
              <w:left w:val="nil"/>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pPr>
            <w:r>
              <w:t>External factors that could negatively affect KFC's performance.</w:t>
            </w:r>
          </w:p>
        </w:tc>
        <w:tc>
          <w:tcPr>
            <w:tcW w:w="2970" w:type="dxa"/>
            <w:tcBorders>
              <w:top w:val="nil"/>
              <w:left w:val="nil"/>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pPr>
            <w:r>
              <w:rPr>
                <w:b/>
              </w:rPr>
              <w:t>Competition:</w:t>
            </w:r>
            <w:r>
              <w:t xml:space="preserve"> Intense competition from other fast-food chains like McDonald's and Burger King (Zhu, 2023). </w:t>
            </w:r>
          </w:p>
          <w:p w:rsidR="00631B34" w:rsidRDefault="00004D48" w:rsidP="00E50ED5">
            <w:pPr>
              <w:spacing w:before="240"/>
            </w:pPr>
            <w:r>
              <w:rPr>
                <w:b/>
              </w:rPr>
              <w:t>Regulatory Changes:</w:t>
            </w:r>
            <w:r>
              <w:t xml:space="preserve"> Changes in health regulations and minimum wage laws can increase costs. </w:t>
            </w:r>
          </w:p>
          <w:p w:rsidR="00631B34" w:rsidRDefault="00004D48" w:rsidP="00E50ED5">
            <w:pPr>
              <w:spacing w:before="240"/>
            </w:pPr>
            <w:r>
              <w:rPr>
                <w:b/>
              </w:rPr>
              <w:t>Economic Downturns:</w:t>
            </w:r>
            <w:r>
              <w:t xml:space="preserve"> Economic instability can reduce consumer spending.</w:t>
            </w:r>
          </w:p>
        </w:tc>
        <w:tc>
          <w:tcPr>
            <w:tcW w:w="2565" w:type="dxa"/>
            <w:tcBorders>
              <w:top w:val="nil"/>
              <w:left w:val="nil"/>
              <w:bottom w:val="single" w:sz="5" w:space="0" w:color="A8D08D"/>
              <w:right w:val="single" w:sz="5" w:space="0" w:color="A8D08D"/>
            </w:tcBorders>
            <w:tcMar>
              <w:top w:w="0" w:type="dxa"/>
              <w:left w:w="100" w:type="dxa"/>
              <w:bottom w:w="0" w:type="dxa"/>
              <w:right w:w="100" w:type="dxa"/>
            </w:tcMar>
          </w:tcPr>
          <w:p w:rsidR="00631B34" w:rsidRDefault="00004D48" w:rsidP="00E50ED5">
            <w:pPr>
              <w:spacing w:before="240"/>
            </w:pPr>
            <w:r>
              <w:rPr>
                <w:b/>
              </w:rPr>
              <w:t>Market Share:</w:t>
            </w:r>
            <w:r>
              <w:t xml:space="preserve"> Intense competition may erode market share (Konish, 2023). </w:t>
            </w:r>
          </w:p>
          <w:p w:rsidR="00631B34" w:rsidRDefault="00004D48" w:rsidP="00E50ED5">
            <w:pPr>
              <w:spacing w:before="240"/>
            </w:pPr>
            <w:r>
              <w:rPr>
                <w:b/>
              </w:rPr>
              <w:t>Cost Management:</w:t>
            </w:r>
            <w:r>
              <w:t xml:space="preserve"> Regulatory changes can increase operating costs (Byrne, 2023). </w:t>
            </w:r>
          </w:p>
          <w:p w:rsidR="00631B34" w:rsidRDefault="00004D48" w:rsidP="00E50ED5">
            <w:pPr>
              <w:spacing w:before="240"/>
            </w:pPr>
            <w:r>
              <w:rPr>
                <w:b/>
              </w:rPr>
              <w:t>Revenue Impact:</w:t>
            </w:r>
            <w:r>
              <w:t xml:space="preserve"> Economic downturns can lead to reduced revenue.</w:t>
            </w:r>
          </w:p>
        </w:tc>
      </w:tr>
    </w:tbl>
    <w:p w:rsidR="00631B34" w:rsidRDefault="00004D48" w:rsidP="00E50ED5">
      <w:pPr>
        <w:jc w:val="center"/>
        <w:rPr>
          <w:b/>
        </w:rPr>
      </w:pPr>
      <w:r>
        <w:rPr>
          <w:b/>
        </w:rPr>
        <w:t>Table 3: SWOT Analysis</w:t>
      </w:r>
    </w:p>
    <w:p w:rsidR="00631B34" w:rsidRDefault="00004D48" w:rsidP="00E50ED5">
      <w:r>
        <w:lastRenderedPageBreak/>
        <w:t>Using the examples and statistical information, this table defines KFC’s internal and external strengths and weaknesses and the possibilities and threats for the development of this company.</w:t>
      </w:r>
    </w:p>
    <w:p w:rsidR="00631B34" w:rsidRDefault="00004D48" w:rsidP="00E50ED5">
      <w:pPr>
        <w:pStyle w:val="Heading1"/>
      </w:pPr>
      <w:bookmarkStart w:id="10" w:name="_85cwylh56zdb" w:colFirst="0" w:colLast="0"/>
      <w:bookmarkStart w:id="11" w:name="_Toc171890712"/>
      <w:bookmarkEnd w:id="10"/>
      <w:r>
        <w:t>3. Macro-Economic Performance Indicators</w:t>
      </w:r>
      <w:bookmarkEnd w:id="11"/>
    </w:p>
    <w:p w:rsidR="00631B34" w:rsidRDefault="00004D48" w:rsidP="00E50ED5">
      <w:r>
        <w:t>Macroeconomic performance indicators represent the essential ways to measure the state of the economy. They give information about economic advancement and performance, stability, and overall health of a nation’s economy.</w:t>
      </w:r>
    </w:p>
    <w:p w:rsidR="00631B34" w:rsidRDefault="00004D48" w:rsidP="00E50ED5">
      <w:pPr>
        <w:rPr>
          <w:b/>
          <w:i/>
        </w:rPr>
      </w:pPr>
      <w:r>
        <w:rPr>
          <w:b/>
          <w:i/>
        </w:rPr>
        <w:t>Gross Domestic Product (GDP)</w:t>
      </w:r>
    </w:p>
    <w:p w:rsidR="00631B34" w:rsidRDefault="00004D48" w:rsidP="00E50ED5">
      <w:pPr>
        <w:jc w:val="center"/>
      </w:pPr>
      <w:r>
        <w:rPr>
          <w:noProof/>
        </w:rPr>
        <w:drawing>
          <wp:inline distT="114300" distB="114300" distL="114300" distR="114300">
            <wp:extent cx="4318500" cy="2589665"/>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318500" cy="2589665"/>
                    </a:xfrm>
                    <a:prstGeom prst="rect">
                      <a:avLst/>
                    </a:prstGeom>
                    <a:ln w="25400">
                      <a:solidFill>
                        <a:srgbClr val="000000"/>
                      </a:solidFill>
                      <a:prstDash val="solid"/>
                    </a:ln>
                  </pic:spPr>
                </pic:pic>
              </a:graphicData>
            </a:graphic>
          </wp:inline>
        </w:drawing>
      </w:r>
    </w:p>
    <w:p w:rsidR="00631B34" w:rsidRDefault="00004D48" w:rsidP="00E50ED5">
      <w:pPr>
        <w:jc w:val="center"/>
        <w:rPr>
          <w:b/>
        </w:rPr>
      </w:pPr>
      <w:r>
        <w:rPr>
          <w:b/>
        </w:rPr>
        <w:t>Figure 2: Real disposable income and expenditure of US people in 2023</w:t>
      </w:r>
    </w:p>
    <w:p w:rsidR="00631B34" w:rsidRDefault="00004D48" w:rsidP="00E50ED5">
      <w:pPr>
        <w:jc w:val="center"/>
      </w:pPr>
      <w:r>
        <w:t>(Source: Loe, 2023)</w:t>
      </w:r>
    </w:p>
    <w:p w:rsidR="00631B34" w:rsidRDefault="00004D48" w:rsidP="00E50ED5">
      <w:r>
        <w:t xml:space="preserve">As per the narration of Love (2023), GDP gives a summation of all the outputs in terms of products and services produced by the nation in a calendar year. This is one of the most essential indices of an economic outcome. Hence, raising the GDP is an indication of a growing and healthy economy and, on the other hand, lowering the GDP indicates the issues with the economy. For example, the US in 2023 had a 2.1% GDP hence implying that it was on average growing a little even with the volatility of the global economy (Loe, 2023). This growth indicates there is improved consumer expenditure and investment hence the </w:t>
      </w:r>
      <w:r w:rsidR="00240C5C">
        <w:t>hard-economic</w:t>
      </w:r>
      <w:r>
        <w:t xml:space="preserve"> status of the U.S economy.</w:t>
      </w:r>
    </w:p>
    <w:p w:rsidR="00631B34" w:rsidRDefault="00004D48" w:rsidP="00E50ED5">
      <w:pPr>
        <w:rPr>
          <w:b/>
          <w:i/>
        </w:rPr>
      </w:pPr>
      <w:r>
        <w:rPr>
          <w:b/>
          <w:i/>
        </w:rPr>
        <w:t>Unemployment Rate</w:t>
      </w:r>
    </w:p>
    <w:p w:rsidR="00631B34" w:rsidRDefault="00004D48" w:rsidP="00E50ED5">
      <w:pPr>
        <w:jc w:val="center"/>
      </w:pPr>
      <w:r>
        <w:rPr>
          <w:noProof/>
        </w:rPr>
        <w:lastRenderedPageBreak/>
        <w:drawing>
          <wp:inline distT="114300" distB="114300" distL="114300" distR="114300">
            <wp:extent cx="3381259" cy="2214563"/>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381259" cy="2214563"/>
                    </a:xfrm>
                    <a:prstGeom prst="rect">
                      <a:avLst/>
                    </a:prstGeom>
                    <a:ln w="25400">
                      <a:solidFill>
                        <a:srgbClr val="000000"/>
                      </a:solidFill>
                      <a:prstDash val="solid"/>
                    </a:ln>
                  </pic:spPr>
                </pic:pic>
              </a:graphicData>
            </a:graphic>
          </wp:inline>
        </w:drawing>
      </w:r>
    </w:p>
    <w:p w:rsidR="00631B34" w:rsidRDefault="00004D48" w:rsidP="00E50ED5">
      <w:pPr>
        <w:jc w:val="center"/>
        <w:rPr>
          <w:b/>
        </w:rPr>
      </w:pPr>
      <w:r>
        <w:rPr>
          <w:b/>
        </w:rPr>
        <w:t xml:space="preserve">Figure 3: Employment rate of US from 2019 to 2023 </w:t>
      </w:r>
    </w:p>
    <w:p w:rsidR="00631B34" w:rsidRDefault="00004D48" w:rsidP="00E50ED5">
      <w:pPr>
        <w:jc w:val="center"/>
      </w:pPr>
      <w:r>
        <w:t>(Source: Bts.gov, 2023)</w:t>
      </w:r>
    </w:p>
    <w:p w:rsidR="00631B34" w:rsidRDefault="00004D48" w:rsidP="00E50ED5">
      <w:r>
        <w:t xml:space="preserve">This is the ratio of jobless workers to the labour force where the unemployed persons are those without jobs and are in the process of looking for other jobs. It is a relative measure that records the state of the economy since high unemployment is an obvious pointer to poor economic conditions while low unemployment portrays good economic conditions, employment, and job creation. For instance, according to the U.S. Bureau of </w:t>
      </w:r>
      <w:r w:rsidR="00BB1F38">
        <w:t>Labour</w:t>
      </w:r>
      <w:r>
        <w:t xml:space="preserve"> Statistics, the U.S unemployment rate in June 2023 was 3.6%, proving that the job market was healthy (Bts.gov, 2023). In Keynesian economics, it postulates that when there </w:t>
      </w:r>
      <w:proofErr w:type="gramStart"/>
      <w:r>
        <w:t>is</w:t>
      </w:r>
      <w:proofErr w:type="gramEnd"/>
      <w:r>
        <w:t xml:space="preserve"> full employment people use money to spend hence boosting growth.</w:t>
      </w:r>
    </w:p>
    <w:p w:rsidR="00631B34" w:rsidRDefault="00004D48" w:rsidP="00E50ED5">
      <w:pPr>
        <w:rPr>
          <w:b/>
          <w:i/>
        </w:rPr>
      </w:pPr>
      <w:r>
        <w:rPr>
          <w:b/>
          <w:i/>
        </w:rPr>
        <w:t>Inflation Rate</w:t>
      </w:r>
    </w:p>
    <w:p w:rsidR="00631B34" w:rsidRDefault="00004D48" w:rsidP="00E50ED5">
      <w:pPr>
        <w:jc w:val="center"/>
      </w:pPr>
      <w:r>
        <w:rPr>
          <w:noProof/>
        </w:rPr>
        <w:drawing>
          <wp:inline distT="114300" distB="114300" distL="114300" distR="114300">
            <wp:extent cx="4444047" cy="2502545"/>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444047" cy="2502545"/>
                    </a:xfrm>
                    <a:prstGeom prst="rect">
                      <a:avLst/>
                    </a:prstGeom>
                    <a:ln w="25400">
                      <a:solidFill>
                        <a:srgbClr val="000000"/>
                      </a:solidFill>
                      <a:prstDash val="solid"/>
                    </a:ln>
                  </pic:spPr>
                </pic:pic>
              </a:graphicData>
            </a:graphic>
          </wp:inline>
        </w:drawing>
      </w:r>
    </w:p>
    <w:p w:rsidR="00631B34" w:rsidRDefault="00004D48" w:rsidP="00E50ED5">
      <w:pPr>
        <w:jc w:val="center"/>
        <w:rPr>
          <w:b/>
        </w:rPr>
      </w:pPr>
      <w:r>
        <w:rPr>
          <w:b/>
        </w:rPr>
        <w:t xml:space="preserve">Figure 4: Inflation rate of the UK </w:t>
      </w:r>
    </w:p>
    <w:p w:rsidR="00631B34" w:rsidRDefault="00004D48" w:rsidP="00E50ED5">
      <w:pPr>
        <w:jc w:val="center"/>
      </w:pPr>
      <w:r>
        <w:t>(Source: Eddy, 2023)</w:t>
      </w:r>
    </w:p>
    <w:p w:rsidR="00631B34" w:rsidRDefault="00004D48" w:rsidP="00E50ED5">
      <w:r>
        <w:t xml:space="preserve">Inflation rate is the rate at which the general price level for the goods and services in an economy is rising which in turn has the effect of reducing the purchasing power equilibrium. </w:t>
      </w:r>
      <w:r>
        <w:lastRenderedPageBreak/>
        <w:t>However, moderate inflation is not bad as inflation is linked to the growth of the economy but cases such as hyperinflation or deflation are unhealthy. For instance, Eddy (2023) commented that in 2023, inflation in the Eurozone was at 5.6% majorly because of supply disruptions and the inflation of energy prices. Out of all the different models introduced in the article, the Phillips Curve is the most representative of the fact that there is a large policy dilemma associated with the level of inflation as well as the rate of unemployment.</w:t>
      </w:r>
    </w:p>
    <w:p w:rsidR="00631B34" w:rsidRDefault="00004D48" w:rsidP="00E50ED5">
      <w:pPr>
        <w:rPr>
          <w:b/>
          <w:i/>
        </w:rPr>
      </w:pPr>
      <w:r>
        <w:rPr>
          <w:b/>
          <w:i/>
        </w:rPr>
        <w:t>Interest Rates</w:t>
      </w:r>
    </w:p>
    <w:p w:rsidR="00631B34" w:rsidRDefault="00004D48" w:rsidP="00E50ED5">
      <w:r>
        <w:t>Since the cost of funds can be adjusted, the interest rates determined by the nation’s central bank influence the volume of commercial activity. The lower rate on the other hand encourages practices such as borrowing and investing while the higher rate encourages the fighting of inflation but leads to limited growth. For example, in the year 2023, the Federal Reserve sought to reduce inflation by implementing an increase in interest rates to 5.25% (Federalreserve, 2024). This move is in line with the Taylor Rule which serves as a pointer for central banks on how to act on the interest rates concerning the surrounding macroeconomic environment.</w:t>
      </w:r>
    </w:p>
    <w:p w:rsidR="00631B34" w:rsidRDefault="00004D48" w:rsidP="00E50ED5">
      <w:pPr>
        <w:rPr>
          <w:b/>
          <w:i/>
        </w:rPr>
      </w:pPr>
      <w:r>
        <w:rPr>
          <w:b/>
          <w:i/>
        </w:rPr>
        <w:t>Trade Balance</w:t>
      </w:r>
    </w:p>
    <w:p w:rsidR="00631B34" w:rsidRDefault="00004D48" w:rsidP="00E50ED5">
      <w:pPr>
        <w:jc w:val="center"/>
      </w:pPr>
      <w:r>
        <w:rPr>
          <w:noProof/>
        </w:rPr>
        <w:drawing>
          <wp:inline distT="114300" distB="114300" distL="114300" distR="114300">
            <wp:extent cx="4071938" cy="264473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071938" cy="2644730"/>
                    </a:xfrm>
                    <a:prstGeom prst="rect">
                      <a:avLst/>
                    </a:prstGeom>
                    <a:ln w="25400">
                      <a:solidFill>
                        <a:srgbClr val="000000"/>
                      </a:solidFill>
                      <a:prstDash val="solid"/>
                    </a:ln>
                  </pic:spPr>
                </pic:pic>
              </a:graphicData>
            </a:graphic>
          </wp:inline>
        </w:drawing>
      </w:r>
    </w:p>
    <w:p w:rsidR="00631B34" w:rsidRDefault="00004D48" w:rsidP="00E50ED5">
      <w:pPr>
        <w:jc w:val="center"/>
        <w:rPr>
          <w:b/>
        </w:rPr>
      </w:pPr>
      <w:r>
        <w:rPr>
          <w:b/>
        </w:rPr>
        <w:t>Figure 5: Merchandise trade balance in China from 2013 to 2023</w:t>
      </w:r>
    </w:p>
    <w:p w:rsidR="00631B34" w:rsidRDefault="00004D48" w:rsidP="00E50ED5">
      <w:pPr>
        <w:jc w:val="center"/>
      </w:pPr>
      <w:r>
        <w:t>(Source: Ou, 2024)</w:t>
      </w:r>
    </w:p>
    <w:p w:rsidR="00631B34" w:rsidRDefault="00004D48" w:rsidP="00E50ED5">
      <w:r>
        <w:t>The trade balance has been described as the extent to which a particular country exports its products and the extent to which it imports products. A trade surplus in international trade means exports are higher than imports while a trade deficit can imply some issues in the economy. For example, in the year 2023, China had the following balance of trade $535 billion in exports mainly electronics and machinery (Ou, 2024). Following the Mercantilist theory, it is believed that exporting outdoes importing as a positive force to any country’s economy.</w:t>
      </w:r>
    </w:p>
    <w:p w:rsidR="00631B34" w:rsidRDefault="00004D48" w:rsidP="00E50ED5">
      <w:pPr>
        <w:rPr>
          <w:b/>
          <w:i/>
        </w:rPr>
      </w:pPr>
      <w:r>
        <w:rPr>
          <w:b/>
          <w:i/>
        </w:rPr>
        <w:lastRenderedPageBreak/>
        <w:t>Fiscal Policy Indicators</w:t>
      </w:r>
    </w:p>
    <w:p w:rsidR="00631B34" w:rsidRDefault="00004D48" w:rsidP="00E50ED5">
      <w:r>
        <w:t xml:space="preserve">Fiscal policy relates to government expenditure and revenue which tend to influence economic performance. Fiscal policy aimed at increasing government spending or decreasing taxes is termed expansionary, and on the same note, contractionary fiscal policy is aimed at reducing government spending or increasing taxes. For </w:t>
      </w:r>
      <w:r w:rsidR="00EA3F44">
        <w:t>example,</w:t>
      </w:r>
      <w:r>
        <w:t xml:space="preserve"> due to the COVID-19 crisis, the governments of various countries decided to follow expansionary fiscal measures. For instance, Parlapiano et al. (2022) added that the stimulus packages that the U.S. has launched account for over $5 trillion to revive the economy through the promotion of consumer expenditure and investment outlay.</w:t>
      </w:r>
    </w:p>
    <w:p w:rsidR="00631B34" w:rsidRDefault="00004D48" w:rsidP="00E50ED5">
      <w:r>
        <w:t>Such factors are geared at providing a balanced view of an economy’s health and outlook at the macroeconomic level. These indicators prove very crucial to policymakers, businesses, and investors. Thus, comprehension of the correlation between these indicators and economic theories enables one to forecast future economic scenarios and apply relevant economic strategies.</w:t>
      </w:r>
    </w:p>
    <w:p w:rsidR="00631B34" w:rsidRDefault="00004D48" w:rsidP="00E50ED5">
      <w:pPr>
        <w:pStyle w:val="Heading1"/>
      </w:pPr>
      <w:bookmarkStart w:id="12" w:name="_2dd76o37kzgy" w:colFirst="0" w:colLast="0"/>
      <w:bookmarkStart w:id="13" w:name="_Toc171890713"/>
      <w:bookmarkEnd w:id="12"/>
      <w:r>
        <w:t>4. Micro-Economic Structures and Decision Making</w:t>
      </w:r>
      <w:bookmarkEnd w:id="13"/>
    </w:p>
    <w:p w:rsidR="00631B34" w:rsidRDefault="00004D48" w:rsidP="00E50ED5">
      <w:r>
        <w:t>Micro-economic structures demarcate themselves at the level of single markets, firms, and individuals and therefore determine resource distribution and the goods and services’ prices. Analysing these structures is of importance in explaining how economic decisions are arrived at within organisations.</w:t>
      </w:r>
    </w:p>
    <w:p w:rsidR="00631B34" w:rsidRDefault="00004D48" w:rsidP="00E50ED5">
      <w:pPr>
        <w:rPr>
          <w:b/>
          <w:i/>
        </w:rPr>
      </w:pPr>
      <w:r>
        <w:rPr>
          <w:b/>
          <w:i/>
        </w:rPr>
        <w:t>Market Structures</w:t>
      </w:r>
    </w:p>
    <w:p w:rsidR="00631B34" w:rsidRDefault="00004D48" w:rsidP="00E50ED5">
      <w:r>
        <w:rPr>
          <w:i/>
        </w:rPr>
        <w:t>Perfect Competition</w:t>
      </w:r>
    </w:p>
    <w:p w:rsidR="00631B34" w:rsidRDefault="00004D48" w:rsidP="00E50ED5">
      <w:r>
        <w:t>Many firms are small and the product offerings are homogenised. Firms are price takers, which means that they have no control over the price of commodities. In the long run, all the firms attain normal profit because free entry and exit characterise the market structure. As per the narration of Zhu (2023), Agricultural markets, which involve many producers offering standardised goods such as wheat and corn illustrate perfect competition. The quantity produced by each farmer is negligible to influence the rates prevailing in the market.</w:t>
      </w:r>
    </w:p>
    <w:p w:rsidR="00631B34" w:rsidRDefault="00004D48" w:rsidP="00E50ED5">
      <w:pPr>
        <w:rPr>
          <w:i/>
        </w:rPr>
      </w:pPr>
      <w:r>
        <w:rPr>
          <w:i/>
        </w:rPr>
        <w:t xml:space="preserve">Monopolistic Competition </w:t>
      </w:r>
    </w:p>
    <w:p w:rsidR="00631B34" w:rsidRDefault="00004D48" w:rsidP="00E50ED5">
      <w:r>
        <w:t xml:space="preserve">As per the narration of Zhu (2023), the fact is that many firms provide their customers with goods and services that are different from the competitors, and therefore, achieve certain market power. Prabhakar (2019) mentioned that firms can to some extent set prices because products are differentiated. For instance, the fast food industry that has names such as </w:t>
      </w:r>
      <w:r>
        <w:lastRenderedPageBreak/>
        <w:t>McDonald's and Burger King works under monopolistic competition. In the menu and marketing strategies, the brand tries to distinguish itself from other similar brands.</w:t>
      </w:r>
    </w:p>
    <w:p w:rsidR="00631B34" w:rsidRDefault="00004D48" w:rsidP="00E50ED5">
      <w:pPr>
        <w:rPr>
          <w:i/>
        </w:rPr>
      </w:pPr>
      <w:r>
        <w:rPr>
          <w:i/>
        </w:rPr>
        <w:t>Oligopoly</w:t>
      </w:r>
    </w:p>
    <w:p w:rsidR="00631B34" w:rsidRDefault="00004D48" w:rsidP="00E50ED5">
      <w:r>
        <w:t>Market structure at present can be characterised as concentrated, as several large companies occupy most of the market. These firms have a large market share and may on some occasions conspire to manipulate the prices and outputs. For example, Singh et al. (2019) argued that the automobile industry which comprises popular companies such as Toyota, Ford, and Volkswagen, among others is an oligopolistic structure. They are some of the conglomerates that dictate market factors as well as price factors.</w:t>
      </w:r>
    </w:p>
    <w:p w:rsidR="00631B34" w:rsidRDefault="00004D48" w:rsidP="00E50ED5">
      <w:pPr>
        <w:rPr>
          <w:i/>
        </w:rPr>
      </w:pPr>
      <w:r>
        <w:rPr>
          <w:i/>
        </w:rPr>
        <w:t>Monopoly</w:t>
      </w:r>
    </w:p>
    <w:p w:rsidR="00631B34" w:rsidRDefault="00004D48" w:rsidP="00E50ED5">
      <w:r>
        <w:t>Zhu (2023) added that one firm dominates this market since it is virtually impossible for competitors to enter this market. He can determine prices and the quantity to be produced among other things. For instance, local electricity companies or suppliers are mostly monopolistic because of the capital-intensity entrants required for the provision of the service and regulatory restraints.</w:t>
      </w:r>
    </w:p>
    <w:p w:rsidR="00631B34" w:rsidRDefault="00004D48" w:rsidP="00E50ED5">
      <w:pPr>
        <w:rPr>
          <w:b/>
          <w:i/>
        </w:rPr>
      </w:pPr>
      <w:r>
        <w:rPr>
          <w:b/>
          <w:i/>
        </w:rPr>
        <w:t>Consumer Decision Making</w:t>
      </w:r>
    </w:p>
    <w:p w:rsidR="00631B34" w:rsidRDefault="00004D48" w:rsidP="00E50ED5">
      <w:r>
        <w:t>According to Loxton et al. (2020), consumer behaviour is outlined by the way that customers decide on which way to use scarce resources to obtain maximum satisfaction. The Law of Diminishing Marginal Utility and the Budget Constraint Model are theories in consumer behaviour. For instance, whereby a consumer aims at either purchasing a new smartphone or saving for other future purchases, the choice made has an opportunity cost (Loxton et al. 2020). Its determination depends on the utility derived from the next unit of the product and the budget constraint.</w:t>
      </w:r>
    </w:p>
    <w:p w:rsidR="00631B34" w:rsidRDefault="00004D48" w:rsidP="00E50ED5">
      <w:pPr>
        <w:rPr>
          <w:b/>
          <w:i/>
        </w:rPr>
      </w:pPr>
      <w:r>
        <w:rPr>
          <w:b/>
          <w:i/>
        </w:rPr>
        <w:t>Firm Decision Making</w:t>
      </w:r>
    </w:p>
    <w:p w:rsidR="00631B34" w:rsidRDefault="00004D48" w:rsidP="00E50ED5">
      <w:r>
        <w:t>On the other hand, Mert (2018) argued that business organisations aim to attain the maximum level of profit; to achieve this, they decide the level of production where marginal cost equals marginal revenue (MC=MR). These decisions depend on production and cost theories including the economies of scale. For example, a manufacturing tech firm, that is determining the expansion of its production capabilities, will aim at ascertaining whether the incremental gains from more units’ sales will outweigh the corresponding incremental costs. When cost advantages are attained, the average costs come down as output rises and thus improve profitability (Singh and Corsun, 2023).</w:t>
      </w:r>
    </w:p>
    <w:p w:rsidR="00631B34" w:rsidRDefault="00004D48" w:rsidP="00E50ED5">
      <w:pPr>
        <w:rPr>
          <w:b/>
          <w:i/>
        </w:rPr>
      </w:pPr>
      <w:r>
        <w:rPr>
          <w:b/>
          <w:i/>
        </w:rPr>
        <w:t>Price Elasticity of Demand and Supply</w:t>
      </w:r>
    </w:p>
    <w:p w:rsidR="00631B34" w:rsidRDefault="00004D48" w:rsidP="00E50ED5">
      <w:r>
        <w:lastRenderedPageBreak/>
        <w:t>As per the narration of Singh and Corsun (2023), price elasticity defines the degree of change in quantity demanded or supplied with the price change. Elasticity is important for an organisation and its policymakers, as it creates a measure to estimate the effects of these prices and shifts in the marketplace. For instance, it will be very helpful to a smartphone manufacturer if it knows that demand for its product is highly elastic. During a sales event, the manufacturing firm can set its prices low to gain a high quantity of sales, thus maximising its revenue (Singh and Corsun, 2023).</w:t>
      </w:r>
    </w:p>
    <w:p w:rsidR="00631B34" w:rsidRDefault="00004D48" w:rsidP="00E50ED5">
      <w:pPr>
        <w:rPr>
          <w:b/>
          <w:i/>
        </w:rPr>
      </w:pPr>
      <w:r>
        <w:rPr>
          <w:b/>
          <w:i/>
        </w:rPr>
        <w:t>Game Theory</w:t>
      </w:r>
    </w:p>
    <w:p w:rsidR="00631B34" w:rsidRDefault="00004D48" w:rsidP="00E50ED5">
      <w:r>
        <w:t>On the other hand, Bekius and Gomes (2023) argued that Game theory focuses on the relationship between firms and winning strategy, and the result of an interaction is based on the actions made by other firms. However, this theory is Chevalier’s most useful in the oligopolistic environment. For instance, in the airline industry where it becomes difficult to differentiate products, where one airline reduces its fares, others may as well cover a large market share. About the Nash Equilibrium, Nash Equilibrium is a strategy in the game that assists in forecasting such occurrences when any of the players cannot improve the position by changing strategies (Bekius and Gomes, 2023).</w:t>
      </w:r>
    </w:p>
    <w:p w:rsidR="00631B34" w:rsidRDefault="00004D48" w:rsidP="00E50ED5">
      <w:r>
        <w:t>The importance of microstructures and key decisions is pivotal in deciphering the markets and the behavioural patterns of the economic players. Analytical tools like market structures, micro consumer and firm choice, price elasticity, and game theory are tremendous tools that enlighten microeconomic behaviour. All of these observations are important for the business development strategies and economic policies definition.</w:t>
      </w:r>
    </w:p>
    <w:p w:rsidR="00631B34" w:rsidRDefault="00004D48" w:rsidP="00E50ED5">
      <w:pPr>
        <w:pStyle w:val="Heading1"/>
      </w:pPr>
      <w:bookmarkStart w:id="14" w:name="_dv5eoljq1qfm" w:colFirst="0" w:colLast="0"/>
      <w:bookmarkStart w:id="15" w:name="_Toc171890714"/>
      <w:bookmarkEnd w:id="14"/>
      <w:r>
        <w:t>5. Evaluation of Current Position and Future Outlook</w:t>
      </w:r>
      <w:bookmarkEnd w:id="15"/>
    </w:p>
    <w:p w:rsidR="00631B34" w:rsidRDefault="00004D48" w:rsidP="00E50ED5">
      <w:r>
        <w:t>The current and future position analysis entails an elemental appraisal of an organisation’s strengths, weaknesses, opportunities, and threats (SWOT) regarding the prevailing circumstances and trends in the market and the economy. Strategic decisions and the growth potential are elaborated on in this evaluation.</w:t>
      </w:r>
    </w:p>
    <w:p w:rsidR="00631B34" w:rsidRDefault="00004D48" w:rsidP="00E50ED5">
      <w:pPr>
        <w:rPr>
          <w:b/>
          <w:i/>
        </w:rPr>
      </w:pPr>
      <w:r>
        <w:rPr>
          <w:b/>
          <w:i/>
        </w:rPr>
        <w:t>Current Position</w:t>
      </w:r>
    </w:p>
    <w:p w:rsidR="00631B34" w:rsidRDefault="00004D48" w:rsidP="00E50ED5">
      <w:r>
        <w:t xml:space="preserve">As per the narration of Zhu (2023), defines the current status of an organisation in terms of the market, financial condition, competitive edge, and productivity. SWOT analysis means the evaluation of the organisation’s Strengths, Weaknesses, Opportunities, and Threats. For instance, take a technology venture firm that focuses on providing sustainable energy products. Its strengths could be, for example, new technologies and a highly qualified army of engineers. Its weaknesses in its operation could be a few market interaction points and possibly restricted </w:t>
      </w:r>
      <w:r>
        <w:lastRenderedPageBreak/>
        <w:t>financial resources (Zhu, 2023). Chances can be derived for instance, from the existing policies available for the promotion of the technologies in green energy, while the risks may involve the change in the policies in the growth of competition from other large organisations.</w:t>
      </w:r>
    </w:p>
    <w:p w:rsidR="00631B34" w:rsidRDefault="00004D48" w:rsidP="00E50ED5">
      <w:pPr>
        <w:rPr>
          <w:b/>
          <w:i/>
        </w:rPr>
      </w:pPr>
      <w:r>
        <w:rPr>
          <w:b/>
          <w:i/>
        </w:rPr>
        <w:t>Future Outlook</w:t>
      </w:r>
    </w:p>
    <w:p w:rsidR="00631B34" w:rsidRDefault="00004D48" w:rsidP="00E50ED5">
      <w:r>
        <w:t>The prospects depend upon the organisation’s capacity to leverage the opportunities it possesses, management of the various liabilities, exploitation of opportunities and avert threats. Concepts like Porter’s Five Forces and scenario planning enable one to predict future market conditions and rivalry. For instance, Pangarkar and Prabhudesai (2024) mentioned that by applying Porter’s Five Forces in the environment of a retail company, the organisation predicts the threats of increased competitive rivalry through new entrants as well as substitutes. Thus, the company plans to expand its product range and improve the quality of customer service to counteract external challenges.</w:t>
      </w:r>
    </w:p>
    <w:p w:rsidR="00631B34" w:rsidRDefault="00004D48" w:rsidP="00E50ED5">
      <w:pPr>
        <w:rPr>
          <w:b/>
          <w:i/>
        </w:rPr>
      </w:pPr>
      <w:r>
        <w:rPr>
          <w:b/>
          <w:i/>
        </w:rPr>
        <w:t>Scenario Planning</w:t>
      </w:r>
    </w:p>
    <w:p w:rsidR="00631B34" w:rsidRDefault="00004D48" w:rsidP="00E50ED5">
      <w:r>
        <w:t>Scenario planning involves coming up with various most likely conditions, which may exist in the future due to variations in the economic, political, and social parameters. It is one of the strategic tools that assist organisations in coping with unpredictable market situations in advance (Tenni et al., 2022). For instance, the operational use of the technique is perfectly illustrated by a pharmaceutical manufacturing firm that employs to assess likely changes in the regulations, expiry of patents, and trends in global health that may influence demand for the manufactured drugs (Tenni et al., 2022). Thus, the development of the strategies for each of the situations allows for increasing the company’s resistance and strategic flexibility.</w:t>
      </w:r>
    </w:p>
    <w:p w:rsidR="00631B34" w:rsidRDefault="00004D48" w:rsidP="00E50ED5">
      <w:pPr>
        <w:rPr>
          <w:b/>
          <w:i/>
        </w:rPr>
      </w:pPr>
      <w:r>
        <w:rPr>
          <w:b/>
          <w:i/>
        </w:rPr>
        <w:t>Technological Disruption</w:t>
      </w:r>
    </w:p>
    <w:p w:rsidR="00631B34" w:rsidRDefault="00004D48" w:rsidP="00E50ED5">
      <w:r>
        <w:t>Pascucci et al. (2023) added that technological advancements are a constant process to introduce changes in organisations and they are both fruitful and unfavourable. Such a transformation is exerting pressure on the firms to modify their strategies since the consumers’ demands have evolved to digital. For instance, advancement in AI and its incorporation into the health care systems opens opportunities for bringing personalised medicine with problems of data privacy and approval (Pascucci et al. 2023). From this analysis, it is clear that businesses are prepared for technological progression with the help of diagnostics and patient products as the growth factor given by artificial intelligence.</w:t>
      </w:r>
    </w:p>
    <w:p w:rsidR="00631B34" w:rsidRDefault="00004D48" w:rsidP="00E50ED5">
      <w:pPr>
        <w:rPr>
          <w:b/>
          <w:i/>
        </w:rPr>
      </w:pPr>
      <w:r>
        <w:rPr>
          <w:b/>
          <w:i/>
        </w:rPr>
        <w:t xml:space="preserve"> Sustainability and ESG Factors</w:t>
      </w:r>
    </w:p>
    <w:p w:rsidR="00631B34" w:rsidRDefault="00004D48" w:rsidP="00E50ED5">
      <w:r>
        <w:t xml:space="preserve">Environmental, social, and governance (ESG) information remains essential in the client selections as well as the shareholders’ actions. Sustainability practices in organisations serve as a boost to the organisations’ image and also lead to the attraction of socially conscious </w:t>
      </w:r>
      <w:r>
        <w:lastRenderedPageBreak/>
        <w:t>investors. As per the justification of Ghosh et al. (2020), a consumer goods company particularly, ensures the procurement of raw materials in a sustainable manner while also reducing carbon emission within the supply chain. Thus, the company adopts the ESG indicators to improve its performance regarding consumers’ expectations regarding sustainable products and services.</w:t>
      </w:r>
    </w:p>
    <w:p w:rsidR="00631B34" w:rsidRDefault="00004D48" w:rsidP="00E50ED5">
      <w:r>
        <w:t>The process of assessing the present situation and positioning in the future entails analyses of the company’s strengths, weaknesses, opportunities, and threats. There are the theories of economics and strategic management, which are used for building competitive advantage models, trends, and prognoses, for developing and elaborating the perspectives on sustainable growth of a company’s activities (Ghosh et al. 2020). Such tools as SWOT analysis, scenario planning, available technologies, and ESG factors must be used to deal with the existing and potential risks and uncertainties in a modern and gradually globalising economy.</w:t>
      </w:r>
    </w:p>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631B34" w:rsidRDefault="00004D48" w:rsidP="00E50ED5">
      <w:pPr>
        <w:pStyle w:val="Heading1"/>
      </w:pPr>
      <w:bookmarkStart w:id="16" w:name="_okakz0r1zeoo" w:colFirst="0" w:colLast="0"/>
      <w:bookmarkStart w:id="17" w:name="_Toc171890715"/>
      <w:bookmarkEnd w:id="16"/>
      <w:r>
        <w:lastRenderedPageBreak/>
        <w:t>6. Recommendations</w:t>
      </w:r>
      <w:bookmarkEnd w:id="17"/>
    </w:p>
    <w:tbl>
      <w:tblPr>
        <w:tblStyle w:val="a2"/>
        <w:tblW w:w="8880" w:type="dxa"/>
        <w:tblBorders>
          <w:top w:val="nil"/>
          <w:left w:val="nil"/>
          <w:bottom w:val="nil"/>
          <w:right w:val="nil"/>
          <w:insideH w:val="nil"/>
          <w:insideV w:val="nil"/>
        </w:tblBorders>
        <w:tblLayout w:type="fixed"/>
        <w:tblLook w:val="0600" w:firstRow="0" w:lastRow="0" w:firstColumn="0" w:lastColumn="0" w:noHBand="1" w:noVBand="1"/>
      </w:tblPr>
      <w:tblGrid>
        <w:gridCol w:w="1665"/>
        <w:gridCol w:w="2175"/>
        <w:gridCol w:w="2340"/>
        <w:gridCol w:w="2700"/>
      </w:tblGrid>
      <w:tr w:rsidR="00631B34">
        <w:trPr>
          <w:trHeight w:val="285"/>
        </w:trPr>
        <w:tc>
          <w:tcPr>
            <w:tcW w:w="1665" w:type="dxa"/>
            <w:tcBorders>
              <w:top w:val="single" w:sz="5" w:space="0" w:color="FFFFFF"/>
              <w:left w:val="single" w:sz="5" w:space="0" w:color="FFFFFF"/>
              <w:bottom w:val="single" w:sz="5" w:space="0" w:color="FFFFFF"/>
              <w:right w:val="nil"/>
            </w:tcBorders>
            <w:shd w:val="clear" w:color="auto" w:fill="4472C4"/>
            <w:tcMar>
              <w:top w:w="0" w:type="dxa"/>
              <w:left w:w="100" w:type="dxa"/>
              <w:bottom w:w="0" w:type="dxa"/>
              <w:right w:w="100" w:type="dxa"/>
            </w:tcMar>
          </w:tcPr>
          <w:p w:rsidR="00631B34" w:rsidRDefault="00004D48" w:rsidP="00E50ED5">
            <w:pPr>
              <w:spacing w:before="240"/>
              <w:jc w:val="center"/>
              <w:rPr>
                <w:b/>
              </w:rPr>
            </w:pPr>
            <w:r>
              <w:rPr>
                <w:b/>
              </w:rPr>
              <w:t>Strategy</w:t>
            </w:r>
          </w:p>
        </w:tc>
        <w:tc>
          <w:tcPr>
            <w:tcW w:w="2175" w:type="dxa"/>
            <w:tcBorders>
              <w:top w:val="single" w:sz="5" w:space="0" w:color="FFFFFF"/>
              <w:left w:val="nil"/>
              <w:bottom w:val="single" w:sz="5" w:space="0" w:color="FFFFFF"/>
              <w:right w:val="nil"/>
            </w:tcBorders>
            <w:shd w:val="clear" w:color="auto" w:fill="4472C4"/>
            <w:tcMar>
              <w:top w:w="0" w:type="dxa"/>
              <w:left w:w="100" w:type="dxa"/>
              <w:bottom w:w="0" w:type="dxa"/>
              <w:right w:w="100" w:type="dxa"/>
            </w:tcMar>
          </w:tcPr>
          <w:p w:rsidR="00631B34" w:rsidRDefault="00004D48" w:rsidP="00E50ED5">
            <w:pPr>
              <w:spacing w:before="240"/>
              <w:jc w:val="center"/>
              <w:rPr>
                <w:b/>
              </w:rPr>
            </w:pPr>
            <w:r>
              <w:rPr>
                <w:b/>
              </w:rPr>
              <w:t>Justification</w:t>
            </w:r>
          </w:p>
        </w:tc>
        <w:tc>
          <w:tcPr>
            <w:tcW w:w="2340" w:type="dxa"/>
            <w:tcBorders>
              <w:top w:val="single" w:sz="5" w:space="0" w:color="FFFFFF"/>
              <w:left w:val="nil"/>
              <w:bottom w:val="single" w:sz="5" w:space="0" w:color="FFFFFF"/>
              <w:right w:val="nil"/>
            </w:tcBorders>
            <w:shd w:val="clear" w:color="auto" w:fill="4472C4"/>
            <w:tcMar>
              <w:top w:w="0" w:type="dxa"/>
              <w:left w:w="100" w:type="dxa"/>
              <w:bottom w:w="0" w:type="dxa"/>
              <w:right w:w="100" w:type="dxa"/>
            </w:tcMar>
          </w:tcPr>
          <w:p w:rsidR="00631B34" w:rsidRDefault="00004D48" w:rsidP="00E50ED5">
            <w:pPr>
              <w:spacing w:before="240"/>
              <w:jc w:val="center"/>
              <w:rPr>
                <w:b/>
              </w:rPr>
            </w:pPr>
            <w:r>
              <w:rPr>
                <w:b/>
              </w:rPr>
              <w:t>Rationale</w:t>
            </w:r>
          </w:p>
        </w:tc>
        <w:tc>
          <w:tcPr>
            <w:tcW w:w="2700" w:type="dxa"/>
            <w:tcBorders>
              <w:top w:val="single" w:sz="5" w:space="0" w:color="FFFFFF"/>
              <w:left w:val="nil"/>
              <w:bottom w:val="single" w:sz="5" w:space="0" w:color="FFFFFF"/>
              <w:right w:val="single" w:sz="5" w:space="0" w:color="FFFFFF"/>
            </w:tcBorders>
            <w:shd w:val="clear" w:color="auto" w:fill="4472C4"/>
            <w:tcMar>
              <w:top w:w="0" w:type="dxa"/>
              <w:left w:w="100" w:type="dxa"/>
              <w:bottom w:w="0" w:type="dxa"/>
              <w:right w:w="100" w:type="dxa"/>
            </w:tcMar>
          </w:tcPr>
          <w:p w:rsidR="00631B34" w:rsidRDefault="00004D48" w:rsidP="00E50ED5">
            <w:pPr>
              <w:spacing w:before="240"/>
              <w:jc w:val="center"/>
              <w:rPr>
                <w:b/>
              </w:rPr>
            </w:pPr>
            <w:r>
              <w:rPr>
                <w:b/>
              </w:rPr>
              <w:t>Action Plan</w:t>
            </w:r>
          </w:p>
        </w:tc>
      </w:tr>
      <w:tr w:rsidR="00631B34">
        <w:trPr>
          <w:trHeight w:val="2220"/>
        </w:trPr>
        <w:tc>
          <w:tcPr>
            <w:tcW w:w="1665" w:type="dxa"/>
            <w:tcBorders>
              <w:top w:val="nil"/>
              <w:left w:val="single" w:sz="5" w:space="0" w:color="FFFFFF"/>
              <w:bottom w:val="single" w:sz="5" w:space="0" w:color="FFFFFF"/>
              <w:right w:val="single" w:sz="5" w:space="0" w:color="FFFFFF"/>
            </w:tcBorders>
            <w:shd w:val="clear" w:color="auto" w:fill="4472C4"/>
            <w:tcMar>
              <w:top w:w="0" w:type="dxa"/>
              <w:left w:w="100" w:type="dxa"/>
              <w:bottom w:w="0" w:type="dxa"/>
              <w:right w:w="100" w:type="dxa"/>
            </w:tcMar>
          </w:tcPr>
          <w:p w:rsidR="00631B34" w:rsidRDefault="00004D48" w:rsidP="00E50ED5">
            <w:pPr>
              <w:spacing w:before="240"/>
              <w:jc w:val="center"/>
              <w:rPr>
                <w:b/>
                <w:i/>
              </w:rPr>
            </w:pPr>
            <w:r>
              <w:rPr>
                <w:b/>
                <w:i/>
              </w:rPr>
              <w:t>Expand Healthy Menu Options</w:t>
            </w:r>
          </w:p>
        </w:tc>
        <w:tc>
          <w:tcPr>
            <w:tcW w:w="2175" w:type="dxa"/>
            <w:tcBorders>
              <w:top w:val="nil"/>
              <w:left w:val="nil"/>
              <w:bottom w:val="single" w:sz="5" w:space="0" w:color="FFFFFF"/>
              <w:right w:val="single" w:sz="5" w:space="0" w:color="FFFFFF"/>
            </w:tcBorders>
            <w:shd w:val="clear" w:color="auto" w:fill="B4C6E7"/>
            <w:tcMar>
              <w:top w:w="0" w:type="dxa"/>
              <w:left w:w="100" w:type="dxa"/>
              <w:bottom w:w="0" w:type="dxa"/>
              <w:right w:w="100" w:type="dxa"/>
            </w:tcMar>
          </w:tcPr>
          <w:p w:rsidR="00631B34" w:rsidRDefault="00004D48" w:rsidP="00E50ED5">
            <w:pPr>
              <w:spacing w:before="240"/>
            </w:pPr>
            <w:r>
              <w:t>Catering to health-conscious consumers enhances brand appeal and market reach.</w:t>
            </w:r>
          </w:p>
        </w:tc>
        <w:tc>
          <w:tcPr>
            <w:tcW w:w="2340" w:type="dxa"/>
            <w:tcBorders>
              <w:top w:val="nil"/>
              <w:left w:val="nil"/>
              <w:bottom w:val="single" w:sz="5" w:space="0" w:color="FFFFFF"/>
              <w:right w:val="single" w:sz="5" w:space="0" w:color="FFFFFF"/>
            </w:tcBorders>
            <w:shd w:val="clear" w:color="auto" w:fill="B4C6E7"/>
            <w:tcMar>
              <w:top w:w="0" w:type="dxa"/>
              <w:left w:w="100" w:type="dxa"/>
              <w:bottom w:w="0" w:type="dxa"/>
              <w:right w:w="100" w:type="dxa"/>
            </w:tcMar>
          </w:tcPr>
          <w:p w:rsidR="00631B34" w:rsidRDefault="00004D48" w:rsidP="00E50ED5">
            <w:pPr>
              <w:spacing w:before="240"/>
            </w:pPr>
            <w:r>
              <w:t>Rising demand for healthier food options offers an opportunity to attract a broader customer base (Leone et al., 2020).</w:t>
            </w:r>
          </w:p>
        </w:tc>
        <w:tc>
          <w:tcPr>
            <w:tcW w:w="2700" w:type="dxa"/>
            <w:tcBorders>
              <w:top w:val="nil"/>
              <w:left w:val="nil"/>
              <w:bottom w:val="single" w:sz="5" w:space="0" w:color="FFFFFF"/>
              <w:right w:val="single" w:sz="5" w:space="0" w:color="FFFFFF"/>
            </w:tcBorders>
            <w:shd w:val="clear" w:color="auto" w:fill="B4C6E7"/>
            <w:tcMar>
              <w:top w:w="0" w:type="dxa"/>
              <w:left w:w="100" w:type="dxa"/>
              <w:bottom w:w="0" w:type="dxa"/>
              <w:right w:w="100" w:type="dxa"/>
            </w:tcMar>
          </w:tcPr>
          <w:p w:rsidR="00631B34" w:rsidRDefault="00004D48" w:rsidP="00E50ED5">
            <w:pPr>
              <w:spacing w:before="240"/>
            </w:pPr>
            <w:r>
              <w:t>Conduct market research to identify popular healthy trends, develop and test new recipes, train staff on new offerings, and launch a marketing campaign to promote the new healthy menu items (Leone et al., 2020).</w:t>
            </w:r>
          </w:p>
        </w:tc>
      </w:tr>
      <w:tr w:rsidR="00631B34" w:rsidTr="008728B1">
        <w:trPr>
          <w:trHeight w:val="888"/>
        </w:trPr>
        <w:tc>
          <w:tcPr>
            <w:tcW w:w="1665" w:type="dxa"/>
            <w:tcBorders>
              <w:top w:val="nil"/>
              <w:left w:val="single" w:sz="5" w:space="0" w:color="FFFFFF"/>
              <w:bottom w:val="single" w:sz="5" w:space="0" w:color="FFFFFF"/>
              <w:right w:val="single" w:sz="5" w:space="0" w:color="FFFFFF"/>
            </w:tcBorders>
            <w:shd w:val="clear" w:color="auto" w:fill="4472C4"/>
            <w:tcMar>
              <w:top w:w="0" w:type="dxa"/>
              <w:left w:w="100" w:type="dxa"/>
              <w:bottom w:w="0" w:type="dxa"/>
              <w:right w:w="100" w:type="dxa"/>
            </w:tcMar>
          </w:tcPr>
          <w:p w:rsidR="00631B34" w:rsidRDefault="00004D48" w:rsidP="00E50ED5">
            <w:pPr>
              <w:spacing w:before="240"/>
              <w:jc w:val="center"/>
              <w:rPr>
                <w:b/>
                <w:i/>
              </w:rPr>
            </w:pPr>
            <w:r>
              <w:rPr>
                <w:b/>
                <w:i/>
              </w:rPr>
              <w:t>Leverage Technology</w:t>
            </w:r>
          </w:p>
        </w:tc>
        <w:tc>
          <w:tcPr>
            <w:tcW w:w="2175" w:type="dxa"/>
            <w:tcBorders>
              <w:top w:val="nil"/>
              <w:left w:val="nil"/>
              <w:bottom w:val="single" w:sz="5" w:space="0" w:color="FFFFFF"/>
              <w:right w:val="single" w:sz="5" w:space="0" w:color="FFFFFF"/>
            </w:tcBorders>
            <w:shd w:val="clear" w:color="auto" w:fill="D9E2F3"/>
            <w:tcMar>
              <w:top w:w="0" w:type="dxa"/>
              <w:left w:w="100" w:type="dxa"/>
              <w:bottom w:w="0" w:type="dxa"/>
              <w:right w:w="100" w:type="dxa"/>
            </w:tcMar>
          </w:tcPr>
          <w:p w:rsidR="00631B34" w:rsidRDefault="00004D48" w:rsidP="00E50ED5">
            <w:pPr>
              <w:spacing w:before="240"/>
            </w:pPr>
            <w:r>
              <w:t>Enhancing digital platforms improves customer engagement and operational efficiency (Li, 2024).</w:t>
            </w:r>
          </w:p>
        </w:tc>
        <w:tc>
          <w:tcPr>
            <w:tcW w:w="2340" w:type="dxa"/>
            <w:tcBorders>
              <w:top w:val="nil"/>
              <w:left w:val="nil"/>
              <w:bottom w:val="single" w:sz="5" w:space="0" w:color="FFFFFF"/>
              <w:right w:val="single" w:sz="5" w:space="0" w:color="FFFFFF"/>
            </w:tcBorders>
            <w:shd w:val="clear" w:color="auto" w:fill="D9E2F3"/>
            <w:tcMar>
              <w:top w:w="0" w:type="dxa"/>
              <w:left w:w="100" w:type="dxa"/>
              <w:bottom w:w="0" w:type="dxa"/>
              <w:right w:w="100" w:type="dxa"/>
            </w:tcMar>
          </w:tcPr>
          <w:p w:rsidR="00631B34" w:rsidRDefault="00004D48" w:rsidP="00E50ED5">
            <w:pPr>
              <w:spacing w:before="240"/>
            </w:pPr>
            <w:r>
              <w:t>Technology can streamline operations, provide data-driven insights, and enhance customer experiences (Li, 2024).</w:t>
            </w:r>
          </w:p>
        </w:tc>
        <w:tc>
          <w:tcPr>
            <w:tcW w:w="2700" w:type="dxa"/>
            <w:tcBorders>
              <w:top w:val="nil"/>
              <w:left w:val="nil"/>
              <w:bottom w:val="single" w:sz="5" w:space="0" w:color="FFFFFF"/>
              <w:right w:val="single" w:sz="5" w:space="0" w:color="FFFFFF"/>
            </w:tcBorders>
            <w:shd w:val="clear" w:color="auto" w:fill="D9E2F3"/>
            <w:tcMar>
              <w:top w:w="0" w:type="dxa"/>
              <w:left w:w="100" w:type="dxa"/>
              <w:bottom w:w="0" w:type="dxa"/>
              <w:right w:w="100" w:type="dxa"/>
            </w:tcMar>
          </w:tcPr>
          <w:p w:rsidR="00631B34" w:rsidRDefault="00004D48" w:rsidP="00E50ED5">
            <w:pPr>
              <w:spacing w:before="240"/>
            </w:pPr>
            <w:r>
              <w:t>Invest in upgrading mobile apps and websites, implement advanced data analytics for personalised marketing, train staff on new digital tools, and integrate new technologies to optimise the supply chain and customer service (Li, 2024).</w:t>
            </w:r>
          </w:p>
        </w:tc>
      </w:tr>
      <w:tr w:rsidR="00631B34">
        <w:trPr>
          <w:trHeight w:val="2490"/>
        </w:trPr>
        <w:tc>
          <w:tcPr>
            <w:tcW w:w="1665" w:type="dxa"/>
            <w:tcBorders>
              <w:top w:val="nil"/>
              <w:left w:val="single" w:sz="5" w:space="0" w:color="FFFFFF"/>
              <w:bottom w:val="single" w:sz="5" w:space="0" w:color="FFFFFF"/>
              <w:right w:val="single" w:sz="5" w:space="0" w:color="FFFFFF"/>
            </w:tcBorders>
            <w:shd w:val="clear" w:color="auto" w:fill="4472C4"/>
            <w:tcMar>
              <w:top w:w="0" w:type="dxa"/>
              <w:left w:w="100" w:type="dxa"/>
              <w:bottom w:w="0" w:type="dxa"/>
              <w:right w:w="100" w:type="dxa"/>
            </w:tcMar>
          </w:tcPr>
          <w:p w:rsidR="00631B34" w:rsidRDefault="00004D48" w:rsidP="00E50ED5">
            <w:pPr>
              <w:spacing w:before="240"/>
              <w:jc w:val="center"/>
              <w:rPr>
                <w:b/>
                <w:i/>
              </w:rPr>
            </w:pPr>
            <w:r>
              <w:rPr>
                <w:b/>
                <w:i/>
              </w:rPr>
              <w:t>Sustainability Initiatives</w:t>
            </w:r>
          </w:p>
        </w:tc>
        <w:tc>
          <w:tcPr>
            <w:tcW w:w="2175" w:type="dxa"/>
            <w:tcBorders>
              <w:top w:val="nil"/>
              <w:left w:val="nil"/>
              <w:bottom w:val="single" w:sz="5" w:space="0" w:color="FFFFFF"/>
              <w:right w:val="single" w:sz="5" w:space="0" w:color="FFFFFF"/>
            </w:tcBorders>
            <w:shd w:val="clear" w:color="auto" w:fill="B4C6E7"/>
            <w:tcMar>
              <w:top w:w="0" w:type="dxa"/>
              <w:left w:w="100" w:type="dxa"/>
              <w:bottom w:w="0" w:type="dxa"/>
              <w:right w:w="100" w:type="dxa"/>
            </w:tcMar>
          </w:tcPr>
          <w:p w:rsidR="00631B34" w:rsidRDefault="00004D48" w:rsidP="00E50ED5">
            <w:pPr>
              <w:spacing w:before="240"/>
            </w:pPr>
            <w:r>
              <w:t>Meeting regulatory requirements and consumer expectations enhances brand reputation (Islam et al., 2020).</w:t>
            </w:r>
          </w:p>
        </w:tc>
        <w:tc>
          <w:tcPr>
            <w:tcW w:w="2340" w:type="dxa"/>
            <w:tcBorders>
              <w:top w:val="nil"/>
              <w:left w:val="nil"/>
              <w:bottom w:val="single" w:sz="5" w:space="0" w:color="FFFFFF"/>
              <w:right w:val="single" w:sz="5" w:space="0" w:color="FFFFFF"/>
            </w:tcBorders>
            <w:shd w:val="clear" w:color="auto" w:fill="B4C6E7"/>
            <w:tcMar>
              <w:top w:w="0" w:type="dxa"/>
              <w:left w:w="100" w:type="dxa"/>
              <w:bottom w:w="0" w:type="dxa"/>
              <w:right w:w="100" w:type="dxa"/>
            </w:tcMar>
          </w:tcPr>
          <w:p w:rsidR="00631B34" w:rsidRDefault="00004D48" w:rsidP="00E50ED5">
            <w:pPr>
              <w:spacing w:before="240"/>
            </w:pPr>
            <w:r>
              <w:t>Strong ESG practices attract socially responsible investors and ensure long-term business viability.</w:t>
            </w:r>
          </w:p>
        </w:tc>
        <w:tc>
          <w:tcPr>
            <w:tcW w:w="2700" w:type="dxa"/>
            <w:tcBorders>
              <w:top w:val="nil"/>
              <w:left w:val="nil"/>
              <w:bottom w:val="single" w:sz="5" w:space="0" w:color="FFFFFF"/>
              <w:right w:val="single" w:sz="5" w:space="0" w:color="FFFFFF"/>
            </w:tcBorders>
            <w:shd w:val="clear" w:color="auto" w:fill="B4C6E7"/>
            <w:tcMar>
              <w:top w:w="0" w:type="dxa"/>
              <w:left w:w="100" w:type="dxa"/>
              <w:bottom w:w="0" w:type="dxa"/>
              <w:right w:w="100" w:type="dxa"/>
            </w:tcMar>
          </w:tcPr>
          <w:p w:rsidR="00631B34" w:rsidRDefault="00004D48" w:rsidP="00E50ED5">
            <w:pPr>
              <w:spacing w:before="240"/>
            </w:pPr>
            <w:r>
              <w:t xml:space="preserve">Develop a sustainability roadmap, set measurable goals, implement eco-friendly practices in sourcing and operations, regularly report progress to stakeholders, and engage customers with sustainability-focused </w:t>
            </w:r>
            <w:r>
              <w:lastRenderedPageBreak/>
              <w:t>campaigns (Islam et al., 2020).</w:t>
            </w:r>
          </w:p>
        </w:tc>
      </w:tr>
      <w:tr w:rsidR="00631B34">
        <w:trPr>
          <w:trHeight w:val="2775"/>
        </w:trPr>
        <w:tc>
          <w:tcPr>
            <w:tcW w:w="1665" w:type="dxa"/>
            <w:tcBorders>
              <w:top w:val="nil"/>
              <w:left w:val="single" w:sz="5" w:space="0" w:color="FFFFFF"/>
              <w:bottom w:val="single" w:sz="5" w:space="0" w:color="FFFFFF"/>
              <w:right w:val="single" w:sz="5" w:space="0" w:color="FFFFFF"/>
            </w:tcBorders>
            <w:shd w:val="clear" w:color="auto" w:fill="4472C4"/>
            <w:tcMar>
              <w:top w:w="0" w:type="dxa"/>
              <w:left w:w="100" w:type="dxa"/>
              <w:bottom w:w="0" w:type="dxa"/>
              <w:right w:w="100" w:type="dxa"/>
            </w:tcMar>
          </w:tcPr>
          <w:p w:rsidR="00631B34" w:rsidRDefault="00004D48" w:rsidP="00E50ED5">
            <w:pPr>
              <w:spacing w:before="240"/>
              <w:jc w:val="center"/>
              <w:rPr>
                <w:b/>
                <w:i/>
              </w:rPr>
            </w:pPr>
            <w:r>
              <w:rPr>
                <w:b/>
                <w:i/>
              </w:rPr>
              <w:lastRenderedPageBreak/>
              <w:t>Market Expansion</w:t>
            </w:r>
          </w:p>
        </w:tc>
        <w:tc>
          <w:tcPr>
            <w:tcW w:w="2175" w:type="dxa"/>
            <w:tcBorders>
              <w:top w:val="nil"/>
              <w:left w:val="nil"/>
              <w:bottom w:val="single" w:sz="5" w:space="0" w:color="FFFFFF"/>
              <w:right w:val="single" w:sz="5" w:space="0" w:color="FFFFFF"/>
            </w:tcBorders>
            <w:shd w:val="clear" w:color="auto" w:fill="D9E2F3"/>
            <w:tcMar>
              <w:top w:w="0" w:type="dxa"/>
              <w:left w:w="100" w:type="dxa"/>
              <w:bottom w:w="0" w:type="dxa"/>
              <w:right w:w="100" w:type="dxa"/>
            </w:tcMar>
          </w:tcPr>
          <w:p w:rsidR="00631B34" w:rsidRDefault="00004D48" w:rsidP="00E50ED5">
            <w:pPr>
              <w:spacing w:before="240"/>
            </w:pPr>
            <w:r>
              <w:t>Expanding into emerging markets with high growth potential diversified revenue streams (Paul, 2020).</w:t>
            </w:r>
          </w:p>
        </w:tc>
        <w:tc>
          <w:tcPr>
            <w:tcW w:w="2340" w:type="dxa"/>
            <w:tcBorders>
              <w:top w:val="nil"/>
              <w:left w:val="nil"/>
              <w:bottom w:val="single" w:sz="5" w:space="0" w:color="FFFFFF"/>
              <w:right w:val="single" w:sz="5" w:space="0" w:color="FFFFFF"/>
            </w:tcBorders>
            <w:shd w:val="clear" w:color="auto" w:fill="D9E2F3"/>
            <w:tcMar>
              <w:top w:w="0" w:type="dxa"/>
              <w:left w:w="100" w:type="dxa"/>
              <w:bottom w:w="0" w:type="dxa"/>
              <w:right w:w="100" w:type="dxa"/>
            </w:tcMar>
          </w:tcPr>
          <w:p w:rsidR="00631B34" w:rsidRDefault="00004D48" w:rsidP="00E50ED5">
            <w:pPr>
              <w:spacing w:before="240"/>
            </w:pPr>
            <w:r>
              <w:t>Emerging markets offer untapped growth opportunities and can reduce dependency on saturated markets.</w:t>
            </w:r>
          </w:p>
        </w:tc>
        <w:tc>
          <w:tcPr>
            <w:tcW w:w="2700" w:type="dxa"/>
            <w:tcBorders>
              <w:top w:val="nil"/>
              <w:left w:val="nil"/>
              <w:bottom w:val="single" w:sz="5" w:space="0" w:color="FFFFFF"/>
              <w:right w:val="single" w:sz="5" w:space="0" w:color="FFFFFF"/>
            </w:tcBorders>
            <w:shd w:val="clear" w:color="auto" w:fill="D9E2F3"/>
            <w:tcMar>
              <w:top w:w="0" w:type="dxa"/>
              <w:left w:w="100" w:type="dxa"/>
              <w:bottom w:w="0" w:type="dxa"/>
              <w:right w:w="100" w:type="dxa"/>
            </w:tcMar>
          </w:tcPr>
          <w:p w:rsidR="00631B34" w:rsidRDefault="00004D48" w:rsidP="00E50ED5">
            <w:pPr>
              <w:spacing w:before="240"/>
            </w:pPr>
            <w:r>
              <w:t>Conduct market analysis to identify high-potential regions, establish local partnerships, tailor marketing strategies to regional preferences, and gradually introduce KFC products while ensuring compliance with local regulations and cultural preferences (Paul, 2020).</w:t>
            </w:r>
          </w:p>
        </w:tc>
      </w:tr>
    </w:tbl>
    <w:p w:rsidR="00631B34" w:rsidRDefault="00004D48" w:rsidP="00E50ED5">
      <w:pPr>
        <w:jc w:val="center"/>
        <w:rPr>
          <w:b/>
        </w:rPr>
      </w:pPr>
      <w:r>
        <w:rPr>
          <w:b/>
        </w:rPr>
        <w:t xml:space="preserve">Table 4: Recommended Strategy </w:t>
      </w:r>
    </w:p>
    <w:p w:rsidR="00631B34" w:rsidRDefault="00004D48" w:rsidP="00E50ED5">
      <w:r>
        <w:t>The strategies of KFC include introducing healthier products on its menu, application of technology, the exercise of environmentalism, geographical diversification, and strategic purchasing. Such strategies are pertinent in response to increased consumer consciousness about health, the use of technology in operations and in reaching out to consumers, concerns for the environment, definite chances in developing markets, and the need for a strong chain of supply. These strategies, in turn, outline realistic guidelines for the further implementation of these actions, so that KFC can establish the necessary foundation for the improvement of its competitive advantage and organizational development.</w:t>
      </w:r>
    </w:p>
    <w:p w:rsidR="004C417B" w:rsidRDefault="004C417B" w:rsidP="00E50ED5"/>
    <w:p w:rsidR="004C417B" w:rsidRDefault="004C417B" w:rsidP="00E50ED5"/>
    <w:p w:rsidR="004C417B" w:rsidRDefault="004C417B" w:rsidP="00E50ED5"/>
    <w:p w:rsidR="004C417B" w:rsidRDefault="004C417B" w:rsidP="00E50ED5"/>
    <w:p w:rsidR="004C417B" w:rsidRDefault="004C417B" w:rsidP="00E50ED5"/>
    <w:p w:rsidR="00631B34" w:rsidRDefault="00004D48" w:rsidP="00E50ED5">
      <w:pPr>
        <w:pStyle w:val="Heading1"/>
      </w:pPr>
      <w:bookmarkStart w:id="18" w:name="_a7pvbfi86iuc" w:colFirst="0" w:colLast="0"/>
      <w:bookmarkStart w:id="19" w:name="_Toc171890716"/>
      <w:bookmarkEnd w:id="18"/>
      <w:r>
        <w:lastRenderedPageBreak/>
        <w:t>7. Conclusion</w:t>
      </w:r>
      <w:bookmarkEnd w:id="19"/>
    </w:p>
    <w:p w:rsidR="00631B34" w:rsidRDefault="00004D48" w:rsidP="00E50ED5">
      <w:r>
        <w:t>The global environment of KFC is quite challenging and changing constantly. It is due to the critical evaluations of the macro and micro-economic factors that help in giving a clear picture of KFC in terms of opportunities and threats. The following is a breakdown of all the PESTEL factors affecting the KFC business: Political: The extraction of the political aspect shows that the policies of the government play a crucial role in the sustainability of KFC’s business. Another model that reveals the competitive forces is Porter’s Five Forces analysis which denotes newcomers, substitutes, suppliers, buyers, and competition as the forces KFC must respond to.</w:t>
      </w:r>
    </w:p>
    <w:p w:rsidR="00631B34" w:rsidRDefault="00004D48" w:rsidP="00E50ED5">
      <w:r>
        <w:t>The SWOT analysis focuses on the firm’s strengths including brand image and operations in multiple countries while recognizing some weaknesses including overreliance on a few markets and issues to do with product quality. The possibilities of development in the field of digitalization and market growth are presented, as well as the risks that appear as a result of economic changes and shifts in consumer preferences.</w:t>
      </w:r>
    </w:p>
    <w:p w:rsidR="00631B34" w:rsidRDefault="00004D48" w:rsidP="00E50ED5">
      <w:r>
        <w:t>Some of the macroeconomic performance indicators that should be fully understood in the process of strategic management and planning include growth rates, inflation, and employment trends. Market structure and related business decisions of a microeconomic nature represent a major theme that defines KFC's business results, especially in terms of responding to market needs and optimizing operations.</w:t>
      </w:r>
    </w:p>
    <w:p w:rsidR="00631B34" w:rsidRDefault="00004D48" w:rsidP="00E50ED5">
      <w:r>
        <w:t>The analysis of KFC’s current position reveals endurance and dominant positions, but at the same time highlights the necessity of the evolutionary changes. Business perspectives indicate that for the future market outlooks, the company will be able to address the strategic directions using such major strategies as market diversification, digitalization of business processes, integration of sustainability concepts, strategic partnership management, and culture of innovation.</w:t>
      </w:r>
    </w:p>
    <w:p w:rsidR="00631B34" w:rsidRDefault="00004D48" w:rsidP="00E50ED5">
      <w:r>
        <w:t xml:space="preserve">The number of recommendations introduced in the context is intended to improve the competitive advantage of KFC and consider its shaded future growth. Therefore, incorporating these strategies, one should consider the macro and micro economic circumstances to avoid possible problems and take advantage that will let KFC develop a long-term successful market dominance in the sphere of </w:t>
      </w:r>
      <w:proofErr w:type="gramStart"/>
      <w:r>
        <w:t>fast food</w:t>
      </w:r>
      <w:proofErr w:type="gramEnd"/>
      <w:r>
        <w:t xml:space="preserve"> production.</w:t>
      </w:r>
    </w:p>
    <w:p w:rsidR="004C417B" w:rsidRDefault="004C417B" w:rsidP="00E50ED5"/>
    <w:p w:rsidR="00631B34" w:rsidRDefault="00004D48" w:rsidP="00E50ED5">
      <w:pPr>
        <w:pStyle w:val="Heading1"/>
      </w:pPr>
      <w:bookmarkStart w:id="20" w:name="_v8wnkyquy384" w:colFirst="0" w:colLast="0"/>
      <w:bookmarkStart w:id="21" w:name="_h0ka8gwljdoj" w:colFirst="0" w:colLast="0"/>
      <w:bookmarkStart w:id="22" w:name="_Toc171890717"/>
      <w:bookmarkEnd w:id="20"/>
      <w:bookmarkEnd w:id="21"/>
      <w:r>
        <w:lastRenderedPageBreak/>
        <w:t>References</w:t>
      </w:r>
      <w:bookmarkEnd w:id="22"/>
    </w:p>
    <w:p w:rsidR="00631B34" w:rsidRDefault="00004D48" w:rsidP="00E50ED5">
      <w:pPr>
        <w:spacing w:before="240" w:after="240"/>
      </w:pPr>
      <w:proofErr w:type="gramStart"/>
      <w:r>
        <w:t>Anitharaj ,</w:t>
      </w:r>
      <w:proofErr w:type="gramEnd"/>
      <w:r>
        <w:t xml:space="preserve"> M.S. (2018). Global </w:t>
      </w:r>
      <w:proofErr w:type="gramStart"/>
      <w:r>
        <w:t>Fast Food</w:t>
      </w:r>
      <w:proofErr w:type="gramEnd"/>
      <w:r>
        <w:t xml:space="preserve"> Retailing In India -A Way Ahead. [online] </w:t>
      </w:r>
      <w:proofErr w:type="spellStart"/>
      <w:proofErr w:type="gramStart"/>
      <w:r>
        <w:t>doi:http</w:t>
      </w:r>
      <w:proofErr w:type="spellEnd"/>
      <w:r>
        <w:t>://dx.doi.org/10.9790/487X-2002023843</w:t>
      </w:r>
      <w:proofErr w:type="gramEnd"/>
      <w:r>
        <w:t>.</w:t>
      </w:r>
    </w:p>
    <w:p w:rsidR="00631B34" w:rsidRDefault="00004D48" w:rsidP="00E50ED5">
      <w:pPr>
        <w:spacing w:before="240" w:after="240"/>
      </w:pPr>
      <w:r>
        <w:t xml:space="preserve">BBC.com (2018). Chicken Chaos as KFC Closes Outlets. </w:t>
      </w:r>
      <w:r>
        <w:rPr>
          <w:i/>
        </w:rPr>
        <w:t>BBC News</w:t>
      </w:r>
      <w:r>
        <w:t>. [online] 19 Feb. Available at: https://www.bbc.com/news/business-43110910 [Accessed 6 Jul. 2024].</w:t>
      </w:r>
    </w:p>
    <w:p w:rsidR="00631B34" w:rsidRDefault="00004D48" w:rsidP="00E50ED5">
      <w:pPr>
        <w:spacing w:before="240" w:after="240"/>
      </w:pPr>
      <w:r>
        <w:t xml:space="preserve">Bekius, F. and Gomes, S.L. (2023). A Framework to Design Game theory-based Interventions for Strategic Analysis of real-world Problems with Stakeholders. </w:t>
      </w:r>
      <w:r>
        <w:rPr>
          <w:i/>
        </w:rPr>
        <w:t>European Journal of Operational Research</w:t>
      </w:r>
      <w:r>
        <w:t xml:space="preserve">, [online] 309(2). </w:t>
      </w:r>
      <w:proofErr w:type="gramStart"/>
      <w:r>
        <w:t>doi:https://doi.org/10.1016/j.ejor.2023.01.046</w:t>
      </w:r>
      <w:proofErr w:type="gramEnd"/>
      <w:r>
        <w:t>.</w:t>
      </w:r>
    </w:p>
    <w:p w:rsidR="00631B34" w:rsidRDefault="00004D48" w:rsidP="00E50ED5">
      <w:pPr>
        <w:spacing w:before="240" w:after="240"/>
      </w:pPr>
      <w:r>
        <w:t xml:space="preserve">Bianco, M.L. and Otaola, J. (2023). Argentina inflation hits 124% as cost-of-living crisis sharpens. </w:t>
      </w:r>
      <w:r>
        <w:rPr>
          <w:i/>
        </w:rPr>
        <w:t>Reuters</w:t>
      </w:r>
      <w:r>
        <w:t>. [online] 14 Sep. Available at: https://www.reuters.com/markets/argentine-shoppers-face-daily-race-deals-inflation-soars-above-100-2023-09-13/ [Accessed 6 Jul. 2024].</w:t>
      </w:r>
    </w:p>
    <w:p w:rsidR="00631B34" w:rsidRDefault="00004D48" w:rsidP="00E50ED5">
      <w:pPr>
        <w:spacing w:before="240" w:after="240"/>
      </w:pPr>
      <w:r>
        <w:t xml:space="preserve">Bts.gov (2023). </w:t>
      </w:r>
      <w:r>
        <w:rPr>
          <w:i/>
        </w:rPr>
        <w:t>June 2023 U.S. Transportation Sector Unemployment (3.3%) Falls Below the June 2022 Level (4.1%) And the Pre-Pandemic June 2019 Level (4.1%)</w:t>
      </w:r>
      <w:r>
        <w:t>. [online] Available at: https://www.bts.gov/newsroom/june-2023-us-transportation-sector-unemployment-33-falls-below-june-2022-level-41-and-pre [Accessed 6 Jul. 2024].</w:t>
      </w:r>
    </w:p>
    <w:p w:rsidR="00631B34" w:rsidRDefault="00004D48" w:rsidP="00E50ED5">
      <w:pPr>
        <w:spacing w:before="240" w:after="240"/>
      </w:pPr>
      <w:r>
        <w:t xml:space="preserve">Byrne, J. (2023). </w:t>
      </w:r>
      <w:r>
        <w:rPr>
          <w:i/>
        </w:rPr>
        <w:t>Global poultry industry sees reduced production costs as feed prices drop</w:t>
      </w:r>
      <w:r>
        <w:t>. [online] feednavigator.com. Available at: https://www.feednavigator.com/Article/2023/07/04/Global-poultry-industry-sees-reduced-production-costs [Accessed 6 Jul. 2024].</w:t>
      </w:r>
    </w:p>
    <w:p w:rsidR="00631B34" w:rsidRDefault="00004D48" w:rsidP="00E50ED5">
      <w:pPr>
        <w:spacing w:before="240" w:after="240"/>
      </w:pPr>
      <w:r>
        <w:t xml:space="preserve">Chan, C.Y., Kee, D.M.H., Chong, E., Hak, K.K., Yeong, P.H.A., Stephani, S., Sara, H., Chanchal, B., </w:t>
      </w:r>
      <w:proofErr w:type="spellStart"/>
      <w:r>
        <w:t>Quttainah</w:t>
      </w:r>
      <w:proofErr w:type="spellEnd"/>
      <w:r>
        <w:t xml:space="preserve">, </w:t>
      </w:r>
      <w:proofErr w:type="spellStart"/>
      <w:r>
        <w:t>ajdi</w:t>
      </w:r>
      <w:proofErr w:type="spellEnd"/>
      <w:r>
        <w:t xml:space="preserve"> A., Pandey, R. and Sin, L.G. (2020). The Challenges of Healthy Lifestyle: A Study Case of Kentucky Fried Chicken. </w:t>
      </w:r>
      <w:r>
        <w:rPr>
          <w:i/>
        </w:rPr>
        <w:t xml:space="preserve">International Journal of Tourism and Hospitality in Asia </w:t>
      </w:r>
      <w:proofErr w:type="spellStart"/>
      <w:r>
        <w:rPr>
          <w:i/>
        </w:rPr>
        <w:t>Pasific</w:t>
      </w:r>
      <w:proofErr w:type="spellEnd"/>
      <w:r>
        <w:t xml:space="preserve">, [online] 3(2), pp.57–69. </w:t>
      </w:r>
      <w:proofErr w:type="gramStart"/>
      <w:r>
        <w:t>doi:https://doi.org/10.32535/ijthap.v3i2.823</w:t>
      </w:r>
      <w:proofErr w:type="gramEnd"/>
      <w:r>
        <w:t>.</w:t>
      </w:r>
    </w:p>
    <w:p w:rsidR="00631B34" w:rsidRDefault="00004D48" w:rsidP="00E50ED5">
      <w:pPr>
        <w:spacing w:before="240" w:after="240"/>
      </w:pPr>
      <w:r>
        <w:t xml:space="preserve">Eddy, M. (2023). Eurozone Inflation Continues to Fall, as Energy Prices Ease. </w:t>
      </w:r>
      <w:r>
        <w:rPr>
          <w:i/>
        </w:rPr>
        <w:t>The New York Times</w:t>
      </w:r>
      <w:r>
        <w:t>. [online] 31 Mar. Available at: https://www.nytimes.com/2023/03/31/world/europe/eurozone-inflation.html [Accessed 6 Jul. 2024].</w:t>
      </w:r>
    </w:p>
    <w:p w:rsidR="00631B34" w:rsidRDefault="00004D48" w:rsidP="00E50ED5">
      <w:pPr>
        <w:spacing w:before="240" w:after="240"/>
      </w:pPr>
      <w:r>
        <w:lastRenderedPageBreak/>
        <w:t xml:space="preserve">Fda.gov (2023). FDA Releases 2017-2018 Report on the Occurrence of Foodborne Illness Risk Factors in Fast Food and Full-service Restaurants. </w:t>
      </w:r>
      <w:r>
        <w:rPr>
          <w:i/>
        </w:rPr>
        <w:t>FDA</w:t>
      </w:r>
      <w:r>
        <w:t>. [online] Available at: https://www.fda.gov/food/cfsan-constituent-updates/fda-releases-2017-2018-report-occurrence-foodborne-illness-risk-factors-fast-food-and-full-service [Accessed 6 Jul. 2024].</w:t>
      </w:r>
    </w:p>
    <w:p w:rsidR="00631B34" w:rsidRDefault="00004D48" w:rsidP="00E50ED5">
      <w:pPr>
        <w:spacing w:before="240" w:after="240"/>
      </w:pPr>
      <w:r>
        <w:t xml:space="preserve">Federalreserve.gov (2024). </w:t>
      </w:r>
      <w:r>
        <w:rPr>
          <w:i/>
        </w:rPr>
        <w:t>Federal Reserve issues FOMC statement</w:t>
      </w:r>
      <w:r>
        <w:t>. [online] Board of Governors of the Federal Reserve System. Available at: https://www.federalreserve.gov/newsevents/pressreleases/monetary20240501a.htm [Accessed 6 Jul. 2024].</w:t>
      </w:r>
    </w:p>
    <w:p w:rsidR="00631B34" w:rsidRDefault="00004D48" w:rsidP="00E50ED5">
      <w:pPr>
        <w:spacing w:before="240" w:after="240"/>
      </w:pPr>
      <w:r>
        <w:t xml:space="preserve">Ghosh, P., Jha, A. and Sharma, R. (2020). Managing carbon footprint for a sustainable supply chain: a systematic literature review. </w:t>
      </w:r>
      <w:r>
        <w:rPr>
          <w:i/>
        </w:rPr>
        <w:t>Modern Supply Chain Research and Applications</w:t>
      </w:r>
      <w:r>
        <w:t xml:space="preserve">, [online] ahead-of-print(ahead-of-print). </w:t>
      </w:r>
      <w:proofErr w:type="gramStart"/>
      <w:r>
        <w:t>doi:https://doi.org/10.1108/mscra-06-2020-0016</w:t>
      </w:r>
      <w:proofErr w:type="gramEnd"/>
      <w:r>
        <w:t>.</w:t>
      </w:r>
    </w:p>
    <w:p w:rsidR="00631B34" w:rsidRDefault="00004D48" w:rsidP="00E50ED5">
      <w:pPr>
        <w:spacing w:before="240" w:after="240"/>
      </w:pPr>
      <w:r>
        <w:t xml:space="preserve">Islam, T., Islam, R., Pitafi, H., </w:t>
      </w:r>
      <w:proofErr w:type="spellStart"/>
      <w:r>
        <w:t>Xiaobei</w:t>
      </w:r>
      <w:proofErr w:type="spellEnd"/>
      <w:r>
        <w:t xml:space="preserve">, L., Rehmani, M., Irfan, M. and Mubarak, S. (2020). The Impact of Corporate Social Responsibility on Customer Loyalty: the Mediating Role of Corporate Reputation, Customer Satisfaction, and Trust. </w:t>
      </w:r>
      <w:r>
        <w:rPr>
          <w:i/>
        </w:rPr>
        <w:t>Sustainable Production and Consumption</w:t>
      </w:r>
      <w:r>
        <w:t xml:space="preserve">, [online] 25(3), pp.123–135. </w:t>
      </w:r>
      <w:proofErr w:type="gramStart"/>
      <w:r>
        <w:t>doi:https://doi.org/10.1016/j.spc.2020.07.019</w:t>
      </w:r>
      <w:proofErr w:type="gramEnd"/>
      <w:r>
        <w:t>.</w:t>
      </w:r>
    </w:p>
    <w:p w:rsidR="00631B34" w:rsidRDefault="00004D48" w:rsidP="00E50ED5">
      <w:pPr>
        <w:spacing w:before="240" w:after="240"/>
      </w:pPr>
      <w:r>
        <w:t xml:space="preserve">Kamiński, M., </w:t>
      </w:r>
      <w:proofErr w:type="spellStart"/>
      <w:r>
        <w:t>Juskowiak</w:t>
      </w:r>
      <w:proofErr w:type="spellEnd"/>
      <w:r>
        <w:t xml:space="preserve">, M., Kowalewska, N., </w:t>
      </w:r>
      <w:proofErr w:type="spellStart"/>
      <w:r>
        <w:t>Barszczewska</w:t>
      </w:r>
      <w:proofErr w:type="spellEnd"/>
      <w:r>
        <w:t xml:space="preserve">, L., </w:t>
      </w:r>
      <w:proofErr w:type="spellStart"/>
      <w:r>
        <w:t>Kręgielska-Narożna</w:t>
      </w:r>
      <w:proofErr w:type="spellEnd"/>
      <w:r>
        <w:t xml:space="preserve">, M. and </w:t>
      </w:r>
      <w:proofErr w:type="spellStart"/>
      <w:r>
        <w:t>Bogdański</w:t>
      </w:r>
      <w:proofErr w:type="spellEnd"/>
      <w:r>
        <w:t xml:space="preserve">, P. (2023). Nutrient composition of plant-based fast food meals and their omnivore counterparts: a cross-sectional analysis of e-menus. </w:t>
      </w:r>
      <w:r>
        <w:rPr>
          <w:i/>
        </w:rPr>
        <w:t>Nutrition</w:t>
      </w:r>
      <w:r>
        <w:t xml:space="preserve">, [online] p.112323. </w:t>
      </w:r>
      <w:proofErr w:type="gramStart"/>
      <w:r>
        <w:t>doi:https://doi.org/10.1016/j.nut.2023.112323</w:t>
      </w:r>
      <w:proofErr w:type="gramEnd"/>
      <w:r>
        <w:t>.</w:t>
      </w:r>
    </w:p>
    <w:p w:rsidR="00631B34" w:rsidRDefault="00004D48" w:rsidP="00E50ED5">
      <w:pPr>
        <w:spacing w:before="240" w:after="240"/>
      </w:pPr>
      <w:proofErr w:type="gramStart"/>
      <w:r>
        <w:t>Kelso ,</w:t>
      </w:r>
      <w:proofErr w:type="gramEnd"/>
      <w:r>
        <w:t xml:space="preserve"> A. (2024). </w:t>
      </w:r>
      <w:r>
        <w:rPr>
          <w:i/>
        </w:rPr>
        <w:t>KFC U.S. introduces a new loyalty program</w:t>
      </w:r>
      <w:r>
        <w:t>. [online] Nation’s Restaurant News. Available at: https://www.nrn.com/marketing/kfc-us-introduces-new-loyalty-program [Accessed 6 Jul. 2024].</w:t>
      </w:r>
    </w:p>
    <w:p w:rsidR="00631B34" w:rsidRDefault="00004D48" w:rsidP="00E50ED5">
      <w:pPr>
        <w:spacing w:before="240" w:after="240"/>
      </w:pPr>
      <w:r>
        <w:t xml:space="preserve">KFC.co.uk (2023). </w:t>
      </w:r>
      <w:r>
        <w:rPr>
          <w:i/>
        </w:rPr>
        <w:t>KFC | KFC UK - Find a Restaurant and Order KFC Online</w:t>
      </w:r>
      <w:r>
        <w:t>. [online] KFC. Available at: https://www.kfc.co.uk/ [Accessed 6 Jul. 2024].</w:t>
      </w:r>
    </w:p>
    <w:p w:rsidR="00631B34" w:rsidRDefault="00004D48" w:rsidP="00E50ED5">
      <w:pPr>
        <w:spacing w:before="240" w:after="240"/>
      </w:pPr>
      <w:r>
        <w:t xml:space="preserve">KFC.com (2019). </w:t>
      </w:r>
      <w:r>
        <w:rPr>
          <w:i/>
        </w:rPr>
        <w:t>KFC ANNOUNCES GLOBAL PLEDGE TO ELIMINATE NON-RECOVERABLE OR NON-REUSABLE PLASTIC-BASED PACKAGING BY 2025</w:t>
      </w:r>
      <w:r>
        <w:t>. [online] Kfc.com. Available at: https://global.kfc.com/press-releases/kfc-announces-global-pledge-to-eliminate-non-recoverable-or-non-reusable-plastic-based-packaging-by-2025/ [Accessed 6 Jul. 2024].</w:t>
      </w:r>
    </w:p>
    <w:p w:rsidR="00631B34" w:rsidRDefault="00004D48" w:rsidP="00E50ED5">
      <w:pPr>
        <w:spacing w:before="240" w:after="240"/>
      </w:pPr>
      <w:r>
        <w:lastRenderedPageBreak/>
        <w:t xml:space="preserve">KFC.com (2024). </w:t>
      </w:r>
      <w:r>
        <w:rPr>
          <w:i/>
        </w:rPr>
        <w:t>KFC - KFC Surpasses 30,000 Restaurants Worldwide | KFC</w:t>
      </w:r>
      <w:r>
        <w:t>. [online] global.kfc.com. Available at: https://global.kfc.com/press-releases/kfc-surpasses-30-000-restaurants-worldwide/ [Accessed 6 Jul. 2024].</w:t>
      </w:r>
    </w:p>
    <w:p w:rsidR="00631B34" w:rsidRDefault="00004D48" w:rsidP="00E50ED5">
      <w:pPr>
        <w:spacing w:before="240" w:after="240"/>
      </w:pPr>
      <w:r>
        <w:t xml:space="preserve">Konish, L. (2023). </w:t>
      </w:r>
      <w:r>
        <w:rPr>
          <w:i/>
        </w:rPr>
        <w:t>These states are raising their minimum wages in 2023. Chart shows where workers can expect higher pay</w:t>
      </w:r>
      <w:r>
        <w:t>. [online] CNBC. Available at: https://www.cnbc.com/2023/01/01/these-states-will-raise-their-minimum-wages-in-2023.html [Accessed 6 Jul. 2024].</w:t>
      </w:r>
    </w:p>
    <w:p w:rsidR="00631B34" w:rsidRDefault="00004D48" w:rsidP="00E50ED5">
      <w:pPr>
        <w:spacing w:before="240" w:after="240"/>
      </w:pPr>
      <w:r>
        <w:t xml:space="preserve">Leone, L.A., Fleischhacker, S., Anderson-Steeves, B., Harper, K., Winkler, M., Racine, E., Baquero, B. and </w:t>
      </w:r>
      <w:proofErr w:type="spellStart"/>
      <w:r>
        <w:t>Gittelsohn</w:t>
      </w:r>
      <w:proofErr w:type="spellEnd"/>
      <w:r>
        <w:t xml:space="preserve">, J. (2020). Healthy Food Retail during the COVID-19 Pandemic: Challenges and Future Directions. </w:t>
      </w:r>
      <w:r>
        <w:rPr>
          <w:i/>
        </w:rPr>
        <w:t>International Journal of Environmental Research and Public Health</w:t>
      </w:r>
      <w:r>
        <w:t xml:space="preserve">, 17(20), p.7397. </w:t>
      </w:r>
      <w:proofErr w:type="gramStart"/>
      <w:r>
        <w:t>doi:https://doi.org/10.3390/ijerph17207397</w:t>
      </w:r>
      <w:proofErr w:type="gramEnd"/>
      <w:r>
        <w:t>.</w:t>
      </w:r>
    </w:p>
    <w:p w:rsidR="00631B34" w:rsidRDefault="00004D48" w:rsidP="00E50ED5">
      <w:pPr>
        <w:spacing w:before="240" w:after="240"/>
      </w:pPr>
      <w:r>
        <w:t xml:space="preserve">Li, J. (2024). Big Data-driven Decision Support: Enhancing Information Integration and User Experience with Mobile Integrated Technology. </w:t>
      </w:r>
      <w:r>
        <w:rPr>
          <w:i/>
        </w:rPr>
        <w:t>Journal of information systems engineering &amp; management</w:t>
      </w:r>
      <w:r>
        <w:t xml:space="preserve">, 9(2), pp.24148–24148. </w:t>
      </w:r>
      <w:proofErr w:type="gramStart"/>
      <w:r>
        <w:t>doi:https://doi.org/10.55267/iadt.07.14747</w:t>
      </w:r>
      <w:proofErr w:type="gramEnd"/>
      <w:r>
        <w:t>.</w:t>
      </w:r>
    </w:p>
    <w:p w:rsidR="00631B34" w:rsidRDefault="00004D48" w:rsidP="00E50ED5">
      <w:pPr>
        <w:spacing w:before="240" w:after="240"/>
      </w:pPr>
      <w:r>
        <w:t xml:space="preserve">Loe, C. (2023). </w:t>
      </w:r>
      <w:r>
        <w:rPr>
          <w:i/>
        </w:rPr>
        <w:t>US GDP growth slows sharply in the first quarter</w:t>
      </w:r>
      <w:r>
        <w:t>. [online] Economist Intelligence Unit. Available at: https://www.eiu.com/n/us-gdp-growth-slows-sharply-in-the-first-quarter/ [Accessed 6 Jul. 2024].</w:t>
      </w:r>
    </w:p>
    <w:p w:rsidR="00631B34" w:rsidRDefault="00004D48" w:rsidP="00E50ED5">
      <w:pPr>
        <w:spacing w:before="240" w:after="240"/>
      </w:pPr>
      <w:r>
        <w:t xml:space="preserve">Loxton, M., </w:t>
      </w:r>
      <w:proofErr w:type="spellStart"/>
      <w:r>
        <w:t>Truskett</w:t>
      </w:r>
      <w:proofErr w:type="spellEnd"/>
      <w:r>
        <w:t xml:space="preserve">, R., Scarf, B., Sindone, L., Baldry, G. and Zhao, Y. (2020). Consumer behaviour during crises: Preliminary research on how coronavirus has manifested consumer panic buying, herd mentality, changing discretionary spending and the role of the media in influencing behaviour. </w:t>
      </w:r>
      <w:r>
        <w:rPr>
          <w:i/>
        </w:rPr>
        <w:t>Journal of Risk and Financial Management</w:t>
      </w:r>
      <w:r>
        <w:t>, [online] 13(8), p.166. Available at: https://www.mdpi.com/1911-8074/13/8/166 [Accessed 6 Jul. 2024].</w:t>
      </w:r>
    </w:p>
    <w:p w:rsidR="00631B34" w:rsidRDefault="00004D48" w:rsidP="00E50ED5">
      <w:pPr>
        <w:spacing w:before="240" w:after="240"/>
      </w:pPr>
      <w:r>
        <w:t xml:space="preserve">Mert, M. (2018). What does a firm maximize? A simple explanation with regard to economic growth. </w:t>
      </w:r>
      <w:r>
        <w:rPr>
          <w:i/>
        </w:rPr>
        <w:t>International Journal of Engineering Business Management</w:t>
      </w:r>
      <w:r>
        <w:t xml:space="preserve">, [online] 10, p.184797901881529. </w:t>
      </w:r>
      <w:proofErr w:type="gramStart"/>
      <w:r>
        <w:t>doi:https://doi.org/10.1177/1847979018815296</w:t>
      </w:r>
      <w:proofErr w:type="gramEnd"/>
      <w:r>
        <w:t>.</w:t>
      </w:r>
    </w:p>
    <w:p w:rsidR="00631B34" w:rsidRDefault="00004D48" w:rsidP="00E50ED5">
      <w:pPr>
        <w:spacing w:before="240" w:after="240"/>
      </w:pPr>
      <w:r>
        <w:t xml:space="preserve">Oloo, B., Daisy, L. and Oniang’o, R. (2018). Food Safety Legislation in Some Developing Countries. </w:t>
      </w:r>
      <w:r>
        <w:rPr>
          <w:i/>
        </w:rPr>
        <w:t>Food Safety - Some Global Trends</w:t>
      </w:r>
      <w:r>
        <w:t xml:space="preserve">. [online] </w:t>
      </w:r>
      <w:proofErr w:type="gramStart"/>
      <w:r>
        <w:t>doi:https://doi.org/10.5772/intechopen.75587</w:t>
      </w:r>
      <w:proofErr w:type="gramEnd"/>
      <w:r>
        <w:t>.</w:t>
      </w:r>
    </w:p>
    <w:p w:rsidR="00631B34" w:rsidRDefault="00004D48" w:rsidP="00E50ED5">
      <w:pPr>
        <w:spacing w:before="240" w:after="240"/>
      </w:pPr>
      <w:proofErr w:type="gramStart"/>
      <w:r>
        <w:lastRenderedPageBreak/>
        <w:t>Ou ,</w:t>
      </w:r>
      <w:proofErr w:type="gramEnd"/>
      <w:r>
        <w:t xml:space="preserve"> X. (2024). </w:t>
      </w:r>
      <w:r>
        <w:rPr>
          <w:i/>
        </w:rPr>
        <w:t>China: trade balance 2018</w:t>
      </w:r>
      <w:r>
        <w:t>. [online] Statista. Available at: https://www.statista.com/statistics/263632/trade-balance-of-china/ [Accessed 6 Jul. 2024].</w:t>
      </w:r>
    </w:p>
    <w:p w:rsidR="00631B34" w:rsidRDefault="00004D48" w:rsidP="00E50ED5">
      <w:pPr>
        <w:spacing w:before="240" w:after="240"/>
      </w:pPr>
      <w:r>
        <w:t xml:space="preserve">Pangarkar, N. and Prabhudesai, R. (2024). Using Porter’s Five Forces analysis to drive strategy. </w:t>
      </w:r>
      <w:r>
        <w:rPr>
          <w:i/>
        </w:rPr>
        <w:t>Global Business and Organizational Excellence</w:t>
      </w:r>
      <w:r>
        <w:t xml:space="preserve">, [online] 43(5), pp.1–11. </w:t>
      </w:r>
      <w:proofErr w:type="gramStart"/>
      <w:r>
        <w:t>doi:https://doi.org/10.1002/joe.22250</w:t>
      </w:r>
      <w:proofErr w:type="gramEnd"/>
      <w:r>
        <w:t>.</w:t>
      </w:r>
    </w:p>
    <w:p w:rsidR="00631B34" w:rsidRDefault="00004D48" w:rsidP="00E50ED5">
      <w:pPr>
        <w:spacing w:before="240" w:after="240"/>
      </w:pPr>
      <w:r>
        <w:t xml:space="preserve">Parlapiano, A., Solomon, D.B., Ngo, M. and Cowley, S. (2022). Where $5 Trillion in Pandemic Stimulus Money Went. </w:t>
      </w:r>
      <w:r>
        <w:rPr>
          <w:i/>
        </w:rPr>
        <w:t>The New York Times</w:t>
      </w:r>
      <w:r>
        <w:t>. [online] 11 Mar. Available at: https://www.nytimes.com/interactive/2022/03/11/us/how-covid-stimulus-money-was-spent.html [Accessed 6 Jul. 2024].</w:t>
      </w:r>
    </w:p>
    <w:p w:rsidR="00631B34" w:rsidRDefault="00004D48" w:rsidP="00E50ED5">
      <w:pPr>
        <w:spacing w:before="240" w:after="240"/>
      </w:pPr>
      <w:r>
        <w:t xml:space="preserve">Pascucci, F., Savelli, E. and </w:t>
      </w:r>
      <w:proofErr w:type="spellStart"/>
      <w:r>
        <w:t>Gistri</w:t>
      </w:r>
      <w:proofErr w:type="spellEnd"/>
      <w:r>
        <w:t xml:space="preserve">, G. (2023). How Digital Technologies Reshape marketing: Evidence from a Qualitative Investigation. </w:t>
      </w:r>
      <w:r>
        <w:rPr>
          <w:i/>
        </w:rPr>
        <w:t>Italian Journal of Marketing</w:t>
      </w:r>
      <w:r>
        <w:t xml:space="preserve">, [online] 2023(1), pp.27–58. </w:t>
      </w:r>
      <w:proofErr w:type="gramStart"/>
      <w:r>
        <w:t>doi:https://doi.org/10.1007/s43039-023-00063-6</w:t>
      </w:r>
      <w:proofErr w:type="gramEnd"/>
      <w:r>
        <w:t>.</w:t>
      </w:r>
    </w:p>
    <w:p w:rsidR="00631B34" w:rsidRDefault="00004D48" w:rsidP="00E50ED5">
      <w:pPr>
        <w:spacing w:before="240" w:after="240"/>
      </w:pPr>
      <w:r>
        <w:t xml:space="preserve">Paul, J. (2020). Marketing in emerging markets: a review, theoretical synthesis and extension. </w:t>
      </w:r>
      <w:r>
        <w:rPr>
          <w:i/>
        </w:rPr>
        <w:t>International Journal of Emerging Markets</w:t>
      </w:r>
      <w:r>
        <w:t xml:space="preserve">, [online] 15(3), pp.446–468. </w:t>
      </w:r>
      <w:proofErr w:type="gramStart"/>
      <w:r>
        <w:t>doi:https://doi.org/10.1108/ijoem-04-2017-0130</w:t>
      </w:r>
      <w:proofErr w:type="gramEnd"/>
      <w:r>
        <w:t>.</w:t>
      </w:r>
    </w:p>
    <w:p w:rsidR="00631B34" w:rsidRDefault="00004D48" w:rsidP="00E50ED5">
      <w:pPr>
        <w:spacing w:before="240" w:after="240"/>
      </w:pPr>
      <w:r>
        <w:t xml:space="preserve">Prabhakar, B. (2019). KFC increasingly putting vegetarian items on its Indian menu to cater to customers. </w:t>
      </w:r>
      <w:r>
        <w:rPr>
          <w:i/>
        </w:rPr>
        <w:t>The Economic Times</w:t>
      </w:r>
      <w:r>
        <w:t>. [online] 9 Sep. Available at: https://economictimes.indiatimes.com/industry/cons-products/food/kfc-increasingly-putting-vegetarian-items-on-its-indian-menu-to-cater-to-customers/articleshow/16314308.cms?from=mdr [Accessed 6 Jul. 2024].</w:t>
      </w:r>
    </w:p>
    <w:p w:rsidR="00631B34" w:rsidRDefault="00004D48" w:rsidP="00E50ED5">
      <w:pPr>
        <w:spacing w:before="240" w:after="240"/>
      </w:pPr>
      <w:r>
        <w:t xml:space="preserve">Priday, R. (2018). </w:t>
      </w:r>
      <w:r>
        <w:rPr>
          <w:i/>
        </w:rPr>
        <w:t>The inside story of the great KFC chicken shortage of 2018</w:t>
      </w:r>
      <w:r>
        <w:t>. [online] Wired. Available at: https://www.wired.com/story/kfc-chicken-crisis-shortage-supply-chain-logistics-experts/ [Accessed 6 Jul. 2024].</w:t>
      </w:r>
    </w:p>
    <w:p w:rsidR="00631B34" w:rsidRDefault="00004D48" w:rsidP="00E50ED5">
      <w:pPr>
        <w:spacing w:before="240" w:after="240"/>
      </w:pPr>
      <w:r>
        <w:t xml:space="preserve">Singh, A. and Corsun, D.L. (2023). Price elasticity of demand and its impact on hotel revenue performance during the COVID-19 pandemic. </w:t>
      </w:r>
      <w:r>
        <w:rPr>
          <w:i/>
        </w:rPr>
        <w:t>Cornell Hospitality Quarterly</w:t>
      </w:r>
      <w:r>
        <w:t xml:space="preserve">, [online] 64(4), pp.415–435. </w:t>
      </w:r>
      <w:proofErr w:type="gramStart"/>
      <w:r>
        <w:t>doi:https://doi.org/10.1177/19389655231184475</w:t>
      </w:r>
      <w:proofErr w:type="gramEnd"/>
      <w:r>
        <w:t>.</w:t>
      </w:r>
    </w:p>
    <w:p w:rsidR="00631B34" w:rsidRDefault="00004D48" w:rsidP="00E50ED5">
      <w:pPr>
        <w:spacing w:before="240" w:after="240"/>
      </w:pPr>
      <w:r>
        <w:t xml:space="preserve">Singh, G., Kashyap, S., Tomar, K.S. and Garg, V. (2019). A Study of Business Performance Management in Special Reference to Automobile Industry. </w:t>
      </w:r>
      <w:r>
        <w:rPr>
          <w:i/>
        </w:rPr>
        <w:t>Data Management, Analytics and Innovation</w:t>
      </w:r>
      <w:r>
        <w:t xml:space="preserve">, [online] pp.69–92. </w:t>
      </w:r>
      <w:proofErr w:type="gramStart"/>
      <w:r>
        <w:t>doi:https://doi.org/10.1007/978-981-32-9949-8_6</w:t>
      </w:r>
      <w:proofErr w:type="gramEnd"/>
      <w:r>
        <w:t>.</w:t>
      </w:r>
    </w:p>
    <w:p w:rsidR="00631B34" w:rsidRDefault="00004D48" w:rsidP="00E50ED5">
      <w:pPr>
        <w:spacing w:before="240" w:after="240"/>
      </w:pPr>
      <w:r>
        <w:lastRenderedPageBreak/>
        <w:t xml:space="preserve">Statista.com (2021). </w:t>
      </w:r>
      <w:r>
        <w:rPr>
          <w:i/>
        </w:rPr>
        <w:t>KFC: brand value worldwide 2010-2019</w:t>
      </w:r>
      <w:r>
        <w:t>. [online] Statista. Available at: https://www.statista.com/statistics/1033385/kfc-brand-value-worldwide/ [Accessed 6 Jul. 2024].</w:t>
      </w:r>
    </w:p>
    <w:p w:rsidR="00631B34" w:rsidRDefault="00004D48" w:rsidP="00E50ED5">
      <w:pPr>
        <w:spacing w:before="240" w:after="240"/>
      </w:pPr>
      <w:r>
        <w:t xml:space="preserve">Statista.com (2024). </w:t>
      </w:r>
      <w:r>
        <w:rPr>
          <w:i/>
        </w:rPr>
        <w:t>ACSI: KFC restaurants US 2024</w:t>
      </w:r>
      <w:r>
        <w:t>. [online] Statista. Available at: https://www.statista.com/statistics/216698/kentucky-fried-chicken-customer-satisfaction-in-the-us/ [Accessed 6 Jul. 2024].</w:t>
      </w:r>
    </w:p>
    <w:p w:rsidR="00631B34" w:rsidRDefault="00004D48" w:rsidP="00E50ED5">
      <w:pPr>
        <w:spacing w:before="240" w:after="240"/>
      </w:pPr>
      <w:r>
        <w:t xml:space="preserve">Tenni, B., Moir, H.V.J., Townsend, B., Kilic, B., Farrell, A.-M., </w:t>
      </w:r>
      <w:proofErr w:type="spellStart"/>
      <w:r>
        <w:t>Keegel</w:t>
      </w:r>
      <w:proofErr w:type="spellEnd"/>
      <w:r>
        <w:t xml:space="preserve">, T. and Gleeson, D. (2022). What is the impact of intellectual property rules on access to medicines? A systematic review. </w:t>
      </w:r>
      <w:r>
        <w:rPr>
          <w:i/>
        </w:rPr>
        <w:t>Globalization and Health</w:t>
      </w:r>
      <w:r>
        <w:t xml:space="preserve">, [online] 18(1). </w:t>
      </w:r>
      <w:proofErr w:type="gramStart"/>
      <w:r>
        <w:t>doi:https://doi.org/10.1186/s12992-022-00826-4</w:t>
      </w:r>
      <w:proofErr w:type="gramEnd"/>
      <w:r>
        <w:t>.</w:t>
      </w:r>
    </w:p>
    <w:p w:rsidR="00631B34" w:rsidRDefault="00004D48" w:rsidP="00E50ED5">
      <w:pPr>
        <w:spacing w:before="240" w:after="240"/>
      </w:pPr>
      <w:r>
        <w:t xml:space="preserve">Thehindu.com (2024). Food safety license for KFC outlet in </w:t>
      </w:r>
      <w:proofErr w:type="spellStart"/>
      <w:r>
        <w:t>Thoothukudi</w:t>
      </w:r>
      <w:proofErr w:type="spellEnd"/>
      <w:r>
        <w:t xml:space="preserve"> revoked for use of synthetic additive. </w:t>
      </w:r>
      <w:r>
        <w:rPr>
          <w:i/>
        </w:rPr>
        <w:t>The Hindu</w:t>
      </w:r>
      <w:r>
        <w:t>. [online] 5 Jul. Available at: https://www.thehindu.com/news/national/tamil-nadu/food-safety-license-for-kfc-outlet-in-thoothukudi-revoked-for-use-of-synthetic-additive/article68368375.ece [Accessed 6 Jul. 2024].</w:t>
      </w:r>
    </w:p>
    <w:p w:rsidR="00631B34" w:rsidRDefault="00004D48" w:rsidP="00E50ED5">
      <w:pPr>
        <w:spacing w:before="240" w:after="240"/>
      </w:pPr>
      <w:r>
        <w:t xml:space="preserve">Zhu, K. (2023). A Comparison Between Strategy at </w:t>
      </w:r>
      <w:proofErr w:type="spellStart"/>
      <w:r>
        <w:t>Mcdonald’S</w:t>
      </w:r>
      <w:proofErr w:type="spellEnd"/>
      <w:r>
        <w:t xml:space="preserve"> and Burger King. </w:t>
      </w:r>
      <w:r>
        <w:rPr>
          <w:i/>
        </w:rPr>
        <w:t>Highlights in Business Economics and Management</w:t>
      </w:r>
      <w:r>
        <w:t xml:space="preserve">, [online] 23, pp.431–437. </w:t>
      </w:r>
      <w:proofErr w:type="gramStart"/>
      <w:r>
        <w:t>doi:https://doi.org/10.54097/wc9a4375</w:t>
      </w:r>
      <w:proofErr w:type="gramEnd"/>
      <w:r>
        <w:t>.</w:t>
      </w:r>
    </w:p>
    <w:p w:rsidR="00631B34" w:rsidRDefault="00004D48" w:rsidP="00E50ED5">
      <w:pPr>
        <w:spacing w:before="240" w:after="240"/>
      </w:pPr>
      <w:r>
        <w:t xml:space="preserve">Zionmarketresearch.com/ (2022). </w:t>
      </w:r>
      <w:r>
        <w:rPr>
          <w:i/>
        </w:rPr>
        <w:t>Fast Food Market Size, Share, Trends, Growth Rate by 2030</w:t>
      </w:r>
      <w:r>
        <w:t>. [online] Zion Market Research. Available at: https://www.zionmarketresearch.com/report/fast-food-market#:~:text=Market%20Industry%20Perspective%3A- [Accessed 6 Jul. 2024].</w:t>
      </w:r>
    </w:p>
    <w:sectPr w:rsidR="00631B34" w:rsidSect="00CB5B2F">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A0270" w:rsidRDefault="00FA0270" w:rsidP="00803DA9">
      <w:pPr>
        <w:spacing w:line="240" w:lineRule="auto"/>
      </w:pPr>
      <w:r>
        <w:separator/>
      </w:r>
    </w:p>
  </w:endnote>
  <w:endnote w:type="continuationSeparator" w:id="0">
    <w:p w:rsidR="00FA0270" w:rsidRDefault="00FA0270" w:rsidP="00803D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4703783"/>
      <w:docPartObj>
        <w:docPartGallery w:val="Page Numbers (Bottom of Page)"/>
        <w:docPartUnique/>
      </w:docPartObj>
    </w:sdtPr>
    <w:sdtEndPr>
      <w:rPr>
        <w:color w:val="7F7F7F" w:themeColor="background1" w:themeShade="7F"/>
        <w:spacing w:val="60"/>
      </w:rPr>
    </w:sdtEndPr>
    <w:sdtContent>
      <w:p w:rsidR="00803DA9" w:rsidRDefault="00803DA9" w:rsidP="00803DA9">
        <w:pPr>
          <w:pStyle w:val="Footer"/>
          <w:pBdr>
            <w:top w:val="single" w:sz="4" w:space="1" w:color="D9D9D9" w:themeColor="background1" w:themeShade="D9"/>
          </w:pBdr>
          <w:jc w:val="right"/>
        </w:pPr>
        <w:r w:rsidRPr="00803DA9">
          <w:rPr>
            <w:sz w:val="20"/>
          </w:rPr>
          <w:fldChar w:fldCharType="begin"/>
        </w:r>
        <w:r w:rsidRPr="00803DA9">
          <w:rPr>
            <w:sz w:val="20"/>
          </w:rPr>
          <w:instrText xml:space="preserve"> PAGE   \* MERGEFORMAT </w:instrText>
        </w:r>
        <w:r w:rsidRPr="00803DA9">
          <w:rPr>
            <w:sz w:val="20"/>
          </w:rPr>
          <w:fldChar w:fldCharType="separate"/>
        </w:r>
        <w:r w:rsidRPr="00803DA9">
          <w:rPr>
            <w:noProof/>
            <w:sz w:val="20"/>
          </w:rPr>
          <w:t>2</w:t>
        </w:r>
        <w:r w:rsidRPr="00803DA9">
          <w:rPr>
            <w:noProof/>
            <w:sz w:val="20"/>
          </w:rPr>
          <w:fldChar w:fldCharType="end"/>
        </w:r>
        <w:r w:rsidRPr="00803DA9">
          <w:rPr>
            <w:sz w:val="20"/>
          </w:rPr>
          <w:t xml:space="preserve"> | </w:t>
        </w:r>
        <w:r w:rsidRPr="00803DA9">
          <w:rPr>
            <w:color w:val="7F7F7F" w:themeColor="background1" w:themeShade="7F"/>
            <w:spacing w:val="60"/>
            <w:sz w:val="20"/>
          </w:rPr>
          <w:t>Page</w:t>
        </w:r>
      </w:p>
    </w:sdtContent>
  </w:sdt>
  <w:p w:rsidR="00803DA9" w:rsidRDefault="00803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A0270" w:rsidRDefault="00FA0270" w:rsidP="00803DA9">
      <w:pPr>
        <w:spacing w:line="240" w:lineRule="auto"/>
      </w:pPr>
      <w:r>
        <w:separator/>
      </w:r>
    </w:p>
  </w:footnote>
  <w:footnote w:type="continuationSeparator" w:id="0">
    <w:p w:rsidR="00FA0270" w:rsidRDefault="00FA0270" w:rsidP="00803D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B34"/>
    <w:rsid w:val="00004D48"/>
    <w:rsid w:val="000535D9"/>
    <w:rsid w:val="001416F1"/>
    <w:rsid w:val="001A23E5"/>
    <w:rsid w:val="001D367F"/>
    <w:rsid w:val="00221F70"/>
    <w:rsid w:val="00240C5C"/>
    <w:rsid w:val="004C417B"/>
    <w:rsid w:val="00505C66"/>
    <w:rsid w:val="00631B34"/>
    <w:rsid w:val="0075303C"/>
    <w:rsid w:val="007B79B9"/>
    <w:rsid w:val="00803DA9"/>
    <w:rsid w:val="008728B1"/>
    <w:rsid w:val="009B0BE2"/>
    <w:rsid w:val="00A007FA"/>
    <w:rsid w:val="00B72753"/>
    <w:rsid w:val="00BB1F38"/>
    <w:rsid w:val="00C30961"/>
    <w:rsid w:val="00CB5B2F"/>
    <w:rsid w:val="00E50ED5"/>
    <w:rsid w:val="00EA0704"/>
    <w:rsid w:val="00EA3F44"/>
    <w:rsid w:val="00FA0270"/>
    <w:rsid w:val="00FD6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D16C7"/>
  <w15:docId w15:val="{BF0199C1-BEB7-46DD-B95A-B43270172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03DA9"/>
    <w:pPr>
      <w:tabs>
        <w:tab w:val="center" w:pos="4513"/>
        <w:tab w:val="right" w:pos="9026"/>
      </w:tabs>
      <w:spacing w:line="240" w:lineRule="auto"/>
    </w:pPr>
  </w:style>
  <w:style w:type="character" w:customStyle="1" w:styleId="HeaderChar">
    <w:name w:val="Header Char"/>
    <w:basedOn w:val="DefaultParagraphFont"/>
    <w:link w:val="Header"/>
    <w:uiPriority w:val="99"/>
    <w:rsid w:val="00803DA9"/>
  </w:style>
  <w:style w:type="paragraph" w:styleId="Footer">
    <w:name w:val="footer"/>
    <w:basedOn w:val="Normal"/>
    <w:link w:val="FooterChar"/>
    <w:uiPriority w:val="99"/>
    <w:unhideWhenUsed/>
    <w:rsid w:val="00803DA9"/>
    <w:pPr>
      <w:tabs>
        <w:tab w:val="center" w:pos="4513"/>
        <w:tab w:val="right" w:pos="9026"/>
      </w:tabs>
      <w:spacing w:line="240" w:lineRule="auto"/>
    </w:pPr>
  </w:style>
  <w:style w:type="character" w:customStyle="1" w:styleId="FooterChar">
    <w:name w:val="Footer Char"/>
    <w:basedOn w:val="DefaultParagraphFont"/>
    <w:link w:val="Footer"/>
    <w:uiPriority w:val="99"/>
    <w:rsid w:val="00803DA9"/>
  </w:style>
  <w:style w:type="paragraph" w:styleId="TOCHeading">
    <w:name w:val="TOC Heading"/>
    <w:basedOn w:val="Heading1"/>
    <w:next w:val="Normal"/>
    <w:uiPriority w:val="39"/>
    <w:unhideWhenUsed/>
    <w:qFormat/>
    <w:rsid w:val="00E50ED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50ED5"/>
    <w:pPr>
      <w:spacing w:after="100"/>
    </w:pPr>
  </w:style>
  <w:style w:type="paragraph" w:styleId="TOC2">
    <w:name w:val="toc 2"/>
    <w:basedOn w:val="Normal"/>
    <w:next w:val="Normal"/>
    <w:autoRedefine/>
    <w:uiPriority w:val="39"/>
    <w:unhideWhenUsed/>
    <w:rsid w:val="00E50ED5"/>
    <w:pPr>
      <w:spacing w:after="100"/>
      <w:ind w:left="240"/>
    </w:pPr>
  </w:style>
  <w:style w:type="character" w:styleId="Hyperlink">
    <w:name w:val="Hyperlink"/>
    <w:basedOn w:val="DefaultParagraphFont"/>
    <w:uiPriority w:val="99"/>
    <w:unhideWhenUsed/>
    <w:rsid w:val="00E50E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23B62-A149-4433-9AB4-B0919A858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31</Pages>
  <Words>7100</Words>
  <Characters>40472</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MARSOOK KOTTADAN</dc:creator>
  <cp:lastModifiedBy>MARSOOK KOTTADAN</cp:lastModifiedBy>
  <cp:revision>6</cp:revision>
  <dcterms:created xsi:type="dcterms:W3CDTF">2024-07-14T21:54:00Z</dcterms:created>
  <dcterms:modified xsi:type="dcterms:W3CDTF">2024-07-14T22:09:00Z</dcterms:modified>
</cp:coreProperties>
</file>