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A5990"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Arial"/>
          <w:noProof/>
          <w:kern w:val="2"/>
          <w:lang w:val="en-GB"/>
          <w14:ligatures w14:val="standardContextual"/>
        </w:rPr>
        <w:drawing>
          <wp:inline distT="0" distB="0" distL="0" distR="0" wp14:anchorId="014D06A2" wp14:editId="03041932">
            <wp:extent cx="2849880" cy="1165860"/>
            <wp:effectExtent l="0" t="0" r="7620" b="0"/>
            <wp:docPr id="79203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2D9AB2F8" w14:textId="77777777" w:rsidR="000C307D" w:rsidRPr="000C307D" w:rsidRDefault="000C307D" w:rsidP="000C307D">
      <w:pPr>
        <w:spacing w:after="80" w:line="240" w:lineRule="auto"/>
        <w:contextualSpacing/>
        <w:jc w:val="center"/>
        <w:rPr>
          <w:rFonts w:eastAsia="Times New Roman" w:cs="Times New Roman"/>
          <w:b/>
          <w:spacing w:val="-10"/>
          <w:kern w:val="28"/>
          <w:sz w:val="44"/>
          <w:szCs w:val="56"/>
          <w:lang w:val="en-GB"/>
          <w14:ligatures w14:val="standardContextual"/>
        </w:rPr>
      </w:pPr>
      <w:r w:rsidRPr="000C307D">
        <w:rPr>
          <w:rFonts w:eastAsia="Times New Roman" w:cs="Times New Roman"/>
          <w:b/>
          <w:spacing w:val="-10"/>
          <w:kern w:val="28"/>
          <w:sz w:val="44"/>
          <w:szCs w:val="56"/>
          <w:lang w:val="en-GB"/>
          <w14:ligatures w14:val="standardContextual"/>
        </w:rPr>
        <w:t>The Influence of Anime–Fashion Collaborations on Consumer Engagement and Purchase Intention Among UK Generation Z Consumers</w:t>
      </w:r>
    </w:p>
    <w:p w14:paraId="22D09CC7" w14:textId="7D423A69"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b/>
          <w:bCs/>
          <w:kern w:val="2"/>
          <w:lang w:val="en-GB"/>
          <w14:ligatures w14:val="standardContextual"/>
        </w:rPr>
        <w:t xml:space="preserve">A Dissertation Submitted in Partial Fulfilment of the Requirements for the Award of the Degree of </w:t>
      </w:r>
      <w:r w:rsidR="00171888">
        <w:rPr>
          <w:rFonts w:eastAsia="Aptos" w:cs="Times New Roman"/>
          <w:b/>
          <w:bCs/>
          <w:kern w:val="2"/>
          <w14:ligatures w14:val="standardContextual"/>
        </w:rPr>
        <w:t>MBA in International Business</w:t>
      </w:r>
    </w:p>
    <w:p w14:paraId="381B391D" w14:textId="77777777" w:rsidR="000C307D" w:rsidRPr="000C307D" w:rsidRDefault="000C307D" w:rsidP="000C307D">
      <w:pPr>
        <w:spacing w:after="160"/>
        <w:jc w:val="center"/>
        <w:rPr>
          <w:rFonts w:eastAsia="Aptos" w:cs="Times New Roman"/>
          <w:b/>
          <w:bCs/>
          <w:kern w:val="2"/>
          <w:lang w:val="en-GB"/>
          <w14:ligatures w14:val="standardContextual"/>
        </w:rPr>
      </w:pPr>
      <w:r w:rsidRPr="000C307D">
        <w:rPr>
          <w:rFonts w:eastAsia="Aptos" w:cs="Times New Roman"/>
          <w:b/>
          <w:bCs/>
          <w:kern w:val="2"/>
          <w:lang w:val="en-GB"/>
          <w14:ligatures w14:val="standardContextual"/>
        </w:rPr>
        <w:t>University:</w:t>
      </w:r>
    </w:p>
    <w:p w14:paraId="076AD791"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kern w:val="2"/>
          <w:lang w:val="en-GB"/>
          <w14:ligatures w14:val="standardContextual"/>
        </w:rPr>
        <w:t>University of Wales Trinity Saint David (London Campus)</w:t>
      </w:r>
    </w:p>
    <w:p w14:paraId="28DC9AD6"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b/>
          <w:bCs/>
          <w:kern w:val="2"/>
          <w:lang w:val="en-GB"/>
          <w14:ligatures w14:val="standardContextual"/>
        </w:rPr>
        <w:t>Programme:</w:t>
      </w:r>
      <w:r w:rsidRPr="000C307D">
        <w:rPr>
          <w:rFonts w:eastAsia="Aptos" w:cs="Times New Roman"/>
          <w:kern w:val="2"/>
          <w:lang w:val="en-GB"/>
          <w14:ligatures w14:val="standardContextual"/>
        </w:rPr>
        <w:br/>
        <w:t>MBA in International Business</w:t>
      </w:r>
    </w:p>
    <w:p w14:paraId="322CD052"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b/>
          <w:bCs/>
          <w:kern w:val="2"/>
          <w:lang w:val="en-GB"/>
          <w14:ligatures w14:val="standardContextual"/>
        </w:rPr>
        <w:t>Course/Module:</w:t>
      </w:r>
      <w:r w:rsidRPr="000C307D">
        <w:rPr>
          <w:rFonts w:eastAsia="Aptos" w:cs="Times New Roman"/>
          <w:kern w:val="2"/>
          <w:lang w:val="en-GB"/>
          <w14:ligatures w14:val="standardContextual"/>
        </w:rPr>
        <w:br/>
        <w:t>LCMB7035 – Dissertation</w:t>
      </w:r>
    </w:p>
    <w:p w14:paraId="7C40A5B0" w14:textId="3E734544"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b/>
          <w:bCs/>
          <w:kern w:val="2"/>
          <w:lang w:val="en-GB"/>
          <w14:ligatures w14:val="standardContextual"/>
        </w:rPr>
        <w:t>Student Name</w:t>
      </w:r>
      <w:r w:rsidR="00650F84">
        <w:rPr>
          <w:rFonts w:eastAsia="Aptos" w:cs="Times New Roman"/>
          <w:b/>
          <w:bCs/>
          <w:kern w:val="2"/>
          <w:lang w:val="en-GB"/>
          <w14:ligatures w14:val="standardContextual"/>
        </w:rPr>
        <w:t>:</w:t>
      </w:r>
      <w:r w:rsidRPr="000C307D">
        <w:rPr>
          <w:rFonts w:eastAsia="Aptos" w:cs="Times New Roman"/>
          <w:kern w:val="2"/>
          <w:lang w:val="en-GB"/>
          <w14:ligatures w14:val="standardContextual"/>
        </w:rPr>
        <w:br/>
      </w:r>
      <w:r w:rsidRPr="000C307D">
        <w:rPr>
          <w:rFonts w:eastAsia="Aptos" w:cs="Times New Roman"/>
          <w:i/>
          <w:iCs/>
          <w:kern w:val="2"/>
          <w:lang w:val="en-GB"/>
          <w14:ligatures w14:val="standardContextual"/>
        </w:rPr>
        <w:t>Hasibur Rahman</w:t>
      </w:r>
    </w:p>
    <w:p w14:paraId="57215137" w14:textId="74E1281F" w:rsidR="000C307D" w:rsidRPr="000C307D" w:rsidRDefault="000C307D" w:rsidP="000C307D">
      <w:pPr>
        <w:spacing w:after="160"/>
        <w:jc w:val="center"/>
        <w:rPr>
          <w:rFonts w:eastAsia="Aptos" w:cs="Times New Roman"/>
          <w:b/>
          <w:bCs/>
          <w:kern w:val="2"/>
          <w:lang w:val="en-GB"/>
          <w14:ligatures w14:val="standardContextual"/>
        </w:rPr>
      </w:pPr>
      <w:r w:rsidRPr="000C307D">
        <w:rPr>
          <w:rFonts w:eastAsia="Aptos" w:cs="Times New Roman"/>
          <w:b/>
          <w:bCs/>
          <w:kern w:val="2"/>
          <w:lang w:val="en-GB"/>
          <w14:ligatures w14:val="standardContextual"/>
        </w:rPr>
        <w:t>Student ID</w:t>
      </w:r>
      <w:r w:rsidR="005A34C4">
        <w:rPr>
          <w:rFonts w:eastAsia="Aptos" w:cs="Times New Roman"/>
          <w:b/>
          <w:bCs/>
          <w:kern w:val="2"/>
          <w:lang w:val="en-GB"/>
          <w14:ligatures w14:val="standardContextual"/>
        </w:rPr>
        <w:t>:</w:t>
      </w:r>
    </w:p>
    <w:p w14:paraId="3435839F" w14:textId="77777777" w:rsidR="000C307D" w:rsidRDefault="000C307D" w:rsidP="000C307D">
      <w:pPr>
        <w:spacing w:after="160"/>
        <w:jc w:val="center"/>
        <w:rPr>
          <w:rFonts w:eastAsia="Aptos" w:cs="Times New Roman"/>
          <w:b/>
          <w:bCs/>
          <w:kern w:val="2"/>
          <w:lang w:val="en-GB"/>
          <w14:ligatures w14:val="standardContextual"/>
        </w:rPr>
      </w:pPr>
      <w:r w:rsidRPr="000C307D">
        <w:rPr>
          <w:rFonts w:eastAsia="Aptos" w:cs="Times New Roman"/>
          <w:b/>
          <w:bCs/>
          <w:kern w:val="2"/>
          <w:lang w:val="en-GB"/>
          <w14:ligatures w14:val="standardContextual"/>
        </w:rPr>
        <w:t>2436834</w:t>
      </w:r>
    </w:p>
    <w:p w14:paraId="61351B79" w14:textId="7CCD20A6" w:rsidR="00650F84" w:rsidRDefault="00650F84" w:rsidP="000C307D">
      <w:pPr>
        <w:spacing w:after="160"/>
        <w:jc w:val="center"/>
        <w:rPr>
          <w:rFonts w:eastAsia="Aptos" w:cs="Times New Roman"/>
          <w:b/>
          <w:bCs/>
          <w:kern w:val="2"/>
          <w:lang w:val="en-GB"/>
          <w14:ligatures w14:val="standardContextual"/>
        </w:rPr>
      </w:pPr>
      <w:r>
        <w:rPr>
          <w:rFonts w:eastAsia="Aptos" w:cs="Times New Roman"/>
          <w:b/>
          <w:bCs/>
          <w:kern w:val="2"/>
          <w:lang w:val="en-GB"/>
          <w14:ligatures w14:val="standardContextual"/>
        </w:rPr>
        <w:t>Word Count</w:t>
      </w:r>
      <w:r w:rsidR="005A34C4">
        <w:rPr>
          <w:rFonts w:eastAsia="Aptos" w:cs="Times New Roman"/>
          <w:b/>
          <w:bCs/>
          <w:kern w:val="2"/>
          <w:lang w:val="en-GB"/>
          <w14:ligatures w14:val="standardContextual"/>
        </w:rPr>
        <w:t>:</w:t>
      </w:r>
    </w:p>
    <w:p w14:paraId="42925E17" w14:textId="61FCE893" w:rsidR="00650F84" w:rsidRPr="000C307D" w:rsidRDefault="00650F84" w:rsidP="000C307D">
      <w:pPr>
        <w:spacing w:after="160"/>
        <w:jc w:val="center"/>
        <w:rPr>
          <w:rFonts w:eastAsia="Aptos" w:cs="Times New Roman"/>
          <w:kern w:val="2"/>
          <w:lang w:val="en-GB"/>
          <w14:ligatures w14:val="standardContextual"/>
        </w:rPr>
      </w:pPr>
      <w:r>
        <w:rPr>
          <w:rFonts w:eastAsia="Aptos" w:cs="Times New Roman"/>
          <w:b/>
          <w:bCs/>
          <w:kern w:val="2"/>
          <w:lang w:val="en-GB"/>
          <w14:ligatures w14:val="standardContextual"/>
        </w:rPr>
        <w:t>15006</w:t>
      </w:r>
    </w:p>
    <w:p w14:paraId="04074009" w14:textId="77777777" w:rsidR="000C307D" w:rsidRPr="000C307D" w:rsidRDefault="000C307D" w:rsidP="000C307D">
      <w:pPr>
        <w:spacing w:after="160"/>
        <w:rPr>
          <w:rFonts w:eastAsia="Aptos" w:cs="Times New Roman"/>
          <w:kern w:val="2"/>
          <w:lang w:val="en-GB"/>
          <w14:ligatures w14:val="standardContextual"/>
        </w:rPr>
      </w:pPr>
    </w:p>
    <w:p w14:paraId="25304182" w14:textId="77777777" w:rsidR="000C307D" w:rsidRPr="000C307D" w:rsidRDefault="000C307D" w:rsidP="000C307D">
      <w:pPr>
        <w:spacing w:after="160"/>
        <w:rPr>
          <w:rFonts w:eastAsia="Aptos" w:cs="Times New Roman"/>
          <w:kern w:val="2"/>
          <w:lang w:val="en-GB"/>
          <w14:ligatures w14:val="standardContextual"/>
        </w:rPr>
      </w:pPr>
    </w:p>
    <w:p w14:paraId="474DE075" w14:textId="77777777" w:rsidR="000C307D" w:rsidRPr="000C307D" w:rsidRDefault="000C307D" w:rsidP="000C307D">
      <w:pPr>
        <w:spacing w:after="160"/>
        <w:rPr>
          <w:rFonts w:eastAsia="Aptos" w:cs="Times New Roman"/>
          <w:kern w:val="2"/>
          <w:lang w:val="en-GB"/>
          <w14:ligatures w14:val="standardContextual"/>
        </w:rPr>
      </w:pPr>
    </w:p>
    <w:p w14:paraId="11A8C63E" w14:textId="77777777" w:rsidR="000C307D" w:rsidRPr="000C307D" w:rsidRDefault="000C307D" w:rsidP="000C307D">
      <w:pPr>
        <w:spacing w:after="160"/>
        <w:rPr>
          <w:rFonts w:eastAsia="Aptos" w:cs="Times New Roman"/>
          <w:kern w:val="2"/>
          <w:lang w:val="en-GB"/>
          <w14:ligatures w14:val="standardContextual"/>
        </w:rPr>
      </w:pPr>
    </w:p>
    <w:p w14:paraId="12C9F4EB" w14:textId="77777777" w:rsidR="000C307D" w:rsidRPr="000C307D" w:rsidRDefault="000C307D" w:rsidP="000C307D">
      <w:pPr>
        <w:spacing w:after="160"/>
        <w:rPr>
          <w:rFonts w:eastAsia="Aptos" w:cs="Times New Roman"/>
          <w:b/>
          <w:bCs/>
          <w:kern w:val="2"/>
          <w:sz w:val="32"/>
          <w:szCs w:val="28"/>
          <w:lang w:val="en-GB"/>
          <w14:ligatures w14:val="standardContextual"/>
        </w:rPr>
      </w:pPr>
      <w:r w:rsidRPr="000C307D">
        <w:rPr>
          <w:rFonts w:eastAsia="Aptos" w:cs="Times New Roman"/>
          <w:b/>
          <w:bCs/>
          <w:kern w:val="2"/>
          <w:sz w:val="32"/>
          <w:szCs w:val="28"/>
          <w:lang w:val="en-GB"/>
          <w14:ligatures w14:val="standardContextual"/>
        </w:rPr>
        <w:t>Declaration</w:t>
      </w:r>
    </w:p>
    <w:p w14:paraId="68C59E4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I, Hasibur Rahman,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05611D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 </w:t>
      </w:r>
    </w:p>
    <w:p w14:paraId="00F81FB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Signature: HASIBUR RAHMAN</w:t>
      </w:r>
    </w:p>
    <w:p w14:paraId="49E6179C" w14:textId="6AD37D66"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Date:         </w:t>
      </w:r>
      <w:r w:rsidR="005A34C4">
        <w:rPr>
          <w:rFonts w:eastAsia="Aptos" w:cs="Times New Roman"/>
          <w:kern w:val="2"/>
          <w:lang w:val="en-GB"/>
          <w14:ligatures w14:val="standardContextual"/>
        </w:rPr>
        <w:t>24</w:t>
      </w:r>
      <w:r w:rsidR="005A34C4" w:rsidRPr="005A34C4">
        <w:rPr>
          <w:rFonts w:eastAsia="Aptos" w:cs="Times New Roman"/>
          <w:kern w:val="2"/>
          <w:vertAlign w:val="superscript"/>
          <w:lang w:val="en-GB"/>
          <w14:ligatures w14:val="standardContextual"/>
        </w:rPr>
        <w:t>th</w:t>
      </w:r>
      <w:r w:rsidR="005A34C4">
        <w:rPr>
          <w:rFonts w:eastAsia="Aptos" w:cs="Times New Roman"/>
          <w:kern w:val="2"/>
          <w:lang w:val="en-GB"/>
          <w14:ligatures w14:val="standardContextual"/>
        </w:rPr>
        <w:t xml:space="preserve"> of </w:t>
      </w:r>
      <w:r w:rsidR="00BE2371">
        <w:rPr>
          <w:rFonts w:eastAsia="Aptos" w:cs="Times New Roman"/>
          <w:kern w:val="2"/>
          <w:lang w:val="en-GB"/>
          <w14:ligatures w14:val="standardContextual"/>
        </w:rPr>
        <w:t>September</w:t>
      </w:r>
    </w:p>
    <w:p w14:paraId="1B24993F" w14:textId="77777777" w:rsidR="000C307D" w:rsidRPr="000C307D" w:rsidRDefault="000C307D" w:rsidP="000C307D">
      <w:pPr>
        <w:spacing w:after="160"/>
        <w:rPr>
          <w:rFonts w:eastAsia="Aptos" w:cs="Times New Roman"/>
          <w:kern w:val="2"/>
          <w:lang w:val="en-GB"/>
          <w14:ligatures w14:val="standardContextual"/>
        </w:rPr>
      </w:pPr>
    </w:p>
    <w:p w14:paraId="6617CF50" w14:textId="77777777" w:rsidR="000C307D" w:rsidRPr="000C307D" w:rsidRDefault="000C307D" w:rsidP="000C307D">
      <w:pPr>
        <w:spacing w:after="160"/>
        <w:rPr>
          <w:rFonts w:eastAsia="Aptos" w:cs="Times New Roman"/>
          <w:kern w:val="2"/>
          <w:lang w:val="en-GB"/>
          <w14:ligatures w14:val="standardContextual"/>
        </w:rPr>
      </w:pPr>
    </w:p>
    <w:p w14:paraId="3A793091" w14:textId="77777777" w:rsidR="000C307D" w:rsidRPr="000C307D" w:rsidRDefault="000C307D" w:rsidP="000C307D">
      <w:pPr>
        <w:spacing w:after="160"/>
        <w:rPr>
          <w:rFonts w:eastAsia="Aptos" w:cs="Times New Roman"/>
          <w:kern w:val="2"/>
          <w:lang w:val="en-GB"/>
          <w14:ligatures w14:val="standardContextual"/>
        </w:rPr>
      </w:pPr>
    </w:p>
    <w:p w14:paraId="5648F1DB" w14:textId="77777777" w:rsidR="000C307D" w:rsidRPr="000C307D" w:rsidRDefault="000C307D" w:rsidP="000C307D">
      <w:pPr>
        <w:spacing w:after="160"/>
        <w:rPr>
          <w:rFonts w:eastAsia="Aptos" w:cs="Times New Roman"/>
          <w:kern w:val="2"/>
          <w:lang w:val="en-GB"/>
          <w14:ligatures w14:val="standardContextual"/>
        </w:rPr>
      </w:pPr>
    </w:p>
    <w:p w14:paraId="47734DD4" w14:textId="77777777" w:rsidR="000C307D" w:rsidRPr="000C307D" w:rsidRDefault="000C307D" w:rsidP="000C307D">
      <w:pPr>
        <w:spacing w:after="160"/>
        <w:rPr>
          <w:rFonts w:eastAsia="Aptos" w:cs="Times New Roman"/>
          <w:kern w:val="2"/>
          <w:lang w:val="en-GB"/>
          <w14:ligatures w14:val="standardContextual"/>
        </w:rPr>
      </w:pPr>
    </w:p>
    <w:p w14:paraId="2D7D8DBE" w14:textId="77777777" w:rsidR="000C307D" w:rsidRPr="000C307D" w:rsidRDefault="000C307D" w:rsidP="000C307D">
      <w:pPr>
        <w:spacing w:after="160"/>
        <w:rPr>
          <w:rFonts w:eastAsia="Aptos" w:cs="Times New Roman"/>
          <w:kern w:val="2"/>
          <w:lang w:val="en-GB"/>
          <w14:ligatures w14:val="standardContextual"/>
        </w:rPr>
      </w:pPr>
    </w:p>
    <w:p w14:paraId="44B36FB1" w14:textId="77777777" w:rsidR="000C307D" w:rsidRPr="000C307D" w:rsidRDefault="000C307D" w:rsidP="000C307D">
      <w:pPr>
        <w:spacing w:after="160"/>
        <w:rPr>
          <w:rFonts w:eastAsia="Aptos" w:cs="Times New Roman"/>
          <w:kern w:val="2"/>
          <w:lang w:val="en-GB"/>
          <w14:ligatures w14:val="standardContextual"/>
        </w:rPr>
      </w:pPr>
    </w:p>
    <w:p w14:paraId="32D09F96" w14:textId="77777777" w:rsidR="000C307D" w:rsidRPr="000C307D" w:rsidRDefault="000C307D" w:rsidP="000C307D">
      <w:pPr>
        <w:spacing w:after="160"/>
        <w:rPr>
          <w:rFonts w:eastAsia="Aptos" w:cs="Times New Roman"/>
          <w:kern w:val="2"/>
          <w:lang w:val="en-GB"/>
          <w14:ligatures w14:val="standardContextual"/>
        </w:rPr>
      </w:pPr>
    </w:p>
    <w:p w14:paraId="0886FF82" w14:textId="77777777" w:rsidR="000C307D" w:rsidRPr="000C307D" w:rsidRDefault="000C307D" w:rsidP="000C307D">
      <w:pPr>
        <w:spacing w:after="160"/>
        <w:rPr>
          <w:rFonts w:eastAsia="Aptos" w:cs="Times New Roman"/>
          <w:kern w:val="2"/>
          <w:lang w:val="en-GB"/>
          <w14:ligatures w14:val="standardContextual"/>
        </w:rPr>
      </w:pPr>
    </w:p>
    <w:p w14:paraId="3E04D2AD" w14:textId="77777777" w:rsidR="000C307D" w:rsidRPr="000C307D" w:rsidRDefault="000C307D" w:rsidP="000C307D">
      <w:pPr>
        <w:spacing w:after="160"/>
        <w:rPr>
          <w:rFonts w:eastAsia="Aptos" w:cs="Times New Roman"/>
          <w:kern w:val="2"/>
          <w:lang w:val="en-GB"/>
          <w14:ligatures w14:val="standardContextual"/>
        </w:rPr>
      </w:pPr>
    </w:p>
    <w:p w14:paraId="5A131661" w14:textId="77777777" w:rsidR="000C307D" w:rsidRPr="000C307D" w:rsidRDefault="000C307D" w:rsidP="000C307D">
      <w:pPr>
        <w:spacing w:after="160"/>
        <w:rPr>
          <w:rFonts w:eastAsia="Aptos" w:cs="Times New Roman"/>
          <w:kern w:val="2"/>
          <w:lang w:val="en-GB"/>
          <w14:ligatures w14:val="standardContextual"/>
        </w:rPr>
      </w:pPr>
    </w:p>
    <w:p w14:paraId="294E77C8" w14:textId="77777777" w:rsidR="000C307D" w:rsidRPr="000C307D" w:rsidRDefault="000C307D" w:rsidP="000C307D">
      <w:pPr>
        <w:spacing w:after="160"/>
        <w:rPr>
          <w:rFonts w:eastAsia="Aptos" w:cs="Times New Roman"/>
          <w:kern w:val="2"/>
          <w:lang w:val="en-GB"/>
          <w14:ligatures w14:val="standardContextual"/>
        </w:rPr>
      </w:pPr>
    </w:p>
    <w:p w14:paraId="425606C0" w14:textId="77777777" w:rsidR="000C307D" w:rsidRPr="000C307D" w:rsidRDefault="000C307D" w:rsidP="000C307D">
      <w:pPr>
        <w:spacing w:after="160"/>
        <w:rPr>
          <w:rFonts w:eastAsia="Aptos" w:cs="Times New Roman"/>
          <w:kern w:val="2"/>
          <w:lang w:val="en-GB"/>
          <w14:ligatures w14:val="standardContextual"/>
        </w:rPr>
      </w:pPr>
    </w:p>
    <w:p w14:paraId="794DDE72" w14:textId="77777777" w:rsidR="000C307D" w:rsidRPr="000C307D" w:rsidRDefault="000C307D" w:rsidP="000C307D">
      <w:pPr>
        <w:spacing w:after="160"/>
        <w:rPr>
          <w:rFonts w:eastAsia="Aptos" w:cs="Times New Roman"/>
          <w:kern w:val="2"/>
          <w:lang w:val="en-GB"/>
          <w14:ligatures w14:val="standardContextual"/>
        </w:rPr>
      </w:pPr>
    </w:p>
    <w:p w14:paraId="3B5BAE6E" w14:textId="77777777" w:rsidR="000C307D" w:rsidRPr="000C307D" w:rsidRDefault="000C307D" w:rsidP="000C307D">
      <w:pPr>
        <w:spacing w:after="160"/>
        <w:rPr>
          <w:rFonts w:eastAsia="Aptos" w:cs="Times New Roman"/>
          <w:kern w:val="2"/>
          <w:lang w:val="en-GB"/>
          <w14:ligatures w14:val="standardContextual"/>
        </w:rPr>
      </w:pPr>
    </w:p>
    <w:p w14:paraId="473F84E8" w14:textId="77777777" w:rsidR="000C307D" w:rsidRPr="000C307D" w:rsidRDefault="000C307D" w:rsidP="000C307D">
      <w:pPr>
        <w:spacing w:after="160"/>
        <w:rPr>
          <w:rFonts w:eastAsia="Aptos" w:cs="Times New Roman"/>
          <w:b/>
          <w:bCs/>
          <w:kern w:val="2"/>
          <w:sz w:val="32"/>
          <w:szCs w:val="28"/>
          <w:lang w:val="en-GB"/>
          <w14:ligatures w14:val="standardContextual"/>
        </w:rPr>
      </w:pPr>
      <w:r w:rsidRPr="000C307D">
        <w:rPr>
          <w:rFonts w:eastAsia="Aptos" w:cs="Times New Roman"/>
          <w:b/>
          <w:bCs/>
          <w:kern w:val="2"/>
          <w:sz w:val="32"/>
          <w:szCs w:val="28"/>
          <w:lang w:val="en-GB"/>
          <w14:ligatures w14:val="standardContextual"/>
        </w:rPr>
        <w:t>AI Use Acknowledgement</w:t>
      </w:r>
    </w:p>
    <w:tbl>
      <w:tblPr>
        <w:tblStyle w:val="TableGrid6"/>
        <w:tblW w:w="9204" w:type="dxa"/>
        <w:tblInd w:w="5" w:type="dxa"/>
        <w:tblCellMar>
          <w:top w:w="5" w:type="dxa"/>
          <w:left w:w="108" w:type="dxa"/>
          <w:right w:w="66" w:type="dxa"/>
        </w:tblCellMar>
        <w:tblLook w:val="04A0" w:firstRow="1" w:lastRow="0" w:firstColumn="1" w:lastColumn="0" w:noHBand="0" w:noVBand="1"/>
      </w:tblPr>
      <w:tblGrid>
        <w:gridCol w:w="2122"/>
        <w:gridCol w:w="5529"/>
        <w:gridCol w:w="1553"/>
      </w:tblGrid>
      <w:tr w:rsidR="000C307D" w:rsidRPr="000C307D" w14:paraId="12CA65FD" w14:textId="77777777" w:rsidTr="000116AF">
        <w:trPr>
          <w:trHeight w:val="1526"/>
        </w:trPr>
        <w:tc>
          <w:tcPr>
            <w:tcW w:w="2122" w:type="dxa"/>
            <w:tcBorders>
              <w:top w:val="single" w:sz="4" w:space="0" w:color="000000"/>
              <w:left w:val="single" w:sz="4" w:space="0" w:color="000000"/>
              <w:bottom w:val="single" w:sz="4" w:space="0" w:color="000000"/>
              <w:right w:val="single" w:sz="4" w:space="0" w:color="000000"/>
            </w:tcBorders>
          </w:tcPr>
          <w:p w14:paraId="6ADA950A"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RESEARCH  </w:t>
            </w:r>
          </w:p>
        </w:tc>
        <w:tc>
          <w:tcPr>
            <w:tcW w:w="5529" w:type="dxa"/>
            <w:tcBorders>
              <w:top w:val="single" w:sz="4" w:space="0" w:color="000000"/>
              <w:left w:val="single" w:sz="4" w:space="0" w:color="000000"/>
              <w:bottom w:val="single" w:sz="4" w:space="0" w:color="000000"/>
              <w:right w:val="single" w:sz="4" w:space="0" w:color="000000"/>
            </w:tcBorders>
          </w:tcPr>
          <w:p w14:paraId="5E949BE3"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For this assessment, you can use Generative AI to support you in research, including searching for bibliography, using tools to summarise, compare and interrogate materials. </w:t>
            </w:r>
          </w:p>
        </w:tc>
        <w:tc>
          <w:tcPr>
            <w:tcW w:w="1553" w:type="dxa"/>
            <w:tcBorders>
              <w:top w:val="single" w:sz="4" w:space="0" w:color="000000"/>
              <w:left w:val="single" w:sz="4" w:space="0" w:color="000000"/>
              <w:bottom w:val="single" w:sz="4" w:space="0" w:color="000000"/>
              <w:right w:val="single" w:sz="4" w:space="0" w:color="000000"/>
            </w:tcBorders>
          </w:tcPr>
          <w:p w14:paraId="062D4C07" w14:textId="4E7EB3FB"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Yes </w:t>
            </w:r>
            <w:r w:rsidRPr="000C307D">
              <w:rPr>
                <w:rFonts w:ascii="Segoe UI Symbol" w:hAnsi="Segoe UI Symbol" w:cs="Segoe UI Symbol"/>
                <w:kern w:val="2"/>
                <w:szCs w:val="24"/>
                <w:lang w:val="en-GB"/>
                <w14:ligatures w14:val="standardContextual"/>
              </w:rPr>
              <w:t>☐</w:t>
            </w:r>
            <w:r w:rsidR="00BE2371">
              <w:rPr>
                <w:rFonts w:ascii="Segoe UI Symbol" w:hAnsi="Segoe UI Symbol" w:cs="Segoe UI Symbol"/>
                <w:kern w:val="2"/>
                <w:szCs w:val="24"/>
                <w:lang w:val="en-GB"/>
                <w14:ligatures w14:val="standardContextual"/>
              </w:rPr>
              <w:t xml:space="preserve"> </w:t>
            </w:r>
            <w:r w:rsidRPr="000C307D">
              <w:rPr>
                <w:rFonts w:cs="Times New Roman"/>
                <w:kern w:val="2"/>
                <w:szCs w:val="24"/>
                <w:lang w:val="en-GB"/>
                <w14:ligatures w14:val="standardContextual"/>
              </w:rPr>
              <w:t xml:space="preserve">No </w:t>
            </w:r>
            <w:r w:rsidRPr="000C307D">
              <w:rPr>
                <w:rFonts w:cs="Arial"/>
                <w:kern w:val="2"/>
                <w:szCs w:val="24"/>
                <w:lang w:val="en-GB"/>
                <w14:ligatures w14:val="standardContextual"/>
              </w:rPr>
              <w:t xml:space="preserve">√ </w:t>
            </w:r>
            <w:r w:rsidRPr="000C307D">
              <w:rPr>
                <w:rFonts w:cs="Times New Roman"/>
                <w:kern w:val="2"/>
                <w:szCs w:val="24"/>
                <w:lang w:val="en-GB"/>
                <w14:ligatures w14:val="standardContextual"/>
              </w:rPr>
              <w:t xml:space="preserve"> </w:t>
            </w:r>
          </w:p>
        </w:tc>
      </w:tr>
      <w:tr w:rsidR="000C307D" w:rsidRPr="000C307D" w14:paraId="4F451599" w14:textId="77777777" w:rsidTr="000116AF">
        <w:trPr>
          <w:trHeight w:val="1526"/>
        </w:trPr>
        <w:tc>
          <w:tcPr>
            <w:tcW w:w="2122" w:type="dxa"/>
            <w:tcBorders>
              <w:top w:val="single" w:sz="4" w:space="0" w:color="000000"/>
              <w:left w:val="single" w:sz="4" w:space="0" w:color="000000"/>
              <w:bottom w:val="single" w:sz="4" w:space="0" w:color="000000"/>
              <w:right w:val="single" w:sz="4" w:space="0" w:color="000000"/>
            </w:tcBorders>
          </w:tcPr>
          <w:p w14:paraId="79B74C49"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STRUCTURE  </w:t>
            </w:r>
          </w:p>
        </w:tc>
        <w:tc>
          <w:tcPr>
            <w:tcW w:w="5529" w:type="dxa"/>
            <w:tcBorders>
              <w:top w:val="single" w:sz="4" w:space="0" w:color="000000"/>
              <w:left w:val="single" w:sz="4" w:space="0" w:color="000000"/>
              <w:bottom w:val="single" w:sz="4" w:space="0" w:color="000000"/>
              <w:right w:val="single" w:sz="4" w:space="0" w:color="000000"/>
            </w:tcBorders>
          </w:tcPr>
          <w:p w14:paraId="07F68143"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For this assessment, you can use Generative AI to support you in structuring your submission, including creating a draft argument structure, identifying parts and headings, etc. </w:t>
            </w:r>
          </w:p>
        </w:tc>
        <w:tc>
          <w:tcPr>
            <w:tcW w:w="1553" w:type="dxa"/>
            <w:tcBorders>
              <w:top w:val="single" w:sz="4" w:space="0" w:color="000000"/>
              <w:left w:val="single" w:sz="4" w:space="0" w:color="000000"/>
              <w:bottom w:val="single" w:sz="4" w:space="0" w:color="000000"/>
              <w:right w:val="single" w:sz="4" w:space="0" w:color="000000"/>
            </w:tcBorders>
          </w:tcPr>
          <w:p w14:paraId="16C99AD2" w14:textId="6DCB7CD2"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Yes </w:t>
            </w:r>
            <w:r w:rsidRPr="000C307D">
              <w:rPr>
                <w:rFonts w:ascii="Segoe UI Symbol" w:hAnsi="Segoe UI Symbol" w:cs="Segoe UI Symbol"/>
                <w:kern w:val="2"/>
                <w:szCs w:val="24"/>
                <w:lang w:val="en-GB"/>
                <w14:ligatures w14:val="standardContextual"/>
              </w:rPr>
              <w:t>☐</w:t>
            </w:r>
            <w:r w:rsidR="00BE2371">
              <w:rPr>
                <w:rFonts w:ascii="Segoe UI Symbol" w:hAnsi="Segoe UI Symbol" w:cs="Segoe UI Symbol"/>
                <w:kern w:val="2"/>
                <w:szCs w:val="24"/>
                <w:lang w:val="en-GB"/>
                <w14:ligatures w14:val="standardContextual"/>
              </w:rPr>
              <w:t xml:space="preserve"> </w:t>
            </w:r>
            <w:r w:rsidRPr="000C307D">
              <w:rPr>
                <w:rFonts w:cs="Times New Roman"/>
                <w:kern w:val="2"/>
                <w:szCs w:val="24"/>
                <w:lang w:val="en-GB"/>
                <w14:ligatures w14:val="standardContextual"/>
              </w:rPr>
              <w:t xml:space="preserve">No </w:t>
            </w:r>
            <w:r w:rsidRPr="000C307D">
              <w:rPr>
                <w:rFonts w:cs="Arial"/>
                <w:kern w:val="2"/>
                <w:szCs w:val="24"/>
                <w:lang w:val="en-GB"/>
                <w14:ligatures w14:val="standardContextual"/>
              </w:rPr>
              <w:t xml:space="preserve">√ </w:t>
            </w:r>
            <w:r w:rsidRPr="000C307D">
              <w:rPr>
                <w:rFonts w:cs="Times New Roman"/>
                <w:kern w:val="2"/>
                <w:szCs w:val="24"/>
                <w:lang w:val="en-GB"/>
                <w14:ligatures w14:val="standardContextual"/>
              </w:rPr>
              <w:t xml:space="preserve"> </w:t>
            </w:r>
          </w:p>
        </w:tc>
      </w:tr>
      <w:tr w:rsidR="000C307D" w:rsidRPr="000C307D" w14:paraId="4EBFC47E" w14:textId="77777777" w:rsidTr="000116AF">
        <w:trPr>
          <w:trHeight w:val="1529"/>
        </w:trPr>
        <w:tc>
          <w:tcPr>
            <w:tcW w:w="2122" w:type="dxa"/>
            <w:tcBorders>
              <w:top w:val="single" w:sz="4" w:space="0" w:color="000000"/>
              <w:left w:val="single" w:sz="4" w:space="0" w:color="000000"/>
              <w:bottom w:val="single" w:sz="4" w:space="0" w:color="000000"/>
              <w:right w:val="single" w:sz="4" w:space="0" w:color="000000"/>
            </w:tcBorders>
          </w:tcPr>
          <w:p w14:paraId="285A67F9"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PROOFREADING  </w:t>
            </w:r>
          </w:p>
        </w:tc>
        <w:tc>
          <w:tcPr>
            <w:tcW w:w="5529" w:type="dxa"/>
            <w:tcBorders>
              <w:top w:val="single" w:sz="4" w:space="0" w:color="000000"/>
              <w:left w:val="single" w:sz="4" w:space="0" w:color="000000"/>
              <w:bottom w:val="single" w:sz="4" w:space="0" w:color="000000"/>
              <w:right w:val="single" w:sz="4" w:space="0" w:color="000000"/>
            </w:tcBorders>
          </w:tcPr>
          <w:p w14:paraId="2F5389AF"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For this assessment, you can use Generative AI to check your own text/creation for grammatical and syntactical mistakes, including rephrasing of your own work within specific standards. </w:t>
            </w:r>
          </w:p>
        </w:tc>
        <w:tc>
          <w:tcPr>
            <w:tcW w:w="1553" w:type="dxa"/>
            <w:tcBorders>
              <w:top w:val="single" w:sz="4" w:space="0" w:color="000000"/>
              <w:left w:val="single" w:sz="4" w:space="0" w:color="000000"/>
              <w:bottom w:val="single" w:sz="4" w:space="0" w:color="000000"/>
              <w:right w:val="single" w:sz="4" w:space="0" w:color="000000"/>
            </w:tcBorders>
          </w:tcPr>
          <w:p w14:paraId="32D5CA54"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Yes </w:t>
            </w:r>
            <w:r w:rsidRPr="000C307D">
              <w:rPr>
                <w:rFonts w:cs="Arial"/>
                <w:kern w:val="2"/>
                <w:szCs w:val="24"/>
                <w:lang w:val="en-GB"/>
                <w14:ligatures w14:val="standardContextual"/>
              </w:rPr>
              <w:t xml:space="preserve">√ </w:t>
            </w:r>
            <w:r w:rsidRPr="000C307D">
              <w:rPr>
                <w:rFonts w:cs="Times New Roman"/>
                <w:kern w:val="2"/>
                <w:szCs w:val="24"/>
                <w:lang w:val="en-GB"/>
                <w14:ligatures w14:val="standardContextual"/>
              </w:rPr>
              <w:t xml:space="preserve">No </w:t>
            </w:r>
            <w:r w:rsidRPr="000C307D">
              <w:rPr>
                <w:rFonts w:ascii="Segoe UI Symbol" w:hAnsi="Segoe UI Symbol" w:cs="Segoe UI Symbol"/>
                <w:kern w:val="2"/>
                <w:szCs w:val="24"/>
                <w:lang w:val="en-GB"/>
                <w14:ligatures w14:val="standardContextual"/>
              </w:rPr>
              <w:t>☐</w:t>
            </w:r>
            <w:r w:rsidRPr="000C307D">
              <w:rPr>
                <w:rFonts w:cs="Times New Roman"/>
                <w:kern w:val="2"/>
                <w:szCs w:val="24"/>
                <w:lang w:val="en-GB"/>
                <w14:ligatures w14:val="standardContextual"/>
              </w:rPr>
              <w:t xml:space="preserve"> </w:t>
            </w:r>
          </w:p>
        </w:tc>
      </w:tr>
      <w:tr w:rsidR="000C307D" w:rsidRPr="000C307D" w14:paraId="4F3604BA" w14:textId="77777777" w:rsidTr="000116AF">
        <w:trPr>
          <w:trHeight w:val="850"/>
        </w:trPr>
        <w:tc>
          <w:tcPr>
            <w:tcW w:w="2122" w:type="dxa"/>
            <w:tcBorders>
              <w:top w:val="single" w:sz="4" w:space="0" w:color="000000"/>
              <w:left w:val="single" w:sz="4" w:space="0" w:color="000000"/>
              <w:bottom w:val="single" w:sz="4" w:space="0" w:color="000000"/>
              <w:right w:val="single" w:sz="4" w:space="0" w:color="000000"/>
            </w:tcBorders>
          </w:tcPr>
          <w:p w14:paraId="2DE1F6A8"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WRITING  </w:t>
            </w:r>
          </w:p>
        </w:tc>
        <w:tc>
          <w:tcPr>
            <w:tcW w:w="5529" w:type="dxa"/>
            <w:tcBorders>
              <w:top w:val="single" w:sz="4" w:space="0" w:color="000000"/>
              <w:left w:val="single" w:sz="4" w:space="0" w:color="000000"/>
              <w:bottom w:val="single" w:sz="4" w:space="0" w:color="000000"/>
              <w:right w:val="single" w:sz="4" w:space="0" w:color="000000"/>
            </w:tcBorders>
          </w:tcPr>
          <w:p w14:paraId="50C05F8D"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For this assessment, you can use Generative AI to create text for submission. </w:t>
            </w:r>
          </w:p>
        </w:tc>
        <w:tc>
          <w:tcPr>
            <w:tcW w:w="1553" w:type="dxa"/>
            <w:tcBorders>
              <w:top w:val="single" w:sz="4" w:space="0" w:color="000000"/>
              <w:left w:val="single" w:sz="4" w:space="0" w:color="000000"/>
              <w:bottom w:val="single" w:sz="4" w:space="0" w:color="000000"/>
              <w:right w:val="single" w:sz="4" w:space="0" w:color="000000"/>
            </w:tcBorders>
          </w:tcPr>
          <w:p w14:paraId="7F1E79DD" w14:textId="32807FEC"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Yes </w:t>
            </w:r>
            <w:r w:rsidRPr="000C307D">
              <w:rPr>
                <w:rFonts w:ascii="Segoe UI Symbol" w:hAnsi="Segoe UI Symbol" w:cs="Segoe UI Symbol"/>
                <w:kern w:val="2"/>
                <w:szCs w:val="24"/>
                <w:lang w:val="en-GB"/>
                <w14:ligatures w14:val="standardContextual"/>
              </w:rPr>
              <w:t>☐</w:t>
            </w:r>
            <w:r w:rsidR="00BE2371">
              <w:rPr>
                <w:rFonts w:ascii="Segoe UI Symbol" w:hAnsi="Segoe UI Symbol" w:cs="Segoe UI Symbol"/>
                <w:kern w:val="2"/>
                <w:szCs w:val="24"/>
                <w:lang w:val="en-GB"/>
                <w14:ligatures w14:val="standardContextual"/>
              </w:rPr>
              <w:t xml:space="preserve"> </w:t>
            </w:r>
            <w:r w:rsidRPr="000C307D">
              <w:rPr>
                <w:rFonts w:cs="Times New Roman"/>
                <w:kern w:val="2"/>
                <w:szCs w:val="24"/>
                <w:lang w:val="en-GB"/>
                <w14:ligatures w14:val="standardContextual"/>
              </w:rPr>
              <w:t xml:space="preserve">No </w:t>
            </w:r>
            <w:r w:rsidRPr="000C307D">
              <w:rPr>
                <w:rFonts w:cs="Arial"/>
                <w:kern w:val="2"/>
                <w:szCs w:val="24"/>
                <w:lang w:val="en-GB"/>
                <w14:ligatures w14:val="standardContextual"/>
              </w:rPr>
              <w:t xml:space="preserve">√ </w:t>
            </w:r>
            <w:r w:rsidRPr="000C307D">
              <w:rPr>
                <w:rFonts w:cs="Times New Roman"/>
                <w:kern w:val="2"/>
                <w:szCs w:val="24"/>
                <w:lang w:val="en-GB"/>
                <w14:ligatures w14:val="standardContextual"/>
              </w:rPr>
              <w:t xml:space="preserve"> </w:t>
            </w:r>
          </w:p>
        </w:tc>
      </w:tr>
      <w:tr w:rsidR="000C307D" w:rsidRPr="000C307D" w14:paraId="60446776" w14:textId="77777777" w:rsidTr="000116AF">
        <w:trPr>
          <w:trHeight w:val="847"/>
        </w:trPr>
        <w:tc>
          <w:tcPr>
            <w:tcW w:w="2122" w:type="dxa"/>
            <w:tcBorders>
              <w:top w:val="single" w:sz="4" w:space="0" w:color="000000"/>
              <w:left w:val="single" w:sz="4" w:space="0" w:color="000000"/>
              <w:bottom w:val="single" w:sz="4" w:space="0" w:color="000000"/>
              <w:right w:val="single" w:sz="4" w:space="0" w:color="000000"/>
            </w:tcBorders>
          </w:tcPr>
          <w:p w14:paraId="66602DB5"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CREATIVE  </w:t>
            </w:r>
          </w:p>
        </w:tc>
        <w:tc>
          <w:tcPr>
            <w:tcW w:w="5529" w:type="dxa"/>
            <w:tcBorders>
              <w:top w:val="single" w:sz="4" w:space="0" w:color="000000"/>
              <w:left w:val="single" w:sz="4" w:space="0" w:color="000000"/>
              <w:bottom w:val="single" w:sz="4" w:space="0" w:color="000000"/>
              <w:right w:val="single" w:sz="4" w:space="0" w:color="000000"/>
            </w:tcBorders>
          </w:tcPr>
          <w:p w14:paraId="12C6664D"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For this assessment, you can use Generative AI to create creative materials, such as images. </w:t>
            </w:r>
          </w:p>
        </w:tc>
        <w:tc>
          <w:tcPr>
            <w:tcW w:w="1553" w:type="dxa"/>
            <w:tcBorders>
              <w:top w:val="single" w:sz="4" w:space="0" w:color="000000"/>
              <w:left w:val="single" w:sz="4" w:space="0" w:color="000000"/>
              <w:bottom w:val="single" w:sz="4" w:space="0" w:color="000000"/>
              <w:right w:val="single" w:sz="4" w:space="0" w:color="000000"/>
            </w:tcBorders>
          </w:tcPr>
          <w:p w14:paraId="604F60E0" w14:textId="06B84F7D"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Yes </w:t>
            </w:r>
            <w:r w:rsidRPr="000C307D">
              <w:rPr>
                <w:rFonts w:ascii="Segoe UI Symbol" w:hAnsi="Segoe UI Symbol" w:cs="Segoe UI Symbol"/>
                <w:kern w:val="2"/>
                <w:szCs w:val="24"/>
                <w:lang w:val="en-GB"/>
                <w14:ligatures w14:val="standardContextual"/>
              </w:rPr>
              <w:t>☐</w:t>
            </w:r>
            <w:r w:rsidR="00BE2371">
              <w:rPr>
                <w:rFonts w:ascii="Segoe UI Symbol" w:hAnsi="Segoe UI Symbol" w:cs="Segoe UI Symbol"/>
                <w:kern w:val="2"/>
                <w:szCs w:val="24"/>
                <w:lang w:val="en-GB"/>
                <w14:ligatures w14:val="standardContextual"/>
              </w:rPr>
              <w:t xml:space="preserve"> </w:t>
            </w:r>
            <w:r w:rsidRPr="000C307D">
              <w:rPr>
                <w:rFonts w:cs="Times New Roman"/>
                <w:kern w:val="2"/>
                <w:szCs w:val="24"/>
                <w:lang w:val="en-GB"/>
                <w14:ligatures w14:val="standardContextual"/>
              </w:rPr>
              <w:t xml:space="preserve">No </w:t>
            </w:r>
            <w:r w:rsidRPr="000C307D">
              <w:rPr>
                <w:rFonts w:cs="Arial"/>
                <w:kern w:val="2"/>
                <w:szCs w:val="24"/>
                <w:lang w:val="en-GB"/>
                <w14:ligatures w14:val="standardContextual"/>
              </w:rPr>
              <w:t xml:space="preserve">√ </w:t>
            </w:r>
            <w:r w:rsidRPr="000C307D">
              <w:rPr>
                <w:rFonts w:cs="Times New Roman"/>
                <w:kern w:val="2"/>
                <w:szCs w:val="24"/>
                <w:lang w:val="en-GB"/>
                <w14:ligatures w14:val="standardContextual"/>
              </w:rPr>
              <w:t xml:space="preserve"> </w:t>
            </w:r>
          </w:p>
        </w:tc>
      </w:tr>
      <w:tr w:rsidR="000C307D" w:rsidRPr="000C307D" w14:paraId="1F9601CA" w14:textId="77777777" w:rsidTr="000116AF">
        <w:trPr>
          <w:trHeight w:val="850"/>
        </w:trPr>
        <w:tc>
          <w:tcPr>
            <w:tcW w:w="2122" w:type="dxa"/>
            <w:tcBorders>
              <w:top w:val="single" w:sz="4" w:space="0" w:color="000000"/>
              <w:left w:val="single" w:sz="4" w:space="0" w:color="000000"/>
              <w:bottom w:val="single" w:sz="4" w:space="0" w:color="000000"/>
              <w:right w:val="single" w:sz="4" w:space="0" w:color="000000"/>
            </w:tcBorders>
          </w:tcPr>
          <w:p w14:paraId="3B41FDE6"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PROGRAMING  </w:t>
            </w:r>
          </w:p>
        </w:tc>
        <w:tc>
          <w:tcPr>
            <w:tcW w:w="5529" w:type="dxa"/>
            <w:tcBorders>
              <w:top w:val="single" w:sz="4" w:space="0" w:color="000000"/>
              <w:left w:val="single" w:sz="4" w:space="0" w:color="000000"/>
              <w:bottom w:val="single" w:sz="4" w:space="0" w:color="000000"/>
              <w:right w:val="single" w:sz="4" w:space="0" w:color="000000"/>
            </w:tcBorders>
          </w:tcPr>
          <w:p w14:paraId="6DB626D6"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For this assessment, you can use Generative AI to create and check code. </w:t>
            </w:r>
          </w:p>
        </w:tc>
        <w:tc>
          <w:tcPr>
            <w:tcW w:w="1553" w:type="dxa"/>
            <w:tcBorders>
              <w:top w:val="single" w:sz="4" w:space="0" w:color="000000"/>
              <w:left w:val="single" w:sz="4" w:space="0" w:color="000000"/>
              <w:bottom w:val="single" w:sz="4" w:space="0" w:color="000000"/>
              <w:right w:val="single" w:sz="4" w:space="0" w:color="000000"/>
            </w:tcBorders>
          </w:tcPr>
          <w:p w14:paraId="7FFCC81D" w14:textId="67CE1E36"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Yes </w:t>
            </w:r>
            <w:r w:rsidRPr="000C307D">
              <w:rPr>
                <w:rFonts w:ascii="Segoe UI Symbol" w:hAnsi="Segoe UI Symbol" w:cs="Segoe UI Symbol"/>
                <w:kern w:val="2"/>
                <w:szCs w:val="24"/>
                <w:lang w:val="en-GB"/>
                <w14:ligatures w14:val="standardContextual"/>
              </w:rPr>
              <w:t>☐</w:t>
            </w:r>
            <w:r w:rsidR="00BE2371">
              <w:rPr>
                <w:rFonts w:ascii="Segoe UI Symbol" w:hAnsi="Segoe UI Symbol" w:cs="Segoe UI Symbol"/>
                <w:kern w:val="2"/>
                <w:szCs w:val="24"/>
                <w:lang w:val="en-GB"/>
                <w14:ligatures w14:val="standardContextual"/>
              </w:rPr>
              <w:t xml:space="preserve"> </w:t>
            </w:r>
            <w:r w:rsidRPr="000C307D">
              <w:rPr>
                <w:rFonts w:cs="Times New Roman"/>
                <w:kern w:val="2"/>
                <w:szCs w:val="24"/>
                <w:lang w:val="en-GB"/>
                <w14:ligatures w14:val="standardContextual"/>
              </w:rPr>
              <w:t xml:space="preserve">No </w:t>
            </w:r>
            <w:r w:rsidRPr="000C307D">
              <w:rPr>
                <w:rFonts w:cs="Arial"/>
                <w:kern w:val="2"/>
                <w:szCs w:val="24"/>
                <w:lang w:val="en-GB"/>
                <w14:ligatures w14:val="standardContextual"/>
              </w:rPr>
              <w:t xml:space="preserve">√ </w:t>
            </w:r>
            <w:r w:rsidRPr="000C307D">
              <w:rPr>
                <w:rFonts w:cs="Times New Roman"/>
                <w:kern w:val="2"/>
                <w:szCs w:val="24"/>
                <w:lang w:val="en-GB"/>
                <w14:ligatures w14:val="standardContextual"/>
              </w:rPr>
              <w:t xml:space="preserve"> </w:t>
            </w:r>
          </w:p>
        </w:tc>
      </w:tr>
      <w:tr w:rsidR="000C307D" w:rsidRPr="000C307D" w14:paraId="524F0B5E" w14:textId="77777777" w:rsidTr="000116AF">
        <w:trPr>
          <w:trHeight w:val="1526"/>
        </w:trPr>
        <w:tc>
          <w:tcPr>
            <w:tcW w:w="2122" w:type="dxa"/>
            <w:tcBorders>
              <w:top w:val="single" w:sz="4" w:space="0" w:color="000000"/>
              <w:left w:val="single" w:sz="4" w:space="0" w:color="000000"/>
              <w:bottom w:val="single" w:sz="4" w:space="0" w:color="000000"/>
              <w:right w:val="single" w:sz="4" w:space="0" w:color="000000"/>
            </w:tcBorders>
          </w:tcPr>
          <w:p w14:paraId="58CF6298"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NONE  </w:t>
            </w:r>
          </w:p>
        </w:tc>
        <w:tc>
          <w:tcPr>
            <w:tcW w:w="5529" w:type="dxa"/>
            <w:tcBorders>
              <w:top w:val="single" w:sz="4" w:space="0" w:color="000000"/>
              <w:left w:val="single" w:sz="4" w:space="0" w:color="000000"/>
              <w:bottom w:val="single" w:sz="4" w:space="0" w:color="000000"/>
              <w:right w:val="single" w:sz="4" w:space="0" w:color="000000"/>
            </w:tcBorders>
          </w:tcPr>
          <w:p w14:paraId="2706549C" w14:textId="77777777"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For this assessment, you are not allowed to use </w:t>
            </w:r>
            <w:r w:rsidRPr="000C307D">
              <w:rPr>
                <w:rFonts w:ascii="Times New Roman" w:hAnsi="Times New Roman" w:cs="Times New Roman"/>
                <w:kern w:val="2"/>
                <w:szCs w:val="24"/>
                <w:lang w:val="en-GB"/>
                <w14:ligatures w14:val="standardContextual"/>
              </w:rPr>
              <w:t xml:space="preserve">any </w:t>
            </w:r>
            <w:r w:rsidRPr="000C307D">
              <w:rPr>
                <w:rFonts w:cs="Times New Roman"/>
                <w:kern w:val="2"/>
                <w:szCs w:val="24"/>
                <w:lang w:val="en-GB"/>
                <w14:ligatures w14:val="standardContextual"/>
              </w:rPr>
              <w:t xml:space="preserve">type of Generative AI support. This includes research support, structure support, writing/proofreading support and creative support. </w:t>
            </w:r>
          </w:p>
        </w:tc>
        <w:tc>
          <w:tcPr>
            <w:tcW w:w="1553" w:type="dxa"/>
            <w:tcBorders>
              <w:top w:val="single" w:sz="4" w:space="0" w:color="000000"/>
              <w:left w:val="single" w:sz="4" w:space="0" w:color="000000"/>
              <w:bottom w:val="single" w:sz="4" w:space="0" w:color="000000"/>
              <w:right w:val="single" w:sz="4" w:space="0" w:color="000000"/>
            </w:tcBorders>
          </w:tcPr>
          <w:p w14:paraId="38E8B406" w14:textId="6969F979" w:rsidR="000C307D" w:rsidRPr="000C307D" w:rsidRDefault="000C307D" w:rsidP="000C307D">
            <w:pPr>
              <w:spacing w:after="0" w:line="259" w:lineRule="auto"/>
              <w:rPr>
                <w:rFonts w:cs="Times New Roman"/>
                <w:kern w:val="2"/>
                <w:szCs w:val="24"/>
                <w:lang w:val="en-GB"/>
                <w14:ligatures w14:val="standardContextual"/>
              </w:rPr>
            </w:pPr>
            <w:r w:rsidRPr="000C307D">
              <w:rPr>
                <w:rFonts w:cs="Times New Roman"/>
                <w:kern w:val="2"/>
                <w:szCs w:val="24"/>
                <w:lang w:val="en-GB"/>
                <w14:ligatures w14:val="standardContextual"/>
              </w:rPr>
              <w:t xml:space="preserve">Yes </w:t>
            </w:r>
            <w:r w:rsidRPr="000C307D">
              <w:rPr>
                <w:rFonts w:ascii="Segoe UI Symbol" w:hAnsi="Segoe UI Symbol" w:cs="Segoe UI Symbol"/>
                <w:kern w:val="2"/>
                <w:szCs w:val="24"/>
                <w:lang w:val="en-GB"/>
                <w14:ligatures w14:val="standardContextual"/>
              </w:rPr>
              <w:t>☐</w:t>
            </w:r>
            <w:r w:rsidR="00BE2371">
              <w:rPr>
                <w:rFonts w:ascii="Segoe UI Symbol" w:hAnsi="Segoe UI Symbol" w:cs="Segoe UI Symbol"/>
                <w:kern w:val="2"/>
                <w:szCs w:val="24"/>
                <w:lang w:val="en-GB"/>
                <w14:ligatures w14:val="standardContextual"/>
              </w:rPr>
              <w:t xml:space="preserve"> </w:t>
            </w:r>
            <w:r w:rsidRPr="000C307D">
              <w:rPr>
                <w:rFonts w:cs="Times New Roman"/>
                <w:kern w:val="2"/>
                <w:szCs w:val="24"/>
                <w:lang w:val="en-GB"/>
                <w14:ligatures w14:val="standardContextual"/>
              </w:rPr>
              <w:t xml:space="preserve">No </w:t>
            </w:r>
            <w:r w:rsidRPr="000C307D">
              <w:rPr>
                <w:rFonts w:cs="Arial"/>
                <w:kern w:val="2"/>
                <w:szCs w:val="24"/>
                <w:lang w:val="en-GB"/>
                <w14:ligatures w14:val="standardContextual"/>
              </w:rPr>
              <w:t>√</w:t>
            </w:r>
          </w:p>
        </w:tc>
      </w:tr>
    </w:tbl>
    <w:p w14:paraId="3D73F009" w14:textId="77777777" w:rsidR="000C307D" w:rsidRPr="000C307D" w:rsidRDefault="000C307D" w:rsidP="000C307D">
      <w:pPr>
        <w:spacing w:after="160"/>
        <w:rPr>
          <w:rFonts w:eastAsia="Aptos" w:cs="Times New Roman"/>
          <w:kern w:val="2"/>
          <w:lang w:val="en-GB"/>
          <w14:ligatures w14:val="standardContextual"/>
        </w:rPr>
      </w:pPr>
    </w:p>
    <w:p w14:paraId="23CC6FC6" w14:textId="77777777" w:rsidR="000C307D" w:rsidRPr="000C307D" w:rsidRDefault="000C307D" w:rsidP="000C307D">
      <w:pPr>
        <w:spacing w:after="160"/>
        <w:rPr>
          <w:rFonts w:eastAsia="Aptos" w:cs="Times New Roman"/>
          <w:kern w:val="2"/>
          <w:lang w:val="en-GB"/>
          <w14:ligatures w14:val="standardContextual"/>
        </w:rPr>
      </w:pPr>
    </w:p>
    <w:p w14:paraId="74E8C4FC" w14:textId="77777777" w:rsidR="000C307D" w:rsidRPr="000C307D" w:rsidRDefault="000C307D" w:rsidP="000C307D">
      <w:pPr>
        <w:spacing w:after="160"/>
        <w:rPr>
          <w:rFonts w:eastAsia="Aptos" w:cs="Times New Roman"/>
          <w:kern w:val="2"/>
          <w:lang w:val="en-GB"/>
          <w14:ligatures w14:val="standardContextual"/>
        </w:rPr>
      </w:pPr>
    </w:p>
    <w:p w14:paraId="20D9F162" w14:textId="77777777" w:rsidR="000C307D" w:rsidRPr="000C307D" w:rsidRDefault="000C307D" w:rsidP="000C307D">
      <w:pPr>
        <w:spacing w:after="160"/>
        <w:rPr>
          <w:rFonts w:eastAsia="Aptos" w:cs="Times New Roman"/>
          <w:kern w:val="2"/>
          <w:lang w:val="en-GB"/>
          <w14:ligatures w14:val="standardContextual"/>
        </w:rPr>
      </w:pPr>
    </w:p>
    <w:p w14:paraId="640DFD90" w14:textId="77777777" w:rsidR="000C307D" w:rsidRPr="000C307D" w:rsidRDefault="000C307D" w:rsidP="000C307D">
      <w:pPr>
        <w:spacing w:after="160"/>
        <w:rPr>
          <w:rFonts w:eastAsia="Aptos" w:cs="Times New Roman"/>
          <w:kern w:val="2"/>
          <w:lang w:val="en-GB"/>
          <w14:ligatures w14:val="standardContextual"/>
        </w:rPr>
      </w:pPr>
    </w:p>
    <w:p w14:paraId="07C569AA" w14:textId="77777777" w:rsidR="000C307D" w:rsidRPr="000C307D" w:rsidRDefault="000C307D" w:rsidP="000C307D">
      <w:pPr>
        <w:spacing w:after="160"/>
        <w:rPr>
          <w:rFonts w:eastAsia="Aptos" w:cs="Times New Roman"/>
          <w:kern w:val="2"/>
          <w:lang w:val="en-GB"/>
          <w14:ligatures w14:val="standardContextual"/>
        </w:rPr>
      </w:pPr>
    </w:p>
    <w:p w14:paraId="3B7344E6" w14:textId="77777777" w:rsidR="000C307D" w:rsidRPr="000C307D" w:rsidRDefault="000C307D" w:rsidP="000C307D">
      <w:pPr>
        <w:spacing w:after="160"/>
        <w:rPr>
          <w:rFonts w:eastAsia="Aptos" w:cs="Times New Roman"/>
          <w:b/>
          <w:bCs/>
          <w:kern w:val="2"/>
          <w:sz w:val="32"/>
          <w:szCs w:val="28"/>
          <w:lang w:val="en-GB"/>
          <w14:ligatures w14:val="standardContextual"/>
        </w:rPr>
      </w:pPr>
      <w:r w:rsidRPr="000C307D">
        <w:rPr>
          <w:rFonts w:eastAsia="Aptos" w:cs="Times New Roman"/>
          <w:b/>
          <w:bCs/>
          <w:kern w:val="2"/>
          <w:sz w:val="32"/>
          <w:szCs w:val="28"/>
          <w:lang w:val="en-GB"/>
          <w14:ligatures w14:val="standardContextual"/>
        </w:rPr>
        <w:t>Acknowledgements</w:t>
      </w:r>
    </w:p>
    <w:p w14:paraId="5026F07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I would like to express my sincere gratitude to my supervisor for the guidance, constructive feedback and academic support provided throughout this research. I am also thankful to the academic staff who contributed to my learning and understanding during my studies. Special appreciation is extended to all participants who voluntarily completed the questionnaire, as their responses made this research possible. Finally, I would like to thank my family and friends for their encouragement, patience and continued support throughout the completion of this dissertation.</w:t>
      </w:r>
    </w:p>
    <w:p w14:paraId="00E4C973" w14:textId="77777777" w:rsidR="000C307D" w:rsidRPr="000C307D" w:rsidRDefault="000C307D" w:rsidP="000C307D">
      <w:pPr>
        <w:spacing w:after="160"/>
        <w:rPr>
          <w:rFonts w:eastAsia="Aptos" w:cs="Times New Roman"/>
          <w:kern w:val="2"/>
          <w:lang w:val="en-GB"/>
          <w14:ligatures w14:val="standardContextual"/>
        </w:rPr>
      </w:pPr>
    </w:p>
    <w:p w14:paraId="6410F2AD" w14:textId="77777777" w:rsidR="000C307D" w:rsidRPr="000C307D" w:rsidRDefault="000C307D" w:rsidP="000C307D">
      <w:pPr>
        <w:spacing w:after="160"/>
        <w:rPr>
          <w:rFonts w:eastAsia="Aptos" w:cs="Times New Roman"/>
          <w:kern w:val="2"/>
          <w:lang w:val="en-GB"/>
          <w14:ligatures w14:val="standardContextual"/>
        </w:rPr>
      </w:pPr>
    </w:p>
    <w:p w14:paraId="793AD600" w14:textId="77777777" w:rsidR="000C307D" w:rsidRPr="000C307D" w:rsidRDefault="000C307D" w:rsidP="000C307D">
      <w:pPr>
        <w:spacing w:after="160"/>
        <w:rPr>
          <w:rFonts w:eastAsia="Aptos" w:cs="Times New Roman"/>
          <w:kern w:val="2"/>
          <w:lang w:val="en-GB"/>
          <w14:ligatures w14:val="standardContextual"/>
        </w:rPr>
      </w:pPr>
    </w:p>
    <w:p w14:paraId="6130ACAB" w14:textId="77777777" w:rsidR="000C307D" w:rsidRPr="000C307D" w:rsidRDefault="000C307D" w:rsidP="000C307D">
      <w:pPr>
        <w:spacing w:after="160"/>
        <w:rPr>
          <w:rFonts w:eastAsia="Aptos" w:cs="Times New Roman"/>
          <w:kern w:val="2"/>
          <w:lang w:val="en-GB"/>
          <w14:ligatures w14:val="standardContextual"/>
        </w:rPr>
      </w:pPr>
    </w:p>
    <w:p w14:paraId="235D00E7" w14:textId="77777777" w:rsidR="000C307D" w:rsidRPr="000C307D" w:rsidRDefault="000C307D" w:rsidP="000C307D">
      <w:pPr>
        <w:spacing w:after="160"/>
        <w:rPr>
          <w:rFonts w:eastAsia="Aptos" w:cs="Times New Roman"/>
          <w:kern w:val="2"/>
          <w:lang w:val="en-GB"/>
          <w14:ligatures w14:val="standardContextual"/>
        </w:rPr>
      </w:pPr>
    </w:p>
    <w:p w14:paraId="41F85D28" w14:textId="77777777" w:rsidR="000C307D" w:rsidRPr="000C307D" w:rsidRDefault="000C307D" w:rsidP="000C307D">
      <w:pPr>
        <w:spacing w:after="160"/>
        <w:rPr>
          <w:rFonts w:eastAsia="Aptos" w:cs="Times New Roman"/>
          <w:kern w:val="2"/>
          <w:lang w:val="en-GB"/>
          <w14:ligatures w14:val="standardContextual"/>
        </w:rPr>
      </w:pPr>
    </w:p>
    <w:p w14:paraId="701AAD0E" w14:textId="77777777" w:rsidR="000C307D" w:rsidRPr="000C307D" w:rsidRDefault="000C307D" w:rsidP="000C307D">
      <w:pPr>
        <w:spacing w:after="160"/>
        <w:rPr>
          <w:rFonts w:eastAsia="Aptos" w:cs="Times New Roman"/>
          <w:kern w:val="2"/>
          <w:lang w:val="en-GB"/>
          <w14:ligatures w14:val="standardContextual"/>
        </w:rPr>
      </w:pPr>
    </w:p>
    <w:p w14:paraId="4A6DF702" w14:textId="77777777" w:rsidR="000C307D" w:rsidRPr="000C307D" w:rsidRDefault="000C307D" w:rsidP="000C307D">
      <w:pPr>
        <w:spacing w:after="160"/>
        <w:rPr>
          <w:rFonts w:eastAsia="Aptos" w:cs="Times New Roman"/>
          <w:kern w:val="2"/>
          <w:lang w:val="en-GB"/>
          <w14:ligatures w14:val="standardContextual"/>
        </w:rPr>
      </w:pPr>
    </w:p>
    <w:p w14:paraId="77A9EA8E" w14:textId="77777777" w:rsidR="000C307D" w:rsidRPr="000C307D" w:rsidRDefault="000C307D" w:rsidP="000C307D">
      <w:pPr>
        <w:spacing w:after="160"/>
        <w:rPr>
          <w:rFonts w:eastAsia="Aptos" w:cs="Times New Roman"/>
          <w:kern w:val="2"/>
          <w:lang w:val="en-GB"/>
          <w14:ligatures w14:val="standardContextual"/>
        </w:rPr>
      </w:pPr>
    </w:p>
    <w:p w14:paraId="4C9839D4" w14:textId="77777777" w:rsidR="000C307D" w:rsidRPr="000C307D" w:rsidRDefault="000C307D" w:rsidP="000C307D">
      <w:pPr>
        <w:spacing w:after="160"/>
        <w:rPr>
          <w:rFonts w:eastAsia="Aptos" w:cs="Times New Roman"/>
          <w:kern w:val="2"/>
          <w:lang w:val="en-GB"/>
          <w14:ligatures w14:val="standardContextual"/>
        </w:rPr>
      </w:pPr>
    </w:p>
    <w:p w14:paraId="06EF57C1" w14:textId="77777777" w:rsidR="000C307D" w:rsidRPr="000C307D" w:rsidRDefault="000C307D" w:rsidP="000C307D">
      <w:pPr>
        <w:spacing w:after="160"/>
        <w:rPr>
          <w:rFonts w:eastAsia="Aptos" w:cs="Times New Roman"/>
          <w:kern w:val="2"/>
          <w:lang w:val="en-GB"/>
          <w14:ligatures w14:val="standardContextual"/>
        </w:rPr>
      </w:pPr>
    </w:p>
    <w:p w14:paraId="27064382" w14:textId="77777777" w:rsidR="000C307D" w:rsidRPr="000C307D" w:rsidRDefault="000C307D" w:rsidP="000C307D">
      <w:pPr>
        <w:spacing w:after="160"/>
        <w:rPr>
          <w:rFonts w:eastAsia="Aptos" w:cs="Times New Roman"/>
          <w:kern w:val="2"/>
          <w:lang w:val="en-GB"/>
          <w14:ligatures w14:val="standardContextual"/>
        </w:rPr>
      </w:pPr>
    </w:p>
    <w:p w14:paraId="36589523" w14:textId="77777777" w:rsidR="000C307D" w:rsidRPr="000C307D" w:rsidRDefault="000C307D" w:rsidP="000C307D">
      <w:pPr>
        <w:spacing w:after="160"/>
        <w:rPr>
          <w:rFonts w:eastAsia="Aptos" w:cs="Times New Roman"/>
          <w:kern w:val="2"/>
          <w:lang w:val="en-GB"/>
          <w14:ligatures w14:val="standardContextual"/>
        </w:rPr>
      </w:pPr>
    </w:p>
    <w:p w14:paraId="7F5E416B" w14:textId="77777777" w:rsidR="000C307D" w:rsidRPr="000C307D" w:rsidRDefault="000C307D" w:rsidP="000C307D">
      <w:pPr>
        <w:spacing w:after="160"/>
        <w:rPr>
          <w:rFonts w:eastAsia="Aptos" w:cs="Times New Roman"/>
          <w:kern w:val="2"/>
          <w:lang w:val="en-GB"/>
          <w14:ligatures w14:val="standardContextual"/>
        </w:rPr>
      </w:pPr>
    </w:p>
    <w:p w14:paraId="5E00A0AD" w14:textId="77777777" w:rsidR="000C307D" w:rsidRPr="000C307D" w:rsidRDefault="000C307D" w:rsidP="000C307D">
      <w:pPr>
        <w:spacing w:after="160"/>
        <w:rPr>
          <w:rFonts w:eastAsia="Aptos" w:cs="Times New Roman"/>
          <w:kern w:val="2"/>
          <w:lang w:val="en-GB"/>
          <w14:ligatures w14:val="standardContextual"/>
        </w:rPr>
      </w:pPr>
    </w:p>
    <w:p w14:paraId="592101F6" w14:textId="77777777" w:rsidR="000C307D" w:rsidRPr="000C307D" w:rsidRDefault="000C307D" w:rsidP="000C307D">
      <w:pPr>
        <w:spacing w:after="160"/>
        <w:rPr>
          <w:rFonts w:eastAsia="Aptos" w:cs="Times New Roman"/>
          <w:kern w:val="2"/>
          <w:lang w:val="en-GB"/>
          <w14:ligatures w14:val="standardContextual"/>
        </w:rPr>
      </w:pPr>
    </w:p>
    <w:p w14:paraId="62551088" w14:textId="77777777" w:rsidR="000C307D" w:rsidRPr="000C307D" w:rsidRDefault="000C307D" w:rsidP="000C307D">
      <w:pPr>
        <w:spacing w:after="160"/>
        <w:rPr>
          <w:rFonts w:eastAsia="Aptos" w:cs="Times New Roman"/>
          <w:b/>
          <w:bCs/>
          <w:kern w:val="2"/>
          <w:sz w:val="32"/>
          <w:szCs w:val="28"/>
          <w:lang w:val="en-GB"/>
          <w14:ligatures w14:val="standardContextual"/>
        </w:rPr>
      </w:pPr>
      <w:r w:rsidRPr="000C307D">
        <w:rPr>
          <w:rFonts w:eastAsia="Aptos" w:cs="Times New Roman"/>
          <w:b/>
          <w:bCs/>
          <w:kern w:val="2"/>
          <w:sz w:val="32"/>
          <w:szCs w:val="28"/>
          <w:lang w:val="en-GB"/>
          <w14:ligatures w14:val="standardContextual"/>
        </w:rPr>
        <w:t>Abstract</w:t>
      </w:r>
    </w:p>
    <w:p w14:paraId="74682D4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This study investigates the influence of anime–fashion collaborations on consumer engagement and purchase intention among UK Generation Z consumers. The study addresses limited integrated evidence on how perceived authenticity, brand–anime fit and anime involvement shape engagement with culturally embedded fashion collaborations. The study developed a conceptual framework that related these three antecedents to Consumer Engagement and thus to Purchase Intention, using the Brand Alliance Theory and Brand Extension Theory. The research adopted a positivist perspective, a deductive and mono-method quantitative approach with a cross-sectional online questionnaire. Descriptive statistics, reliability analysis, Pearson correlations and regression analysis were used to analyse data obtained from 150 valid respondents. </w:t>
      </w:r>
    </w:p>
    <w:p w14:paraId="5B9D46D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results partly validate the proposed framework. Perceived Authenticity was not significant (β = −.038, p = .639) and nor was Brand – Anime Fit (β = .088, p = .294) a predictor of Consumer Engagement. Anime Involvement had a positive independent effect, although not statistically significant (β = .155, p = .066). Thus, H1, H2 and H3 were not supported. However, Consumer Engagement was a significant and positive predictor of Purchase Intention (β = .263, p = .001) which supports H4. Consumer Engagement explained 6.9% of the variance in Purchase Intention. Study findings suggest that authenticity, fit and fandom involvement might not be enough to sustain engagement, and that engagement is a viable means to an end and is essential to the purchase intention. These results further enrich the suggested framework and the need for creating anime–fashion collaborations that promote cognitive, emotional and behavioural engagement.</w:t>
      </w:r>
    </w:p>
    <w:p w14:paraId="3BB3AEB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b/>
          <w:bCs/>
          <w:kern w:val="2"/>
          <w:lang w:val="en-GB"/>
          <w14:ligatures w14:val="standardContextual"/>
        </w:rPr>
        <w:t>Keywords:</w:t>
      </w:r>
      <w:r w:rsidRPr="000C307D">
        <w:rPr>
          <w:rFonts w:eastAsia="Aptos" w:cs="Times New Roman"/>
          <w:kern w:val="2"/>
          <w:lang w:val="en-GB"/>
          <w14:ligatures w14:val="standardContextual"/>
        </w:rPr>
        <w:t xml:space="preserve"> </w:t>
      </w:r>
      <w:r w:rsidRPr="000C307D">
        <w:rPr>
          <w:rFonts w:eastAsia="Aptos" w:cs="Times New Roman"/>
          <w:i/>
          <w:iCs/>
          <w:kern w:val="2"/>
          <w:lang w:val="en-GB"/>
          <w14:ligatures w14:val="standardContextual"/>
        </w:rPr>
        <w:t>Anime–fashion collaborations; Generation Z; Perceived Authenticity; Brand–Anime Fit; Anime Involvement; Consumer Engagement; Purchase Intention; Brand Alliance Theory; Brand Extension Theory.</w:t>
      </w:r>
    </w:p>
    <w:p w14:paraId="7741E7E2" w14:textId="77777777" w:rsidR="000C307D" w:rsidRPr="000C307D" w:rsidRDefault="000C307D" w:rsidP="000C307D">
      <w:pPr>
        <w:spacing w:after="160"/>
        <w:rPr>
          <w:rFonts w:eastAsia="Aptos" w:cs="Times New Roman"/>
          <w:kern w:val="2"/>
          <w:lang w:val="en-GB"/>
          <w14:ligatures w14:val="standardContextual"/>
        </w:rPr>
      </w:pPr>
    </w:p>
    <w:p w14:paraId="3669C7A8" w14:textId="77777777" w:rsidR="000C307D" w:rsidRPr="000C307D" w:rsidRDefault="000C307D" w:rsidP="000C307D">
      <w:pPr>
        <w:spacing w:after="160"/>
        <w:rPr>
          <w:rFonts w:eastAsia="Aptos" w:cs="Times New Roman"/>
          <w:kern w:val="2"/>
          <w:lang w:val="en-GB"/>
          <w14:ligatures w14:val="standardContextual"/>
        </w:rPr>
      </w:pPr>
    </w:p>
    <w:p w14:paraId="131D49EE" w14:textId="77777777" w:rsidR="000C307D" w:rsidRPr="000C307D" w:rsidRDefault="000C307D" w:rsidP="000C307D">
      <w:pPr>
        <w:spacing w:after="160"/>
        <w:rPr>
          <w:rFonts w:eastAsia="Aptos" w:cs="Times New Roman"/>
          <w:kern w:val="2"/>
          <w:lang w:val="en-GB"/>
          <w14:ligatures w14:val="standardContextual"/>
        </w:rPr>
      </w:pPr>
    </w:p>
    <w:sdt>
      <w:sdtPr>
        <w:rPr>
          <w:rFonts w:eastAsia="Aptos" w:cs="Times New Roman"/>
          <w:kern w:val="2"/>
          <w:lang w:val="en-GB"/>
          <w14:ligatures w14:val="standardContextual"/>
        </w:rPr>
        <w:id w:val="131370455"/>
        <w:docPartObj>
          <w:docPartGallery w:val="Table of Contents"/>
          <w:docPartUnique/>
        </w:docPartObj>
      </w:sdtPr>
      <w:sdtEndPr>
        <w:rPr>
          <w:b/>
          <w:bCs/>
          <w:noProof/>
        </w:rPr>
      </w:sdtEndPr>
      <w:sdtContent>
        <w:p w14:paraId="65A9F764" w14:textId="77777777" w:rsidR="000C307D" w:rsidRPr="000C307D" w:rsidRDefault="000C307D" w:rsidP="000C307D">
          <w:pPr>
            <w:keepNext/>
            <w:keepLines/>
            <w:spacing w:before="240" w:after="0" w:line="259" w:lineRule="auto"/>
            <w:jc w:val="left"/>
            <w:rPr>
              <w:rFonts w:ascii="Aptos Display" w:eastAsia="Times New Roman" w:hAnsi="Aptos Display" w:cs="Times New Roman"/>
              <w:color w:val="2E74B5"/>
              <w:sz w:val="32"/>
              <w:szCs w:val="32"/>
            </w:rPr>
          </w:pPr>
          <w:r w:rsidRPr="000C307D">
            <w:rPr>
              <w:rFonts w:ascii="Aptos Display" w:eastAsia="Times New Roman" w:hAnsi="Aptos Display" w:cs="Times New Roman"/>
              <w:color w:val="2E74B5"/>
              <w:sz w:val="32"/>
              <w:szCs w:val="32"/>
            </w:rPr>
            <w:t>Table of Contents</w:t>
          </w:r>
        </w:p>
        <w:p w14:paraId="44849F8E"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r w:rsidRPr="000C307D">
            <w:rPr>
              <w:rFonts w:eastAsia="Aptos" w:cs="Times New Roman"/>
              <w:kern w:val="2"/>
              <w:lang w:val="en-GB"/>
              <w14:ligatures w14:val="standardContextual"/>
            </w:rPr>
            <w:fldChar w:fldCharType="begin"/>
          </w:r>
          <w:r w:rsidRPr="000C307D">
            <w:rPr>
              <w:rFonts w:eastAsia="Aptos" w:cs="Times New Roman"/>
              <w:kern w:val="2"/>
              <w:lang w:val="en-GB"/>
              <w14:ligatures w14:val="standardContextual"/>
            </w:rPr>
            <w:instrText xml:space="preserve"> TOC \o "1-3" \h \z \u </w:instrText>
          </w:r>
          <w:r w:rsidRPr="000C307D">
            <w:rPr>
              <w:rFonts w:eastAsia="Aptos" w:cs="Times New Roman"/>
              <w:kern w:val="2"/>
              <w:lang w:val="en-GB"/>
              <w14:ligatures w14:val="standardContextual"/>
            </w:rPr>
            <w:fldChar w:fldCharType="separate"/>
          </w:r>
          <w:hyperlink w:anchor="_Toc241176347" w:history="1">
            <w:r w:rsidRPr="000C307D">
              <w:rPr>
                <w:rFonts w:eastAsia="Aptos" w:cs="Times New Roman"/>
                <w:noProof/>
                <w:color w:val="0563C1"/>
                <w:kern w:val="2"/>
                <w:u w:val="single"/>
                <w:lang w:val="en-GB"/>
                <w14:ligatures w14:val="standardContextual"/>
              </w:rPr>
              <w:t>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One: Introduction and Rationale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_Toc241176347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w:t>
            </w:r>
            <w:r w:rsidRPr="000C307D">
              <w:rPr>
                <w:rFonts w:eastAsia="Aptos" w:cs="Times New Roman"/>
                <w:noProof/>
                <w:webHidden/>
                <w:kern w:val="2"/>
                <w:lang w:val="en-GB"/>
                <w14:ligatures w14:val="standardContextual"/>
              </w:rPr>
              <w:fldChar w:fldCharType="end"/>
            </w:r>
          </w:hyperlink>
        </w:p>
        <w:p w14:paraId="2EE9D777"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48" w:history="1">
            <w:r w:rsidRPr="000C307D">
              <w:rPr>
                <w:rFonts w:eastAsia="Aptos" w:cs="Times New Roman"/>
                <w:noProof/>
                <w:color w:val="0563C1"/>
                <w:kern w:val="2"/>
                <w:u w:val="single"/>
                <w:lang w:val="en-GB"/>
                <w14:ligatures w14:val="standardContextual"/>
              </w:rPr>
              <w:t>1.1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Background</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_Toc241176348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w:t>
            </w:r>
            <w:r w:rsidRPr="000C307D">
              <w:rPr>
                <w:rFonts w:eastAsia="Aptos" w:cs="Times New Roman"/>
                <w:noProof/>
                <w:webHidden/>
                <w:kern w:val="2"/>
                <w:lang w:val="en-GB"/>
                <w14:ligatures w14:val="standardContextual"/>
              </w:rPr>
              <w:fldChar w:fldCharType="end"/>
            </w:r>
          </w:hyperlink>
        </w:p>
        <w:p w14:paraId="5BFBB1A4"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49" w:history="1">
            <w:r w:rsidRPr="000C307D">
              <w:rPr>
                <w:rFonts w:eastAsia="Aptos" w:cs="Times New Roman"/>
                <w:noProof/>
                <w:color w:val="0563C1"/>
                <w:kern w:val="2"/>
                <w:u w:val="single"/>
                <w:lang w:val="en-GB"/>
                <w14:ligatures w14:val="standardContextual"/>
              </w:rPr>
              <w:t>1.2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Rationale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_Toc241176349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w:t>
            </w:r>
            <w:r w:rsidRPr="000C307D">
              <w:rPr>
                <w:rFonts w:eastAsia="Aptos" w:cs="Times New Roman"/>
                <w:noProof/>
                <w:webHidden/>
                <w:kern w:val="2"/>
                <w:lang w:val="en-GB"/>
                <w14:ligatures w14:val="standardContextual"/>
              </w:rPr>
              <w:fldChar w:fldCharType="end"/>
            </w:r>
          </w:hyperlink>
        </w:p>
        <w:p w14:paraId="61DAD05F"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50" w:history="1">
            <w:r w:rsidRPr="000C307D">
              <w:rPr>
                <w:rFonts w:eastAsia="Aptos" w:cs="Times New Roman"/>
                <w:noProof/>
                <w:color w:val="0563C1"/>
                <w:kern w:val="2"/>
                <w:u w:val="single"/>
                <w:lang w:val="en-GB"/>
                <w14:ligatures w14:val="standardContextual"/>
              </w:rPr>
              <w:t>1.2.1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Theoretical Justification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w:t>
            </w:r>
            <w:r w:rsidRPr="000C307D">
              <w:rPr>
                <w:rFonts w:eastAsia="Aptos" w:cs="Times New Roman"/>
                <w:noProof/>
                <w:webHidden/>
                <w:kern w:val="2"/>
                <w:lang w:val="en-GB"/>
                <w14:ligatures w14:val="standardContextual"/>
              </w:rPr>
              <w:fldChar w:fldCharType="end"/>
            </w:r>
          </w:hyperlink>
        </w:p>
        <w:p w14:paraId="2278A6A7"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51" w:history="1">
            <w:r w:rsidRPr="000C307D">
              <w:rPr>
                <w:rFonts w:eastAsia="Aptos" w:cs="Times New Roman"/>
                <w:noProof/>
                <w:color w:val="0563C1"/>
                <w:kern w:val="2"/>
                <w:u w:val="single"/>
                <w:lang w:val="en-GB"/>
                <w14:ligatures w14:val="standardContextual"/>
              </w:rPr>
              <w:t>1.2.2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Practical Justification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w:t>
            </w:r>
            <w:r w:rsidRPr="000C307D">
              <w:rPr>
                <w:rFonts w:eastAsia="Aptos" w:cs="Times New Roman"/>
                <w:noProof/>
                <w:webHidden/>
                <w:kern w:val="2"/>
                <w:lang w:val="en-GB"/>
                <w14:ligatures w14:val="standardContextual"/>
              </w:rPr>
              <w:fldChar w:fldCharType="end"/>
            </w:r>
          </w:hyperlink>
        </w:p>
        <w:p w14:paraId="099E1BDA"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52" w:history="1">
            <w:r w:rsidRPr="000C307D">
              <w:rPr>
                <w:rFonts w:eastAsia="Aptos" w:cs="Times New Roman"/>
                <w:noProof/>
                <w:color w:val="0563C1"/>
                <w:kern w:val="2"/>
                <w:u w:val="single"/>
                <w:lang w:val="en-GB"/>
                <w14:ligatures w14:val="standardContextual"/>
              </w:rPr>
              <w:t>1.3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Contribution and Motivation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w:t>
            </w:r>
            <w:r w:rsidRPr="000C307D">
              <w:rPr>
                <w:rFonts w:eastAsia="Aptos" w:cs="Times New Roman"/>
                <w:noProof/>
                <w:webHidden/>
                <w:kern w:val="2"/>
                <w:lang w:val="en-GB"/>
                <w14:ligatures w14:val="standardContextual"/>
              </w:rPr>
              <w:fldChar w:fldCharType="end"/>
            </w:r>
          </w:hyperlink>
        </w:p>
        <w:p w14:paraId="119F431B"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53" w:history="1">
            <w:r w:rsidRPr="000C307D">
              <w:rPr>
                <w:rFonts w:eastAsia="Aptos" w:cs="Times New Roman"/>
                <w:noProof/>
                <w:color w:val="0563C1"/>
                <w:kern w:val="2"/>
                <w:u w:val="single"/>
                <w:lang w:val="en-GB"/>
                <w14:ligatures w14:val="standardContextual"/>
              </w:rPr>
              <w:t>1.4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Aim, Objectives and Research Questions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w:t>
            </w:r>
            <w:r w:rsidRPr="000C307D">
              <w:rPr>
                <w:rFonts w:eastAsia="Aptos" w:cs="Times New Roman"/>
                <w:noProof/>
                <w:webHidden/>
                <w:kern w:val="2"/>
                <w:lang w:val="en-GB"/>
                <w14:ligatures w14:val="standardContextual"/>
              </w:rPr>
              <w:fldChar w:fldCharType="end"/>
            </w:r>
          </w:hyperlink>
        </w:p>
        <w:p w14:paraId="25DE0C2C"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54" w:history="1">
            <w:r w:rsidRPr="000C307D">
              <w:rPr>
                <w:rFonts w:eastAsia="Aptos" w:cs="Times New Roman"/>
                <w:noProof/>
                <w:color w:val="0563C1"/>
                <w:kern w:val="2"/>
                <w:u w:val="single"/>
                <w:lang w:val="en-GB"/>
                <w14:ligatures w14:val="standardContextual"/>
              </w:rPr>
              <w:t>1.4.1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Aim</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w:t>
            </w:r>
            <w:r w:rsidRPr="000C307D">
              <w:rPr>
                <w:rFonts w:eastAsia="Aptos" w:cs="Times New Roman"/>
                <w:noProof/>
                <w:webHidden/>
                <w:kern w:val="2"/>
                <w:lang w:val="en-GB"/>
                <w14:ligatures w14:val="standardContextual"/>
              </w:rPr>
              <w:fldChar w:fldCharType="end"/>
            </w:r>
          </w:hyperlink>
        </w:p>
        <w:p w14:paraId="5285B1A6"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55" w:history="1">
            <w:r w:rsidRPr="000C307D">
              <w:rPr>
                <w:rFonts w:eastAsia="Aptos" w:cs="Times New Roman"/>
                <w:noProof/>
                <w:color w:val="0563C1"/>
                <w:kern w:val="2"/>
                <w:u w:val="single"/>
                <w:lang w:val="en-GB"/>
                <w14:ligatures w14:val="standardContextual"/>
              </w:rPr>
              <w:t>1.4.2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Objectives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w:t>
            </w:r>
            <w:r w:rsidRPr="000C307D">
              <w:rPr>
                <w:rFonts w:eastAsia="Aptos" w:cs="Times New Roman"/>
                <w:noProof/>
                <w:webHidden/>
                <w:kern w:val="2"/>
                <w:lang w:val="en-GB"/>
                <w14:ligatures w14:val="standardContextual"/>
              </w:rPr>
              <w:fldChar w:fldCharType="end"/>
            </w:r>
          </w:hyperlink>
        </w:p>
        <w:p w14:paraId="6DFD19F3"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56" w:history="1">
            <w:r w:rsidRPr="000C307D">
              <w:rPr>
                <w:rFonts w:eastAsia="Aptos" w:cs="Times New Roman"/>
                <w:noProof/>
                <w:color w:val="0563C1"/>
                <w:kern w:val="2"/>
                <w:u w:val="single"/>
                <w:lang w:val="en-GB"/>
                <w14:ligatures w14:val="standardContextual"/>
              </w:rPr>
              <w:t>1.4.3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Questions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w:t>
            </w:r>
            <w:r w:rsidRPr="000C307D">
              <w:rPr>
                <w:rFonts w:eastAsia="Aptos" w:cs="Times New Roman"/>
                <w:noProof/>
                <w:webHidden/>
                <w:kern w:val="2"/>
                <w:lang w:val="en-GB"/>
                <w14:ligatures w14:val="standardContextual"/>
              </w:rPr>
              <w:fldChar w:fldCharType="end"/>
            </w:r>
          </w:hyperlink>
        </w:p>
        <w:p w14:paraId="21D967A8"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57" w:history="1">
            <w:r w:rsidRPr="000C307D">
              <w:rPr>
                <w:rFonts w:eastAsia="Aptos" w:cs="Times New Roman"/>
                <w:noProof/>
                <w:color w:val="0563C1"/>
                <w:kern w:val="2"/>
                <w:u w:val="single"/>
                <w:lang w:val="en-GB"/>
                <w14:ligatures w14:val="standardContextual"/>
              </w:rPr>
              <w:t>1.5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Hypothesis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w:t>
            </w:r>
            <w:r w:rsidRPr="000C307D">
              <w:rPr>
                <w:rFonts w:eastAsia="Aptos" w:cs="Times New Roman"/>
                <w:noProof/>
                <w:webHidden/>
                <w:kern w:val="2"/>
                <w:lang w:val="en-GB"/>
                <w14:ligatures w14:val="standardContextual"/>
              </w:rPr>
              <w:fldChar w:fldCharType="end"/>
            </w:r>
          </w:hyperlink>
        </w:p>
        <w:p w14:paraId="2C6A4C8F"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58" w:history="1">
            <w:r w:rsidRPr="000C307D">
              <w:rPr>
                <w:rFonts w:eastAsia="Aptos" w:cs="Times New Roman"/>
                <w:noProof/>
                <w:color w:val="0563C1"/>
                <w:kern w:val="2"/>
                <w:u w:val="single"/>
                <w:lang w:val="en-GB"/>
                <w14:ligatures w14:val="standardContextual"/>
              </w:rPr>
              <w:t>1.6</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Dissertation Structure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7</w:t>
            </w:r>
            <w:r w:rsidRPr="000C307D">
              <w:rPr>
                <w:rFonts w:eastAsia="Aptos" w:cs="Times New Roman"/>
                <w:noProof/>
                <w:webHidden/>
                <w:kern w:val="2"/>
                <w:lang w:val="en-GB"/>
                <w14:ligatures w14:val="standardContextual"/>
              </w:rPr>
              <w:fldChar w:fldCharType="end"/>
            </w:r>
          </w:hyperlink>
        </w:p>
        <w:p w14:paraId="0507CA17"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hyperlink w:anchor="_Toc241176359" w:history="1">
            <w:r w:rsidRPr="000C307D">
              <w:rPr>
                <w:rFonts w:eastAsia="Aptos" w:cs="Times New Roman"/>
                <w:noProof/>
                <w:color w:val="0563C1"/>
                <w:kern w:val="2"/>
                <w:u w:val="single"/>
                <w:lang w:val="en-GB"/>
                <w14:ligatures w14:val="standardContextual"/>
              </w:rPr>
              <w:t>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Two: Literature Review</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_Toc241176359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7</w:t>
            </w:r>
            <w:r w:rsidRPr="000C307D">
              <w:rPr>
                <w:rFonts w:eastAsia="Aptos" w:cs="Times New Roman"/>
                <w:noProof/>
                <w:webHidden/>
                <w:kern w:val="2"/>
                <w:lang w:val="en-GB"/>
                <w14:ligatures w14:val="standardContextual"/>
              </w:rPr>
              <w:fldChar w:fldCharType="end"/>
            </w:r>
          </w:hyperlink>
        </w:p>
        <w:p w14:paraId="16E09A6B"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60" w:history="1">
            <w:r w:rsidRPr="000C307D">
              <w:rPr>
                <w:rFonts w:eastAsia="Aptos" w:cs="Times New Roman"/>
                <w:noProof/>
                <w:color w:val="0563C1"/>
                <w:kern w:val="2"/>
                <w:u w:val="single"/>
                <w:lang w:val="en-GB"/>
                <w14:ligatures w14:val="standardContextual"/>
              </w:rPr>
              <w:t>2.1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Introduction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7</w:t>
            </w:r>
            <w:r w:rsidRPr="000C307D">
              <w:rPr>
                <w:rFonts w:eastAsia="Aptos" w:cs="Times New Roman"/>
                <w:noProof/>
                <w:webHidden/>
                <w:kern w:val="2"/>
                <w:lang w:val="en-GB"/>
                <w14:ligatures w14:val="standardContextual"/>
              </w:rPr>
              <w:fldChar w:fldCharType="end"/>
            </w:r>
          </w:hyperlink>
        </w:p>
        <w:p w14:paraId="4190A7FA"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61" w:history="1">
            <w:r w:rsidRPr="000C307D">
              <w:rPr>
                <w:rFonts w:eastAsia="Aptos" w:cs="Times New Roman"/>
                <w:noProof/>
                <w:color w:val="0563C1"/>
                <w:kern w:val="2"/>
                <w:u w:val="single"/>
                <w:lang w:val="en-GB"/>
                <w14:ligatures w14:val="standardContextual"/>
              </w:rPr>
              <w:t>2.2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Thematic Overview of the Literature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8</w:t>
            </w:r>
            <w:r w:rsidRPr="000C307D">
              <w:rPr>
                <w:rFonts w:eastAsia="Aptos" w:cs="Times New Roman"/>
                <w:noProof/>
                <w:webHidden/>
                <w:kern w:val="2"/>
                <w:lang w:val="en-GB"/>
                <w14:ligatures w14:val="standardContextual"/>
              </w:rPr>
              <w:fldChar w:fldCharType="end"/>
            </w:r>
          </w:hyperlink>
        </w:p>
        <w:p w14:paraId="658908FF"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62" w:history="1">
            <w:r w:rsidRPr="000C307D">
              <w:rPr>
                <w:rFonts w:eastAsia="Aptos" w:cs="Times New Roman"/>
                <w:noProof/>
                <w:color w:val="0563C1"/>
                <w:kern w:val="2"/>
                <w:u w:val="single"/>
                <w:lang w:val="en-GB"/>
                <w14:ligatures w14:val="standardContextual"/>
              </w:rPr>
              <w:t>2.3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Perceived Authenticity in Anime–Fashion Collaborations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8</w:t>
            </w:r>
            <w:r w:rsidRPr="000C307D">
              <w:rPr>
                <w:rFonts w:eastAsia="Aptos" w:cs="Times New Roman"/>
                <w:noProof/>
                <w:webHidden/>
                <w:kern w:val="2"/>
                <w:lang w:val="en-GB"/>
                <w14:ligatures w14:val="standardContextual"/>
              </w:rPr>
              <w:fldChar w:fldCharType="end"/>
            </w:r>
          </w:hyperlink>
        </w:p>
        <w:p w14:paraId="552AFD0C"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63" w:history="1">
            <w:r w:rsidRPr="000C307D">
              <w:rPr>
                <w:rFonts w:eastAsia="Aptos" w:cs="Times New Roman"/>
                <w:noProof/>
                <w:color w:val="0563C1"/>
                <w:kern w:val="2"/>
                <w:u w:val="single"/>
                <w:lang w:val="en-GB"/>
                <w14:ligatures w14:val="standardContextual"/>
              </w:rPr>
              <w:t>2.4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Brand–Anime Fit and Collaborative Brand Evaluation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10</w:t>
            </w:r>
            <w:r w:rsidRPr="000C307D">
              <w:rPr>
                <w:rFonts w:eastAsia="Aptos" w:cs="Times New Roman"/>
                <w:noProof/>
                <w:webHidden/>
                <w:kern w:val="2"/>
                <w:lang w:val="en-GB"/>
                <w14:ligatures w14:val="standardContextual"/>
              </w:rPr>
              <w:fldChar w:fldCharType="end"/>
            </w:r>
          </w:hyperlink>
        </w:p>
        <w:p w14:paraId="6D3A8A1A"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64" w:history="1">
            <w:r w:rsidRPr="000C307D">
              <w:rPr>
                <w:rFonts w:eastAsia="Aptos" w:cs="Times New Roman"/>
                <w:noProof/>
                <w:color w:val="0563C1"/>
                <w:kern w:val="2"/>
                <w:u w:val="single"/>
                <w:lang w:val="en-GB"/>
                <w14:ligatures w14:val="standardContextual"/>
              </w:rPr>
              <w:t>2.5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Anime Involvement, Fandom and Generation Z Identity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12</w:t>
            </w:r>
            <w:r w:rsidRPr="000C307D">
              <w:rPr>
                <w:rFonts w:eastAsia="Aptos" w:cs="Times New Roman"/>
                <w:noProof/>
                <w:webHidden/>
                <w:kern w:val="2"/>
                <w:lang w:val="en-GB"/>
                <w14:ligatures w14:val="standardContextual"/>
              </w:rPr>
              <w:fldChar w:fldCharType="end"/>
            </w:r>
          </w:hyperlink>
        </w:p>
        <w:p w14:paraId="79D0F1FD"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65" w:history="1">
            <w:r w:rsidRPr="000C307D">
              <w:rPr>
                <w:rFonts w:eastAsia="Aptos" w:cs="Times New Roman"/>
                <w:noProof/>
                <w:color w:val="0563C1"/>
                <w:kern w:val="2"/>
                <w:u w:val="single"/>
                <w:lang w:val="en-GB"/>
                <w14:ligatures w14:val="standardContextual"/>
              </w:rPr>
              <w:t>2.6</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Consumer Engagement and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13</w:t>
            </w:r>
            <w:r w:rsidRPr="000C307D">
              <w:rPr>
                <w:rFonts w:eastAsia="Aptos" w:cs="Times New Roman"/>
                <w:noProof/>
                <w:webHidden/>
                <w:kern w:val="2"/>
                <w:lang w:val="en-GB"/>
                <w14:ligatures w14:val="standardContextual"/>
              </w:rPr>
              <w:fldChar w:fldCharType="end"/>
            </w:r>
          </w:hyperlink>
        </w:p>
        <w:p w14:paraId="5FE08280"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66" w:history="1">
            <w:r w:rsidRPr="000C307D">
              <w:rPr>
                <w:rFonts w:eastAsia="Aptos" w:cs="Times New Roman"/>
                <w:noProof/>
                <w:color w:val="0563C1"/>
                <w:kern w:val="2"/>
                <w:u w:val="single"/>
                <w:lang w:val="en-GB"/>
                <w14:ligatures w14:val="standardContextual"/>
              </w:rPr>
              <w:t>2.7</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Theoretical Foundation and Contribution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15</w:t>
            </w:r>
            <w:r w:rsidRPr="000C307D">
              <w:rPr>
                <w:rFonts w:eastAsia="Aptos" w:cs="Times New Roman"/>
                <w:noProof/>
                <w:webHidden/>
                <w:kern w:val="2"/>
                <w:lang w:val="en-GB"/>
                <w14:ligatures w14:val="standardContextual"/>
              </w:rPr>
              <w:fldChar w:fldCharType="end"/>
            </w:r>
          </w:hyperlink>
        </w:p>
        <w:p w14:paraId="42FB51A0"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67" w:history="1">
            <w:r w:rsidRPr="000C307D">
              <w:rPr>
                <w:rFonts w:eastAsia="Aptos" w:cs="Times New Roman"/>
                <w:noProof/>
                <w:color w:val="0563C1"/>
                <w:kern w:val="2"/>
                <w:u w:val="single"/>
                <w:lang w:val="en-GB"/>
                <w14:ligatures w14:val="standardContextual"/>
              </w:rPr>
              <w:t>2.7.1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Theoretical Foundation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15</w:t>
            </w:r>
            <w:r w:rsidRPr="000C307D">
              <w:rPr>
                <w:rFonts w:eastAsia="Aptos" w:cs="Times New Roman"/>
                <w:noProof/>
                <w:webHidden/>
                <w:kern w:val="2"/>
                <w:lang w:val="en-GB"/>
                <w14:ligatures w14:val="standardContextual"/>
              </w:rPr>
              <w:fldChar w:fldCharType="end"/>
            </w:r>
          </w:hyperlink>
        </w:p>
        <w:p w14:paraId="3E773AE5"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68" w:history="1">
            <w:r w:rsidRPr="000C307D">
              <w:rPr>
                <w:rFonts w:eastAsia="Aptos" w:cs="Times New Roman"/>
                <w:noProof/>
                <w:color w:val="0563C1"/>
                <w:kern w:val="2"/>
                <w:u w:val="single"/>
                <w:lang w:val="en-GB"/>
                <w14:ligatures w14:val="standardContextual"/>
              </w:rPr>
              <w:t>2.7.2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Justification of the Theoretical Choice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16</w:t>
            </w:r>
            <w:r w:rsidRPr="000C307D">
              <w:rPr>
                <w:rFonts w:eastAsia="Aptos" w:cs="Times New Roman"/>
                <w:noProof/>
                <w:webHidden/>
                <w:kern w:val="2"/>
                <w:lang w:val="en-GB"/>
                <w14:ligatures w14:val="standardContextual"/>
              </w:rPr>
              <w:fldChar w:fldCharType="end"/>
            </w:r>
          </w:hyperlink>
        </w:p>
        <w:p w14:paraId="7F1B3FE0"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69" w:history="1">
            <w:r w:rsidRPr="000C307D">
              <w:rPr>
                <w:rFonts w:eastAsia="Aptos" w:cs="Times New Roman"/>
                <w:noProof/>
                <w:color w:val="0563C1"/>
                <w:kern w:val="2"/>
                <w:u w:val="single"/>
                <w:lang w:val="en-GB"/>
                <w14:ligatures w14:val="standardContextual"/>
              </w:rPr>
              <w:t>2.7.3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Contribution to Theory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_Toc241176369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16</w:t>
            </w:r>
            <w:r w:rsidRPr="000C307D">
              <w:rPr>
                <w:rFonts w:eastAsia="Aptos" w:cs="Times New Roman"/>
                <w:noProof/>
                <w:webHidden/>
                <w:kern w:val="2"/>
                <w:lang w:val="en-GB"/>
                <w14:ligatures w14:val="standardContextual"/>
              </w:rPr>
              <w:fldChar w:fldCharType="end"/>
            </w:r>
          </w:hyperlink>
        </w:p>
        <w:p w14:paraId="536E68AA"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70" w:history="1">
            <w:r w:rsidRPr="000C307D">
              <w:rPr>
                <w:rFonts w:eastAsia="Aptos" w:cs="Times New Roman"/>
                <w:noProof/>
                <w:color w:val="0563C1"/>
                <w:kern w:val="2"/>
                <w:u w:val="single"/>
                <w:lang w:val="en-GB"/>
                <w14:ligatures w14:val="standardContextual"/>
              </w:rPr>
              <w:t>2.8</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Conceptual Framework</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17</w:t>
            </w:r>
            <w:r w:rsidRPr="000C307D">
              <w:rPr>
                <w:rFonts w:eastAsia="Aptos" w:cs="Times New Roman"/>
                <w:noProof/>
                <w:webHidden/>
                <w:kern w:val="2"/>
                <w:lang w:val="en-GB"/>
                <w14:ligatures w14:val="standardContextual"/>
              </w:rPr>
              <w:fldChar w:fldCharType="end"/>
            </w:r>
          </w:hyperlink>
        </w:p>
        <w:p w14:paraId="4DB21800"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71" w:history="1">
            <w:r w:rsidRPr="000C307D">
              <w:rPr>
                <w:rFonts w:eastAsia="Aptos" w:cs="Times New Roman"/>
                <w:noProof/>
                <w:color w:val="0563C1"/>
                <w:kern w:val="2"/>
                <w:u w:val="single"/>
                <w:lang w:val="en-GB"/>
                <w14:ligatures w14:val="standardContextual"/>
              </w:rPr>
              <w:t>2.8.1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Purpose of the Conceptual Framework</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17</w:t>
            </w:r>
            <w:r w:rsidRPr="000C307D">
              <w:rPr>
                <w:rFonts w:eastAsia="Aptos" w:cs="Times New Roman"/>
                <w:noProof/>
                <w:webHidden/>
                <w:kern w:val="2"/>
                <w:lang w:val="en-GB"/>
                <w14:ligatures w14:val="standardContextual"/>
              </w:rPr>
              <w:fldChar w:fldCharType="end"/>
            </w:r>
          </w:hyperlink>
        </w:p>
        <w:p w14:paraId="444F9476"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72" w:history="1">
            <w:r w:rsidRPr="000C307D">
              <w:rPr>
                <w:rFonts w:eastAsia="Aptos" w:cs="Times New Roman"/>
                <w:noProof/>
                <w:color w:val="0563C1"/>
                <w:kern w:val="2"/>
                <w:u w:val="single"/>
                <w:lang w:val="en-GB"/>
                <w14:ligatures w14:val="standardContextual"/>
              </w:rPr>
              <w:t>2.8.2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Framework Components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17</w:t>
            </w:r>
            <w:r w:rsidRPr="000C307D">
              <w:rPr>
                <w:rFonts w:eastAsia="Aptos" w:cs="Times New Roman"/>
                <w:noProof/>
                <w:webHidden/>
                <w:kern w:val="2"/>
                <w:lang w:val="en-GB"/>
                <w14:ligatures w14:val="standardContextual"/>
              </w:rPr>
              <w:fldChar w:fldCharType="end"/>
            </w:r>
          </w:hyperlink>
        </w:p>
        <w:p w14:paraId="3BFF5240"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373" w:history="1">
            <w:r w:rsidRPr="000C307D">
              <w:rPr>
                <w:rFonts w:eastAsia="Aptos" w:cs="Times New Roman"/>
                <w:noProof/>
                <w:color w:val="0563C1"/>
                <w:kern w:val="2"/>
                <w:u w:val="single"/>
                <w:lang w:val="en-GB"/>
                <w14:ligatures w14:val="standardContextual"/>
              </w:rPr>
              <w:t>2.8.3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Application of the Framework</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18</w:t>
            </w:r>
            <w:r w:rsidRPr="000C307D">
              <w:rPr>
                <w:rFonts w:eastAsia="Aptos" w:cs="Times New Roman"/>
                <w:noProof/>
                <w:webHidden/>
                <w:kern w:val="2"/>
                <w:lang w:val="en-GB"/>
                <w14:ligatures w14:val="standardContextual"/>
              </w:rPr>
              <w:fldChar w:fldCharType="end"/>
            </w:r>
          </w:hyperlink>
        </w:p>
        <w:p w14:paraId="4D0343DB"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74" w:history="1">
            <w:r w:rsidRPr="000C307D">
              <w:rPr>
                <w:rFonts w:eastAsia="Aptos" w:cs="Times New Roman"/>
                <w:noProof/>
                <w:color w:val="0563C1"/>
                <w:kern w:val="2"/>
                <w:u w:val="single"/>
                <w:lang w:val="en-GB"/>
                <w14:ligatures w14:val="standardContextual"/>
              </w:rPr>
              <w:t>2.9</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Summary Table of Key Literature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19</w:t>
            </w:r>
            <w:r w:rsidRPr="000C307D">
              <w:rPr>
                <w:rFonts w:eastAsia="Aptos" w:cs="Times New Roman"/>
                <w:noProof/>
                <w:webHidden/>
                <w:kern w:val="2"/>
                <w:lang w:val="en-GB"/>
                <w14:ligatures w14:val="standardContextual"/>
              </w:rPr>
              <w:fldChar w:fldCharType="end"/>
            </w:r>
          </w:hyperlink>
        </w:p>
        <w:p w14:paraId="114F03E6"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75" w:history="1">
            <w:r w:rsidRPr="000C307D">
              <w:rPr>
                <w:rFonts w:eastAsia="Aptos" w:cs="Times New Roman"/>
                <w:noProof/>
                <w:color w:val="0563C1"/>
                <w:kern w:val="2"/>
                <w:u w:val="single"/>
                <w:lang w:val="en-GB"/>
                <w14:ligatures w14:val="standardContextual"/>
              </w:rPr>
              <w:t>2.10</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Conclusion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26</w:t>
            </w:r>
            <w:r w:rsidRPr="000C307D">
              <w:rPr>
                <w:rFonts w:eastAsia="Aptos" w:cs="Times New Roman"/>
                <w:noProof/>
                <w:webHidden/>
                <w:kern w:val="2"/>
                <w:lang w:val="en-GB"/>
                <w14:ligatures w14:val="standardContextual"/>
              </w:rPr>
              <w:fldChar w:fldCharType="end"/>
            </w:r>
          </w:hyperlink>
        </w:p>
        <w:p w14:paraId="1F555224"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hyperlink w:anchor="_Toc241176376" w:history="1">
            <w:r w:rsidRPr="000C307D">
              <w:rPr>
                <w:rFonts w:eastAsia="Aptos" w:cs="Times New Roman"/>
                <w:noProof/>
                <w:color w:val="0563C1"/>
                <w:kern w:val="2"/>
                <w:u w:val="single"/>
                <w:lang w:val="en-GB"/>
                <w14:ligatures w14:val="standardContextual"/>
              </w:rPr>
              <w:t>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Three: Methodology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27</w:t>
            </w:r>
            <w:r w:rsidRPr="000C307D">
              <w:rPr>
                <w:rFonts w:eastAsia="Aptos" w:cs="Times New Roman"/>
                <w:noProof/>
                <w:webHidden/>
                <w:kern w:val="2"/>
                <w:lang w:val="en-GB"/>
                <w14:ligatures w14:val="standardContextual"/>
              </w:rPr>
              <w:fldChar w:fldCharType="end"/>
            </w:r>
          </w:hyperlink>
        </w:p>
        <w:p w14:paraId="273D02C6"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77" w:history="1">
            <w:r w:rsidRPr="000C307D">
              <w:rPr>
                <w:rFonts w:eastAsia="Aptos" w:cs="Times New Roman"/>
                <w:noProof/>
                <w:color w:val="0563C1"/>
                <w:kern w:val="2"/>
                <w:u w:val="single"/>
                <w:lang w:val="en-GB"/>
                <w14:ligatures w14:val="standardContextual"/>
              </w:rPr>
              <w:t>3.1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Introduction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27</w:t>
            </w:r>
            <w:r w:rsidRPr="000C307D">
              <w:rPr>
                <w:rFonts w:eastAsia="Aptos" w:cs="Times New Roman"/>
                <w:noProof/>
                <w:webHidden/>
                <w:kern w:val="2"/>
                <w:lang w:val="en-GB"/>
                <w14:ligatures w14:val="standardContextual"/>
              </w:rPr>
              <w:fldChar w:fldCharType="end"/>
            </w:r>
          </w:hyperlink>
        </w:p>
        <w:p w14:paraId="6AA03BA5"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78" w:history="1">
            <w:r w:rsidRPr="000C307D">
              <w:rPr>
                <w:rFonts w:eastAsia="Aptos" w:cs="Times New Roman"/>
                <w:noProof/>
                <w:color w:val="0563C1"/>
                <w:kern w:val="2"/>
                <w:u w:val="single"/>
                <w:lang w:val="en-GB"/>
                <w14:ligatures w14:val="standardContextual"/>
              </w:rPr>
              <w:t>3.2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Philosophy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27</w:t>
            </w:r>
            <w:r w:rsidRPr="000C307D">
              <w:rPr>
                <w:rFonts w:eastAsia="Aptos" w:cs="Times New Roman"/>
                <w:noProof/>
                <w:webHidden/>
                <w:kern w:val="2"/>
                <w:lang w:val="en-GB"/>
                <w14:ligatures w14:val="standardContextual"/>
              </w:rPr>
              <w:fldChar w:fldCharType="end"/>
            </w:r>
          </w:hyperlink>
        </w:p>
        <w:p w14:paraId="201D215A"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79" w:history="1">
            <w:r w:rsidRPr="000C307D">
              <w:rPr>
                <w:rFonts w:eastAsia="Aptos" w:cs="Times New Roman"/>
                <w:noProof/>
                <w:color w:val="0563C1"/>
                <w:kern w:val="2"/>
                <w:u w:val="single"/>
                <w:lang w:val="en-GB"/>
                <w14:ligatures w14:val="standardContextual"/>
              </w:rPr>
              <w:t>3.3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Approach</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_Toc241176379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28</w:t>
            </w:r>
            <w:r w:rsidRPr="000C307D">
              <w:rPr>
                <w:rFonts w:eastAsia="Aptos" w:cs="Times New Roman"/>
                <w:noProof/>
                <w:webHidden/>
                <w:kern w:val="2"/>
                <w:lang w:val="en-GB"/>
                <w14:ligatures w14:val="standardContextual"/>
              </w:rPr>
              <w:fldChar w:fldCharType="end"/>
            </w:r>
          </w:hyperlink>
        </w:p>
        <w:p w14:paraId="18954F91"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0" w:history="1">
            <w:r w:rsidRPr="000C307D">
              <w:rPr>
                <w:rFonts w:eastAsia="Aptos" w:cs="Times New Roman"/>
                <w:noProof/>
                <w:color w:val="0563C1"/>
                <w:kern w:val="2"/>
                <w:u w:val="single"/>
                <w:lang w:val="en-GB"/>
                <w14:ligatures w14:val="standardContextual"/>
              </w:rPr>
              <w:t>3.4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Strategy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28</w:t>
            </w:r>
            <w:r w:rsidRPr="000C307D">
              <w:rPr>
                <w:rFonts w:eastAsia="Aptos" w:cs="Times New Roman"/>
                <w:noProof/>
                <w:webHidden/>
                <w:kern w:val="2"/>
                <w:lang w:val="en-GB"/>
                <w14:ligatures w14:val="standardContextual"/>
              </w:rPr>
              <w:fldChar w:fldCharType="end"/>
            </w:r>
          </w:hyperlink>
        </w:p>
        <w:p w14:paraId="331A274C"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1" w:history="1">
            <w:r w:rsidRPr="000C307D">
              <w:rPr>
                <w:rFonts w:eastAsia="Aptos" w:cs="Times New Roman"/>
                <w:noProof/>
                <w:color w:val="0563C1"/>
                <w:kern w:val="2"/>
                <w:u w:val="single"/>
                <w:lang w:val="en-GB"/>
                <w14:ligatures w14:val="standardContextual"/>
              </w:rPr>
              <w:t>3.5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Methodological Choice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29</w:t>
            </w:r>
            <w:r w:rsidRPr="000C307D">
              <w:rPr>
                <w:rFonts w:eastAsia="Aptos" w:cs="Times New Roman"/>
                <w:noProof/>
                <w:webHidden/>
                <w:kern w:val="2"/>
                <w:lang w:val="en-GB"/>
                <w14:ligatures w14:val="standardContextual"/>
              </w:rPr>
              <w:fldChar w:fldCharType="end"/>
            </w:r>
          </w:hyperlink>
        </w:p>
        <w:p w14:paraId="0D625C3D"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2" w:history="1">
            <w:r w:rsidRPr="000C307D">
              <w:rPr>
                <w:rFonts w:eastAsia="Aptos" w:cs="Times New Roman"/>
                <w:noProof/>
                <w:color w:val="0563C1"/>
                <w:kern w:val="2"/>
                <w:u w:val="single"/>
                <w:lang w:val="en-GB"/>
                <w14:ligatures w14:val="standardContextual"/>
              </w:rPr>
              <w:t>3.6</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Time Horizon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29</w:t>
            </w:r>
            <w:r w:rsidRPr="000C307D">
              <w:rPr>
                <w:rFonts w:eastAsia="Aptos" w:cs="Times New Roman"/>
                <w:noProof/>
                <w:webHidden/>
                <w:kern w:val="2"/>
                <w:lang w:val="en-GB"/>
                <w14:ligatures w14:val="standardContextual"/>
              </w:rPr>
              <w:fldChar w:fldCharType="end"/>
            </w:r>
          </w:hyperlink>
        </w:p>
        <w:p w14:paraId="11794A88"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3" w:history="1">
            <w:r w:rsidRPr="000C307D">
              <w:rPr>
                <w:rFonts w:eastAsia="Aptos" w:cs="Times New Roman"/>
                <w:noProof/>
                <w:color w:val="0563C1"/>
                <w:kern w:val="2"/>
                <w:u w:val="single"/>
                <w:lang w:val="en-GB"/>
                <w14:ligatures w14:val="standardContextual"/>
              </w:rPr>
              <w:t>3.7</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Research Population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30</w:t>
            </w:r>
            <w:r w:rsidRPr="000C307D">
              <w:rPr>
                <w:rFonts w:eastAsia="Aptos" w:cs="Times New Roman"/>
                <w:noProof/>
                <w:webHidden/>
                <w:kern w:val="2"/>
                <w:lang w:val="en-GB"/>
                <w14:ligatures w14:val="standardContextual"/>
              </w:rPr>
              <w:fldChar w:fldCharType="end"/>
            </w:r>
          </w:hyperlink>
        </w:p>
        <w:p w14:paraId="752D09FC"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4" w:history="1">
            <w:r w:rsidRPr="000C307D">
              <w:rPr>
                <w:rFonts w:eastAsia="Aptos" w:cs="Times New Roman"/>
                <w:noProof/>
                <w:color w:val="0563C1"/>
                <w:kern w:val="2"/>
                <w:u w:val="single"/>
                <w:lang w:val="en-GB"/>
                <w14:ligatures w14:val="standardContextual"/>
              </w:rPr>
              <w:t>3.8</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Sampling Technique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30</w:t>
            </w:r>
            <w:r w:rsidRPr="000C307D">
              <w:rPr>
                <w:rFonts w:eastAsia="Aptos" w:cs="Times New Roman"/>
                <w:noProof/>
                <w:webHidden/>
                <w:kern w:val="2"/>
                <w:lang w:val="en-GB"/>
                <w14:ligatures w14:val="standardContextual"/>
              </w:rPr>
              <w:fldChar w:fldCharType="end"/>
            </w:r>
          </w:hyperlink>
        </w:p>
        <w:p w14:paraId="5BE50CCB"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5" w:history="1">
            <w:r w:rsidRPr="000C307D">
              <w:rPr>
                <w:rFonts w:eastAsia="Aptos" w:cs="Times New Roman"/>
                <w:noProof/>
                <w:color w:val="0563C1"/>
                <w:kern w:val="2"/>
                <w:u w:val="single"/>
                <w:lang w:val="en-GB"/>
                <w14:ligatures w14:val="standardContextual"/>
              </w:rPr>
              <w:t>3.9</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Sample Size Justification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31</w:t>
            </w:r>
            <w:r w:rsidRPr="000C307D">
              <w:rPr>
                <w:rFonts w:eastAsia="Aptos" w:cs="Times New Roman"/>
                <w:noProof/>
                <w:webHidden/>
                <w:kern w:val="2"/>
                <w:lang w:val="en-GB"/>
                <w14:ligatures w14:val="standardContextual"/>
              </w:rPr>
              <w:fldChar w:fldCharType="end"/>
            </w:r>
          </w:hyperlink>
        </w:p>
        <w:p w14:paraId="7D28B882"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6" w:history="1">
            <w:r w:rsidRPr="000C307D">
              <w:rPr>
                <w:rFonts w:eastAsia="Aptos" w:cs="Times New Roman"/>
                <w:noProof/>
                <w:color w:val="0563C1"/>
                <w:kern w:val="2"/>
                <w:u w:val="single"/>
                <w:lang w:val="en-GB"/>
                <w14:ligatures w14:val="standardContextual"/>
              </w:rPr>
              <w:t>3.10</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Questionnaire Design and Measurement of Variables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31</w:t>
            </w:r>
            <w:r w:rsidRPr="000C307D">
              <w:rPr>
                <w:rFonts w:eastAsia="Aptos" w:cs="Times New Roman"/>
                <w:noProof/>
                <w:webHidden/>
                <w:kern w:val="2"/>
                <w:lang w:val="en-GB"/>
                <w14:ligatures w14:val="standardContextual"/>
              </w:rPr>
              <w:fldChar w:fldCharType="end"/>
            </w:r>
          </w:hyperlink>
        </w:p>
        <w:p w14:paraId="1E3B6198"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7" w:history="1">
            <w:r w:rsidRPr="000C307D">
              <w:rPr>
                <w:rFonts w:eastAsia="Aptos" w:cs="Times New Roman"/>
                <w:noProof/>
                <w:color w:val="0563C1"/>
                <w:kern w:val="2"/>
                <w:u w:val="single"/>
                <w:lang w:val="en-GB"/>
                <w14:ligatures w14:val="standardContextual"/>
              </w:rPr>
              <w:t>3.11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Data Collection Procedure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32</w:t>
            </w:r>
            <w:r w:rsidRPr="000C307D">
              <w:rPr>
                <w:rFonts w:eastAsia="Aptos" w:cs="Times New Roman"/>
                <w:noProof/>
                <w:webHidden/>
                <w:kern w:val="2"/>
                <w:lang w:val="en-GB"/>
                <w14:ligatures w14:val="standardContextual"/>
              </w:rPr>
              <w:fldChar w:fldCharType="end"/>
            </w:r>
          </w:hyperlink>
        </w:p>
        <w:p w14:paraId="671BBC30"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8" w:history="1">
            <w:r w:rsidRPr="000C307D">
              <w:rPr>
                <w:rFonts w:eastAsia="Aptos" w:cs="Times New Roman"/>
                <w:noProof/>
                <w:color w:val="0563C1"/>
                <w:kern w:val="2"/>
                <w:u w:val="single"/>
                <w:lang w:val="en-GB"/>
                <w14:ligatures w14:val="standardContextual"/>
              </w:rPr>
              <w:t>3.12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Reliability and Validity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33</w:t>
            </w:r>
            <w:r w:rsidRPr="000C307D">
              <w:rPr>
                <w:rFonts w:eastAsia="Aptos" w:cs="Times New Roman"/>
                <w:noProof/>
                <w:webHidden/>
                <w:kern w:val="2"/>
                <w:lang w:val="en-GB"/>
                <w14:ligatures w14:val="standardContextual"/>
              </w:rPr>
              <w:fldChar w:fldCharType="end"/>
            </w:r>
          </w:hyperlink>
        </w:p>
        <w:p w14:paraId="2E0F7194"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89" w:history="1">
            <w:r w:rsidRPr="000C307D">
              <w:rPr>
                <w:rFonts w:eastAsia="Aptos" w:cs="Times New Roman"/>
                <w:noProof/>
                <w:color w:val="0563C1"/>
                <w:kern w:val="2"/>
                <w:u w:val="single"/>
                <w:lang w:val="en-GB"/>
                <w14:ligatures w14:val="standardContextual"/>
              </w:rPr>
              <w:t>3.13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Data Analysis Techniques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_Toc241176389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33</w:t>
            </w:r>
            <w:r w:rsidRPr="000C307D">
              <w:rPr>
                <w:rFonts w:eastAsia="Aptos" w:cs="Times New Roman"/>
                <w:noProof/>
                <w:webHidden/>
                <w:kern w:val="2"/>
                <w:lang w:val="en-GB"/>
                <w14:ligatures w14:val="standardContextual"/>
              </w:rPr>
              <w:fldChar w:fldCharType="end"/>
            </w:r>
          </w:hyperlink>
        </w:p>
        <w:p w14:paraId="21850313"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0" w:history="1">
            <w:r w:rsidRPr="000C307D">
              <w:rPr>
                <w:rFonts w:eastAsia="Aptos" w:cs="Times New Roman"/>
                <w:noProof/>
                <w:color w:val="0563C1"/>
                <w:kern w:val="2"/>
                <w:u w:val="single"/>
                <w:lang w:val="en-GB"/>
                <w14:ligatures w14:val="standardContextual"/>
              </w:rPr>
              <w:t>3.14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Ethical Considerations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34</w:t>
            </w:r>
            <w:r w:rsidRPr="000C307D">
              <w:rPr>
                <w:rFonts w:eastAsia="Aptos" w:cs="Times New Roman"/>
                <w:noProof/>
                <w:webHidden/>
                <w:kern w:val="2"/>
                <w:lang w:val="en-GB"/>
                <w14:ligatures w14:val="standardContextual"/>
              </w:rPr>
              <w:fldChar w:fldCharType="end"/>
            </w:r>
          </w:hyperlink>
        </w:p>
        <w:p w14:paraId="06D3AE3F"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1" w:history="1">
            <w:r w:rsidRPr="000C307D">
              <w:rPr>
                <w:rFonts w:eastAsia="Aptos" w:cs="Times New Roman"/>
                <w:noProof/>
                <w:color w:val="0563C1"/>
                <w:kern w:val="2"/>
                <w:u w:val="single"/>
                <w:lang w:val="en-GB"/>
                <w14:ligatures w14:val="standardContextual"/>
              </w:rPr>
              <w:t>3.15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Summary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34</w:t>
            </w:r>
            <w:r w:rsidRPr="000C307D">
              <w:rPr>
                <w:rFonts w:eastAsia="Aptos" w:cs="Times New Roman"/>
                <w:noProof/>
                <w:webHidden/>
                <w:kern w:val="2"/>
                <w:lang w:val="en-GB"/>
                <w14:ligatures w14:val="standardContextual"/>
              </w:rPr>
              <w:fldChar w:fldCharType="end"/>
            </w:r>
          </w:hyperlink>
        </w:p>
        <w:p w14:paraId="01D05F29"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hyperlink w:anchor="_Toc241176392" w:history="1">
            <w:r w:rsidRPr="000C307D">
              <w:rPr>
                <w:rFonts w:eastAsia="Aptos" w:cs="Times New Roman"/>
                <w:noProof/>
                <w:color w:val="0563C1"/>
                <w:kern w:val="2"/>
                <w:u w:val="single"/>
                <w:lang w:val="en-GB"/>
                <w14:ligatures w14:val="standardContextual"/>
              </w:rPr>
              <w:t>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Four: Results and Analysis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35</w:t>
            </w:r>
            <w:r w:rsidRPr="000C307D">
              <w:rPr>
                <w:rFonts w:eastAsia="Aptos" w:cs="Times New Roman"/>
                <w:noProof/>
                <w:webHidden/>
                <w:kern w:val="2"/>
                <w:lang w:val="en-GB"/>
                <w14:ligatures w14:val="standardContextual"/>
              </w:rPr>
              <w:fldChar w:fldCharType="end"/>
            </w:r>
          </w:hyperlink>
        </w:p>
        <w:p w14:paraId="31DF6B2E"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3" w:history="1">
            <w:r w:rsidRPr="000C307D">
              <w:rPr>
                <w:rFonts w:eastAsia="Aptos" w:cs="Times New Roman"/>
                <w:noProof/>
                <w:color w:val="0563C1"/>
                <w:kern w:val="2"/>
                <w:u w:val="single"/>
                <w:lang w:val="en-GB"/>
                <w14:ligatures w14:val="standardContextual"/>
              </w:rPr>
              <w:t>4.1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Introduction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35</w:t>
            </w:r>
            <w:r w:rsidRPr="000C307D">
              <w:rPr>
                <w:rFonts w:eastAsia="Aptos" w:cs="Times New Roman"/>
                <w:noProof/>
                <w:webHidden/>
                <w:kern w:val="2"/>
                <w:lang w:val="en-GB"/>
                <w14:ligatures w14:val="standardContextual"/>
              </w:rPr>
              <w:fldChar w:fldCharType="end"/>
            </w:r>
          </w:hyperlink>
        </w:p>
        <w:p w14:paraId="631FA1E5"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4" w:history="1">
            <w:r w:rsidRPr="000C307D">
              <w:rPr>
                <w:rFonts w:eastAsia="Aptos" w:cs="Times New Roman"/>
                <w:noProof/>
                <w:color w:val="0563C1"/>
                <w:kern w:val="2"/>
                <w:u w:val="single"/>
                <w:lang w:val="en-GB"/>
                <w14:ligatures w14:val="standardContextual"/>
              </w:rPr>
              <w:t>4.2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Missing Data Analysis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36</w:t>
            </w:r>
            <w:r w:rsidRPr="000C307D">
              <w:rPr>
                <w:rFonts w:eastAsia="Aptos" w:cs="Times New Roman"/>
                <w:noProof/>
                <w:webHidden/>
                <w:kern w:val="2"/>
                <w:lang w:val="en-GB"/>
                <w14:ligatures w14:val="standardContextual"/>
              </w:rPr>
              <w:fldChar w:fldCharType="end"/>
            </w:r>
          </w:hyperlink>
        </w:p>
        <w:p w14:paraId="4F92CB65"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5" w:history="1">
            <w:r w:rsidRPr="000C307D">
              <w:rPr>
                <w:rFonts w:eastAsia="Aptos" w:cs="Times New Roman"/>
                <w:noProof/>
                <w:color w:val="0563C1"/>
                <w:kern w:val="2"/>
                <w:u w:val="single"/>
                <w:lang w:val="en-GB"/>
                <w14:ligatures w14:val="standardContextual"/>
              </w:rPr>
              <w:t>4.3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Demographic and Sample Profile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37</w:t>
            </w:r>
            <w:r w:rsidRPr="000C307D">
              <w:rPr>
                <w:rFonts w:eastAsia="Aptos" w:cs="Times New Roman"/>
                <w:noProof/>
                <w:webHidden/>
                <w:kern w:val="2"/>
                <w:lang w:val="en-GB"/>
                <w14:ligatures w14:val="standardContextual"/>
              </w:rPr>
              <w:fldChar w:fldCharType="end"/>
            </w:r>
          </w:hyperlink>
        </w:p>
        <w:p w14:paraId="4D91CF89"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6" w:history="1">
            <w:r w:rsidRPr="000C307D">
              <w:rPr>
                <w:rFonts w:eastAsia="Aptos" w:cs="Times New Roman"/>
                <w:noProof/>
                <w:color w:val="0563C1"/>
                <w:kern w:val="2"/>
                <w:u w:val="single"/>
                <w:lang w:val="en-GB"/>
                <w14:ligatures w14:val="standardContextual"/>
              </w:rPr>
              <w:t>4.4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Reliability Analysis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43</w:t>
            </w:r>
            <w:r w:rsidRPr="000C307D">
              <w:rPr>
                <w:rFonts w:eastAsia="Aptos" w:cs="Times New Roman"/>
                <w:noProof/>
                <w:webHidden/>
                <w:kern w:val="2"/>
                <w:lang w:val="en-GB"/>
                <w14:ligatures w14:val="standardContextual"/>
              </w:rPr>
              <w:fldChar w:fldCharType="end"/>
            </w:r>
          </w:hyperlink>
        </w:p>
        <w:p w14:paraId="6DD39F8C"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7" w:history="1">
            <w:r w:rsidRPr="000C307D">
              <w:rPr>
                <w:rFonts w:eastAsia="Aptos" w:cs="Times New Roman"/>
                <w:noProof/>
                <w:color w:val="0563C1"/>
                <w:kern w:val="2"/>
                <w:u w:val="single"/>
                <w:lang w:val="en-GB"/>
                <w14:ligatures w14:val="standardContextual"/>
              </w:rPr>
              <w:t>4.5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Descriptive Statistics for Main Constructs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44</w:t>
            </w:r>
            <w:r w:rsidRPr="000C307D">
              <w:rPr>
                <w:rFonts w:eastAsia="Aptos" w:cs="Times New Roman"/>
                <w:noProof/>
                <w:webHidden/>
                <w:kern w:val="2"/>
                <w:lang w:val="en-GB"/>
                <w14:ligatures w14:val="standardContextual"/>
              </w:rPr>
              <w:fldChar w:fldCharType="end"/>
            </w:r>
          </w:hyperlink>
        </w:p>
        <w:p w14:paraId="6A9CA376"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8" w:history="1">
            <w:r w:rsidRPr="000C307D">
              <w:rPr>
                <w:rFonts w:eastAsia="Aptos" w:cs="Times New Roman"/>
                <w:noProof/>
                <w:color w:val="0563C1"/>
                <w:kern w:val="2"/>
                <w:u w:val="single"/>
                <w:lang w:val="en-GB"/>
                <w14:ligatures w14:val="standardContextual"/>
              </w:rPr>
              <w:t>4.6</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Regression Diagnostic Assumptions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45</w:t>
            </w:r>
            <w:r w:rsidRPr="000C307D">
              <w:rPr>
                <w:rFonts w:eastAsia="Aptos" w:cs="Times New Roman"/>
                <w:noProof/>
                <w:webHidden/>
                <w:kern w:val="2"/>
                <w:lang w:val="en-GB"/>
                <w14:ligatures w14:val="standardContextual"/>
              </w:rPr>
              <w:fldChar w:fldCharType="end"/>
            </w:r>
          </w:hyperlink>
        </w:p>
        <w:p w14:paraId="1637CB66"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399" w:history="1">
            <w:r w:rsidRPr="000C307D">
              <w:rPr>
                <w:rFonts w:eastAsia="Aptos" w:cs="Times New Roman"/>
                <w:noProof/>
                <w:color w:val="0563C1"/>
                <w:kern w:val="2"/>
                <w:u w:val="single"/>
                <w:lang w:val="en-GB"/>
                <w14:ligatures w14:val="standardContextual"/>
              </w:rPr>
              <w:t>4.7</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Regression Assumptions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_Toc241176399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48</w:t>
            </w:r>
            <w:r w:rsidRPr="000C307D">
              <w:rPr>
                <w:rFonts w:eastAsia="Aptos" w:cs="Times New Roman"/>
                <w:noProof/>
                <w:webHidden/>
                <w:kern w:val="2"/>
                <w:lang w:val="en-GB"/>
                <w14:ligatures w14:val="standardContextual"/>
              </w:rPr>
              <w:fldChar w:fldCharType="end"/>
            </w:r>
          </w:hyperlink>
        </w:p>
        <w:p w14:paraId="7582C03F"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00" w:history="1">
            <w:r w:rsidRPr="000C307D">
              <w:rPr>
                <w:rFonts w:eastAsia="Aptos" w:cs="Times New Roman"/>
                <w:noProof/>
                <w:color w:val="0563C1"/>
                <w:kern w:val="2"/>
                <w:u w:val="single"/>
                <w:lang w:val="en-GB"/>
                <w14:ligatures w14:val="standardContextual"/>
              </w:rPr>
              <w:t>4.7.1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Perceived Authenticity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48</w:t>
            </w:r>
            <w:r w:rsidRPr="000C307D">
              <w:rPr>
                <w:rFonts w:eastAsia="Aptos" w:cs="Times New Roman"/>
                <w:noProof/>
                <w:webHidden/>
                <w:kern w:val="2"/>
                <w:lang w:val="en-GB"/>
                <w14:ligatures w14:val="standardContextual"/>
              </w:rPr>
              <w:fldChar w:fldCharType="end"/>
            </w:r>
          </w:hyperlink>
        </w:p>
        <w:p w14:paraId="341639EE"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01" w:history="1">
            <w:r w:rsidRPr="000C307D">
              <w:rPr>
                <w:rFonts w:eastAsia="Aptos" w:cs="Times New Roman"/>
                <w:noProof/>
                <w:color w:val="0563C1"/>
                <w:kern w:val="2"/>
                <w:u w:val="single"/>
                <w:lang w:val="en-GB"/>
                <w14:ligatures w14:val="standardContextual"/>
              </w:rPr>
              <w:t>4.7.2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Brand–Anime Fit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49</w:t>
            </w:r>
            <w:r w:rsidRPr="000C307D">
              <w:rPr>
                <w:rFonts w:eastAsia="Aptos" w:cs="Times New Roman"/>
                <w:noProof/>
                <w:webHidden/>
                <w:kern w:val="2"/>
                <w:lang w:val="en-GB"/>
                <w14:ligatures w14:val="standardContextual"/>
              </w:rPr>
              <w:fldChar w:fldCharType="end"/>
            </w:r>
          </w:hyperlink>
        </w:p>
        <w:p w14:paraId="53B941D7"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02" w:history="1">
            <w:r w:rsidRPr="000C307D">
              <w:rPr>
                <w:rFonts w:eastAsia="Aptos" w:cs="Times New Roman"/>
                <w:noProof/>
                <w:color w:val="0563C1"/>
                <w:kern w:val="2"/>
                <w:u w:val="single"/>
                <w:lang w:val="en-GB"/>
                <w14:ligatures w14:val="standardContextual"/>
              </w:rPr>
              <w:t>4.7.3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Anime Involvement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51</w:t>
            </w:r>
            <w:r w:rsidRPr="000C307D">
              <w:rPr>
                <w:rFonts w:eastAsia="Aptos" w:cs="Times New Roman"/>
                <w:noProof/>
                <w:webHidden/>
                <w:kern w:val="2"/>
                <w:lang w:val="en-GB"/>
                <w14:ligatures w14:val="standardContextual"/>
              </w:rPr>
              <w:fldChar w:fldCharType="end"/>
            </w:r>
          </w:hyperlink>
        </w:p>
        <w:p w14:paraId="051FC1E8"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03" w:history="1">
            <w:r w:rsidRPr="000C307D">
              <w:rPr>
                <w:rFonts w:eastAsia="Aptos" w:cs="Times New Roman"/>
                <w:noProof/>
                <w:color w:val="0563C1"/>
                <w:kern w:val="2"/>
                <w:u w:val="single"/>
                <w:lang w:val="en-GB"/>
                <w14:ligatures w14:val="standardContextual"/>
              </w:rPr>
              <w:t>4.7.4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52</w:t>
            </w:r>
            <w:r w:rsidRPr="000C307D">
              <w:rPr>
                <w:rFonts w:eastAsia="Aptos" w:cs="Times New Roman"/>
                <w:noProof/>
                <w:webHidden/>
                <w:kern w:val="2"/>
                <w:lang w:val="en-GB"/>
                <w14:ligatures w14:val="standardContextual"/>
              </w:rPr>
              <w:fldChar w:fldCharType="end"/>
            </w:r>
          </w:hyperlink>
        </w:p>
        <w:p w14:paraId="2E5E8ADE"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04" w:history="1">
            <w:r w:rsidRPr="000C307D">
              <w:rPr>
                <w:rFonts w:eastAsia="Aptos" w:cs="Times New Roman"/>
                <w:noProof/>
                <w:color w:val="0563C1"/>
                <w:kern w:val="2"/>
                <w:u w:val="single"/>
                <w:lang w:val="en-GB"/>
                <w14:ligatures w14:val="standardContextual"/>
              </w:rPr>
              <w:t>4.7.5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53</w:t>
            </w:r>
            <w:r w:rsidRPr="000C307D">
              <w:rPr>
                <w:rFonts w:eastAsia="Aptos" w:cs="Times New Roman"/>
                <w:noProof/>
                <w:webHidden/>
                <w:kern w:val="2"/>
                <w:lang w:val="en-GB"/>
                <w14:ligatures w14:val="standardContextual"/>
              </w:rPr>
              <w:fldChar w:fldCharType="end"/>
            </w:r>
          </w:hyperlink>
        </w:p>
        <w:p w14:paraId="7C023937"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05" w:history="1">
            <w:r w:rsidRPr="000C307D">
              <w:rPr>
                <w:rFonts w:eastAsia="Aptos" w:cs="Times New Roman"/>
                <w:noProof/>
                <w:color w:val="0563C1"/>
                <w:kern w:val="2"/>
                <w:u w:val="single"/>
                <w:lang w:val="en-GB"/>
                <w14:ligatures w14:val="standardContextual"/>
              </w:rPr>
              <w:t>4.8</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Pearson Correlation Analysis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55</w:t>
            </w:r>
            <w:r w:rsidRPr="000C307D">
              <w:rPr>
                <w:rFonts w:eastAsia="Aptos" w:cs="Times New Roman"/>
                <w:noProof/>
                <w:webHidden/>
                <w:kern w:val="2"/>
                <w:lang w:val="en-GB"/>
                <w14:ligatures w14:val="standardContextual"/>
              </w:rPr>
              <w:fldChar w:fldCharType="end"/>
            </w:r>
          </w:hyperlink>
        </w:p>
        <w:p w14:paraId="7C59F9A0"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06" w:history="1">
            <w:r w:rsidRPr="000C307D">
              <w:rPr>
                <w:rFonts w:eastAsia="Aptos" w:cs="Times New Roman"/>
                <w:noProof/>
                <w:color w:val="0563C1"/>
                <w:kern w:val="2"/>
                <w:u w:val="single"/>
                <w:lang w:val="en-GB"/>
                <w14:ligatures w14:val="standardContextual"/>
              </w:rPr>
              <w:t>4.9</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Multiple Regression: H1, H2 and H3</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56</w:t>
            </w:r>
            <w:r w:rsidRPr="000C307D">
              <w:rPr>
                <w:rFonts w:eastAsia="Aptos" w:cs="Times New Roman"/>
                <w:noProof/>
                <w:webHidden/>
                <w:kern w:val="2"/>
                <w:lang w:val="en-GB"/>
                <w14:ligatures w14:val="standardContextual"/>
              </w:rPr>
              <w:fldChar w:fldCharType="end"/>
            </w:r>
          </w:hyperlink>
        </w:p>
        <w:p w14:paraId="22CA58B3"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07" w:history="1">
            <w:r w:rsidRPr="000C307D">
              <w:rPr>
                <w:rFonts w:eastAsia="Aptos" w:cs="Times New Roman"/>
                <w:noProof/>
                <w:color w:val="0563C1"/>
                <w:kern w:val="2"/>
                <w:u w:val="single"/>
                <w:lang w:val="en-GB"/>
                <w14:ligatures w14:val="standardContextual"/>
              </w:rPr>
              <w:t>4.10</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Simple Linear Regression: H4</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57</w:t>
            </w:r>
            <w:r w:rsidRPr="000C307D">
              <w:rPr>
                <w:rFonts w:eastAsia="Aptos" w:cs="Times New Roman"/>
                <w:noProof/>
                <w:webHidden/>
                <w:kern w:val="2"/>
                <w:lang w:val="en-GB"/>
                <w14:ligatures w14:val="standardContextual"/>
              </w:rPr>
              <w:fldChar w:fldCharType="end"/>
            </w:r>
          </w:hyperlink>
        </w:p>
        <w:p w14:paraId="47B9A252"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08" w:history="1">
            <w:r w:rsidRPr="000C307D">
              <w:rPr>
                <w:rFonts w:eastAsia="Aptos" w:cs="Times New Roman"/>
                <w:noProof/>
                <w:color w:val="0563C1"/>
                <w:kern w:val="2"/>
                <w:u w:val="single"/>
                <w:lang w:val="en-GB"/>
                <w14:ligatures w14:val="standardContextual"/>
              </w:rPr>
              <w:t>4.11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Final Hypothesis Summary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58</w:t>
            </w:r>
            <w:r w:rsidRPr="000C307D">
              <w:rPr>
                <w:rFonts w:eastAsia="Aptos" w:cs="Times New Roman"/>
                <w:noProof/>
                <w:webHidden/>
                <w:kern w:val="2"/>
                <w:lang w:val="en-GB"/>
                <w14:ligatures w14:val="standardContextual"/>
              </w:rPr>
              <w:fldChar w:fldCharType="end"/>
            </w:r>
          </w:hyperlink>
        </w:p>
        <w:p w14:paraId="3794EEB8"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09" w:history="1">
            <w:r w:rsidRPr="000C307D">
              <w:rPr>
                <w:rFonts w:eastAsia="Aptos" w:cs="Times New Roman"/>
                <w:noProof/>
                <w:color w:val="0563C1"/>
                <w:kern w:val="2"/>
                <w:u w:val="single"/>
                <w:lang w:val="en-GB"/>
                <w14:ligatures w14:val="standardContextual"/>
              </w:rPr>
              <w:t>4.12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Summary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_Toc241176409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59</w:t>
            </w:r>
            <w:r w:rsidRPr="000C307D">
              <w:rPr>
                <w:rFonts w:eastAsia="Aptos" w:cs="Times New Roman"/>
                <w:noProof/>
                <w:webHidden/>
                <w:kern w:val="2"/>
                <w:lang w:val="en-GB"/>
                <w14:ligatures w14:val="standardContextual"/>
              </w:rPr>
              <w:fldChar w:fldCharType="end"/>
            </w:r>
          </w:hyperlink>
        </w:p>
        <w:p w14:paraId="6796D4E5"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hyperlink w:anchor="_Toc241176410" w:history="1">
            <w:r w:rsidRPr="000C307D">
              <w:rPr>
                <w:rFonts w:eastAsia="Aptos" w:cs="Times New Roman"/>
                <w:noProof/>
                <w:color w:val="0563C1"/>
                <w:kern w:val="2"/>
                <w:u w:val="single"/>
                <w:lang w:val="en-GB"/>
                <w14:ligatures w14:val="standardContextual"/>
              </w:rPr>
              <w:t>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Five: Discussion and Analysis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60</w:t>
            </w:r>
            <w:r w:rsidRPr="000C307D">
              <w:rPr>
                <w:rFonts w:eastAsia="Aptos" w:cs="Times New Roman"/>
                <w:noProof/>
                <w:webHidden/>
                <w:kern w:val="2"/>
                <w:lang w:val="en-GB"/>
                <w14:ligatures w14:val="standardContextual"/>
              </w:rPr>
              <w:fldChar w:fldCharType="end"/>
            </w:r>
          </w:hyperlink>
        </w:p>
        <w:p w14:paraId="20723D0B"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11" w:history="1">
            <w:r w:rsidRPr="000C307D">
              <w:rPr>
                <w:rFonts w:eastAsia="Aptos" w:cs="Times New Roman"/>
                <w:noProof/>
                <w:color w:val="0563C1"/>
                <w:kern w:val="2"/>
                <w:u w:val="single"/>
                <w:lang w:val="en-GB"/>
                <w14:ligatures w14:val="standardContextual"/>
              </w:rPr>
              <w:t>5.1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Purpose and Positioning</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60</w:t>
            </w:r>
            <w:r w:rsidRPr="000C307D">
              <w:rPr>
                <w:rFonts w:eastAsia="Aptos" w:cs="Times New Roman"/>
                <w:noProof/>
                <w:webHidden/>
                <w:kern w:val="2"/>
                <w:lang w:val="en-GB"/>
                <w14:ligatures w14:val="standardContextual"/>
              </w:rPr>
              <w:fldChar w:fldCharType="end"/>
            </w:r>
          </w:hyperlink>
        </w:p>
        <w:p w14:paraId="599C9F65"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12" w:history="1">
            <w:r w:rsidRPr="000C307D">
              <w:rPr>
                <w:rFonts w:eastAsia="Aptos" w:cs="Times New Roman"/>
                <w:noProof/>
                <w:color w:val="0563C1"/>
                <w:kern w:val="2"/>
                <w:u w:val="single"/>
                <w:lang w:val="en-GB"/>
                <w14:ligatures w14:val="standardContextual"/>
              </w:rPr>
              <w:t>5.2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Analytical Framework and Logic</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60</w:t>
            </w:r>
            <w:r w:rsidRPr="000C307D">
              <w:rPr>
                <w:rFonts w:eastAsia="Aptos" w:cs="Times New Roman"/>
                <w:noProof/>
                <w:webHidden/>
                <w:kern w:val="2"/>
                <w:lang w:val="en-GB"/>
                <w14:ligatures w14:val="standardContextual"/>
              </w:rPr>
              <w:fldChar w:fldCharType="end"/>
            </w:r>
          </w:hyperlink>
        </w:p>
        <w:p w14:paraId="689BBBB5"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13" w:history="1">
            <w:r w:rsidRPr="000C307D">
              <w:rPr>
                <w:rFonts w:eastAsia="Aptos" w:cs="Times New Roman"/>
                <w:noProof/>
                <w:color w:val="0563C1"/>
                <w:kern w:val="2"/>
                <w:u w:val="single"/>
                <w:lang w:val="en-GB"/>
                <w14:ligatures w14:val="standardContextual"/>
              </w:rPr>
              <w:t>5.3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Synthesis of Findings: Compare and Contrast with Literature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61</w:t>
            </w:r>
            <w:r w:rsidRPr="000C307D">
              <w:rPr>
                <w:rFonts w:eastAsia="Aptos" w:cs="Times New Roman"/>
                <w:noProof/>
                <w:webHidden/>
                <w:kern w:val="2"/>
                <w:lang w:val="en-GB"/>
                <w14:ligatures w14:val="standardContextual"/>
              </w:rPr>
              <w:fldChar w:fldCharType="end"/>
            </w:r>
          </w:hyperlink>
        </w:p>
        <w:p w14:paraId="397CFCAD"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14" w:history="1">
            <w:r w:rsidRPr="000C307D">
              <w:rPr>
                <w:rFonts w:eastAsia="Aptos" w:cs="Times New Roman"/>
                <w:noProof/>
                <w:color w:val="0563C1"/>
                <w:kern w:val="2"/>
                <w:u w:val="single"/>
                <w:lang w:val="en-GB"/>
                <w14:ligatures w14:val="standardContextual"/>
              </w:rPr>
              <w:t>5.3.1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Perceived Authenticity and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61</w:t>
            </w:r>
            <w:r w:rsidRPr="000C307D">
              <w:rPr>
                <w:rFonts w:eastAsia="Aptos" w:cs="Times New Roman"/>
                <w:noProof/>
                <w:webHidden/>
                <w:kern w:val="2"/>
                <w:lang w:val="en-GB"/>
                <w14:ligatures w14:val="standardContextual"/>
              </w:rPr>
              <w:fldChar w:fldCharType="end"/>
            </w:r>
          </w:hyperlink>
        </w:p>
        <w:p w14:paraId="0AF63E3C"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15" w:history="1">
            <w:r w:rsidRPr="000C307D">
              <w:rPr>
                <w:rFonts w:eastAsia="Aptos" w:cs="Times New Roman"/>
                <w:noProof/>
                <w:color w:val="0563C1"/>
                <w:kern w:val="2"/>
                <w:u w:val="single"/>
                <w:lang w:val="en-GB"/>
                <w14:ligatures w14:val="standardContextual"/>
              </w:rPr>
              <w:t>5.3.2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Brand–Anime Fit and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62</w:t>
            </w:r>
            <w:r w:rsidRPr="000C307D">
              <w:rPr>
                <w:rFonts w:eastAsia="Aptos" w:cs="Times New Roman"/>
                <w:noProof/>
                <w:webHidden/>
                <w:kern w:val="2"/>
                <w:lang w:val="en-GB"/>
                <w14:ligatures w14:val="standardContextual"/>
              </w:rPr>
              <w:fldChar w:fldCharType="end"/>
            </w:r>
          </w:hyperlink>
        </w:p>
        <w:p w14:paraId="23BE3EEB"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16" w:history="1">
            <w:r w:rsidRPr="000C307D">
              <w:rPr>
                <w:rFonts w:eastAsia="Aptos" w:cs="Times New Roman"/>
                <w:noProof/>
                <w:color w:val="0563C1"/>
                <w:kern w:val="2"/>
                <w:u w:val="single"/>
                <w:lang w:val="en-GB"/>
                <w14:ligatures w14:val="standardContextual"/>
              </w:rPr>
              <w:t>5.3.3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Anime Involvement, Fandom and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63</w:t>
            </w:r>
            <w:r w:rsidRPr="000C307D">
              <w:rPr>
                <w:rFonts w:eastAsia="Aptos" w:cs="Times New Roman"/>
                <w:noProof/>
                <w:webHidden/>
                <w:kern w:val="2"/>
                <w:lang w:val="en-GB"/>
                <w14:ligatures w14:val="standardContextual"/>
              </w:rPr>
              <w:fldChar w:fldCharType="end"/>
            </w:r>
          </w:hyperlink>
        </w:p>
        <w:p w14:paraId="54807CE9" w14:textId="77777777" w:rsidR="000C307D" w:rsidRPr="000C307D" w:rsidRDefault="000C307D" w:rsidP="000C307D">
          <w:pPr>
            <w:tabs>
              <w:tab w:val="left" w:pos="1440"/>
              <w:tab w:val="right" w:leader="dot" w:pos="9350"/>
            </w:tabs>
            <w:spacing w:after="100"/>
            <w:ind w:left="480"/>
            <w:rPr>
              <w:rFonts w:ascii="Aptos" w:eastAsia="Times New Roman" w:hAnsi="Aptos" w:cs="Times New Roman"/>
              <w:noProof/>
              <w:kern w:val="2"/>
              <w:szCs w:val="24"/>
              <w:lang/>
              <w14:ligatures w14:val="standardContextual"/>
            </w:rPr>
          </w:pPr>
          <w:hyperlink w:anchor="_Toc241176417" w:history="1">
            <w:r w:rsidRPr="000C307D">
              <w:rPr>
                <w:rFonts w:eastAsia="Aptos" w:cs="Times New Roman"/>
                <w:noProof/>
                <w:color w:val="0563C1"/>
                <w:kern w:val="2"/>
                <w:u w:val="single"/>
                <w:lang w:val="en-GB"/>
                <w14:ligatures w14:val="standardContextual"/>
              </w:rPr>
              <w:t>5.3.4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Consumer Engagement and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64</w:t>
            </w:r>
            <w:r w:rsidRPr="000C307D">
              <w:rPr>
                <w:rFonts w:eastAsia="Aptos" w:cs="Times New Roman"/>
                <w:noProof/>
                <w:webHidden/>
                <w:kern w:val="2"/>
                <w:lang w:val="en-GB"/>
                <w14:ligatures w14:val="standardContextual"/>
              </w:rPr>
              <w:fldChar w:fldCharType="end"/>
            </w:r>
          </w:hyperlink>
        </w:p>
        <w:p w14:paraId="6044D1AE"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18" w:history="1">
            <w:r w:rsidRPr="000C307D">
              <w:rPr>
                <w:rFonts w:eastAsia="Aptos" w:cs="Times New Roman"/>
                <w:noProof/>
                <w:color w:val="0563C1"/>
                <w:kern w:val="2"/>
                <w:u w:val="single"/>
                <w:lang w:val="en-GB"/>
                <w14:ligatures w14:val="standardContextual"/>
              </w:rPr>
              <w:t>5.4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Cross-Construct Synthesis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65</w:t>
            </w:r>
            <w:r w:rsidRPr="000C307D">
              <w:rPr>
                <w:rFonts w:eastAsia="Aptos" w:cs="Times New Roman"/>
                <w:noProof/>
                <w:webHidden/>
                <w:kern w:val="2"/>
                <w:lang w:val="en-GB"/>
                <w14:ligatures w14:val="standardContextual"/>
              </w:rPr>
              <w:fldChar w:fldCharType="end"/>
            </w:r>
          </w:hyperlink>
        </w:p>
        <w:p w14:paraId="4B2CF4A6"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19" w:history="1">
            <w:r w:rsidRPr="000C307D">
              <w:rPr>
                <w:rFonts w:eastAsia="Aptos" w:cs="Times New Roman"/>
                <w:noProof/>
                <w:color w:val="0563C1"/>
                <w:kern w:val="2"/>
                <w:u w:val="single"/>
                <w:lang w:val="en-GB"/>
                <w14:ligatures w14:val="standardContextual"/>
              </w:rPr>
              <w:t>5.5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Integration to Conceptual Model or Propositions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_Toc241176419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65</w:t>
            </w:r>
            <w:r w:rsidRPr="000C307D">
              <w:rPr>
                <w:rFonts w:eastAsia="Aptos" w:cs="Times New Roman"/>
                <w:noProof/>
                <w:webHidden/>
                <w:kern w:val="2"/>
                <w:lang w:val="en-GB"/>
                <w14:ligatures w14:val="standardContextual"/>
              </w:rPr>
              <w:fldChar w:fldCharType="end"/>
            </w:r>
          </w:hyperlink>
        </w:p>
        <w:p w14:paraId="16B2687D"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0" w:history="1">
            <w:r w:rsidRPr="000C307D">
              <w:rPr>
                <w:rFonts w:eastAsia="Aptos" w:cs="Times New Roman"/>
                <w:noProof/>
                <w:color w:val="0563C1"/>
                <w:kern w:val="2"/>
                <w:u w:val="single"/>
                <w:lang w:val="en-GB"/>
                <w14:ligatures w14:val="standardContextual"/>
              </w:rPr>
              <w:t>5.6</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Robustness Considerations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66</w:t>
            </w:r>
            <w:r w:rsidRPr="000C307D">
              <w:rPr>
                <w:rFonts w:eastAsia="Aptos" w:cs="Times New Roman"/>
                <w:noProof/>
                <w:webHidden/>
                <w:kern w:val="2"/>
                <w:lang w:val="en-GB"/>
                <w14:ligatures w14:val="standardContextual"/>
              </w:rPr>
              <w:fldChar w:fldCharType="end"/>
            </w:r>
          </w:hyperlink>
        </w:p>
        <w:p w14:paraId="555F3144"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1" w:history="1">
            <w:r w:rsidRPr="000C307D">
              <w:rPr>
                <w:rFonts w:eastAsia="Aptos" w:cs="Times New Roman"/>
                <w:noProof/>
                <w:color w:val="0563C1"/>
                <w:kern w:val="2"/>
                <w:u w:val="single"/>
                <w:lang w:val="en-GB"/>
                <w14:ligatures w14:val="standardContextual"/>
              </w:rPr>
              <w:t>5.7</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Practical Synthesis: Bridge to Chapter 6</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66</w:t>
            </w:r>
            <w:r w:rsidRPr="000C307D">
              <w:rPr>
                <w:rFonts w:eastAsia="Aptos" w:cs="Times New Roman"/>
                <w:noProof/>
                <w:webHidden/>
                <w:kern w:val="2"/>
                <w:lang w:val="en-GB"/>
                <w14:ligatures w14:val="standardContextual"/>
              </w:rPr>
              <w:fldChar w:fldCharType="end"/>
            </w:r>
          </w:hyperlink>
        </w:p>
        <w:p w14:paraId="3FF1DDD6"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hyperlink w:anchor="_Toc241176422" w:history="1">
            <w:r w:rsidRPr="000C307D">
              <w:rPr>
                <w:rFonts w:eastAsia="Aptos" w:cs="Times New Roman"/>
                <w:noProof/>
                <w:color w:val="0563C1"/>
                <w:kern w:val="2"/>
                <w:u w:val="single"/>
                <w:lang w:val="en-GB"/>
                <w14:ligatures w14:val="standardContextual"/>
              </w:rPr>
              <w:t>6</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Chapter Six: Conclusion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68</w:t>
            </w:r>
            <w:r w:rsidRPr="000C307D">
              <w:rPr>
                <w:rFonts w:eastAsia="Aptos" w:cs="Times New Roman"/>
                <w:noProof/>
                <w:webHidden/>
                <w:kern w:val="2"/>
                <w:lang w:val="en-GB"/>
                <w14:ligatures w14:val="standardContextual"/>
              </w:rPr>
              <w:fldChar w:fldCharType="end"/>
            </w:r>
          </w:hyperlink>
        </w:p>
        <w:p w14:paraId="3CD8364E"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3" w:history="1">
            <w:r w:rsidRPr="000C307D">
              <w:rPr>
                <w:rFonts w:eastAsia="Aptos" w:cs="Times New Roman"/>
                <w:noProof/>
                <w:color w:val="0563C1"/>
                <w:kern w:val="2"/>
                <w:u w:val="single"/>
                <w:lang w:val="en-GB"/>
                <w14:ligatures w14:val="standardContextual"/>
              </w:rPr>
              <w:t>6.1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Introduction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68</w:t>
            </w:r>
            <w:r w:rsidRPr="000C307D">
              <w:rPr>
                <w:rFonts w:eastAsia="Aptos" w:cs="Times New Roman"/>
                <w:noProof/>
                <w:webHidden/>
                <w:kern w:val="2"/>
                <w:lang w:val="en-GB"/>
                <w14:ligatures w14:val="standardContextual"/>
              </w:rPr>
              <w:fldChar w:fldCharType="end"/>
            </w:r>
          </w:hyperlink>
        </w:p>
        <w:p w14:paraId="4DA826D3"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4" w:history="1">
            <w:r w:rsidRPr="000C307D">
              <w:rPr>
                <w:rFonts w:eastAsia="Aptos" w:cs="Times New Roman"/>
                <w:noProof/>
                <w:color w:val="0563C1"/>
                <w:kern w:val="2"/>
                <w:u w:val="single"/>
                <w:lang w:val="en-GB"/>
                <w14:ligatures w14:val="standardContextual"/>
              </w:rPr>
              <w:t>6.2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Brief Summary of Key Findings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68</w:t>
            </w:r>
            <w:r w:rsidRPr="000C307D">
              <w:rPr>
                <w:rFonts w:eastAsia="Aptos" w:cs="Times New Roman"/>
                <w:noProof/>
                <w:webHidden/>
                <w:kern w:val="2"/>
                <w:lang w:val="en-GB"/>
                <w14:ligatures w14:val="standardContextual"/>
              </w:rPr>
              <w:fldChar w:fldCharType="end"/>
            </w:r>
          </w:hyperlink>
        </w:p>
        <w:p w14:paraId="46E65A59"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5" w:history="1">
            <w:r w:rsidRPr="000C307D">
              <w:rPr>
                <w:rFonts w:eastAsia="Aptos" w:cs="Times New Roman"/>
                <w:noProof/>
                <w:color w:val="0563C1"/>
                <w:kern w:val="2"/>
                <w:u w:val="single"/>
                <w:lang w:val="en-GB"/>
                <w14:ligatures w14:val="standardContextual"/>
              </w:rPr>
              <w:t>6.3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Theoretical Implications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68</w:t>
            </w:r>
            <w:r w:rsidRPr="000C307D">
              <w:rPr>
                <w:rFonts w:eastAsia="Aptos" w:cs="Times New Roman"/>
                <w:noProof/>
                <w:webHidden/>
                <w:kern w:val="2"/>
                <w:lang w:val="en-GB"/>
                <w14:ligatures w14:val="standardContextual"/>
              </w:rPr>
              <w:fldChar w:fldCharType="end"/>
            </w:r>
          </w:hyperlink>
        </w:p>
        <w:p w14:paraId="0E24DF2D"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6" w:history="1">
            <w:r w:rsidRPr="000C307D">
              <w:rPr>
                <w:rFonts w:eastAsia="Aptos" w:cs="Times New Roman"/>
                <w:noProof/>
                <w:color w:val="0563C1"/>
                <w:kern w:val="2"/>
                <w:u w:val="single"/>
                <w:lang w:val="en-GB"/>
                <w14:ligatures w14:val="standardContextual"/>
              </w:rPr>
              <w:t>6.4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Managerial Implications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70</w:t>
            </w:r>
            <w:r w:rsidRPr="000C307D">
              <w:rPr>
                <w:rFonts w:eastAsia="Aptos" w:cs="Times New Roman"/>
                <w:noProof/>
                <w:webHidden/>
                <w:kern w:val="2"/>
                <w:lang w:val="en-GB"/>
                <w14:ligatures w14:val="standardContextual"/>
              </w:rPr>
              <w:fldChar w:fldCharType="end"/>
            </w:r>
          </w:hyperlink>
        </w:p>
        <w:p w14:paraId="379288D5"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7" w:history="1">
            <w:r w:rsidRPr="000C307D">
              <w:rPr>
                <w:rFonts w:eastAsia="Aptos" w:cs="Times New Roman"/>
                <w:noProof/>
                <w:color w:val="0563C1"/>
                <w:kern w:val="2"/>
                <w:u w:val="single"/>
                <w:lang w:val="en-GB"/>
                <w14:ligatures w14:val="standardContextual"/>
              </w:rPr>
              <w:t>6.5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Limitations and Directions for Future Research</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70</w:t>
            </w:r>
            <w:r w:rsidRPr="000C307D">
              <w:rPr>
                <w:rFonts w:eastAsia="Aptos" w:cs="Times New Roman"/>
                <w:noProof/>
                <w:webHidden/>
                <w:kern w:val="2"/>
                <w:lang w:val="en-GB"/>
                <w14:ligatures w14:val="standardContextual"/>
              </w:rPr>
              <w:fldChar w:fldCharType="end"/>
            </w:r>
          </w:hyperlink>
        </w:p>
        <w:p w14:paraId="0B9811CC"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28" w:history="1">
            <w:r w:rsidRPr="000C307D">
              <w:rPr>
                <w:rFonts w:eastAsia="Aptos" w:cs="Times New Roman"/>
                <w:noProof/>
                <w:color w:val="0563C1"/>
                <w:kern w:val="2"/>
                <w:u w:val="single"/>
                <w:lang w:val="en-GB"/>
                <w14:ligatures w14:val="standardContextual"/>
              </w:rPr>
              <w:t>6.6</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Closing Statement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71</w:t>
            </w:r>
            <w:r w:rsidRPr="000C307D">
              <w:rPr>
                <w:rFonts w:eastAsia="Aptos" w:cs="Times New Roman"/>
                <w:noProof/>
                <w:webHidden/>
                <w:kern w:val="2"/>
                <w:lang w:val="en-GB"/>
                <w14:ligatures w14:val="standardContextual"/>
              </w:rPr>
              <w:fldChar w:fldCharType="end"/>
            </w:r>
          </w:hyperlink>
        </w:p>
        <w:p w14:paraId="63EF7E59"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hyperlink w:anchor="_Toc241176429" w:history="1">
            <w:r w:rsidRPr="000C307D">
              <w:rPr>
                <w:rFonts w:eastAsia="Aptos" w:cs="Times New Roman"/>
                <w:noProof/>
                <w:color w:val="0563C1"/>
                <w:kern w:val="2"/>
                <w:u w:val="single"/>
                <w:lang w:val="en-GB"/>
                <w14:ligatures w14:val="standardContextual"/>
              </w:rPr>
              <w:t>7</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References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_Toc241176429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72</w:t>
            </w:r>
            <w:r w:rsidRPr="000C307D">
              <w:rPr>
                <w:rFonts w:eastAsia="Aptos" w:cs="Times New Roman"/>
                <w:noProof/>
                <w:webHidden/>
                <w:kern w:val="2"/>
                <w:lang w:val="en-GB"/>
                <w14:ligatures w14:val="standardContextual"/>
              </w:rPr>
              <w:fldChar w:fldCharType="end"/>
            </w:r>
          </w:hyperlink>
        </w:p>
        <w:p w14:paraId="75CF01DB" w14:textId="77777777" w:rsidR="000C307D" w:rsidRPr="000C307D" w:rsidRDefault="000C307D" w:rsidP="000C307D">
          <w:pPr>
            <w:tabs>
              <w:tab w:val="left" w:pos="480"/>
              <w:tab w:val="right" w:leader="dot" w:pos="9350"/>
            </w:tabs>
            <w:spacing w:after="100"/>
            <w:rPr>
              <w:rFonts w:ascii="Aptos" w:eastAsia="Times New Roman" w:hAnsi="Aptos" w:cs="Times New Roman"/>
              <w:noProof/>
              <w:kern w:val="2"/>
              <w:szCs w:val="24"/>
              <w:lang/>
              <w14:ligatures w14:val="standardContextual"/>
            </w:rPr>
          </w:pPr>
          <w:hyperlink w:anchor="_Toc241176430" w:history="1">
            <w:r w:rsidRPr="000C307D">
              <w:rPr>
                <w:rFonts w:eastAsia="Aptos" w:cs="Times New Roman"/>
                <w:noProof/>
                <w:color w:val="0563C1"/>
                <w:kern w:val="2"/>
                <w:u w:val="single"/>
                <w:lang w:val="en-GB"/>
                <w14:ligatures w14:val="standardContextual"/>
              </w:rPr>
              <w:t>8</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Appendices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_Toc241176430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82</w:t>
            </w:r>
            <w:r w:rsidRPr="000C307D">
              <w:rPr>
                <w:rFonts w:eastAsia="Aptos" w:cs="Times New Roman"/>
                <w:noProof/>
                <w:webHidden/>
                <w:kern w:val="2"/>
                <w:lang w:val="en-GB"/>
                <w14:ligatures w14:val="standardContextual"/>
              </w:rPr>
              <w:fldChar w:fldCharType="end"/>
            </w:r>
          </w:hyperlink>
        </w:p>
        <w:p w14:paraId="2187337C"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31" w:history="1">
            <w:r w:rsidRPr="000C307D">
              <w:rPr>
                <w:rFonts w:eastAsia="Aptos" w:cs="Times New Roman"/>
                <w:noProof/>
                <w:color w:val="0563C1"/>
                <w:kern w:val="2"/>
                <w:u w:val="single"/>
                <w:lang w:val="en-GB"/>
                <w14:ligatures w14:val="standardContextual"/>
              </w:rPr>
              <w:t>8.1</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Appendix A: Survey Link</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_Toc241176431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82</w:t>
            </w:r>
            <w:r w:rsidRPr="000C307D">
              <w:rPr>
                <w:rFonts w:eastAsia="Aptos" w:cs="Times New Roman"/>
                <w:noProof/>
                <w:webHidden/>
                <w:kern w:val="2"/>
                <w:lang w:val="en-GB"/>
                <w14:ligatures w14:val="standardContextual"/>
              </w:rPr>
              <w:fldChar w:fldCharType="end"/>
            </w:r>
          </w:hyperlink>
        </w:p>
        <w:p w14:paraId="5ACED883"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32" w:history="1">
            <w:r w:rsidRPr="000C307D">
              <w:rPr>
                <w:rFonts w:eastAsia="Aptos" w:cs="Times New Roman"/>
                <w:noProof/>
                <w:color w:val="0563C1"/>
                <w:kern w:val="2"/>
                <w:u w:val="single"/>
                <w:lang w:val="en-GB"/>
                <w14:ligatures w14:val="standardContextual"/>
              </w:rPr>
              <w:t>8.2</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Appendix B: Raw Data</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_Toc241176432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82</w:t>
            </w:r>
            <w:r w:rsidRPr="000C307D">
              <w:rPr>
                <w:rFonts w:eastAsia="Aptos" w:cs="Times New Roman"/>
                <w:noProof/>
                <w:webHidden/>
                <w:kern w:val="2"/>
                <w:lang w:val="en-GB"/>
                <w14:ligatures w14:val="standardContextual"/>
              </w:rPr>
              <w:fldChar w:fldCharType="end"/>
            </w:r>
          </w:hyperlink>
        </w:p>
        <w:p w14:paraId="4C5509D5"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33" w:history="1">
            <w:r w:rsidRPr="000C307D">
              <w:rPr>
                <w:rFonts w:eastAsia="Aptos" w:cs="Times New Roman"/>
                <w:noProof/>
                <w:color w:val="0563C1"/>
                <w:kern w:val="2"/>
                <w:u w:val="single"/>
                <w:lang w:val="en-GB"/>
                <w14:ligatures w14:val="standardContextual"/>
              </w:rPr>
              <w:t>8.3</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Appendix C: SPSS Analysis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_Toc241176433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82</w:t>
            </w:r>
            <w:r w:rsidRPr="000C307D">
              <w:rPr>
                <w:rFonts w:eastAsia="Aptos" w:cs="Times New Roman"/>
                <w:noProof/>
                <w:webHidden/>
                <w:kern w:val="2"/>
                <w:lang w:val="en-GB"/>
                <w14:ligatures w14:val="standardContextual"/>
              </w:rPr>
              <w:fldChar w:fldCharType="end"/>
            </w:r>
          </w:hyperlink>
        </w:p>
        <w:p w14:paraId="75670DF6"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34" w:history="1">
            <w:r w:rsidRPr="000C307D">
              <w:rPr>
                <w:rFonts w:eastAsia="Aptos" w:cs="Times New Roman"/>
                <w:noProof/>
                <w:color w:val="0563C1"/>
                <w:kern w:val="2"/>
                <w:u w:val="single"/>
                <w:lang w:val="en-GB"/>
                <w14:ligatures w14:val="standardContextual"/>
              </w:rPr>
              <w:t>8.4</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Appendix D: Questionnaire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_Toc241176434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83</w:t>
            </w:r>
            <w:r w:rsidRPr="000C307D">
              <w:rPr>
                <w:rFonts w:eastAsia="Aptos" w:cs="Times New Roman"/>
                <w:noProof/>
                <w:webHidden/>
                <w:kern w:val="2"/>
                <w:lang w:val="en-GB"/>
                <w14:ligatures w14:val="standardContextual"/>
              </w:rPr>
              <w:fldChar w:fldCharType="end"/>
            </w:r>
          </w:hyperlink>
        </w:p>
        <w:p w14:paraId="0D8F918D" w14:textId="77777777" w:rsidR="000C307D" w:rsidRPr="000C307D" w:rsidRDefault="000C307D" w:rsidP="000C307D">
          <w:pPr>
            <w:tabs>
              <w:tab w:val="left" w:pos="960"/>
              <w:tab w:val="right" w:leader="dot" w:pos="9350"/>
            </w:tabs>
            <w:spacing w:after="100"/>
            <w:ind w:left="240"/>
            <w:rPr>
              <w:rFonts w:ascii="Aptos" w:eastAsia="Times New Roman" w:hAnsi="Aptos" w:cs="Times New Roman"/>
              <w:noProof/>
              <w:kern w:val="2"/>
              <w:szCs w:val="24"/>
              <w:lang/>
              <w14:ligatures w14:val="standardContextual"/>
            </w:rPr>
          </w:pPr>
          <w:hyperlink w:anchor="_Toc241176435" w:history="1">
            <w:r w:rsidRPr="000C307D">
              <w:rPr>
                <w:rFonts w:eastAsia="Aptos" w:cs="Times New Roman"/>
                <w:noProof/>
                <w:color w:val="0563C1"/>
                <w:kern w:val="2"/>
                <w:u w:val="single"/>
                <w:lang w:val="en-GB"/>
                <w14:ligatures w14:val="standardContextual"/>
              </w:rPr>
              <w:t>8.5</w:t>
            </w:r>
            <w:r w:rsidRPr="000C307D">
              <w:rPr>
                <w:rFonts w:ascii="Aptos" w:eastAsia="Times New Roman" w:hAnsi="Aptos" w:cs="Times New Roman"/>
                <w:noProof/>
                <w:kern w:val="2"/>
                <w:szCs w:val="24"/>
                <w:lang/>
                <w14:ligatures w14:val="standardContextual"/>
              </w:rPr>
              <w:tab/>
            </w:r>
            <w:r w:rsidRPr="000C307D">
              <w:rPr>
                <w:rFonts w:eastAsia="Aptos" w:cs="Times New Roman"/>
                <w:noProof/>
                <w:color w:val="0563C1"/>
                <w:kern w:val="2"/>
                <w:u w:val="single"/>
                <w:lang w:val="en-GB"/>
                <w14:ligatures w14:val="standardContextual"/>
              </w:rPr>
              <w:t>Appendix E: Ethic Form</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_Toc241176435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91</w:t>
            </w:r>
            <w:r w:rsidRPr="000C307D">
              <w:rPr>
                <w:rFonts w:eastAsia="Aptos" w:cs="Times New Roman"/>
                <w:noProof/>
                <w:webHidden/>
                <w:kern w:val="2"/>
                <w:lang w:val="en-GB"/>
                <w14:ligatures w14:val="standardContextual"/>
              </w:rPr>
              <w:fldChar w:fldCharType="end"/>
            </w:r>
          </w:hyperlink>
        </w:p>
        <w:p w14:paraId="57CF996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b/>
              <w:bCs/>
              <w:noProof/>
              <w:kern w:val="2"/>
              <w:lang w:val="en-GB"/>
              <w14:ligatures w14:val="standardContextual"/>
            </w:rPr>
            <w:fldChar w:fldCharType="end"/>
          </w:r>
        </w:p>
      </w:sdtContent>
    </w:sdt>
    <w:p w14:paraId="523BD8D5" w14:textId="77777777" w:rsidR="000C307D" w:rsidRPr="000C307D" w:rsidRDefault="000C307D" w:rsidP="000C307D">
      <w:pPr>
        <w:spacing w:after="160"/>
        <w:rPr>
          <w:rFonts w:eastAsia="Aptos" w:cs="Times New Roman"/>
          <w:kern w:val="2"/>
          <w:lang w:val="en-GB"/>
          <w14:ligatures w14:val="standardContextual"/>
        </w:rPr>
      </w:pPr>
    </w:p>
    <w:p w14:paraId="5CFA3EDD" w14:textId="77777777" w:rsidR="000C307D" w:rsidRPr="000C307D" w:rsidRDefault="000C307D" w:rsidP="000C307D">
      <w:pPr>
        <w:spacing w:after="160"/>
        <w:rPr>
          <w:rFonts w:eastAsia="Aptos" w:cs="Times New Roman"/>
          <w:kern w:val="2"/>
          <w:lang w:val="en-GB"/>
          <w14:ligatures w14:val="standardContextual"/>
        </w:rPr>
      </w:pPr>
    </w:p>
    <w:p w14:paraId="074A9C2D" w14:textId="77777777" w:rsidR="000C307D" w:rsidRPr="000C307D" w:rsidRDefault="000C307D" w:rsidP="000C307D">
      <w:pPr>
        <w:spacing w:after="160"/>
        <w:rPr>
          <w:rFonts w:eastAsia="Aptos" w:cs="Times New Roman"/>
          <w:kern w:val="2"/>
          <w:lang w:val="en-GB"/>
          <w14:ligatures w14:val="standardContextual"/>
        </w:rPr>
      </w:pPr>
    </w:p>
    <w:p w14:paraId="54560F70" w14:textId="77777777" w:rsidR="000C307D" w:rsidRPr="000C307D" w:rsidRDefault="000C307D" w:rsidP="000C307D">
      <w:pPr>
        <w:spacing w:after="160"/>
        <w:rPr>
          <w:rFonts w:eastAsia="Aptos" w:cs="Times New Roman"/>
          <w:kern w:val="2"/>
          <w:lang w:val="en-GB"/>
          <w14:ligatures w14:val="standardContextual"/>
        </w:rPr>
      </w:pPr>
    </w:p>
    <w:p w14:paraId="049B1229" w14:textId="77777777" w:rsidR="000C307D" w:rsidRPr="000C307D" w:rsidRDefault="000C307D" w:rsidP="000C307D">
      <w:pPr>
        <w:spacing w:after="160"/>
        <w:rPr>
          <w:rFonts w:eastAsia="Aptos" w:cs="Times New Roman"/>
          <w:kern w:val="2"/>
          <w:lang w:val="en-GB"/>
          <w14:ligatures w14:val="standardContextual"/>
        </w:rPr>
      </w:pPr>
    </w:p>
    <w:p w14:paraId="4C145389" w14:textId="77777777" w:rsidR="000C307D" w:rsidRPr="000C307D" w:rsidRDefault="000C307D" w:rsidP="000C307D">
      <w:pPr>
        <w:spacing w:after="160"/>
        <w:rPr>
          <w:rFonts w:eastAsia="Aptos" w:cs="Times New Roman"/>
          <w:kern w:val="2"/>
          <w:lang w:val="en-GB"/>
          <w14:ligatures w14:val="standardContextual"/>
        </w:rPr>
      </w:pPr>
    </w:p>
    <w:p w14:paraId="42D581CA" w14:textId="77777777" w:rsidR="000C307D" w:rsidRPr="000C307D" w:rsidRDefault="000C307D" w:rsidP="000C307D">
      <w:pPr>
        <w:spacing w:after="160"/>
        <w:rPr>
          <w:rFonts w:eastAsia="Aptos" w:cs="Times New Roman"/>
          <w:kern w:val="2"/>
          <w:lang w:val="en-GB"/>
          <w14:ligatures w14:val="standardContextual"/>
        </w:rPr>
      </w:pPr>
    </w:p>
    <w:p w14:paraId="13E1061E" w14:textId="77777777" w:rsidR="000C307D" w:rsidRPr="000C307D" w:rsidRDefault="000C307D" w:rsidP="000C307D">
      <w:pPr>
        <w:spacing w:after="160"/>
        <w:rPr>
          <w:rFonts w:eastAsia="Aptos" w:cs="Times New Roman"/>
          <w:kern w:val="2"/>
          <w:lang w:val="en-GB"/>
          <w14:ligatures w14:val="standardContextual"/>
        </w:rPr>
      </w:pPr>
    </w:p>
    <w:p w14:paraId="3AB4574F" w14:textId="77777777" w:rsidR="000C307D" w:rsidRPr="000C307D" w:rsidRDefault="000C307D" w:rsidP="000C307D">
      <w:pPr>
        <w:spacing w:after="160"/>
        <w:rPr>
          <w:rFonts w:eastAsia="Aptos" w:cs="Times New Roman"/>
          <w:b/>
          <w:bCs/>
          <w:kern w:val="2"/>
          <w:sz w:val="32"/>
          <w:szCs w:val="28"/>
          <w:lang w:val="en-GB"/>
          <w14:ligatures w14:val="standardContextual"/>
        </w:rPr>
      </w:pPr>
      <w:r w:rsidRPr="000C307D">
        <w:rPr>
          <w:rFonts w:eastAsia="Aptos" w:cs="Times New Roman"/>
          <w:b/>
          <w:bCs/>
          <w:kern w:val="2"/>
          <w:sz w:val="32"/>
          <w:szCs w:val="28"/>
          <w:lang w:val="en-GB"/>
          <w14:ligatures w14:val="standardContextual"/>
        </w:rPr>
        <w:t>List of Figures</w:t>
      </w:r>
    </w:p>
    <w:p w14:paraId="33864432"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r w:rsidRPr="000C307D">
        <w:rPr>
          <w:rFonts w:eastAsia="Aptos" w:cs="Times New Roman"/>
          <w:kern w:val="2"/>
          <w:lang w:val="en-GB"/>
          <w14:ligatures w14:val="standardContextual"/>
        </w:rPr>
        <w:fldChar w:fldCharType="begin"/>
      </w:r>
      <w:r w:rsidRPr="000C307D">
        <w:rPr>
          <w:rFonts w:eastAsia="Aptos" w:cs="Times New Roman"/>
          <w:kern w:val="2"/>
          <w:lang w:val="en-GB"/>
          <w14:ligatures w14:val="standardContextual"/>
        </w:rPr>
        <w:instrText xml:space="preserve"> TOC \h \z \c "Figure" </w:instrText>
      </w:r>
      <w:r w:rsidRPr="000C307D">
        <w:rPr>
          <w:rFonts w:eastAsia="Aptos" w:cs="Times New Roman"/>
          <w:kern w:val="2"/>
          <w:lang w:val="en-GB"/>
          <w14:ligatures w14:val="standardContextual"/>
        </w:rPr>
        <w:fldChar w:fldCharType="separate"/>
      </w:r>
      <w:hyperlink w:anchor="_Toc241170083" w:history="1">
        <w:r w:rsidRPr="000C307D">
          <w:rPr>
            <w:rFonts w:eastAsia="Aptos" w:cs="Times New Roman"/>
            <w:noProof/>
            <w:color w:val="0563C1"/>
            <w:kern w:val="2"/>
            <w:u w:val="single"/>
            <w:lang w:val="en-GB"/>
            <w14:ligatures w14:val="standardContextual"/>
          </w:rPr>
          <w:t>Figure 1: Conceptual Framework of Anime–Fashion Collaboration, Consumer Engagement and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_Toc241170083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18</w:t>
        </w:r>
        <w:r w:rsidRPr="000C307D">
          <w:rPr>
            <w:rFonts w:eastAsia="Aptos" w:cs="Times New Roman"/>
            <w:noProof/>
            <w:webHidden/>
            <w:kern w:val="2"/>
            <w:lang w:val="en-GB"/>
            <w14:ligatures w14:val="standardContextual"/>
          </w:rPr>
          <w:fldChar w:fldCharType="end"/>
        </w:r>
      </w:hyperlink>
    </w:p>
    <w:p w14:paraId="40F30B7B"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84" w:history="1">
        <w:r w:rsidRPr="000C307D">
          <w:rPr>
            <w:rFonts w:eastAsia="Aptos" w:cs="Times New Roman"/>
            <w:noProof/>
            <w:color w:val="0563C1"/>
            <w:kern w:val="2"/>
            <w:u w:val="single"/>
            <w:lang w:val="en-GB"/>
            <w14:ligatures w14:val="standardContextual"/>
          </w:rPr>
          <w:t>Figure 2: Age Distribution of Respondents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_Toc241170084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37</w:t>
        </w:r>
        <w:r w:rsidRPr="000C307D">
          <w:rPr>
            <w:rFonts w:eastAsia="Aptos" w:cs="Times New Roman"/>
            <w:noProof/>
            <w:webHidden/>
            <w:kern w:val="2"/>
            <w:lang w:val="en-GB"/>
            <w14:ligatures w14:val="standardContextual"/>
          </w:rPr>
          <w:fldChar w:fldCharType="end"/>
        </w:r>
      </w:hyperlink>
    </w:p>
    <w:p w14:paraId="470C34F1"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85" w:history="1">
        <w:r w:rsidRPr="000C307D">
          <w:rPr>
            <w:rFonts w:eastAsia="Aptos" w:cs="Times New Roman"/>
            <w:noProof/>
            <w:color w:val="0563C1"/>
            <w:kern w:val="2"/>
            <w:u w:val="single"/>
            <w:lang w:val="en-GB"/>
            <w14:ligatures w14:val="standardContextual"/>
          </w:rPr>
          <w:t>Figure 3: Gender Distribution of Respondents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_Toc241170085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38</w:t>
        </w:r>
        <w:r w:rsidRPr="000C307D">
          <w:rPr>
            <w:rFonts w:eastAsia="Aptos" w:cs="Times New Roman"/>
            <w:noProof/>
            <w:webHidden/>
            <w:kern w:val="2"/>
            <w:lang w:val="en-GB"/>
            <w14:ligatures w14:val="standardContextual"/>
          </w:rPr>
          <w:fldChar w:fldCharType="end"/>
        </w:r>
      </w:hyperlink>
    </w:p>
    <w:p w14:paraId="3A57D16D"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86" w:history="1">
        <w:r w:rsidRPr="000C307D">
          <w:rPr>
            <w:rFonts w:eastAsia="Aptos" w:cs="Times New Roman"/>
            <w:noProof/>
            <w:color w:val="0563C1"/>
            <w:kern w:val="2"/>
            <w:u w:val="single"/>
            <w:lang w:val="en-GB"/>
            <w14:ligatures w14:val="standardContextual"/>
          </w:rPr>
          <w:t>Figure 4: UK Nation of Residence</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_Toc241170086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38</w:t>
        </w:r>
        <w:r w:rsidRPr="000C307D">
          <w:rPr>
            <w:rFonts w:eastAsia="Aptos" w:cs="Times New Roman"/>
            <w:noProof/>
            <w:webHidden/>
            <w:kern w:val="2"/>
            <w:lang w:val="en-GB"/>
            <w14:ligatures w14:val="standardContextual"/>
          </w:rPr>
          <w:fldChar w:fldCharType="end"/>
        </w:r>
      </w:hyperlink>
    </w:p>
    <w:p w14:paraId="560A0E33"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87" w:history="1">
        <w:r w:rsidRPr="000C307D">
          <w:rPr>
            <w:rFonts w:eastAsia="Aptos" w:cs="Times New Roman"/>
            <w:noProof/>
            <w:color w:val="0563C1"/>
            <w:kern w:val="2"/>
            <w:u w:val="single"/>
            <w:lang w:val="en-GB"/>
            <w14:ligatures w14:val="standardContextual"/>
          </w:rPr>
          <w:t>Figure 5: Employment Status of Respondents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_Toc241170087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39</w:t>
        </w:r>
        <w:r w:rsidRPr="000C307D">
          <w:rPr>
            <w:rFonts w:eastAsia="Aptos" w:cs="Times New Roman"/>
            <w:noProof/>
            <w:webHidden/>
            <w:kern w:val="2"/>
            <w:lang w:val="en-GB"/>
            <w14:ligatures w14:val="standardContextual"/>
          </w:rPr>
          <w:fldChar w:fldCharType="end"/>
        </w:r>
      </w:hyperlink>
    </w:p>
    <w:p w14:paraId="5ACF9EEE"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88" w:history="1">
        <w:r w:rsidRPr="000C307D">
          <w:rPr>
            <w:rFonts w:eastAsia="Aptos" w:cs="Times New Roman"/>
            <w:noProof/>
            <w:color w:val="0563C1"/>
            <w:kern w:val="2"/>
            <w:u w:val="single"/>
            <w:lang w:val="en-GB"/>
            <w14:ligatures w14:val="standardContextual"/>
          </w:rPr>
          <w:t>Figure 6: Highest Level of Education Completed</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_Toc241170088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40</w:t>
        </w:r>
        <w:r w:rsidRPr="000C307D">
          <w:rPr>
            <w:rFonts w:eastAsia="Aptos" w:cs="Times New Roman"/>
            <w:noProof/>
            <w:webHidden/>
            <w:kern w:val="2"/>
            <w:lang w:val="en-GB"/>
            <w14:ligatures w14:val="standardContextual"/>
          </w:rPr>
          <w:fldChar w:fldCharType="end"/>
        </w:r>
      </w:hyperlink>
    </w:p>
    <w:p w14:paraId="6A10F995"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89" w:history="1">
        <w:r w:rsidRPr="000C307D">
          <w:rPr>
            <w:rFonts w:eastAsia="Aptos" w:cs="Times New Roman"/>
            <w:noProof/>
            <w:color w:val="0563C1"/>
            <w:kern w:val="2"/>
            <w:u w:val="single"/>
            <w:lang w:val="en-GB"/>
            <w14:ligatures w14:val="standardContextual"/>
          </w:rPr>
          <w:t>Figure 7: Frequency of Watching Anime or Engaging with Anime-Related Content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_Toc241170089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40</w:t>
        </w:r>
        <w:r w:rsidRPr="000C307D">
          <w:rPr>
            <w:rFonts w:eastAsia="Aptos" w:cs="Times New Roman"/>
            <w:noProof/>
            <w:webHidden/>
            <w:kern w:val="2"/>
            <w:lang w:val="en-GB"/>
            <w14:ligatures w14:val="standardContextual"/>
          </w:rPr>
          <w:fldChar w:fldCharType="end"/>
        </w:r>
      </w:hyperlink>
    </w:p>
    <w:p w14:paraId="2843C344"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0" w:history="1">
        <w:r w:rsidRPr="000C307D">
          <w:rPr>
            <w:rFonts w:eastAsia="Aptos" w:cs="Times New Roman"/>
            <w:noProof/>
            <w:color w:val="0563C1"/>
            <w:kern w:val="2"/>
            <w:u w:val="single"/>
            <w:lang w:val="en-GB"/>
            <w14:ligatures w14:val="standardContextual"/>
          </w:rPr>
          <w:t>Figure 8: Previous Purchase from an Anime–Fashion Collaboration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41</w:t>
        </w:r>
        <w:r w:rsidRPr="000C307D">
          <w:rPr>
            <w:rFonts w:eastAsia="Aptos" w:cs="Times New Roman"/>
            <w:noProof/>
            <w:webHidden/>
            <w:kern w:val="2"/>
            <w:lang w:val="en-GB"/>
            <w14:ligatures w14:val="standardContextual"/>
          </w:rPr>
          <w:fldChar w:fldCharType="end"/>
        </w:r>
      </w:hyperlink>
    </w:p>
    <w:p w14:paraId="4AA6BE07"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1" w:history="1">
        <w:r w:rsidRPr="000C307D">
          <w:rPr>
            <w:rFonts w:eastAsia="Aptos" w:cs="Times New Roman"/>
            <w:noProof/>
            <w:color w:val="0563C1"/>
            <w:kern w:val="2"/>
            <w:u w:val="single"/>
            <w:lang w:val="en-GB"/>
            <w14:ligatures w14:val="standardContextual"/>
          </w:rPr>
          <w:t>Figure 9: Frequency of Purchasing Anime-Related Fashion Products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42</w:t>
        </w:r>
        <w:r w:rsidRPr="000C307D">
          <w:rPr>
            <w:rFonts w:eastAsia="Aptos" w:cs="Times New Roman"/>
            <w:noProof/>
            <w:webHidden/>
            <w:kern w:val="2"/>
            <w:lang w:val="en-GB"/>
            <w14:ligatures w14:val="standardContextual"/>
          </w:rPr>
          <w:fldChar w:fldCharType="end"/>
        </w:r>
      </w:hyperlink>
    </w:p>
    <w:p w14:paraId="79D4E077"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2" w:history="1">
        <w:r w:rsidRPr="000C307D">
          <w:rPr>
            <w:rFonts w:eastAsia="Aptos" w:cs="Times New Roman"/>
            <w:noProof/>
            <w:color w:val="0563C1"/>
            <w:kern w:val="2"/>
            <w:u w:val="single"/>
            <w:lang w:val="en-GB"/>
            <w14:ligatures w14:val="standardContextual"/>
          </w:rPr>
          <w:t>Figure 10: Discovery of Anime–Fashion Collaborations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42</w:t>
        </w:r>
        <w:r w:rsidRPr="000C307D">
          <w:rPr>
            <w:rFonts w:eastAsia="Aptos" w:cs="Times New Roman"/>
            <w:noProof/>
            <w:webHidden/>
            <w:kern w:val="2"/>
            <w:lang w:val="en-GB"/>
            <w14:ligatures w14:val="standardContextual"/>
          </w:rPr>
          <w:fldChar w:fldCharType="end"/>
        </w:r>
      </w:hyperlink>
    </w:p>
    <w:p w14:paraId="76B431D5"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3" w:history="1">
        <w:r w:rsidRPr="000C307D">
          <w:rPr>
            <w:rFonts w:eastAsia="Aptos" w:cs="Times New Roman"/>
            <w:noProof/>
            <w:color w:val="0563C1"/>
            <w:kern w:val="2"/>
            <w:u w:val="single"/>
            <w:lang w:val="en-GB"/>
            <w14:ligatures w14:val="standardContextual"/>
          </w:rPr>
          <w:t>Figure 11: Normal P–P Plot of Standardised Residuals for the Consumer Engagement Regression Model</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45</w:t>
        </w:r>
        <w:r w:rsidRPr="000C307D">
          <w:rPr>
            <w:rFonts w:eastAsia="Aptos" w:cs="Times New Roman"/>
            <w:noProof/>
            <w:webHidden/>
            <w:kern w:val="2"/>
            <w:lang w:val="en-GB"/>
            <w14:ligatures w14:val="standardContextual"/>
          </w:rPr>
          <w:fldChar w:fldCharType="end"/>
        </w:r>
      </w:hyperlink>
    </w:p>
    <w:p w14:paraId="79E8BB47"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4" w:history="1">
        <w:r w:rsidRPr="000C307D">
          <w:rPr>
            <w:rFonts w:eastAsia="Aptos" w:cs="Times New Roman"/>
            <w:noProof/>
            <w:color w:val="0563C1"/>
            <w:kern w:val="2"/>
            <w:u w:val="single"/>
            <w:lang w:val="en-GB"/>
            <w14:ligatures w14:val="standardContextual"/>
          </w:rPr>
          <w:t>Figure 12: Standardised Residuals versus Standardised Predicted Values for the Consumer Engagement Regression Model</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46</w:t>
        </w:r>
        <w:r w:rsidRPr="000C307D">
          <w:rPr>
            <w:rFonts w:eastAsia="Aptos" w:cs="Times New Roman"/>
            <w:noProof/>
            <w:webHidden/>
            <w:kern w:val="2"/>
            <w:lang w:val="en-GB"/>
            <w14:ligatures w14:val="standardContextual"/>
          </w:rPr>
          <w:fldChar w:fldCharType="end"/>
        </w:r>
      </w:hyperlink>
    </w:p>
    <w:p w14:paraId="70657938"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5" w:history="1">
        <w:r w:rsidRPr="000C307D">
          <w:rPr>
            <w:rFonts w:eastAsia="Aptos" w:cs="Times New Roman"/>
            <w:noProof/>
            <w:color w:val="0563C1"/>
            <w:kern w:val="2"/>
            <w:u w:val="single"/>
            <w:lang w:val="en-GB"/>
            <w14:ligatures w14:val="standardContextual"/>
          </w:rPr>
          <w:t>Figure 13: Normal P–P Plot of Standardised Residuals for the Purchase Intention Regression Model</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46</w:t>
        </w:r>
        <w:r w:rsidRPr="000C307D">
          <w:rPr>
            <w:rFonts w:eastAsia="Aptos" w:cs="Times New Roman"/>
            <w:noProof/>
            <w:webHidden/>
            <w:kern w:val="2"/>
            <w:lang w:val="en-GB"/>
            <w14:ligatures w14:val="standardContextual"/>
          </w:rPr>
          <w:fldChar w:fldCharType="end"/>
        </w:r>
      </w:hyperlink>
    </w:p>
    <w:p w14:paraId="7FE83EDE"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6" w:history="1">
        <w:r w:rsidRPr="000C307D">
          <w:rPr>
            <w:rFonts w:eastAsia="Aptos" w:cs="Times New Roman"/>
            <w:noProof/>
            <w:color w:val="0563C1"/>
            <w:kern w:val="2"/>
            <w:u w:val="single"/>
            <w:lang w:val="en-GB"/>
            <w14:ligatures w14:val="standardContextual"/>
          </w:rPr>
          <w:t>Figure 14: Standardised Residuals versus Standardised Predicted Values for the Purchase Intention Regression Model</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47</w:t>
        </w:r>
        <w:r w:rsidRPr="000C307D">
          <w:rPr>
            <w:rFonts w:eastAsia="Aptos" w:cs="Times New Roman"/>
            <w:noProof/>
            <w:webHidden/>
            <w:kern w:val="2"/>
            <w:lang w:val="en-GB"/>
            <w14:ligatures w14:val="standardContextual"/>
          </w:rPr>
          <w:fldChar w:fldCharType="end"/>
        </w:r>
      </w:hyperlink>
    </w:p>
    <w:p w14:paraId="0BC0CFA6"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7" w:history="1">
        <w:r w:rsidRPr="000C307D">
          <w:rPr>
            <w:rFonts w:eastAsia="Aptos" w:cs="Times New Roman"/>
            <w:noProof/>
            <w:color w:val="0563C1"/>
            <w:kern w:val="2"/>
            <w:u w:val="single"/>
            <w:lang w:val="en-GB"/>
            <w14:ligatures w14:val="standardContextual"/>
          </w:rPr>
          <w:t>Figure 15: Histogram of Perceived Authenticity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48</w:t>
        </w:r>
        <w:r w:rsidRPr="000C307D">
          <w:rPr>
            <w:rFonts w:eastAsia="Aptos" w:cs="Times New Roman"/>
            <w:noProof/>
            <w:webHidden/>
            <w:kern w:val="2"/>
            <w:lang w:val="en-GB"/>
            <w14:ligatures w14:val="standardContextual"/>
          </w:rPr>
          <w:fldChar w:fldCharType="end"/>
        </w:r>
      </w:hyperlink>
    </w:p>
    <w:p w14:paraId="7EEAD6A9"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8" w:history="1">
        <w:r w:rsidRPr="000C307D">
          <w:rPr>
            <w:rFonts w:eastAsia="Aptos" w:cs="Times New Roman"/>
            <w:noProof/>
            <w:color w:val="0563C1"/>
            <w:kern w:val="2"/>
            <w:u w:val="single"/>
            <w:lang w:val="en-GB"/>
            <w14:ligatures w14:val="standardContextual"/>
          </w:rPr>
          <w:t>Figure 16: Normal Q–Q Plot of Perceived Authenticity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49</w:t>
        </w:r>
        <w:r w:rsidRPr="000C307D">
          <w:rPr>
            <w:rFonts w:eastAsia="Aptos" w:cs="Times New Roman"/>
            <w:noProof/>
            <w:webHidden/>
            <w:kern w:val="2"/>
            <w:lang w:val="en-GB"/>
            <w14:ligatures w14:val="standardContextual"/>
          </w:rPr>
          <w:fldChar w:fldCharType="end"/>
        </w:r>
      </w:hyperlink>
    </w:p>
    <w:p w14:paraId="123A1CEA"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099" w:history="1">
        <w:r w:rsidRPr="000C307D">
          <w:rPr>
            <w:rFonts w:eastAsia="Aptos" w:cs="Times New Roman"/>
            <w:noProof/>
            <w:color w:val="0563C1"/>
            <w:kern w:val="2"/>
            <w:u w:val="single"/>
            <w:lang w:val="en-GB"/>
            <w14:ligatures w14:val="standardContextual"/>
          </w:rPr>
          <w:t>Figure 17: Histogram of Brand–Anime Fit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_Toc241170099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49</w:t>
        </w:r>
        <w:r w:rsidRPr="000C307D">
          <w:rPr>
            <w:rFonts w:eastAsia="Aptos" w:cs="Times New Roman"/>
            <w:noProof/>
            <w:webHidden/>
            <w:kern w:val="2"/>
            <w:lang w:val="en-GB"/>
            <w14:ligatures w14:val="standardContextual"/>
          </w:rPr>
          <w:fldChar w:fldCharType="end"/>
        </w:r>
      </w:hyperlink>
    </w:p>
    <w:p w14:paraId="5A73F8E0"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0" w:history="1">
        <w:r w:rsidRPr="000C307D">
          <w:rPr>
            <w:rFonts w:eastAsia="Aptos" w:cs="Times New Roman"/>
            <w:noProof/>
            <w:color w:val="0563C1"/>
            <w:kern w:val="2"/>
            <w:u w:val="single"/>
            <w:lang w:val="en-GB"/>
            <w14:ligatures w14:val="standardContextual"/>
          </w:rPr>
          <w:t>Figure 18: Normal Q–Q Plot of Brand–Anime Fit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50</w:t>
        </w:r>
        <w:r w:rsidRPr="000C307D">
          <w:rPr>
            <w:rFonts w:eastAsia="Aptos" w:cs="Times New Roman"/>
            <w:noProof/>
            <w:webHidden/>
            <w:kern w:val="2"/>
            <w:lang w:val="en-GB"/>
            <w14:ligatures w14:val="standardContextual"/>
          </w:rPr>
          <w:fldChar w:fldCharType="end"/>
        </w:r>
      </w:hyperlink>
    </w:p>
    <w:p w14:paraId="2E1F883C"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1" w:history="1">
        <w:r w:rsidRPr="000C307D">
          <w:rPr>
            <w:rFonts w:eastAsia="Aptos" w:cs="Times New Roman"/>
            <w:noProof/>
            <w:color w:val="0563C1"/>
            <w:kern w:val="2"/>
            <w:u w:val="single"/>
            <w:lang w:val="en-GB"/>
            <w14:ligatures w14:val="standardContextual"/>
          </w:rPr>
          <w:t>Figure 19: Histogram of Anime Involvement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51</w:t>
        </w:r>
        <w:r w:rsidRPr="000C307D">
          <w:rPr>
            <w:rFonts w:eastAsia="Aptos" w:cs="Times New Roman"/>
            <w:noProof/>
            <w:webHidden/>
            <w:kern w:val="2"/>
            <w:lang w:val="en-GB"/>
            <w14:ligatures w14:val="standardContextual"/>
          </w:rPr>
          <w:fldChar w:fldCharType="end"/>
        </w:r>
      </w:hyperlink>
    </w:p>
    <w:p w14:paraId="0ABA3DFE"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2" w:history="1">
        <w:r w:rsidRPr="000C307D">
          <w:rPr>
            <w:rFonts w:eastAsia="Aptos" w:cs="Times New Roman"/>
            <w:noProof/>
            <w:color w:val="0563C1"/>
            <w:kern w:val="2"/>
            <w:u w:val="single"/>
            <w:lang w:val="en-GB"/>
            <w14:ligatures w14:val="standardContextual"/>
          </w:rPr>
          <w:t>Figure 20: Normal Q–Q Plot of Anime Involvement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51</w:t>
        </w:r>
        <w:r w:rsidRPr="000C307D">
          <w:rPr>
            <w:rFonts w:eastAsia="Aptos" w:cs="Times New Roman"/>
            <w:noProof/>
            <w:webHidden/>
            <w:kern w:val="2"/>
            <w:lang w:val="en-GB"/>
            <w14:ligatures w14:val="standardContextual"/>
          </w:rPr>
          <w:fldChar w:fldCharType="end"/>
        </w:r>
      </w:hyperlink>
    </w:p>
    <w:p w14:paraId="25E8E4BC"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3" w:history="1">
        <w:r w:rsidRPr="000C307D">
          <w:rPr>
            <w:rFonts w:eastAsia="Aptos" w:cs="Times New Roman"/>
            <w:noProof/>
            <w:color w:val="0563C1"/>
            <w:kern w:val="2"/>
            <w:u w:val="single"/>
            <w:lang w:val="en-GB"/>
            <w14:ligatures w14:val="standardContextual"/>
          </w:rPr>
          <w:t>Figure 21: Histogram of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52</w:t>
        </w:r>
        <w:r w:rsidRPr="000C307D">
          <w:rPr>
            <w:rFonts w:eastAsia="Aptos" w:cs="Times New Roman"/>
            <w:noProof/>
            <w:webHidden/>
            <w:kern w:val="2"/>
            <w:lang w:val="en-GB"/>
            <w14:ligatures w14:val="standardContextual"/>
          </w:rPr>
          <w:fldChar w:fldCharType="end"/>
        </w:r>
      </w:hyperlink>
    </w:p>
    <w:p w14:paraId="729BC142"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4" w:history="1">
        <w:r w:rsidRPr="000C307D">
          <w:rPr>
            <w:rFonts w:eastAsia="Aptos" w:cs="Times New Roman"/>
            <w:noProof/>
            <w:color w:val="0563C1"/>
            <w:kern w:val="2"/>
            <w:u w:val="single"/>
            <w:lang w:val="en-GB"/>
            <w14:ligatures w14:val="standardContextual"/>
          </w:rPr>
          <w:t>Figure 22: Normal Q–Q Plot of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52</w:t>
        </w:r>
        <w:r w:rsidRPr="000C307D">
          <w:rPr>
            <w:rFonts w:eastAsia="Aptos" w:cs="Times New Roman"/>
            <w:noProof/>
            <w:webHidden/>
            <w:kern w:val="2"/>
            <w:lang w:val="en-GB"/>
            <w14:ligatures w14:val="standardContextual"/>
          </w:rPr>
          <w:fldChar w:fldCharType="end"/>
        </w:r>
      </w:hyperlink>
    </w:p>
    <w:p w14:paraId="5C51ED52"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5" w:history="1">
        <w:r w:rsidRPr="000C307D">
          <w:rPr>
            <w:rFonts w:eastAsia="Aptos" w:cs="Times New Roman"/>
            <w:noProof/>
            <w:color w:val="0563C1"/>
            <w:kern w:val="2"/>
            <w:u w:val="single"/>
            <w:lang w:val="en-GB"/>
            <w14:ligatures w14:val="standardContextual"/>
          </w:rPr>
          <w:t>Figure 23: Histogram of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53</w:t>
        </w:r>
        <w:r w:rsidRPr="000C307D">
          <w:rPr>
            <w:rFonts w:eastAsia="Aptos" w:cs="Times New Roman"/>
            <w:noProof/>
            <w:webHidden/>
            <w:kern w:val="2"/>
            <w:lang w:val="en-GB"/>
            <w14:ligatures w14:val="standardContextual"/>
          </w:rPr>
          <w:fldChar w:fldCharType="end"/>
        </w:r>
      </w:hyperlink>
    </w:p>
    <w:p w14:paraId="4E0A55CE"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6" w:history="1">
        <w:r w:rsidRPr="000C307D">
          <w:rPr>
            <w:rFonts w:eastAsia="Aptos" w:cs="Times New Roman"/>
            <w:noProof/>
            <w:color w:val="0563C1"/>
            <w:kern w:val="2"/>
            <w:u w:val="single"/>
            <w:lang w:val="en-GB"/>
            <w14:ligatures w14:val="standardContextual"/>
          </w:rPr>
          <w:t>Figure 24: Normal Q–Q Plot of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54</w:t>
        </w:r>
        <w:r w:rsidRPr="000C307D">
          <w:rPr>
            <w:rFonts w:eastAsia="Aptos" w:cs="Times New Roman"/>
            <w:noProof/>
            <w:webHidden/>
            <w:kern w:val="2"/>
            <w:lang w:val="en-GB"/>
            <w14:ligatures w14:val="standardContextual"/>
          </w:rPr>
          <w:fldChar w:fldCharType="end"/>
        </w:r>
      </w:hyperlink>
    </w:p>
    <w:p w14:paraId="7D8A92B4" w14:textId="77777777" w:rsidR="000C307D" w:rsidRPr="000C307D" w:rsidRDefault="000C307D" w:rsidP="000C307D">
      <w:pPr>
        <w:spacing w:after="160"/>
        <w:rPr>
          <w:rFonts w:eastAsia="Aptos" w:cs="Times New Roman"/>
          <w:b/>
          <w:bCs/>
          <w:kern w:val="2"/>
          <w:sz w:val="32"/>
          <w:szCs w:val="28"/>
          <w:lang w:val="en-GB"/>
          <w14:ligatures w14:val="standardContextual"/>
        </w:rPr>
      </w:pPr>
      <w:r w:rsidRPr="000C307D">
        <w:rPr>
          <w:rFonts w:eastAsia="Aptos" w:cs="Times New Roman"/>
          <w:kern w:val="2"/>
          <w:lang w:val="en-GB"/>
          <w14:ligatures w14:val="standardContextual"/>
        </w:rPr>
        <w:fldChar w:fldCharType="end"/>
      </w:r>
      <w:r w:rsidRPr="000C307D">
        <w:rPr>
          <w:rFonts w:eastAsia="Aptos" w:cs="Times New Roman"/>
          <w:b/>
          <w:bCs/>
          <w:kern w:val="2"/>
          <w:sz w:val="32"/>
          <w:szCs w:val="28"/>
          <w:lang w:val="en-GB"/>
          <w14:ligatures w14:val="standardContextual"/>
        </w:rPr>
        <w:t>List of Tables</w:t>
      </w:r>
    </w:p>
    <w:p w14:paraId="482AFF8C"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r w:rsidRPr="000C307D">
        <w:rPr>
          <w:rFonts w:eastAsia="Aptos" w:cs="Times New Roman"/>
          <w:kern w:val="2"/>
          <w:lang w:val="en-GB"/>
          <w14:ligatures w14:val="standardContextual"/>
        </w:rPr>
        <w:fldChar w:fldCharType="begin"/>
      </w:r>
      <w:r w:rsidRPr="000C307D">
        <w:rPr>
          <w:rFonts w:eastAsia="Aptos" w:cs="Times New Roman"/>
          <w:kern w:val="2"/>
          <w:lang w:val="en-GB"/>
          <w14:ligatures w14:val="standardContextual"/>
        </w:rPr>
        <w:instrText xml:space="preserve"> TOC \h \z \c "Table" </w:instrText>
      </w:r>
      <w:r w:rsidRPr="000C307D">
        <w:rPr>
          <w:rFonts w:eastAsia="Aptos" w:cs="Times New Roman"/>
          <w:kern w:val="2"/>
          <w:lang w:val="en-GB"/>
          <w14:ligatures w14:val="standardContextual"/>
        </w:rPr>
        <w:fldChar w:fldCharType="separate"/>
      </w:r>
      <w:hyperlink w:anchor="_Toc241170107" w:history="1">
        <w:r w:rsidRPr="000C307D">
          <w:rPr>
            <w:rFonts w:eastAsia="Aptos" w:cs="Times New Roman"/>
            <w:noProof/>
            <w:color w:val="0563C1"/>
            <w:kern w:val="2"/>
            <w:u w:val="single"/>
            <w:lang w:val="en-GB"/>
            <w14:ligatures w14:val="standardContextual"/>
          </w:rPr>
          <w:t>Table 1: Summary of Key Literature Relevant to Anime–Fashion Collaborations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20</w:t>
        </w:r>
        <w:r w:rsidRPr="000C307D">
          <w:rPr>
            <w:rFonts w:eastAsia="Aptos" w:cs="Times New Roman"/>
            <w:noProof/>
            <w:webHidden/>
            <w:kern w:val="2"/>
            <w:lang w:val="en-GB"/>
            <w14:ligatures w14:val="standardContextual"/>
          </w:rPr>
          <w:fldChar w:fldCharType="end"/>
        </w:r>
      </w:hyperlink>
    </w:p>
    <w:p w14:paraId="349A76F3"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8" w:history="1">
        <w:r w:rsidRPr="000C307D">
          <w:rPr>
            <w:rFonts w:eastAsia="Aptos" w:cs="Times New Roman"/>
            <w:noProof/>
            <w:color w:val="0563C1"/>
            <w:kern w:val="2"/>
            <w:u w:val="single"/>
            <w:lang w:val="en-GB"/>
            <w14:ligatures w14:val="standardContextual"/>
          </w:rPr>
          <w:t>Table 2: Missing Values Analysis for Study Variables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36</w:t>
        </w:r>
        <w:r w:rsidRPr="000C307D">
          <w:rPr>
            <w:rFonts w:eastAsia="Aptos" w:cs="Times New Roman"/>
            <w:noProof/>
            <w:webHidden/>
            <w:kern w:val="2"/>
            <w:lang w:val="en-GB"/>
            <w14:ligatures w14:val="standardContextual"/>
          </w:rPr>
          <w:fldChar w:fldCharType="end"/>
        </w:r>
      </w:hyperlink>
    </w:p>
    <w:p w14:paraId="24D220FF"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09" w:history="1">
        <w:r w:rsidRPr="000C307D">
          <w:rPr>
            <w:rFonts w:eastAsia="Aptos" w:cs="Times New Roman"/>
            <w:noProof/>
            <w:color w:val="0563C1"/>
            <w:kern w:val="2"/>
            <w:u w:val="single"/>
            <w:lang w:val="en-GB"/>
            <w14:ligatures w14:val="standardContextual"/>
          </w:rPr>
          <w:t>Table 3: Reliability Analysis of Perceived Authenticity</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_Toc241170109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43</w:t>
        </w:r>
        <w:r w:rsidRPr="000C307D">
          <w:rPr>
            <w:rFonts w:eastAsia="Aptos" w:cs="Times New Roman"/>
            <w:noProof/>
            <w:webHidden/>
            <w:kern w:val="2"/>
            <w:lang w:val="en-GB"/>
            <w14:ligatures w14:val="standardContextual"/>
          </w:rPr>
          <w:fldChar w:fldCharType="end"/>
        </w:r>
      </w:hyperlink>
    </w:p>
    <w:p w14:paraId="2C488C83"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0" w:history="1">
        <w:r w:rsidRPr="000C307D">
          <w:rPr>
            <w:rFonts w:eastAsia="Aptos" w:cs="Times New Roman"/>
            <w:noProof/>
            <w:color w:val="0563C1"/>
            <w:kern w:val="2"/>
            <w:u w:val="single"/>
            <w:lang w:val="en-GB"/>
            <w14:ligatures w14:val="standardContextual"/>
          </w:rPr>
          <w:t>Table 4: Reliability Analysis of Brand–Anime Fit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43</w:t>
        </w:r>
        <w:r w:rsidRPr="000C307D">
          <w:rPr>
            <w:rFonts w:eastAsia="Aptos" w:cs="Times New Roman"/>
            <w:noProof/>
            <w:webHidden/>
            <w:kern w:val="2"/>
            <w:lang w:val="en-GB"/>
            <w14:ligatures w14:val="standardContextual"/>
          </w:rPr>
          <w:fldChar w:fldCharType="end"/>
        </w:r>
      </w:hyperlink>
    </w:p>
    <w:p w14:paraId="76434811"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1" w:history="1">
        <w:r w:rsidRPr="000C307D">
          <w:rPr>
            <w:rFonts w:eastAsia="Aptos" w:cs="Times New Roman"/>
            <w:noProof/>
            <w:color w:val="0563C1"/>
            <w:kern w:val="2"/>
            <w:u w:val="single"/>
            <w:lang w:val="en-GB"/>
            <w14:ligatures w14:val="standardContextual"/>
          </w:rPr>
          <w:t>Table 5: Reliability Analysis of Anime Involvement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43</w:t>
        </w:r>
        <w:r w:rsidRPr="000C307D">
          <w:rPr>
            <w:rFonts w:eastAsia="Aptos" w:cs="Times New Roman"/>
            <w:noProof/>
            <w:webHidden/>
            <w:kern w:val="2"/>
            <w:lang w:val="en-GB"/>
            <w14:ligatures w14:val="standardContextual"/>
          </w:rPr>
          <w:fldChar w:fldCharType="end"/>
        </w:r>
      </w:hyperlink>
    </w:p>
    <w:p w14:paraId="0E30A326"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2" w:history="1">
        <w:r w:rsidRPr="000C307D">
          <w:rPr>
            <w:rFonts w:eastAsia="Aptos" w:cs="Times New Roman"/>
            <w:noProof/>
            <w:color w:val="0563C1"/>
            <w:kern w:val="2"/>
            <w:u w:val="single"/>
            <w:lang w:val="en-GB"/>
            <w14:ligatures w14:val="standardContextual"/>
          </w:rPr>
          <w:t>Table 6: Reliability Analysis of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43</w:t>
        </w:r>
        <w:r w:rsidRPr="000C307D">
          <w:rPr>
            <w:rFonts w:eastAsia="Aptos" w:cs="Times New Roman"/>
            <w:noProof/>
            <w:webHidden/>
            <w:kern w:val="2"/>
            <w:lang w:val="en-GB"/>
            <w14:ligatures w14:val="standardContextual"/>
          </w:rPr>
          <w:fldChar w:fldCharType="end"/>
        </w:r>
      </w:hyperlink>
    </w:p>
    <w:p w14:paraId="7AEF9CBA"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3" w:history="1">
        <w:r w:rsidRPr="000C307D">
          <w:rPr>
            <w:rFonts w:eastAsia="Aptos" w:cs="Times New Roman"/>
            <w:noProof/>
            <w:color w:val="0563C1"/>
            <w:kern w:val="2"/>
            <w:u w:val="single"/>
            <w:lang w:val="en-GB"/>
            <w14:ligatures w14:val="standardContextual"/>
          </w:rPr>
          <w:t>Table 7: Reliability Analysis of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44</w:t>
        </w:r>
        <w:r w:rsidRPr="000C307D">
          <w:rPr>
            <w:rFonts w:eastAsia="Aptos" w:cs="Times New Roman"/>
            <w:noProof/>
            <w:webHidden/>
            <w:kern w:val="2"/>
            <w:lang w:val="en-GB"/>
            <w14:ligatures w14:val="standardContextual"/>
          </w:rPr>
          <w:fldChar w:fldCharType="end"/>
        </w:r>
      </w:hyperlink>
    </w:p>
    <w:p w14:paraId="555C870D"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4" w:history="1">
        <w:r w:rsidRPr="000C307D">
          <w:rPr>
            <w:rFonts w:eastAsia="Aptos" w:cs="Times New Roman"/>
            <w:noProof/>
            <w:color w:val="0563C1"/>
            <w:kern w:val="2"/>
            <w:u w:val="single"/>
            <w:lang w:val="en-GB"/>
            <w14:ligatures w14:val="standardContextual"/>
          </w:rPr>
          <w:t>Table 8: Descriptive Statistics for the Main Study Constructs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_Toc241170114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44</w:t>
        </w:r>
        <w:r w:rsidRPr="000C307D">
          <w:rPr>
            <w:rFonts w:eastAsia="Aptos" w:cs="Times New Roman"/>
            <w:noProof/>
            <w:webHidden/>
            <w:kern w:val="2"/>
            <w:lang w:val="en-GB"/>
            <w14:ligatures w14:val="standardContextual"/>
          </w:rPr>
          <w:fldChar w:fldCharType="end"/>
        </w:r>
      </w:hyperlink>
    </w:p>
    <w:p w14:paraId="59B5E4BF"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5" w:history="1">
        <w:r w:rsidRPr="000C307D">
          <w:rPr>
            <w:rFonts w:eastAsia="Aptos" w:cs="Times New Roman"/>
            <w:noProof/>
            <w:color w:val="0563C1"/>
            <w:kern w:val="2"/>
            <w:u w:val="single"/>
            <w:lang w:val="en-GB"/>
            <w14:ligatures w14:val="standardContextual"/>
          </w:rPr>
          <w:t>Table 9: Tests of Normality for the Main Study Constructs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_Toc241170115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48</w:t>
        </w:r>
        <w:r w:rsidRPr="000C307D">
          <w:rPr>
            <w:rFonts w:eastAsia="Aptos" w:cs="Times New Roman"/>
            <w:noProof/>
            <w:webHidden/>
            <w:kern w:val="2"/>
            <w:lang w:val="en-GB"/>
            <w14:ligatures w14:val="standardContextual"/>
          </w:rPr>
          <w:fldChar w:fldCharType="end"/>
        </w:r>
      </w:hyperlink>
    </w:p>
    <w:p w14:paraId="32156A39"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6" w:history="1">
        <w:r w:rsidRPr="000C307D">
          <w:rPr>
            <w:rFonts w:eastAsia="Aptos" w:cs="Times New Roman"/>
            <w:noProof/>
            <w:color w:val="0563C1"/>
            <w:kern w:val="2"/>
            <w:u w:val="single"/>
            <w:lang w:val="en-GB"/>
            <w14:ligatures w14:val="standardContextual"/>
          </w:rPr>
          <w:t>Table 10: Pearson Correlation Analysis of the Main Study Constructs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_Toc241170116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55</w:t>
        </w:r>
        <w:r w:rsidRPr="000C307D">
          <w:rPr>
            <w:rFonts w:eastAsia="Aptos" w:cs="Times New Roman"/>
            <w:noProof/>
            <w:webHidden/>
            <w:kern w:val="2"/>
            <w:lang w:val="en-GB"/>
            <w14:ligatures w14:val="standardContextual"/>
          </w:rPr>
          <w:fldChar w:fldCharType="end"/>
        </w:r>
      </w:hyperlink>
    </w:p>
    <w:p w14:paraId="7A98E9B1"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7" w:history="1">
        <w:r w:rsidRPr="000C307D">
          <w:rPr>
            <w:rFonts w:eastAsia="Aptos" w:cs="Times New Roman"/>
            <w:noProof/>
            <w:color w:val="0563C1"/>
            <w:kern w:val="2"/>
            <w:u w:val="single"/>
            <w:lang w:val="en-GB"/>
            <w14:ligatures w14:val="standardContextual"/>
          </w:rPr>
          <w:t>Table 11: Model Summary for Multiple Regression Predicting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_Toc241170117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56</w:t>
        </w:r>
        <w:r w:rsidRPr="000C307D">
          <w:rPr>
            <w:rFonts w:eastAsia="Aptos" w:cs="Times New Roman"/>
            <w:noProof/>
            <w:webHidden/>
            <w:kern w:val="2"/>
            <w:lang w:val="en-GB"/>
            <w14:ligatures w14:val="standardContextual"/>
          </w:rPr>
          <w:fldChar w:fldCharType="end"/>
        </w:r>
      </w:hyperlink>
    </w:p>
    <w:p w14:paraId="574A1519"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8" w:history="1">
        <w:r w:rsidRPr="000C307D">
          <w:rPr>
            <w:rFonts w:eastAsia="Aptos" w:cs="Times New Roman"/>
            <w:noProof/>
            <w:color w:val="0563C1"/>
            <w:kern w:val="2"/>
            <w:u w:val="single"/>
            <w:lang w:val="en-GB"/>
            <w14:ligatures w14:val="standardContextual"/>
          </w:rPr>
          <w:t>Table 12: ANOVA for Multiple Regression Predicting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_Toc241170118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56</w:t>
        </w:r>
        <w:r w:rsidRPr="000C307D">
          <w:rPr>
            <w:rFonts w:eastAsia="Aptos" w:cs="Times New Roman"/>
            <w:noProof/>
            <w:webHidden/>
            <w:kern w:val="2"/>
            <w:lang w:val="en-GB"/>
            <w14:ligatures w14:val="standardContextual"/>
          </w:rPr>
          <w:fldChar w:fldCharType="end"/>
        </w:r>
      </w:hyperlink>
    </w:p>
    <w:p w14:paraId="50184C34"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19" w:history="1">
        <w:r w:rsidRPr="000C307D">
          <w:rPr>
            <w:rFonts w:eastAsia="Aptos" w:cs="Times New Roman"/>
            <w:noProof/>
            <w:color w:val="0563C1"/>
            <w:kern w:val="2"/>
            <w:u w:val="single"/>
            <w:lang w:val="en-GB"/>
            <w14:ligatures w14:val="standardContextual"/>
          </w:rPr>
          <w:t>Table 13: Multiple Regression Coefficients for Predictors of Consumer Engagement</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_Toc241170119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57</w:t>
        </w:r>
        <w:r w:rsidRPr="000C307D">
          <w:rPr>
            <w:rFonts w:eastAsia="Aptos" w:cs="Times New Roman"/>
            <w:noProof/>
            <w:webHidden/>
            <w:kern w:val="2"/>
            <w:lang w:val="en-GB"/>
            <w14:ligatures w14:val="standardContextual"/>
          </w:rPr>
          <w:fldChar w:fldCharType="end"/>
        </w:r>
      </w:hyperlink>
    </w:p>
    <w:p w14:paraId="4F3044DA"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20" w:history="1">
        <w:r w:rsidRPr="000C307D">
          <w:rPr>
            <w:rFonts w:eastAsia="Aptos" w:cs="Times New Roman"/>
            <w:noProof/>
            <w:color w:val="0563C1"/>
            <w:kern w:val="2"/>
            <w:u w:val="single"/>
            <w:lang w:val="en-GB"/>
            <w14:ligatures w14:val="standardContextual"/>
          </w:rPr>
          <w:t>Table 14: Model Summary for Simple Linear Regression Predicting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_Toc241170120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57</w:t>
        </w:r>
        <w:r w:rsidRPr="000C307D">
          <w:rPr>
            <w:rFonts w:eastAsia="Aptos" w:cs="Times New Roman"/>
            <w:noProof/>
            <w:webHidden/>
            <w:kern w:val="2"/>
            <w:lang w:val="en-GB"/>
            <w14:ligatures w14:val="standardContextual"/>
          </w:rPr>
          <w:fldChar w:fldCharType="end"/>
        </w:r>
      </w:hyperlink>
    </w:p>
    <w:p w14:paraId="09CE307F"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21" w:history="1">
        <w:r w:rsidRPr="000C307D">
          <w:rPr>
            <w:rFonts w:eastAsia="Aptos" w:cs="Times New Roman"/>
            <w:noProof/>
            <w:color w:val="0563C1"/>
            <w:kern w:val="2"/>
            <w:u w:val="single"/>
            <w:lang w:val="en-GB"/>
            <w14:ligatures w14:val="standardContextual"/>
          </w:rPr>
          <w:t>Table 15: ANOVA for Simple Linear Regression Predicting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_Toc241170121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58</w:t>
        </w:r>
        <w:r w:rsidRPr="000C307D">
          <w:rPr>
            <w:rFonts w:eastAsia="Aptos" w:cs="Times New Roman"/>
            <w:noProof/>
            <w:webHidden/>
            <w:kern w:val="2"/>
            <w:lang w:val="en-GB"/>
            <w14:ligatures w14:val="standardContextual"/>
          </w:rPr>
          <w:fldChar w:fldCharType="end"/>
        </w:r>
      </w:hyperlink>
    </w:p>
    <w:p w14:paraId="46272EAF"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22" w:history="1">
        <w:r w:rsidRPr="000C307D">
          <w:rPr>
            <w:rFonts w:eastAsia="Aptos" w:cs="Times New Roman"/>
            <w:noProof/>
            <w:color w:val="0563C1"/>
            <w:kern w:val="2"/>
            <w:u w:val="single"/>
            <w:lang w:val="en-GB"/>
            <w14:ligatures w14:val="standardContextual"/>
          </w:rPr>
          <w:t>Table 16: Regression Coefficients for Consumer Engagement Predicting Purchase Intention</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_Toc241170122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58</w:t>
        </w:r>
        <w:r w:rsidRPr="000C307D">
          <w:rPr>
            <w:rFonts w:eastAsia="Aptos" w:cs="Times New Roman"/>
            <w:noProof/>
            <w:webHidden/>
            <w:kern w:val="2"/>
            <w:lang w:val="en-GB"/>
            <w14:ligatures w14:val="standardContextual"/>
          </w:rPr>
          <w:fldChar w:fldCharType="end"/>
        </w:r>
      </w:hyperlink>
    </w:p>
    <w:p w14:paraId="6836D267" w14:textId="77777777" w:rsidR="000C307D" w:rsidRPr="000C307D" w:rsidRDefault="000C307D" w:rsidP="000C307D">
      <w:pPr>
        <w:tabs>
          <w:tab w:val="right" w:leader="dot" w:pos="9350"/>
        </w:tabs>
        <w:spacing w:after="0"/>
        <w:rPr>
          <w:rFonts w:ascii="Aptos" w:eastAsia="Times New Roman" w:hAnsi="Aptos" w:cs="Times New Roman"/>
          <w:noProof/>
          <w:kern w:val="2"/>
          <w:szCs w:val="24"/>
          <w:lang/>
          <w14:ligatures w14:val="standardContextual"/>
        </w:rPr>
      </w:pPr>
      <w:hyperlink w:anchor="_Toc241170123" w:history="1">
        <w:r w:rsidRPr="000C307D">
          <w:rPr>
            <w:rFonts w:eastAsia="Aptos" w:cs="Times New Roman"/>
            <w:noProof/>
            <w:color w:val="0563C1"/>
            <w:kern w:val="2"/>
            <w:u w:val="single"/>
            <w:lang w:val="en-GB"/>
            <w14:ligatures w14:val="standardContextual"/>
          </w:rPr>
          <w:t>Table 17: Summary of Hypothesis Testing Results</w:t>
        </w:r>
        <w:r w:rsidRPr="000C307D">
          <w:rPr>
            <w:rFonts w:eastAsia="Aptos" w:cs="Times New Roman"/>
            <w:noProof/>
            <w:webHidden/>
            <w:kern w:val="2"/>
            <w:lang w:val="en-GB"/>
            <w14:ligatures w14:val="standardContextual"/>
          </w:rPr>
          <w:tab/>
        </w:r>
        <w:r w:rsidRPr="000C307D">
          <w:rPr>
            <w:rFonts w:eastAsia="Aptos" w:cs="Times New Roman"/>
            <w:noProof/>
            <w:webHidden/>
            <w:kern w:val="2"/>
            <w:lang w:val="en-GB"/>
            <w14:ligatures w14:val="standardContextual"/>
          </w:rPr>
          <w:fldChar w:fldCharType="begin"/>
        </w:r>
        <w:r w:rsidRPr="000C307D">
          <w:rPr>
            <w:rFonts w:eastAsia="Aptos" w:cs="Times New Roman"/>
            <w:noProof/>
            <w:webHidden/>
            <w:kern w:val="2"/>
            <w:lang w:val="en-GB"/>
            <w14:ligatures w14:val="standardContextual"/>
          </w:rPr>
          <w:instrText xml:space="preserve"> PAGEREF _Toc241170123 \h </w:instrText>
        </w:r>
        <w:r w:rsidRPr="000C307D">
          <w:rPr>
            <w:rFonts w:eastAsia="Aptos" w:cs="Times New Roman"/>
            <w:noProof/>
            <w:webHidden/>
            <w:kern w:val="2"/>
            <w:lang w:val="en-GB"/>
            <w14:ligatures w14:val="standardContextual"/>
          </w:rPr>
        </w:r>
        <w:r w:rsidRPr="000C307D">
          <w:rPr>
            <w:rFonts w:eastAsia="Aptos" w:cs="Times New Roman"/>
            <w:noProof/>
            <w:webHidden/>
            <w:kern w:val="2"/>
            <w:lang w:val="en-GB"/>
            <w14:ligatures w14:val="standardContextual"/>
          </w:rPr>
          <w:fldChar w:fldCharType="separate"/>
        </w:r>
        <w:r w:rsidRPr="000C307D">
          <w:rPr>
            <w:rFonts w:eastAsia="Aptos" w:cs="Times New Roman"/>
            <w:noProof/>
            <w:webHidden/>
            <w:kern w:val="2"/>
            <w:lang w:val="en-GB"/>
            <w14:ligatures w14:val="standardContextual"/>
          </w:rPr>
          <w:t>58</w:t>
        </w:r>
        <w:r w:rsidRPr="000C307D">
          <w:rPr>
            <w:rFonts w:eastAsia="Aptos" w:cs="Times New Roman"/>
            <w:noProof/>
            <w:webHidden/>
            <w:kern w:val="2"/>
            <w:lang w:val="en-GB"/>
            <w14:ligatures w14:val="standardContextual"/>
          </w:rPr>
          <w:fldChar w:fldCharType="end"/>
        </w:r>
      </w:hyperlink>
    </w:p>
    <w:p w14:paraId="1A32A9AA" w14:textId="77777777" w:rsidR="000C307D" w:rsidRPr="000C307D" w:rsidRDefault="000C307D" w:rsidP="000C307D">
      <w:pPr>
        <w:spacing w:after="160"/>
        <w:rPr>
          <w:rFonts w:eastAsia="Aptos" w:cs="Times New Roman"/>
          <w:kern w:val="2"/>
          <w:lang w:val="en-GB"/>
          <w14:ligatures w14:val="standardContextual"/>
        </w:rPr>
        <w:sectPr w:rsidR="000C307D" w:rsidRPr="000C307D" w:rsidSect="000C307D">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cols w:space="708"/>
          <w:docGrid w:linePitch="360"/>
        </w:sectPr>
      </w:pPr>
      <w:r w:rsidRPr="000C307D">
        <w:rPr>
          <w:rFonts w:eastAsia="Aptos" w:cs="Times New Roman"/>
          <w:kern w:val="2"/>
          <w:lang w:val="en-GB"/>
          <w14:ligatures w14:val="standardContextual"/>
        </w:rPr>
        <w:fldChar w:fldCharType="end"/>
      </w:r>
    </w:p>
    <w:p w14:paraId="24A395FB"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0" w:name="_Toc241176347"/>
      <w:r w:rsidRPr="000C307D">
        <w:rPr>
          <w:rFonts w:eastAsia="Times New Roman" w:cs="Times New Roman"/>
          <w:b/>
          <w:color w:val="000000"/>
          <w:kern w:val="2"/>
          <w:sz w:val="32"/>
          <w:szCs w:val="40"/>
          <w:lang w:val="en-GB"/>
          <w14:ligatures w14:val="standardContextual"/>
        </w:rPr>
        <w:lastRenderedPageBreak/>
        <w:t>Chapter One: Introduction and Rationale</w:t>
      </w:r>
      <w:bookmarkEnd w:id="0"/>
    </w:p>
    <w:p w14:paraId="32BD9301"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 w:name="_Toc241176348"/>
      <w:r w:rsidRPr="000C307D">
        <w:rPr>
          <w:rFonts w:eastAsia="Times New Roman" w:cs="Times New Roman"/>
          <w:b/>
          <w:color w:val="000000"/>
          <w:kern w:val="2"/>
          <w:sz w:val="28"/>
          <w:szCs w:val="32"/>
          <w:lang w:val="en-GB"/>
          <w14:ligatures w14:val="standardContextual"/>
        </w:rPr>
        <w:t>Research Background</w:t>
      </w:r>
      <w:bookmarkEnd w:id="1"/>
    </w:p>
    <w:p w14:paraId="2DBD5885"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Fashion marketing has evolved beyond product features and functional benefits towards culturally meaningful brand experiences that can strengthen emotional connections and long-term consumer relationships. The current generation, especially Generation Z (Gen Z), assesses fashion brands by considering the symbolic value, authenticity and personal connection to the brand and its products, in addition to their price and product quality (Shin, Eastman and Li, 2021). As a result, fashion companies have turned to other brand partners, such as entertainment, gaming, and media brands, to differentiate their brands, build strong connections with consumers, and create culturally relevant brand stories (</w:t>
      </w:r>
      <w:proofErr w:type="spellStart"/>
      <w:r w:rsidRPr="000C307D">
        <w:rPr>
          <w:rFonts w:eastAsia="Aptos" w:cs="Times New Roman"/>
          <w:kern w:val="2"/>
          <w:lang w:val="en-GB"/>
          <w14:ligatures w14:val="standardContextual"/>
        </w:rPr>
        <w:t>Alanadoly</w:t>
      </w:r>
      <w:proofErr w:type="spellEnd"/>
      <w:r w:rsidRPr="000C307D">
        <w:rPr>
          <w:rFonts w:eastAsia="Aptos" w:cs="Times New Roman"/>
          <w:kern w:val="2"/>
          <w:lang w:val="en-GB"/>
          <w14:ligatures w14:val="standardContextual"/>
        </w:rPr>
        <w:t xml:space="preserve"> and Salem, 2024; Simonin and Ruth, 1998). In this context, anime provides fashion brands with opportunities to connect with younger consumers through storytelling, nostalgia, character identity and licensed products.</w:t>
      </w:r>
    </w:p>
    <w:p w14:paraId="53F9A0E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Such collaborations have been theorized in a variety of complementary ways. Positive consumer evaluations are based on the perceived compatibility of the partners in the brand alliance because when a strategic and symbolic congruence occurs favourable associations are transferred across the brands (Simonin and Ruth, 1998). Brand Extension Theory similarly suggests that consumers evaluate collaborative products more positively when they perceive consistency with the image and values of the parent brand (Park, Milberg and Lawson, 1991). In addition to strategic fit, scholars are now aware that perceived authenticity is important in determining consumer reactions. Authentic brands are perceived as trustworthy, genuine, and aligned with their values, fostering consumer confidence, emotional connection, and loyalty (Jain, 2026; Sun et al., 2024). However, in entertainment-related partnerships, consumers may expect brands to respect the cultural meaning and identity associated with fictional franchises rather than exploiting these properties primarily for commercial purposes (</w:t>
      </w:r>
      <w:proofErr w:type="spellStart"/>
      <w:r w:rsidRPr="000C307D">
        <w:rPr>
          <w:rFonts w:eastAsia="Aptos" w:cs="Times New Roman"/>
          <w:kern w:val="2"/>
          <w:lang w:val="en-GB"/>
          <w14:ligatures w14:val="standardContextual"/>
        </w:rPr>
        <w:t>Stollfub</w:t>
      </w:r>
      <w:proofErr w:type="spellEnd"/>
      <w:r w:rsidRPr="000C307D">
        <w:rPr>
          <w:rFonts w:eastAsia="Aptos" w:cs="Times New Roman"/>
          <w:kern w:val="2"/>
          <w:lang w:val="en-GB"/>
          <w14:ligatures w14:val="standardContextual"/>
        </w:rPr>
        <w:t>, 2020).</w:t>
      </w:r>
    </w:p>
    <w:p w14:paraId="2A9EE62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Another crucial mechanism by which collaborative marketing affects behavioural consequences is consumer engagement. Consumer engagement extends beyond purchasing behaviour and encompasses consumers’ cognitive, emotional and </w:t>
      </w:r>
      <w:r w:rsidRPr="000C307D">
        <w:rPr>
          <w:rFonts w:eastAsia="Aptos" w:cs="Times New Roman"/>
          <w:kern w:val="2"/>
          <w:lang w:val="en-GB"/>
          <w14:ligatures w14:val="standardContextual"/>
        </w:rPr>
        <w:lastRenderedPageBreak/>
        <w:t xml:space="preserve">behavioural interactions with a brand across digital and physical platforms (Araujo et al., 2020; Srivastava et al., 2023). Previous studies also suggest that involvement in cultural products such as anime can influence consumers’ evaluations of collaborative marketing activities, as highly engaged consumers have higher emotional commitment, product knowledge, and sensitivity to authenticity and franchise representation (Zheng et al., 2025). Such features are particularly pertinent when referring to Gen Z consumers, who are deeply influenced by the construction of their own identities and participatory media cultures, as well as digital communities, in their fashion consumption (Delgado, Ocampo and </w:t>
      </w:r>
      <w:proofErr w:type="spellStart"/>
      <w:r w:rsidRPr="000C307D">
        <w:rPr>
          <w:rFonts w:eastAsia="Aptos" w:cs="Times New Roman"/>
          <w:kern w:val="2"/>
          <w:lang w:val="en-GB"/>
          <w14:ligatures w14:val="standardContextual"/>
        </w:rPr>
        <w:t>Dótor</w:t>
      </w:r>
      <w:proofErr w:type="spellEnd"/>
      <w:r w:rsidRPr="000C307D">
        <w:rPr>
          <w:rFonts w:eastAsia="Aptos" w:cs="Times New Roman"/>
          <w:kern w:val="2"/>
          <w:lang w:val="en-GB"/>
          <w14:ligatures w14:val="standardContextual"/>
        </w:rPr>
        <w:t>, 2023).</w:t>
      </w:r>
    </w:p>
    <w:p w14:paraId="2CEF77E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As anime partnerships become increasingly commercialised, understanding the factors that influence consumer responses to these collaborations has become strategically important. According to industry evidence, the global anime merchandising market is still growing fast, with growing demand for licensed clothing, the rise of the digital retailing industry, and the cross-industry cooperation of international fashion brands such as Uniqlo, Adidas, Puma and Loewe featuring anime elements in their marketing strategies (Ding and Ding, 2023). Despite their growing commercial relevance, the consumer mechanisms underlying successful anime–fashion collaborations remain insufficiently understood. This creates a need to examine how consumers evaluate and respond to such collaborations. This context, which has been under-explored, serves as a framework for the theoretical and practical justification to be developed in the next section.</w:t>
      </w:r>
    </w:p>
    <w:p w14:paraId="79D697D3"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2" w:name="_Toc241176349"/>
      <w:r w:rsidRPr="000C307D">
        <w:rPr>
          <w:rFonts w:eastAsia="Times New Roman" w:cs="Times New Roman"/>
          <w:b/>
          <w:color w:val="000000"/>
          <w:kern w:val="2"/>
          <w:sz w:val="28"/>
          <w:szCs w:val="32"/>
          <w:lang w:val="en-GB"/>
          <w14:ligatures w14:val="standardContextual"/>
        </w:rPr>
        <w:t>Research Rationale</w:t>
      </w:r>
      <w:bookmarkEnd w:id="2"/>
    </w:p>
    <w:p w14:paraId="388B767C"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3" w:name="_Toc241176350"/>
      <w:r w:rsidRPr="000C307D">
        <w:rPr>
          <w:rFonts w:eastAsia="Times New Roman" w:cs="Times New Roman"/>
          <w:b/>
          <w:color w:val="000000"/>
          <w:kern w:val="2"/>
          <w:szCs w:val="28"/>
          <w:lang w:val="en-GB"/>
          <w14:ligatures w14:val="standardContextual"/>
        </w:rPr>
        <w:t>Theoretical Justification</w:t>
      </w:r>
      <w:bookmarkEnd w:id="3"/>
      <w:r w:rsidRPr="000C307D">
        <w:rPr>
          <w:rFonts w:eastAsia="Times New Roman" w:cs="Times New Roman"/>
          <w:b/>
          <w:color w:val="000000"/>
          <w:kern w:val="2"/>
          <w:szCs w:val="28"/>
          <w:lang w:val="en-GB"/>
          <w14:ligatures w14:val="standardContextual"/>
        </w:rPr>
        <w:t xml:space="preserve"> </w:t>
      </w:r>
    </w:p>
    <w:p w14:paraId="594D3E3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Theoretical and empirical studies have shown that strategic brand partnership can create consumer value through the association of complementary brands, improve brand differentiation and elicit positive consumer reactions, when collaborating brands are perceived as highly compatible (Simonin and Ruth, 1998; Park, Milberg and Lawson, 1991). Thus, both Brand Alliance Theory and Brand Extension Theory serve as the main theoretical framework to understand consumers' congruence perception in the evaluation of co-branded products and symbolic fit and knowledge transfer between the co-branded brands (Simonin and Ruth, 1998; Aaker and Keller, 1990). In more recent years, scholars </w:t>
      </w:r>
      <w:r w:rsidRPr="000C307D">
        <w:rPr>
          <w:rFonts w:eastAsia="Aptos" w:cs="Times New Roman"/>
          <w:kern w:val="2"/>
          <w:lang w:val="en-GB"/>
          <w14:ligatures w14:val="standardContextual"/>
        </w:rPr>
        <w:lastRenderedPageBreak/>
        <w:t xml:space="preserve">have posited that collaborative branding can have a more nuanced impact than just functional compatibility, and that consumers' perceptions of a brand's </w:t>
      </w:r>
      <w:proofErr w:type="spellStart"/>
      <w:r w:rsidRPr="000C307D">
        <w:rPr>
          <w:rFonts w:eastAsia="Aptos" w:cs="Times New Roman"/>
          <w:kern w:val="2"/>
          <w:lang w:val="en-GB"/>
          <w14:ligatures w14:val="standardContextual"/>
        </w:rPr>
        <w:t>behavior</w:t>
      </w:r>
      <w:proofErr w:type="spellEnd"/>
      <w:r w:rsidRPr="000C307D">
        <w:rPr>
          <w:rFonts w:eastAsia="Aptos" w:cs="Times New Roman"/>
          <w:kern w:val="2"/>
          <w:lang w:val="en-GB"/>
          <w14:ligatures w14:val="standardContextual"/>
        </w:rPr>
        <w:t xml:space="preserve">, values and cultural positioning (perceived authenticity) (Jain, 2026; </w:t>
      </w:r>
      <w:proofErr w:type="spellStart"/>
      <w:r w:rsidRPr="000C307D">
        <w:rPr>
          <w:rFonts w:eastAsia="Aptos" w:cs="Times New Roman"/>
          <w:kern w:val="2"/>
          <w:lang w:val="en-GB"/>
          <w14:ligatures w14:val="standardContextual"/>
        </w:rPr>
        <w:t>Moulard</w:t>
      </w:r>
      <w:proofErr w:type="spellEnd"/>
      <w:r w:rsidRPr="000C307D">
        <w:rPr>
          <w:rFonts w:eastAsia="Aptos" w:cs="Times New Roman"/>
          <w:kern w:val="2"/>
          <w:lang w:val="en-GB"/>
          <w14:ligatures w14:val="standardContextual"/>
        </w:rPr>
        <w:t>, Raggio and Folse, 2020) influence the success of the collaborative branding. Authenticity has, therefore, become an important precursor of trust, emotional commitment, loyalty and brand recommendation for fashion brands (Arya et al., 2019). In line with this, consumer engagement is now known as a multifaceted phenomenon that involves a cognitive, emotional, and behavioural connection between consumers and a brand, which goes beyond just purchase intentions (Ng, Sweeney and Plewa, 2020). In the field of entertainment marketing, the involvement of consumers with cultural products like anime is also an important factor in understanding engagement as highly involved consumers exhibit higher emotional attachment, product knowledge and sensitivity to collaboration authenticity and franchise representation (Lan, Waheed and Bidin, 2025). Overall, these theories indicate that authenticity, perceived fit, consumer involvement and engagement are complementary mechanisms between collaborative brands and the resulting behavioural outcomes (Ajzen, 1991).</w:t>
      </w:r>
    </w:p>
    <w:p w14:paraId="03580B7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Despite these theoretical developments, the literature remains fragmented. Existing studies frequently examine authenticity, collaboration fit, consumer engagement and purchase intention separately rather than integrating these constructs within a single conceptual model (Arya et al., 2019; Ng, Sweeney and Plewa, 2020). Evidence concerning the relationship between engagement and behavioural outcomes also remains mixed, as purchase intention may be influenced by contextual factors such as price, product availability and individual motivations (Han and Jo, 2025; Li, AI and Ding, 2023). Moreover, existing research is concentrated largely in Asian markets, broader co-branding contexts and entertainment industries, limiting understanding of anime–fashion collaborations among Western consumers (Huang, 2023; Ruiz and Gracia, 2023). Methodologically, many existing studies rely on cross-sectional designs, convenience samples or qualitative case studies, limiting comparison and generalisability across contexts (Sun et al., 2024; Zheng et al., 2025). Thus, it is only a partial explanation of how the elements of cultural involvement, perceived authenticity and collaboration interact and impact consumer responses in the current landscape of fashion collaborations.</w:t>
      </w:r>
    </w:p>
    <w:p w14:paraId="63BD6F8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Accordingly, this study examines perceived authenticity, brand–anime fit, anime involvement, consumer engagement and purchase intention within the specific context of UK Generation Z consumers. This context is theoretically relevant because Gen Z consumers construct brand value through digitally mediated identities, participatory fandoms and symbolic consumption practices that may vary across national settings (Gu et al., 2026). The study therefore provides a context-specific application of collaborative-branding theory to anime–fashion consumption.</w:t>
      </w:r>
    </w:p>
    <w:p w14:paraId="756CAC4A"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4" w:name="_Toc241176351"/>
      <w:r w:rsidRPr="000C307D">
        <w:rPr>
          <w:rFonts w:eastAsia="Times New Roman" w:cs="Times New Roman"/>
          <w:b/>
          <w:color w:val="000000"/>
          <w:kern w:val="2"/>
          <w:szCs w:val="28"/>
          <w:lang w:val="en-GB"/>
          <w14:ligatures w14:val="standardContextual"/>
        </w:rPr>
        <w:t>Practical Justification</w:t>
      </w:r>
      <w:bookmarkEnd w:id="4"/>
      <w:r w:rsidRPr="000C307D">
        <w:rPr>
          <w:rFonts w:eastAsia="Times New Roman" w:cs="Times New Roman"/>
          <w:b/>
          <w:color w:val="000000"/>
          <w:kern w:val="2"/>
          <w:szCs w:val="28"/>
          <w:lang w:val="en-GB"/>
          <w14:ligatures w14:val="standardContextual"/>
        </w:rPr>
        <w:t xml:space="preserve"> </w:t>
      </w:r>
    </w:p>
    <w:p w14:paraId="651A84B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growth of anime–fashion collaborations </w:t>
      </w:r>
      <w:proofErr w:type="gramStart"/>
      <w:r w:rsidRPr="000C307D">
        <w:rPr>
          <w:rFonts w:eastAsia="Aptos" w:cs="Times New Roman"/>
          <w:kern w:val="2"/>
          <w:lang w:val="en-GB"/>
          <w14:ligatures w14:val="standardContextual"/>
        </w:rPr>
        <w:t>presents</w:t>
      </w:r>
      <w:proofErr w:type="gramEnd"/>
      <w:r w:rsidRPr="000C307D">
        <w:rPr>
          <w:rFonts w:eastAsia="Aptos" w:cs="Times New Roman"/>
          <w:kern w:val="2"/>
          <w:lang w:val="en-GB"/>
          <w14:ligatures w14:val="standardContextual"/>
        </w:rPr>
        <w:t xml:space="preserve"> considerable strategic opportunities for fashion brands; however, uncertainty remains regarding how such partnerships can be designed to generate meaningful consumer engagement and commercial outcomes. Despite the fact that organisations are now spending huge sums on licensing agreements to work with entertainment brands, many of the strategic decisions are still based on market trends, creativity and the effectiveness of a campaign in the short term, as opposed to solid empirical findings that identify what really triggers consumers' reactions. For fashion brands, limited evidence about the factors that generate meaningful consumer responses creates a risk of selecting unsuitable collaboration partners, developing culturally unconvincing products and allocating marketing resources inefficiently.</w:t>
      </w:r>
    </w:p>
    <w:p w14:paraId="45619D9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This represents an important strategic consideration because licensed partnerships have become an increasingly prominent branding approach within the global fashion market. As younger consumers increasingly favour brands that reflect their identities and interests, cultural relevance, brand storytelling and community engagement have emerged as important sources of competitive differentiation (Nair et al., 2025). Likewise, Deloitte (2024) finds Generation Z consumers prioritise authenticity in brand experiences, digital channels and the alignment of values over traditional promotional strategies, meaning businesses must mark a change in their marketing strategies. In addition, according to Fortune Business Insights (2023), the global anime merchandising market is expected to expand at a 9.52% compound annual growth rate (CAGR) and is projected to reach USD 27.35 billion in 2034. This market growth increases the strategic importance </w:t>
      </w:r>
      <w:r w:rsidRPr="000C307D">
        <w:rPr>
          <w:rFonts w:eastAsia="Aptos" w:cs="Times New Roman"/>
          <w:kern w:val="2"/>
          <w:lang w:val="en-GB"/>
          <w14:ligatures w14:val="standardContextual"/>
        </w:rPr>
        <w:lastRenderedPageBreak/>
        <w:t>of understanding how fashion brands can develop culturally credible collaborations that generate meaningful engagement rather than short-term promotional attention.</w:t>
      </w:r>
    </w:p>
    <w:p w14:paraId="4CE6BC0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From a managerial point of view, there are some hands-on problems in connection with collaboration strategies. Managers must balance global brand consistency with local consumer expectations while selecting appropriate franchises, developing credible products and evaluating campaign performance across digital channels. The findings of this study can support these decisions by identifying the consumer perceptions most strongly associated with engagement and purchase intention, thereby informing partner selection, product development and communication strategies.</w:t>
      </w:r>
    </w:p>
    <w:p w14:paraId="4AC78DFD"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5" w:name="_Toc241176352"/>
      <w:r w:rsidRPr="000C307D">
        <w:rPr>
          <w:rFonts w:eastAsia="Times New Roman" w:cs="Times New Roman"/>
          <w:b/>
          <w:color w:val="000000"/>
          <w:kern w:val="2"/>
          <w:sz w:val="28"/>
          <w:szCs w:val="32"/>
          <w:lang w:val="en-GB"/>
          <w14:ligatures w14:val="standardContextual"/>
        </w:rPr>
        <w:t>Research Contribution and Motivation</w:t>
      </w:r>
      <w:bookmarkEnd w:id="5"/>
    </w:p>
    <w:p w14:paraId="649F070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principal contribution of this study is the application of an integrated consumer-response framework to anime–fashion collaborations. The study brings perceived authenticity, brand–anime fit and anime involvement together as antecedents of consumer engagement and examines the subsequent relationship between engagement and purchase intention. In doing so, it contextually extends the application of Brand Alliance Theory and Brand Extension Theory beyond conventional assessments of partner compatibility by considering the cultural credibility and personal relevance of collaborative products.</w:t>
      </w:r>
    </w:p>
    <w:p w14:paraId="43DCF1B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Empirically, the study contributes quantitative evidence from UK Generation Z consumers through a cross-sectional questionnaire and statistical analysis. This enables the proposed relationships to be examined systematically and provides evidence concerning the relative influence of authenticity, fit and anime involvement on engagement, together with the relationship between engagement and purchase intention. </w:t>
      </w:r>
    </w:p>
    <w:p w14:paraId="0E316AA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Practically, the findings may provide evidence-based guidance for fashion managers when selecting anime partners, developing culturally credible products and designing engagement strategies for UK Generation Z consumers. The study therefore contributes both context-specific empirical evidence and managerial insight into anime–fashion collaboration.</w:t>
      </w:r>
    </w:p>
    <w:p w14:paraId="18D51722"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6" w:name="_Toc241176353"/>
      <w:r w:rsidRPr="000C307D">
        <w:rPr>
          <w:rFonts w:eastAsia="Times New Roman" w:cs="Times New Roman"/>
          <w:b/>
          <w:color w:val="000000"/>
          <w:kern w:val="2"/>
          <w:sz w:val="28"/>
          <w:szCs w:val="32"/>
          <w:lang w:val="en-GB"/>
          <w14:ligatures w14:val="standardContextual"/>
        </w:rPr>
        <w:lastRenderedPageBreak/>
        <w:t>Research Aim, Objectives and Research Questions</w:t>
      </w:r>
      <w:bookmarkEnd w:id="6"/>
    </w:p>
    <w:p w14:paraId="41E52900"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7" w:name="_Toc241176354"/>
      <w:r w:rsidRPr="000C307D">
        <w:rPr>
          <w:rFonts w:eastAsia="Times New Roman" w:cs="Times New Roman"/>
          <w:b/>
          <w:color w:val="000000"/>
          <w:kern w:val="2"/>
          <w:szCs w:val="28"/>
          <w:lang w:val="en-GB"/>
          <w14:ligatures w14:val="standardContextual"/>
        </w:rPr>
        <w:t>Research Aim</w:t>
      </w:r>
      <w:bookmarkEnd w:id="7"/>
    </w:p>
    <w:p w14:paraId="0F62C0F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aim of this study is to investigate the role of anime collaborations in shaping consumer engagement and purchase intention among UK Generation Z consumers.</w:t>
      </w:r>
    </w:p>
    <w:p w14:paraId="5A908C28"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8" w:name="_Toc241176355"/>
      <w:r w:rsidRPr="000C307D">
        <w:rPr>
          <w:rFonts w:eastAsia="Times New Roman" w:cs="Times New Roman"/>
          <w:b/>
          <w:color w:val="000000"/>
          <w:kern w:val="2"/>
          <w:szCs w:val="28"/>
          <w:lang w:val="en-GB"/>
          <w14:ligatures w14:val="standardContextual"/>
        </w:rPr>
        <w:t>Research Objectives</w:t>
      </w:r>
      <w:bookmarkEnd w:id="8"/>
    </w:p>
    <w:p w14:paraId="765DB39E" w14:textId="77777777" w:rsidR="000C307D" w:rsidRPr="000C307D" w:rsidRDefault="000C307D" w:rsidP="000C307D">
      <w:pPr>
        <w:numPr>
          <w:ilvl w:val="0"/>
          <w:numId w:val="2"/>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To assess UK Generation Z consumers’ perceptions of authenticity in anime–fashion collaborations.</w:t>
      </w:r>
    </w:p>
    <w:p w14:paraId="03C0B37B" w14:textId="77777777" w:rsidR="000C307D" w:rsidRPr="000C307D" w:rsidRDefault="000C307D" w:rsidP="000C307D">
      <w:pPr>
        <w:numPr>
          <w:ilvl w:val="0"/>
          <w:numId w:val="2"/>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To examine the influence of perceived brand–anime fit on consumer engagement.</w:t>
      </w:r>
    </w:p>
    <w:p w14:paraId="12B22B8F" w14:textId="77777777" w:rsidR="000C307D" w:rsidRPr="000C307D" w:rsidRDefault="000C307D" w:rsidP="000C307D">
      <w:pPr>
        <w:numPr>
          <w:ilvl w:val="0"/>
          <w:numId w:val="2"/>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To determine whether anime involvement influences engagement with anime–fashion collaborations.</w:t>
      </w:r>
    </w:p>
    <w:p w14:paraId="583DD76D" w14:textId="77777777" w:rsidR="000C307D" w:rsidRPr="000C307D" w:rsidRDefault="000C307D" w:rsidP="000C307D">
      <w:pPr>
        <w:numPr>
          <w:ilvl w:val="0"/>
          <w:numId w:val="2"/>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To evaluate the relationship between consumer engagement and purchase intention.</w:t>
      </w:r>
    </w:p>
    <w:p w14:paraId="577E5F91" w14:textId="77777777" w:rsidR="000C307D" w:rsidRPr="000C307D" w:rsidRDefault="000C307D" w:rsidP="000C307D">
      <w:pPr>
        <w:numPr>
          <w:ilvl w:val="0"/>
          <w:numId w:val="2"/>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To recommend how fashion brands can design credible and engaging anime collaborations for UK Generation Z consumers.</w:t>
      </w:r>
    </w:p>
    <w:p w14:paraId="262517E4"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9" w:name="_Toc235805290"/>
      <w:bookmarkStart w:id="10" w:name="_Toc241176356"/>
      <w:r w:rsidRPr="000C307D">
        <w:rPr>
          <w:rFonts w:eastAsia="Times New Roman" w:cs="Times New Roman"/>
          <w:b/>
          <w:color w:val="000000"/>
          <w:kern w:val="2"/>
          <w:szCs w:val="28"/>
          <w:lang w:val="en-GB"/>
          <w14:ligatures w14:val="standardContextual"/>
        </w:rPr>
        <w:t>Research Questions</w:t>
      </w:r>
      <w:bookmarkEnd w:id="9"/>
      <w:bookmarkEnd w:id="10"/>
    </w:p>
    <w:p w14:paraId="781253FA" w14:textId="77777777" w:rsidR="000C307D" w:rsidRPr="000C307D" w:rsidRDefault="000C307D" w:rsidP="000C307D">
      <w:pPr>
        <w:numPr>
          <w:ilvl w:val="0"/>
          <w:numId w:val="3"/>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How does perceived authenticity influence consumer engagement with anime–fashion collaborations?</w:t>
      </w:r>
    </w:p>
    <w:p w14:paraId="722C88F7" w14:textId="77777777" w:rsidR="000C307D" w:rsidRPr="000C307D" w:rsidRDefault="000C307D" w:rsidP="000C307D">
      <w:pPr>
        <w:numPr>
          <w:ilvl w:val="0"/>
          <w:numId w:val="3"/>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What effect does brand–anime fit have on consumer engagement?</w:t>
      </w:r>
    </w:p>
    <w:p w14:paraId="318F6258" w14:textId="77777777" w:rsidR="000C307D" w:rsidRPr="000C307D" w:rsidRDefault="000C307D" w:rsidP="000C307D">
      <w:pPr>
        <w:numPr>
          <w:ilvl w:val="0"/>
          <w:numId w:val="3"/>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How does anime involvement affect engagement with collaborative fashion products?</w:t>
      </w:r>
    </w:p>
    <w:p w14:paraId="64BC921F" w14:textId="77777777" w:rsidR="000C307D" w:rsidRPr="000C307D" w:rsidRDefault="000C307D" w:rsidP="000C307D">
      <w:pPr>
        <w:numPr>
          <w:ilvl w:val="0"/>
          <w:numId w:val="3"/>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To what extent does consumer engagement influence purchase intention toward anime–fashion collaborations among UK Generation Z consumers? </w:t>
      </w:r>
    </w:p>
    <w:p w14:paraId="313EAC65"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1" w:name="_Toc235805291"/>
      <w:bookmarkStart w:id="12" w:name="_Toc241176357"/>
      <w:r w:rsidRPr="000C307D">
        <w:rPr>
          <w:rFonts w:eastAsia="Times New Roman" w:cs="Times New Roman"/>
          <w:b/>
          <w:color w:val="000000"/>
          <w:kern w:val="2"/>
          <w:sz w:val="28"/>
          <w:szCs w:val="32"/>
          <w:lang w:val="en-GB"/>
          <w14:ligatures w14:val="standardContextual"/>
        </w:rPr>
        <w:t>Hypothesis</w:t>
      </w:r>
      <w:bookmarkEnd w:id="11"/>
      <w:bookmarkEnd w:id="12"/>
    </w:p>
    <w:p w14:paraId="4C685F34" w14:textId="77777777" w:rsidR="000C307D" w:rsidRPr="000C307D" w:rsidRDefault="000C307D" w:rsidP="000C307D">
      <w:pPr>
        <w:numPr>
          <w:ilvl w:val="0"/>
          <w:numId w:val="4"/>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H1: Perceived authenticity positively influences consumer engagement. </w:t>
      </w:r>
    </w:p>
    <w:p w14:paraId="5B1936CA" w14:textId="77777777" w:rsidR="000C307D" w:rsidRPr="000C307D" w:rsidRDefault="000C307D" w:rsidP="000C307D">
      <w:pPr>
        <w:numPr>
          <w:ilvl w:val="0"/>
          <w:numId w:val="4"/>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H2: Brand–anime fit positively influences consumer engagement. </w:t>
      </w:r>
    </w:p>
    <w:p w14:paraId="7157C89C" w14:textId="77777777" w:rsidR="000C307D" w:rsidRPr="000C307D" w:rsidRDefault="000C307D" w:rsidP="000C307D">
      <w:pPr>
        <w:numPr>
          <w:ilvl w:val="0"/>
          <w:numId w:val="4"/>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H3: Anime involvement positively influences consumer engagement. </w:t>
      </w:r>
    </w:p>
    <w:p w14:paraId="4FB7F1B9" w14:textId="77777777" w:rsidR="000C307D" w:rsidRPr="000C307D" w:rsidRDefault="000C307D" w:rsidP="000C307D">
      <w:pPr>
        <w:numPr>
          <w:ilvl w:val="0"/>
          <w:numId w:val="4"/>
        </w:numPr>
        <w:spacing w:after="160"/>
        <w:contextualSpacing/>
        <w:rPr>
          <w:rFonts w:eastAsia="Aptos" w:cs="Times New Roman"/>
          <w:kern w:val="2"/>
          <w:lang w:val="en-GB"/>
          <w14:ligatures w14:val="standardContextual"/>
        </w:rPr>
      </w:pPr>
      <w:r w:rsidRPr="000C307D">
        <w:rPr>
          <w:rFonts w:eastAsia="Aptos" w:cs="Times New Roman"/>
          <w:kern w:val="2"/>
          <w:lang w:val="en-GB"/>
          <w14:ligatures w14:val="standardContextual"/>
        </w:rPr>
        <w:t>H4: Consumer engagement positively influences purchase intention.</w:t>
      </w:r>
    </w:p>
    <w:p w14:paraId="5EC11328"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3" w:name="_Toc241176358"/>
      <w:r w:rsidRPr="000C307D">
        <w:rPr>
          <w:rFonts w:eastAsia="Times New Roman" w:cs="Times New Roman"/>
          <w:b/>
          <w:color w:val="000000"/>
          <w:kern w:val="2"/>
          <w:sz w:val="28"/>
          <w:szCs w:val="32"/>
          <w:lang w:val="en-GB"/>
          <w14:ligatures w14:val="standardContextual"/>
        </w:rPr>
        <w:lastRenderedPageBreak/>
        <w:t>Dissertation Structure</w:t>
      </w:r>
      <w:bookmarkEnd w:id="13"/>
      <w:r w:rsidRPr="000C307D">
        <w:rPr>
          <w:rFonts w:eastAsia="Times New Roman" w:cs="Times New Roman"/>
          <w:b/>
          <w:color w:val="000000"/>
          <w:kern w:val="2"/>
          <w:sz w:val="28"/>
          <w:szCs w:val="32"/>
          <w:lang w:val="en-GB"/>
          <w14:ligatures w14:val="standardContextual"/>
        </w:rPr>
        <w:t xml:space="preserve"> </w:t>
      </w:r>
    </w:p>
    <w:p w14:paraId="3008D44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remainder of this dissertation is organised into five chapters. Chapter Two critically reviews the literature on collaborative branding, perceived authenticity, brand–anime fit, anime involvement, consumer engagement and purchase intention, culminating in the development of the conceptual framework and hypotheses. Chapter Three outlines the research methodology, including the research philosophy, design, sampling strategy, data collection procedures and statistical analysis methods. Chapter Four presents and analyses the empirical findings. Chapter Five discusses the findings in relation to the literature and theoretical framework. Chapter Six concludes the dissertation by presenting the theoretical and managerial implications, limitations, directions for future research and the overall conclusion.</w:t>
      </w:r>
    </w:p>
    <w:p w14:paraId="5DC46D1A" w14:textId="77777777" w:rsidR="000C307D" w:rsidRPr="000C307D" w:rsidRDefault="000C307D" w:rsidP="000C307D">
      <w:pPr>
        <w:spacing w:after="160"/>
        <w:rPr>
          <w:rFonts w:eastAsia="Aptos" w:cs="Times New Roman"/>
          <w:kern w:val="2"/>
          <w:lang w:val="en-GB"/>
          <w14:ligatures w14:val="standardContextual"/>
        </w:rPr>
      </w:pPr>
    </w:p>
    <w:p w14:paraId="539A58F5" w14:textId="77777777" w:rsidR="000C307D" w:rsidRPr="000C307D" w:rsidRDefault="000C307D" w:rsidP="000C307D">
      <w:pPr>
        <w:spacing w:after="160"/>
        <w:rPr>
          <w:rFonts w:eastAsia="Aptos" w:cs="Times New Roman"/>
          <w:kern w:val="2"/>
          <w:lang w:val="en-GB"/>
          <w14:ligatures w14:val="standardContextual"/>
        </w:rPr>
      </w:pPr>
    </w:p>
    <w:p w14:paraId="63539907" w14:textId="77777777" w:rsidR="000C307D" w:rsidRPr="000C307D" w:rsidRDefault="000C307D" w:rsidP="000C307D">
      <w:pPr>
        <w:spacing w:after="160"/>
        <w:rPr>
          <w:rFonts w:eastAsia="Aptos" w:cs="Times New Roman"/>
          <w:kern w:val="2"/>
          <w:lang w:val="en-GB"/>
          <w14:ligatures w14:val="standardContextual"/>
        </w:rPr>
      </w:pPr>
    </w:p>
    <w:p w14:paraId="19227C35" w14:textId="77777777" w:rsidR="000C307D" w:rsidRPr="000C307D" w:rsidRDefault="000C307D" w:rsidP="000C307D">
      <w:pPr>
        <w:spacing w:after="160"/>
        <w:rPr>
          <w:rFonts w:eastAsia="Aptos" w:cs="Times New Roman"/>
          <w:kern w:val="2"/>
          <w:lang w:val="en-GB"/>
          <w14:ligatures w14:val="standardContextual"/>
        </w:rPr>
      </w:pPr>
    </w:p>
    <w:p w14:paraId="5B03CED9" w14:textId="77777777" w:rsidR="000C307D" w:rsidRPr="000C307D" w:rsidRDefault="000C307D" w:rsidP="000C307D">
      <w:pPr>
        <w:spacing w:after="160"/>
        <w:rPr>
          <w:rFonts w:eastAsia="Aptos" w:cs="Times New Roman"/>
          <w:kern w:val="2"/>
          <w:lang w:val="en-GB"/>
          <w14:ligatures w14:val="standardContextual"/>
        </w:rPr>
      </w:pPr>
    </w:p>
    <w:p w14:paraId="3C23539E" w14:textId="77777777" w:rsidR="000C307D" w:rsidRPr="000C307D" w:rsidRDefault="000C307D" w:rsidP="000C307D">
      <w:pPr>
        <w:spacing w:after="160"/>
        <w:rPr>
          <w:rFonts w:eastAsia="Aptos" w:cs="Times New Roman"/>
          <w:kern w:val="2"/>
          <w:lang w:val="en-GB"/>
          <w14:ligatures w14:val="standardContextual"/>
        </w:rPr>
      </w:pPr>
    </w:p>
    <w:p w14:paraId="324BA6BF" w14:textId="77777777" w:rsidR="000C307D" w:rsidRPr="000C307D" w:rsidRDefault="000C307D" w:rsidP="000C307D">
      <w:pPr>
        <w:spacing w:after="160"/>
        <w:rPr>
          <w:rFonts w:eastAsia="Aptos" w:cs="Times New Roman"/>
          <w:kern w:val="2"/>
          <w:lang w:val="en-GB"/>
          <w14:ligatures w14:val="standardContextual"/>
        </w:rPr>
      </w:pPr>
    </w:p>
    <w:p w14:paraId="1B48B8C4" w14:textId="77777777" w:rsidR="000C307D" w:rsidRPr="000C307D" w:rsidRDefault="000C307D" w:rsidP="000C307D">
      <w:pPr>
        <w:spacing w:after="160"/>
        <w:rPr>
          <w:rFonts w:eastAsia="Aptos" w:cs="Times New Roman"/>
          <w:kern w:val="2"/>
          <w:lang w:val="en-GB"/>
          <w14:ligatures w14:val="standardContextual"/>
        </w:rPr>
      </w:pPr>
    </w:p>
    <w:p w14:paraId="4FE506B4" w14:textId="77777777" w:rsidR="000C307D" w:rsidRPr="000C307D" w:rsidRDefault="000C307D" w:rsidP="000C307D">
      <w:pPr>
        <w:spacing w:after="160"/>
        <w:rPr>
          <w:rFonts w:eastAsia="Aptos" w:cs="Times New Roman"/>
          <w:kern w:val="2"/>
          <w:lang w:val="en-GB"/>
          <w14:ligatures w14:val="standardContextual"/>
        </w:rPr>
      </w:pPr>
    </w:p>
    <w:p w14:paraId="203EF684" w14:textId="77777777" w:rsidR="000C307D" w:rsidRPr="000C307D" w:rsidRDefault="000C307D" w:rsidP="000C307D">
      <w:pPr>
        <w:spacing w:after="160"/>
        <w:rPr>
          <w:rFonts w:eastAsia="Aptos" w:cs="Times New Roman"/>
          <w:kern w:val="2"/>
          <w:lang w:val="en-GB"/>
          <w14:ligatures w14:val="standardContextual"/>
        </w:rPr>
      </w:pPr>
    </w:p>
    <w:p w14:paraId="2A83F89A" w14:textId="77777777" w:rsidR="000C307D" w:rsidRPr="000C307D" w:rsidRDefault="000C307D" w:rsidP="000C307D">
      <w:pPr>
        <w:spacing w:after="160"/>
        <w:rPr>
          <w:rFonts w:eastAsia="Aptos" w:cs="Times New Roman"/>
          <w:kern w:val="2"/>
          <w:lang w:val="en-GB"/>
          <w14:ligatures w14:val="standardContextual"/>
        </w:rPr>
      </w:pPr>
    </w:p>
    <w:p w14:paraId="23E4ECD6" w14:textId="77777777" w:rsidR="000C307D" w:rsidRPr="000C307D" w:rsidRDefault="000C307D" w:rsidP="000C307D">
      <w:pPr>
        <w:spacing w:after="160"/>
        <w:rPr>
          <w:rFonts w:eastAsia="Aptos" w:cs="Times New Roman"/>
          <w:kern w:val="2"/>
          <w:lang w:val="en-GB"/>
          <w14:ligatures w14:val="standardContextual"/>
        </w:rPr>
      </w:pPr>
    </w:p>
    <w:p w14:paraId="205E8CC2" w14:textId="77777777" w:rsidR="000C307D" w:rsidRPr="000C307D" w:rsidRDefault="000C307D" w:rsidP="000C307D">
      <w:pPr>
        <w:spacing w:after="160"/>
        <w:rPr>
          <w:rFonts w:eastAsia="Aptos" w:cs="Times New Roman"/>
          <w:kern w:val="2"/>
          <w:lang w:val="en-GB"/>
          <w14:ligatures w14:val="standardContextual"/>
        </w:rPr>
      </w:pPr>
    </w:p>
    <w:p w14:paraId="664ABF19"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14" w:name="_Toc241176359"/>
      <w:r w:rsidRPr="000C307D">
        <w:rPr>
          <w:rFonts w:eastAsia="Times New Roman" w:cs="Times New Roman"/>
          <w:b/>
          <w:color w:val="000000"/>
          <w:kern w:val="2"/>
          <w:sz w:val="32"/>
          <w:szCs w:val="40"/>
          <w:lang w:val="en-GB"/>
          <w14:ligatures w14:val="standardContextual"/>
        </w:rPr>
        <w:lastRenderedPageBreak/>
        <w:t>Chapter Two: Literature Review</w:t>
      </w:r>
      <w:bookmarkEnd w:id="14"/>
    </w:p>
    <w:p w14:paraId="5C920D01"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5" w:name="_Toc241176360"/>
      <w:r w:rsidRPr="000C307D">
        <w:rPr>
          <w:rFonts w:eastAsia="Times New Roman" w:cs="Times New Roman"/>
          <w:b/>
          <w:color w:val="000000"/>
          <w:kern w:val="2"/>
          <w:sz w:val="28"/>
          <w:szCs w:val="32"/>
          <w:lang w:val="en-GB"/>
          <w14:ligatures w14:val="standardContextual"/>
        </w:rPr>
        <w:t>Introduction</w:t>
      </w:r>
      <w:bookmarkEnd w:id="15"/>
    </w:p>
    <w:p w14:paraId="6A09C0E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critically examines the literature that is pertinent to understanding the way anime–fashion collaborations influence consumer engagement and purchase intention among the UK Generation Z consumers. The review addresses the sparse integrated evidence of evaluation of culturally embedded collaborations in Western fashion markets, specifically in the context of authentic and collaborative fit, as well as fandom involvement. Therefore, the chapter explored literature on collaborative branding and brand alliance, perceived authenticity, brand–anime fit, anime involvement, multidimensional consumer engagement and purchase intention. The review draws on Brand Alliance Theory and Brand Extension Theory because these theories explain how perceived compatibility and the transfer of brand associations can influence collaborative product evaluations. This discussion will be limited to consumer reactions to anime–fashion collaborations as opposed to broad anime or entertainment marketing. The chapter builds a conceptual framework for the empirical analysis, highlights important empirical and contextual gaps, and sets the theoretical context after the thematic review.</w:t>
      </w:r>
    </w:p>
    <w:p w14:paraId="133AE43F"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6" w:name="_Toc241176361"/>
      <w:r w:rsidRPr="000C307D">
        <w:rPr>
          <w:rFonts w:eastAsia="Times New Roman" w:cs="Times New Roman"/>
          <w:b/>
          <w:color w:val="000000"/>
          <w:kern w:val="2"/>
          <w:sz w:val="28"/>
          <w:szCs w:val="32"/>
          <w:lang w:val="en-GB"/>
          <w14:ligatures w14:val="standardContextual"/>
        </w:rPr>
        <w:t>Thematic Overview of the Literature</w:t>
      </w:r>
      <w:bookmarkEnd w:id="16"/>
    </w:p>
    <w:p w14:paraId="5552F570"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7" w:name="_Toc241176362"/>
      <w:r w:rsidRPr="000C307D">
        <w:rPr>
          <w:rFonts w:eastAsia="Times New Roman" w:cs="Times New Roman"/>
          <w:b/>
          <w:color w:val="000000"/>
          <w:kern w:val="2"/>
          <w:sz w:val="28"/>
          <w:szCs w:val="32"/>
          <w:lang w:val="en-GB"/>
          <w14:ligatures w14:val="standardContextual"/>
        </w:rPr>
        <w:t>Perceived Authenticity in Anime–Fashion Collaborations</w:t>
      </w:r>
      <w:bookmarkEnd w:id="17"/>
    </w:p>
    <w:p w14:paraId="6A9EBE8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Perceived authenticity is the perceived genuineness, credibility and consistency of a brand's communication and collaborative activities in terms of how much they are seen as representing brand values and cultural meanings (Södergren, 2021). Authenticity is particularly important in anime–fashion collaborations because brands draw not only on visual imagery but also on fictional worlds, communities and cultural identities to which consumers may have strong emotional attachments. This means that an anime collaboration can elicit responses that are positive if it seems respectful to the culture, but negative if it is seen as a commercial ploy.</w:t>
      </w:r>
    </w:p>
    <w:p w14:paraId="66FF152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Authenticity has evolved from a relatively generic perception of brand genuineness to a multi-dimensional concept that focuses on the congruence of a brand's claims and </w:t>
      </w:r>
      <w:proofErr w:type="spellStart"/>
      <w:r w:rsidRPr="000C307D">
        <w:rPr>
          <w:rFonts w:eastAsia="Aptos" w:cs="Times New Roman"/>
          <w:kern w:val="2"/>
          <w:lang w:val="en-GB"/>
          <w14:ligatures w14:val="standardContextual"/>
        </w:rPr>
        <w:lastRenderedPageBreak/>
        <w:t>behaviors</w:t>
      </w:r>
      <w:proofErr w:type="spellEnd"/>
      <w:r w:rsidRPr="000C307D">
        <w:rPr>
          <w:rFonts w:eastAsia="Aptos" w:cs="Times New Roman"/>
          <w:kern w:val="2"/>
          <w:lang w:val="en-GB"/>
          <w14:ligatures w14:val="standardContextual"/>
        </w:rPr>
        <w:t xml:space="preserve"> with a meaningful external reference (Papadopoulou, </w:t>
      </w:r>
      <w:proofErr w:type="spellStart"/>
      <w:r w:rsidRPr="000C307D">
        <w:rPr>
          <w:rFonts w:eastAsia="Aptos" w:cs="Times New Roman"/>
          <w:kern w:val="2"/>
          <w:lang w:val="en-GB"/>
          <w14:ligatures w14:val="standardContextual"/>
        </w:rPr>
        <w:t>Vardarsuyu</w:t>
      </w:r>
      <w:proofErr w:type="spellEnd"/>
      <w:r w:rsidRPr="000C307D">
        <w:rPr>
          <w:rFonts w:eastAsia="Aptos" w:cs="Times New Roman"/>
          <w:kern w:val="2"/>
          <w:lang w:val="en-GB"/>
          <w14:ligatures w14:val="standardContextual"/>
        </w:rPr>
        <w:t xml:space="preserve"> and </w:t>
      </w:r>
      <w:proofErr w:type="spellStart"/>
      <w:r w:rsidRPr="000C307D">
        <w:rPr>
          <w:rFonts w:eastAsia="Aptos" w:cs="Times New Roman"/>
          <w:kern w:val="2"/>
          <w:lang w:val="en-GB"/>
          <w14:ligatures w14:val="standardContextual"/>
        </w:rPr>
        <w:t>Oghazi</w:t>
      </w:r>
      <w:proofErr w:type="spellEnd"/>
      <w:r w:rsidRPr="000C307D">
        <w:rPr>
          <w:rFonts w:eastAsia="Aptos" w:cs="Times New Roman"/>
          <w:kern w:val="2"/>
          <w:lang w:val="en-GB"/>
          <w14:ligatures w14:val="standardContextual"/>
        </w:rPr>
        <w:t>, 2023). For instance, Smith and Du (2026) define authenticity in terms of an entity–referent correspondence perspective, arguing that consumers form authenticity judgements based on whether an entity is really in line with values, identity or standards it stands for. This is especially applicable to anime partnerships, as the fashion product can be an emblem of both the fashion brand and the anime property. Even if the collaboration is highly visible, the perceived correspondence can be undermined if the character imagery, any narrative references or the design choices do not align with the source material. Likewise, authenticity literature has linked authenticity to higher levels of brand attachment, trust and relationship building, which implies that authenticity is more than an aesthetic appraisal (Rodrigues et al., 2023; Sun et al., 2024).</w:t>
      </w:r>
    </w:p>
    <w:p w14:paraId="62DB858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Recent empirical evidence generally supports this relationship, although important context-specific limitations remain. Online communities can affect the relationship between consumers and brands, and Rodrigues et al. (2023) were able to conclude that authenticity affects brand attachment. Likewise, Sun et al. (2024) show that brand perceived authenticity can foster brand attachment, brand loyalty, willingness to pay more, and forgiveness, suggesting that perceived authenticity could bring both relational and behavioural value to the brand. Similarly, Pereira et al. (2025) links authentic digital content to consumer loyalty that will last. All the above studies converge on the idea that consumer responses are positive when brands act authentically, as it diminishes scepticism and fosters strong emotional ties (Pereira et al., 2025; Rodrigues et al., 2023; Sun et al., 2024).</w:t>
      </w:r>
    </w:p>
    <w:p w14:paraId="1A9DAE3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However, these findings cannot necessarily be transferred directly to the context of anime–fashion collaborations. For example, Sun et al. (2024) examine Korean consumers’ responses to Chinese brands rather than culturally embedded collaborations, while </w:t>
      </w:r>
      <w:proofErr w:type="spellStart"/>
      <w:r w:rsidRPr="000C307D">
        <w:rPr>
          <w:rFonts w:eastAsia="Aptos" w:cs="Times New Roman"/>
          <w:kern w:val="2"/>
          <w:lang w:val="en-GB"/>
          <w14:ligatures w14:val="standardContextual"/>
        </w:rPr>
        <w:t>Andonopoulos</w:t>
      </w:r>
      <w:proofErr w:type="spellEnd"/>
      <w:r w:rsidRPr="000C307D">
        <w:rPr>
          <w:rFonts w:eastAsia="Aptos" w:cs="Times New Roman"/>
          <w:kern w:val="2"/>
          <w:lang w:val="en-GB"/>
          <w14:ligatures w14:val="standardContextual"/>
        </w:rPr>
        <w:t xml:space="preserve">, Lee and Mathies (2023) investigate digital markets more broadly. These findings demonstrate the importance of authenticity but do not establish whether consumers evaluate authenticity in the same manner when a commercial fashion brand collaborates with an external cultural property. Moreover, the digitally networked communities can amplify favourable as well as unfavourable evaluations, since </w:t>
      </w:r>
      <w:r w:rsidRPr="000C307D">
        <w:rPr>
          <w:rFonts w:eastAsia="Aptos" w:cs="Times New Roman"/>
          <w:kern w:val="2"/>
          <w:lang w:val="en-GB"/>
          <w14:ligatures w14:val="standardContextual"/>
        </w:rPr>
        <w:lastRenderedPageBreak/>
        <w:t>consumers share their understanding of brands and culture in public (Hochstein, Harmeling and Perko, 2023; Airoldi, 2019). Authenticity for highly knowledgeable anime consumers may then demand more than just believable corporate representation, but the accurate portrayal of characters, stories and meanings of a franchise.</w:t>
      </w:r>
    </w:p>
    <w:p w14:paraId="2E31FDC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There is thus a considerable lack of information on what exactly it means to be authentic from anime to fashion and whether authenticity would lead to increased engagement for UK Gen Z consumers in the context of anime–fashion collaborations. Previous studies mostly focus on the individual brand level and not on the relationship between fashion brands, licensed cultural properties and fandoms. Furthermore, the transferability is limited by geographical concentration as there is a large amount of recent evidence from Asian or non-UK markets (Sun et al., 2024; Airoldi, 2019; Hochstein, Harmeling and Perko, 2023). This study addresses this gap by examining whether perceived authenticity influences engagement with anime–fashion collaborations among UK Generation Z consumers.</w:t>
      </w:r>
    </w:p>
    <w:p w14:paraId="4EE0934E"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8" w:name="_Toc241176363"/>
      <w:r w:rsidRPr="000C307D">
        <w:rPr>
          <w:rFonts w:eastAsia="Times New Roman" w:cs="Times New Roman"/>
          <w:b/>
          <w:color w:val="000000"/>
          <w:kern w:val="2"/>
          <w:sz w:val="28"/>
          <w:szCs w:val="32"/>
          <w:lang w:val="en-GB"/>
          <w14:ligatures w14:val="standardContextual"/>
        </w:rPr>
        <w:t>Brand–Anime Fit and Collaborative Brand Evaluation</w:t>
      </w:r>
      <w:bookmarkEnd w:id="18"/>
    </w:p>
    <w:p w14:paraId="187FE80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term brand–anime fit refers to the consumers' perception of the image, values, symbolism, target audience or product characteristics of the collaborating fashion brand and the anime property. Collaboration is especially critical, as it is a merging of two existing groups of consumer associations (Chaudhary and Chaudhary, 2024). As a result, the success of the product that is created could be contingent not only on the popularity of each partner but on whether there is a viable value proposition for the two separate identities being integrated together.</w:t>
      </w:r>
    </w:p>
    <w:p w14:paraId="7DF56CC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Theories underpinning fit have their roots in brand extension and brand alliance studies. Aaker and Keller (1990) found that consumers' evaluations of extensions depend on their perceptual relationships between the parent brand and the new brand extension. Park, Milberg and Lawson (1991) later showed that product-feature similarity can also be symbolic rather than just functional, as perceived compatibility can operate symbolically. On the question of alliances, Simonin and Ruth (1998) demonstrated that evaluations of a brand alliance depend partly on attitudes towards the brands involved and perceived compatibility between them, and that collaborative associations can have spillover effects </w:t>
      </w:r>
      <w:r w:rsidRPr="000C307D">
        <w:rPr>
          <w:rFonts w:eastAsia="Aptos" w:cs="Times New Roman"/>
          <w:kern w:val="2"/>
          <w:lang w:val="en-GB"/>
          <w14:ligatures w14:val="standardContextual"/>
        </w:rPr>
        <w:lastRenderedPageBreak/>
        <w:t>that can affect subsequent evaluations of the individual brands. Together, these studies suggest that perceived fit helps consumers judge whether a brand alliance appears coherent and credible.</w:t>
      </w:r>
    </w:p>
    <w:p w14:paraId="4B5BAB8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Contemporary fashion research extends these principles by emphasising cultural and symbolic forms of compatibility. In their article on unconventional luxury co-branding by young adults in China, Ruiz and Gracia (2023) demonstrate that unique collaborations can create value, especially when they bring together the identity in new and innovative ways. This contradicts the idea that there should always be more positive evaluations when similarity is greater. Similarly, </w:t>
      </w:r>
      <w:proofErr w:type="spellStart"/>
      <w:r w:rsidRPr="000C307D">
        <w:rPr>
          <w:rFonts w:eastAsia="Aptos" w:cs="Times New Roman"/>
          <w:kern w:val="2"/>
          <w:lang w:val="en-GB"/>
          <w14:ligatures w14:val="standardContextual"/>
        </w:rPr>
        <w:t>Erlyana</w:t>
      </w:r>
      <w:proofErr w:type="spellEnd"/>
      <w:r w:rsidRPr="000C307D">
        <w:rPr>
          <w:rFonts w:eastAsia="Aptos" w:cs="Times New Roman"/>
          <w:kern w:val="2"/>
          <w:lang w:val="en-GB"/>
          <w14:ligatures w14:val="standardContextual"/>
        </w:rPr>
        <w:t xml:space="preserve"> and Yi (2026) suggests art and cultural collaborations are being used more as a means of differentiating brands and building new symbolic meanings in the modern fashion co-branding. Similarly, fashion and gaming applications can be connected, as seen in the study of Li and </w:t>
      </w:r>
      <w:proofErr w:type="spellStart"/>
      <w:r w:rsidRPr="000C307D">
        <w:rPr>
          <w:rFonts w:eastAsia="Aptos" w:cs="Times New Roman"/>
          <w:kern w:val="2"/>
          <w:lang w:val="en-GB"/>
          <w14:ligatures w14:val="standardContextual"/>
        </w:rPr>
        <w:t>Aumeboonsuke</w:t>
      </w:r>
      <w:proofErr w:type="spellEnd"/>
      <w:r w:rsidRPr="000C307D">
        <w:rPr>
          <w:rFonts w:eastAsia="Aptos" w:cs="Times New Roman"/>
          <w:kern w:val="2"/>
          <w:lang w:val="en-GB"/>
          <w14:ligatures w14:val="standardContextual"/>
        </w:rPr>
        <w:t xml:space="preserve"> (2025) which show how fashion brands can enter into the gaming culture, suggesting that the value of collaboration is not necessarily found in the similarity of the products but in their strategic appropriation within an entertainment experience.</w:t>
      </w:r>
    </w:p>
    <w:p w14:paraId="16D0E0D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creates a tension between traditional fit theory and the symbolic nature of contemporary anime–fashion collaborations. Traditional brand-extension theory suggests that perceived consistency reduces consumer uncertainty and facilitates more favourable product evaluations (Aaker and Keller, 1990; Park, Milberg and Lawson, 1991). However, a good fit does not necessarily depend only on functional similarity between the two partners. Consumers may also assess whether the partners are compatible in terms of their brand images and associated meanings. Therefore, although the functional identities of a streetwear brand and an anime franchise can be significantly different, the collaboration may still be perceived as coherent when the two share compatible associations around youth culture, aesthetics, values or audience identity (</w:t>
      </w:r>
      <w:proofErr w:type="spellStart"/>
      <w:r w:rsidRPr="000C307D">
        <w:rPr>
          <w:rFonts w:eastAsia="Aptos" w:cs="Times New Roman"/>
          <w:kern w:val="2"/>
          <w:lang w:val="en-GB"/>
          <w14:ligatures w14:val="standardContextual"/>
        </w:rPr>
        <w:t>Şanlı</w:t>
      </w:r>
      <w:proofErr w:type="spellEnd"/>
      <w:r w:rsidRPr="000C307D">
        <w:rPr>
          <w:rFonts w:eastAsia="Aptos" w:cs="Times New Roman"/>
          <w:kern w:val="2"/>
          <w:lang w:val="en-GB"/>
          <w14:ligatures w14:val="standardContextual"/>
        </w:rPr>
        <w:t>, 2023). This interpretation is based on the premise of Simonin and Ruth (1998) alliance logic, but it goes beyond traditional product compatibility.</w:t>
      </w:r>
    </w:p>
    <w:p w14:paraId="664D8C4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However, there is limited evidence at this time in several ways. Often, research focuses on a broader context of luxury goods, art or co-branding, and the results from Asian consumers cannot be directly extrapolated to UK Gen Z consumers (Xi et al., 2022). </w:t>
      </w:r>
      <w:r w:rsidRPr="000C307D">
        <w:rPr>
          <w:rFonts w:eastAsia="Aptos" w:cs="Times New Roman"/>
          <w:kern w:val="2"/>
          <w:lang w:val="en-GB"/>
          <w14:ligatures w14:val="standardContextual"/>
        </w:rPr>
        <w:lastRenderedPageBreak/>
        <w:t>Furthermore, long-established seminal studies precede today's digital fandom settings that involve a process of collaborative assessments that are debated in social communities very quickly. It is thus uncertain whether it is primarily aesthetic similarity, cultural congruence, audience compatibility or respect for franchise identity that primarily drives the fit of brand–anime. The current study is designed to answer the question of whether there exists a positive relationship between perceived fit and engagement between the brands, thus, to test the classical alliance reasoning in a modern context of the UK's anime–fashion market.</w:t>
      </w:r>
    </w:p>
    <w:p w14:paraId="480BCEF8"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9" w:name="_Toc241176364"/>
      <w:r w:rsidRPr="000C307D">
        <w:rPr>
          <w:rFonts w:eastAsia="Times New Roman" w:cs="Times New Roman"/>
          <w:b/>
          <w:color w:val="000000"/>
          <w:kern w:val="2"/>
          <w:sz w:val="28"/>
          <w:szCs w:val="32"/>
          <w:lang w:val="en-GB"/>
          <w14:ligatures w14:val="standardContextual"/>
        </w:rPr>
        <w:t>Anime Involvement, Fandom and Generation Z Identity</w:t>
      </w:r>
      <w:bookmarkEnd w:id="19"/>
    </w:p>
    <w:p w14:paraId="080FE30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Anime involvement represents the personal relevance, interest, emotional investment and knowledge that consumers attach to anime. This construct is important because consumers may evaluate the same fashion collaboration differently depending on their existing relationship with the franchise and anime culture (Archana et al., 2026; Liang and Yang, 2022). Highly involved fans may possess greater knowledge of franchise narratives and therefore evaluate representational accuracy more critically.</w:t>
      </w:r>
    </w:p>
    <w:p w14:paraId="648447D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Consumer involvement is closely linked to identity-based consumption as products can be used as symbolic resources by which people can express social affiliations and personal identities (Dicu et al., 2025). This is especially important with fashion which is “seen” and can convey both personal identity and community membership. Thus, the relationship between brands and generation Z can be distinguished from the utility of the product, and fashion is one of the key elements in the formation of identity among Generation Z (Zhou and Luo, 2026). Anime fashion can thus be seen as potentially containing two identity systems; fashion-based identity and fandom-based identity.</w:t>
      </w:r>
    </w:p>
    <w:p w14:paraId="41C5294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There are some recent indications that such emotional and behavioural reactions can be heightened by cultural and fandom participation. In the context of anime tourism, Zheng et al. (2025) identify strong relationships between anime related experiences, pilgrimage behaviour and the development of homologous emotions. Tourism is not the same as fashion consumption, but the study shows that anime can create forms of consumption which can be emotionally embedded, and thus not just entertainment. Likewise, Lan, Waheed and Bidin (2025) identify emotional attachment and participation in fan </w:t>
      </w:r>
      <w:r w:rsidRPr="000C307D">
        <w:rPr>
          <w:rFonts w:eastAsia="Aptos" w:cs="Times New Roman"/>
          <w:kern w:val="2"/>
          <w:lang w:val="en-GB"/>
          <w14:ligatures w14:val="standardContextual"/>
        </w:rPr>
        <w:lastRenderedPageBreak/>
        <w:t xml:space="preserve">communities as important influences on fan behaviour. Putri, </w:t>
      </w:r>
      <w:proofErr w:type="spellStart"/>
      <w:r w:rsidRPr="000C307D">
        <w:rPr>
          <w:rFonts w:eastAsia="Aptos" w:cs="Times New Roman"/>
          <w:kern w:val="2"/>
          <w:lang w:val="en-GB"/>
          <w14:ligatures w14:val="standardContextual"/>
        </w:rPr>
        <w:t>Rosyida</w:t>
      </w:r>
      <w:proofErr w:type="spellEnd"/>
      <w:r w:rsidRPr="000C307D">
        <w:rPr>
          <w:rFonts w:eastAsia="Aptos" w:cs="Times New Roman"/>
          <w:kern w:val="2"/>
          <w:lang w:val="en-GB"/>
          <w14:ligatures w14:val="standardContextual"/>
        </w:rPr>
        <w:t xml:space="preserve"> and </w:t>
      </w:r>
      <w:proofErr w:type="spellStart"/>
      <w:r w:rsidRPr="000C307D">
        <w:rPr>
          <w:rFonts w:eastAsia="Aptos" w:cs="Times New Roman"/>
          <w:kern w:val="2"/>
          <w:lang w:val="en-GB"/>
          <w14:ligatures w14:val="standardContextual"/>
        </w:rPr>
        <w:t>Prakoso</w:t>
      </w:r>
      <w:proofErr w:type="spellEnd"/>
      <w:r w:rsidRPr="000C307D">
        <w:rPr>
          <w:rFonts w:eastAsia="Aptos" w:cs="Times New Roman"/>
          <w:kern w:val="2"/>
          <w:lang w:val="en-GB"/>
          <w14:ligatures w14:val="standardContextual"/>
        </w:rPr>
        <w:t xml:space="preserve"> (2025) also look at the UNIQLO manga and anime activities in Indonesia, in which they also emphasize the role of cultural globalisation and community acceptance more than product features in the operation of the anime collab.</w:t>
      </w:r>
    </w:p>
    <w:p w14:paraId="43CE1DC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These results align with the results of the study published by Fisher and Yoon (2026) and Zhou and Luo (2026), which indicates that there is a close relationship between current Gen Z consumption behaviour and symbolic communication and cultural identity. However, the influence of anime involvement presents an important theoretical tension. When collaborating, highly involved fans can become more involved due to their reactivation of existing emotional connections but can also be more critical about the lack of authenticity or an unsuitable partner. Consequently, high anime involvement may simultaneously increase the potential value of a collaboration and amplify reputational risks when authenticity or partner fit is perceived as weak. However, such a conflict has not been fully addressed by previous studies, which tend to focus on fan communities, tourism or on Asian cultural contexts instead of exploring the impact of anime involvement on reactions to fashion collaborations (Lan, Waheed and Bidin, 2025; Zheng et al., 2025).</w:t>
      </w:r>
    </w:p>
    <w:p w14:paraId="555A2F7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One other constraint is that there is no UK specific evidence. Though the availability of anime in other countries than Japan has made it an international product, the cultural consumption habits of Chinese, Japanese, Indonesian or Colombian consumers cannot be extrapolated to British consumers. Furthermore, a lot of research is qualitative or context specific and therefore does not allow a quantification of involvement and subsequent engagement. Therefore, it is still an under-researched area as to whether increased involvement with anime directly increases engagement with collaborative fashion products for UK Generation Z consumers. The present study resolves this question by incorporating the concept of fandom intensity in the collaborative branding theory as opposed to assuming consumers are equally informed about brand alliances.</w:t>
      </w:r>
    </w:p>
    <w:p w14:paraId="7FDBDAF1"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20" w:name="_Toc241176365"/>
      <w:r w:rsidRPr="000C307D">
        <w:rPr>
          <w:rFonts w:eastAsia="Times New Roman" w:cs="Times New Roman"/>
          <w:b/>
          <w:color w:val="000000"/>
          <w:kern w:val="2"/>
          <w:sz w:val="28"/>
          <w:szCs w:val="32"/>
          <w:lang w:val="en-GB"/>
          <w14:ligatures w14:val="standardContextual"/>
        </w:rPr>
        <w:t>Consumer Engagement and Purchase Intention</w:t>
      </w:r>
      <w:bookmarkEnd w:id="20"/>
    </w:p>
    <w:p w14:paraId="306B534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Consumer engagement offers a pathway for the translation of perceptions of authenticity, fit, and anime involvement to commercially relevant responses. Engagement is not limited to transactions but also refers to the mental focus, feelings and behaviour that users </w:t>
      </w:r>
      <w:r w:rsidRPr="000C307D">
        <w:rPr>
          <w:rFonts w:eastAsia="Aptos" w:cs="Times New Roman"/>
          <w:kern w:val="2"/>
          <w:lang w:val="en-GB"/>
          <w14:ligatures w14:val="standardContextual"/>
        </w:rPr>
        <w:lastRenderedPageBreak/>
        <w:t>demonstrate when interacting with brands through both physical and digital channels (Araujo et al., 2020; Ng, Sweeney and Plewa, 2020). In anime–fashion collaborations, then, consumers can interact by following the campaign, talking about releases, sharing the content online, visiting the stores, and participating in the communities or connecting emotionally with the brand before they even decide to buy something.</w:t>
      </w:r>
    </w:p>
    <w:p w14:paraId="20668AD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engagement literature has progressively moved beyond purely transactional approaches to consumer behaviour. The systematic review by Ng, Sweeney and Plewa (2020) defines customer engagement as a multidimensional construct, and Araujo et al. (2020) highlight the evolution from passive exposure to product advertisements to an interactive brand–consumer relationship. More recently, Osakwe et al. (2024) reiterate the idea of digital customer engagement and its multi-faceted cognitive, affective and behavioural aspects. This conceptual progression is especially true for Gen Z, as joint efforts often begin (or happen entirely) on social media, online fandoms and digitally mediated brand experiences, instead of just in-store.</w:t>
      </w:r>
    </w:p>
    <w:p w14:paraId="18E9D90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Generally, the empirical evidence indicates that engagement has a positive impact on purchase-related outcomes, but this is not always the case. Han and Jo (2025) conclude that the drivers of consumer engagement with fashion live commerce influence purchase intentions and therefore, enhanced interactive involvement can lead consumers to purchase. Likewise, Chaudhuri et al., (2021) demonstrate that engagement measures have the potential to affect the intent to pay for online knowledge goods. Although conducted outside the anime–fashion context, both studies support the proposition that consumer engagement may function as an intermediate mechanism linking consumer perceptions with behavioural intentions. In addition, brand authenticity research reveals that higher levels of relational responses can be associated with greater willingness to pay and loyalty (Sun et al., 2024), highlighting other avenues between positive brand perceptions and economic outcomes.</w:t>
      </w:r>
    </w:p>
    <w:p w14:paraId="5E371FA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However, consumer engagement should not be equated with purchasing behaviour. Consumers may like that comment on, share or discuss collaborative products without necessarily intending to purchase them, particularly when products are expensive, unavailable or released in limited quantities (Liu, Xia and Lang, 2023). This distinction is </w:t>
      </w:r>
      <w:r w:rsidRPr="000C307D">
        <w:rPr>
          <w:rFonts w:eastAsia="Aptos" w:cs="Times New Roman"/>
          <w:kern w:val="2"/>
          <w:lang w:val="en-GB"/>
          <w14:ligatures w14:val="standardContextual"/>
        </w:rPr>
        <w:lastRenderedPageBreak/>
        <w:t xml:space="preserve">theoretically significant because consumers may demonstrate visible digital engagement with a campaign without subsequently developing purchase intention or undertaking purchasing behaviour. Han and Jo (2025) show that multiple contextual drivers can influence a purchase intention of fashion, and similarly Li and </w:t>
      </w:r>
      <w:proofErr w:type="spellStart"/>
      <w:r w:rsidRPr="000C307D">
        <w:rPr>
          <w:rFonts w:eastAsia="Aptos" w:cs="Times New Roman"/>
          <w:kern w:val="2"/>
          <w:lang w:val="en-GB"/>
          <w14:ligatures w14:val="standardContextual"/>
        </w:rPr>
        <w:t>Aumeboonsuke</w:t>
      </w:r>
      <w:proofErr w:type="spellEnd"/>
      <w:r w:rsidRPr="000C307D">
        <w:rPr>
          <w:rFonts w:eastAsia="Aptos" w:cs="Times New Roman"/>
          <w:kern w:val="2"/>
          <w:lang w:val="en-GB"/>
          <w14:ligatures w14:val="standardContextual"/>
        </w:rPr>
        <w:t xml:space="preserve"> (2025) conclude that engagement indicators do not act independently from other purchase motives. Therefore, the relationship between engagement and purchase intention should not be interpreted as inherently causal; rather, existing evidence suggests a probabilistic relationship that may depend on additional contextual factors.</w:t>
      </w:r>
    </w:p>
    <w:p w14:paraId="03C73D0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However, the existing evidence also remains methodologically fragmented. Empirical studies are frequently cross-sectional and sector-specific, while systematic reviews provide valuable conceptual synthesis but cannot establish causal relationships (Ng, Sweeney and Plewa, 2020). For example, the results of Fashion live-commerce may not be directly applicable to licensed anime merchandise since the motivations behind fandom consumption go beyond the traditional basis of product evaluation, such as those of identity, nostalgia, and cultural attachment. In addition, few studies combine the three concepts of engagement because of authenticity, alliance fit, and anime involvement, and then specifically test the link between these concepts and purchase intention.</w:t>
      </w:r>
    </w:p>
    <w:p w14:paraId="0D7C7E0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Accordingly, an important unresolved question concerns whether consumer engagement generated through culturally meaningful anime–fashion collaborations </w:t>
      </w:r>
      <w:proofErr w:type="gramStart"/>
      <w:r w:rsidRPr="000C307D">
        <w:rPr>
          <w:rFonts w:eastAsia="Aptos" w:cs="Times New Roman"/>
          <w:kern w:val="2"/>
          <w:lang w:val="en-GB"/>
          <w14:ligatures w14:val="standardContextual"/>
        </w:rPr>
        <w:t>is</w:t>
      </w:r>
      <w:proofErr w:type="gramEnd"/>
      <w:r w:rsidRPr="000C307D">
        <w:rPr>
          <w:rFonts w:eastAsia="Aptos" w:cs="Times New Roman"/>
          <w:kern w:val="2"/>
          <w:lang w:val="en-GB"/>
          <w14:ligatures w14:val="standardContextual"/>
        </w:rPr>
        <w:t xml:space="preserve"> associated with purchase intention among UK Generation Z consumers. The current study tackles this fragmentation by focusing on the key role of consumer engagement because of perceived authenticity, brand–anime fit, and anime involvement, as well as a precursor of purchase intention. The proposed framework therefore integrates previously fragmented perspectives from branding, fandom and consumer-engagement research within the contemporary context of anime–fashion collaborations.</w:t>
      </w:r>
    </w:p>
    <w:p w14:paraId="7BFB6F2A"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21" w:name="_Toc241176366"/>
      <w:r w:rsidRPr="000C307D">
        <w:rPr>
          <w:rFonts w:eastAsia="Times New Roman" w:cs="Times New Roman"/>
          <w:b/>
          <w:color w:val="000000"/>
          <w:kern w:val="2"/>
          <w:sz w:val="28"/>
          <w:szCs w:val="32"/>
          <w:lang w:val="en-GB"/>
          <w14:ligatures w14:val="standardContextual"/>
        </w:rPr>
        <w:t>Theoretical Foundation and Contribution</w:t>
      </w:r>
      <w:bookmarkEnd w:id="21"/>
    </w:p>
    <w:p w14:paraId="77E486EE"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22" w:name="_Toc241176367"/>
      <w:r w:rsidRPr="000C307D">
        <w:rPr>
          <w:rFonts w:eastAsia="Times New Roman" w:cs="Times New Roman"/>
          <w:b/>
          <w:color w:val="000000"/>
          <w:kern w:val="2"/>
          <w:szCs w:val="28"/>
          <w:lang w:val="en-GB"/>
          <w14:ligatures w14:val="standardContextual"/>
        </w:rPr>
        <w:t>Theoretical Foundation</w:t>
      </w:r>
      <w:bookmarkEnd w:id="22"/>
    </w:p>
    <w:p w14:paraId="15194F3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This study adopts Brand Alliance Theory as its primary theoretical lens, complemented by Brand Extension Theory. Brand Alliance Theory, particularly Simonin and Ruth (1998) </w:t>
      </w:r>
      <w:r w:rsidRPr="000C307D">
        <w:rPr>
          <w:rFonts w:eastAsia="Aptos" w:cs="Times New Roman"/>
          <w:kern w:val="2"/>
          <w:lang w:val="en-GB"/>
          <w14:ligatures w14:val="standardContextual"/>
        </w:rPr>
        <w:lastRenderedPageBreak/>
        <w:t>framework concerning alliance evaluation and spillover effects, provides an appropriate basis for explaining how consumers evaluate collaborations between established brands. The core premise is that consumers do not evaluate a collaboration on their own, but rather through existing linkages they have formed with each partner and how they believe the two partners fit. The favourable evaluations are reinforced by the theory of brand extension, as promoted by Aaker and Keller (1990) and Park, Milberg and Lawson (1991), which suggests that existing perceived brand attributes with similar positive connotations drive positive evaluations. These views have grown from interpreting traditional product extensions and co-branding to more symbolic ones where cultural meanings, identities and partner congruence are found to shape consumer responses.</w:t>
      </w:r>
    </w:p>
    <w:p w14:paraId="070113CE"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23" w:name="_Toc241176368"/>
      <w:r w:rsidRPr="000C307D">
        <w:rPr>
          <w:rFonts w:eastAsia="Times New Roman" w:cs="Times New Roman"/>
          <w:b/>
          <w:color w:val="000000"/>
          <w:kern w:val="2"/>
          <w:szCs w:val="28"/>
          <w:lang w:val="en-GB"/>
          <w14:ligatures w14:val="standardContextual"/>
        </w:rPr>
        <w:t>Justification of the Theoretical Choice</w:t>
      </w:r>
      <w:bookmarkEnd w:id="23"/>
    </w:p>
    <w:p w14:paraId="4F616DF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Brand Alliance Theory is particularly appropriate because anime–fashion collaborations combine two established identities: a fashion brand and an anime intellectual property. Hence, the theory directly addresses the consumers' assessment of the compatibility, credibility and shared meaning of the collaborative partners. The theory is particularly relevant to the examination of brand–anime fit and the transfer of existing brand associations to consumers’ evaluations of the collaboration. This lens is complemented by the 'Brand Extension Theory', which explains why the acceptance may be affected by conceptual and symbolic consistency (Aaker and Keller, 1990). These theories better reflect the relational nature of collaborative branding and the value of perceived congruence between two culturally meaningful partners, than theories that only consider individual attitudes or technology use.</w:t>
      </w:r>
    </w:p>
    <w:p w14:paraId="67C5B743"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24" w:name="_Toc241176369"/>
      <w:r w:rsidRPr="000C307D">
        <w:rPr>
          <w:rFonts w:eastAsia="Times New Roman" w:cs="Times New Roman"/>
          <w:b/>
          <w:color w:val="000000"/>
          <w:kern w:val="2"/>
          <w:szCs w:val="28"/>
          <w:lang w:val="en-GB"/>
          <w14:ligatures w14:val="standardContextual"/>
        </w:rPr>
        <w:t>Contribution to Theory</w:t>
      </w:r>
      <w:bookmarkEnd w:id="24"/>
    </w:p>
    <w:p w14:paraId="2714673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This study seeks to contextually extend the application of Brand Alliance Theory to anime–fashion collaborations, where evaluations of partner compatibility may intersect with fandom, cultural identity and emotional attachment. While traditional alliance research mainly focuses on partner attitudes and compatibility, the present study adds perceived authenticity and anime involvement to brand–anime fit to account for consumers' engagement. This perspective suggests that consumers’ evaluations may depend not only on perceived partner congruence but also on the extent to which the </w:t>
      </w:r>
      <w:r w:rsidRPr="000C307D">
        <w:rPr>
          <w:rFonts w:eastAsia="Aptos" w:cs="Times New Roman"/>
          <w:kern w:val="2"/>
          <w:lang w:val="en-GB"/>
          <w14:ligatures w14:val="standardContextual"/>
        </w:rPr>
        <w:lastRenderedPageBreak/>
        <w:t>collaboration authentically represents the source culture and corresponds with their personal involvement in anime. Consumer engagement is positioned as an intermediate endogenous construct that is predicted by authenticity, brand–anime fit and anime involvement and, in turn, predicts purchase intention. The framework therefore applies alliance-based reasoning to contemporary fashion and fandom culture, providing a basis for examining how symbolic alignment between collaborative partners may contribute to relational and behavioural consumer responses.</w:t>
      </w:r>
    </w:p>
    <w:p w14:paraId="54C7CB8B"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25" w:name="_Toc241176370"/>
      <w:r w:rsidRPr="000C307D">
        <w:rPr>
          <w:rFonts w:eastAsia="Times New Roman" w:cs="Times New Roman"/>
          <w:b/>
          <w:color w:val="000000"/>
          <w:kern w:val="2"/>
          <w:sz w:val="28"/>
          <w:szCs w:val="32"/>
          <w:lang w:val="en-GB"/>
          <w14:ligatures w14:val="standardContextual"/>
        </w:rPr>
        <w:t>Conceptual Framework</w:t>
      </w:r>
      <w:bookmarkEnd w:id="25"/>
    </w:p>
    <w:p w14:paraId="0FD8804C"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26" w:name="_Toc241176371"/>
      <w:r w:rsidRPr="000C307D">
        <w:rPr>
          <w:rFonts w:eastAsia="Times New Roman" w:cs="Times New Roman"/>
          <w:b/>
          <w:color w:val="000000"/>
          <w:kern w:val="2"/>
          <w:szCs w:val="28"/>
          <w:lang w:val="en-GB"/>
          <w14:ligatures w14:val="standardContextual"/>
        </w:rPr>
        <w:t>Purpose of the Conceptual Framework</w:t>
      </w:r>
      <w:bookmarkEnd w:id="26"/>
    </w:p>
    <w:p w14:paraId="7FBE8D3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conceptual framework integrates the principal constructs and relationships identified through the literature review into a coherent model of consumer responses to anime–fashion collaborations. Based primarily on Brand Alliance Theory and supported by Brand Extension Theory, the framework outlines the proposed relationships among perceived authenticity, brand–anime fit, anime involvement, consumer engagement and purchase intention among UK Generation Z consumers.</w:t>
      </w:r>
    </w:p>
    <w:p w14:paraId="4C3B89BC"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27" w:name="_Toc241176372"/>
      <w:r w:rsidRPr="000C307D">
        <w:rPr>
          <w:rFonts w:eastAsia="Times New Roman" w:cs="Times New Roman"/>
          <w:b/>
          <w:color w:val="000000"/>
          <w:kern w:val="2"/>
          <w:szCs w:val="28"/>
          <w:lang w:val="en-GB"/>
          <w14:ligatures w14:val="standardContextual"/>
        </w:rPr>
        <w:t>Framework Components</w:t>
      </w:r>
      <w:bookmarkEnd w:id="27"/>
    </w:p>
    <w:p w14:paraId="231FD1B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Perceived authenticity, brand–anime fit and anime involvement are the three independent variables as shown in Figure 1. Perceived authenticity is defined as how much consumers believe that the anime–fashion collaboration is authentic, believable and respectful of meanings attributed to the properties. When brand actions align with its stated identity and values, authenticity may enhance relational responses, as consumers react more positively to these when they are consistent with a brand's perceived identity (</w:t>
      </w:r>
      <w:proofErr w:type="spellStart"/>
      <w:r w:rsidRPr="000C307D">
        <w:rPr>
          <w:rFonts w:eastAsia="Aptos" w:cs="Times New Roman"/>
          <w:kern w:val="2"/>
          <w:lang w:val="en-GB"/>
          <w14:ligatures w14:val="standardContextual"/>
        </w:rPr>
        <w:t>Moulard</w:t>
      </w:r>
      <w:proofErr w:type="spellEnd"/>
      <w:r w:rsidRPr="000C307D">
        <w:rPr>
          <w:rFonts w:eastAsia="Aptos" w:cs="Times New Roman"/>
          <w:kern w:val="2"/>
          <w:lang w:val="en-GB"/>
          <w14:ligatures w14:val="standardContextual"/>
        </w:rPr>
        <w:t>, Raggio and Folse, 2020; Sun et al., 2024). Accordingly, H1 proposes a positive relationship between perceived authenticity and consumer engagement.</w:t>
      </w:r>
    </w:p>
    <w:p w14:paraId="16BDC40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Brand–anime fit is the perceived fit between the fashion brand and the anime property. Brand alliance and extension research shows that compatibility and conceptual consistency affect consumers' evaluation of brand alliances and transferred brand associations (Aaker and Keller, 1990; Park, Milberg and Lawson, 1991; Simonin and </w:t>
      </w:r>
      <w:r w:rsidRPr="000C307D">
        <w:rPr>
          <w:rFonts w:eastAsia="Aptos" w:cs="Times New Roman"/>
          <w:kern w:val="2"/>
          <w:lang w:val="en-GB"/>
          <w14:ligatures w14:val="standardContextual"/>
        </w:rPr>
        <w:lastRenderedPageBreak/>
        <w:t>Ruth, 1998). Accordingly, H2 proposes that stronger perceived brand–anime fit is associated with greater consumer engagement.</w:t>
      </w:r>
    </w:p>
    <w:p w14:paraId="091548B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Anime involvement reflects consumers’ personal interest, knowledge and emotional investment in anime. Engagement within the fandom can heighten engagement and emotional connection to culturally significant consumption experiences (Lan, Waheed and Bidin, 2025; Zheng et al., 2025). Accordingly, H3 proposes a positive relationship between anime involvement and consumer engagement.</w:t>
      </w:r>
    </w:p>
    <w:p w14:paraId="10941D2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Consumer engagement is conceptualised as an intermediate outcome encompassing cognitive, emotional and behavioural responses to collaborative offerings (Ng, Sweeney and Plewa, 2020; Srivastava et al., 2023). Purchase intention is the ultimate behavioural consequence. H4 predicts that greater consumer engagement will be associated with stronger purchase intention toward anime–fashion collaborative products.</w:t>
      </w:r>
    </w:p>
    <w:p w14:paraId="1D2E43BF"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4F474A50" wp14:editId="7CFAB869">
            <wp:extent cx="5943600" cy="3343275"/>
            <wp:effectExtent l="0" t="0" r="0" b="9525"/>
            <wp:docPr id="6050745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07456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12E9B82D" w14:textId="77777777" w:rsidR="000C307D" w:rsidRPr="000C307D" w:rsidRDefault="000C307D" w:rsidP="000C307D">
      <w:pPr>
        <w:spacing w:line="240" w:lineRule="auto"/>
        <w:rPr>
          <w:rFonts w:eastAsia="Aptos" w:cs="Times New Roman"/>
          <w:i/>
          <w:iCs/>
          <w:color w:val="44546A"/>
          <w:kern w:val="2"/>
          <w:sz w:val="18"/>
          <w:szCs w:val="18"/>
          <w:lang w:val="en-GB"/>
          <w14:ligatures w14:val="standardContextual"/>
        </w:rPr>
      </w:pPr>
      <w:bookmarkStart w:id="28" w:name="_Toc241170083"/>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Conceptual Framework of Anime–Fashion Collaboration, Consumer Engagement and Purchase Intention</w:t>
      </w:r>
      <w:bookmarkEnd w:id="28"/>
    </w:p>
    <w:p w14:paraId="2B4B5C42"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29" w:name="_Toc241176373"/>
      <w:r w:rsidRPr="000C307D">
        <w:rPr>
          <w:rFonts w:eastAsia="Times New Roman" w:cs="Times New Roman"/>
          <w:b/>
          <w:color w:val="000000"/>
          <w:kern w:val="2"/>
          <w:szCs w:val="28"/>
          <w:lang w:val="en-GB"/>
          <w14:ligatures w14:val="standardContextual"/>
        </w:rPr>
        <w:t>Application of the Framework</w:t>
      </w:r>
      <w:bookmarkEnd w:id="29"/>
    </w:p>
    <w:p w14:paraId="051F158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framework provides the analytical structure for examining the proposed relationships within the study. It operationalises H1–H4 by linking the three antecedent constructs to </w:t>
      </w:r>
      <w:r w:rsidRPr="000C307D">
        <w:rPr>
          <w:rFonts w:eastAsia="Aptos" w:cs="Times New Roman"/>
          <w:kern w:val="2"/>
          <w:lang w:val="en-GB"/>
          <w14:ligatures w14:val="standardContextual"/>
        </w:rPr>
        <w:lastRenderedPageBreak/>
        <w:t>consumer engagement and subsequently connecting engagement with purchase intention. The empirical analysis in Chapter 4 will assess these relationships using the collected consumer data, while Chapter 5 will interpret the findings against Brand Alliance Theory, Brand Extension Theory and prior empirical evidence. This enables convergence, contradictions and context-specific patterns among UK Generation Z consumers to be identified systematically. The framework may consequently be refined where the empirical findings reveal relationships or contextual conditions that differ from those anticipated in the literature.</w:t>
      </w:r>
    </w:p>
    <w:p w14:paraId="14890BA6"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0" w:name="_Toc241176374"/>
      <w:r w:rsidRPr="000C307D">
        <w:rPr>
          <w:rFonts w:eastAsia="Times New Roman" w:cs="Times New Roman"/>
          <w:b/>
          <w:color w:val="000000"/>
          <w:kern w:val="2"/>
          <w:sz w:val="28"/>
          <w:szCs w:val="32"/>
          <w:lang w:val="en-GB"/>
          <w14:ligatures w14:val="standardContextual"/>
        </w:rPr>
        <w:t>Summary Table of Key Literature</w:t>
      </w:r>
      <w:bookmarkEnd w:id="30"/>
    </w:p>
    <w:p w14:paraId="6890969A" w14:textId="77777777" w:rsidR="000C307D" w:rsidRPr="000C307D" w:rsidRDefault="000C307D" w:rsidP="000C307D">
      <w:pPr>
        <w:spacing w:after="160"/>
        <w:rPr>
          <w:rFonts w:eastAsia="Aptos" w:cs="Times New Roman"/>
          <w:kern w:val="2"/>
          <w:lang w:val="en-GB"/>
          <w14:ligatures w14:val="standardContextual"/>
        </w:rPr>
        <w:sectPr w:rsidR="000C307D" w:rsidRPr="000C307D" w:rsidSect="000C307D">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r w:rsidRPr="000C307D">
        <w:rPr>
          <w:rFonts w:eastAsia="Aptos" w:cs="Times New Roman"/>
          <w:kern w:val="2"/>
          <w:lang w:val="en-GB"/>
          <w14:ligatures w14:val="standardContextual"/>
        </w:rPr>
        <w:t>Table 1 summarizes studies that are relevant to the literature review encompassing the theoretical foundations, as well as the four key constructs of perceived authenticity, brand–anime fit, anime involvement, consumer engagement and purchase intention. The selection also reflects the central limitation that came out of the review: there is relevant evidence in each of these areas, and they have been under research in the areas of branding, fashion, fandom and engagement; but these streams have rarely been combined in the context of anime-engagement-fashion consumption in the UK amongst the UK Gen Z.</w:t>
      </w:r>
    </w:p>
    <w:p w14:paraId="0DEE6DBC" w14:textId="77777777" w:rsidR="000C307D" w:rsidRPr="000C307D" w:rsidRDefault="000C307D" w:rsidP="000C307D">
      <w:pPr>
        <w:spacing w:after="160"/>
        <w:rPr>
          <w:rFonts w:eastAsia="Aptos" w:cs="Times New Roman"/>
          <w:kern w:val="2"/>
          <w:lang w:val="en-GB"/>
          <w14:ligatures w14:val="standardContextual"/>
        </w:rPr>
      </w:pPr>
    </w:p>
    <w:p w14:paraId="0EF48C55" w14:textId="77777777" w:rsidR="000C307D" w:rsidRPr="000C307D" w:rsidRDefault="000C307D" w:rsidP="000C307D">
      <w:pPr>
        <w:spacing w:line="240" w:lineRule="auto"/>
        <w:rPr>
          <w:rFonts w:eastAsia="Aptos" w:cs="Times New Roman"/>
          <w:i/>
          <w:iCs/>
          <w:color w:val="44546A"/>
          <w:kern w:val="2"/>
          <w:sz w:val="18"/>
          <w:szCs w:val="18"/>
          <w:lang w:val="en-GB"/>
          <w14:ligatures w14:val="standardContextual"/>
        </w:rPr>
      </w:pPr>
      <w:bookmarkStart w:id="31" w:name="_Toc241170107"/>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Summary of Key Literature Relevant to Anime–Fashion Collaborations</w:t>
      </w:r>
      <w:bookmarkEnd w:id="31"/>
    </w:p>
    <w:tbl>
      <w:tblPr>
        <w:tblStyle w:val="TableGrid"/>
        <w:tblW w:w="0" w:type="auto"/>
        <w:tblLook w:val="04A0" w:firstRow="1" w:lastRow="0" w:firstColumn="1" w:lastColumn="0" w:noHBand="0" w:noVBand="1"/>
      </w:tblPr>
      <w:tblGrid>
        <w:gridCol w:w="1643"/>
        <w:gridCol w:w="2212"/>
        <w:gridCol w:w="1990"/>
        <w:gridCol w:w="2033"/>
        <w:gridCol w:w="1631"/>
        <w:gridCol w:w="1757"/>
        <w:gridCol w:w="1684"/>
      </w:tblGrid>
      <w:tr w:rsidR="000C307D" w:rsidRPr="000C307D" w14:paraId="7209B096" w14:textId="77777777" w:rsidTr="000116AF">
        <w:tc>
          <w:tcPr>
            <w:tcW w:w="0" w:type="auto"/>
            <w:hideMark/>
          </w:tcPr>
          <w:p w14:paraId="56B853D9" w14:textId="77777777" w:rsidR="000C307D" w:rsidRPr="000C307D" w:rsidRDefault="000C307D" w:rsidP="000C307D">
            <w:pPr>
              <w:spacing w:after="160" w:line="240" w:lineRule="auto"/>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Author(s) &amp; Year</w:t>
            </w:r>
          </w:p>
        </w:tc>
        <w:tc>
          <w:tcPr>
            <w:tcW w:w="0" w:type="auto"/>
            <w:hideMark/>
          </w:tcPr>
          <w:p w14:paraId="787583CB" w14:textId="77777777" w:rsidR="000C307D" w:rsidRPr="000C307D" w:rsidRDefault="000C307D" w:rsidP="000C307D">
            <w:pPr>
              <w:spacing w:after="160" w:line="240" w:lineRule="auto"/>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Theory/Framework</w:t>
            </w:r>
          </w:p>
        </w:tc>
        <w:tc>
          <w:tcPr>
            <w:tcW w:w="0" w:type="auto"/>
            <w:hideMark/>
          </w:tcPr>
          <w:p w14:paraId="4F4E0C64" w14:textId="77777777" w:rsidR="000C307D" w:rsidRPr="000C307D" w:rsidRDefault="000C307D" w:rsidP="000C307D">
            <w:pPr>
              <w:spacing w:after="160" w:line="240" w:lineRule="auto"/>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Key Constructs/Themes</w:t>
            </w:r>
          </w:p>
        </w:tc>
        <w:tc>
          <w:tcPr>
            <w:tcW w:w="0" w:type="auto"/>
            <w:hideMark/>
          </w:tcPr>
          <w:p w14:paraId="003E25BC" w14:textId="77777777" w:rsidR="000C307D" w:rsidRPr="000C307D" w:rsidRDefault="000C307D" w:rsidP="000C307D">
            <w:pPr>
              <w:spacing w:after="160" w:line="240" w:lineRule="auto"/>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Methodology</w:t>
            </w:r>
          </w:p>
        </w:tc>
        <w:tc>
          <w:tcPr>
            <w:tcW w:w="0" w:type="auto"/>
            <w:hideMark/>
          </w:tcPr>
          <w:p w14:paraId="6B3A42C2" w14:textId="77777777" w:rsidR="000C307D" w:rsidRPr="000C307D" w:rsidRDefault="000C307D" w:rsidP="000C307D">
            <w:pPr>
              <w:spacing w:after="160" w:line="240" w:lineRule="auto"/>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Key Findings</w:t>
            </w:r>
          </w:p>
        </w:tc>
        <w:tc>
          <w:tcPr>
            <w:tcW w:w="0" w:type="auto"/>
            <w:hideMark/>
          </w:tcPr>
          <w:p w14:paraId="352005CA" w14:textId="77777777" w:rsidR="000C307D" w:rsidRPr="000C307D" w:rsidRDefault="000C307D" w:rsidP="000C307D">
            <w:pPr>
              <w:spacing w:after="160" w:line="240" w:lineRule="auto"/>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Limitations/Gaps</w:t>
            </w:r>
          </w:p>
        </w:tc>
        <w:tc>
          <w:tcPr>
            <w:tcW w:w="0" w:type="auto"/>
            <w:hideMark/>
          </w:tcPr>
          <w:p w14:paraId="288ADB3E" w14:textId="77777777" w:rsidR="000C307D" w:rsidRPr="000C307D" w:rsidRDefault="000C307D" w:rsidP="000C307D">
            <w:pPr>
              <w:spacing w:after="160" w:line="240" w:lineRule="auto"/>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Relevance to This Study</w:t>
            </w:r>
          </w:p>
        </w:tc>
      </w:tr>
      <w:tr w:rsidR="000C307D" w:rsidRPr="000C307D" w14:paraId="20244059" w14:textId="77777777" w:rsidTr="000116AF">
        <w:tc>
          <w:tcPr>
            <w:tcW w:w="0" w:type="auto"/>
            <w:hideMark/>
          </w:tcPr>
          <w:p w14:paraId="78C86D3D"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Aaker and Keller (1990)</w:t>
            </w:r>
          </w:p>
        </w:tc>
        <w:tc>
          <w:tcPr>
            <w:tcW w:w="0" w:type="auto"/>
            <w:hideMark/>
          </w:tcPr>
          <w:p w14:paraId="3C13BC04"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 Extension Theory</w:t>
            </w:r>
          </w:p>
        </w:tc>
        <w:tc>
          <w:tcPr>
            <w:tcW w:w="0" w:type="auto"/>
            <w:hideMark/>
          </w:tcPr>
          <w:p w14:paraId="5C20ACD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 fit; extension evaluation</w:t>
            </w:r>
          </w:p>
        </w:tc>
        <w:tc>
          <w:tcPr>
            <w:tcW w:w="0" w:type="auto"/>
            <w:hideMark/>
          </w:tcPr>
          <w:p w14:paraId="6C9451BB"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Consumer-based empirical study</w:t>
            </w:r>
          </w:p>
        </w:tc>
        <w:tc>
          <w:tcPr>
            <w:tcW w:w="0" w:type="auto"/>
            <w:hideMark/>
          </w:tcPr>
          <w:p w14:paraId="11105CA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Consumer evaluations of extensions depend partly on perceived fit between the parent brand and extension.</w:t>
            </w:r>
          </w:p>
        </w:tc>
        <w:tc>
          <w:tcPr>
            <w:tcW w:w="0" w:type="auto"/>
            <w:hideMark/>
          </w:tcPr>
          <w:p w14:paraId="3BBF7E43"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Predates digital fandom and contemporary cultural collaborations.</w:t>
            </w:r>
          </w:p>
        </w:tc>
        <w:tc>
          <w:tcPr>
            <w:tcW w:w="0" w:type="auto"/>
            <w:hideMark/>
          </w:tcPr>
          <w:p w14:paraId="3C5B930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Provides foundational explanation for </w:t>
            </w:r>
            <w:r w:rsidRPr="000C307D">
              <w:rPr>
                <w:rFonts w:eastAsia="Aptos" w:cs="Times New Roman"/>
                <w:b/>
                <w:bCs/>
                <w:kern w:val="2"/>
                <w:sz w:val="24"/>
                <w:lang w:val="en-GB"/>
                <w14:ligatures w14:val="standardContextual"/>
              </w:rPr>
              <w:t>brand–anime fit</w:t>
            </w:r>
            <w:r w:rsidRPr="000C307D">
              <w:rPr>
                <w:rFonts w:eastAsia="Aptos" w:cs="Times New Roman"/>
                <w:kern w:val="2"/>
                <w:sz w:val="24"/>
                <w:lang w:val="en-GB"/>
                <w14:ligatures w14:val="standardContextual"/>
              </w:rPr>
              <w:t>.</w:t>
            </w:r>
          </w:p>
        </w:tc>
      </w:tr>
      <w:tr w:rsidR="000C307D" w:rsidRPr="000C307D" w14:paraId="7F643E82" w14:textId="77777777" w:rsidTr="000116AF">
        <w:tc>
          <w:tcPr>
            <w:tcW w:w="0" w:type="auto"/>
            <w:hideMark/>
          </w:tcPr>
          <w:p w14:paraId="29C550C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Park, Milberg and Lawson (1991)</w:t>
            </w:r>
          </w:p>
        </w:tc>
        <w:tc>
          <w:tcPr>
            <w:tcW w:w="0" w:type="auto"/>
            <w:hideMark/>
          </w:tcPr>
          <w:p w14:paraId="11B8AFD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 Extension Theory</w:t>
            </w:r>
          </w:p>
        </w:tc>
        <w:tc>
          <w:tcPr>
            <w:tcW w:w="0" w:type="auto"/>
            <w:hideMark/>
          </w:tcPr>
          <w:p w14:paraId="753ECB3B"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Product similarity; brand-concept consistency</w:t>
            </w:r>
          </w:p>
        </w:tc>
        <w:tc>
          <w:tcPr>
            <w:tcW w:w="0" w:type="auto"/>
            <w:hideMark/>
          </w:tcPr>
          <w:p w14:paraId="05078781"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Experimental consumer research</w:t>
            </w:r>
          </w:p>
        </w:tc>
        <w:tc>
          <w:tcPr>
            <w:tcW w:w="0" w:type="auto"/>
            <w:hideMark/>
          </w:tcPr>
          <w:p w14:paraId="0CE6171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Fit can derive from both product-feature similarity and consistency with the underlying brand concept.</w:t>
            </w:r>
          </w:p>
        </w:tc>
        <w:tc>
          <w:tcPr>
            <w:tcW w:w="0" w:type="auto"/>
            <w:hideMark/>
          </w:tcPr>
          <w:p w14:paraId="72107BCF"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Focused on brand extensions rather than cross-cultural collaborative partnerships.</w:t>
            </w:r>
          </w:p>
        </w:tc>
        <w:tc>
          <w:tcPr>
            <w:tcW w:w="0" w:type="auto"/>
            <w:hideMark/>
          </w:tcPr>
          <w:p w14:paraId="7D6AA5B6"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Explains why anime and fashion brands can achieve </w:t>
            </w:r>
            <w:r w:rsidRPr="000C307D">
              <w:rPr>
                <w:rFonts w:eastAsia="Aptos" w:cs="Times New Roman"/>
                <w:b/>
                <w:bCs/>
                <w:kern w:val="2"/>
                <w:sz w:val="24"/>
                <w:lang w:val="en-GB"/>
                <w14:ligatures w14:val="standardContextual"/>
              </w:rPr>
              <w:t>symbolic fit</w:t>
            </w:r>
            <w:r w:rsidRPr="000C307D">
              <w:rPr>
                <w:rFonts w:eastAsia="Aptos" w:cs="Times New Roman"/>
                <w:kern w:val="2"/>
                <w:sz w:val="24"/>
                <w:lang w:val="en-GB"/>
                <w14:ligatures w14:val="standardContextual"/>
              </w:rPr>
              <w:t xml:space="preserve"> without functional similarity.</w:t>
            </w:r>
          </w:p>
        </w:tc>
      </w:tr>
      <w:tr w:rsidR="000C307D" w:rsidRPr="000C307D" w14:paraId="2D3B6FAB" w14:textId="77777777" w:rsidTr="000116AF">
        <w:tc>
          <w:tcPr>
            <w:tcW w:w="0" w:type="auto"/>
            <w:hideMark/>
          </w:tcPr>
          <w:p w14:paraId="43BF0A1F"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Simonin and Ruth (1998)</w:t>
            </w:r>
          </w:p>
        </w:tc>
        <w:tc>
          <w:tcPr>
            <w:tcW w:w="0" w:type="auto"/>
            <w:hideMark/>
          </w:tcPr>
          <w:p w14:paraId="12F41BB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 Alliance Theory</w:t>
            </w:r>
          </w:p>
        </w:tc>
        <w:tc>
          <w:tcPr>
            <w:tcW w:w="0" w:type="auto"/>
            <w:hideMark/>
          </w:tcPr>
          <w:p w14:paraId="39D7BD6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Alliance fit; partner attitudes; spillover effects</w:t>
            </w:r>
          </w:p>
        </w:tc>
        <w:tc>
          <w:tcPr>
            <w:tcW w:w="0" w:type="auto"/>
            <w:hideMark/>
          </w:tcPr>
          <w:p w14:paraId="248AF42A"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Empirical consumer study</w:t>
            </w:r>
          </w:p>
        </w:tc>
        <w:tc>
          <w:tcPr>
            <w:tcW w:w="0" w:type="auto"/>
            <w:hideMark/>
          </w:tcPr>
          <w:p w14:paraId="01C5A283"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Alliance evaluations depend on partner attitudes and </w:t>
            </w:r>
            <w:r w:rsidRPr="000C307D">
              <w:rPr>
                <w:rFonts w:eastAsia="Aptos" w:cs="Times New Roman"/>
                <w:kern w:val="2"/>
                <w:sz w:val="24"/>
                <w:lang w:val="en-GB"/>
                <w14:ligatures w14:val="standardContextual"/>
              </w:rPr>
              <w:lastRenderedPageBreak/>
              <w:t>compatibility, while collaborations can generate reciprocal spillover effects.</w:t>
            </w:r>
          </w:p>
        </w:tc>
        <w:tc>
          <w:tcPr>
            <w:tcW w:w="0" w:type="auto"/>
            <w:hideMark/>
          </w:tcPr>
          <w:p w14:paraId="15F8385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lastRenderedPageBreak/>
              <w:t xml:space="preserve">Developed before social-media-driven fandom and modern </w:t>
            </w:r>
            <w:r w:rsidRPr="000C307D">
              <w:rPr>
                <w:rFonts w:eastAsia="Aptos" w:cs="Times New Roman"/>
                <w:kern w:val="2"/>
                <w:sz w:val="24"/>
                <w:lang w:val="en-GB"/>
                <w14:ligatures w14:val="standardContextual"/>
              </w:rPr>
              <w:lastRenderedPageBreak/>
              <w:t>entertainment–fashion collaborations.</w:t>
            </w:r>
          </w:p>
        </w:tc>
        <w:tc>
          <w:tcPr>
            <w:tcW w:w="0" w:type="auto"/>
            <w:hideMark/>
          </w:tcPr>
          <w:p w14:paraId="6E96E0D0"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lastRenderedPageBreak/>
              <w:t xml:space="preserve">Provides the study's </w:t>
            </w:r>
            <w:r w:rsidRPr="000C307D">
              <w:rPr>
                <w:rFonts w:eastAsia="Aptos" w:cs="Times New Roman"/>
                <w:b/>
                <w:bCs/>
                <w:kern w:val="2"/>
                <w:sz w:val="24"/>
                <w:lang w:val="en-GB"/>
                <w14:ligatures w14:val="standardContextual"/>
              </w:rPr>
              <w:t>primary theoretical foundation</w:t>
            </w:r>
            <w:r w:rsidRPr="000C307D">
              <w:rPr>
                <w:rFonts w:eastAsia="Aptos" w:cs="Times New Roman"/>
                <w:kern w:val="2"/>
                <w:sz w:val="24"/>
                <w:lang w:val="en-GB"/>
                <w14:ligatures w14:val="standardContextual"/>
              </w:rPr>
              <w:t xml:space="preserve"> </w:t>
            </w:r>
            <w:r w:rsidRPr="000C307D">
              <w:rPr>
                <w:rFonts w:eastAsia="Aptos" w:cs="Times New Roman"/>
                <w:kern w:val="2"/>
                <w:sz w:val="24"/>
                <w:lang w:val="en-GB"/>
                <w14:ligatures w14:val="standardContextual"/>
              </w:rPr>
              <w:lastRenderedPageBreak/>
              <w:t>for evaluating anime–fashion alliances.</w:t>
            </w:r>
          </w:p>
        </w:tc>
      </w:tr>
      <w:tr w:rsidR="000C307D" w:rsidRPr="000C307D" w14:paraId="417A6C94" w14:textId="77777777" w:rsidTr="000116AF">
        <w:tc>
          <w:tcPr>
            <w:tcW w:w="0" w:type="auto"/>
            <w:hideMark/>
          </w:tcPr>
          <w:p w14:paraId="5C37C05F"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lastRenderedPageBreak/>
              <w:t>Södergren (2021)</w:t>
            </w:r>
          </w:p>
        </w:tc>
        <w:tc>
          <w:tcPr>
            <w:tcW w:w="0" w:type="auto"/>
            <w:hideMark/>
          </w:tcPr>
          <w:p w14:paraId="61DBE0C4"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 Authenticity</w:t>
            </w:r>
          </w:p>
        </w:tc>
        <w:tc>
          <w:tcPr>
            <w:tcW w:w="0" w:type="auto"/>
            <w:hideMark/>
          </w:tcPr>
          <w:p w14:paraId="4B4A9A64"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Authenticity; consumer perceptions</w:t>
            </w:r>
          </w:p>
        </w:tc>
        <w:tc>
          <w:tcPr>
            <w:tcW w:w="0" w:type="auto"/>
            <w:hideMark/>
          </w:tcPr>
          <w:p w14:paraId="0811CA58"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Conceptual/literature-based investigation</w:t>
            </w:r>
          </w:p>
        </w:tc>
        <w:tc>
          <w:tcPr>
            <w:tcW w:w="0" w:type="auto"/>
            <w:hideMark/>
          </w:tcPr>
          <w:p w14:paraId="2D8C478B"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Highlights authenticity as an important consumer judgement concerning the genuineness of brands and their activities.</w:t>
            </w:r>
          </w:p>
        </w:tc>
        <w:tc>
          <w:tcPr>
            <w:tcW w:w="0" w:type="auto"/>
            <w:hideMark/>
          </w:tcPr>
          <w:p w14:paraId="79A17476"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Does not specifically examine anime or licensed fashion collaborations.</w:t>
            </w:r>
          </w:p>
        </w:tc>
        <w:tc>
          <w:tcPr>
            <w:tcW w:w="0" w:type="auto"/>
            <w:hideMark/>
          </w:tcPr>
          <w:p w14:paraId="41FDD252"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Supports conceptualisation of </w:t>
            </w:r>
            <w:r w:rsidRPr="000C307D">
              <w:rPr>
                <w:rFonts w:eastAsia="Aptos" w:cs="Times New Roman"/>
                <w:b/>
                <w:bCs/>
                <w:kern w:val="2"/>
                <w:sz w:val="24"/>
                <w:lang w:val="en-GB"/>
                <w14:ligatures w14:val="standardContextual"/>
              </w:rPr>
              <w:t>perceived authenticity</w:t>
            </w:r>
            <w:r w:rsidRPr="000C307D">
              <w:rPr>
                <w:rFonts w:eastAsia="Aptos" w:cs="Times New Roman"/>
                <w:kern w:val="2"/>
                <w:sz w:val="24"/>
                <w:lang w:val="en-GB"/>
                <w14:ligatures w14:val="standardContextual"/>
              </w:rPr>
              <w:t xml:space="preserve"> as a collaboration evaluation.</w:t>
            </w:r>
          </w:p>
        </w:tc>
      </w:tr>
      <w:tr w:rsidR="000C307D" w:rsidRPr="000C307D" w14:paraId="32BA4DB6" w14:textId="77777777" w:rsidTr="000116AF">
        <w:tc>
          <w:tcPr>
            <w:tcW w:w="0" w:type="auto"/>
            <w:hideMark/>
          </w:tcPr>
          <w:p w14:paraId="10A44CF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Rodrigues et al. (2023)</w:t>
            </w:r>
          </w:p>
        </w:tc>
        <w:tc>
          <w:tcPr>
            <w:tcW w:w="0" w:type="auto"/>
            <w:hideMark/>
          </w:tcPr>
          <w:p w14:paraId="0A29B2D1"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 Authenticity/Attachment</w:t>
            </w:r>
          </w:p>
        </w:tc>
        <w:tc>
          <w:tcPr>
            <w:tcW w:w="0" w:type="auto"/>
            <w:hideMark/>
          </w:tcPr>
          <w:p w14:paraId="7CBDC4E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Authenticity; brand attachment; online communities</w:t>
            </w:r>
          </w:p>
        </w:tc>
        <w:tc>
          <w:tcPr>
            <w:tcW w:w="0" w:type="auto"/>
            <w:hideMark/>
          </w:tcPr>
          <w:p w14:paraId="1737CEFA"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Empirical study</w:t>
            </w:r>
          </w:p>
        </w:tc>
        <w:tc>
          <w:tcPr>
            <w:tcW w:w="0" w:type="auto"/>
            <w:hideMark/>
          </w:tcPr>
          <w:p w14:paraId="530C0670"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Authenticity contributes to stronger brand attachment, while online communities influence consumer–brand relationships.</w:t>
            </w:r>
          </w:p>
        </w:tc>
        <w:tc>
          <w:tcPr>
            <w:tcW w:w="0" w:type="auto"/>
            <w:hideMark/>
          </w:tcPr>
          <w:p w14:paraId="0F5FEAA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Broader branding context rather than anime–fashion partnerships.</w:t>
            </w:r>
          </w:p>
        </w:tc>
        <w:tc>
          <w:tcPr>
            <w:tcW w:w="0" w:type="auto"/>
            <w:hideMark/>
          </w:tcPr>
          <w:p w14:paraId="6DBACF94"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Supports </w:t>
            </w:r>
            <w:r w:rsidRPr="000C307D">
              <w:rPr>
                <w:rFonts w:eastAsia="Aptos" w:cs="Times New Roman"/>
                <w:b/>
                <w:bCs/>
                <w:kern w:val="2"/>
                <w:sz w:val="24"/>
                <w:lang w:val="en-GB"/>
                <w14:ligatures w14:val="standardContextual"/>
              </w:rPr>
              <w:t>H1</w:t>
            </w:r>
            <w:r w:rsidRPr="000C307D">
              <w:rPr>
                <w:rFonts w:eastAsia="Aptos" w:cs="Times New Roman"/>
                <w:kern w:val="2"/>
                <w:sz w:val="24"/>
                <w:lang w:val="en-GB"/>
                <w14:ligatures w14:val="standardContextual"/>
              </w:rPr>
              <w:t>, linking authentic brand activity with stronger relational responses.</w:t>
            </w:r>
          </w:p>
        </w:tc>
      </w:tr>
      <w:tr w:rsidR="000C307D" w:rsidRPr="000C307D" w14:paraId="762D67F0" w14:textId="77777777" w:rsidTr="000116AF">
        <w:tc>
          <w:tcPr>
            <w:tcW w:w="0" w:type="auto"/>
            <w:hideMark/>
          </w:tcPr>
          <w:p w14:paraId="30441D2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lastRenderedPageBreak/>
              <w:t>Sun et al. (2024)</w:t>
            </w:r>
          </w:p>
        </w:tc>
        <w:tc>
          <w:tcPr>
            <w:tcW w:w="0" w:type="auto"/>
            <w:hideMark/>
          </w:tcPr>
          <w:p w14:paraId="401F396F"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 Authenticity</w:t>
            </w:r>
          </w:p>
        </w:tc>
        <w:tc>
          <w:tcPr>
            <w:tcW w:w="0" w:type="auto"/>
            <w:hideMark/>
          </w:tcPr>
          <w:p w14:paraId="08EB301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Authenticity; attachment; loyalty; willingness to pay</w:t>
            </w:r>
          </w:p>
        </w:tc>
        <w:tc>
          <w:tcPr>
            <w:tcW w:w="0" w:type="auto"/>
            <w:hideMark/>
          </w:tcPr>
          <w:p w14:paraId="41A1ABB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Empirical consumer research</w:t>
            </w:r>
          </w:p>
        </w:tc>
        <w:tc>
          <w:tcPr>
            <w:tcW w:w="0" w:type="auto"/>
            <w:hideMark/>
          </w:tcPr>
          <w:p w14:paraId="72465E61"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Authenticity strengthens attachment and can enhance loyalty, willingness to pay and forgiveness.</w:t>
            </w:r>
          </w:p>
        </w:tc>
        <w:tc>
          <w:tcPr>
            <w:tcW w:w="0" w:type="auto"/>
            <w:hideMark/>
          </w:tcPr>
          <w:p w14:paraId="109F9E96"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Focuses on Chinese consumers of Korean cosmetic brands, restricting contextual transferability.</w:t>
            </w:r>
          </w:p>
        </w:tc>
        <w:tc>
          <w:tcPr>
            <w:tcW w:w="0" w:type="auto"/>
            <w:hideMark/>
          </w:tcPr>
          <w:p w14:paraId="569390F8"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Provides evidence that authenticity can produce relational and behavioural outcomes.</w:t>
            </w:r>
          </w:p>
        </w:tc>
      </w:tr>
      <w:tr w:rsidR="000C307D" w:rsidRPr="000C307D" w14:paraId="026DA1E9" w14:textId="77777777" w:rsidTr="000116AF">
        <w:tc>
          <w:tcPr>
            <w:tcW w:w="0" w:type="auto"/>
            <w:hideMark/>
          </w:tcPr>
          <w:p w14:paraId="46F946F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Ruiz and Gracia (2023)</w:t>
            </w:r>
          </w:p>
        </w:tc>
        <w:tc>
          <w:tcPr>
            <w:tcW w:w="0" w:type="auto"/>
            <w:hideMark/>
          </w:tcPr>
          <w:p w14:paraId="64245768"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Co-branding/Collaboration</w:t>
            </w:r>
          </w:p>
        </w:tc>
        <w:tc>
          <w:tcPr>
            <w:tcW w:w="0" w:type="auto"/>
            <w:hideMark/>
          </w:tcPr>
          <w:p w14:paraId="613A1D4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Unconventional collaborations; fit; novelty</w:t>
            </w:r>
          </w:p>
        </w:tc>
        <w:tc>
          <w:tcPr>
            <w:tcW w:w="0" w:type="auto"/>
            <w:hideMark/>
          </w:tcPr>
          <w:p w14:paraId="0D82073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Empirical study of young Chinese consumers</w:t>
            </w:r>
          </w:p>
        </w:tc>
        <w:tc>
          <w:tcPr>
            <w:tcW w:w="0" w:type="auto"/>
            <w:hideMark/>
          </w:tcPr>
          <w:p w14:paraId="505C457D"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Unusual collaborations can create value by combining contrasting identities, challenging the assumption that similarity always produces superior evaluations.</w:t>
            </w:r>
          </w:p>
        </w:tc>
        <w:tc>
          <w:tcPr>
            <w:tcW w:w="0" w:type="auto"/>
            <w:hideMark/>
          </w:tcPr>
          <w:p w14:paraId="7EE2AB31"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Luxury/Chinese context rather than UK anime–fashion consumption.</w:t>
            </w:r>
          </w:p>
        </w:tc>
        <w:tc>
          <w:tcPr>
            <w:tcW w:w="0" w:type="auto"/>
            <w:hideMark/>
          </w:tcPr>
          <w:p w14:paraId="58CE6E63"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Adds critical nuance to </w:t>
            </w:r>
            <w:r w:rsidRPr="000C307D">
              <w:rPr>
                <w:rFonts w:eastAsia="Aptos" w:cs="Times New Roman"/>
                <w:b/>
                <w:bCs/>
                <w:kern w:val="2"/>
                <w:sz w:val="24"/>
                <w:lang w:val="en-GB"/>
                <w14:ligatures w14:val="standardContextual"/>
              </w:rPr>
              <w:t>H2</w:t>
            </w:r>
            <w:r w:rsidRPr="000C307D">
              <w:rPr>
                <w:rFonts w:eastAsia="Aptos" w:cs="Times New Roman"/>
                <w:kern w:val="2"/>
                <w:sz w:val="24"/>
                <w:lang w:val="en-GB"/>
                <w14:ligatures w14:val="standardContextual"/>
              </w:rPr>
              <w:t xml:space="preserve"> by showing that fit may be symbolic rather than simple similarity.</w:t>
            </w:r>
          </w:p>
        </w:tc>
      </w:tr>
      <w:tr w:rsidR="000C307D" w:rsidRPr="000C307D" w14:paraId="6F4769C4" w14:textId="77777777" w:rsidTr="000116AF">
        <w:tc>
          <w:tcPr>
            <w:tcW w:w="0" w:type="auto"/>
            <w:hideMark/>
          </w:tcPr>
          <w:p w14:paraId="42E9283C" w14:textId="77777777" w:rsidR="000C307D" w:rsidRPr="000C307D" w:rsidRDefault="000C307D" w:rsidP="000C307D">
            <w:pPr>
              <w:spacing w:after="160" w:line="240" w:lineRule="auto"/>
              <w:rPr>
                <w:rFonts w:eastAsia="Aptos" w:cs="Times New Roman"/>
                <w:kern w:val="2"/>
                <w:sz w:val="24"/>
                <w:lang w:val="en-GB"/>
                <w14:ligatures w14:val="standardContextual"/>
              </w:rPr>
            </w:pPr>
            <w:proofErr w:type="spellStart"/>
            <w:r w:rsidRPr="000C307D">
              <w:rPr>
                <w:rFonts w:eastAsia="Aptos" w:cs="Times New Roman"/>
                <w:b/>
                <w:bCs/>
                <w:kern w:val="2"/>
                <w:sz w:val="24"/>
                <w:lang w:val="en-GB"/>
                <w14:ligatures w14:val="standardContextual"/>
              </w:rPr>
              <w:t>Erlyana</w:t>
            </w:r>
            <w:proofErr w:type="spellEnd"/>
            <w:r w:rsidRPr="000C307D">
              <w:rPr>
                <w:rFonts w:eastAsia="Aptos" w:cs="Times New Roman"/>
                <w:b/>
                <w:bCs/>
                <w:kern w:val="2"/>
                <w:sz w:val="24"/>
                <w:lang w:val="en-GB"/>
                <w14:ligatures w14:val="standardContextual"/>
              </w:rPr>
              <w:t xml:space="preserve"> and Yi (2026)</w:t>
            </w:r>
          </w:p>
        </w:tc>
        <w:tc>
          <w:tcPr>
            <w:tcW w:w="0" w:type="auto"/>
            <w:hideMark/>
          </w:tcPr>
          <w:p w14:paraId="05B94F4F"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Fashion Co-branding</w:t>
            </w:r>
          </w:p>
        </w:tc>
        <w:tc>
          <w:tcPr>
            <w:tcW w:w="0" w:type="auto"/>
            <w:hideMark/>
          </w:tcPr>
          <w:p w14:paraId="3124351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Cultural collaboration; differentiation; symbolic meaning</w:t>
            </w:r>
          </w:p>
        </w:tc>
        <w:tc>
          <w:tcPr>
            <w:tcW w:w="0" w:type="auto"/>
            <w:hideMark/>
          </w:tcPr>
          <w:p w14:paraId="551546F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Contemporary fashion collaboration research</w:t>
            </w:r>
          </w:p>
        </w:tc>
        <w:tc>
          <w:tcPr>
            <w:tcW w:w="0" w:type="auto"/>
            <w:hideMark/>
          </w:tcPr>
          <w:p w14:paraId="2C512204"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Art and cultural partnerships can differentiate fashion brands and create </w:t>
            </w:r>
            <w:r w:rsidRPr="000C307D">
              <w:rPr>
                <w:rFonts w:eastAsia="Aptos" w:cs="Times New Roman"/>
                <w:kern w:val="2"/>
                <w:sz w:val="24"/>
                <w:lang w:val="en-GB"/>
                <w14:ligatures w14:val="standardContextual"/>
              </w:rPr>
              <w:lastRenderedPageBreak/>
              <w:t>additional symbolic meanings.</w:t>
            </w:r>
          </w:p>
        </w:tc>
        <w:tc>
          <w:tcPr>
            <w:tcW w:w="0" w:type="auto"/>
            <w:hideMark/>
          </w:tcPr>
          <w:p w14:paraId="3F92BF9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lastRenderedPageBreak/>
              <w:t>Limited direct evidence concerning UK anime fandom.</w:t>
            </w:r>
          </w:p>
        </w:tc>
        <w:tc>
          <w:tcPr>
            <w:tcW w:w="0" w:type="auto"/>
            <w:hideMark/>
          </w:tcPr>
          <w:p w14:paraId="7BCC7F9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Demonstrates the strategic relevance of cultural properties within fashion collaborations.</w:t>
            </w:r>
          </w:p>
        </w:tc>
      </w:tr>
      <w:tr w:rsidR="000C307D" w:rsidRPr="000C307D" w14:paraId="55C20958" w14:textId="77777777" w:rsidTr="000116AF">
        <w:tc>
          <w:tcPr>
            <w:tcW w:w="0" w:type="auto"/>
            <w:hideMark/>
          </w:tcPr>
          <w:p w14:paraId="21B1811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 xml:space="preserve">Li and </w:t>
            </w:r>
            <w:proofErr w:type="spellStart"/>
            <w:r w:rsidRPr="000C307D">
              <w:rPr>
                <w:rFonts w:eastAsia="Aptos" w:cs="Times New Roman"/>
                <w:b/>
                <w:bCs/>
                <w:kern w:val="2"/>
                <w:sz w:val="24"/>
                <w:lang w:val="en-GB"/>
                <w14:ligatures w14:val="standardContextual"/>
              </w:rPr>
              <w:t>Aumeboonsuke</w:t>
            </w:r>
            <w:proofErr w:type="spellEnd"/>
            <w:r w:rsidRPr="000C307D">
              <w:rPr>
                <w:rFonts w:eastAsia="Aptos" w:cs="Times New Roman"/>
                <w:b/>
                <w:bCs/>
                <w:kern w:val="2"/>
                <w:sz w:val="24"/>
                <w:lang w:val="en-GB"/>
                <w14:ligatures w14:val="standardContextual"/>
              </w:rPr>
              <w:t xml:space="preserve"> (2025)</w:t>
            </w:r>
          </w:p>
        </w:tc>
        <w:tc>
          <w:tcPr>
            <w:tcW w:w="0" w:type="auto"/>
            <w:hideMark/>
          </w:tcPr>
          <w:p w14:paraId="31B2E138"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Cultural/Fashion Branding</w:t>
            </w:r>
          </w:p>
        </w:tc>
        <w:tc>
          <w:tcPr>
            <w:tcW w:w="0" w:type="auto"/>
            <w:hideMark/>
          </w:tcPr>
          <w:p w14:paraId="3676F736"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Fashion; gaming culture; consumer motivations</w:t>
            </w:r>
          </w:p>
        </w:tc>
        <w:tc>
          <w:tcPr>
            <w:tcW w:w="0" w:type="auto"/>
            <w:hideMark/>
          </w:tcPr>
          <w:p w14:paraId="0CF6B29B"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Empirical study</w:t>
            </w:r>
          </w:p>
        </w:tc>
        <w:tc>
          <w:tcPr>
            <w:tcW w:w="0" w:type="auto"/>
            <w:hideMark/>
          </w:tcPr>
          <w:p w14:paraId="6F2E8B92"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Fashion partnerships with entertainment cultures can generate value beyond conventional product-category compatibility.</w:t>
            </w:r>
          </w:p>
        </w:tc>
        <w:tc>
          <w:tcPr>
            <w:tcW w:w="0" w:type="auto"/>
            <w:hideMark/>
          </w:tcPr>
          <w:p w14:paraId="67AD40C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Gaming context may not fully represent anime fandom behaviour.</w:t>
            </w:r>
          </w:p>
        </w:tc>
        <w:tc>
          <w:tcPr>
            <w:tcW w:w="0" w:type="auto"/>
            <w:hideMark/>
          </w:tcPr>
          <w:p w14:paraId="7C9AB29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Supports extending alliance and fit principles to </w:t>
            </w:r>
            <w:r w:rsidRPr="000C307D">
              <w:rPr>
                <w:rFonts w:eastAsia="Aptos" w:cs="Times New Roman"/>
                <w:b/>
                <w:bCs/>
                <w:kern w:val="2"/>
                <w:sz w:val="24"/>
                <w:lang w:val="en-GB"/>
                <w14:ligatures w14:val="standardContextual"/>
              </w:rPr>
              <w:t>fashion–entertainment collaborations</w:t>
            </w:r>
            <w:r w:rsidRPr="000C307D">
              <w:rPr>
                <w:rFonts w:eastAsia="Aptos" w:cs="Times New Roman"/>
                <w:kern w:val="2"/>
                <w:sz w:val="24"/>
                <w:lang w:val="en-GB"/>
                <w14:ligatures w14:val="standardContextual"/>
              </w:rPr>
              <w:t>.</w:t>
            </w:r>
          </w:p>
        </w:tc>
      </w:tr>
      <w:tr w:rsidR="000C307D" w:rsidRPr="000C307D" w14:paraId="43EE27E6" w14:textId="77777777" w:rsidTr="000116AF">
        <w:tc>
          <w:tcPr>
            <w:tcW w:w="0" w:type="auto"/>
            <w:hideMark/>
          </w:tcPr>
          <w:p w14:paraId="0FED61B1"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Zheng et al. (2025)</w:t>
            </w:r>
          </w:p>
        </w:tc>
        <w:tc>
          <w:tcPr>
            <w:tcW w:w="0" w:type="auto"/>
            <w:hideMark/>
          </w:tcPr>
          <w:p w14:paraId="20C98C48"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Fandom/Emotional Consumption</w:t>
            </w:r>
          </w:p>
        </w:tc>
        <w:tc>
          <w:tcPr>
            <w:tcW w:w="0" w:type="auto"/>
            <w:hideMark/>
          </w:tcPr>
          <w:p w14:paraId="6F177CD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Anime involvement; emotions; fan behaviour</w:t>
            </w:r>
          </w:p>
        </w:tc>
        <w:tc>
          <w:tcPr>
            <w:tcW w:w="0" w:type="auto"/>
            <w:hideMark/>
          </w:tcPr>
          <w:p w14:paraId="731D70BD"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Empirical anime-tourism study</w:t>
            </w:r>
          </w:p>
        </w:tc>
        <w:tc>
          <w:tcPr>
            <w:tcW w:w="0" w:type="auto"/>
            <w:hideMark/>
          </w:tcPr>
          <w:p w14:paraId="4B7AEFA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Anime-related experiences can create strong emotional responses and embedded consumption behaviours.</w:t>
            </w:r>
          </w:p>
        </w:tc>
        <w:tc>
          <w:tcPr>
            <w:tcW w:w="0" w:type="auto"/>
            <w:hideMark/>
          </w:tcPr>
          <w:p w14:paraId="4649CB24"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Tourism differs materially from collaborative fashion purchasing.</w:t>
            </w:r>
          </w:p>
        </w:tc>
        <w:tc>
          <w:tcPr>
            <w:tcW w:w="0" w:type="auto"/>
            <w:hideMark/>
          </w:tcPr>
          <w:p w14:paraId="1802F142"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Demonstrates the potential influence of </w:t>
            </w:r>
            <w:r w:rsidRPr="000C307D">
              <w:rPr>
                <w:rFonts w:eastAsia="Aptos" w:cs="Times New Roman"/>
                <w:b/>
                <w:bCs/>
                <w:kern w:val="2"/>
                <w:sz w:val="24"/>
                <w:lang w:val="en-GB"/>
                <w14:ligatures w14:val="standardContextual"/>
              </w:rPr>
              <w:t>anime involvement</w:t>
            </w:r>
            <w:r w:rsidRPr="000C307D">
              <w:rPr>
                <w:rFonts w:eastAsia="Aptos" w:cs="Times New Roman"/>
                <w:kern w:val="2"/>
                <w:sz w:val="24"/>
                <w:lang w:val="en-GB"/>
                <w14:ligatures w14:val="standardContextual"/>
              </w:rPr>
              <w:t xml:space="preserve"> on consumer responses.</w:t>
            </w:r>
          </w:p>
        </w:tc>
      </w:tr>
      <w:tr w:rsidR="000C307D" w:rsidRPr="000C307D" w14:paraId="2E96DC14" w14:textId="77777777" w:rsidTr="000116AF">
        <w:tc>
          <w:tcPr>
            <w:tcW w:w="0" w:type="auto"/>
            <w:hideMark/>
          </w:tcPr>
          <w:p w14:paraId="227D81D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Lan, Waheed and Bidin (2025)</w:t>
            </w:r>
          </w:p>
        </w:tc>
        <w:tc>
          <w:tcPr>
            <w:tcW w:w="0" w:type="auto"/>
            <w:hideMark/>
          </w:tcPr>
          <w:p w14:paraId="43EBD6E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Fan Community Engagement</w:t>
            </w:r>
          </w:p>
        </w:tc>
        <w:tc>
          <w:tcPr>
            <w:tcW w:w="0" w:type="auto"/>
            <w:hideMark/>
          </w:tcPr>
          <w:p w14:paraId="49A0FB31"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Fandom; emotional attachment; participation</w:t>
            </w:r>
          </w:p>
        </w:tc>
        <w:tc>
          <w:tcPr>
            <w:tcW w:w="0" w:type="auto"/>
            <w:hideMark/>
          </w:tcPr>
          <w:p w14:paraId="3FD17060"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Literature review</w:t>
            </w:r>
          </w:p>
        </w:tc>
        <w:tc>
          <w:tcPr>
            <w:tcW w:w="0" w:type="auto"/>
            <w:hideMark/>
          </w:tcPr>
          <w:p w14:paraId="60D0EA1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Emotional attachment and participatory communities are important </w:t>
            </w:r>
            <w:r w:rsidRPr="000C307D">
              <w:rPr>
                <w:rFonts w:eastAsia="Aptos" w:cs="Times New Roman"/>
                <w:kern w:val="2"/>
                <w:sz w:val="24"/>
                <w:lang w:val="en-GB"/>
                <w14:ligatures w14:val="standardContextual"/>
              </w:rPr>
              <w:lastRenderedPageBreak/>
              <w:t>drivers of fan engagement.</w:t>
            </w:r>
          </w:p>
        </w:tc>
        <w:tc>
          <w:tcPr>
            <w:tcW w:w="0" w:type="auto"/>
            <w:hideMark/>
          </w:tcPr>
          <w:p w14:paraId="49B15EA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lastRenderedPageBreak/>
              <w:t xml:space="preserve">Review evidence is heterogeneous and not specific to UK </w:t>
            </w:r>
            <w:r w:rsidRPr="000C307D">
              <w:rPr>
                <w:rFonts w:eastAsia="Aptos" w:cs="Times New Roman"/>
                <w:kern w:val="2"/>
                <w:sz w:val="24"/>
                <w:lang w:val="en-GB"/>
                <w14:ligatures w14:val="standardContextual"/>
              </w:rPr>
              <w:lastRenderedPageBreak/>
              <w:t>anime fashion.</w:t>
            </w:r>
          </w:p>
        </w:tc>
        <w:tc>
          <w:tcPr>
            <w:tcW w:w="0" w:type="auto"/>
            <w:hideMark/>
          </w:tcPr>
          <w:p w14:paraId="348A0963"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lastRenderedPageBreak/>
              <w:t xml:space="preserve">Supports </w:t>
            </w:r>
            <w:r w:rsidRPr="000C307D">
              <w:rPr>
                <w:rFonts w:eastAsia="Aptos" w:cs="Times New Roman"/>
                <w:b/>
                <w:bCs/>
                <w:kern w:val="2"/>
                <w:sz w:val="24"/>
                <w:lang w:val="en-GB"/>
                <w14:ligatures w14:val="standardContextual"/>
              </w:rPr>
              <w:t>H3</w:t>
            </w:r>
            <w:r w:rsidRPr="000C307D">
              <w:rPr>
                <w:rFonts w:eastAsia="Aptos" w:cs="Times New Roman"/>
                <w:kern w:val="2"/>
                <w:sz w:val="24"/>
                <w:lang w:val="en-GB"/>
                <w14:ligatures w14:val="standardContextual"/>
              </w:rPr>
              <w:t xml:space="preserve">, connecting anime involvement with </w:t>
            </w:r>
            <w:r w:rsidRPr="000C307D">
              <w:rPr>
                <w:rFonts w:eastAsia="Aptos" w:cs="Times New Roman"/>
                <w:kern w:val="2"/>
                <w:sz w:val="24"/>
                <w:lang w:val="en-GB"/>
                <w14:ligatures w14:val="standardContextual"/>
              </w:rPr>
              <w:lastRenderedPageBreak/>
              <w:t>consumer engagement.</w:t>
            </w:r>
          </w:p>
        </w:tc>
      </w:tr>
      <w:tr w:rsidR="000C307D" w:rsidRPr="000C307D" w14:paraId="07CC939B" w14:textId="77777777" w:rsidTr="000116AF">
        <w:tc>
          <w:tcPr>
            <w:tcW w:w="0" w:type="auto"/>
            <w:hideMark/>
          </w:tcPr>
          <w:p w14:paraId="6C85BF2F"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lastRenderedPageBreak/>
              <w:t xml:space="preserve">Putri, </w:t>
            </w:r>
            <w:proofErr w:type="spellStart"/>
            <w:r w:rsidRPr="000C307D">
              <w:rPr>
                <w:rFonts w:eastAsia="Aptos" w:cs="Times New Roman"/>
                <w:b/>
                <w:bCs/>
                <w:kern w:val="2"/>
                <w:sz w:val="24"/>
                <w:lang w:val="en-GB"/>
                <w14:ligatures w14:val="standardContextual"/>
              </w:rPr>
              <w:t>Rosyida</w:t>
            </w:r>
            <w:proofErr w:type="spellEnd"/>
            <w:r w:rsidRPr="000C307D">
              <w:rPr>
                <w:rFonts w:eastAsia="Aptos" w:cs="Times New Roman"/>
                <w:b/>
                <w:bCs/>
                <w:kern w:val="2"/>
                <w:sz w:val="24"/>
                <w:lang w:val="en-GB"/>
                <w14:ligatures w14:val="standardContextual"/>
              </w:rPr>
              <w:t xml:space="preserve"> and </w:t>
            </w:r>
            <w:proofErr w:type="spellStart"/>
            <w:r w:rsidRPr="000C307D">
              <w:rPr>
                <w:rFonts w:eastAsia="Aptos" w:cs="Times New Roman"/>
                <w:b/>
                <w:bCs/>
                <w:kern w:val="2"/>
                <w:sz w:val="24"/>
                <w:lang w:val="en-GB"/>
                <w14:ligatures w14:val="standardContextual"/>
              </w:rPr>
              <w:t>Prakoso</w:t>
            </w:r>
            <w:proofErr w:type="spellEnd"/>
            <w:r w:rsidRPr="000C307D">
              <w:rPr>
                <w:rFonts w:eastAsia="Aptos" w:cs="Times New Roman"/>
                <w:b/>
                <w:bCs/>
                <w:kern w:val="2"/>
                <w:sz w:val="24"/>
                <w:lang w:val="en-GB"/>
                <w14:ligatures w14:val="standardContextual"/>
              </w:rPr>
              <w:t xml:space="preserve"> (2025)</w:t>
            </w:r>
          </w:p>
        </w:tc>
        <w:tc>
          <w:tcPr>
            <w:tcW w:w="0" w:type="auto"/>
            <w:hideMark/>
          </w:tcPr>
          <w:p w14:paraId="620458B2"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Cultural Globalisation</w:t>
            </w:r>
          </w:p>
        </w:tc>
        <w:tc>
          <w:tcPr>
            <w:tcW w:w="0" w:type="auto"/>
            <w:hideMark/>
          </w:tcPr>
          <w:p w14:paraId="5BCB90C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Anime collaborations; fashion; community acceptance</w:t>
            </w:r>
          </w:p>
        </w:tc>
        <w:tc>
          <w:tcPr>
            <w:tcW w:w="0" w:type="auto"/>
            <w:hideMark/>
          </w:tcPr>
          <w:p w14:paraId="2B7E4CFB"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Case/contextual study of UNIQLO in Indonesia</w:t>
            </w:r>
          </w:p>
        </w:tc>
        <w:tc>
          <w:tcPr>
            <w:tcW w:w="0" w:type="auto"/>
            <w:hideMark/>
          </w:tcPr>
          <w:p w14:paraId="275C0A7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Manga and anime collaborations operate through cultural globalisation and community acceptance as well as commercial branding.</w:t>
            </w:r>
          </w:p>
        </w:tc>
        <w:tc>
          <w:tcPr>
            <w:tcW w:w="0" w:type="auto"/>
            <w:hideMark/>
          </w:tcPr>
          <w:p w14:paraId="110AED9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Single geographical and organisational context limits generalisation.</w:t>
            </w:r>
          </w:p>
        </w:tc>
        <w:tc>
          <w:tcPr>
            <w:tcW w:w="0" w:type="auto"/>
            <w:hideMark/>
          </w:tcPr>
          <w:p w14:paraId="6B49C30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One of the most directly relevant studies connecting </w:t>
            </w:r>
            <w:r w:rsidRPr="000C307D">
              <w:rPr>
                <w:rFonts w:eastAsia="Aptos" w:cs="Times New Roman"/>
                <w:b/>
                <w:bCs/>
                <w:kern w:val="2"/>
                <w:sz w:val="24"/>
                <w:lang w:val="en-GB"/>
                <w14:ligatures w14:val="standardContextual"/>
              </w:rPr>
              <w:t>anime and fashion collaboration</w:t>
            </w:r>
            <w:r w:rsidRPr="000C307D">
              <w:rPr>
                <w:rFonts w:eastAsia="Aptos" w:cs="Times New Roman"/>
                <w:kern w:val="2"/>
                <w:sz w:val="24"/>
                <w:lang w:val="en-GB"/>
                <w14:ligatures w14:val="standardContextual"/>
              </w:rPr>
              <w:t>.</w:t>
            </w:r>
          </w:p>
        </w:tc>
      </w:tr>
      <w:tr w:rsidR="000C307D" w:rsidRPr="000C307D" w14:paraId="1DA348E6" w14:textId="77777777" w:rsidTr="000116AF">
        <w:tc>
          <w:tcPr>
            <w:tcW w:w="0" w:type="auto"/>
            <w:hideMark/>
          </w:tcPr>
          <w:p w14:paraId="4E4758A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Ng, Sweeney and Plewa (2020)</w:t>
            </w:r>
          </w:p>
        </w:tc>
        <w:tc>
          <w:tcPr>
            <w:tcW w:w="0" w:type="auto"/>
            <w:hideMark/>
          </w:tcPr>
          <w:p w14:paraId="2221EDF8"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Customer Engagement</w:t>
            </w:r>
          </w:p>
        </w:tc>
        <w:tc>
          <w:tcPr>
            <w:tcW w:w="0" w:type="auto"/>
            <w:hideMark/>
          </w:tcPr>
          <w:p w14:paraId="0AB30602"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Cognitive, emotional and behavioural engagement</w:t>
            </w:r>
          </w:p>
        </w:tc>
        <w:tc>
          <w:tcPr>
            <w:tcW w:w="0" w:type="auto"/>
            <w:hideMark/>
          </w:tcPr>
          <w:p w14:paraId="10FA3613"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Systematic literature review</w:t>
            </w:r>
          </w:p>
        </w:tc>
        <w:tc>
          <w:tcPr>
            <w:tcW w:w="0" w:type="auto"/>
            <w:hideMark/>
          </w:tcPr>
          <w:p w14:paraId="69F924FB"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Engagement is multidimensional and extends beyond transactional purchasing behaviour.</w:t>
            </w:r>
          </w:p>
        </w:tc>
        <w:tc>
          <w:tcPr>
            <w:tcW w:w="0" w:type="auto"/>
            <w:hideMark/>
          </w:tcPr>
          <w:p w14:paraId="160CA63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Literature synthesis cannot independently establish causal relationships.</w:t>
            </w:r>
          </w:p>
        </w:tc>
        <w:tc>
          <w:tcPr>
            <w:tcW w:w="0" w:type="auto"/>
            <w:hideMark/>
          </w:tcPr>
          <w:p w14:paraId="7E51A7E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Provides the conceptual basis for </w:t>
            </w:r>
            <w:r w:rsidRPr="000C307D">
              <w:rPr>
                <w:rFonts w:eastAsia="Aptos" w:cs="Times New Roman"/>
                <w:b/>
                <w:bCs/>
                <w:kern w:val="2"/>
                <w:sz w:val="24"/>
                <w:lang w:val="en-GB"/>
                <w14:ligatures w14:val="standardContextual"/>
              </w:rPr>
              <w:t>consumer engagement</w:t>
            </w:r>
            <w:r w:rsidRPr="000C307D">
              <w:rPr>
                <w:rFonts w:eastAsia="Aptos" w:cs="Times New Roman"/>
                <w:kern w:val="2"/>
                <w:sz w:val="24"/>
                <w:lang w:val="en-GB"/>
                <w14:ligatures w14:val="standardContextual"/>
              </w:rPr>
              <w:t xml:space="preserve"> as the study's intermediate outcome.</w:t>
            </w:r>
          </w:p>
        </w:tc>
      </w:tr>
      <w:tr w:rsidR="000C307D" w:rsidRPr="000C307D" w14:paraId="3B23F758" w14:textId="77777777" w:rsidTr="000116AF">
        <w:tc>
          <w:tcPr>
            <w:tcW w:w="0" w:type="auto"/>
            <w:hideMark/>
          </w:tcPr>
          <w:p w14:paraId="1C305C53"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Osakwe et al. (2024)</w:t>
            </w:r>
          </w:p>
        </w:tc>
        <w:tc>
          <w:tcPr>
            <w:tcW w:w="0" w:type="auto"/>
            <w:hideMark/>
          </w:tcPr>
          <w:p w14:paraId="06529B8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Digital Customer Engagement</w:t>
            </w:r>
          </w:p>
        </w:tc>
        <w:tc>
          <w:tcPr>
            <w:tcW w:w="0" w:type="auto"/>
            <w:hideMark/>
          </w:tcPr>
          <w:p w14:paraId="2A25F09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Cognitive; affective; behavioural engagement</w:t>
            </w:r>
          </w:p>
        </w:tc>
        <w:tc>
          <w:tcPr>
            <w:tcW w:w="0" w:type="auto"/>
            <w:hideMark/>
          </w:tcPr>
          <w:p w14:paraId="0C8BF3E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Contemporary engagement research</w:t>
            </w:r>
          </w:p>
        </w:tc>
        <w:tc>
          <w:tcPr>
            <w:tcW w:w="0" w:type="auto"/>
            <w:hideMark/>
          </w:tcPr>
          <w:p w14:paraId="7018A1FB"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Digital engagement incorporates interconnected cognitive, affective and </w:t>
            </w:r>
            <w:r w:rsidRPr="000C307D">
              <w:rPr>
                <w:rFonts w:eastAsia="Aptos" w:cs="Times New Roman"/>
                <w:kern w:val="2"/>
                <w:sz w:val="24"/>
                <w:lang w:val="en-GB"/>
                <w14:ligatures w14:val="standardContextual"/>
              </w:rPr>
              <w:lastRenderedPageBreak/>
              <w:t>behavioural dimensions.</w:t>
            </w:r>
          </w:p>
        </w:tc>
        <w:tc>
          <w:tcPr>
            <w:tcW w:w="0" w:type="auto"/>
            <w:hideMark/>
          </w:tcPr>
          <w:p w14:paraId="7C0B1BCE"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lastRenderedPageBreak/>
              <w:t>Broader digital context rather than licensed anime fashion.</w:t>
            </w:r>
          </w:p>
        </w:tc>
        <w:tc>
          <w:tcPr>
            <w:tcW w:w="0" w:type="auto"/>
            <w:hideMark/>
          </w:tcPr>
          <w:p w14:paraId="5136B754"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Supports multidimensional understanding of engagement among </w:t>
            </w:r>
            <w:r w:rsidRPr="000C307D">
              <w:rPr>
                <w:rFonts w:eastAsia="Aptos" w:cs="Times New Roman"/>
                <w:kern w:val="2"/>
                <w:sz w:val="24"/>
                <w:lang w:val="en-GB"/>
                <w14:ligatures w14:val="standardContextual"/>
              </w:rPr>
              <w:lastRenderedPageBreak/>
              <w:t>digitally active Gen Z consumers.</w:t>
            </w:r>
          </w:p>
        </w:tc>
      </w:tr>
      <w:tr w:rsidR="000C307D" w:rsidRPr="000C307D" w14:paraId="484F7337" w14:textId="77777777" w:rsidTr="000116AF">
        <w:tc>
          <w:tcPr>
            <w:tcW w:w="0" w:type="auto"/>
            <w:hideMark/>
          </w:tcPr>
          <w:p w14:paraId="6DD4BF09"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lastRenderedPageBreak/>
              <w:t>Han and Jo (2025)</w:t>
            </w:r>
          </w:p>
        </w:tc>
        <w:tc>
          <w:tcPr>
            <w:tcW w:w="0" w:type="auto"/>
            <w:hideMark/>
          </w:tcPr>
          <w:p w14:paraId="15B1B4D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Consumer Engagement/Purchase Behaviour</w:t>
            </w:r>
          </w:p>
        </w:tc>
        <w:tc>
          <w:tcPr>
            <w:tcW w:w="0" w:type="auto"/>
            <w:hideMark/>
          </w:tcPr>
          <w:p w14:paraId="5D730CE5"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Engagement; fashion consumption; purchase intention</w:t>
            </w:r>
          </w:p>
        </w:tc>
        <w:tc>
          <w:tcPr>
            <w:tcW w:w="0" w:type="auto"/>
            <w:hideMark/>
          </w:tcPr>
          <w:p w14:paraId="21C28BE7"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Empirical fashion live-commerce study</w:t>
            </w:r>
          </w:p>
        </w:tc>
        <w:tc>
          <w:tcPr>
            <w:tcW w:w="0" w:type="auto"/>
            <w:hideMark/>
          </w:tcPr>
          <w:p w14:paraId="3F7DE72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Engagement drivers can contribute positively to consumers' purchase intentions.</w:t>
            </w:r>
          </w:p>
        </w:tc>
        <w:tc>
          <w:tcPr>
            <w:tcW w:w="0" w:type="auto"/>
            <w:hideMark/>
          </w:tcPr>
          <w:p w14:paraId="5C1A5D0C"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Live commerce differs from fandom-based licensed fashion consumption.</w:t>
            </w:r>
          </w:p>
        </w:tc>
        <w:tc>
          <w:tcPr>
            <w:tcW w:w="0" w:type="auto"/>
            <w:hideMark/>
          </w:tcPr>
          <w:p w14:paraId="7A707BEF" w14:textId="77777777" w:rsidR="000C307D" w:rsidRPr="000C307D" w:rsidRDefault="000C307D" w:rsidP="000C307D">
            <w:pPr>
              <w:spacing w:after="160" w:line="240" w:lineRule="auto"/>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 xml:space="preserve">Provides empirical support for </w:t>
            </w:r>
            <w:r w:rsidRPr="000C307D">
              <w:rPr>
                <w:rFonts w:eastAsia="Aptos" w:cs="Times New Roman"/>
                <w:b/>
                <w:bCs/>
                <w:kern w:val="2"/>
                <w:sz w:val="24"/>
                <w:lang w:val="en-GB"/>
                <w14:ligatures w14:val="standardContextual"/>
              </w:rPr>
              <w:t>H4: consumer engagement → purchase intention</w:t>
            </w:r>
            <w:r w:rsidRPr="000C307D">
              <w:rPr>
                <w:rFonts w:eastAsia="Aptos" w:cs="Times New Roman"/>
                <w:kern w:val="2"/>
                <w:sz w:val="24"/>
                <w:lang w:val="en-GB"/>
                <w14:ligatures w14:val="standardContextual"/>
              </w:rPr>
              <w:t>.</w:t>
            </w:r>
          </w:p>
        </w:tc>
      </w:tr>
    </w:tbl>
    <w:p w14:paraId="2B03D455" w14:textId="77777777" w:rsidR="000C307D" w:rsidRPr="000C307D" w:rsidRDefault="000C307D" w:rsidP="000C307D">
      <w:pPr>
        <w:spacing w:after="160"/>
        <w:rPr>
          <w:rFonts w:eastAsia="Aptos" w:cs="Times New Roman"/>
          <w:kern w:val="2"/>
          <w:lang w:val="en-GB"/>
          <w14:ligatures w14:val="standardContextual"/>
        </w:rPr>
        <w:sectPr w:rsidR="000C307D" w:rsidRPr="000C307D" w:rsidSect="000C307D">
          <w:pgSz w:w="15840" w:h="12240"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CF58211"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2" w:name="_Toc241176375"/>
      <w:r w:rsidRPr="000C307D">
        <w:rPr>
          <w:rFonts w:eastAsia="Times New Roman" w:cs="Times New Roman"/>
          <w:b/>
          <w:color w:val="000000"/>
          <w:kern w:val="2"/>
          <w:sz w:val="28"/>
          <w:szCs w:val="32"/>
          <w:lang w:val="en-GB"/>
          <w14:ligatures w14:val="standardContextual"/>
        </w:rPr>
        <w:lastRenderedPageBreak/>
        <w:t>Conclusion</w:t>
      </w:r>
      <w:bookmarkEnd w:id="32"/>
    </w:p>
    <w:p w14:paraId="018BA11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critically synthesised four related themes: perceived authenticity, brand–anime fit, anime involvement, and consumer engagement and purchase intention. Authenticity, symbolic compatibility and fandom involvement have been suggested as ways of enhancing consumer response to products, with inconclusive results and varying results across cultural, geographical and methodological contexts. However, limited evidence examines these relationships simultaneously among UK Generation Z consumers within anime–fashion collaborations. The gaps are addressed by applying the Brand Alliance Theory supported by the Brand Extension Theory, which describes partner compatibility, association transfer and collaborative evaluations. The conceptual framework created is a coherent structure that incorporates the identified constructs and hypothesized relationships. Chapter 3 then outlines the methodological strategy employed to operationalise the constructs, gather primary consumer information and test the empirical relationships proposed.</w:t>
      </w:r>
    </w:p>
    <w:p w14:paraId="64AEC950" w14:textId="77777777" w:rsidR="000C307D" w:rsidRPr="000C307D" w:rsidRDefault="000C307D" w:rsidP="000C307D">
      <w:pPr>
        <w:spacing w:after="160"/>
        <w:rPr>
          <w:rFonts w:eastAsia="Aptos" w:cs="Times New Roman"/>
          <w:kern w:val="2"/>
          <w:lang w:val="en-GB"/>
          <w14:ligatures w14:val="standardContextual"/>
        </w:rPr>
      </w:pPr>
    </w:p>
    <w:p w14:paraId="206DEE7D" w14:textId="77777777" w:rsidR="000C307D" w:rsidRPr="000C307D" w:rsidRDefault="000C307D" w:rsidP="000C307D">
      <w:pPr>
        <w:spacing w:after="160"/>
        <w:rPr>
          <w:rFonts w:eastAsia="Aptos" w:cs="Times New Roman"/>
          <w:kern w:val="2"/>
          <w:lang w:val="en-GB"/>
          <w14:ligatures w14:val="standardContextual"/>
        </w:rPr>
      </w:pPr>
    </w:p>
    <w:p w14:paraId="3462E9FB" w14:textId="77777777" w:rsidR="000C307D" w:rsidRPr="000C307D" w:rsidRDefault="000C307D" w:rsidP="000C307D">
      <w:pPr>
        <w:spacing w:after="160"/>
        <w:rPr>
          <w:rFonts w:eastAsia="Aptos" w:cs="Times New Roman"/>
          <w:kern w:val="2"/>
          <w:lang w:val="en-GB"/>
          <w14:ligatures w14:val="standardContextual"/>
        </w:rPr>
      </w:pPr>
    </w:p>
    <w:p w14:paraId="51B72157" w14:textId="77777777" w:rsidR="000C307D" w:rsidRPr="000C307D" w:rsidRDefault="000C307D" w:rsidP="000C307D">
      <w:pPr>
        <w:spacing w:after="160"/>
        <w:rPr>
          <w:rFonts w:eastAsia="Aptos" w:cs="Times New Roman"/>
          <w:kern w:val="2"/>
          <w:lang w:val="en-GB"/>
          <w14:ligatures w14:val="standardContextual"/>
        </w:rPr>
      </w:pPr>
    </w:p>
    <w:p w14:paraId="7986FAAB" w14:textId="77777777" w:rsidR="000C307D" w:rsidRPr="000C307D" w:rsidRDefault="000C307D" w:rsidP="000C307D">
      <w:pPr>
        <w:spacing w:after="160"/>
        <w:rPr>
          <w:rFonts w:eastAsia="Aptos" w:cs="Times New Roman"/>
          <w:kern w:val="2"/>
          <w:lang w:val="en-GB"/>
          <w14:ligatures w14:val="standardContextual"/>
        </w:rPr>
      </w:pPr>
    </w:p>
    <w:p w14:paraId="4A4B59D2" w14:textId="77777777" w:rsidR="000C307D" w:rsidRPr="000C307D" w:rsidRDefault="000C307D" w:rsidP="000C307D">
      <w:pPr>
        <w:spacing w:after="160"/>
        <w:rPr>
          <w:rFonts w:eastAsia="Aptos" w:cs="Times New Roman"/>
          <w:kern w:val="2"/>
          <w:lang w:val="en-GB"/>
          <w14:ligatures w14:val="standardContextual"/>
        </w:rPr>
      </w:pPr>
    </w:p>
    <w:p w14:paraId="47C1B61D" w14:textId="77777777" w:rsidR="000C307D" w:rsidRPr="000C307D" w:rsidRDefault="000C307D" w:rsidP="000C307D">
      <w:pPr>
        <w:spacing w:after="160"/>
        <w:rPr>
          <w:rFonts w:eastAsia="Aptos" w:cs="Times New Roman"/>
          <w:kern w:val="2"/>
          <w:lang w:val="en-GB"/>
          <w14:ligatures w14:val="standardContextual"/>
        </w:rPr>
      </w:pPr>
    </w:p>
    <w:p w14:paraId="6D7454CB" w14:textId="77777777" w:rsidR="000C307D" w:rsidRPr="000C307D" w:rsidRDefault="000C307D" w:rsidP="000C307D">
      <w:pPr>
        <w:spacing w:after="160"/>
        <w:rPr>
          <w:rFonts w:eastAsia="Aptos" w:cs="Times New Roman"/>
          <w:kern w:val="2"/>
          <w:lang w:val="en-GB"/>
          <w14:ligatures w14:val="standardContextual"/>
        </w:rPr>
      </w:pPr>
    </w:p>
    <w:p w14:paraId="22E5DCEB" w14:textId="77777777" w:rsidR="000C307D" w:rsidRPr="000C307D" w:rsidRDefault="000C307D" w:rsidP="000C307D">
      <w:pPr>
        <w:spacing w:after="160"/>
        <w:rPr>
          <w:rFonts w:eastAsia="Aptos" w:cs="Times New Roman"/>
          <w:kern w:val="2"/>
          <w:lang w:val="en-GB"/>
          <w14:ligatures w14:val="standardContextual"/>
        </w:rPr>
      </w:pPr>
    </w:p>
    <w:p w14:paraId="6758EFDF" w14:textId="77777777" w:rsidR="000C307D" w:rsidRPr="000C307D" w:rsidRDefault="000C307D" w:rsidP="000C307D">
      <w:pPr>
        <w:spacing w:after="160"/>
        <w:rPr>
          <w:rFonts w:eastAsia="Aptos" w:cs="Times New Roman"/>
          <w:kern w:val="2"/>
          <w:lang w:val="en-GB"/>
          <w14:ligatures w14:val="standardContextual"/>
        </w:rPr>
      </w:pPr>
    </w:p>
    <w:p w14:paraId="59F7294F" w14:textId="77777777" w:rsidR="000C307D" w:rsidRPr="000C307D" w:rsidRDefault="000C307D" w:rsidP="000C307D">
      <w:pPr>
        <w:spacing w:after="160"/>
        <w:rPr>
          <w:rFonts w:eastAsia="Aptos" w:cs="Times New Roman"/>
          <w:kern w:val="2"/>
          <w:lang w:val="en-GB"/>
          <w14:ligatures w14:val="standardContextual"/>
        </w:rPr>
      </w:pPr>
    </w:p>
    <w:p w14:paraId="79F899BB" w14:textId="77777777" w:rsidR="000C307D" w:rsidRPr="000C307D" w:rsidRDefault="000C307D" w:rsidP="000C307D">
      <w:pPr>
        <w:spacing w:after="160"/>
        <w:rPr>
          <w:rFonts w:eastAsia="Aptos" w:cs="Times New Roman"/>
          <w:kern w:val="2"/>
          <w:lang w:val="en-GB"/>
          <w14:ligatures w14:val="standardContextual"/>
        </w:rPr>
      </w:pPr>
    </w:p>
    <w:p w14:paraId="512E9990"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33" w:name="_Toc241176376"/>
      <w:r w:rsidRPr="000C307D">
        <w:rPr>
          <w:rFonts w:eastAsia="Times New Roman" w:cs="Times New Roman"/>
          <w:b/>
          <w:color w:val="000000"/>
          <w:kern w:val="2"/>
          <w:sz w:val="32"/>
          <w:szCs w:val="40"/>
          <w:lang w:val="en-GB"/>
          <w14:ligatures w14:val="standardContextual"/>
        </w:rPr>
        <w:lastRenderedPageBreak/>
        <w:t>Chapter Three: Methodology</w:t>
      </w:r>
      <w:bookmarkEnd w:id="33"/>
    </w:p>
    <w:p w14:paraId="03C60242"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4" w:name="_Toc241176377"/>
      <w:r w:rsidRPr="000C307D">
        <w:rPr>
          <w:rFonts w:eastAsia="Times New Roman" w:cs="Times New Roman"/>
          <w:b/>
          <w:color w:val="000000"/>
          <w:kern w:val="2"/>
          <w:sz w:val="28"/>
          <w:szCs w:val="32"/>
          <w:lang w:val="en-GB"/>
          <w14:ligatures w14:val="standardContextual"/>
        </w:rPr>
        <w:t>Chapter Introduction</w:t>
      </w:r>
      <w:bookmarkEnd w:id="34"/>
    </w:p>
    <w:p w14:paraId="5E51426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explains and justifies the methodological choices used to examine the influence of anime–fashion collaborations on consumer engagement and purchase intention among UK Generation Z consumers. The methodology is structured using the Research Onion to ensure consistency between the research philosophy, approach, strategy, methodological choice, time horizon, sampling, data collection and analysis. Attention is given to selecting methods that allow the four hypotheses developed in Chapter Two to be tested empirically. The chapter also explains the questionnaire design, measurement of perceived authenticity, brand–anime fit, anime involvement, consumer engagement and purchase intention, reliability and validity procedures, statistical analysis and ethical considerations.</w:t>
      </w:r>
    </w:p>
    <w:p w14:paraId="6E6CDACE"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5" w:name="_Toc241176378"/>
      <w:r w:rsidRPr="000C307D">
        <w:rPr>
          <w:rFonts w:eastAsia="Times New Roman" w:cs="Times New Roman"/>
          <w:b/>
          <w:color w:val="000000"/>
          <w:kern w:val="2"/>
          <w:sz w:val="28"/>
          <w:szCs w:val="32"/>
          <w:lang w:val="en-GB"/>
          <w14:ligatures w14:val="standardContextual"/>
        </w:rPr>
        <w:t>Research Philosophy</w:t>
      </w:r>
      <w:bookmarkEnd w:id="35"/>
    </w:p>
    <w:p w14:paraId="611300E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study adopts a positivist research philosophy because it aims to measure predefined constructs and statistically test the relationships proposed in the conceptual framework. Positivism can be linked to the hypothetico-deductive tradition which involves operationalizing theoretical propositions into measurable variables and testing them with empirical evidence (Park, Konge and Artino, 2020). This directly relates to the present study as perceived authenticity, brand–anime fit and anime involvement are explored as predictors of consumer engagement and consumer engagement is then explored as a predictor of purchase intention.</w:t>
      </w:r>
    </w:p>
    <w:p w14:paraId="31177A1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If the aim were to examine how individual anime fans make meaning about collaborations from their interviews, observations or narratives, a more appropriate philosophy would be interpretivist. However, this approach would not provide the standardised numerical evidence required to test H1–H4. Nevertheless, the study does not assume that consumer behaviour is universally constant; rather, it tests the hypothesised relationships within the specific context of UK Generation Z consumers.</w:t>
      </w:r>
    </w:p>
    <w:p w14:paraId="6CB4613B"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6" w:name="_Toc241176379"/>
      <w:r w:rsidRPr="000C307D">
        <w:rPr>
          <w:rFonts w:eastAsia="Times New Roman" w:cs="Times New Roman"/>
          <w:b/>
          <w:color w:val="000000"/>
          <w:kern w:val="2"/>
          <w:sz w:val="28"/>
          <w:szCs w:val="32"/>
          <w:lang w:val="en-GB"/>
          <w14:ligatures w14:val="standardContextual"/>
        </w:rPr>
        <w:lastRenderedPageBreak/>
        <w:t>Research Approach</w:t>
      </w:r>
      <w:bookmarkEnd w:id="36"/>
    </w:p>
    <w:p w14:paraId="5F03053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study adopts a deductive research approach because it begins with established theoretical propositions from which hypotheses are developed and subsequently tested using empirical data. Deduction starts with a theory or proposition and then proceeds to gather observations to confirm whether the relationships predicted by the theory are supported (Okoli, 2023). In this study, expectations concerning perceived compatibility and transferred brand associations are derived from Brand Alliance Theory and Brand Extension Theory (Aaker and Keller, 1990; Park, Milberg and Lawson, 1991; Simonin and Ruth, 1998). In Chapter Two, this argument is further developed by including perceived authenticity and involvement with anime, leading to the formulation of four hypotheses related to consumer engagement and purchase intention.</w:t>
      </w:r>
    </w:p>
    <w:p w14:paraId="11EB5D9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An inductive approach is not adopted because the study does not seek to generate new theory from unstructured empirical observations. In contrast, the principal constructs and their hypothesised relationships are specified before data collection. Deduction thus ensures that theoretical frameworks are consistent with the measures (questionnaire) used and the statistical analysis of the hypotheses (Casula, Rangarajan and Shields, 2021).</w:t>
      </w:r>
    </w:p>
    <w:p w14:paraId="0D72C240"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7" w:name="_Toc241176380"/>
      <w:r w:rsidRPr="000C307D">
        <w:rPr>
          <w:rFonts w:eastAsia="Times New Roman" w:cs="Times New Roman"/>
          <w:b/>
          <w:color w:val="000000"/>
          <w:kern w:val="2"/>
          <w:sz w:val="28"/>
          <w:szCs w:val="32"/>
          <w:lang w:val="en-GB"/>
          <w14:ligatures w14:val="standardContextual"/>
        </w:rPr>
        <w:t>Research Strategy</w:t>
      </w:r>
      <w:bookmarkEnd w:id="37"/>
    </w:p>
    <w:p w14:paraId="0692DAE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survey strategy is used to collect standardised primary data from the consumers in the UK who are part of Generation Z. Survey research is suitable to gather quantitative data on people's attitudes, perceptions and behaviours, and to systematically analyse the data received from the sample (Sheikh et al., 2024). This is particularly appropriate because constructs such as perceived authenticity, brand–anime fit, anime involvement, consumer engagement and purchase intention represent consumer perceptions and intentions that cannot be directly observed. Surveys can also capture less directly observable constructs, including beliefs, perceptions and attitudes (Koo and Yang, 2025</w:t>
      </w:r>
      <w:r w:rsidRPr="000C307D">
        <w:rPr>
          <w:rFonts w:eastAsia="Aptos" w:cs="Times New Roman"/>
          <w:kern w:val="2"/>
          <w14:ligatures w14:val="standardContextual"/>
        </w:rPr>
        <w:t>a</w:t>
      </w:r>
      <w:r w:rsidRPr="000C307D">
        <w:rPr>
          <w:rFonts w:eastAsia="Aptos" w:cs="Times New Roman"/>
          <w:kern w:val="2"/>
          <w:lang w:val="en-GB"/>
          <w14:ligatures w14:val="standardContextual"/>
        </w:rPr>
        <w:t>).</w:t>
      </w:r>
    </w:p>
    <w:p w14:paraId="4AE4BEF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 structured online survey also enables the presentation of the same measurement items and scales of responses to participants, ensuring comparability of the respondents and </w:t>
      </w:r>
      <w:r w:rsidRPr="000C307D">
        <w:rPr>
          <w:rFonts w:eastAsia="Aptos" w:cs="Times New Roman"/>
          <w:kern w:val="2"/>
          <w:lang w:val="en-GB"/>
          <w14:ligatures w14:val="standardContextual"/>
        </w:rPr>
        <w:lastRenderedPageBreak/>
        <w:t>facilitating further statistical analyses. Qualitative methods such as interviews or focus groups could provide richer insights into how fans interpret individual collaborations but would also be less suitable for the purpose of estimating the strength and statistical significance of the relationships outlined in H1–H4 (Guest et al., 2020). The present study focuses on the consumers' perceptions, although experimental studies could offer greater evidence of causality by manipulating consumers' exposure to collaborations. The survey strategy thus best aligns with the positivist, deductive and hypothesis-testing purpose of this study, but even so, the conclusions that can be drawn from the results are restricted to the association between variables (Sheikh et al., 2024).</w:t>
      </w:r>
    </w:p>
    <w:p w14:paraId="447EC48D"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8" w:name="_Toc241176381"/>
      <w:r w:rsidRPr="000C307D">
        <w:rPr>
          <w:rFonts w:eastAsia="Times New Roman" w:cs="Times New Roman"/>
          <w:b/>
          <w:color w:val="000000"/>
          <w:kern w:val="2"/>
          <w:sz w:val="28"/>
          <w:szCs w:val="32"/>
          <w:lang w:val="en-GB"/>
          <w14:ligatures w14:val="standardContextual"/>
        </w:rPr>
        <w:t>Methodological Choice</w:t>
      </w:r>
      <w:bookmarkEnd w:id="38"/>
    </w:p>
    <w:p w14:paraId="4E471F4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Based on the nature of the hypotheses, a mono-method quantitative approach is used since all four hypotheses need to be numerically evaluated to assess the relationship between the predetermined constructs (</w:t>
      </w:r>
      <w:proofErr w:type="spellStart"/>
      <w:r w:rsidRPr="000C307D">
        <w:rPr>
          <w:rFonts w:eastAsia="Aptos" w:cs="Times New Roman"/>
          <w:kern w:val="2"/>
          <w:lang w:val="en-GB"/>
          <w14:ligatures w14:val="standardContextual"/>
        </w:rPr>
        <w:t>Ghanad</w:t>
      </w:r>
      <w:proofErr w:type="spellEnd"/>
      <w:r w:rsidRPr="000C307D">
        <w:rPr>
          <w:rFonts w:eastAsia="Aptos" w:cs="Times New Roman"/>
          <w:kern w:val="2"/>
          <w:lang w:val="en-GB"/>
          <w14:ligatures w14:val="standardContextual"/>
        </w:rPr>
        <w:t>, 2023). Using a single structured questionnaire enables perceived authenticity, brand–anime fit, anime involvement, consumer engagement and purchase intention to be measured consistently across participants. These relationships would be supplemented with detailed accounts of fandom experiences in a mixed-method design; however, these are not necessary to address the present hypothesis-testing questions and would involve an additional analytical process. Therefore, the mono-method quantitative choice is consistent with the positivist philosophy, deductive approach, survey strategy and planned statistical analysis (</w:t>
      </w:r>
      <w:proofErr w:type="spellStart"/>
      <w:r w:rsidRPr="000C307D">
        <w:rPr>
          <w:rFonts w:eastAsia="Aptos" w:cs="Times New Roman"/>
          <w:kern w:val="2"/>
          <w:lang w:val="en-GB"/>
          <w14:ligatures w14:val="standardContextual"/>
        </w:rPr>
        <w:t>Nicmanis</w:t>
      </w:r>
      <w:proofErr w:type="spellEnd"/>
      <w:r w:rsidRPr="000C307D">
        <w:rPr>
          <w:rFonts w:eastAsia="Aptos" w:cs="Times New Roman"/>
          <w:kern w:val="2"/>
          <w:lang w:val="en-GB"/>
          <w14:ligatures w14:val="standardContextual"/>
        </w:rPr>
        <w:t xml:space="preserve"> and Spurrier, 2025).</w:t>
      </w:r>
    </w:p>
    <w:p w14:paraId="1986C5C6"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39" w:name="_Toc241176382"/>
      <w:r w:rsidRPr="000C307D">
        <w:rPr>
          <w:rFonts w:eastAsia="Times New Roman" w:cs="Times New Roman"/>
          <w:b/>
          <w:color w:val="000000"/>
          <w:kern w:val="2"/>
          <w:sz w:val="28"/>
          <w:szCs w:val="32"/>
          <w:lang w:val="en-GB"/>
          <w14:ligatures w14:val="standardContextual"/>
        </w:rPr>
        <w:t>Time Horizon</w:t>
      </w:r>
      <w:bookmarkEnd w:id="39"/>
    </w:p>
    <w:p w14:paraId="625E098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study adopts a cross-sectional time horizon, with data collected from respondents during a single period. Cross-sectional designs can be used to capture participants' perceptions at a given time and can explore the relationship between multiple variables at one time (Taris, Kessler and Kelloway 2021). This design is therefore appropriate for examining current perceptions of anime–fashion collaborations among UK Generation Z consumers. A longitudinal design may be able to determine if engagement changes after multiple exposures to collaboration but would involve observations over multiple periods of time and be beyond the scope of this dissertation. Cross-sectional evidence therefore </w:t>
      </w:r>
      <w:r w:rsidRPr="000C307D">
        <w:rPr>
          <w:rFonts w:eastAsia="Aptos" w:cs="Times New Roman"/>
          <w:kern w:val="2"/>
          <w:lang w:val="en-GB"/>
          <w14:ligatures w14:val="standardContextual"/>
        </w:rPr>
        <w:lastRenderedPageBreak/>
        <w:t>only supports associations and not changes over time and definitive causal conclusions (Wang and Cheng, 2020).</w:t>
      </w:r>
    </w:p>
    <w:p w14:paraId="4C9F8C21" w14:textId="77777777" w:rsidR="000C307D" w:rsidRPr="000C307D" w:rsidRDefault="000C307D" w:rsidP="000C307D">
      <w:pPr>
        <w:spacing w:after="160"/>
        <w:rPr>
          <w:rFonts w:eastAsia="Aptos" w:cs="Times New Roman"/>
          <w:b/>
          <w:bCs/>
          <w:kern w:val="2"/>
          <w:lang w:val="en-GB"/>
          <w14:ligatures w14:val="standardContextual"/>
        </w:rPr>
      </w:pPr>
      <w:r w:rsidRPr="000C307D">
        <w:rPr>
          <w:rFonts w:eastAsia="Aptos" w:cs="Times New Roman"/>
          <w:b/>
          <w:bCs/>
          <w:kern w:val="2"/>
          <w:lang w:val="en-GB"/>
          <w14:ligatures w14:val="standardContextual"/>
        </w:rPr>
        <w:t>Research Design</w:t>
      </w:r>
    </w:p>
    <w:p w14:paraId="1FCFA7E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An explanatory quantitative research design is adopted because the study seeks to examine relationships between the specified constructs rather than merely describe consumers’ attitudes towards anime–fashion collaborations (Thomas and Zubkov, 2023). H1–H3 test whether perceived authenticity, brand–anime fit and anime involvement predict consumer engagement, while H4 tests whether consumer engagement predicts purchase intention. The constructs and the development of a set of theoretically based hypotheses was provided in Chapter Two and an exploratory design would not be appropriate in this case because the variables or relationships under investigation were not sufficiently established. The explanatory design thus offers greater consistency to the deductive logic of the study. However, because the research is cross-sectional and non-experimental, relationships between the variables will be interpreted as predictive associations rather than causal effects (Wang and Cheng 2020).</w:t>
      </w:r>
    </w:p>
    <w:p w14:paraId="7C69218E"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0" w:name="_Toc241176383"/>
      <w:r w:rsidRPr="000C307D">
        <w:rPr>
          <w:rFonts w:eastAsia="Times New Roman" w:cs="Times New Roman"/>
          <w:b/>
          <w:color w:val="000000"/>
          <w:kern w:val="2"/>
          <w:sz w:val="28"/>
          <w:szCs w:val="32"/>
          <w:lang w:val="en-GB"/>
          <w14:ligatures w14:val="standardContextual"/>
        </w:rPr>
        <w:t>Research Population</w:t>
      </w:r>
      <w:bookmarkEnd w:id="40"/>
    </w:p>
    <w:p w14:paraId="6839403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target population comprises UK-resident Generation Z consumers aged 18–29 who have prior awareness or experience of anime and anime–fashion collaborations. This age range focuses the research on adult Gen Z consumers while excluding minors from participation. Generation Z is particularly relevant because fashion consumption within this cohort is strongly connected with digital discovery, identity expression and culturally meaningful consumption (Peng, 2023). Participants must also have encountered anime–fashion collaborations, since evaluating collaboration authenticity, brand–anime fit and engagement requires familiarity with such products or campaigns. Eligibility will therefore be confirmed through screening questions covering age, UK residence, anime awareness and awareness of anime–fashion collaborations.</w:t>
      </w:r>
    </w:p>
    <w:p w14:paraId="77617317"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1" w:name="_Toc241176384"/>
      <w:r w:rsidRPr="000C307D">
        <w:rPr>
          <w:rFonts w:eastAsia="Times New Roman" w:cs="Times New Roman"/>
          <w:b/>
          <w:color w:val="000000"/>
          <w:kern w:val="2"/>
          <w:sz w:val="28"/>
          <w:szCs w:val="32"/>
          <w:lang w:val="en-GB"/>
          <w14:ligatures w14:val="standardContextual"/>
        </w:rPr>
        <w:t>Sampling Technique</w:t>
      </w:r>
      <w:bookmarkEnd w:id="41"/>
    </w:p>
    <w:p w14:paraId="708935E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study uses non-probability convenience sampling combined with eligibility screening. Respondents who satisfy the eligibility criteria will be recruited through accessible online </w:t>
      </w:r>
      <w:r w:rsidRPr="000C307D">
        <w:rPr>
          <w:rFonts w:eastAsia="Aptos" w:cs="Times New Roman"/>
          <w:kern w:val="2"/>
          <w:lang w:val="en-GB"/>
          <w14:ligatures w14:val="standardContextual"/>
        </w:rPr>
        <w:lastRenderedPageBreak/>
        <w:t>platforms and relevant social-media communities. Convenience sampling is useful when a complete sampling frame is not available for the target population; however, selection bias may occur and there may be a limitation in terms of generalisations at the population level as those who are accessible may systematically differ from other UK Gen Z consumers (Golzar, Tajik and Noor, 2022). Probability sampling is not considered appropriate because no comprehensive sampling frame exists from which UK Gen Z consumers familiar with anime–fashion collaborations can be randomly selected. Eligibility screening enhances the relevance of the sample but does not make the sample a probability one. The results will therefore be considered representative of the sample population and not as national estimates.</w:t>
      </w:r>
    </w:p>
    <w:p w14:paraId="5AE51B1B"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2" w:name="_Toc241176385"/>
      <w:r w:rsidRPr="000C307D">
        <w:rPr>
          <w:rFonts w:eastAsia="Times New Roman" w:cs="Times New Roman"/>
          <w:b/>
          <w:color w:val="000000"/>
          <w:kern w:val="2"/>
          <w:sz w:val="28"/>
          <w:szCs w:val="32"/>
          <w:lang w:val="en-GB"/>
          <w14:ligatures w14:val="standardContextual"/>
        </w:rPr>
        <w:t>Sample Size Justification</w:t>
      </w:r>
      <w:bookmarkEnd w:id="42"/>
    </w:p>
    <w:p w14:paraId="224DCC5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study targets approximately 150 valid responses. This target offers a reasonable amount of data for descriptive analysis, reliability testing, data correlations and the regression models used for H1 – H4 and is attainable during the recruitment time for the dissertation. Hypothesis testing will involve two regression models: the first model adopts the three predictors (perceived authenticity, brand–anime fit and anime involvement) and consumer engagement as the outcome variable, while the second model adopts consumer engagement as the predictor and purchase intention as the outcome variable. Seabrook (2025) highlight that with multiple regression, the sample size should be based on the number of predictors and type of analysis, and not just some conventions of sample size. The proposed target hence reflects the analytical needs of the model as well as practical limitations for recruitment but also recognizes the fact that a sample of this size is not necessarily nationally representative.</w:t>
      </w:r>
    </w:p>
    <w:p w14:paraId="1DA46D1D"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3" w:name="_Toc241176386"/>
      <w:r w:rsidRPr="000C307D">
        <w:rPr>
          <w:rFonts w:eastAsia="Times New Roman" w:cs="Times New Roman"/>
          <w:b/>
          <w:color w:val="000000"/>
          <w:kern w:val="2"/>
          <w:sz w:val="28"/>
          <w:szCs w:val="32"/>
          <w:lang w:val="en-GB"/>
          <w14:ligatures w14:val="standardContextual"/>
        </w:rPr>
        <w:t>Questionnaire Design and Measurement of Variables</w:t>
      </w:r>
      <w:bookmarkEnd w:id="43"/>
    </w:p>
    <w:p w14:paraId="47FAA6A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 structured self-administered online questionnaire will be used to gather primary data. After the eligibility and demographic questions, the instrument will include five constructs: perceived authenticity, brand–anime fit, anime involvement, consumer engagement and purchase intention. Multiple-item measures will be adapted from established literature rather than relying on single-item measures for complex consumer perceptions. Perceived-authenticity items will assess the extent to which respondents regard the </w:t>
      </w:r>
      <w:r w:rsidRPr="000C307D">
        <w:rPr>
          <w:rFonts w:eastAsia="Aptos" w:cs="Times New Roman"/>
          <w:kern w:val="2"/>
          <w:lang w:val="en-GB"/>
          <w14:ligatures w14:val="standardContextual"/>
        </w:rPr>
        <w:lastRenderedPageBreak/>
        <w:t>collaboration as genuine, credible and authentic and will be based on the authenticity literature (Södergren, 2021; Sun et al., 2024). Brand—anime fit will be based on brand extension and alliance research (Park, Milberg and Lawson, 1991; Simonin and Ruth, 1998) to determine compatibility of the brand and the anime, in terms of perception. Anime involvement will be operationalized based on Liang and Yang (2022) and will be operationalized by measuring personal relevance, interest and attachment to anime.</w:t>
      </w:r>
    </w:p>
    <w:p w14:paraId="75D872E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Consumer engagement will be measured as a multidimensional construct encompassing cognitive, emotional and behavioural dimensions, while purchase intention will capture respondents’ willingness or likelihood to purchase anime–fashion collaborative products (Ng, Sweeney and Plewa, 2020). Items will have a five-point Likert-type agreement format ranging from 1 = Strongly Disagree to 5 = Strongly Agree, which is consistent across constructs. While the Likert-type scales are suitable for a broad range of latent perceptions and attitudes, they are not necessarily a best fit, and the construction of the scales and the response categories need to be carefully considered rather than applied mechanically (Koo and Yang, 2025</w:t>
      </w:r>
      <w:r w:rsidRPr="000C307D">
        <w:rPr>
          <w:rFonts w:eastAsia="Aptos" w:cs="Times New Roman"/>
          <w:kern w:val="2"/>
          <w14:ligatures w14:val="standardContextual"/>
        </w:rPr>
        <w:t>b</w:t>
      </w:r>
      <w:r w:rsidRPr="000C307D">
        <w:rPr>
          <w:rFonts w:eastAsia="Aptos" w:cs="Times New Roman"/>
          <w:kern w:val="2"/>
          <w:lang w:val="en-GB"/>
          <w14:ligatures w14:val="standardContextual"/>
        </w:rPr>
        <w:t>). Theoretically based multi-item measures will support consistency with Chapter Two and will offer the sets of items needed for subsequent reliability and construct-level statistical analyses.</w:t>
      </w:r>
    </w:p>
    <w:p w14:paraId="0BBD6CD4"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4" w:name="_Toc241176387"/>
      <w:r w:rsidRPr="000C307D">
        <w:rPr>
          <w:rFonts w:eastAsia="Times New Roman" w:cs="Times New Roman"/>
          <w:b/>
          <w:color w:val="000000"/>
          <w:kern w:val="2"/>
          <w:sz w:val="28"/>
          <w:szCs w:val="32"/>
          <w:lang w:val="en-GB"/>
          <w14:ligatures w14:val="standardContextual"/>
        </w:rPr>
        <w:t>Data Collection Procedure</w:t>
      </w:r>
      <w:bookmarkEnd w:id="44"/>
    </w:p>
    <w:p w14:paraId="7D04B13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Primary data will be gathered by a self-administered online questionnaire that will be made available via relevant online and social media platforms to target UK Generation Z consumers. Online administration is appropriate because the target population is digitally active and respondents can participate regardless of their location within the UK. Participants will receive information about the study and will be required to provide informed consent before accessing the main questionnaire. There will be screening questions to verify age, and UK residency and knowledge of anime–fashion collaborations. Responses will be collected anonymously and subsequently exported to IBM SPSS for data preparation and statistical analysis. The standardisation of data collection and lessened interviewer influence and data entry errors are benefits of this procedure.</w:t>
      </w:r>
    </w:p>
    <w:p w14:paraId="380E9D23"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5" w:name="_Toc241176388"/>
      <w:r w:rsidRPr="000C307D">
        <w:rPr>
          <w:rFonts w:eastAsia="Times New Roman" w:cs="Times New Roman"/>
          <w:b/>
          <w:color w:val="000000"/>
          <w:kern w:val="2"/>
          <w:sz w:val="28"/>
          <w:szCs w:val="32"/>
          <w:lang w:val="en-GB"/>
          <w14:ligatures w14:val="standardContextual"/>
        </w:rPr>
        <w:lastRenderedPageBreak/>
        <w:t>Reliability and Validity</w:t>
      </w:r>
      <w:bookmarkEnd w:id="45"/>
    </w:p>
    <w:p w14:paraId="23AF16C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Reliability and validity will be discussed prior to testing hypotheses. The internal consistency of the multi-item measures of perceived authenticity, brand–anime fit, anime involvement, consumer engagement and purchase intention will be evaluated using Cronbach's alpha. Cronbach’s alpha coefficients of 0.70 or above will generally be considered indicative of acceptable internal consistency (Hussey et al., 2025). The adaptation of measurement items from existing studies will increase the construct and content validity as compared to developing measures with no theoretical basis. The adapted questionnaire items will also be reviewed for clarity and relevance to the anime–fashion collaboration context. These procedures help to minimize any ambiguity in the measurement practices and at the same time help to keep consistency between the conceptual framework and the empirical operationalization.</w:t>
      </w:r>
    </w:p>
    <w:p w14:paraId="0F0928E2"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6" w:name="_Toc241176389"/>
      <w:r w:rsidRPr="000C307D">
        <w:rPr>
          <w:rFonts w:eastAsia="Times New Roman" w:cs="Times New Roman"/>
          <w:b/>
          <w:color w:val="000000"/>
          <w:kern w:val="2"/>
          <w:sz w:val="28"/>
          <w:szCs w:val="32"/>
          <w:lang w:val="en-GB"/>
          <w14:ligatures w14:val="standardContextual"/>
        </w:rPr>
        <w:t>Data Analysis Techniques</w:t>
      </w:r>
      <w:bookmarkEnd w:id="46"/>
    </w:p>
    <w:p w14:paraId="6D722B1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Data will be analysed using IBM SPSS Statistics. Initial screening will identify incomplete responses, coding errors and missing data before analysis. Frequencies and percentages will describe respondent characteristics, while means and standard deviations will summarise the study constructs. Cronbach's alpha will then assess scale reliability (Hussey et al., 2025). Pearson correlation analysis will examine the direction and strength of bivariate relationships between perceived authenticity, brand–anime fit, anime involvement, consumer engagement and purchase intention (Schober and Boer, 2018).</w:t>
      </w:r>
    </w:p>
    <w:p w14:paraId="4FECB62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Hypotheses will subsequently be tested through regression analysis. A multiple regression model will examine whether perceived authenticity, brand–anime fit and anime involvement significantly predict consumer engagement, thereby testing H1–H3 simultaneously (Sun et al., 2023). A second regression will examine whether consumer engagement predicts purchase intention, testing H4. Regression coefficients, p-values and coefficients of determination (R²) will be interpreted to assess the direction, statistical significance and explanatory power of the proposed relationships. Relevant assumptions, including linearity, normality of residuals, homoscedasticity and multicollinearity, will be examined before interpreting the regression results.</w:t>
      </w:r>
    </w:p>
    <w:p w14:paraId="4715B07E"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7" w:name="_Toc241176390"/>
      <w:r w:rsidRPr="000C307D">
        <w:rPr>
          <w:rFonts w:eastAsia="Times New Roman" w:cs="Times New Roman"/>
          <w:b/>
          <w:color w:val="000000"/>
          <w:kern w:val="2"/>
          <w:sz w:val="28"/>
          <w:szCs w:val="32"/>
          <w:lang w:val="en-GB"/>
          <w14:ligatures w14:val="standardContextual"/>
        </w:rPr>
        <w:lastRenderedPageBreak/>
        <w:t>Ethical Considerations</w:t>
      </w:r>
      <w:bookmarkEnd w:id="47"/>
    </w:p>
    <w:p w14:paraId="2620AAF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Data collection will begin once all necessary University ethical approval is granted. Participants will receive information explaining the purpose of the study, participation requirements, intended use of the data and their right to withdraw before submitting the questionnaire. Prior to accessing the questionnaire informed consent will be obtained. Only information that is necessary for the project will be sought, and confidentiality of the answers and security of storage will be maintained. Only adults (18 years and older) will be allowed to participate. Data collection, storage and processing will be in line with relevant institutional requirements and the principles of the GDPR in the UK, which includes data minimisation and only using research data for the stated academic purpose (Government Digital Service, 2011).</w:t>
      </w:r>
    </w:p>
    <w:p w14:paraId="4E4A98DF"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48" w:name="_Toc241176391"/>
      <w:r w:rsidRPr="000C307D">
        <w:rPr>
          <w:rFonts w:eastAsia="Times New Roman" w:cs="Times New Roman"/>
          <w:b/>
          <w:color w:val="000000"/>
          <w:kern w:val="2"/>
          <w:sz w:val="28"/>
          <w:szCs w:val="32"/>
          <w:lang w:val="en-GB"/>
          <w14:ligatures w14:val="standardContextual"/>
        </w:rPr>
        <w:t>Chapter Summary</w:t>
      </w:r>
      <w:bookmarkEnd w:id="48"/>
    </w:p>
    <w:p w14:paraId="1ED77B2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presented the methodological framework used to examine UK Generation Z consumers’ responses to anime–fashion collaborations. The study adopted a positivist, deductive, quantitative and cross-sectional design, using a mono-method online survey and non-probability sampling. The chapter also defined the procedure of measuring the five constructs of the study, considering reliability and validity and collecting the data as well as analysing the responses with descriptive statistics, correlation and regression. These methodological choices provide the basis for systematically testing H1–H4. The findings of the empirical data gathered from the questionnaires are presented in the following chapter.</w:t>
      </w:r>
    </w:p>
    <w:p w14:paraId="4B9B6BD7" w14:textId="77777777" w:rsidR="000C307D" w:rsidRPr="000C307D" w:rsidRDefault="000C307D" w:rsidP="000C307D">
      <w:pPr>
        <w:spacing w:after="160"/>
        <w:rPr>
          <w:rFonts w:eastAsia="Aptos" w:cs="Times New Roman"/>
          <w:kern w:val="2"/>
          <w:lang w:val="en-GB"/>
          <w14:ligatures w14:val="standardContextual"/>
        </w:rPr>
      </w:pPr>
    </w:p>
    <w:p w14:paraId="2485028E" w14:textId="77777777" w:rsidR="000C307D" w:rsidRPr="000C307D" w:rsidRDefault="000C307D" w:rsidP="000C307D">
      <w:pPr>
        <w:spacing w:after="160"/>
        <w:rPr>
          <w:rFonts w:eastAsia="Aptos" w:cs="Times New Roman"/>
          <w:kern w:val="2"/>
          <w:lang w:val="en-GB"/>
          <w14:ligatures w14:val="standardContextual"/>
        </w:rPr>
      </w:pPr>
    </w:p>
    <w:p w14:paraId="1DBFC732" w14:textId="77777777" w:rsidR="000C307D" w:rsidRPr="000C307D" w:rsidRDefault="000C307D" w:rsidP="000C307D">
      <w:pPr>
        <w:spacing w:after="160"/>
        <w:rPr>
          <w:rFonts w:eastAsia="Aptos" w:cs="Times New Roman"/>
          <w:kern w:val="2"/>
          <w:lang w:val="en-GB"/>
          <w14:ligatures w14:val="standardContextual"/>
        </w:rPr>
      </w:pPr>
    </w:p>
    <w:p w14:paraId="61499930" w14:textId="77777777" w:rsidR="000C307D" w:rsidRPr="000C307D" w:rsidRDefault="000C307D" w:rsidP="000C307D">
      <w:pPr>
        <w:spacing w:after="160"/>
        <w:rPr>
          <w:rFonts w:eastAsia="Aptos" w:cs="Times New Roman"/>
          <w:kern w:val="2"/>
          <w:lang w:val="en-GB"/>
          <w14:ligatures w14:val="standardContextual"/>
        </w:rPr>
      </w:pPr>
    </w:p>
    <w:p w14:paraId="5F869FFA"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49" w:name="_Toc241176392"/>
      <w:r w:rsidRPr="000C307D">
        <w:rPr>
          <w:rFonts w:eastAsia="Times New Roman" w:cs="Times New Roman"/>
          <w:b/>
          <w:color w:val="000000"/>
          <w:kern w:val="2"/>
          <w:sz w:val="32"/>
          <w:szCs w:val="40"/>
          <w:lang w:val="en-GB"/>
          <w14:ligatures w14:val="standardContextual"/>
        </w:rPr>
        <w:lastRenderedPageBreak/>
        <w:t>Chapter Four: Results and Analysis</w:t>
      </w:r>
      <w:bookmarkEnd w:id="49"/>
    </w:p>
    <w:p w14:paraId="4AB415FB"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50" w:name="_Toc241176393"/>
      <w:r w:rsidRPr="000C307D">
        <w:rPr>
          <w:rFonts w:eastAsia="Times New Roman" w:cs="Times New Roman"/>
          <w:b/>
          <w:color w:val="000000"/>
          <w:kern w:val="2"/>
          <w:sz w:val="28"/>
          <w:szCs w:val="32"/>
          <w:lang w:val="en-GB"/>
          <w14:ligatures w14:val="standardContextual"/>
        </w:rPr>
        <w:t>Introduction</w:t>
      </w:r>
      <w:bookmarkEnd w:id="50"/>
    </w:p>
    <w:p w14:paraId="79BC280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presents the quantitative findings obtained from 150 valid questionnaire responses. The analysis begins with missing-data screening and the demographic and behavioural profile of respondents, followed by reliability analysis and descriptive statistics for the five study constructs. Normality is then evaluated and a Pearson correlation analysis is performed. Lastly, multiple and simple linear regression analyses are conducted to examine the four hypotheses related to Perceived Authenticity, Brand–Anime Fit, Anime Involvement, Consumer Engagement and Purchase Intention.</w:t>
      </w:r>
    </w:p>
    <w:p w14:paraId="4259942D"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51" w:name="_Toc241176394"/>
      <w:r w:rsidRPr="000C307D">
        <w:rPr>
          <w:rFonts w:eastAsia="Times New Roman" w:cs="Times New Roman"/>
          <w:b/>
          <w:color w:val="000000"/>
          <w:kern w:val="2"/>
          <w:sz w:val="28"/>
          <w:szCs w:val="32"/>
          <w:lang w:val="en-GB"/>
          <w14:ligatures w14:val="standardContextual"/>
        </w:rPr>
        <w:lastRenderedPageBreak/>
        <w:t>Missing Data Analysis</w:t>
      </w:r>
      <w:bookmarkEnd w:id="51"/>
    </w:p>
    <w:p w14:paraId="01965C31"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52" w:name="_Toc241170108"/>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2</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Missing Values Analysis for Study Variables</w:t>
      </w:r>
      <w:bookmarkEnd w:id="52"/>
    </w:p>
    <w:p w14:paraId="005B6F1D"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39818177" wp14:editId="38508CAB">
            <wp:extent cx="884317" cy="6530340"/>
            <wp:effectExtent l="0" t="0" r="0" b="3810"/>
            <wp:docPr id="659906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906533" name=""/>
                    <pic:cNvPicPr/>
                  </pic:nvPicPr>
                  <pic:blipFill>
                    <a:blip r:embed="rId11"/>
                    <a:stretch>
                      <a:fillRect/>
                    </a:stretch>
                  </pic:blipFill>
                  <pic:spPr>
                    <a:xfrm>
                      <a:off x="0" y="0"/>
                      <a:ext cx="890789" cy="6578133"/>
                    </a:xfrm>
                    <a:prstGeom prst="rect">
                      <a:avLst/>
                    </a:prstGeom>
                  </pic:spPr>
                </pic:pic>
              </a:graphicData>
            </a:graphic>
          </wp:inline>
        </w:drawing>
      </w:r>
    </w:p>
    <w:p w14:paraId="4EC25E9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Table 2 presents the missing-value analysis for the main study variables. The number of valid responses for all questionnaire items were 150, while no missing values were observed resulting in a 100% data completion rate for perceived authenticity, brand – </w:t>
      </w:r>
      <w:r w:rsidRPr="000C307D">
        <w:rPr>
          <w:rFonts w:eastAsia="Aptos" w:cs="Times New Roman"/>
          <w:kern w:val="2"/>
          <w:lang w:val="en-GB"/>
          <w14:ligatures w14:val="standardContextual"/>
        </w:rPr>
        <w:lastRenderedPageBreak/>
        <w:t>anime fit, anime involvement, consumer engagement and purchase intention. Thus, there was no need for any missing data treatment or imputation; all 150 valid responses were kept for the tests of reliability, descriptive, correlation and regression.</w:t>
      </w:r>
    </w:p>
    <w:p w14:paraId="11B2940A"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53" w:name="_Toc241176395"/>
      <w:r w:rsidRPr="000C307D">
        <w:rPr>
          <w:rFonts w:eastAsia="Times New Roman" w:cs="Times New Roman"/>
          <w:b/>
          <w:color w:val="000000"/>
          <w:kern w:val="2"/>
          <w:sz w:val="28"/>
          <w:szCs w:val="32"/>
          <w:lang w:val="en-GB"/>
          <w14:ligatures w14:val="standardContextual"/>
        </w:rPr>
        <w:t>Demographic and Sample Profile</w:t>
      </w:r>
      <w:bookmarkEnd w:id="53"/>
    </w:p>
    <w:p w14:paraId="0AE609EB"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05315F2E" wp14:editId="521D2022">
            <wp:extent cx="4241800" cy="2494323"/>
            <wp:effectExtent l="0" t="0" r="6350" b="1270"/>
            <wp:docPr id="37985892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48655" cy="2498354"/>
                    </a:xfrm>
                    <a:prstGeom prst="rect">
                      <a:avLst/>
                    </a:prstGeom>
                    <a:noFill/>
                    <a:ln>
                      <a:noFill/>
                    </a:ln>
                  </pic:spPr>
                </pic:pic>
              </a:graphicData>
            </a:graphic>
          </wp:inline>
        </w:drawing>
      </w:r>
    </w:p>
    <w:p w14:paraId="36173E62"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54" w:name="_Toc241170084"/>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2</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Age Distribution of Respondents</w:t>
      </w:r>
      <w:bookmarkEnd w:id="54"/>
    </w:p>
    <w:p w14:paraId="34C1106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2 shows the age distribution of the 150 respondents. The largest group was 21–23 years (46.67%), followed by respondents aged 18–20 years (32.00%). Those aged 24–26 years accounted for 14.00%, while 27–29 years represented 7.33%, the smallest group. Overall, the sample was concentrated among younger Generation Z consumers, particularly those aged between 18 and 23 years.</w:t>
      </w:r>
    </w:p>
    <w:p w14:paraId="6D9F920A"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42668993" wp14:editId="72B8A258">
            <wp:extent cx="5092663" cy="2994660"/>
            <wp:effectExtent l="0" t="0" r="0" b="0"/>
            <wp:docPr id="166823823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9039" cy="3010170"/>
                    </a:xfrm>
                    <a:prstGeom prst="rect">
                      <a:avLst/>
                    </a:prstGeom>
                    <a:noFill/>
                    <a:ln>
                      <a:noFill/>
                    </a:ln>
                  </pic:spPr>
                </pic:pic>
              </a:graphicData>
            </a:graphic>
          </wp:inline>
        </w:drawing>
      </w:r>
    </w:p>
    <w:p w14:paraId="1DB27A2D"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55" w:name="_Toc241170085"/>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3</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Gender Distribution of Respondents</w:t>
      </w:r>
      <w:bookmarkEnd w:id="55"/>
    </w:p>
    <w:p w14:paraId="6305E39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3 presents the gender distribution of respondents. Male respondents represented the largest group at 45.33%, followed by female respondents at 33.33%. Non-binary respondents accounted for 20.67%, while 0.67% preferred not to state their gender. The findings therefore indicate that males formed the largest proportion of the sample, although the study included respondents from different gender groups.</w:t>
      </w:r>
    </w:p>
    <w:p w14:paraId="73F9107D"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3038F0EC" wp14:editId="137F5764">
            <wp:extent cx="4587284" cy="2697480"/>
            <wp:effectExtent l="0" t="0" r="3810" b="7620"/>
            <wp:docPr id="30410237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2132" cy="2700331"/>
                    </a:xfrm>
                    <a:prstGeom prst="rect">
                      <a:avLst/>
                    </a:prstGeom>
                    <a:noFill/>
                    <a:ln>
                      <a:noFill/>
                    </a:ln>
                  </pic:spPr>
                </pic:pic>
              </a:graphicData>
            </a:graphic>
          </wp:inline>
        </w:drawing>
      </w:r>
    </w:p>
    <w:p w14:paraId="34FA762F"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56" w:name="_Toc241170086"/>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4</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UK Nation of Residence</w:t>
      </w:r>
      <w:bookmarkEnd w:id="56"/>
    </w:p>
    <w:p w14:paraId="0794BCC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 xml:space="preserve">Figure 4 illustrates respondents’ current UK nation of residence. The largest proportion lived in Scotland (42.67%), followed by England (37.33%). Respondents living in Wales represented 14.00%, while Northern Ireland accounted for 6.00%, the smallest proportion. The results demonstrate that respondents were drawn from all four UK nations, although Scotland and England together represented </w:t>
      </w:r>
      <w:proofErr w:type="gramStart"/>
      <w:r w:rsidRPr="000C307D">
        <w:rPr>
          <w:rFonts w:eastAsia="Aptos" w:cs="Times New Roman"/>
          <w:kern w:val="2"/>
          <w:lang w:val="en-GB"/>
          <w14:ligatures w14:val="standardContextual"/>
        </w:rPr>
        <w:t>the majority of</w:t>
      </w:r>
      <w:proofErr w:type="gramEnd"/>
      <w:r w:rsidRPr="000C307D">
        <w:rPr>
          <w:rFonts w:eastAsia="Aptos" w:cs="Times New Roman"/>
          <w:kern w:val="2"/>
          <w:lang w:val="en-GB"/>
          <w14:ligatures w14:val="standardContextual"/>
        </w:rPr>
        <w:t xml:space="preserve"> the sample.</w:t>
      </w:r>
    </w:p>
    <w:p w14:paraId="701AA748"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7486003" wp14:editId="4E980DE8">
            <wp:extent cx="4872370" cy="2865120"/>
            <wp:effectExtent l="0" t="0" r="4445" b="0"/>
            <wp:docPr id="179437527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5375" cy="2866887"/>
                    </a:xfrm>
                    <a:prstGeom prst="rect">
                      <a:avLst/>
                    </a:prstGeom>
                    <a:noFill/>
                    <a:ln>
                      <a:noFill/>
                    </a:ln>
                  </pic:spPr>
                </pic:pic>
              </a:graphicData>
            </a:graphic>
          </wp:inline>
        </w:drawing>
      </w:r>
    </w:p>
    <w:p w14:paraId="49906D91"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57" w:name="_Toc241170087"/>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5</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Employment Status of Respondents</w:t>
      </w:r>
      <w:bookmarkEnd w:id="57"/>
    </w:p>
    <w:p w14:paraId="44C8299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5 presents respondents’ employment status. Self-employed respondents formed the largest group at 28.00%, followed by those who were students and employed (24.67%), students (18.67%), and employed part-time (16.67%). Employed full-time respondents represented 6.67%, while unemployed respondents accounted for 3.33%, 1.33% preferred not to say, and business respondents represented 0.67%.</w:t>
      </w:r>
    </w:p>
    <w:p w14:paraId="4DF17959"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3A5A6DAD" wp14:editId="3A2E4B02">
            <wp:extent cx="4483617" cy="2636520"/>
            <wp:effectExtent l="0" t="0" r="0" b="0"/>
            <wp:docPr id="1247835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88119" cy="2639167"/>
                    </a:xfrm>
                    <a:prstGeom prst="rect">
                      <a:avLst/>
                    </a:prstGeom>
                    <a:noFill/>
                    <a:ln>
                      <a:noFill/>
                    </a:ln>
                  </pic:spPr>
                </pic:pic>
              </a:graphicData>
            </a:graphic>
          </wp:inline>
        </w:drawing>
      </w:r>
    </w:p>
    <w:p w14:paraId="43C93B33"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58" w:name="_Toc241170088"/>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6</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Highest Level of Education Completed</w:t>
      </w:r>
      <w:bookmarkEnd w:id="58"/>
    </w:p>
    <w:p w14:paraId="19F0F4A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6 shows respondents’ highest completed education level. Undergraduate degree holders formed the largest group at 39.33%, followed by respondents with A-level, college or equivalent qualifications (32.00%). Postgraduate degree holders represented 19.33%, while 6.00% had secondary school or GCSE-equivalent qualifications. A further 3.33% preferred not to state their education level, showing that the sample included respondents with varied educational backgrounds.</w:t>
      </w:r>
    </w:p>
    <w:p w14:paraId="4BE5D446"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D00584E" wp14:editId="3148743D">
            <wp:extent cx="4574326" cy="2689860"/>
            <wp:effectExtent l="0" t="0" r="0" b="0"/>
            <wp:docPr id="7291982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6415" cy="2691089"/>
                    </a:xfrm>
                    <a:prstGeom prst="rect">
                      <a:avLst/>
                    </a:prstGeom>
                    <a:noFill/>
                    <a:ln>
                      <a:noFill/>
                    </a:ln>
                  </pic:spPr>
                </pic:pic>
              </a:graphicData>
            </a:graphic>
          </wp:inline>
        </w:drawing>
      </w:r>
    </w:p>
    <w:p w14:paraId="4B0D7113"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59" w:name="_Toc241170089"/>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7</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Frequency of Watching Anime or Engaging with Anime-Related Content</w:t>
      </w:r>
      <w:bookmarkEnd w:id="59"/>
    </w:p>
    <w:p w14:paraId="5DB7B21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Figure 7 presents respondents’ frequency of engagement with anime-related content. The largest proportion engaged about once a week (45.33%), followed by several times a week (27.33%) and several times a month (16.67%). Daily engagement accounted for 4.00%, less than once a month for 4.00%, and rarely for 2.67%. Overall, most respondents engaged with anime content regularly.</w:t>
      </w:r>
    </w:p>
    <w:p w14:paraId="6B38853B"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43A02213" wp14:editId="71480B8A">
            <wp:extent cx="5429583" cy="3192780"/>
            <wp:effectExtent l="0" t="0" r="0" b="7620"/>
            <wp:docPr id="6486783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44339" cy="3201457"/>
                    </a:xfrm>
                    <a:prstGeom prst="rect">
                      <a:avLst/>
                    </a:prstGeom>
                    <a:noFill/>
                    <a:ln>
                      <a:noFill/>
                    </a:ln>
                  </pic:spPr>
                </pic:pic>
              </a:graphicData>
            </a:graphic>
          </wp:inline>
        </w:drawing>
      </w:r>
    </w:p>
    <w:p w14:paraId="725C16F3"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60" w:name="_Toc241170090"/>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8</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Previous Purchase from an Anime–Fashion Collaboration</w:t>
      </w:r>
      <w:bookmarkEnd w:id="60"/>
    </w:p>
    <w:p w14:paraId="51E9657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8 shows whether respondents had previously purchased a product from an anime–fashion collaboration. 100.00% of respondents said that they had made such a purchase before. Thus, all respondents had first-hand purchasing experience with anime–fashion collaborations, providing relevant experience from which to evaluate authenticity, brand–anime fit, consumer engagement and purchase intention.</w:t>
      </w:r>
    </w:p>
    <w:p w14:paraId="01E70D9C"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73EFA8C3" wp14:editId="4C2A35F4">
            <wp:extent cx="4609465" cy="2717911"/>
            <wp:effectExtent l="0" t="0" r="635" b="6350"/>
            <wp:docPr id="1127371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71477" name=""/>
                    <pic:cNvPicPr/>
                  </pic:nvPicPr>
                  <pic:blipFill>
                    <a:blip r:embed="rId19"/>
                    <a:stretch>
                      <a:fillRect/>
                    </a:stretch>
                  </pic:blipFill>
                  <pic:spPr>
                    <a:xfrm>
                      <a:off x="0" y="0"/>
                      <a:ext cx="4618790" cy="2723409"/>
                    </a:xfrm>
                    <a:prstGeom prst="rect">
                      <a:avLst/>
                    </a:prstGeom>
                  </pic:spPr>
                </pic:pic>
              </a:graphicData>
            </a:graphic>
          </wp:inline>
        </w:drawing>
      </w:r>
    </w:p>
    <w:p w14:paraId="1801B8B2"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61" w:name="_Toc241170091"/>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9</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Frequency of Purchasing Anime-Related Fashion Products</w:t>
      </w:r>
      <w:bookmarkEnd w:id="61"/>
    </w:p>
    <w:p w14:paraId="15173FC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9 illustrates respondents’ purchasing frequency. The largest proportion purchased anime-related fashion products once every two to three months (36.67%), closely followed by about once a month (35.33%). Once or twice a year accounted for 14.00%, while 10.00% purchased more than once a month. The remaining 4.00% purchased less than once a year. Overall, the findings indicate that most respondents purchased anime-related fashion products at least several times a year.</w:t>
      </w:r>
    </w:p>
    <w:p w14:paraId="37F6D890"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0A64A7E3" wp14:editId="52896590">
            <wp:extent cx="4792980" cy="2818436"/>
            <wp:effectExtent l="0" t="0" r="7620" b="1270"/>
            <wp:docPr id="2857225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98645" cy="2821767"/>
                    </a:xfrm>
                    <a:prstGeom prst="rect">
                      <a:avLst/>
                    </a:prstGeom>
                    <a:noFill/>
                    <a:ln>
                      <a:noFill/>
                    </a:ln>
                  </pic:spPr>
                </pic:pic>
              </a:graphicData>
            </a:graphic>
          </wp:inline>
        </w:drawing>
      </w:r>
    </w:p>
    <w:p w14:paraId="13DEDE49"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62" w:name="_Toc241170092"/>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10</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Discovery of Anime–Fashion Collaborations</w:t>
      </w:r>
      <w:bookmarkEnd w:id="62"/>
    </w:p>
    <w:p w14:paraId="6802656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Figure 10 presents where respondents usually discovered anime–fashion collaborations. The percentages were calculated using the full sample of 150 respondents, with each respondent represented by one reported discovery source. The most common sources were online anime communities or forums (18.67%), YouTube (15.33%), Instagram (14.00%), or fashion-brand websites or apps (12.00%). TikTok and X/Twitter both had a 10.67% share, followed by physical fashion stores (8.67%), friends or family (7.33%) and influencers/content creators (2.67%).</w:t>
      </w:r>
    </w:p>
    <w:p w14:paraId="3EF99DFA"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63" w:name="_Toc241176396"/>
      <w:r w:rsidRPr="000C307D">
        <w:rPr>
          <w:rFonts w:eastAsia="Times New Roman" w:cs="Times New Roman"/>
          <w:b/>
          <w:color w:val="000000"/>
          <w:kern w:val="2"/>
          <w:sz w:val="28"/>
          <w:szCs w:val="32"/>
          <w:lang w:val="en-GB"/>
          <w14:ligatures w14:val="standardContextual"/>
        </w:rPr>
        <w:t>Reliability Analysis</w:t>
      </w:r>
      <w:bookmarkEnd w:id="63"/>
    </w:p>
    <w:p w14:paraId="092E4D13"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64" w:name="_Toc241170109"/>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3</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Reliability Analysis of Perceived Authenticity</w:t>
      </w:r>
      <w:bookmarkEnd w:id="64"/>
    </w:p>
    <w:p w14:paraId="504F8FCB"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7C0A24B1" wp14:editId="2C2EA345">
            <wp:extent cx="1752600" cy="933450"/>
            <wp:effectExtent l="0" t="0" r="0" b="0"/>
            <wp:docPr id="294235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35673" name=""/>
                    <pic:cNvPicPr/>
                  </pic:nvPicPr>
                  <pic:blipFill>
                    <a:blip r:embed="rId21"/>
                    <a:stretch>
                      <a:fillRect/>
                    </a:stretch>
                  </pic:blipFill>
                  <pic:spPr>
                    <a:xfrm>
                      <a:off x="0" y="0"/>
                      <a:ext cx="1752600" cy="933450"/>
                    </a:xfrm>
                    <a:prstGeom prst="rect">
                      <a:avLst/>
                    </a:prstGeom>
                  </pic:spPr>
                </pic:pic>
              </a:graphicData>
            </a:graphic>
          </wp:inline>
        </w:drawing>
      </w:r>
    </w:p>
    <w:p w14:paraId="174C39F0"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65" w:name="_Toc241170110"/>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4</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Reliability Analysis of Brand–Anime Fit</w:t>
      </w:r>
      <w:bookmarkEnd w:id="65"/>
    </w:p>
    <w:p w14:paraId="625761D6"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43A6968" wp14:editId="1FEA7E5E">
            <wp:extent cx="1752600" cy="933450"/>
            <wp:effectExtent l="0" t="0" r="0" b="0"/>
            <wp:docPr id="1802031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031443" name=""/>
                    <pic:cNvPicPr/>
                  </pic:nvPicPr>
                  <pic:blipFill>
                    <a:blip r:embed="rId22"/>
                    <a:stretch>
                      <a:fillRect/>
                    </a:stretch>
                  </pic:blipFill>
                  <pic:spPr>
                    <a:xfrm>
                      <a:off x="0" y="0"/>
                      <a:ext cx="1752600" cy="933450"/>
                    </a:xfrm>
                    <a:prstGeom prst="rect">
                      <a:avLst/>
                    </a:prstGeom>
                  </pic:spPr>
                </pic:pic>
              </a:graphicData>
            </a:graphic>
          </wp:inline>
        </w:drawing>
      </w:r>
    </w:p>
    <w:p w14:paraId="4D512AAE"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66" w:name="_Toc241170111"/>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5</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Reliability Analysis of Anime Involvement</w:t>
      </w:r>
      <w:bookmarkEnd w:id="66"/>
    </w:p>
    <w:p w14:paraId="3DDF2A2E"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01FEAFD9" wp14:editId="22ACC730">
            <wp:extent cx="1752600" cy="933450"/>
            <wp:effectExtent l="0" t="0" r="0" b="0"/>
            <wp:docPr id="500190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90879" name=""/>
                    <pic:cNvPicPr/>
                  </pic:nvPicPr>
                  <pic:blipFill>
                    <a:blip r:embed="rId23"/>
                    <a:stretch>
                      <a:fillRect/>
                    </a:stretch>
                  </pic:blipFill>
                  <pic:spPr>
                    <a:xfrm>
                      <a:off x="0" y="0"/>
                      <a:ext cx="1752600" cy="933450"/>
                    </a:xfrm>
                    <a:prstGeom prst="rect">
                      <a:avLst/>
                    </a:prstGeom>
                  </pic:spPr>
                </pic:pic>
              </a:graphicData>
            </a:graphic>
          </wp:inline>
        </w:drawing>
      </w:r>
    </w:p>
    <w:p w14:paraId="3561FFCD"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67" w:name="_Toc241170112"/>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6</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Reliability Analysis of Consumer Engagement</w:t>
      </w:r>
      <w:bookmarkEnd w:id="67"/>
    </w:p>
    <w:p w14:paraId="0B9F3431"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59624E7C" wp14:editId="2B69D7EB">
            <wp:extent cx="1752600" cy="933450"/>
            <wp:effectExtent l="0" t="0" r="0" b="0"/>
            <wp:docPr id="163448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88224" name=""/>
                    <pic:cNvPicPr/>
                  </pic:nvPicPr>
                  <pic:blipFill>
                    <a:blip r:embed="rId24"/>
                    <a:stretch>
                      <a:fillRect/>
                    </a:stretch>
                  </pic:blipFill>
                  <pic:spPr>
                    <a:xfrm>
                      <a:off x="0" y="0"/>
                      <a:ext cx="1752600" cy="933450"/>
                    </a:xfrm>
                    <a:prstGeom prst="rect">
                      <a:avLst/>
                    </a:prstGeom>
                  </pic:spPr>
                </pic:pic>
              </a:graphicData>
            </a:graphic>
          </wp:inline>
        </w:drawing>
      </w:r>
    </w:p>
    <w:p w14:paraId="75A1F1AC"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68" w:name="_Toc241170113"/>
      <w:r w:rsidRPr="000C307D">
        <w:rPr>
          <w:rFonts w:eastAsia="Aptos" w:cs="Times New Roman"/>
          <w:i/>
          <w:iCs/>
          <w:color w:val="44546A"/>
          <w:kern w:val="2"/>
          <w:sz w:val="18"/>
          <w:szCs w:val="18"/>
          <w:lang w:val="en-GB"/>
          <w14:ligatures w14:val="standardContextual"/>
        </w:rPr>
        <w:lastRenderedPageBreak/>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7</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Reliability Analysis of Purchase Intention</w:t>
      </w:r>
      <w:bookmarkEnd w:id="68"/>
    </w:p>
    <w:p w14:paraId="60C14453"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68D294A" wp14:editId="4075CA55">
            <wp:extent cx="1752600" cy="933450"/>
            <wp:effectExtent l="0" t="0" r="0" b="0"/>
            <wp:docPr id="94059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59537" name=""/>
                    <pic:cNvPicPr/>
                  </pic:nvPicPr>
                  <pic:blipFill>
                    <a:blip r:embed="rId25"/>
                    <a:stretch>
                      <a:fillRect/>
                    </a:stretch>
                  </pic:blipFill>
                  <pic:spPr>
                    <a:xfrm>
                      <a:off x="0" y="0"/>
                      <a:ext cx="1752600" cy="933450"/>
                    </a:xfrm>
                    <a:prstGeom prst="rect">
                      <a:avLst/>
                    </a:prstGeom>
                  </pic:spPr>
                </pic:pic>
              </a:graphicData>
            </a:graphic>
          </wp:inline>
        </w:drawing>
      </w:r>
    </w:p>
    <w:p w14:paraId="71671345"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As shown in the reliability analysis, all the five constructs had acceptable to good internal consistency. The obtained Cronbach's alpha values of Perceived Authenticity are 0.709 and Brand–Anime Fit is 0.803. Anime Involvement had the highest reliability (0.829), followed by Purchase Intention (0.824) and Consumer Engagement (0.817). All constructs demonstrated acceptable internal consistency, with Cronbach’s alpha values exceeding 0.70. Thus, all the five scales were acceptable for reliability and were retained for statistical analysis.</w:t>
      </w:r>
    </w:p>
    <w:p w14:paraId="1A5B2638"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69" w:name="_Toc241176397"/>
      <w:r w:rsidRPr="000C307D">
        <w:rPr>
          <w:rFonts w:eastAsia="Times New Roman" w:cs="Times New Roman"/>
          <w:b/>
          <w:color w:val="000000"/>
          <w:kern w:val="2"/>
          <w:sz w:val="28"/>
          <w:szCs w:val="32"/>
          <w:lang w:val="en-GB"/>
          <w14:ligatures w14:val="standardContextual"/>
        </w:rPr>
        <w:t>Descriptive Statistics for Main Constructs</w:t>
      </w:r>
      <w:bookmarkEnd w:id="69"/>
    </w:p>
    <w:p w14:paraId="35D5F867"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70" w:name="_Toc241170114"/>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8</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Descriptive Statistics for the Main Study Constructs</w:t>
      </w:r>
      <w:bookmarkEnd w:id="70"/>
    </w:p>
    <w:p w14:paraId="6CA75AE3"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01DFFF8A" wp14:editId="095B10C0">
            <wp:extent cx="4705350" cy="1838325"/>
            <wp:effectExtent l="0" t="0" r="0" b="9525"/>
            <wp:docPr id="818637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37856" name=""/>
                    <pic:cNvPicPr/>
                  </pic:nvPicPr>
                  <pic:blipFill>
                    <a:blip r:embed="rId26"/>
                    <a:stretch>
                      <a:fillRect/>
                    </a:stretch>
                  </pic:blipFill>
                  <pic:spPr>
                    <a:xfrm>
                      <a:off x="0" y="0"/>
                      <a:ext cx="4705350" cy="1838325"/>
                    </a:xfrm>
                    <a:prstGeom prst="rect">
                      <a:avLst/>
                    </a:prstGeom>
                  </pic:spPr>
                </pic:pic>
              </a:graphicData>
            </a:graphic>
          </wp:inline>
        </w:drawing>
      </w:r>
    </w:p>
    <w:p w14:paraId="6B569DA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Table 8 presents the descriptive statistics for the five main constructs based on 150 valid responses. The mean (M = 3.017, SD = 0.865) for Perceived Authenticity was the highest, suggesting that, in general, collaboration authenticity was neutral to slightly positive. Brand–Anime Fit had a mean of 2.841 (SD = 1.013), while Consumer Engagement recorded 2.834 (SD = 1.045). The mean for Purchase Intention was also similar (2.827, SD = 1.052). Anime Involvement had the lowest mean (M = 2.783, SD = 1.055). The overall construct means were near the centre of the 5-point scale indicating relatively </w:t>
      </w:r>
      <w:r w:rsidRPr="000C307D">
        <w:rPr>
          <w:rFonts w:eastAsia="Aptos" w:cs="Times New Roman"/>
          <w:kern w:val="2"/>
          <w:lang w:val="en-GB"/>
          <w14:ligatures w14:val="standardContextual"/>
        </w:rPr>
        <w:lastRenderedPageBreak/>
        <w:t>moderate perceptions and responses throughout the sample, but there were some differences among the respondents.</w:t>
      </w:r>
    </w:p>
    <w:p w14:paraId="74EA7B0F" w14:textId="77777777" w:rsidR="000C307D" w:rsidRPr="000C307D" w:rsidRDefault="000C307D" w:rsidP="000C307D">
      <w:pPr>
        <w:keepNext/>
        <w:keepLines/>
        <w:numPr>
          <w:ilvl w:val="1"/>
          <w:numId w:val="0"/>
        </w:numPr>
        <w:spacing w:before="160" w:after="80"/>
        <w:ind w:left="576" w:hanging="576"/>
        <w:outlineLvl w:val="1"/>
        <w:rPr>
          <w:rFonts w:eastAsia="Aptos" w:cs="Times New Roman"/>
          <w:b/>
          <w:color w:val="000000"/>
          <w:kern w:val="2"/>
          <w:sz w:val="28"/>
          <w:szCs w:val="32"/>
          <w:lang w:val="en-GB"/>
          <w14:ligatures w14:val="standardContextual"/>
        </w:rPr>
      </w:pPr>
      <w:bookmarkStart w:id="71" w:name="_Toc241176398"/>
      <w:r w:rsidRPr="000C307D">
        <w:rPr>
          <w:rFonts w:eastAsia="Aptos" w:cs="Times New Roman"/>
          <w:b/>
          <w:color w:val="000000"/>
          <w:kern w:val="2"/>
          <w:sz w:val="28"/>
          <w:szCs w:val="32"/>
          <w:lang w:val="en-GB"/>
          <w14:ligatures w14:val="standardContextual"/>
        </w:rPr>
        <w:t>Regression Diagnostic Assumptions</w:t>
      </w:r>
      <w:bookmarkEnd w:id="71"/>
    </w:p>
    <w:p w14:paraId="627FF099"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b/>
          <w:bCs/>
          <w:noProof/>
          <w:kern w:val="2"/>
          <w:lang w:val="en-GB"/>
          <w14:ligatures w14:val="standardContextual"/>
        </w:rPr>
        <w:drawing>
          <wp:inline distT="0" distB="0" distL="0" distR="0" wp14:anchorId="059E5166" wp14:editId="25A570A4">
            <wp:extent cx="5595750" cy="3299460"/>
            <wp:effectExtent l="0" t="0" r="5080" b="0"/>
            <wp:docPr id="1469895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95224" name=""/>
                    <pic:cNvPicPr/>
                  </pic:nvPicPr>
                  <pic:blipFill>
                    <a:blip r:embed="rId27"/>
                    <a:stretch>
                      <a:fillRect/>
                    </a:stretch>
                  </pic:blipFill>
                  <pic:spPr>
                    <a:xfrm>
                      <a:off x="0" y="0"/>
                      <a:ext cx="5600291" cy="3302138"/>
                    </a:xfrm>
                    <a:prstGeom prst="rect">
                      <a:avLst/>
                    </a:prstGeom>
                  </pic:spPr>
                </pic:pic>
              </a:graphicData>
            </a:graphic>
          </wp:inline>
        </w:drawing>
      </w:r>
    </w:p>
    <w:p w14:paraId="613E0B0D" w14:textId="77777777" w:rsidR="000C307D" w:rsidRPr="000C307D" w:rsidRDefault="000C307D" w:rsidP="000C307D">
      <w:pPr>
        <w:spacing w:line="240" w:lineRule="auto"/>
        <w:jc w:val="center"/>
        <w:rPr>
          <w:rFonts w:eastAsia="Aptos" w:cs="Times New Roman"/>
          <w:b/>
          <w:bCs/>
          <w:i/>
          <w:iCs/>
          <w:color w:val="44546A"/>
          <w:kern w:val="2"/>
          <w:sz w:val="18"/>
          <w:szCs w:val="18"/>
          <w:lang w:val="en-GB"/>
          <w14:ligatures w14:val="standardContextual"/>
        </w:rPr>
      </w:pPr>
      <w:bookmarkStart w:id="72" w:name="_Toc241170093"/>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11</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Normal P–P Plot of Standardised Residuals for the Consumer Engagement Regression Model</w:t>
      </w:r>
      <w:bookmarkEnd w:id="72"/>
    </w:p>
    <w:p w14:paraId="243ADA06"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b/>
          <w:bCs/>
          <w:noProof/>
          <w:kern w:val="2"/>
          <w:lang w:val="en-GB"/>
          <w14:ligatures w14:val="standardContextual"/>
        </w:rPr>
        <w:lastRenderedPageBreak/>
        <w:drawing>
          <wp:inline distT="0" distB="0" distL="0" distR="0" wp14:anchorId="56DF0FCF" wp14:editId="466E4F0B">
            <wp:extent cx="5544057" cy="3268980"/>
            <wp:effectExtent l="0" t="0" r="0" b="7620"/>
            <wp:docPr id="885813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13938" name=""/>
                    <pic:cNvPicPr/>
                  </pic:nvPicPr>
                  <pic:blipFill>
                    <a:blip r:embed="rId28"/>
                    <a:stretch>
                      <a:fillRect/>
                    </a:stretch>
                  </pic:blipFill>
                  <pic:spPr>
                    <a:xfrm>
                      <a:off x="0" y="0"/>
                      <a:ext cx="5547401" cy="3270952"/>
                    </a:xfrm>
                    <a:prstGeom prst="rect">
                      <a:avLst/>
                    </a:prstGeom>
                  </pic:spPr>
                </pic:pic>
              </a:graphicData>
            </a:graphic>
          </wp:inline>
        </w:drawing>
      </w:r>
    </w:p>
    <w:p w14:paraId="00CAEC07" w14:textId="77777777" w:rsidR="000C307D" w:rsidRPr="000C307D" w:rsidRDefault="000C307D" w:rsidP="000C307D">
      <w:pPr>
        <w:spacing w:line="240" w:lineRule="auto"/>
        <w:jc w:val="center"/>
        <w:rPr>
          <w:rFonts w:eastAsia="Aptos" w:cs="Times New Roman"/>
          <w:b/>
          <w:bCs/>
          <w:i/>
          <w:iCs/>
          <w:color w:val="44546A"/>
          <w:kern w:val="2"/>
          <w:sz w:val="18"/>
          <w:szCs w:val="18"/>
          <w:lang w:val="en-GB"/>
          <w14:ligatures w14:val="standardContextual"/>
        </w:rPr>
      </w:pPr>
      <w:bookmarkStart w:id="73" w:name="_Toc241170094"/>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12</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Standardised Residuals versus Standardised Predicted Values for the Consumer Engagement Regression Model</w:t>
      </w:r>
      <w:bookmarkEnd w:id="73"/>
    </w:p>
    <w:p w14:paraId="03CD85D7"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b/>
          <w:bCs/>
          <w:noProof/>
          <w:kern w:val="2"/>
          <w:lang w:val="en-GB"/>
          <w14:ligatures w14:val="standardContextual"/>
        </w:rPr>
        <w:drawing>
          <wp:inline distT="0" distB="0" distL="0" distR="0" wp14:anchorId="10DB207B" wp14:editId="4179CD19">
            <wp:extent cx="5388979" cy="3177540"/>
            <wp:effectExtent l="0" t="0" r="2540" b="3810"/>
            <wp:docPr id="1750410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10195" name=""/>
                    <pic:cNvPicPr/>
                  </pic:nvPicPr>
                  <pic:blipFill>
                    <a:blip r:embed="rId29"/>
                    <a:stretch>
                      <a:fillRect/>
                    </a:stretch>
                  </pic:blipFill>
                  <pic:spPr>
                    <a:xfrm>
                      <a:off x="0" y="0"/>
                      <a:ext cx="5392482" cy="3179606"/>
                    </a:xfrm>
                    <a:prstGeom prst="rect">
                      <a:avLst/>
                    </a:prstGeom>
                  </pic:spPr>
                </pic:pic>
              </a:graphicData>
            </a:graphic>
          </wp:inline>
        </w:drawing>
      </w:r>
    </w:p>
    <w:p w14:paraId="7E942C8B" w14:textId="77777777" w:rsidR="000C307D" w:rsidRPr="000C307D" w:rsidRDefault="000C307D" w:rsidP="000C307D">
      <w:pPr>
        <w:spacing w:line="240" w:lineRule="auto"/>
        <w:jc w:val="center"/>
        <w:rPr>
          <w:rFonts w:eastAsia="Aptos" w:cs="Times New Roman"/>
          <w:b/>
          <w:bCs/>
          <w:i/>
          <w:iCs/>
          <w:color w:val="44546A"/>
          <w:kern w:val="2"/>
          <w:sz w:val="18"/>
          <w:szCs w:val="18"/>
          <w:lang w:val="en-GB"/>
          <w14:ligatures w14:val="standardContextual"/>
        </w:rPr>
      </w:pPr>
      <w:bookmarkStart w:id="74" w:name="_Toc241170095"/>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13</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Normal P–P Plot of Standardised Residuals for the Purchase Intention Regression Model</w:t>
      </w:r>
      <w:bookmarkEnd w:id="74"/>
    </w:p>
    <w:p w14:paraId="157DD8FA"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b/>
          <w:bCs/>
          <w:noProof/>
          <w:kern w:val="2"/>
          <w:lang w:val="en-GB"/>
          <w14:ligatures w14:val="standardContextual"/>
        </w:rPr>
        <w:lastRenderedPageBreak/>
        <w:drawing>
          <wp:inline distT="0" distB="0" distL="0" distR="0" wp14:anchorId="78BE1DAF" wp14:editId="3085A81A">
            <wp:extent cx="4807434" cy="2834640"/>
            <wp:effectExtent l="0" t="0" r="0" b="3810"/>
            <wp:docPr id="25091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15032" name=""/>
                    <pic:cNvPicPr/>
                  </pic:nvPicPr>
                  <pic:blipFill>
                    <a:blip r:embed="rId30"/>
                    <a:stretch>
                      <a:fillRect/>
                    </a:stretch>
                  </pic:blipFill>
                  <pic:spPr>
                    <a:xfrm>
                      <a:off x="0" y="0"/>
                      <a:ext cx="4811312" cy="2836927"/>
                    </a:xfrm>
                    <a:prstGeom prst="rect">
                      <a:avLst/>
                    </a:prstGeom>
                  </pic:spPr>
                </pic:pic>
              </a:graphicData>
            </a:graphic>
          </wp:inline>
        </w:drawing>
      </w:r>
    </w:p>
    <w:p w14:paraId="17F9A871" w14:textId="77777777" w:rsidR="000C307D" w:rsidRPr="000C307D" w:rsidRDefault="000C307D" w:rsidP="000C307D">
      <w:pPr>
        <w:spacing w:line="240" w:lineRule="auto"/>
        <w:jc w:val="center"/>
        <w:rPr>
          <w:rFonts w:eastAsia="Aptos" w:cs="Times New Roman"/>
          <w:b/>
          <w:bCs/>
          <w:i/>
          <w:iCs/>
          <w:color w:val="44546A"/>
          <w:kern w:val="2"/>
          <w:sz w:val="18"/>
          <w:szCs w:val="18"/>
          <w:lang w:val="en-GB"/>
          <w14:ligatures w14:val="standardContextual"/>
        </w:rPr>
      </w:pPr>
      <w:bookmarkStart w:id="75" w:name="_Toc241170096"/>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14</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Standardised Residuals versus Standardised Predicted Values for the Purchase Intention Regression Model</w:t>
      </w:r>
      <w:bookmarkEnd w:id="75"/>
    </w:p>
    <w:p w14:paraId="5FBFC4A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Regression-specific diagnostic tests were conducted in addition to the normality tests of the composite variables. Normal P–P plots of the standardised residuals were examined to assess residual normality, while scatterplots of standardised residuals against standardised predicted values were used to assess linearity and homoscedasticity. For both regression models, the P–P plots showed some departures from the diagonal line, particularly towards the tails, indicating that residual normality was not perfect. However, the residual scatterplots did not display a clear funnel-shaped pattern, suggesting no severe violation of homoscedasticity. Although some clustering and patterning were visible, there was no convincing evidence of a major non-linear pattern. The regression findings were therefore interpreted with appropriate caution.</w:t>
      </w:r>
    </w:p>
    <w:p w14:paraId="5AE90194"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76" w:name="_Toc241176399"/>
      <w:r w:rsidRPr="000C307D">
        <w:rPr>
          <w:rFonts w:eastAsia="Times New Roman" w:cs="Times New Roman"/>
          <w:b/>
          <w:color w:val="000000"/>
          <w:kern w:val="2"/>
          <w:sz w:val="28"/>
          <w:szCs w:val="32"/>
          <w:lang w:val="en-GB"/>
          <w14:ligatures w14:val="standardContextual"/>
        </w:rPr>
        <w:lastRenderedPageBreak/>
        <w:t>Regression Assumptions</w:t>
      </w:r>
      <w:bookmarkEnd w:id="76"/>
    </w:p>
    <w:p w14:paraId="37EE77B6"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77" w:name="_Toc241170115"/>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9</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Tests of Normality for the Main Study Constructs</w:t>
      </w:r>
      <w:bookmarkEnd w:id="77"/>
    </w:p>
    <w:p w14:paraId="52735F00"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28ECC15" wp14:editId="0B3804EB">
            <wp:extent cx="3895310" cy="1706667"/>
            <wp:effectExtent l="0" t="0" r="0" b="8255"/>
            <wp:docPr id="1995422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422468" name=""/>
                    <pic:cNvPicPr/>
                  </pic:nvPicPr>
                  <pic:blipFill>
                    <a:blip r:embed="rId31"/>
                    <a:stretch>
                      <a:fillRect/>
                    </a:stretch>
                  </pic:blipFill>
                  <pic:spPr>
                    <a:xfrm>
                      <a:off x="0" y="0"/>
                      <a:ext cx="3904083" cy="1710511"/>
                    </a:xfrm>
                    <a:prstGeom prst="rect">
                      <a:avLst/>
                    </a:prstGeom>
                  </pic:spPr>
                </pic:pic>
              </a:graphicData>
            </a:graphic>
          </wp:inline>
        </w:drawing>
      </w:r>
    </w:p>
    <w:p w14:paraId="2F1073B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Table 9 presents the normality tests for the five composite variables. Both the Kolmogorov–Smirnov and Shapiro–Wilk tests were significant for Perceived Authenticity, Brand–Anime Fit, Anime Involvement, Consumer Engagement and Purchase Intention (all p &lt; .001). In consequence, there were also statistically significant deviations from a normal distribution for the composite scores. These deviations were then also investigated in the graphical distributions to gain insight into their nature.</w:t>
      </w:r>
    </w:p>
    <w:p w14:paraId="25332E56"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78" w:name="_Toc241176400"/>
      <w:r w:rsidRPr="000C307D">
        <w:rPr>
          <w:rFonts w:eastAsia="Times New Roman" w:cs="Times New Roman"/>
          <w:b/>
          <w:color w:val="000000"/>
          <w:kern w:val="2"/>
          <w:szCs w:val="28"/>
          <w:lang w:val="en-GB"/>
          <w14:ligatures w14:val="standardContextual"/>
        </w:rPr>
        <w:t>Perceived Authenticity</w:t>
      </w:r>
      <w:bookmarkEnd w:id="78"/>
    </w:p>
    <w:p w14:paraId="37855556"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7F216330" wp14:editId="3EE73501">
            <wp:extent cx="4716094" cy="2780782"/>
            <wp:effectExtent l="0" t="0" r="8890" b="635"/>
            <wp:docPr id="1275806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06044" name=""/>
                    <pic:cNvPicPr/>
                  </pic:nvPicPr>
                  <pic:blipFill>
                    <a:blip r:embed="rId32"/>
                    <a:stretch>
                      <a:fillRect/>
                    </a:stretch>
                  </pic:blipFill>
                  <pic:spPr>
                    <a:xfrm>
                      <a:off x="0" y="0"/>
                      <a:ext cx="4726928" cy="2787170"/>
                    </a:xfrm>
                    <a:prstGeom prst="rect">
                      <a:avLst/>
                    </a:prstGeom>
                  </pic:spPr>
                </pic:pic>
              </a:graphicData>
            </a:graphic>
          </wp:inline>
        </w:drawing>
      </w:r>
    </w:p>
    <w:p w14:paraId="112791A5"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79" w:name="_Toc241170097"/>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15</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Histogram of Perceived Authenticity</w:t>
      </w:r>
      <w:bookmarkEnd w:id="79"/>
    </w:p>
    <w:p w14:paraId="360B32C5"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distribution of Perceived Authenticity scores (M = 3.02, SD = 0.865, N = 150) is shown in Figure 15. </w:t>
      </w:r>
      <w:proofErr w:type="gramStart"/>
      <w:r w:rsidRPr="000C307D">
        <w:rPr>
          <w:rFonts w:eastAsia="Aptos" w:cs="Times New Roman"/>
          <w:kern w:val="2"/>
          <w:lang w:val="en-GB"/>
          <w14:ligatures w14:val="standardContextual"/>
        </w:rPr>
        <w:t>The majority of</w:t>
      </w:r>
      <w:proofErr w:type="gramEnd"/>
      <w:r w:rsidRPr="000C307D">
        <w:rPr>
          <w:rFonts w:eastAsia="Aptos" w:cs="Times New Roman"/>
          <w:kern w:val="2"/>
          <w:lang w:val="en-GB"/>
          <w14:ligatures w14:val="standardContextual"/>
        </w:rPr>
        <w:t xml:space="preserve"> the observations were around the middle of the scale, with </w:t>
      </w:r>
      <w:r w:rsidRPr="000C307D">
        <w:rPr>
          <w:rFonts w:eastAsia="Aptos" w:cs="Times New Roman"/>
          <w:kern w:val="2"/>
          <w:lang w:val="en-GB"/>
          <w14:ligatures w14:val="standardContextual"/>
        </w:rPr>
        <w:lastRenderedPageBreak/>
        <w:t>a large number clustered around 2.5 – 3.0, and a significant cluster at the maximum score of 5.00. So that means that the distribution looks non-smooth and it is not a normal distribution.</w:t>
      </w:r>
    </w:p>
    <w:p w14:paraId="66A78283"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46E937E9" wp14:editId="7C12C998">
            <wp:extent cx="3999823" cy="2358443"/>
            <wp:effectExtent l="0" t="0" r="1270" b="3810"/>
            <wp:docPr id="1675477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477266" name=""/>
                    <pic:cNvPicPr/>
                  </pic:nvPicPr>
                  <pic:blipFill>
                    <a:blip r:embed="rId33"/>
                    <a:stretch>
                      <a:fillRect/>
                    </a:stretch>
                  </pic:blipFill>
                  <pic:spPr>
                    <a:xfrm>
                      <a:off x="0" y="0"/>
                      <a:ext cx="4015739" cy="2367828"/>
                    </a:xfrm>
                    <a:prstGeom prst="rect">
                      <a:avLst/>
                    </a:prstGeom>
                  </pic:spPr>
                </pic:pic>
              </a:graphicData>
            </a:graphic>
          </wp:inline>
        </w:drawing>
      </w:r>
    </w:p>
    <w:p w14:paraId="4346B85A"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80" w:name="_Toc241170098"/>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16</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Normal Q–Q Plot of Perceived Authenticity</w:t>
      </w:r>
      <w:bookmarkEnd w:id="80"/>
    </w:p>
    <w:p w14:paraId="0B1B299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Q–Q plot of Perceived Authenticity is shown in Figure 16. While there are some points around the centre that follow the reference line, there are clear deviations at both ends of the range of observed values, especially for higher values. This graphical pattern is corroborated by the important normality tests and suggests that the Perceived Authenticity scores do not have a normal distribution.</w:t>
      </w:r>
    </w:p>
    <w:p w14:paraId="2C1757FA"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81" w:name="_Toc241176401"/>
      <w:r w:rsidRPr="000C307D">
        <w:rPr>
          <w:rFonts w:eastAsia="Times New Roman" w:cs="Times New Roman"/>
          <w:b/>
          <w:color w:val="000000"/>
          <w:kern w:val="2"/>
          <w:szCs w:val="28"/>
          <w:lang w:val="en-GB"/>
          <w14:ligatures w14:val="standardContextual"/>
        </w:rPr>
        <w:t>Brand–Anime Fit</w:t>
      </w:r>
      <w:bookmarkEnd w:id="81"/>
    </w:p>
    <w:p w14:paraId="1696EEA9"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77CCD842" wp14:editId="0891488D">
            <wp:extent cx="3717290" cy="2191851"/>
            <wp:effectExtent l="0" t="0" r="0" b="0"/>
            <wp:docPr id="982036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36903" name=""/>
                    <pic:cNvPicPr/>
                  </pic:nvPicPr>
                  <pic:blipFill>
                    <a:blip r:embed="rId34"/>
                    <a:stretch>
                      <a:fillRect/>
                    </a:stretch>
                  </pic:blipFill>
                  <pic:spPr>
                    <a:xfrm>
                      <a:off x="0" y="0"/>
                      <a:ext cx="3732126" cy="2200599"/>
                    </a:xfrm>
                    <a:prstGeom prst="rect">
                      <a:avLst/>
                    </a:prstGeom>
                  </pic:spPr>
                </pic:pic>
              </a:graphicData>
            </a:graphic>
          </wp:inline>
        </w:drawing>
      </w:r>
    </w:p>
    <w:p w14:paraId="374E7EE5"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82" w:name="_Toc241170099"/>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17</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Histogram of Brand–Anime Fit</w:t>
      </w:r>
      <w:bookmarkEnd w:id="82"/>
    </w:p>
    <w:p w14:paraId="5966E53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Figure 17 presents the distribution of Brand–Anime Fit (M = 2.84, SD = 1.013, N = 150). The scores were largely clustered in the 1.5–3.5 range with a peak of 2.5–3.0. Five responses are grouped around 5.00. As a result, the distribution of the data does not appear to have a smooth, symmetric bell shape.</w:t>
      </w:r>
    </w:p>
    <w:p w14:paraId="5B736603"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48990457" wp14:editId="31486382">
            <wp:extent cx="3811079" cy="2247153"/>
            <wp:effectExtent l="0" t="0" r="0" b="1270"/>
            <wp:docPr id="589429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429288" name=""/>
                    <pic:cNvPicPr/>
                  </pic:nvPicPr>
                  <pic:blipFill>
                    <a:blip r:embed="rId35"/>
                    <a:stretch>
                      <a:fillRect/>
                    </a:stretch>
                  </pic:blipFill>
                  <pic:spPr>
                    <a:xfrm>
                      <a:off x="0" y="0"/>
                      <a:ext cx="3832183" cy="2259597"/>
                    </a:xfrm>
                    <a:prstGeom prst="rect">
                      <a:avLst/>
                    </a:prstGeom>
                  </pic:spPr>
                </pic:pic>
              </a:graphicData>
            </a:graphic>
          </wp:inline>
        </w:drawing>
      </w:r>
    </w:p>
    <w:p w14:paraId="751D596D"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83" w:name="_Toc241170100"/>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18</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Normal Q–Q Plot of Brand–Anime Fit</w:t>
      </w:r>
      <w:bookmarkEnd w:id="83"/>
    </w:p>
    <w:p w14:paraId="01FCB0B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Q–Q plot for Brand–Anime Fit is shown in figure 18. Observations in the mid-range are </w:t>
      </w:r>
      <w:proofErr w:type="gramStart"/>
      <w:r w:rsidRPr="000C307D">
        <w:rPr>
          <w:rFonts w:eastAsia="Aptos" w:cs="Times New Roman"/>
          <w:kern w:val="2"/>
          <w:lang w:val="en-GB"/>
          <w14:ligatures w14:val="standardContextual"/>
        </w:rPr>
        <w:t>fairly close</w:t>
      </w:r>
      <w:proofErr w:type="gramEnd"/>
      <w:r w:rsidRPr="000C307D">
        <w:rPr>
          <w:rFonts w:eastAsia="Aptos" w:cs="Times New Roman"/>
          <w:kern w:val="2"/>
          <w:lang w:val="en-GB"/>
          <w14:ligatures w14:val="standardContextual"/>
        </w:rPr>
        <w:t xml:space="preserve"> to the reference line, but there are more noticeable variations at the low and high end. The greatest ones observed show a very marked deviation. This, along with the substantial normality test (p &lt; .001), shows that Brand–Anime Fit scores are not normal.</w:t>
      </w:r>
    </w:p>
    <w:p w14:paraId="56146214"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84" w:name="_Toc241176402"/>
      <w:r w:rsidRPr="000C307D">
        <w:rPr>
          <w:rFonts w:eastAsia="Times New Roman" w:cs="Times New Roman"/>
          <w:b/>
          <w:color w:val="000000"/>
          <w:kern w:val="2"/>
          <w:szCs w:val="28"/>
          <w:lang w:val="en-GB"/>
          <w14:ligatures w14:val="standardContextual"/>
        </w:rPr>
        <w:lastRenderedPageBreak/>
        <w:t>Anime Involvement</w:t>
      </w:r>
      <w:bookmarkEnd w:id="84"/>
    </w:p>
    <w:p w14:paraId="67036DEF"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411E4D44" wp14:editId="4286F7C7">
            <wp:extent cx="4166124" cy="2456500"/>
            <wp:effectExtent l="0" t="0" r="6350" b="1270"/>
            <wp:docPr id="1221848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848823" name=""/>
                    <pic:cNvPicPr/>
                  </pic:nvPicPr>
                  <pic:blipFill>
                    <a:blip r:embed="rId36"/>
                    <a:stretch>
                      <a:fillRect/>
                    </a:stretch>
                  </pic:blipFill>
                  <pic:spPr>
                    <a:xfrm>
                      <a:off x="0" y="0"/>
                      <a:ext cx="4185968" cy="2468201"/>
                    </a:xfrm>
                    <a:prstGeom prst="rect">
                      <a:avLst/>
                    </a:prstGeom>
                  </pic:spPr>
                </pic:pic>
              </a:graphicData>
            </a:graphic>
          </wp:inline>
        </w:drawing>
      </w:r>
    </w:p>
    <w:p w14:paraId="099D6469"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85" w:name="_Toc241170101"/>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19</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Histogram of Anime Involvement</w:t>
      </w:r>
      <w:bookmarkEnd w:id="85"/>
    </w:p>
    <w:p w14:paraId="7621C9E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Figure 19 illustrates the distribution of Anime Involvement (M = 2.78, SD = 1.055, N = 150). </w:t>
      </w:r>
      <w:proofErr w:type="gramStart"/>
      <w:r w:rsidRPr="000C307D">
        <w:rPr>
          <w:rFonts w:eastAsia="Aptos" w:cs="Times New Roman"/>
          <w:kern w:val="2"/>
          <w:lang w:val="en-GB"/>
          <w14:ligatures w14:val="standardContextual"/>
        </w:rPr>
        <w:t>The majority of</w:t>
      </w:r>
      <w:proofErr w:type="gramEnd"/>
      <w:r w:rsidRPr="000C307D">
        <w:rPr>
          <w:rFonts w:eastAsia="Aptos" w:cs="Times New Roman"/>
          <w:kern w:val="2"/>
          <w:lang w:val="en-GB"/>
          <w14:ligatures w14:val="standardContextual"/>
        </w:rPr>
        <w:t xml:space="preserve"> the responses were clustered around 1.5 to 3.5, and a smaller number of responses were at the highest score of 5.00. The distribution is thus not normally bell-shaped, but rather the distribution is skewed, which is statistically significant as detected by the formal normality tests.</w:t>
      </w:r>
    </w:p>
    <w:p w14:paraId="094BF193"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4EDC7179" wp14:editId="79FA032C">
            <wp:extent cx="3729332" cy="2198951"/>
            <wp:effectExtent l="0" t="0" r="5080" b="0"/>
            <wp:docPr id="211563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3944" name=""/>
                    <pic:cNvPicPr/>
                  </pic:nvPicPr>
                  <pic:blipFill>
                    <a:blip r:embed="rId37"/>
                    <a:stretch>
                      <a:fillRect/>
                    </a:stretch>
                  </pic:blipFill>
                  <pic:spPr>
                    <a:xfrm>
                      <a:off x="0" y="0"/>
                      <a:ext cx="3751901" cy="2212259"/>
                    </a:xfrm>
                    <a:prstGeom prst="rect">
                      <a:avLst/>
                    </a:prstGeom>
                  </pic:spPr>
                </pic:pic>
              </a:graphicData>
            </a:graphic>
          </wp:inline>
        </w:drawing>
      </w:r>
    </w:p>
    <w:p w14:paraId="417F46AE"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86" w:name="_Toc241170102"/>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20</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Normal Q–Q Plot of Anime Involvement</w:t>
      </w:r>
      <w:bookmarkEnd w:id="86"/>
    </w:p>
    <w:p w14:paraId="4AC7567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Q – Q plot for Anime Involvement is shown in Figure 20. The central observations are reasonably aligned with the diagonal reference line, but there are deviations at the extremes, especially at the high end. This trend is reflected in the normality-test results </w:t>
      </w:r>
      <w:r w:rsidRPr="000C307D">
        <w:rPr>
          <w:rFonts w:eastAsia="Aptos" w:cs="Times New Roman"/>
          <w:kern w:val="2"/>
          <w:lang w:val="en-GB"/>
          <w14:ligatures w14:val="standardContextual"/>
        </w:rPr>
        <w:lastRenderedPageBreak/>
        <w:t>(p &lt; .001) and suggests that the distribution of the Anime Involvement scores is not normal.</w:t>
      </w:r>
    </w:p>
    <w:p w14:paraId="5C4D7B48"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87" w:name="_Toc241176403"/>
      <w:r w:rsidRPr="000C307D">
        <w:rPr>
          <w:rFonts w:eastAsia="Times New Roman" w:cs="Times New Roman"/>
          <w:b/>
          <w:color w:val="000000"/>
          <w:kern w:val="2"/>
          <w:szCs w:val="28"/>
          <w:lang w:val="en-GB"/>
          <w14:ligatures w14:val="standardContextual"/>
        </w:rPr>
        <w:t>Consumer Engagement</w:t>
      </w:r>
      <w:bookmarkEnd w:id="87"/>
    </w:p>
    <w:p w14:paraId="237F67C1"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0758B57C" wp14:editId="71370B51">
            <wp:extent cx="3661767" cy="2159112"/>
            <wp:effectExtent l="0" t="0" r="0" b="0"/>
            <wp:docPr id="49189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9889" name=""/>
                    <pic:cNvPicPr/>
                  </pic:nvPicPr>
                  <pic:blipFill>
                    <a:blip r:embed="rId38"/>
                    <a:stretch>
                      <a:fillRect/>
                    </a:stretch>
                  </pic:blipFill>
                  <pic:spPr>
                    <a:xfrm>
                      <a:off x="0" y="0"/>
                      <a:ext cx="3681074" cy="2170496"/>
                    </a:xfrm>
                    <a:prstGeom prst="rect">
                      <a:avLst/>
                    </a:prstGeom>
                  </pic:spPr>
                </pic:pic>
              </a:graphicData>
            </a:graphic>
          </wp:inline>
        </w:drawing>
      </w:r>
    </w:p>
    <w:p w14:paraId="69BC0E7C"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88" w:name="_Toc241170103"/>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21</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Histogram of Consumer Engagement</w:t>
      </w:r>
      <w:bookmarkEnd w:id="88"/>
    </w:p>
    <w:p w14:paraId="6E848DC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21 shows the distribution of Consumer Engagement (M = 2.83, SD = 1.045, N = 150). Responses were primarily concentrated between approximately 1.5 and 3.5, although additional concentrations appeared around 4.0 and particularly at 5.00. The resulting distribution is not smoothly symmetrical or bell-shaped, which is consistent with the statistically significant normality tests reported for Consumer Engagement.</w:t>
      </w:r>
    </w:p>
    <w:p w14:paraId="6E40DABF"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67BA283F" wp14:editId="6BA6E29C">
            <wp:extent cx="4316353" cy="2545080"/>
            <wp:effectExtent l="0" t="0" r="8255" b="7620"/>
            <wp:docPr id="2105829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29969" name=""/>
                    <pic:cNvPicPr/>
                  </pic:nvPicPr>
                  <pic:blipFill>
                    <a:blip r:embed="rId39"/>
                    <a:stretch>
                      <a:fillRect/>
                    </a:stretch>
                  </pic:blipFill>
                  <pic:spPr>
                    <a:xfrm>
                      <a:off x="0" y="0"/>
                      <a:ext cx="4323738" cy="2549435"/>
                    </a:xfrm>
                    <a:prstGeom prst="rect">
                      <a:avLst/>
                    </a:prstGeom>
                  </pic:spPr>
                </pic:pic>
              </a:graphicData>
            </a:graphic>
          </wp:inline>
        </w:drawing>
      </w:r>
    </w:p>
    <w:p w14:paraId="4914B32B"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89" w:name="_Toc241170104"/>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22</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Normal Q–Q Plot of Consumer Engagement</w:t>
      </w:r>
      <w:bookmarkEnd w:id="89"/>
    </w:p>
    <w:p w14:paraId="3A2A541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The Q–Q plot of Consumer Engagement is shown in Figure 22. Although there are many central observations that lie near the reference line, systematic deviations are seen for both low and high values. The divergence is especially pronounced at the upper end. Thus, the graphical evidence concurs with the significant normality tests (p &lt; .001) that show that scores on Consumer Engagement are not normally distributed.</w:t>
      </w:r>
    </w:p>
    <w:p w14:paraId="04E987B3"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90" w:name="_Toc241176404"/>
      <w:r w:rsidRPr="000C307D">
        <w:rPr>
          <w:rFonts w:eastAsia="Times New Roman" w:cs="Times New Roman"/>
          <w:b/>
          <w:color w:val="000000"/>
          <w:kern w:val="2"/>
          <w:szCs w:val="28"/>
          <w:lang w:val="en-GB"/>
          <w14:ligatures w14:val="standardContextual"/>
        </w:rPr>
        <w:t>Purchase Intention</w:t>
      </w:r>
      <w:bookmarkEnd w:id="90"/>
    </w:p>
    <w:p w14:paraId="0E07831F"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7C505FD2" wp14:editId="327903E2">
            <wp:extent cx="4445585" cy="2621280"/>
            <wp:effectExtent l="0" t="0" r="0" b="7620"/>
            <wp:docPr id="1217964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64178" name=""/>
                    <pic:cNvPicPr/>
                  </pic:nvPicPr>
                  <pic:blipFill>
                    <a:blip r:embed="rId40"/>
                    <a:stretch>
                      <a:fillRect/>
                    </a:stretch>
                  </pic:blipFill>
                  <pic:spPr>
                    <a:xfrm>
                      <a:off x="0" y="0"/>
                      <a:ext cx="4452096" cy="2625119"/>
                    </a:xfrm>
                    <a:prstGeom prst="rect">
                      <a:avLst/>
                    </a:prstGeom>
                  </pic:spPr>
                </pic:pic>
              </a:graphicData>
            </a:graphic>
          </wp:inline>
        </w:drawing>
      </w:r>
    </w:p>
    <w:p w14:paraId="513DEC5D"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91" w:name="_Toc241170105"/>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23</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Histogram of Purchase Intention</w:t>
      </w:r>
      <w:bookmarkEnd w:id="91"/>
    </w:p>
    <w:p w14:paraId="4FA19D2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Figure 23 illustrates Purchase Intention scores (M = 2.83, SD = 1.052, N = 150). The responses most responses were focused on a score of around 1.5 to 3.5, and there was another significant cluster around 5.00, the maximum possible score. Therefore, the distribution deviates from the smooth bell-shaped, which is in line with the statistically significant normality-test result achieved for Purchase Intention.</w:t>
      </w:r>
    </w:p>
    <w:p w14:paraId="0616B431" w14:textId="77777777" w:rsidR="000C307D" w:rsidRPr="000C307D" w:rsidRDefault="000C307D" w:rsidP="000C307D">
      <w:pPr>
        <w:keepNext/>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6796D409" wp14:editId="20513C6E">
            <wp:extent cx="4381320" cy="2583388"/>
            <wp:effectExtent l="0" t="0" r="635" b="7620"/>
            <wp:docPr id="200274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4307" name=""/>
                    <pic:cNvPicPr/>
                  </pic:nvPicPr>
                  <pic:blipFill>
                    <a:blip r:embed="rId41"/>
                    <a:stretch>
                      <a:fillRect/>
                    </a:stretch>
                  </pic:blipFill>
                  <pic:spPr>
                    <a:xfrm>
                      <a:off x="0" y="0"/>
                      <a:ext cx="4396528" cy="2592355"/>
                    </a:xfrm>
                    <a:prstGeom prst="rect">
                      <a:avLst/>
                    </a:prstGeom>
                  </pic:spPr>
                </pic:pic>
              </a:graphicData>
            </a:graphic>
          </wp:inline>
        </w:drawing>
      </w:r>
    </w:p>
    <w:p w14:paraId="300B792B" w14:textId="77777777" w:rsidR="000C307D" w:rsidRPr="000C307D" w:rsidRDefault="000C307D" w:rsidP="000C307D">
      <w:pPr>
        <w:spacing w:line="240" w:lineRule="auto"/>
        <w:jc w:val="center"/>
        <w:rPr>
          <w:rFonts w:eastAsia="Aptos" w:cs="Times New Roman"/>
          <w:i/>
          <w:iCs/>
          <w:color w:val="44546A"/>
          <w:kern w:val="2"/>
          <w:sz w:val="18"/>
          <w:szCs w:val="18"/>
          <w:lang w:val="en-GB"/>
          <w14:ligatures w14:val="standardContextual"/>
        </w:rPr>
      </w:pPr>
      <w:bookmarkStart w:id="92" w:name="_Toc241170106"/>
      <w:r w:rsidRPr="000C307D">
        <w:rPr>
          <w:rFonts w:eastAsia="Aptos" w:cs="Times New Roman"/>
          <w:i/>
          <w:iCs/>
          <w:color w:val="44546A"/>
          <w:kern w:val="2"/>
          <w:sz w:val="18"/>
          <w:szCs w:val="18"/>
          <w:lang w:val="en-GB"/>
          <w14:ligatures w14:val="standardContextual"/>
        </w:rPr>
        <w:t xml:space="preserve">Figure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Figure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24</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Normal Q–Q Plot of Purchase Intention</w:t>
      </w:r>
      <w:bookmarkEnd w:id="92"/>
    </w:p>
    <w:p w14:paraId="43343765"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Q–Q plot of Purchase Intention is shown in Figure 24. Greater deviations from the diagonal reference line are in the lower and upper tails, while central observations are generally closer to the diagonal. The highest values indicate a definite deviation from the norm. This graphical evidence is corroborated by the large normality tests (p &lt; .001), and this suggests that Purchase Intention scores are not normally distributed.</w:t>
      </w:r>
    </w:p>
    <w:p w14:paraId="453DF030"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93" w:name="_Toc241176405"/>
      <w:r w:rsidRPr="000C307D">
        <w:rPr>
          <w:rFonts w:eastAsia="Times New Roman" w:cs="Times New Roman"/>
          <w:b/>
          <w:color w:val="000000"/>
          <w:kern w:val="2"/>
          <w:sz w:val="28"/>
          <w:szCs w:val="32"/>
          <w:lang w:val="en-GB"/>
          <w14:ligatures w14:val="standardContextual"/>
        </w:rPr>
        <w:lastRenderedPageBreak/>
        <w:t>Pearson Correlation Analysis</w:t>
      </w:r>
      <w:bookmarkEnd w:id="93"/>
    </w:p>
    <w:p w14:paraId="74343AC0"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94" w:name="_Toc241170116"/>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10</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Pearson Correlation Analysis of the Main Study Constructs</w:t>
      </w:r>
      <w:bookmarkEnd w:id="94"/>
    </w:p>
    <w:p w14:paraId="12BEC560"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678815A9" wp14:editId="6AB3DC18">
            <wp:extent cx="5092065" cy="3909506"/>
            <wp:effectExtent l="0" t="0" r="0" b="0"/>
            <wp:docPr id="1416170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170276" name=""/>
                    <pic:cNvPicPr/>
                  </pic:nvPicPr>
                  <pic:blipFill>
                    <a:blip r:embed="rId42"/>
                    <a:stretch>
                      <a:fillRect/>
                    </a:stretch>
                  </pic:blipFill>
                  <pic:spPr>
                    <a:xfrm>
                      <a:off x="0" y="0"/>
                      <a:ext cx="5096128" cy="3912625"/>
                    </a:xfrm>
                    <a:prstGeom prst="rect">
                      <a:avLst/>
                    </a:prstGeom>
                  </pic:spPr>
                </pic:pic>
              </a:graphicData>
            </a:graphic>
          </wp:inline>
        </w:drawing>
      </w:r>
    </w:p>
    <w:p w14:paraId="3BA69D7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Pearson correlation between the five study constructs </w:t>
      </w:r>
      <w:proofErr w:type="gramStart"/>
      <w:r w:rsidRPr="000C307D">
        <w:rPr>
          <w:rFonts w:eastAsia="Aptos" w:cs="Times New Roman"/>
          <w:kern w:val="2"/>
          <w:lang w:val="en-GB"/>
          <w14:ligatures w14:val="standardContextual"/>
        </w:rPr>
        <w:t>are</w:t>
      </w:r>
      <w:proofErr w:type="gramEnd"/>
      <w:r w:rsidRPr="000C307D">
        <w:rPr>
          <w:rFonts w:eastAsia="Aptos" w:cs="Times New Roman"/>
          <w:kern w:val="2"/>
          <w:lang w:val="en-GB"/>
          <w14:ligatures w14:val="standardContextual"/>
        </w:rPr>
        <w:t xml:space="preserve"> shown in Table 10 (N = 150). There was no significant correlation between Perceived Authenticity and Consumer Engagement (r = −.031, p = .703) and between Brand–Anime Fit and Consumer Engagement (r = .125, p = .127). Anime Involvement had a significant positive correlation with Consumer Engagement (r = .174, p = .033) and Purchase Intention (r = .193, p = .018). A statistically significant positive correlation was found between Consumer Engagement and Purchase Intention (r = .263, p = .001). Overall, the correlations were weak, with the relationship between Consumer Engagement and Purchase Intention being statistically significant but modest in strength.</w:t>
      </w:r>
    </w:p>
    <w:p w14:paraId="01F38A71"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95" w:name="_Toc241176406"/>
      <w:r w:rsidRPr="000C307D">
        <w:rPr>
          <w:rFonts w:eastAsia="Times New Roman" w:cs="Times New Roman"/>
          <w:b/>
          <w:color w:val="000000"/>
          <w:kern w:val="2"/>
          <w:sz w:val="28"/>
          <w:szCs w:val="32"/>
          <w:lang w:val="en-GB"/>
          <w14:ligatures w14:val="standardContextual"/>
        </w:rPr>
        <w:lastRenderedPageBreak/>
        <w:t>Multiple Regression: H1, H2 and H3</w:t>
      </w:r>
      <w:bookmarkEnd w:id="95"/>
    </w:p>
    <w:p w14:paraId="7712CAF8"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96" w:name="_Toc241170117"/>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11</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Model Summary for Multiple Regression Predicting Consumer Engagement</w:t>
      </w:r>
      <w:bookmarkEnd w:id="96"/>
    </w:p>
    <w:p w14:paraId="27017599"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10F6D8C" wp14:editId="17EA4BC2">
            <wp:extent cx="5943600" cy="1250315"/>
            <wp:effectExtent l="0" t="0" r="0" b="6985"/>
            <wp:docPr id="412358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58076" name=""/>
                    <pic:cNvPicPr/>
                  </pic:nvPicPr>
                  <pic:blipFill>
                    <a:blip r:embed="rId43"/>
                    <a:stretch>
                      <a:fillRect/>
                    </a:stretch>
                  </pic:blipFill>
                  <pic:spPr>
                    <a:xfrm>
                      <a:off x="0" y="0"/>
                      <a:ext cx="5943600" cy="1250315"/>
                    </a:xfrm>
                    <a:prstGeom prst="rect">
                      <a:avLst/>
                    </a:prstGeom>
                  </pic:spPr>
                </pic:pic>
              </a:graphicData>
            </a:graphic>
          </wp:inline>
        </w:drawing>
      </w:r>
    </w:p>
    <w:p w14:paraId="7E092F8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Table 11 presents the multiple regression model predicting Consumer Engagement from Perceived Authenticity, Brand–Anime Fit and Anime Involvement. The model produced R = .198, R² = .039, and adjusted R² = .019. Thus, the three predictors collectively explained 3.9% of the variance in Consumer Engagement. The low R² indicates that most variation in engagement was explained by factors outside this regression model.</w:t>
      </w:r>
    </w:p>
    <w:p w14:paraId="4171D3D8"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97" w:name="_Toc241170118"/>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12</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ANOVA for Multiple Regression Predicting Consumer Engagement</w:t>
      </w:r>
      <w:bookmarkEnd w:id="97"/>
    </w:p>
    <w:p w14:paraId="46D8D21F"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2691849" wp14:editId="64D574F2">
            <wp:extent cx="5086350" cy="1809750"/>
            <wp:effectExtent l="0" t="0" r="0" b="0"/>
            <wp:docPr id="483916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916702" name=""/>
                    <pic:cNvPicPr/>
                  </pic:nvPicPr>
                  <pic:blipFill>
                    <a:blip r:embed="rId44"/>
                    <a:stretch>
                      <a:fillRect/>
                    </a:stretch>
                  </pic:blipFill>
                  <pic:spPr>
                    <a:xfrm>
                      <a:off x="0" y="0"/>
                      <a:ext cx="5086350" cy="1809750"/>
                    </a:xfrm>
                    <a:prstGeom prst="rect">
                      <a:avLst/>
                    </a:prstGeom>
                  </pic:spPr>
                </pic:pic>
              </a:graphicData>
            </a:graphic>
          </wp:inline>
        </w:drawing>
      </w:r>
    </w:p>
    <w:p w14:paraId="0701C22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Table 12 shows the overall significance of the regression model. The model was not statistically significant, </w:t>
      </w:r>
      <w:proofErr w:type="gramStart"/>
      <w:r w:rsidRPr="000C307D">
        <w:rPr>
          <w:rFonts w:eastAsia="Aptos" w:cs="Times New Roman"/>
          <w:kern w:val="2"/>
          <w:lang w:val="en-GB"/>
          <w14:ligatures w14:val="standardContextual"/>
        </w:rPr>
        <w:t>F(</w:t>
      </w:r>
      <w:proofErr w:type="gramEnd"/>
      <w:r w:rsidRPr="000C307D">
        <w:rPr>
          <w:rFonts w:eastAsia="Aptos" w:cs="Times New Roman"/>
          <w:kern w:val="2"/>
          <w:lang w:val="en-GB"/>
          <w14:ligatures w14:val="standardContextual"/>
        </w:rPr>
        <w:t>3,146) = 1.984, p = .119. Therefore, Perceived Authenticity, Brand–Anime Fit and Anime Involvement, when considered together, did not significantly predict Consumer Engagement at the 5% significance level. This is consistent with the limited explanatory power indicated by the model’s R² of .039.</w:t>
      </w:r>
    </w:p>
    <w:p w14:paraId="69816824"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98" w:name="_Toc241170119"/>
      <w:r w:rsidRPr="000C307D">
        <w:rPr>
          <w:rFonts w:eastAsia="Aptos" w:cs="Times New Roman"/>
          <w:i/>
          <w:iCs/>
          <w:color w:val="44546A"/>
          <w:kern w:val="2"/>
          <w:sz w:val="18"/>
          <w:szCs w:val="18"/>
          <w:lang w:val="en-GB"/>
          <w14:ligatures w14:val="standardContextual"/>
        </w:rPr>
        <w:lastRenderedPageBreak/>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13</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Multiple Regression Coefficients for Predictors of Consumer Engagement</w:t>
      </w:r>
      <w:bookmarkEnd w:id="98"/>
    </w:p>
    <w:p w14:paraId="24852C75"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6BF44C3E" wp14:editId="161DC8AF">
            <wp:extent cx="5943600" cy="1816100"/>
            <wp:effectExtent l="0" t="0" r="0" b="0"/>
            <wp:docPr id="1541437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437018" name=""/>
                    <pic:cNvPicPr/>
                  </pic:nvPicPr>
                  <pic:blipFill>
                    <a:blip r:embed="rId45"/>
                    <a:stretch>
                      <a:fillRect/>
                    </a:stretch>
                  </pic:blipFill>
                  <pic:spPr>
                    <a:xfrm>
                      <a:off x="0" y="0"/>
                      <a:ext cx="5943600" cy="1816100"/>
                    </a:xfrm>
                    <a:prstGeom prst="rect">
                      <a:avLst/>
                    </a:prstGeom>
                  </pic:spPr>
                </pic:pic>
              </a:graphicData>
            </a:graphic>
          </wp:inline>
        </w:drawing>
      </w:r>
    </w:p>
    <w:p w14:paraId="2407564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Table 13 shows that Perceived Authenticity was not significant (B = −.046, β = −.038, t = −.470, p = .639), so H1 was not supported. Brand–Anime Fit was also non-significant (B = .091, β = .088, t = 1.053, p = .294), meaning H2 was not supported. Anime Involvement was positive but non-significant (B = .153, β = .155, t = 1.850, p = .066); therefore, H3 was also not supported. VIF values of 1.002–1.063 indicated no multicollinearity concern.</w:t>
      </w:r>
    </w:p>
    <w:p w14:paraId="4884B59C"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99" w:name="_Toc241176407"/>
      <w:r w:rsidRPr="000C307D">
        <w:rPr>
          <w:rFonts w:eastAsia="Times New Roman" w:cs="Times New Roman"/>
          <w:b/>
          <w:color w:val="000000"/>
          <w:kern w:val="2"/>
          <w:sz w:val="28"/>
          <w:szCs w:val="32"/>
          <w:lang w:val="en-GB"/>
          <w14:ligatures w14:val="standardContextual"/>
        </w:rPr>
        <w:t>Simple Linear Regression: H4</w:t>
      </w:r>
      <w:bookmarkEnd w:id="99"/>
    </w:p>
    <w:p w14:paraId="2637EBC7"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100" w:name="_Toc241170120"/>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14</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Model Summary for Simple Linear Regression Predicting Purchase Intention</w:t>
      </w:r>
      <w:bookmarkEnd w:id="100"/>
    </w:p>
    <w:p w14:paraId="4A5CFD6B"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0FA89341" wp14:editId="5125E87F">
            <wp:extent cx="5943600" cy="1250315"/>
            <wp:effectExtent l="0" t="0" r="0" b="6985"/>
            <wp:docPr id="834495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495869" name=""/>
                    <pic:cNvPicPr/>
                  </pic:nvPicPr>
                  <pic:blipFill>
                    <a:blip r:embed="rId46"/>
                    <a:stretch>
                      <a:fillRect/>
                    </a:stretch>
                  </pic:blipFill>
                  <pic:spPr>
                    <a:xfrm>
                      <a:off x="0" y="0"/>
                      <a:ext cx="5943600" cy="1250315"/>
                    </a:xfrm>
                    <a:prstGeom prst="rect">
                      <a:avLst/>
                    </a:prstGeom>
                  </pic:spPr>
                </pic:pic>
              </a:graphicData>
            </a:graphic>
          </wp:inline>
        </w:drawing>
      </w:r>
    </w:p>
    <w:p w14:paraId="6C72E0B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Table 14 presents the simple linear regression model examining Consumer Engagement as a predictor of Purchase Intention. The model produced R = .263, R² = .069, and adjusted R² = .063. Therefore, Consumer Engagement explained 6.9% of the variance in Purchase Intention. Although the explained variance was relatively modest, the model results indicate a positive relationship between Consumer Engagement and Purchase Intention.</w:t>
      </w:r>
    </w:p>
    <w:p w14:paraId="0E22B295"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101" w:name="_Toc241170121"/>
      <w:r w:rsidRPr="000C307D">
        <w:rPr>
          <w:rFonts w:eastAsia="Aptos" w:cs="Times New Roman"/>
          <w:i/>
          <w:iCs/>
          <w:color w:val="44546A"/>
          <w:kern w:val="2"/>
          <w:sz w:val="18"/>
          <w:szCs w:val="18"/>
          <w:lang w:val="en-GB"/>
          <w14:ligatures w14:val="standardContextual"/>
        </w:rPr>
        <w:lastRenderedPageBreak/>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15</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ANOVA for Simple Linear Regression Predicting Purchase Intention</w:t>
      </w:r>
      <w:bookmarkEnd w:id="101"/>
    </w:p>
    <w:p w14:paraId="6429AE4E"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36553FB5" wp14:editId="7F79C7FC">
            <wp:extent cx="5086350" cy="1809750"/>
            <wp:effectExtent l="0" t="0" r="0" b="0"/>
            <wp:docPr id="1176335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35400" name=""/>
                    <pic:cNvPicPr/>
                  </pic:nvPicPr>
                  <pic:blipFill>
                    <a:blip r:embed="rId47"/>
                    <a:stretch>
                      <a:fillRect/>
                    </a:stretch>
                  </pic:blipFill>
                  <pic:spPr>
                    <a:xfrm>
                      <a:off x="0" y="0"/>
                      <a:ext cx="5086350" cy="1809750"/>
                    </a:xfrm>
                    <a:prstGeom prst="rect">
                      <a:avLst/>
                    </a:prstGeom>
                  </pic:spPr>
                </pic:pic>
              </a:graphicData>
            </a:graphic>
          </wp:inline>
        </w:drawing>
      </w:r>
    </w:p>
    <w:p w14:paraId="2E10DEA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overall regression model was significant (</w:t>
      </w:r>
      <w:proofErr w:type="gramStart"/>
      <w:r w:rsidRPr="000C307D">
        <w:rPr>
          <w:rFonts w:eastAsia="Aptos" w:cs="Times New Roman"/>
          <w:kern w:val="2"/>
          <w:lang w:val="en-GB"/>
          <w14:ligatures w14:val="standardContextual"/>
        </w:rPr>
        <w:t>F(</w:t>
      </w:r>
      <w:proofErr w:type="gramEnd"/>
      <w:r w:rsidRPr="000C307D">
        <w:rPr>
          <w:rFonts w:eastAsia="Aptos" w:cs="Times New Roman"/>
          <w:kern w:val="2"/>
          <w:lang w:val="en-GB"/>
          <w14:ligatures w14:val="standardContextual"/>
        </w:rPr>
        <w:t>1,148) = 11.019, p = .001) as shown in Table 15. The result indicates that Consumer Engagement significantly predicted Purchase Intention. The regression sum of squares was 11.436 and the residual sum of squares was 153.608. Thus, the model provides statistical evidence of a significant positive association between Consumer Engagement and Purchase Intention.</w:t>
      </w:r>
    </w:p>
    <w:p w14:paraId="583B3B62" w14:textId="77777777" w:rsidR="000C307D" w:rsidRPr="000C307D" w:rsidRDefault="000C307D" w:rsidP="000C307D">
      <w:pPr>
        <w:keepNext/>
        <w:spacing w:line="240" w:lineRule="auto"/>
        <w:jc w:val="center"/>
        <w:rPr>
          <w:rFonts w:eastAsia="Aptos" w:cs="Times New Roman"/>
          <w:i/>
          <w:iCs/>
          <w:color w:val="44546A"/>
          <w:kern w:val="2"/>
          <w:sz w:val="18"/>
          <w:szCs w:val="18"/>
          <w:lang w:val="en-GB"/>
          <w14:ligatures w14:val="standardContextual"/>
        </w:rPr>
      </w:pPr>
      <w:bookmarkStart w:id="102" w:name="_Toc241170122"/>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16</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Regression Coefficients for Consumer Engagement Predicting Purchase Intention</w:t>
      </w:r>
      <w:bookmarkEnd w:id="102"/>
    </w:p>
    <w:p w14:paraId="736202B4" w14:textId="77777777" w:rsidR="000C307D" w:rsidRPr="000C307D" w:rsidRDefault="000C307D" w:rsidP="000C307D">
      <w:pPr>
        <w:spacing w:after="160"/>
        <w:jc w:val="center"/>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7DFA0874" wp14:editId="7C23385B">
            <wp:extent cx="5943600" cy="1435735"/>
            <wp:effectExtent l="0" t="0" r="0" b="0"/>
            <wp:docPr id="1017566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566067" name=""/>
                    <pic:cNvPicPr/>
                  </pic:nvPicPr>
                  <pic:blipFill>
                    <a:blip r:embed="rId48"/>
                    <a:stretch>
                      <a:fillRect/>
                    </a:stretch>
                  </pic:blipFill>
                  <pic:spPr>
                    <a:xfrm>
                      <a:off x="0" y="0"/>
                      <a:ext cx="5943600" cy="1435735"/>
                    </a:xfrm>
                    <a:prstGeom prst="rect">
                      <a:avLst/>
                    </a:prstGeom>
                  </pic:spPr>
                </pic:pic>
              </a:graphicData>
            </a:graphic>
          </wp:inline>
        </w:drawing>
      </w:r>
    </w:p>
    <w:p w14:paraId="120EA70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Table 16 shows that Consumer Engagement was a significant positive predictor of Purchase Intention (B = .265, SE = .080, β = .263, t = 3.319, p = .001). For every one-unit increase in Consumer Engagement, Purchase Intention increased by 0.265 units. The positive and significant coefficient supports H4 as it indicates that an increase in Consumer Engagement is related to an increase in Purchase Intention.</w:t>
      </w:r>
    </w:p>
    <w:p w14:paraId="5729B5B1"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03" w:name="_Toc241176408"/>
      <w:r w:rsidRPr="000C307D">
        <w:rPr>
          <w:rFonts w:eastAsia="Times New Roman" w:cs="Times New Roman"/>
          <w:b/>
          <w:color w:val="000000"/>
          <w:kern w:val="2"/>
          <w:sz w:val="28"/>
          <w:szCs w:val="32"/>
          <w:lang w:val="en-GB"/>
          <w14:ligatures w14:val="standardContextual"/>
        </w:rPr>
        <w:t>Final Hypothesis Summary</w:t>
      </w:r>
      <w:bookmarkEnd w:id="103"/>
    </w:p>
    <w:p w14:paraId="762C2974" w14:textId="77777777" w:rsidR="000C307D" w:rsidRPr="000C307D" w:rsidRDefault="000C307D" w:rsidP="000C307D">
      <w:pPr>
        <w:keepNext/>
        <w:spacing w:line="240" w:lineRule="auto"/>
        <w:rPr>
          <w:rFonts w:eastAsia="Aptos" w:cs="Times New Roman"/>
          <w:i/>
          <w:iCs/>
          <w:color w:val="44546A"/>
          <w:kern w:val="2"/>
          <w:sz w:val="18"/>
          <w:szCs w:val="18"/>
          <w:lang w:val="en-GB"/>
          <w14:ligatures w14:val="standardContextual"/>
        </w:rPr>
      </w:pPr>
      <w:bookmarkStart w:id="104" w:name="_Toc241170123"/>
      <w:r w:rsidRPr="000C307D">
        <w:rPr>
          <w:rFonts w:eastAsia="Aptos" w:cs="Times New Roman"/>
          <w:i/>
          <w:iCs/>
          <w:color w:val="44546A"/>
          <w:kern w:val="2"/>
          <w:sz w:val="18"/>
          <w:szCs w:val="18"/>
          <w:lang w:val="en-GB"/>
          <w14:ligatures w14:val="standardContextual"/>
        </w:rPr>
        <w:t xml:space="preserve">Table </w:t>
      </w:r>
      <w:r w:rsidRPr="000C307D">
        <w:rPr>
          <w:rFonts w:eastAsia="Aptos" w:cs="Times New Roman"/>
          <w:i/>
          <w:iCs/>
          <w:color w:val="44546A"/>
          <w:kern w:val="2"/>
          <w:sz w:val="18"/>
          <w:szCs w:val="18"/>
          <w:lang w:val="en-GB"/>
          <w14:ligatures w14:val="standardContextual"/>
        </w:rPr>
        <w:fldChar w:fldCharType="begin"/>
      </w:r>
      <w:r w:rsidRPr="000C307D">
        <w:rPr>
          <w:rFonts w:eastAsia="Aptos" w:cs="Times New Roman"/>
          <w:i/>
          <w:iCs/>
          <w:color w:val="44546A"/>
          <w:kern w:val="2"/>
          <w:sz w:val="18"/>
          <w:szCs w:val="18"/>
          <w:lang w:val="en-GB"/>
          <w14:ligatures w14:val="standardContextual"/>
        </w:rPr>
        <w:instrText xml:space="preserve"> SEQ Table \* ARABIC </w:instrText>
      </w:r>
      <w:r w:rsidRPr="000C307D">
        <w:rPr>
          <w:rFonts w:eastAsia="Aptos" w:cs="Times New Roman"/>
          <w:i/>
          <w:iCs/>
          <w:color w:val="44546A"/>
          <w:kern w:val="2"/>
          <w:sz w:val="18"/>
          <w:szCs w:val="18"/>
          <w:lang w:val="en-GB"/>
          <w14:ligatures w14:val="standardContextual"/>
        </w:rPr>
        <w:fldChar w:fldCharType="separate"/>
      </w:r>
      <w:r w:rsidRPr="000C307D">
        <w:rPr>
          <w:rFonts w:eastAsia="Aptos" w:cs="Times New Roman"/>
          <w:i/>
          <w:iCs/>
          <w:noProof/>
          <w:color w:val="44546A"/>
          <w:kern w:val="2"/>
          <w:sz w:val="18"/>
          <w:szCs w:val="18"/>
          <w:lang w:val="en-GB"/>
          <w14:ligatures w14:val="standardContextual"/>
        </w:rPr>
        <w:t>17</w:t>
      </w:r>
      <w:r w:rsidRPr="000C307D">
        <w:rPr>
          <w:rFonts w:eastAsia="Aptos" w:cs="Times New Roman"/>
          <w:i/>
          <w:iCs/>
          <w:color w:val="44546A"/>
          <w:kern w:val="2"/>
          <w:sz w:val="18"/>
          <w:szCs w:val="18"/>
          <w:lang w:val="en-GB"/>
          <w14:ligatures w14:val="standardContextual"/>
        </w:rPr>
        <w:fldChar w:fldCharType="end"/>
      </w:r>
      <w:r w:rsidRPr="000C307D">
        <w:rPr>
          <w:rFonts w:eastAsia="Aptos" w:cs="Times New Roman"/>
          <w:i/>
          <w:iCs/>
          <w:color w:val="44546A"/>
          <w:kern w:val="2"/>
          <w:sz w:val="18"/>
          <w:szCs w:val="18"/>
          <w:lang w:val="en-GB"/>
          <w14:ligatures w14:val="standardContextual"/>
        </w:rPr>
        <w:t>: Summary of Hypothesis Testing Results</w:t>
      </w:r>
      <w:bookmarkEnd w:id="104"/>
    </w:p>
    <w:tbl>
      <w:tblPr>
        <w:tblStyle w:val="TableGrid"/>
        <w:tblW w:w="0" w:type="auto"/>
        <w:tblLook w:val="04A0" w:firstRow="1" w:lastRow="0" w:firstColumn="1" w:lastColumn="0" w:noHBand="0" w:noVBand="1"/>
      </w:tblPr>
      <w:tblGrid>
        <w:gridCol w:w="1510"/>
        <w:gridCol w:w="4272"/>
        <w:gridCol w:w="1833"/>
        <w:gridCol w:w="1735"/>
      </w:tblGrid>
      <w:tr w:rsidR="000C307D" w:rsidRPr="000C307D" w14:paraId="3EA86627" w14:textId="77777777" w:rsidTr="000116AF">
        <w:tc>
          <w:tcPr>
            <w:tcW w:w="0" w:type="auto"/>
            <w:hideMark/>
          </w:tcPr>
          <w:p w14:paraId="173F4566" w14:textId="77777777" w:rsidR="000C307D" w:rsidRPr="000C307D" w:rsidRDefault="000C307D" w:rsidP="000C307D">
            <w:pPr>
              <w:spacing w:after="160"/>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Hypothesis</w:t>
            </w:r>
          </w:p>
        </w:tc>
        <w:tc>
          <w:tcPr>
            <w:tcW w:w="0" w:type="auto"/>
            <w:hideMark/>
          </w:tcPr>
          <w:p w14:paraId="71561013" w14:textId="77777777" w:rsidR="000C307D" w:rsidRPr="000C307D" w:rsidRDefault="000C307D" w:rsidP="000C307D">
            <w:pPr>
              <w:spacing w:after="160"/>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Proposed Relationship</w:t>
            </w:r>
          </w:p>
        </w:tc>
        <w:tc>
          <w:tcPr>
            <w:tcW w:w="0" w:type="auto"/>
            <w:hideMark/>
          </w:tcPr>
          <w:p w14:paraId="0DB3A7AF" w14:textId="77777777" w:rsidR="000C307D" w:rsidRPr="000C307D" w:rsidRDefault="000C307D" w:rsidP="000C307D">
            <w:pPr>
              <w:spacing w:after="160"/>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Result</w:t>
            </w:r>
          </w:p>
        </w:tc>
        <w:tc>
          <w:tcPr>
            <w:tcW w:w="0" w:type="auto"/>
            <w:hideMark/>
          </w:tcPr>
          <w:p w14:paraId="4034A4F0" w14:textId="77777777" w:rsidR="000C307D" w:rsidRPr="000C307D" w:rsidRDefault="000C307D" w:rsidP="000C307D">
            <w:pPr>
              <w:spacing w:after="160"/>
              <w:rPr>
                <w:rFonts w:eastAsia="Aptos" w:cs="Times New Roman"/>
                <w:b/>
                <w:bCs/>
                <w:kern w:val="2"/>
                <w:sz w:val="24"/>
                <w:lang w:val="en-GB"/>
                <w14:ligatures w14:val="standardContextual"/>
              </w:rPr>
            </w:pPr>
            <w:r w:rsidRPr="000C307D">
              <w:rPr>
                <w:rFonts w:eastAsia="Aptos" w:cs="Times New Roman"/>
                <w:b/>
                <w:bCs/>
                <w:kern w:val="2"/>
                <w:sz w:val="24"/>
                <w:lang w:val="en-GB"/>
                <w14:ligatures w14:val="standardContextual"/>
              </w:rPr>
              <w:t>Decision</w:t>
            </w:r>
          </w:p>
        </w:tc>
      </w:tr>
      <w:tr w:rsidR="000C307D" w:rsidRPr="000C307D" w14:paraId="39328C15" w14:textId="77777777" w:rsidTr="000116AF">
        <w:tc>
          <w:tcPr>
            <w:tcW w:w="0" w:type="auto"/>
            <w:hideMark/>
          </w:tcPr>
          <w:p w14:paraId="5D63AD46"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lastRenderedPageBreak/>
              <w:t>H1</w:t>
            </w:r>
          </w:p>
        </w:tc>
        <w:tc>
          <w:tcPr>
            <w:tcW w:w="0" w:type="auto"/>
            <w:hideMark/>
          </w:tcPr>
          <w:p w14:paraId="53FB3EBB"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Perceived Authenticity → Consumer Engagement</w:t>
            </w:r>
          </w:p>
        </w:tc>
        <w:tc>
          <w:tcPr>
            <w:tcW w:w="0" w:type="auto"/>
            <w:hideMark/>
          </w:tcPr>
          <w:p w14:paraId="68A25FC7"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β = −.038, p = .639</w:t>
            </w:r>
          </w:p>
        </w:tc>
        <w:tc>
          <w:tcPr>
            <w:tcW w:w="0" w:type="auto"/>
            <w:hideMark/>
          </w:tcPr>
          <w:p w14:paraId="384138F3"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Not Supported</w:t>
            </w:r>
          </w:p>
        </w:tc>
      </w:tr>
      <w:tr w:rsidR="000C307D" w:rsidRPr="000C307D" w14:paraId="30CA568B" w14:textId="77777777" w:rsidTr="000116AF">
        <w:tc>
          <w:tcPr>
            <w:tcW w:w="0" w:type="auto"/>
            <w:hideMark/>
          </w:tcPr>
          <w:p w14:paraId="6334D83F"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H2</w:t>
            </w:r>
          </w:p>
        </w:tc>
        <w:tc>
          <w:tcPr>
            <w:tcW w:w="0" w:type="auto"/>
            <w:hideMark/>
          </w:tcPr>
          <w:p w14:paraId="7D58C1D3"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Brand–Anime Fit → Consumer Engagement</w:t>
            </w:r>
          </w:p>
        </w:tc>
        <w:tc>
          <w:tcPr>
            <w:tcW w:w="0" w:type="auto"/>
            <w:hideMark/>
          </w:tcPr>
          <w:p w14:paraId="5110ACCB"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β = .088, p = .294</w:t>
            </w:r>
          </w:p>
        </w:tc>
        <w:tc>
          <w:tcPr>
            <w:tcW w:w="0" w:type="auto"/>
            <w:hideMark/>
          </w:tcPr>
          <w:p w14:paraId="07C1CC61"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Not Supported</w:t>
            </w:r>
          </w:p>
        </w:tc>
      </w:tr>
      <w:tr w:rsidR="000C307D" w:rsidRPr="000C307D" w14:paraId="31A2E623" w14:textId="77777777" w:rsidTr="000116AF">
        <w:tc>
          <w:tcPr>
            <w:tcW w:w="0" w:type="auto"/>
            <w:hideMark/>
          </w:tcPr>
          <w:p w14:paraId="5D66D9E7"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H3</w:t>
            </w:r>
          </w:p>
        </w:tc>
        <w:tc>
          <w:tcPr>
            <w:tcW w:w="0" w:type="auto"/>
            <w:hideMark/>
          </w:tcPr>
          <w:p w14:paraId="4DC250BA"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Anime Involvement → Consumer Engagement</w:t>
            </w:r>
          </w:p>
        </w:tc>
        <w:tc>
          <w:tcPr>
            <w:tcW w:w="0" w:type="auto"/>
            <w:hideMark/>
          </w:tcPr>
          <w:p w14:paraId="329FD94C"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β = .155, p = .066</w:t>
            </w:r>
          </w:p>
        </w:tc>
        <w:tc>
          <w:tcPr>
            <w:tcW w:w="0" w:type="auto"/>
            <w:hideMark/>
          </w:tcPr>
          <w:p w14:paraId="395FF766"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Not Supported</w:t>
            </w:r>
          </w:p>
        </w:tc>
      </w:tr>
      <w:tr w:rsidR="000C307D" w:rsidRPr="000C307D" w14:paraId="7EB40D74" w14:textId="77777777" w:rsidTr="000116AF">
        <w:tc>
          <w:tcPr>
            <w:tcW w:w="0" w:type="auto"/>
            <w:hideMark/>
          </w:tcPr>
          <w:p w14:paraId="51639DA3"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H4</w:t>
            </w:r>
          </w:p>
        </w:tc>
        <w:tc>
          <w:tcPr>
            <w:tcW w:w="0" w:type="auto"/>
            <w:hideMark/>
          </w:tcPr>
          <w:p w14:paraId="75A356A5"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Consumer Engagement → Purchase Intention</w:t>
            </w:r>
          </w:p>
        </w:tc>
        <w:tc>
          <w:tcPr>
            <w:tcW w:w="0" w:type="auto"/>
            <w:hideMark/>
          </w:tcPr>
          <w:p w14:paraId="163FEF61"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kern w:val="2"/>
                <w:sz w:val="24"/>
                <w:lang w:val="en-GB"/>
                <w14:ligatures w14:val="standardContextual"/>
              </w:rPr>
              <w:t>β = .263, p = .001</w:t>
            </w:r>
          </w:p>
        </w:tc>
        <w:tc>
          <w:tcPr>
            <w:tcW w:w="0" w:type="auto"/>
            <w:hideMark/>
          </w:tcPr>
          <w:p w14:paraId="2DCF2465" w14:textId="77777777" w:rsidR="000C307D" w:rsidRPr="000C307D" w:rsidRDefault="000C307D" w:rsidP="000C307D">
            <w:pPr>
              <w:spacing w:after="160"/>
              <w:rPr>
                <w:rFonts w:eastAsia="Aptos" w:cs="Times New Roman"/>
                <w:kern w:val="2"/>
                <w:sz w:val="24"/>
                <w:lang w:val="en-GB"/>
                <w14:ligatures w14:val="standardContextual"/>
              </w:rPr>
            </w:pPr>
            <w:r w:rsidRPr="000C307D">
              <w:rPr>
                <w:rFonts w:eastAsia="Aptos" w:cs="Times New Roman"/>
                <w:b/>
                <w:bCs/>
                <w:kern w:val="2"/>
                <w:sz w:val="24"/>
                <w:lang w:val="en-GB"/>
                <w14:ligatures w14:val="standardContextual"/>
              </w:rPr>
              <w:t>Supported</w:t>
            </w:r>
          </w:p>
        </w:tc>
      </w:tr>
    </w:tbl>
    <w:p w14:paraId="5C75286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Table 17 summarises the hypothesis-testing results. H1, H2 and H3 were not supported, as their regression coefficients were statistically non-significant. In contrast, H4 was supported, with Consumer Engagement significantly and positively predicting Purchase Intention (β = .263, p = .001). Overall, only one of the four proposed hypotheses received statistical support.</w:t>
      </w:r>
    </w:p>
    <w:p w14:paraId="159AFA37"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05" w:name="_Toc241176409"/>
      <w:r w:rsidRPr="000C307D">
        <w:rPr>
          <w:rFonts w:eastAsia="Times New Roman" w:cs="Times New Roman"/>
          <w:b/>
          <w:color w:val="000000"/>
          <w:kern w:val="2"/>
          <w:sz w:val="28"/>
          <w:szCs w:val="32"/>
          <w:lang w:val="en-GB"/>
          <w14:ligatures w14:val="standardContextual"/>
        </w:rPr>
        <w:t>Chapter Summary</w:t>
      </w:r>
      <w:bookmarkEnd w:id="105"/>
    </w:p>
    <w:p w14:paraId="757DD5D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analyses data from 150 respondents using descriptive statistics, reliability testing, normality assessment, Pearson correlations and regression analysis. The reliability of all five constructs was acceptable. The multiple regression model showed that Perceived Authenticity, Brand–Anime Fit and Anime Involvement were not significant predictors of Consumer Engagement. Consumer Engagement, however, significantly and positively predicted Purchase Intention. Based on this, H1, H2 and H3 were not supported, while H4 was supported and contributed to a partial support for the proposed conceptual framework.</w:t>
      </w:r>
    </w:p>
    <w:p w14:paraId="7780717D" w14:textId="77777777" w:rsidR="000C307D" w:rsidRPr="000C307D" w:rsidRDefault="000C307D" w:rsidP="000C307D">
      <w:pPr>
        <w:spacing w:after="160"/>
        <w:rPr>
          <w:rFonts w:eastAsia="Aptos" w:cs="Times New Roman"/>
          <w:kern w:val="2"/>
          <w:lang w:val="en-GB"/>
          <w14:ligatures w14:val="standardContextual"/>
        </w:rPr>
      </w:pPr>
    </w:p>
    <w:p w14:paraId="158EBC07" w14:textId="77777777" w:rsidR="000C307D" w:rsidRPr="000C307D" w:rsidRDefault="000C307D" w:rsidP="000C307D">
      <w:pPr>
        <w:spacing w:after="160"/>
        <w:rPr>
          <w:rFonts w:eastAsia="Aptos" w:cs="Times New Roman"/>
          <w:kern w:val="2"/>
          <w:lang w:val="en-GB"/>
          <w14:ligatures w14:val="standardContextual"/>
        </w:rPr>
      </w:pPr>
    </w:p>
    <w:p w14:paraId="1FD01683" w14:textId="77777777" w:rsidR="000C307D" w:rsidRPr="000C307D" w:rsidRDefault="000C307D" w:rsidP="000C307D">
      <w:pPr>
        <w:spacing w:after="160"/>
        <w:rPr>
          <w:rFonts w:eastAsia="Aptos" w:cs="Times New Roman"/>
          <w:kern w:val="2"/>
          <w:lang w:val="en-GB"/>
          <w14:ligatures w14:val="standardContextual"/>
        </w:rPr>
      </w:pPr>
    </w:p>
    <w:p w14:paraId="0CFC5B63" w14:textId="77777777" w:rsidR="000C307D" w:rsidRPr="000C307D" w:rsidRDefault="000C307D" w:rsidP="000C307D">
      <w:pPr>
        <w:spacing w:after="160"/>
        <w:rPr>
          <w:rFonts w:eastAsia="Aptos" w:cs="Times New Roman"/>
          <w:kern w:val="2"/>
          <w:lang w:val="en-GB"/>
          <w14:ligatures w14:val="standardContextual"/>
        </w:rPr>
      </w:pPr>
    </w:p>
    <w:p w14:paraId="484A967E" w14:textId="77777777" w:rsidR="000C307D" w:rsidRPr="000C307D" w:rsidRDefault="000C307D" w:rsidP="000C307D">
      <w:pPr>
        <w:spacing w:after="160"/>
        <w:rPr>
          <w:rFonts w:eastAsia="Aptos" w:cs="Times New Roman"/>
          <w:kern w:val="2"/>
          <w:lang w:val="en-GB"/>
          <w14:ligatures w14:val="standardContextual"/>
        </w:rPr>
      </w:pPr>
    </w:p>
    <w:p w14:paraId="707C3C15"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106" w:name="_Toc241176410"/>
      <w:r w:rsidRPr="000C307D">
        <w:rPr>
          <w:rFonts w:eastAsia="Times New Roman" w:cs="Times New Roman"/>
          <w:b/>
          <w:color w:val="000000"/>
          <w:kern w:val="2"/>
          <w:sz w:val="32"/>
          <w:szCs w:val="40"/>
          <w:lang w:val="en-GB"/>
          <w14:ligatures w14:val="standardContextual"/>
        </w:rPr>
        <w:lastRenderedPageBreak/>
        <w:t>Chapter Five: Discussion and Analysis</w:t>
      </w:r>
      <w:bookmarkEnd w:id="106"/>
    </w:p>
    <w:p w14:paraId="6919E970"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07" w:name="_Toc241176411"/>
      <w:r w:rsidRPr="000C307D">
        <w:rPr>
          <w:rFonts w:eastAsia="Times New Roman" w:cs="Times New Roman"/>
          <w:b/>
          <w:color w:val="000000"/>
          <w:kern w:val="2"/>
          <w:sz w:val="28"/>
          <w:szCs w:val="32"/>
          <w:lang w:val="en-GB"/>
          <w14:ligatures w14:val="standardContextual"/>
        </w:rPr>
        <w:t>Purpose and Positioning</w:t>
      </w:r>
      <w:bookmarkEnd w:id="107"/>
    </w:p>
    <w:p w14:paraId="221D589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interprets the empirical findings presented in Chapter Four by relating them to the theoretical arguments and previous studies reviewed in Chapter Two. The relationships between perceived authenticity, brand–anime fit, anime involvement, consumer engagement and purchase intention among UK Generation Z consumers are discussed. This is analysed from the perspective of Brand Alliance Theory and Brand Extension Theory as a theoretical frame for explaining compatibility, symbolic consistency and consumer reactions to collaborative brands. The chapter critically explores whether the findings uphold, contradict or hone the expectations formed from the literature. However, particular attention is given to explaining why some hypothesised relationships were not supported and why Consumer Engagement was significantly related to Purchase Intention.</w:t>
      </w:r>
    </w:p>
    <w:p w14:paraId="5ADD3A3A"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08" w:name="_Toc241176412"/>
      <w:r w:rsidRPr="000C307D">
        <w:rPr>
          <w:rFonts w:eastAsia="Times New Roman" w:cs="Times New Roman"/>
          <w:b/>
          <w:color w:val="000000"/>
          <w:kern w:val="2"/>
          <w:sz w:val="28"/>
          <w:szCs w:val="32"/>
          <w:lang w:val="en-GB"/>
          <w14:ligatures w14:val="standardContextual"/>
        </w:rPr>
        <w:t>Analytical Framework and Logic</w:t>
      </w:r>
      <w:bookmarkEnd w:id="108"/>
    </w:p>
    <w:p w14:paraId="740FAFF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analysis is structured around the conceptual framework developed in Chapter Two, which is primarily grounded in Brand Alliance Theory and complemented by Brand Extension Theory. The Brand Alliance Theory (BAT) is one of the theories used in the evaluation of the cooperation, which focuses on the existing relationships of the consumer with the different partners and the compatibility between them (Aaker and Keller, 1990; Park et al., 1991; Simonin and Ruth, 1998). It proposes a conceptual framework that includes perceived authenticity, brand–anime fit and anime involvement as predictors of consumer engagement, which in turn is a predictor of purchase intention. These relationships are like those developed in Chapter Two as H1–H4.</w:t>
      </w:r>
    </w:p>
    <w:p w14:paraId="18DD877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discussion follows a construct-by-construct structure to maintain direct alignment between the literature review, conceptual framework and empirical analysis. Firstly, the results of perceived authenticity, brand – anime fit and anime involvement are examined in terms of their proposed relationships with consumer engagement. Then the relationship between consumer engagement and purchase intention is analysed. The statistical results for each relationship are then compared with the existing literature, noting where </w:t>
      </w:r>
      <w:r w:rsidRPr="000C307D">
        <w:rPr>
          <w:rFonts w:eastAsia="Aptos" w:cs="Times New Roman"/>
          <w:kern w:val="2"/>
          <w:lang w:val="en-GB"/>
          <w14:ligatures w14:val="standardContextual"/>
        </w:rPr>
        <w:lastRenderedPageBreak/>
        <w:t>they agree and disagree and potential reasons for any no supported relationships. This will facilitate the determination of the empirical status of each hypothesis and determine whether the original conceptual structure needs to be refined.</w:t>
      </w:r>
    </w:p>
    <w:p w14:paraId="05A2D50C"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09" w:name="_Toc241176413"/>
      <w:r w:rsidRPr="000C307D">
        <w:rPr>
          <w:rFonts w:eastAsia="Times New Roman" w:cs="Times New Roman"/>
          <w:b/>
          <w:color w:val="000000"/>
          <w:kern w:val="2"/>
          <w:sz w:val="28"/>
          <w:szCs w:val="32"/>
          <w:lang w:val="en-GB"/>
          <w14:ligatures w14:val="standardContextual"/>
        </w:rPr>
        <w:t>Synthesis of Findings: Compare and Contrast with Literature</w:t>
      </w:r>
      <w:bookmarkEnd w:id="109"/>
    </w:p>
    <w:p w14:paraId="52D3E7A7"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110" w:name="_Toc241176414"/>
      <w:r w:rsidRPr="000C307D">
        <w:rPr>
          <w:rFonts w:eastAsia="Times New Roman" w:cs="Times New Roman"/>
          <w:b/>
          <w:color w:val="000000"/>
          <w:kern w:val="2"/>
          <w:szCs w:val="28"/>
          <w:lang w:val="en-GB"/>
          <w14:ligatures w14:val="standardContextual"/>
        </w:rPr>
        <w:t>Perceived Authenticity and Consumer Engagement</w:t>
      </w:r>
      <w:bookmarkEnd w:id="110"/>
    </w:p>
    <w:p w14:paraId="266AD7A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literature presents perceived authenticity as an important basis for positive consumer responses. Authenticity refers to whether the brand activity is seen as authentic, credible and in line with the cultural meaning it is striving to convey (Södergren, 2021). Some studies have shown that authenticity enhances brand attachment (Rodrigues et al., 2023) and that perceived authenticity is linked to attachment, loyalty and willingness to pay (Sun et al., 2024). In the context of anime–fashion partnerships, this point is especially salient as it may lead fans to believe that the fashion partnership cares more about being able to sell an anime product than the character, story and cultural identity of the anime character or characters. However, Chapter Two was also aware that a sizeable portion of this evidence was drawn from more generalised, or non-UK, contexts, and that its applicability to anime–fashion consumption in the UK was uncertain. </w:t>
      </w:r>
    </w:p>
    <w:p w14:paraId="6BDFB6F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present findings challenge this dominant expectation. Perceived Authenticity did not have any meaningful bivariate relationships with Consumer Engagement (r = −.031, p = .703). More importantly, authenticity was not significant and had an exceedingly small negative coefficient (B = −.046, β = −.038, p = .639) after the Brand–Anime Fit and Anime Involvement were considered together. Hence, there was no support for H1. </w:t>
      </w:r>
    </w:p>
    <w:p w14:paraId="007A523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This divergence does not necessarily imply that authenticity is irrelevant. Rather, it argues that authenticity alone does not necessarily drive engagement with UK Gen Z consumers. Authenticity might serve as a fundamental expectation: reciprocally, audiences might be ready to accept cultural collaborations as culturally authentic, but this might not be enough to trigger cognitive, emotional or behavioural interaction. Also, the result confirmed the condition outlined in Chapter Two: authenticity is not necessarily attuned to attachment or loyalty as seen in conventional branding applications, which might not be directly applicable to licensed anime–fashion branding applications. Here, engagement can be </w:t>
      </w:r>
      <w:r w:rsidRPr="000C307D">
        <w:rPr>
          <w:rFonts w:eastAsia="Aptos" w:cs="Times New Roman"/>
          <w:kern w:val="2"/>
          <w:lang w:val="en-GB"/>
          <w14:ligatures w14:val="standardContextual"/>
        </w:rPr>
        <w:lastRenderedPageBreak/>
        <w:t>influenced by other factors, such as design, franchise preference, novelty and price or social-media exposure. The findings suggest that authenticity may enhance the credibility of anime–fashion collaborations; however, authenticity alone does not significantly increase consumer engagement.</w:t>
      </w:r>
    </w:p>
    <w:p w14:paraId="6FB1860F"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111" w:name="_Toc241176415"/>
      <w:r w:rsidRPr="000C307D">
        <w:rPr>
          <w:rFonts w:eastAsia="Times New Roman" w:cs="Times New Roman"/>
          <w:b/>
          <w:color w:val="000000"/>
          <w:kern w:val="2"/>
          <w:szCs w:val="28"/>
          <w:lang w:val="en-GB"/>
          <w14:ligatures w14:val="standardContextual"/>
        </w:rPr>
        <w:t>Brand–Anime Fit and Consumer Engagement</w:t>
      </w:r>
      <w:bookmarkEnd w:id="111"/>
    </w:p>
    <w:p w14:paraId="0870EB7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Brand–Anime Fit is strongly connected to the study's theoretical foundation. According to the ‘Brand Extension Theory' (Aaker and Keller, 1990; Park, Milberg and Lawson, 1991), consumers make assessments based on how consistent they find the brand associations of the original product with the extension. Likewise, consumers' evaluation of the alliance is hypothesized to be affected by the perceived compatibility of the alliance partners as suggested by Brand Alliance Theory (Simonin and Ruth, 1998). However, it was established in Chapter Two that there was an important qualification; fit need not be synonymous with similarity of product. The relationship between a fashion brand and an anime series can be functional but also aesthetically, young or as a cultural value, symbolically related. Ruiz and Gracia (2023) also propose that value can be added by forming unusual partnerships, as these partnerships are often made up of a combination of contrasting identities. </w:t>
      </w:r>
    </w:p>
    <w:p w14:paraId="6F06A0A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There is weak empirical evidence for this traditional fit argument. Consumer Engagement was positively but weakly correlated with Brand–Anime Fit, although the relationship was not statistically significant (r = .125, p = .127). The relationship also remained positive but non-significant in the multiple regression model (B = .091, β = .088, p = .294); therefore, H2 was not supported. Interestingly, Anime Involvement was significantly correlated with Brand – Anime Fit (r = .240, p = .003), indicating that the perceptions of fit may have some relationship with consumers' existing connection to anime, even though it was not an independent predictor of the engagement. </w:t>
      </w:r>
    </w:p>
    <w:p w14:paraId="6C4D1D3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This finding refines rather than completely rejects Brand Alliance Theory. Compatibility can play a role in consumers' judgment of whether a partnership is “a good fit” for them, but that doesn't necessarily indicate that they will get engaged. Newness and unexpected combinations can also be features that draw in the interest of contemporary cultural collaborations, as noted by Ruiz and Gracia (2023) and throughout the discussion that </w:t>
      </w:r>
      <w:r w:rsidRPr="000C307D">
        <w:rPr>
          <w:rFonts w:eastAsia="Aptos" w:cs="Times New Roman"/>
          <w:kern w:val="2"/>
          <w:lang w:val="en-GB"/>
          <w14:ligatures w14:val="standardContextual"/>
        </w:rPr>
        <w:lastRenderedPageBreak/>
        <w:t>symbolic fit can be more important than simple similarity. Therefore, when the whole partnership is conceived in a way that offers a unique cultural or aesthetic value, the UK Gen Z consumer might be willing to tolerate or even cherish it. The results indicate that the perceived brand–anime fit is not the only factor that contributes to consumer engagement, as compatibility can also be influenced by other cultural and symbolic elements in the anime–fashion partnerships.</w:t>
      </w:r>
    </w:p>
    <w:p w14:paraId="6567F54B"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112" w:name="_Toc241176416"/>
      <w:r w:rsidRPr="000C307D">
        <w:rPr>
          <w:rFonts w:eastAsia="Times New Roman" w:cs="Times New Roman"/>
          <w:b/>
          <w:color w:val="000000"/>
          <w:kern w:val="2"/>
          <w:szCs w:val="28"/>
          <w:lang w:val="en-GB"/>
          <w14:ligatures w14:val="standardContextual"/>
        </w:rPr>
        <w:t>Anime Involvement, Fandom and Consumer Engagement</w:t>
      </w:r>
      <w:bookmarkEnd w:id="112"/>
    </w:p>
    <w:p w14:paraId="603A1E6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Chapter Two conceptualised Anime Involvement as consumers' personal interest, knowledge and emotional investment in anime. Previous literature suggests that fandom participation can produce strong emotional and behavioural responses. For instance, Zheng et al. (2025) show that the emotional aspects of anime experiences can be integrated into the consumption process, and Lan, Waheed and Bidin (2025) find that emotional attachment and participatory communities are key factors in fans' behaviour. Collaborative fashion can also be a meaningful fashion consumption and fandom expression, as anime consumption can be related to the expression of identity. Concurrently, the literature highlights a significant tension: while highly involved fans are more likely to be enthusiastic about collaboration, they are also more likely to be critical towards inaccurate portrayals, low authenticity or inappropriate collaborators. </w:t>
      </w:r>
    </w:p>
    <w:p w14:paraId="30AC4AC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findings provide the closest, although still insufficient, support for this proposed antecedent of engagement. There was a significant and positive correlation between Anime Involvement and Consumer Engagement (r = .174, p = .033), suggesting that the degree of involvement in anime had a positive relationship with consumer engagement. Anime Involvement also had a weak but statistically significant positive correlation with Purchase Intention (r = .193, p = .018). When Perceived Authenticity and Brand–Anime Fit were added to the multiple regression, however, Anime Involvement did not meet the conventional 5% criterion for significance (B = .153, β = .155, p = .066). H3 was not supported. </w:t>
      </w:r>
    </w:p>
    <w:p w14:paraId="5CBE72F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difference between the correlation and regression results is a theory-rich lesson. At the bivariate level, anime involvement seems to be relevant, but it is not sufficient to be considered as a predictor of engagement for the model under consideration. This could </w:t>
      </w:r>
      <w:r w:rsidRPr="000C307D">
        <w:rPr>
          <w:rFonts w:eastAsia="Aptos" w:cs="Times New Roman"/>
          <w:kern w:val="2"/>
          <w:lang w:val="en-GB"/>
          <w14:ligatures w14:val="standardContextual"/>
        </w:rPr>
        <w:lastRenderedPageBreak/>
        <w:t>suggest that the aspects of fandom do not act as a singular and direct influence, but as a component alongside other unknown factors. It can also represent the duality described in the literature: more involvement may also correspond to a greater emotional attachment, but it can also lead to increased consumer selectivity and critical attitude. Overall, Anime Involvement had a weak but statistically significant bivariate relationship with Consumer Engagement (r = .174, p = .033). However, it did not independently predict Consumer Engagement when Perceived Authenticity and Brand–Anime Fit were included in the multiple regression model (β = .155, p = .066). Therefore, H3 was not supported.</w:t>
      </w:r>
    </w:p>
    <w:p w14:paraId="114D3511" w14:textId="77777777" w:rsidR="000C307D" w:rsidRPr="000C307D" w:rsidRDefault="000C307D" w:rsidP="000C307D">
      <w:pPr>
        <w:keepNext/>
        <w:keepLines/>
        <w:numPr>
          <w:ilvl w:val="2"/>
          <w:numId w:val="0"/>
        </w:numPr>
        <w:spacing w:before="160" w:after="80"/>
        <w:ind w:left="720" w:hanging="720"/>
        <w:outlineLvl w:val="2"/>
        <w:rPr>
          <w:rFonts w:eastAsia="Times New Roman" w:cs="Times New Roman"/>
          <w:b/>
          <w:color w:val="000000"/>
          <w:kern w:val="2"/>
          <w:szCs w:val="28"/>
          <w:lang w:val="en-GB"/>
          <w14:ligatures w14:val="standardContextual"/>
        </w:rPr>
      </w:pPr>
      <w:bookmarkStart w:id="113" w:name="_Toc241176417"/>
      <w:r w:rsidRPr="000C307D">
        <w:rPr>
          <w:rFonts w:eastAsia="Times New Roman" w:cs="Times New Roman"/>
          <w:b/>
          <w:color w:val="000000"/>
          <w:kern w:val="2"/>
          <w:szCs w:val="28"/>
          <w:lang w:val="en-GB"/>
          <w14:ligatures w14:val="standardContextual"/>
        </w:rPr>
        <w:t>Consumer Engagement and Purchase Intention</w:t>
      </w:r>
      <w:bookmarkEnd w:id="113"/>
    </w:p>
    <w:p w14:paraId="59F97DA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clearest convergence between the empirical findings and Chapter Two concerns Consumer Engagement and Purchase Intention. Engagement was conceptualised as a multidimensional cognitive, emotional and behavioural response rather than purchasing itself (Ng, Sweeney and Plewa, 2020; Araujo et al., 2020). However, existing research indicates that more engagement can be associated with purchase-related results. For instance, Han and Jo (2025) have identified the engagement drivers in fashion live commerce that can boost purchase intention. Chapter Two also warned that buying intention cannot be equated with engagement since other factors such as price, availability and product access can delay the buying intention from engagement to purchase stage. </w:t>
      </w:r>
    </w:p>
    <w:p w14:paraId="53565D8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This proposed relationship is supported by the current results. Consumer Engagement had a statistically significant but modest positive correlation with Purchase Intention (r = .263, p = .001). The simple regression was also statistically significant, </w:t>
      </w:r>
      <w:proofErr w:type="gramStart"/>
      <w:r w:rsidRPr="000C307D">
        <w:rPr>
          <w:rFonts w:eastAsia="Aptos" w:cs="Times New Roman"/>
          <w:kern w:val="2"/>
          <w:lang w:val="en-GB"/>
          <w14:ligatures w14:val="standardContextual"/>
        </w:rPr>
        <w:t>F(</w:t>
      </w:r>
      <w:proofErr w:type="gramEnd"/>
      <w:r w:rsidRPr="000C307D">
        <w:rPr>
          <w:rFonts w:eastAsia="Aptos" w:cs="Times New Roman"/>
          <w:kern w:val="2"/>
          <w:lang w:val="en-GB"/>
          <w14:ligatures w14:val="standardContextual"/>
        </w:rPr>
        <w:t xml:space="preserve">1,148) = 11.019, p = .001, with Consumer Engagement positively predicting Purchase Intention (β = .263, p = .001). Therefore, H4 was supported. </w:t>
      </w:r>
    </w:p>
    <w:p w14:paraId="334E4F5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However, the explanatory power was modest: Consumer Engagement explained only 6.9% of the variance in Purchase Intention (R² = .069). This qualifies rather than weakens the theoretical conclusion. Engagement matters, but most variation in purchase intention remains attributable to factors outside the model. This is consistent with the literature's separation of attraction to a culturally appealing collaboration and the goal of buying a collaboration. Limited releases and individual motivations, or price, may still have a role </w:t>
      </w:r>
      <w:r w:rsidRPr="000C307D">
        <w:rPr>
          <w:rFonts w:eastAsia="Aptos" w:cs="Times New Roman"/>
          <w:kern w:val="2"/>
          <w:lang w:val="en-GB"/>
          <w14:ligatures w14:val="standardContextual"/>
        </w:rPr>
        <w:lastRenderedPageBreak/>
        <w:t>to play (Liu, Xia and Lang, 2023; Han and Jo, 2025). The results reveal that engagement as a statistical pathway is related to the intention to buy, but it is only one part of the purchasing process, and it should not be equated with actual purchasing behaviour.</w:t>
      </w:r>
    </w:p>
    <w:p w14:paraId="5E47AEC0"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14" w:name="_Toc241176418"/>
      <w:r w:rsidRPr="000C307D">
        <w:rPr>
          <w:rFonts w:eastAsia="Times New Roman" w:cs="Times New Roman"/>
          <w:b/>
          <w:color w:val="000000"/>
          <w:kern w:val="2"/>
          <w:sz w:val="28"/>
          <w:szCs w:val="32"/>
          <w:lang w:val="en-GB"/>
          <w14:ligatures w14:val="standardContextual"/>
        </w:rPr>
        <w:t>Cross-Construct Synthesis</w:t>
      </w:r>
      <w:bookmarkEnd w:id="114"/>
    </w:p>
    <w:p w14:paraId="7F07E14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Overall, the findings provide partial support for the conceptual framework. Authenticity, brand–anime fit and anime involvement explained only 3.9% of Consumer Engagement and did not significantly predict it, meaning H1–H3 were unsupported. However, H4 was supported, confirming that Consumer Engagement significantly predicted Purchase Intention. This suggests that Brand Alliance and Brand Extension theories remain relevant, but additional factors may shape engagement among UK Generation Z consumers.</w:t>
      </w:r>
    </w:p>
    <w:p w14:paraId="6C5A3F5A"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15" w:name="_Toc241176419"/>
      <w:r w:rsidRPr="000C307D">
        <w:rPr>
          <w:rFonts w:eastAsia="Times New Roman" w:cs="Times New Roman"/>
          <w:b/>
          <w:color w:val="000000"/>
          <w:kern w:val="2"/>
          <w:sz w:val="28"/>
          <w:szCs w:val="32"/>
          <w:lang w:val="en-GB"/>
          <w14:ligatures w14:val="standardContextual"/>
        </w:rPr>
        <w:t>Integration to Conceptual Model or Propositions</w:t>
      </w:r>
      <w:bookmarkEnd w:id="115"/>
    </w:p>
    <w:p w14:paraId="5D3D428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findings provide partial support for the conceptual model developed in Chapter Two. Perceived Authenticity did not significantly predict Consumer Engagement (β = −.038, p = .639); therefore, H1 was not supported. Similarly, Brand–Anime Fit (β = .088, p = .294) and Anime Involvement (β = .155, p = .066) were non-significant; therefore, H2 and H3 were not supported. H4 was supported, however, as Consumer Engagement significantly predicted Purchase Intention (β = .263, p = .001). The findings therefore provide partial support for the original model and indicate that its proposed antecedent relationships require refinement. In other words, authenticity, fit and involvement could work in specific contexts or in different ways to create engagement, rather than being a direct cause of engagement. In future, mediators or moderators like emotional attachment, collaboration novelty, product attractiveness or price sensitivity could be investigated. The findings retain the supported relationship between Consumer Engagement and Purchase Intention, while the proposed direct relationships between Perceived Authenticity, Brand–Anime Fit, Anime Involvement and Consumer Engagement were not supported. Future research could examine whether these antecedents operate through conditional or indirect mechanisms.</w:t>
      </w:r>
    </w:p>
    <w:p w14:paraId="122DFF00"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16" w:name="_Toc241176420"/>
      <w:r w:rsidRPr="000C307D">
        <w:rPr>
          <w:rFonts w:eastAsia="Times New Roman" w:cs="Times New Roman"/>
          <w:b/>
          <w:color w:val="000000"/>
          <w:kern w:val="2"/>
          <w:sz w:val="28"/>
          <w:szCs w:val="32"/>
          <w:lang w:val="en-GB"/>
          <w14:ligatures w14:val="standardContextual"/>
        </w:rPr>
        <w:lastRenderedPageBreak/>
        <w:t>Robustness Considerations</w:t>
      </w:r>
      <w:bookmarkEnd w:id="116"/>
    </w:p>
    <w:p w14:paraId="099C613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Several considerations affect interpretation of the findings. Only 3.9% of the variance in Consumer Engagement was explained by the three antecedents, suggesting that other factors, not measured in the model, may be used to explain engagement. Moreover, the cross-sectional design measured perceptions and intentions at one point in time and therefore does not permit causal inference. This study relied on primary anonymous consumer responses, minimizing concerns of vendor reporting or a reporting bias compared to secondary or company-reported evidence. Nevertheless, the responses are subject to recall and/or response bias. The consistent correlation (r = .263, p = .001) and regression (β = .263, p = .001) results strengthen confidence in the evidence supporting H4. </w:t>
      </w:r>
    </w:p>
    <w:p w14:paraId="4F49657F"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17" w:name="_Toc241176421"/>
      <w:r w:rsidRPr="000C307D">
        <w:rPr>
          <w:rFonts w:eastAsia="Times New Roman" w:cs="Times New Roman"/>
          <w:b/>
          <w:color w:val="000000"/>
          <w:kern w:val="2"/>
          <w:sz w:val="28"/>
          <w:szCs w:val="32"/>
          <w:lang w:val="en-GB"/>
          <w14:ligatures w14:val="standardContextual"/>
        </w:rPr>
        <w:t>Practical Synthesis: Bridge to Chapter 6</w:t>
      </w:r>
      <w:bookmarkEnd w:id="117"/>
    </w:p>
    <w:p w14:paraId="4DC7AB0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findings provide several practical insights for fashion brands. Brands should not take for granted that authenticity and partner fit alone will create engagement, as neither had a strong impact on this measure. Second, even if it is of a different nature, anime involvement might still be a factor to consider when determining target audiences as it revealed a significant bivariate relationship with engagement. Third, brands should prioritise strategies that encourage cognitive, emotional and behavioural engagement because engagement was positively associated with Purchase Intention. Lastly, analysis of collaboration performance should be based on measurable indicators of engagement, as well as on purchase-intention measures, and not on perceived authenticity/compatibility alone. These insights provide the basis for the managerial implications developed in Chapter Six.</w:t>
      </w:r>
    </w:p>
    <w:p w14:paraId="7FF908FA" w14:textId="77777777" w:rsidR="000C307D" w:rsidRPr="000C307D" w:rsidRDefault="000C307D" w:rsidP="000C307D">
      <w:pPr>
        <w:spacing w:after="160"/>
        <w:rPr>
          <w:rFonts w:eastAsia="Aptos" w:cs="Times New Roman"/>
          <w:b/>
          <w:bCs/>
          <w:kern w:val="2"/>
          <w:lang w:val="en-GB"/>
          <w14:ligatures w14:val="standardContextual"/>
        </w:rPr>
      </w:pPr>
      <w:r w:rsidRPr="000C307D">
        <w:rPr>
          <w:rFonts w:eastAsia="Aptos" w:cs="Times New Roman"/>
          <w:b/>
          <w:bCs/>
          <w:kern w:val="2"/>
          <w:lang w:val="en-GB"/>
          <w14:ligatures w14:val="standardContextual"/>
        </w:rPr>
        <w:t>Chapter Summary</w:t>
      </w:r>
    </w:p>
    <w:p w14:paraId="0FDA4C1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empirical results have been contrasted with the theoretical and literature results presented in Chapter Two. The results did not support the proposed direct effects of Perceived Authenticity, Brand–Anime Fit and Anime Involvement on Consumer Engagement; therefore, H1–H3 were not supported. On the other hand, the significant positive relationship between Consumer Engagement and Purchase Intention supported </w:t>
      </w:r>
      <w:r w:rsidRPr="000C307D">
        <w:rPr>
          <w:rFonts w:eastAsia="Aptos" w:cs="Times New Roman"/>
          <w:kern w:val="2"/>
          <w:lang w:val="en-GB"/>
          <w14:ligatures w14:val="standardContextual"/>
        </w:rPr>
        <w:lastRenderedPageBreak/>
        <w:t>H4 and was consistent with previous engagement literature. Overall, the results provide partial support for the conceptual framework. The proposed relationships between Perceived Authenticity, Brand–Anime Fit, Anime Involvement and Consumer Engagement were not statistically supported, whereas Consumer Engagement was a significant positive predictor of Purchase Intention.</w:t>
      </w:r>
    </w:p>
    <w:p w14:paraId="44A4FBB9" w14:textId="77777777" w:rsidR="000C307D" w:rsidRPr="000C307D" w:rsidRDefault="000C307D" w:rsidP="000C307D">
      <w:pPr>
        <w:spacing w:after="160"/>
        <w:rPr>
          <w:rFonts w:eastAsia="Aptos" w:cs="Times New Roman"/>
          <w:kern w:val="2"/>
          <w:lang w:val="en-GB"/>
          <w14:ligatures w14:val="standardContextual"/>
        </w:rPr>
      </w:pPr>
    </w:p>
    <w:p w14:paraId="0859AFFE" w14:textId="77777777" w:rsidR="000C307D" w:rsidRPr="000C307D" w:rsidRDefault="000C307D" w:rsidP="000C307D">
      <w:pPr>
        <w:spacing w:after="160"/>
        <w:rPr>
          <w:rFonts w:eastAsia="Aptos" w:cs="Times New Roman"/>
          <w:kern w:val="2"/>
          <w:lang w:val="en-GB"/>
          <w14:ligatures w14:val="standardContextual"/>
        </w:rPr>
      </w:pPr>
    </w:p>
    <w:p w14:paraId="73C15732" w14:textId="77777777" w:rsidR="000C307D" w:rsidRPr="000C307D" w:rsidRDefault="000C307D" w:rsidP="000C307D">
      <w:pPr>
        <w:spacing w:after="160"/>
        <w:rPr>
          <w:rFonts w:eastAsia="Aptos" w:cs="Times New Roman"/>
          <w:kern w:val="2"/>
          <w:lang w:val="en-GB"/>
          <w14:ligatures w14:val="standardContextual"/>
        </w:rPr>
      </w:pPr>
    </w:p>
    <w:p w14:paraId="5B3B14A5" w14:textId="77777777" w:rsidR="000C307D" w:rsidRPr="000C307D" w:rsidRDefault="000C307D" w:rsidP="000C307D">
      <w:pPr>
        <w:spacing w:after="160"/>
        <w:rPr>
          <w:rFonts w:eastAsia="Aptos" w:cs="Times New Roman"/>
          <w:kern w:val="2"/>
          <w:lang w:val="en-GB"/>
          <w14:ligatures w14:val="standardContextual"/>
        </w:rPr>
      </w:pPr>
    </w:p>
    <w:p w14:paraId="0493E4F9" w14:textId="77777777" w:rsidR="000C307D" w:rsidRPr="000C307D" w:rsidRDefault="000C307D" w:rsidP="000C307D">
      <w:pPr>
        <w:spacing w:after="160"/>
        <w:rPr>
          <w:rFonts w:eastAsia="Aptos" w:cs="Times New Roman"/>
          <w:kern w:val="2"/>
          <w:lang w:val="en-GB"/>
          <w14:ligatures w14:val="standardContextual"/>
        </w:rPr>
      </w:pPr>
    </w:p>
    <w:p w14:paraId="38C3CE91" w14:textId="77777777" w:rsidR="000C307D" w:rsidRPr="000C307D" w:rsidRDefault="000C307D" w:rsidP="000C307D">
      <w:pPr>
        <w:spacing w:after="160"/>
        <w:rPr>
          <w:rFonts w:eastAsia="Aptos" w:cs="Times New Roman"/>
          <w:kern w:val="2"/>
          <w:lang w:val="en-GB"/>
          <w14:ligatures w14:val="standardContextual"/>
        </w:rPr>
      </w:pPr>
    </w:p>
    <w:p w14:paraId="4AD86DA9" w14:textId="77777777" w:rsidR="000C307D" w:rsidRPr="000C307D" w:rsidRDefault="000C307D" w:rsidP="000C307D">
      <w:pPr>
        <w:spacing w:after="160"/>
        <w:rPr>
          <w:rFonts w:eastAsia="Aptos" w:cs="Times New Roman"/>
          <w:kern w:val="2"/>
          <w:lang w:val="en-GB"/>
          <w14:ligatures w14:val="standardContextual"/>
        </w:rPr>
      </w:pPr>
    </w:p>
    <w:p w14:paraId="6BF3D631" w14:textId="77777777" w:rsidR="000C307D" w:rsidRPr="000C307D" w:rsidRDefault="000C307D" w:rsidP="000C307D">
      <w:pPr>
        <w:spacing w:after="160"/>
        <w:rPr>
          <w:rFonts w:eastAsia="Aptos" w:cs="Times New Roman"/>
          <w:kern w:val="2"/>
          <w:lang w:val="en-GB"/>
          <w14:ligatures w14:val="standardContextual"/>
        </w:rPr>
      </w:pPr>
    </w:p>
    <w:p w14:paraId="046D01ED" w14:textId="77777777" w:rsidR="000C307D" w:rsidRPr="000C307D" w:rsidRDefault="000C307D" w:rsidP="000C307D">
      <w:pPr>
        <w:spacing w:after="160"/>
        <w:rPr>
          <w:rFonts w:eastAsia="Aptos" w:cs="Times New Roman"/>
          <w:kern w:val="2"/>
          <w:lang w:val="en-GB"/>
          <w14:ligatures w14:val="standardContextual"/>
        </w:rPr>
      </w:pPr>
    </w:p>
    <w:p w14:paraId="64EF98C4" w14:textId="77777777" w:rsidR="000C307D" w:rsidRPr="000C307D" w:rsidRDefault="000C307D" w:rsidP="000C307D">
      <w:pPr>
        <w:spacing w:after="160"/>
        <w:rPr>
          <w:rFonts w:eastAsia="Aptos" w:cs="Times New Roman"/>
          <w:kern w:val="2"/>
          <w:lang w:val="en-GB"/>
          <w14:ligatures w14:val="standardContextual"/>
        </w:rPr>
      </w:pPr>
    </w:p>
    <w:p w14:paraId="56C495D5" w14:textId="77777777" w:rsidR="000C307D" w:rsidRPr="000C307D" w:rsidRDefault="000C307D" w:rsidP="000C307D">
      <w:pPr>
        <w:spacing w:after="160"/>
        <w:rPr>
          <w:rFonts w:eastAsia="Aptos" w:cs="Times New Roman"/>
          <w:kern w:val="2"/>
          <w:lang w:val="en-GB"/>
          <w14:ligatures w14:val="standardContextual"/>
        </w:rPr>
      </w:pPr>
    </w:p>
    <w:p w14:paraId="4EB4E52B" w14:textId="77777777" w:rsidR="000C307D" w:rsidRPr="000C307D" w:rsidRDefault="000C307D" w:rsidP="000C307D">
      <w:pPr>
        <w:spacing w:after="160"/>
        <w:rPr>
          <w:rFonts w:eastAsia="Aptos" w:cs="Times New Roman"/>
          <w:kern w:val="2"/>
          <w:lang w:val="en-GB"/>
          <w14:ligatures w14:val="standardContextual"/>
        </w:rPr>
      </w:pPr>
    </w:p>
    <w:p w14:paraId="0CC885D4" w14:textId="77777777" w:rsidR="000C307D" w:rsidRPr="000C307D" w:rsidRDefault="000C307D" w:rsidP="000C307D">
      <w:pPr>
        <w:spacing w:after="160"/>
        <w:rPr>
          <w:rFonts w:eastAsia="Aptos" w:cs="Times New Roman"/>
          <w:kern w:val="2"/>
          <w:lang w:val="en-GB"/>
          <w14:ligatures w14:val="standardContextual"/>
        </w:rPr>
      </w:pPr>
    </w:p>
    <w:p w14:paraId="03C2DC61" w14:textId="77777777" w:rsidR="000C307D" w:rsidRPr="000C307D" w:rsidRDefault="000C307D" w:rsidP="000C307D">
      <w:pPr>
        <w:spacing w:after="160"/>
        <w:rPr>
          <w:rFonts w:eastAsia="Aptos" w:cs="Times New Roman"/>
          <w:kern w:val="2"/>
          <w:lang w:val="en-GB"/>
          <w14:ligatures w14:val="standardContextual"/>
        </w:rPr>
      </w:pPr>
    </w:p>
    <w:p w14:paraId="658D17DA" w14:textId="77777777" w:rsidR="000C307D" w:rsidRPr="000C307D" w:rsidRDefault="000C307D" w:rsidP="000C307D">
      <w:pPr>
        <w:spacing w:after="160"/>
        <w:rPr>
          <w:rFonts w:eastAsia="Aptos" w:cs="Times New Roman"/>
          <w:kern w:val="2"/>
          <w:lang w:val="en-GB"/>
          <w14:ligatures w14:val="standardContextual"/>
        </w:rPr>
      </w:pPr>
    </w:p>
    <w:p w14:paraId="70D9033F" w14:textId="77777777" w:rsidR="000C307D" w:rsidRPr="000C307D" w:rsidRDefault="000C307D" w:rsidP="000C307D">
      <w:pPr>
        <w:spacing w:after="160"/>
        <w:rPr>
          <w:rFonts w:eastAsia="Aptos" w:cs="Times New Roman"/>
          <w:kern w:val="2"/>
          <w:lang w:val="en-GB"/>
          <w14:ligatures w14:val="standardContextual"/>
        </w:rPr>
      </w:pPr>
    </w:p>
    <w:p w14:paraId="505E8E28"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118" w:name="_Toc241176422"/>
      <w:r w:rsidRPr="000C307D">
        <w:rPr>
          <w:rFonts w:eastAsia="Times New Roman" w:cs="Times New Roman"/>
          <w:b/>
          <w:color w:val="000000"/>
          <w:kern w:val="2"/>
          <w:sz w:val="32"/>
          <w:szCs w:val="40"/>
          <w:lang w:val="en-GB"/>
          <w14:ligatures w14:val="standardContextual"/>
        </w:rPr>
        <w:lastRenderedPageBreak/>
        <w:t>Chapter Six: Conclusion</w:t>
      </w:r>
      <w:bookmarkEnd w:id="118"/>
    </w:p>
    <w:p w14:paraId="5680818D"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19" w:name="_Toc241176423"/>
      <w:r w:rsidRPr="000C307D">
        <w:rPr>
          <w:rFonts w:eastAsia="Times New Roman" w:cs="Times New Roman"/>
          <w:b/>
          <w:color w:val="000000"/>
          <w:kern w:val="2"/>
          <w:sz w:val="28"/>
          <w:szCs w:val="32"/>
          <w:lang w:val="en-GB"/>
          <w14:ligatures w14:val="standardContextual"/>
        </w:rPr>
        <w:t>Introduction</w:t>
      </w:r>
      <w:bookmarkEnd w:id="119"/>
    </w:p>
    <w:p w14:paraId="1AF6E31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chapter concludes the study by drawing together the main findings and considering their wider theoretical and practical significance. It considers the study’s contributions to Brand Alliance Theory and Brand Extension Theory before presenting implications for fashion brands developing anime collaborations. The chapter also acknowledges the study’s limitations and identifies directions for future research. The purpose of this study was to examine the effect of anime collaborations on the engagement of consumer and purchase intention of UK Generation Z consumers. A quantitative, cross-sectional survey of 150 respondents was used to test four hypotheses, and Chapter Five was used to interpret the empirical findings with the existing literatures and conceptual framework.</w:t>
      </w:r>
    </w:p>
    <w:p w14:paraId="0C723C7A"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0" w:name="_Toc241176424"/>
      <w:r w:rsidRPr="000C307D">
        <w:rPr>
          <w:rFonts w:eastAsia="Times New Roman" w:cs="Times New Roman"/>
          <w:b/>
          <w:color w:val="000000"/>
          <w:kern w:val="2"/>
          <w:sz w:val="28"/>
          <w:szCs w:val="32"/>
          <w:lang w:val="en-GB"/>
          <w14:ligatures w14:val="standardContextual"/>
        </w:rPr>
        <w:t>Brief Summary of Key Findings</w:t>
      </w:r>
      <w:bookmarkEnd w:id="120"/>
    </w:p>
    <w:p w14:paraId="1586CF5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The findings provide partial support for the conceptual framework. Perceived Authenticity was not significant for Consumer Engagement (β = −.038, p = .639), which contradicts the literature that links authenticity to greater consumer responses. Brand–Anime Fit was also non-significant (β = .088, p = .294), suggesting that perceived compatibility alone may be insufficient to generate engagement. Anime Involvement had a significant positive bivariate correlation with Consumer Engagement (r = .174, p = .033). However, it was not a statistically significant independent predictor of Consumer Engagement in the multiple regression model (β = .155, p = .066). Therefore, H3 was not supported. Consumer Engagement, however, significantly and positively predicted Purchase Intention (β = .263, p = .001), supporting H4 and aligning with previous engagement literature. The results indicate that Consumer Engagement is positively associated with Purchase Intention, while other cultural, emotional and collaboration-related factors may also contribute to engagement and purchase intention.</w:t>
      </w:r>
    </w:p>
    <w:p w14:paraId="6FCE01B7"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1" w:name="_Toc241176425"/>
      <w:r w:rsidRPr="000C307D">
        <w:rPr>
          <w:rFonts w:eastAsia="Times New Roman" w:cs="Times New Roman"/>
          <w:b/>
          <w:color w:val="000000"/>
          <w:kern w:val="2"/>
          <w:sz w:val="28"/>
          <w:szCs w:val="32"/>
          <w:lang w:val="en-GB"/>
          <w14:ligatures w14:val="standardContextual"/>
        </w:rPr>
        <w:t>Theoretical Implications</w:t>
      </w:r>
      <w:bookmarkEnd w:id="121"/>
    </w:p>
    <w:p w14:paraId="4D24CF0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principal theoretical contribution of this study concerns the application and refinement of Brand Alliance Theory and Brand Extension Theory within anime–fashion collaborations. According to Brand Alliance Theory, past associations with a partner of an </w:t>
      </w:r>
      <w:r w:rsidRPr="000C307D">
        <w:rPr>
          <w:rFonts w:eastAsia="Aptos" w:cs="Times New Roman"/>
          <w:kern w:val="2"/>
          <w:lang w:val="en-GB"/>
          <w14:ligatures w14:val="standardContextual"/>
        </w:rPr>
        <w:lastRenderedPageBreak/>
        <w:t>alliance and their perceived appropriateness of the alliance will affect the evaluation of the alliance (Simonin and Ruth, 1998). The perceived fit and conceptual consistency of extensions into new product contexts are also stressed in the Brand Extension Theory when consumers evaluate extensions (Aaker and Keller, 1990, Park, Milberg and Lawson, 1991). These expectations were not confirmed by the present findings as there was no significant prediction of Consumer Engagement by Brand–Anime Fit (β = .088, p = .294). This implies that compatibility may be a construct for evaluating collaboration that does not lead to engagement.</w:t>
      </w:r>
    </w:p>
    <w:p w14:paraId="1826273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A second contribution is related to the boundaries of authenticity and fandom involvement. Authenticity has been related to greater consumer relational responses (</w:t>
      </w:r>
      <w:proofErr w:type="spellStart"/>
      <w:r w:rsidRPr="000C307D">
        <w:rPr>
          <w:rFonts w:eastAsia="Aptos" w:cs="Times New Roman"/>
          <w:kern w:val="2"/>
          <w:lang w:val="en-GB"/>
          <w14:ligatures w14:val="standardContextual"/>
        </w:rPr>
        <w:t>Moulard</w:t>
      </w:r>
      <w:proofErr w:type="spellEnd"/>
      <w:r w:rsidRPr="000C307D">
        <w:rPr>
          <w:rFonts w:eastAsia="Aptos" w:cs="Times New Roman"/>
          <w:kern w:val="2"/>
          <w:lang w:val="en-GB"/>
          <w14:ligatures w14:val="standardContextual"/>
        </w:rPr>
        <w:t>, Raggio and Folse, 2020; Sun et al., 2024), and fandoms have been found to influence the intensity of engagement in culturally meaningful consumption experiences (Lan, Waheed and Bidin, 2025; Zheng et al., 2025). None of the individual factors - Perceived Authenticity (β = −.038, p = .639) nor Anime Involvement (β = .155, p = .066) - were found to independently predict Consumer Engagement. Findings thus suggest that such connections are likely to depend on other aspects of the collaboration between the two industries in anime–fashion, rather than being a straightforward impact.</w:t>
      </w:r>
    </w:p>
    <w:p w14:paraId="0ABB384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Third, the study provides clearer support for the mechanism connecting Consumer Engagement to Purchase Intention. Engagement was defined as cognitive, emotional and behavioural responses to collaborative offerings (Ng, Sweeney and Plewa, 2020; Srivastava et al., 2023). Its significant positive relationship with Purchase Intention (β = .263, p = .001) supports the proposed latter-stage pathway, although the modest R² indicates that engagement is only one of several factors associated with purchase intention.</w:t>
      </w:r>
    </w:p>
    <w:p w14:paraId="4B69F63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conceptual model therefore requires refinement. Perceived Authenticity, Brand–Anime Fit and Anime Involvement were not supported as independent predictors of Consumer Engagement in the present model, whereas Consumer Engagement was empirically supported as a predictor of Purchase Intention. Future studies could examine whether the three antecedents operate under </w:t>
      </w:r>
      <w:proofErr w:type="gramStart"/>
      <w:r w:rsidRPr="000C307D">
        <w:rPr>
          <w:rFonts w:eastAsia="Aptos" w:cs="Times New Roman"/>
          <w:kern w:val="2"/>
          <w:lang w:val="en-GB"/>
          <w14:ligatures w14:val="standardContextual"/>
        </w:rPr>
        <w:t>particular conditions</w:t>
      </w:r>
      <w:proofErr w:type="gramEnd"/>
      <w:r w:rsidRPr="000C307D">
        <w:rPr>
          <w:rFonts w:eastAsia="Aptos" w:cs="Times New Roman"/>
          <w:kern w:val="2"/>
          <w:lang w:val="en-GB"/>
          <w14:ligatures w14:val="standardContextual"/>
        </w:rPr>
        <w:t xml:space="preserve"> or through mediating mechanisms.</w:t>
      </w:r>
    </w:p>
    <w:p w14:paraId="3B16BB2C"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2" w:name="_Toc241176426"/>
      <w:r w:rsidRPr="000C307D">
        <w:rPr>
          <w:rFonts w:eastAsia="Times New Roman" w:cs="Times New Roman"/>
          <w:b/>
          <w:color w:val="000000"/>
          <w:kern w:val="2"/>
          <w:sz w:val="28"/>
          <w:szCs w:val="32"/>
          <w:lang w:val="en-GB"/>
          <w14:ligatures w14:val="standardContextual"/>
        </w:rPr>
        <w:lastRenderedPageBreak/>
        <w:t>Managerial Implications</w:t>
      </w:r>
      <w:bookmarkEnd w:id="122"/>
    </w:p>
    <w:p w14:paraId="72176D1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 findings provide practical guidance for fashion brands targeting UK Generation Z through anime collaborations. First, besides being authentic or fitting a brand with Anime, managers should focus on the active involvement of consumers as Consumer Engagement significantly and positively predicted Purchase Intention (β = .263, p = .001). It is, therefore, important that campaigns include interactive social-media content, preview, fan discussion and participation opportunities. Previous studies also suggest that content that resonates with emotional appeal and is interactive can make anime-related collaborations more engaging to Gen Z. </w:t>
      </w:r>
    </w:p>
    <w:p w14:paraId="07C1BB1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Secondly, brands need to consider not only the obvious fit for an anime collaboration, but also the potential. Given that Brand–Anime Fit did not significantly predict Consumer Engagement, design appeal, cultural relevance, audience overlap and opportunities for unique products should also be considered when selecting a collaboration partner. Third, Anime Involvement was not found to be a strong independent predictor; however, being positively correlated with engagement, brands should focus on targeting the fandoms that are relevant to their brand and not assume that the more involved a fan is, the more likely they are to engage.</w:t>
      </w:r>
    </w:p>
    <w:p w14:paraId="2E342FC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Finally, managers should monitor engagement-to-purchase performance using measurable indicators such as content interaction rates, shares, saves, website visits, purchase intention and conversion rates. This is particularly important because engagement explained only 6.9% of Purchase Intention, indicating that product quality, accessibility and other purchase-related factors should also be considered. Research on co-branded anime fashion similarly identifies product-related factors and consumer attitudes as important influences on purchase intention.</w:t>
      </w:r>
    </w:p>
    <w:p w14:paraId="231918B8"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3" w:name="_Toc241176427"/>
      <w:r w:rsidRPr="000C307D">
        <w:rPr>
          <w:rFonts w:eastAsia="Times New Roman" w:cs="Times New Roman"/>
          <w:b/>
          <w:color w:val="000000"/>
          <w:kern w:val="2"/>
          <w:sz w:val="28"/>
          <w:szCs w:val="32"/>
          <w:lang w:val="en-GB"/>
          <w14:ligatures w14:val="standardContextual"/>
        </w:rPr>
        <w:t>Limitations and Directions for Future Research</w:t>
      </w:r>
      <w:bookmarkEnd w:id="123"/>
    </w:p>
    <w:p w14:paraId="14D60C4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There are several limitations to this study. Firstly, the findings are not widely generalisable because of the convenience sampling and sample of 150 UK Generation Z consumers. Secondly, the cross-sectional design measured perceptions at a single point in time and therefore does not allow causal conclusions to be drawn between the study constructs. </w:t>
      </w:r>
      <w:r w:rsidRPr="000C307D">
        <w:rPr>
          <w:rFonts w:eastAsia="Aptos" w:cs="Times New Roman"/>
          <w:kern w:val="2"/>
          <w:lang w:val="en-GB"/>
          <w14:ligatures w14:val="standardContextual"/>
        </w:rPr>
        <w:lastRenderedPageBreak/>
        <w:t>Third, self-reported measures of engagement and purchase intention could be subject to response bias and do not actually represent the purchasing behaviour. Low explanatory power of the engagement model also suggests that factors that were relevant were not captured. Large probability-based and cross-country samples, longitudinal studies or mixed methods are recommended for future studies. Future research could also explore potential mediators and moderators such as emotional attachments, novelty of working together, how attractive the product is and whether the price is important, and link survey responses to behavioural data like clicks, engagement measures, and actual purchases.</w:t>
      </w:r>
    </w:p>
    <w:p w14:paraId="72A10967"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4" w:name="_Toc241176428"/>
      <w:r w:rsidRPr="000C307D">
        <w:rPr>
          <w:rFonts w:eastAsia="Times New Roman" w:cs="Times New Roman"/>
          <w:b/>
          <w:color w:val="000000"/>
          <w:kern w:val="2"/>
          <w:sz w:val="28"/>
          <w:szCs w:val="32"/>
          <w:lang w:val="en-GB"/>
          <w14:ligatures w14:val="standardContextual"/>
        </w:rPr>
        <w:t>Closing Statement</w:t>
      </w:r>
      <w:bookmarkEnd w:id="124"/>
    </w:p>
    <w:p w14:paraId="26F2B4E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This study contributes to understanding anime–fashion collaborations among UK Generation Z consumers. The findings did not provide statistically significant evidence that Perceived Authenticity, Brand–Anime Fit or Anime Involvement independently predicted Consumer Engagement. However, Consumer Engagement significantly and positively predicted Purchase Intention. Therefore, H1–H3 were not supported, while H4 was supported. Overall, the findings suggest that engagement is relevant to purchase intention, while further research is needed to identify the factors that shape engagement with anime–fashion collaborations.</w:t>
      </w:r>
    </w:p>
    <w:p w14:paraId="481388FE" w14:textId="77777777" w:rsidR="000C307D" w:rsidRPr="000C307D" w:rsidRDefault="000C307D" w:rsidP="000C307D">
      <w:pPr>
        <w:spacing w:after="160"/>
        <w:rPr>
          <w:rFonts w:eastAsia="Aptos" w:cs="Times New Roman"/>
          <w:kern w:val="2"/>
          <w:lang w:val="en-GB"/>
          <w14:ligatures w14:val="standardContextual"/>
        </w:rPr>
      </w:pPr>
    </w:p>
    <w:p w14:paraId="307B4826" w14:textId="77777777" w:rsidR="000C307D" w:rsidRPr="000C307D" w:rsidRDefault="000C307D" w:rsidP="000C307D">
      <w:pPr>
        <w:spacing w:after="160"/>
        <w:rPr>
          <w:rFonts w:eastAsia="Aptos" w:cs="Times New Roman"/>
          <w:kern w:val="2"/>
          <w:lang w:val="en-GB"/>
          <w14:ligatures w14:val="standardContextual"/>
        </w:rPr>
      </w:pPr>
    </w:p>
    <w:p w14:paraId="048BA569" w14:textId="77777777" w:rsidR="000C307D" w:rsidRPr="000C307D" w:rsidRDefault="000C307D" w:rsidP="000C307D">
      <w:pPr>
        <w:spacing w:after="160"/>
        <w:rPr>
          <w:rFonts w:eastAsia="Aptos" w:cs="Times New Roman"/>
          <w:kern w:val="2"/>
          <w:lang w:val="en-GB"/>
          <w14:ligatures w14:val="standardContextual"/>
        </w:rPr>
      </w:pPr>
    </w:p>
    <w:p w14:paraId="7C556B2F" w14:textId="77777777" w:rsidR="000C307D" w:rsidRPr="000C307D" w:rsidRDefault="000C307D" w:rsidP="000C307D">
      <w:pPr>
        <w:spacing w:after="160"/>
        <w:rPr>
          <w:rFonts w:eastAsia="Aptos" w:cs="Times New Roman"/>
          <w:kern w:val="2"/>
          <w:lang w:val="en-GB"/>
          <w14:ligatures w14:val="standardContextual"/>
        </w:rPr>
      </w:pPr>
    </w:p>
    <w:p w14:paraId="73FDD332" w14:textId="77777777" w:rsidR="000C307D" w:rsidRPr="000C307D" w:rsidRDefault="000C307D" w:rsidP="000C307D">
      <w:pPr>
        <w:spacing w:after="160"/>
        <w:rPr>
          <w:rFonts w:eastAsia="Aptos" w:cs="Times New Roman"/>
          <w:kern w:val="2"/>
          <w:lang w:val="en-GB"/>
          <w14:ligatures w14:val="standardContextual"/>
        </w:rPr>
      </w:pPr>
    </w:p>
    <w:p w14:paraId="6B9C1F5F" w14:textId="77777777" w:rsidR="000C307D" w:rsidRPr="000C307D" w:rsidRDefault="000C307D" w:rsidP="000C307D">
      <w:pPr>
        <w:spacing w:after="160"/>
        <w:rPr>
          <w:rFonts w:eastAsia="Aptos" w:cs="Times New Roman"/>
          <w:kern w:val="2"/>
          <w:lang w:val="en-GB"/>
          <w14:ligatures w14:val="standardContextual"/>
        </w:rPr>
      </w:pPr>
    </w:p>
    <w:p w14:paraId="5F6C633D" w14:textId="77777777" w:rsidR="000C307D" w:rsidRPr="000C307D" w:rsidRDefault="000C307D" w:rsidP="000C307D">
      <w:pPr>
        <w:spacing w:after="160"/>
        <w:rPr>
          <w:rFonts w:eastAsia="Aptos" w:cs="Times New Roman"/>
          <w:kern w:val="2"/>
          <w:lang w:val="en-GB"/>
          <w14:ligatures w14:val="standardContextual"/>
        </w:rPr>
      </w:pPr>
    </w:p>
    <w:p w14:paraId="5C28125F"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125" w:name="_Toc241176429"/>
      <w:r w:rsidRPr="000C307D">
        <w:rPr>
          <w:rFonts w:eastAsia="Times New Roman" w:cs="Times New Roman"/>
          <w:b/>
          <w:color w:val="000000"/>
          <w:kern w:val="2"/>
          <w:sz w:val="32"/>
          <w:szCs w:val="40"/>
          <w:lang w:val="en-GB"/>
          <w14:ligatures w14:val="standardContextual"/>
        </w:rPr>
        <w:lastRenderedPageBreak/>
        <w:t>References</w:t>
      </w:r>
      <w:bookmarkEnd w:id="125"/>
    </w:p>
    <w:p w14:paraId="08559FF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sv-SE"/>
          <w14:ligatures w14:val="standardContextual"/>
        </w:rPr>
        <w:t xml:space="preserve">Aaker, D.A. and Keller, K.L. (1990). </w:t>
      </w:r>
      <w:r w:rsidRPr="000C307D">
        <w:rPr>
          <w:rFonts w:eastAsia="Aptos" w:cs="Times New Roman"/>
          <w:kern w:val="2"/>
          <w:lang w:val="en-GB"/>
          <w14:ligatures w14:val="standardContextual"/>
        </w:rPr>
        <w:t xml:space="preserve">Consumer evaluations of brand extensions. </w:t>
      </w:r>
      <w:r w:rsidRPr="000C307D">
        <w:rPr>
          <w:rFonts w:eastAsia="Aptos" w:cs="Times New Roman"/>
          <w:i/>
          <w:iCs/>
          <w:kern w:val="2"/>
          <w:lang w:val="en-GB"/>
          <w14:ligatures w14:val="standardContextual"/>
        </w:rPr>
        <w:t>Journal of Marketing</w:t>
      </w:r>
      <w:r w:rsidRPr="000C307D">
        <w:rPr>
          <w:rFonts w:eastAsia="Aptos" w:cs="Times New Roman"/>
          <w:kern w:val="2"/>
          <w:lang w:val="en-GB"/>
          <w14:ligatures w14:val="standardContextual"/>
        </w:rPr>
        <w:t xml:space="preserve">, 54(1), pp.27–41. Available At: </w:t>
      </w:r>
      <w:hyperlink r:id="rId49" w:history="1">
        <w:r w:rsidRPr="000C307D">
          <w:rPr>
            <w:rFonts w:eastAsia="Aptos" w:cs="Times New Roman"/>
            <w:color w:val="0563C1"/>
            <w:kern w:val="2"/>
            <w:u w:val="single"/>
            <w:lang w:val="en-GB"/>
            <w14:ligatures w14:val="standardContextual"/>
          </w:rPr>
          <w:t>https://journals.sagepub.com/doi/abs/10.1177/002224299005400102</w:t>
        </w:r>
      </w:hyperlink>
      <w:r w:rsidRPr="000C307D">
        <w:rPr>
          <w:rFonts w:eastAsia="Aptos" w:cs="Times New Roman"/>
          <w:kern w:val="2"/>
          <w:lang w:val="en-GB"/>
          <w14:ligatures w14:val="standardContextual"/>
        </w:rPr>
        <w:t xml:space="preserve">. </w:t>
      </w:r>
    </w:p>
    <w:p w14:paraId="57E70F0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Airoldi, M. (2019). Digital traces of taste: Methodological pathways for consumer research. </w:t>
      </w:r>
      <w:r w:rsidRPr="000C307D">
        <w:rPr>
          <w:rFonts w:eastAsia="Aptos" w:cs="Times New Roman"/>
          <w:i/>
          <w:iCs/>
          <w:kern w:val="2"/>
          <w:lang w:val="en-GB"/>
          <w14:ligatures w14:val="standardContextual"/>
        </w:rPr>
        <w:t>Consumption Markets &amp; Culture</w:t>
      </w:r>
      <w:r w:rsidRPr="000C307D">
        <w:rPr>
          <w:rFonts w:eastAsia="Aptos" w:cs="Times New Roman"/>
          <w:kern w:val="2"/>
          <w:lang w:val="en-GB"/>
          <w14:ligatures w14:val="standardContextual"/>
        </w:rPr>
        <w:t xml:space="preserve">, pp.1–21. Available At: </w:t>
      </w:r>
      <w:hyperlink r:id="rId50" w:history="1">
        <w:r w:rsidRPr="000C307D">
          <w:rPr>
            <w:rFonts w:eastAsia="Aptos" w:cs="Times New Roman"/>
            <w:color w:val="0563C1"/>
            <w:kern w:val="2"/>
            <w:u w:val="single"/>
            <w:lang w:val="en-GB"/>
            <w14:ligatures w14:val="standardContextual"/>
          </w:rPr>
          <w:t>https://www.academia.edu/download/68227075/Digital_traces_of_taste_Airoldi_PREPRINT_RG.pdf</w:t>
        </w:r>
      </w:hyperlink>
      <w:r w:rsidRPr="000C307D">
        <w:rPr>
          <w:rFonts w:eastAsia="Aptos" w:cs="Times New Roman"/>
          <w:kern w:val="2"/>
          <w:lang w:val="en-GB"/>
          <w14:ligatures w14:val="standardContextual"/>
        </w:rPr>
        <w:t xml:space="preserve">. </w:t>
      </w:r>
    </w:p>
    <w:p w14:paraId="5637D415"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Ajzen, I. (1991). The theory of planned </w:t>
      </w:r>
      <w:proofErr w:type="spellStart"/>
      <w:r w:rsidRPr="000C307D">
        <w:rPr>
          <w:rFonts w:eastAsia="Aptos" w:cs="Times New Roman"/>
          <w:kern w:val="2"/>
          <w:lang w:val="en-GB"/>
          <w14:ligatures w14:val="standardContextual"/>
        </w:rPr>
        <w:t>behavior</w:t>
      </w:r>
      <w:proofErr w:type="spellEnd"/>
      <w:r w:rsidRPr="000C307D">
        <w:rPr>
          <w:rFonts w:eastAsia="Aptos" w:cs="Times New Roman"/>
          <w:kern w:val="2"/>
          <w:lang w:val="en-GB"/>
          <w14:ligatures w14:val="standardContextual"/>
        </w:rPr>
        <w:t xml:space="preserve">. </w:t>
      </w:r>
      <w:r w:rsidRPr="000C307D">
        <w:rPr>
          <w:rFonts w:eastAsia="Aptos" w:cs="Times New Roman"/>
          <w:i/>
          <w:iCs/>
          <w:kern w:val="2"/>
          <w:lang w:val="en-GB"/>
          <w14:ligatures w14:val="standardContextual"/>
        </w:rPr>
        <w:t xml:space="preserve">Organizational </w:t>
      </w:r>
      <w:proofErr w:type="spellStart"/>
      <w:r w:rsidRPr="000C307D">
        <w:rPr>
          <w:rFonts w:eastAsia="Aptos" w:cs="Times New Roman"/>
          <w:i/>
          <w:iCs/>
          <w:kern w:val="2"/>
          <w:lang w:val="en-GB"/>
          <w14:ligatures w14:val="standardContextual"/>
        </w:rPr>
        <w:t>Behavior</w:t>
      </w:r>
      <w:proofErr w:type="spellEnd"/>
      <w:r w:rsidRPr="000C307D">
        <w:rPr>
          <w:rFonts w:eastAsia="Aptos" w:cs="Times New Roman"/>
          <w:i/>
          <w:iCs/>
          <w:kern w:val="2"/>
          <w:lang w:val="en-GB"/>
          <w14:ligatures w14:val="standardContextual"/>
        </w:rPr>
        <w:t xml:space="preserve"> and Human Decision Processes</w:t>
      </w:r>
      <w:r w:rsidRPr="000C307D">
        <w:rPr>
          <w:rFonts w:eastAsia="Aptos" w:cs="Times New Roman"/>
          <w:kern w:val="2"/>
          <w:lang w:val="en-GB"/>
          <w14:ligatures w14:val="standardContextual"/>
        </w:rPr>
        <w:t xml:space="preserve">, 50(2), pp.179–211. Available At: </w:t>
      </w:r>
      <w:hyperlink r:id="rId51" w:history="1">
        <w:r w:rsidRPr="000C307D">
          <w:rPr>
            <w:rFonts w:eastAsia="Aptos" w:cs="Times New Roman"/>
            <w:color w:val="0563C1"/>
            <w:kern w:val="2"/>
            <w:u w:val="single"/>
            <w:lang w:val="en-GB"/>
            <w14:ligatures w14:val="standardContextual"/>
          </w:rPr>
          <w:t>https://ojs.unbc.ca/index.php/design/article/download/1887/1414</w:t>
        </w:r>
      </w:hyperlink>
      <w:r w:rsidRPr="000C307D">
        <w:rPr>
          <w:rFonts w:eastAsia="Aptos" w:cs="Times New Roman"/>
          <w:kern w:val="2"/>
          <w:lang w:val="en-GB"/>
          <w14:ligatures w14:val="standardContextual"/>
        </w:rPr>
        <w:t xml:space="preserve">. </w:t>
      </w:r>
    </w:p>
    <w:p w14:paraId="36D01C58" w14:textId="77777777" w:rsidR="000C307D" w:rsidRPr="000C307D" w:rsidRDefault="000C307D" w:rsidP="000C307D">
      <w:pPr>
        <w:spacing w:after="160"/>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t>Alanadoly</w:t>
      </w:r>
      <w:proofErr w:type="spellEnd"/>
      <w:r w:rsidRPr="000C307D">
        <w:rPr>
          <w:rFonts w:eastAsia="Aptos" w:cs="Times New Roman"/>
          <w:kern w:val="2"/>
          <w:lang w:val="en-GB"/>
          <w14:ligatures w14:val="standardContextual"/>
        </w:rPr>
        <w:t xml:space="preserve">, A.B. and Salem, S.F. (2024). Branding fashion through gameplay: The branded gaming and the cool dynamics in the fashion markets. A game-theory approach. </w:t>
      </w:r>
      <w:r w:rsidRPr="000C307D">
        <w:rPr>
          <w:rFonts w:eastAsia="Aptos" w:cs="Times New Roman"/>
          <w:i/>
          <w:iCs/>
          <w:kern w:val="2"/>
          <w:lang w:val="en-GB"/>
          <w14:ligatures w14:val="standardContextual"/>
        </w:rPr>
        <w:t>European journal of management and business economics</w:t>
      </w:r>
      <w:r w:rsidRPr="000C307D">
        <w:rPr>
          <w:rFonts w:eastAsia="Aptos" w:cs="Times New Roman"/>
          <w:kern w:val="2"/>
          <w:lang w:val="en-GB"/>
          <w14:ligatures w14:val="standardContextual"/>
        </w:rPr>
        <w:t xml:space="preserve">. doi:10.1108/ejmbe-06-2023-0179. Available At: </w:t>
      </w:r>
      <w:hyperlink r:id="rId52" w:history="1">
        <w:r w:rsidRPr="000C307D">
          <w:rPr>
            <w:rFonts w:eastAsia="Aptos" w:cs="Times New Roman"/>
            <w:color w:val="0563C1"/>
            <w:kern w:val="2"/>
            <w:u w:val="single"/>
            <w:lang w:val="en-GB"/>
            <w14:ligatures w14:val="standardContextual"/>
          </w:rPr>
          <w:t>https://www.emerald.com/ejmbe/article-pdf/33/4/394/9507577/ejmbe-06-2023-0179.pdf</w:t>
        </w:r>
      </w:hyperlink>
      <w:r w:rsidRPr="000C307D">
        <w:rPr>
          <w:rFonts w:eastAsia="Aptos" w:cs="Times New Roman"/>
          <w:kern w:val="2"/>
          <w:lang w:val="en-GB"/>
          <w14:ligatures w14:val="standardContextual"/>
        </w:rPr>
        <w:t xml:space="preserve">. </w:t>
      </w:r>
    </w:p>
    <w:p w14:paraId="68DC3954" w14:textId="77777777" w:rsidR="000C307D" w:rsidRPr="000C307D" w:rsidRDefault="000C307D" w:rsidP="000C307D">
      <w:pPr>
        <w:spacing w:after="160"/>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t>Andonopoulos</w:t>
      </w:r>
      <w:proofErr w:type="spellEnd"/>
      <w:r w:rsidRPr="000C307D">
        <w:rPr>
          <w:rFonts w:eastAsia="Aptos" w:cs="Times New Roman"/>
          <w:kern w:val="2"/>
          <w:lang w:val="en-GB"/>
          <w14:ligatures w14:val="standardContextual"/>
        </w:rPr>
        <w:t xml:space="preserve">, V., Lee, J.J. and Mathies, C. (2023). Authentic isn’t always best: When inauthentic social media influencers induce positive consumer purchase intention through inspiration. </w:t>
      </w:r>
      <w:r w:rsidRPr="000C307D">
        <w:rPr>
          <w:rFonts w:eastAsia="Aptos" w:cs="Times New Roman"/>
          <w:i/>
          <w:iCs/>
          <w:kern w:val="2"/>
          <w:lang w:val="en-GB"/>
          <w14:ligatures w14:val="standardContextual"/>
        </w:rPr>
        <w:t>Journal of Retailing and Consumer Services</w:t>
      </w:r>
      <w:r w:rsidRPr="000C307D">
        <w:rPr>
          <w:rFonts w:eastAsia="Aptos" w:cs="Times New Roman"/>
          <w:kern w:val="2"/>
          <w:lang w:val="en-GB"/>
          <w14:ligatures w14:val="standardContextual"/>
        </w:rPr>
        <w:t xml:space="preserve">, [online] 75(103521), p.103521. Available At: </w:t>
      </w:r>
      <w:hyperlink r:id="rId53" w:history="1">
        <w:r w:rsidRPr="000C307D">
          <w:rPr>
            <w:rFonts w:eastAsia="Aptos" w:cs="Times New Roman"/>
            <w:color w:val="0563C1"/>
            <w:kern w:val="2"/>
            <w:u w:val="single"/>
            <w:lang w:val="en-GB"/>
            <w14:ligatures w14:val="standardContextual"/>
          </w:rPr>
          <w:t>https://www.sciencedirect.com/science/article/pii/S0969698923002722</w:t>
        </w:r>
      </w:hyperlink>
      <w:r w:rsidRPr="000C307D">
        <w:rPr>
          <w:rFonts w:eastAsia="Aptos" w:cs="Times New Roman"/>
          <w:kern w:val="2"/>
          <w:lang w:val="en-GB"/>
          <w14:ligatures w14:val="standardContextual"/>
        </w:rPr>
        <w:t xml:space="preserve">. </w:t>
      </w:r>
    </w:p>
    <w:p w14:paraId="639031C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Araujo, T., Copulsky, J.R., Hayes, J.L., Kim, S.J. and Srivastava, J. (2020). From purchasing exposure to fostering engagement: Brand–consumer experiences in the emerging computational advertising landscape. </w:t>
      </w:r>
      <w:r w:rsidRPr="000C307D">
        <w:rPr>
          <w:rFonts w:eastAsia="Aptos" w:cs="Times New Roman"/>
          <w:i/>
          <w:iCs/>
          <w:kern w:val="2"/>
          <w:lang w:val="en-GB"/>
          <w14:ligatures w14:val="standardContextual"/>
        </w:rPr>
        <w:t>Journal of Advertising</w:t>
      </w:r>
      <w:r w:rsidRPr="000C307D">
        <w:rPr>
          <w:rFonts w:eastAsia="Aptos" w:cs="Times New Roman"/>
          <w:kern w:val="2"/>
          <w:lang w:val="en-GB"/>
          <w14:ligatures w14:val="standardContextual"/>
        </w:rPr>
        <w:t xml:space="preserve">, [online] 49(4), pp.428–445. Available At: </w:t>
      </w:r>
      <w:hyperlink r:id="rId54" w:history="1">
        <w:r w:rsidRPr="000C307D">
          <w:rPr>
            <w:rFonts w:eastAsia="Aptos" w:cs="Times New Roman"/>
            <w:color w:val="0563C1"/>
            <w:kern w:val="2"/>
            <w:u w:val="single"/>
            <w:lang w:val="en-GB"/>
            <w14:ligatures w14:val="standardContextual"/>
          </w:rPr>
          <w:t>https://www.tandfonline.com/doi/pdf/10.1080/00913367.2020.1795756</w:t>
        </w:r>
      </w:hyperlink>
      <w:r w:rsidRPr="000C307D">
        <w:rPr>
          <w:rFonts w:eastAsia="Aptos" w:cs="Times New Roman"/>
          <w:kern w:val="2"/>
          <w:lang w:val="en-GB"/>
          <w14:ligatures w14:val="standardContextual"/>
        </w:rPr>
        <w:t>.</w:t>
      </w:r>
    </w:p>
    <w:p w14:paraId="2DD3104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Archana, V., Arora, A., Saha, P.K.R., Pandey, V. and Jyothiswarup, G. (2026). Factors influencing anime-generated parasocial relationships: A systematic review. </w:t>
      </w:r>
      <w:r w:rsidRPr="000C307D">
        <w:rPr>
          <w:rFonts w:eastAsia="Aptos" w:cs="Times New Roman"/>
          <w:i/>
          <w:iCs/>
          <w:kern w:val="2"/>
          <w:lang w:val="en-GB"/>
          <w14:ligatures w14:val="standardContextual"/>
        </w:rPr>
        <w:t xml:space="preserve">BMC </w:t>
      </w:r>
      <w:r w:rsidRPr="000C307D">
        <w:rPr>
          <w:rFonts w:eastAsia="Aptos" w:cs="Times New Roman"/>
          <w:i/>
          <w:iCs/>
          <w:kern w:val="2"/>
          <w:lang w:val="en-GB"/>
          <w14:ligatures w14:val="standardContextual"/>
        </w:rPr>
        <w:lastRenderedPageBreak/>
        <w:t>Psychology</w:t>
      </w:r>
      <w:r w:rsidRPr="000C307D">
        <w:rPr>
          <w:rFonts w:eastAsia="Aptos" w:cs="Times New Roman"/>
          <w:kern w:val="2"/>
          <w:lang w:val="en-GB"/>
          <w14:ligatures w14:val="standardContextual"/>
        </w:rPr>
        <w:t xml:space="preserve">. Available At: </w:t>
      </w:r>
      <w:hyperlink r:id="rId55" w:history="1">
        <w:r w:rsidRPr="000C307D">
          <w:rPr>
            <w:rFonts w:eastAsia="Aptos" w:cs="Times New Roman"/>
            <w:color w:val="0563C1"/>
            <w:kern w:val="2"/>
            <w:u w:val="single"/>
            <w:lang w:val="en-GB"/>
            <w14:ligatures w14:val="standardContextual"/>
          </w:rPr>
          <w:t>https://link.springer.com/content/pdf/10.1186/s40359-026-04471-z.pdf</w:t>
        </w:r>
      </w:hyperlink>
      <w:r w:rsidRPr="000C307D">
        <w:rPr>
          <w:rFonts w:eastAsia="Aptos" w:cs="Times New Roman"/>
          <w:kern w:val="2"/>
          <w:lang w:val="en-GB"/>
          <w14:ligatures w14:val="standardContextual"/>
        </w:rPr>
        <w:t>.</w:t>
      </w:r>
    </w:p>
    <w:p w14:paraId="1523BA2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Arya, V., Verma, H., Sethi, D. and Agarwal, R. (2019). Brand authenticity and brand attachment: How online communities built on social networking vehicles moderate the consumers’ brand attachment. </w:t>
      </w:r>
      <w:r w:rsidRPr="000C307D">
        <w:rPr>
          <w:rFonts w:eastAsia="Aptos" w:cs="Times New Roman"/>
          <w:i/>
          <w:iCs/>
          <w:kern w:val="2"/>
          <w:lang w:val="en-GB"/>
          <w14:ligatures w14:val="standardContextual"/>
        </w:rPr>
        <w:t>IIM Kozhikode Society &amp; Management Review</w:t>
      </w:r>
      <w:r w:rsidRPr="000C307D">
        <w:rPr>
          <w:rFonts w:eastAsia="Aptos" w:cs="Times New Roman"/>
          <w:kern w:val="2"/>
          <w:lang w:val="en-GB"/>
          <w14:ligatures w14:val="standardContextual"/>
        </w:rPr>
        <w:t xml:space="preserve">, 8(2), pp.87–103. Available At: </w:t>
      </w:r>
      <w:hyperlink r:id="rId56" w:history="1">
        <w:r w:rsidRPr="000C307D">
          <w:rPr>
            <w:rFonts w:eastAsia="Aptos" w:cs="Times New Roman"/>
            <w:color w:val="0563C1"/>
            <w:kern w:val="2"/>
            <w:u w:val="single"/>
            <w:lang w:val="en-GB"/>
            <w14:ligatures w14:val="standardContextual"/>
          </w:rPr>
          <w:t>https://www.researchgate.net/profile/Vikas-Arya-10/publication/331962268_Brand_Authenticity_and_Brand_Attachment_How_Online_Communities_Built_on_Social_Networking_Vehicles_Moderate_the_Consumers'_Brand_Attachment/links/69809e7e42f94d1212a5d3db/Brand-Authenticity-and-Brand-Attachment-How-Online-Communities-Built-on-Social-Networking-Vehicles-Moderate-the-Consumers-Brand-Attachment.pdf</w:t>
        </w:r>
      </w:hyperlink>
      <w:r w:rsidRPr="000C307D">
        <w:rPr>
          <w:rFonts w:eastAsia="Aptos" w:cs="Times New Roman"/>
          <w:kern w:val="2"/>
          <w:lang w:val="en-GB"/>
          <w14:ligatures w14:val="standardContextual"/>
        </w:rPr>
        <w:t>.</w:t>
      </w:r>
    </w:p>
    <w:p w14:paraId="16AA100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Casula, M., Rangarajan, N. and Shields, P. (2021) “The potential of working hypotheses for deductive exploratory research,” </w:t>
      </w:r>
      <w:r w:rsidRPr="000C307D">
        <w:rPr>
          <w:rFonts w:eastAsia="Aptos" w:cs="Times New Roman"/>
          <w:i/>
          <w:iCs/>
          <w:kern w:val="2"/>
          <w:lang w:val="en-GB"/>
          <w14:ligatures w14:val="standardContextual"/>
        </w:rPr>
        <w:t>Quality &amp; Quantity</w:t>
      </w:r>
      <w:r w:rsidRPr="000C307D">
        <w:rPr>
          <w:rFonts w:eastAsia="Aptos" w:cs="Times New Roman"/>
          <w:kern w:val="2"/>
          <w:lang w:val="en-GB"/>
          <w14:ligatures w14:val="standardContextual"/>
        </w:rPr>
        <w:t xml:space="preserve">, 55(1), pp. 1703–1725. Available at: </w:t>
      </w:r>
      <w:hyperlink r:id="rId57" w:history="1">
        <w:r w:rsidRPr="000C307D">
          <w:rPr>
            <w:rFonts w:eastAsia="Aptos" w:cs="Times New Roman"/>
            <w:color w:val="0563C1"/>
            <w:kern w:val="2"/>
            <w:u w:val="single"/>
            <w:lang w:val="en-GB"/>
            <w14:ligatures w14:val="standardContextual"/>
          </w:rPr>
          <w:t>https://pmc.ncbi.nlm.nih.gov/articles/PMC7722257/pdf/11135_2020_Article_1072.pdf</w:t>
        </w:r>
      </w:hyperlink>
      <w:r w:rsidRPr="000C307D">
        <w:rPr>
          <w:rFonts w:eastAsia="Aptos" w:cs="Times New Roman"/>
          <w:kern w:val="2"/>
          <w:lang w:val="en-GB"/>
          <w14:ligatures w14:val="standardContextual"/>
        </w:rPr>
        <w:t xml:space="preserve"> </w:t>
      </w:r>
    </w:p>
    <w:p w14:paraId="1536123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Chaudhary, T. and Chaudhary, M. (2024). Anime and influence on consumption. </w:t>
      </w:r>
      <w:r w:rsidRPr="000C307D">
        <w:rPr>
          <w:rFonts w:eastAsia="Aptos" w:cs="Times New Roman"/>
          <w:i/>
          <w:iCs/>
          <w:kern w:val="2"/>
          <w:lang w:val="en-GB"/>
          <w14:ligatures w14:val="standardContextual"/>
        </w:rPr>
        <w:t>International Journal of Leisure and Tourism Marketing</w:t>
      </w:r>
      <w:r w:rsidRPr="000C307D">
        <w:rPr>
          <w:rFonts w:eastAsia="Aptos" w:cs="Times New Roman"/>
          <w:kern w:val="2"/>
          <w:lang w:val="en-GB"/>
          <w14:ligatures w14:val="standardContextual"/>
        </w:rPr>
        <w:t xml:space="preserve">, 8(2). Available at: </w:t>
      </w:r>
      <w:hyperlink r:id="rId58" w:history="1">
        <w:r w:rsidRPr="000C307D">
          <w:rPr>
            <w:rFonts w:eastAsia="Aptos" w:cs="Times New Roman"/>
            <w:color w:val="0563C1"/>
            <w:kern w:val="2"/>
            <w:u w:val="single"/>
            <w:lang w:val="en-GB"/>
            <w14:ligatures w14:val="standardContextual"/>
          </w:rPr>
          <w:t>https://www.researchgate.net/profile/Monica-Chaudhary-2/publication/382632013_Anime_and_influence_on_consumption/links/6a068fd0e93d4619159620eb/Anime-and-influence-on-consumption.pdf</w:t>
        </w:r>
      </w:hyperlink>
      <w:r w:rsidRPr="000C307D">
        <w:rPr>
          <w:rFonts w:eastAsia="Aptos" w:cs="Times New Roman"/>
          <w:kern w:val="2"/>
          <w:lang w:val="en-GB"/>
          <w14:ligatures w14:val="standardContextual"/>
        </w:rPr>
        <w:t>.</w:t>
      </w:r>
    </w:p>
    <w:p w14:paraId="5666C0B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Chaudhuri, N., Gupta, G., Vamsi, V. and Bose, I. (2021). On the platform but will they buy? Predicting customers” purchase </w:t>
      </w:r>
      <w:proofErr w:type="spellStart"/>
      <w:r w:rsidRPr="000C307D">
        <w:rPr>
          <w:rFonts w:eastAsia="Aptos" w:cs="Times New Roman"/>
          <w:kern w:val="2"/>
          <w:lang w:val="en-GB"/>
          <w14:ligatures w14:val="standardContextual"/>
        </w:rPr>
        <w:t>behavior</w:t>
      </w:r>
      <w:proofErr w:type="spellEnd"/>
      <w:r w:rsidRPr="000C307D">
        <w:rPr>
          <w:rFonts w:eastAsia="Aptos" w:cs="Times New Roman"/>
          <w:kern w:val="2"/>
          <w:lang w:val="en-GB"/>
          <w14:ligatures w14:val="standardContextual"/>
        </w:rPr>
        <w:t xml:space="preserve"> using deep learning. </w:t>
      </w:r>
      <w:r w:rsidRPr="000C307D">
        <w:rPr>
          <w:rFonts w:eastAsia="Aptos" w:cs="Times New Roman"/>
          <w:i/>
          <w:iCs/>
          <w:kern w:val="2"/>
          <w:lang w:val="en-GB"/>
          <w14:ligatures w14:val="standardContextual"/>
        </w:rPr>
        <w:t>Decision Support Systems</w:t>
      </w:r>
      <w:r w:rsidRPr="000C307D">
        <w:rPr>
          <w:rFonts w:eastAsia="Aptos" w:cs="Times New Roman"/>
          <w:kern w:val="2"/>
          <w:lang w:val="en-GB"/>
          <w14:ligatures w14:val="standardContextual"/>
        </w:rPr>
        <w:t xml:space="preserve">, 149, p.113622. Available at: </w:t>
      </w:r>
      <w:hyperlink r:id="rId59" w:history="1">
        <w:r w:rsidRPr="000C307D">
          <w:rPr>
            <w:rFonts w:eastAsia="Aptos" w:cs="Times New Roman"/>
            <w:color w:val="0563C1"/>
            <w:kern w:val="2"/>
            <w:u w:val="single"/>
            <w:lang w:val="en-GB"/>
            <w14:ligatures w14:val="standardContextual"/>
          </w:rPr>
          <w:t>https://www.sciencedirect.com/science/article/am/pii/S0167923621001329</w:t>
        </w:r>
      </w:hyperlink>
      <w:r w:rsidRPr="000C307D">
        <w:rPr>
          <w:rFonts w:eastAsia="Aptos" w:cs="Times New Roman"/>
          <w:kern w:val="2"/>
          <w:lang w:val="en-GB"/>
          <w14:ligatures w14:val="standardContextual"/>
        </w:rPr>
        <w:t>.</w:t>
      </w:r>
    </w:p>
    <w:p w14:paraId="3EFC37C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Delgado, E., Ocampo, L.M. and </w:t>
      </w:r>
      <w:proofErr w:type="spellStart"/>
      <w:r w:rsidRPr="000C307D">
        <w:rPr>
          <w:rFonts w:eastAsia="Aptos" w:cs="Times New Roman"/>
          <w:kern w:val="2"/>
          <w:lang w:val="en-GB"/>
          <w14:ligatures w14:val="standardContextual"/>
        </w:rPr>
        <w:t>Dótor</w:t>
      </w:r>
      <w:proofErr w:type="spellEnd"/>
      <w:r w:rsidRPr="000C307D">
        <w:rPr>
          <w:rFonts w:eastAsia="Aptos" w:cs="Times New Roman"/>
          <w:kern w:val="2"/>
          <w:lang w:val="en-GB"/>
          <w14:ligatures w14:val="standardContextual"/>
        </w:rPr>
        <w:t xml:space="preserve">, L. (2023). Clothing as an element of identity and a trend of self-completion in generation Z in Colombia. </w:t>
      </w:r>
      <w:r w:rsidRPr="000C307D">
        <w:rPr>
          <w:rFonts w:eastAsia="Aptos" w:cs="Times New Roman"/>
          <w:i/>
          <w:iCs/>
          <w:kern w:val="2"/>
          <w:lang w:val="en-GB"/>
          <w14:ligatures w14:val="standardContextual"/>
        </w:rPr>
        <w:t>Springer proceedings in business and economics</w:t>
      </w:r>
      <w:r w:rsidRPr="000C307D">
        <w:rPr>
          <w:rFonts w:eastAsia="Aptos" w:cs="Times New Roman"/>
          <w:kern w:val="2"/>
          <w:lang w:val="en-GB"/>
          <w14:ligatures w14:val="standardContextual"/>
        </w:rPr>
        <w:t xml:space="preserve">, pp.188–203. Available At: </w:t>
      </w:r>
      <w:hyperlink r:id="rId60" w:history="1">
        <w:r w:rsidRPr="000C307D">
          <w:rPr>
            <w:rFonts w:eastAsia="Aptos" w:cs="Times New Roman"/>
            <w:color w:val="0563C1"/>
            <w:kern w:val="2"/>
            <w:u w:val="single"/>
            <w:lang w:val="en-GB"/>
            <w14:ligatures w14:val="standardContextual"/>
          </w:rPr>
          <w:t>https://link.springer.com/content/pdf/10.1007/978-3-031-38541-4_18.pdf</w:t>
        </w:r>
      </w:hyperlink>
      <w:r w:rsidRPr="000C307D">
        <w:rPr>
          <w:rFonts w:eastAsia="Aptos" w:cs="Times New Roman"/>
          <w:kern w:val="2"/>
          <w:lang w:val="en-GB"/>
          <w14:ligatures w14:val="standardContextual"/>
        </w:rPr>
        <w:t>.</w:t>
      </w:r>
    </w:p>
    <w:p w14:paraId="6CF4741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 xml:space="preserve">Deloitte (2024). </w:t>
      </w:r>
      <w:r w:rsidRPr="000C307D">
        <w:rPr>
          <w:rFonts w:eastAsia="Aptos" w:cs="Times New Roman"/>
          <w:i/>
          <w:iCs/>
          <w:kern w:val="2"/>
          <w:lang w:val="en-GB"/>
          <w14:ligatures w14:val="standardContextual"/>
        </w:rPr>
        <w:t>Deloitte’s 2024 gen Z and millennial survey | Deloitte Global</w:t>
      </w:r>
      <w:r w:rsidRPr="000C307D">
        <w:rPr>
          <w:rFonts w:eastAsia="Aptos" w:cs="Times New Roman"/>
          <w:kern w:val="2"/>
          <w:lang w:val="en-GB"/>
          <w14:ligatures w14:val="standardContextual"/>
        </w:rPr>
        <w:t xml:space="preserve">. [online] </w:t>
      </w:r>
      <w:r w:rsidRPr="000C307D">
        <w:rPr>
          <w:rFonts w:eastAsia="Aptos" w:cs="Times New Roman"/>
          <w:i/>
          <w:iCs/>
          <w:kern w:val="2"/>
          <w:lang w:val="en-GB"/>
          <w14:ligatures w14:val="standardContextual"/>
        </w:rPr>
        <w:t>www.deloitte.com</w:t>
      </w:r>
      <w:r w:rsidRPr="000C307D">
        <w:rPr>
          <w:rFonts w:eastAsia="Aptos" w:cs="Times New Roman"/>
          <w:kern w:val="2"/>
          <w:lang w:val="en-GB"/>
          <w14:ligatures w14:val="standardContextual"/>
        </w:rPr>
        <w:t xml:space="preserve">. Available at: </w:t>
      </w:r>
      <w:hyperlink r:id="rId61" w:history="1">
        <w:r w:rsidRPr="000C307D">
          <w:rPr>
            <w:rFonts w:eastAsia="Aptos" w:cs="Times New Roman"/>
            <w:color w:val="0563C1"/>
            <w:kern w:val="2"/>
            <w:u w:val="single"/>
            <w:lang w:val="en-GB"/>
            <w14:ligatures w14:val="standardContextual"/>
          </w:rPr>
          <w:t>https://www.deloitte.com/global/en/about/press-room/deloitte-2024-gen-z-and-millennial-survey.html</w:t>
        </w:r>
      </w:hyperlink>
      <w:r w:rsidRPr="000C307D">
        <w:rPr>
          <w:rFonts w:eastAsia="Aptos" w:cs="Times New Roman"/>
          <w:kern w:val="2"/>
          <w:lang w:val="en-GB"/>
          <w14:ligatures w14:val="standardContextual"/>
        </w:rPr>
        <w:t xml:space="preserve"> [Accessed 5 Aug. 2026].</w:t>
      </w:r>
    </w:p>
    <w:p w14:paraId="79170D1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Dicu, A.M., Rad, D., Barbu, F., Cuc, L.D., Feher, A., Roman, D., Mazuru, L., Sanda, G. and Pîrvulescu, L. (2025). From attachment to action: Consumer identification and the sustainable buying of rural brand products like “</w:t>
      </w:r>
      <w:proofErr w:type="spellStart"/>
      <w:r w:rsidRPr="000C307D">
        <w:rPr>
          <w:rFonts w:eastAsia="Aptos" w:cs="Times New Roman"/>
          <w:kern w:val="2"/>
          <w:lang w:val="en-GB"/>
          <w14:ligatures w14:val="standardContextual"/>
        </w:rPr>
        <w:t>pită</w:t>
      </w:r>
      <w:proofErr w:type="spellEnd"/>
      <w:r w:rsidRPr="000C307D">
        <w:rPr>
          <w:rFonts w:eastAsia="Aptos" w:cs="Times New Roman"/>
          <w:kern w:val="2"/>
          <w:lang w:val="en-GB"/>
          <w14:ligatures w14:val="standardContextual"/>
        </w:rPr>
        <w:t xml:space="preserve"> de </w:t>
      </w:r>
      <w:proofErr w:type="spellStart"/>
      <w:r w:rsidRPr="000C307D">
        <w:rPr>
          <w:rFonts w:eastAsia="Aptos" w:cs="Times New Roman"/>
          <w:kern w:val="2"/>
          <w:lang w:val="en-GB"/>
          <w14:ligatures w14:val="standardContextual"/>
        </w:rPr>
        <w:t>pecica</w:t>
      </w:r>
      <w:proofErr w:type="spellEnd"/>
      <w:r w:rsidRPr="000C307D">
        <w:rPr>
          <w:rFonts w:eastAsia="Aptos" w:cs="Times New Roman"/>
          <w:kern w:val="2"/>
          <w:lang w:val="en-GB"/>
          <w14:ligatures w14:val="standardContextual"/>
        </w:rPr>
        <w:t xml:space="preserve">.” </w:t>
      </w:r>
      <w:r w:rsidRPr="000C307D">
        <w:rPr>
          <w:rFonts w:eastAsia="Aptos" w:cs="Times New Roman"/>
          <w:i/>
          <w:iCs/>
          <w:kern w:val="2"/>
          <w:lang w:val="en-GB"/>
          <w14:ligatures w14:val="standardContextual"/>
        </w:rPr>
        <w:t>Sustainability</w:t>
      </w:r>
      <w:r w:rsidRPr="000C307D">
        <w:rPr>
          <w:rFonts w:eastAsia="Aptos" w:cs="Times New Roman"/>
          <w:kern w:val="2"/>
          <w:lang w:val="en-GB"/>
          <w14:ligatures w14:val="standardContextual"/>
        </w:rPr>
        <w:t xml:space="preserve">, [online] 17(9), p.4133. Available At: </w:t>
      </w:r>
      <w:hyperlink r:id="rId62" w:history="1">
        <w:r w:rsidRPr="000C307D">
          <w:rPr>
            <w:rFonts w:eastAsia="Aptos" w:cs="Times New Roman"/>
            <w:color w:val="0563C1"/>
            <w:kern w:val="2"/>
            <w:u w:val="single"/>
            <w:lang w:val="en-GB"/>
            <w14:ligatures w14:val="standardContextual"/>
          </w:rPr>
          <w:t>https://www.mdpi.com/2071-1050/17/9/4133</w:t>
        </w:r>
      </w:hyperlink>
      <w:r w:rsidRPr="000C307D">
        <w:rPr>
          <w:rFonts w:eastAsia="Aptos" w:cs="Times New Roman"/>
          <w:kern w:val="2"/>
          <w:lang w:val="en-GB"/>
          <w14:ligatures w14:val="standardContextual"/>
        </w:rPr>
        <w:t>.</w:t>
      </w:r>
    </w:p>
    <w:p w14:paraId="045E311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Ding, C. and Ding, C. (2023). </w:t>
      </w:r>
      <w:r w:rsidRPr="000C307D">
        <w:rPr>
          <w:rFonts w:eastAsia="Aptos" w:cs="Times New Roman"/>
          <w:i/>
          <w:iCs/>
          <w:kern w:val="2"/>
          <w:lang w:val="en-GB"/>
          <w14:ligatures w14:val="standardContextual"/>
        </w:rPr>
        <w:t xml:space="preserve">The secret behind </w:t>
      </w:r>
      <w:proofErr w:type="spellStart"/>
      <w:r w:rsidRPr="000C307D">
        <w:rPr>
          <w:rFonts w:eastAsia="Aptos" w:cs="Times New Roman"/>
          <w:i/>
          <w:iCs/>
          <w:kern w:val="2"/>
          <w:lang w:val="en-GB"/>
          <w14:ligatures w14:val="standardContextual"/>
        </w:rPr>
        <w:t>uniqlo’s</w:t>
      </w:r>
      <w:proofErr w:type="spellEnd"/>
      <w:r w:rsidRPr="000C307D">
        <w:rPr>
          <w:rFonts w:eastAsia="Aptos" w:cs="Times New Roman"/>
          <w:i/>
          <w:iCs/>
          <w:kern w:val="2"/>
          <w:lang w:val="en-GB"/>
          <w14:ligatures w14:val="standardContextual"/>
        </w:rPr>
        <w:t xml:space="preserve"> anime collabs and fandom growth - brand catalyser</w:t>
      </w:r>
      <w:r w:rsidRPr="000C307D">
        <w:rPr>
          <w:rFonts w:eastAsia="Aptos" w:cs="Times New Roman"/>
          <w:kern w:val="2"/>
          <w:lang w:val="en-GB"/>
          <w14:ligatures w14:val="standardContextual"/>
        </w:rPr>
        <w:t xml:space="preserve">. [online] </w:t>
      </w:r>
      <w:r w:rsidRPr="000C307D">
        <w:rPr>
          <w:rFonts w:eastAsia="Aptos" w:cs="Times New Roman"/>
          <w:i/>
          <w:iCs/>
          <w:kern w:val="2"/>
          <w:lang w:val="en-GB"/>
          <w14:ligatures w14:val="standardContextual"/>
        </w:rPr>
        <w:t>Brand Catalyser - Top-Rated Go-to-Market Consulting &amp; Marketing Agency</w:t>
      </w:r>
      <w:r w:rsidRPr="000C307D">
        <w:rPr>
          <w:rFonts w:eastAsia="Aptos" w:cs="Times New Roman"/>
          <w:kern w:val="2"/>
          <w:lang w:val="en-GB"/>
          <w14:ligatures w14:val="standardContextual"/>
        </w:rPr>
        <w:t xml:space="preserve">. Available at: </w:t>
      </w:r>
      <w:hyperlink r:id="rId63" w:history="1">
        <w:r w:rsidRPr="000C307D">
          <w:rPr>
            <w:rFonts w:eastAsia="Aptos" w:cs="Times New Roman"/>
            <w:color w:val="0563C1"/>
            <w:kern w:val="2"/>
            <w:u w:val="single"/>
            <w:lang w:val="en-GB"/>
            <w14:ligatures w14:val="standardContextual"/>
          </w:rPr>
          <w:t>https://www.brandcatalyser.com/go-to-market-solutions/market-collaboration/</w:t>
        </w:r>
      </w:hyperlink>
      <w:r w:rsidRPr="000C307D">
        <w:rPr>
          <w:rFonts w:eastAsia="Aptos" w:cs="Times New Roman"/>
          <w:kern w:val="2"/>
          <w:lang w:val="en-GB"/>
          <w14:ligatures w14:val="standardContextual"/>
        </w:rPr>
        <w:t xml:space="preserve"> [Accessed 5 Aug. 2026].</w:t>
      </w:r>
    </w:p>
    <w:p w14:paraId="2C8E9521" w14:textId="77777777" w:rsidR="000C307D" w:rsidRPr="000C307D" w:rsidRDefault="000C307D" w:rsidP="000C307D">
      <w:pPr>
        <w:spacing w:after="160"/>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t>Erlyana</w:t>
      </w:r>
      <w:proofErr w:type="spellEnd"/>
      <w:r w:rsidRPr="000C307D">
        <w:rPr>
          <w:rFonts w:eastAsia="Aptos" w:cs="Times New Roman"/>
          <w:kern w:val="2"/>
          <w:lang w:val="en-GB"/>
          <w14:ligatures w14:val="standardContextual"/>
        </w:rPr>
        <w:t xml:space="preserve">, Y. and Yi, L.J. (2026). Exploring generational differences in co-branding: The role of visual storytelling and symbolic design in the </w:t>
      </w:r>
      <w:proofErr w:type="spellStart"/>
      <w:r w:rsidRPr="000C307D">
        <w:rPr>
          <w:rFonts w:eastAsia="Aptos" w:cs="Times New Roman"/>
          <w:kern w:val="2"/>
          <w:lang w:val="en-GB"/>
          <w14:ligatures w14:val="standardContextual"/>
        </w:rPr>
        <w:t>mizzu</w:t>
      </w:r>
      <w:proofErr w:type="spellEnd"/>
      <w:r w:rsidRPr="000C307D">
        <w:rPr>
          <w:rFonts w:eastAsia="Aptos" w:cs="Times New Roman"/>
          <w:kern w:val="2"/>
          <w:lang w:val="en-GB"/>
          <w14:ligatures w14:val="standardContextual"/>
        </w:rPr>
        <w:t xml:space="preserve"> X </w:t>
      </w:r>
      <w:proofErr w:type="spellStart"/>
      <w:r w:rsidRPr="000C307D">
        <w:rPr>
          <w:rFonts w:eastAsia="Aptos" w:cs="Times New Roman"/>
          <w:kern w:val="2"/>
          <w:lang w:val="en-GB"/>
          <w14:ligatures w14:val="standardContextual"/>
        </w:rPr>
        <w:t>khong</w:t>
      </w:r>
      <w:proofErr w:type="spellEnd"/>
      <w:r w:rsidRPr="000C307D">
        <w:rPr>
          <w:rFonts w:eastAsia="Aptos" w:cs="Times New Roman"/>
          <w:kern w:val="2"/>
          <w:lang w:val="en-GB"/>
          <w14:ligatures w14:val="standardContextual"/>
        </w:rPr>
        <w:t xml:space="preserve"> guan collaboration. </w:t>
      </w:r>
      <w:r w:rsidRPr="000C307D">
        <w:rPr>
          <w:rFonts w:eastAsia="Aptos" w:cs="Times New Roman"/>
          <w:i/>
          <w:iCs/>
          <w:kern w:val="2"/>
          <w:lang w:val="en-GB"/>
          <w14:ligatures w14:val="standardContextual"/>
        </w:rPr>
        <w:t>Atlantis Highlights in Social Sciences, Education and Humanities</w:t>
      </w:r>
      <w:r w:rsidRPr="000C307D">
        <w:rPr>
          <w:rFonts w:eastAsia="Aptos" w:cs="Times New Roman"/>
          <w:kern w:val="2"/>
          <w:lang w:val="en-GB"/>
          <w14:ligatures w14:val="standardContextual"/>
        </w:rPr>
        <w:t xml:space="preserve">, [online] pp.71–86. Available at: </w:t>
      </w:r>
      <w:hyperlink r:id="rId64" w:history="1">
        <w:r w:rsidRPr="000C307D">
          <w:rPr>
            <w:rFonts w:eastAsia="Aptos" w:cs="Times New Roman"/>
            <w:color w:val="0563C1"/>
            <w:kern w:val="2"/>
            <w:u w:val="single"/>
            <w:lang w:val="en-GB"/>
            <w14:ligatures w14:val="standardContextual"/>
          </w:rPr>
          <w:t>https://www.atlantis-press.com/article/126022306.pdf</w:t>
        </w:r>
      </w:hyperlink>
      <w:r w:rsidRPr="000C307D">
        <w:rPr>
          <w:rFonts w:eastAsia="Aptos" w:cs="Times New Roman"/>
          <w:kern w:val="2"/>
          <w:lang w:val="en-GB"/>
          <w14:ligatures w14:val="standardContextual"/>
        </w:rPr>
        <w:t>.</w:t>
      </w:r>
    </w:p>
    <w:p w14:paraId="74FBCEE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Fisher, N.S. and Yoon, D. (2026). “Brands find me”—Generations X, Y, and Z and their brand engagement practices, motivations, and value cocreation perceptions on Instagram. </w:t>
      </w:r>
      <w:r w:rsidRPr="000C307D">
        <w:rPr>
          <w:rFonts w:eastAsia="Aptos" w:cs="Times New Roman"/>
          <w:i/>
          <w:iCs/>
          <w:kern w:val="2"/>
          <w:lang w:val="en-GB"/>
          <w14:ligatures w14:val="standardContextual"/>
        </w:rPr>
        <w:t>Frontiers in Communication</w:t>
      </w:r>
      <w:r w:rsidRPr="000C307D">
        <w:rPr>
          <w:rFonts w:eastAsia="Aptos" w:cs="Times New Roman"/>
          <w:kern w:val="2"/>
          <w:lang w:val="en-GB"/>
          <w14:ligatures w14:val="standardContextual"/>
        </w:rPr>
        <w:t xml:space="preserve">, 11. Available At: </w:t>
      </w:r>
      <w:hyperlink r:id="rId65" w:history="1">
        <w:r w:rsidRPr="000C307D">
          <w:rPr>
            <w:rFonts w:eastAsia="Aptos" w:cs="Times New Roman"/>
            <w:color w:val="0563C1"/>
            <w:kern w:val="2"/>
            <w:u w:val="single"/>
            <w:lang w:val="en-GB"/>
            <w14:ligatures w14:val="standardContextual"/>
          </w:rPr>
          <w:t>https://www.frontiersin.org/journals/communication/articles/10.3389/fcomm.2026.1853345/pdf</w:t>
        </w:r>
      </w:hyperlink>
      <w:r w:rsidRPr="000C307D">
        <w:rPr>
          <w:rFonts w:eastAsia="Aptos" w:cs="Times New Roman"/>
          <w:kern w:val="2"/>
          <w:lang w:val="en-GB"/>
          <w14:ligatures w14:val="standardContextual"/>
        </w:rPr>
        <w:t>.</w:t>
      </w:r>
    </w:p>
    <w:p w14:paraId="7B3E664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Fortune Business Insights (2023). </w:t>
      </w:r>
      <w:r w:rsidRPr="000C307D">
        <w:rPr>
          <w:rFonts w:eastAsia="Aptos" w:cs="Times New Roman"/>
          <w:i/>
          <w:iCs/>
          <w:kern w:val="2"/>
          <w:lang w:val="en-GB"/>
          <w14:ligatures w14:val="standardContextual"/>
        </w:rPr>
        <w:t>Anime merchandising market size, share &amp; growth report, 2032</w:t>
      </w:r>
      <w:r w:rsidRPr="000C307D">
        <w:rPr>
          <w:rFonts w:eastAsia="Aptos" w:cs="Times New Roman"/>
          <w:kern w:val="2"/>
          <w:lang w:val="en-GB"/>
          <w14:ligatures w14:val="standardContextual"/>
        </w:rPr>
        <w:t xml:space="preserve">. [online] </w:t>
      </w:r>
      <w:r w:rsidRPr="000C307D">
        <w:rPr>
          <w:rFonts w:eastAsia="Aptos" w:cs="Times New Roman"/>
          <w:i/>
          <w:iCs/>
          <w:kern w:val="2"/>
          <w:lang w:val="en-GB"/>
          <w14:ligatures w14:val="standardContextual"/>
        </w:rPr>
        <w:t>Fortunebusinessinsights.com</w:t>
      </w:r>
      <w:r w:rsidRPr="000C307D">
        <w:rPr>
          <w:rFonts w:eastAsia="Aptos" w:cs="Times New Roman"/>
          <w:kern w:val="2"/>
          <w:lang w:val="en-GB"/>
          <w14:ligatures w14:val="standardContextual"/>
        </w:rPr>
        <w:t xml:space="preserve">. Available at: </w:t>
      </w:r>
      <w:hyperlink r:id="rId66" w:history="1">
        <w:r w:rsidRPr="000C307D">
          <w:rPr>
            <w:rFonts w:eastAsia="Aptos" w:cs="Times New Roman"/>
            <w:color w:val="0563C1"/>
            <w:kern w:val="2"/>
            <w:u w:val="single"/>
            <w:lang w:val="en-GB"/>
            <w14:ligatures w14:val="standardContextual"/>
          </w:rPr>
          <w:t>https://www.fortunebusinessinsights.com/anime-merchandising-market-112249</w:t>
        </w:r>
      </w:hyperlink>
      <w:r w:rsidRPr="000C307D">
        <w:rPr>
          <w:rFonts w:eastAsia="Aptos" w:cs="Times New Roman"/>
          <w:kern w:val="2"/>
          <w:lang w:val="en-GB"/>
          <w14:ligatures w14:val="standardContextual"/>
        </w:rPr>
        <w:t xml:space="preserve"> [Accessed 5 Aug. 2026].</w:t>
      </w:r>
    </w:p>
    <w:p w14:paraId="23E6F908" w14:textId="77777777" w:rsidR="000C307D" w:rsidRPr="000C307D" w:rsidRDefault="000C307D" w:rsidP="000C307D">
      <w:pPr>
        <w:spacing w:after="160" w:line="259" w:lineRule="auto"/>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t>Ghanad</w:t>
      </w:r>
      <w:proofErr w:type="spellEnd"/>
      <w:r w:rsidRPr="000C307D">
        <w:rPr>
          <w:rFonts w:eastAsia="Aptos" w:cs="Times New Roman"/>
          <w:kern w:val="2"/>
          <w:lang w:val="en-GB"/>
          <w14:ligatures w14:val="standardContextual"/>
        </w:rPr>
        <w:t xml:space="preserve">, A. (2023). </w:t>
      </w:r>
      <w:r w:rsidRPr="000C307D">
        <w:rPr>
          <w:rFonts w:eastAsia="Aptos" w:cs="Times New Roman"/>
          <w:i/>
          <w:iCs/>
          <w:kern w:val="2"/>
          <w:lang w:val="en-GB"/>
          <w14:ligatures w14:val="standardContextual"/>
        </w:rPr>
        <w:t>An overview of quantitative research methods</w:t>
      </w:r>
      <w:r w:rsidRPr="000C307D">
        <w:rPr>
          <w:rFonts w:eastAsia="Aptos" w:cs="Times New Roman"/>
          <w:kern w:val="2"/>
          <w:lang w:val="en-GB"/>
          <w14:ligatures w14:val="standardContextual"/>
        </w:rPr>
        <w:t xml:space="preserve">. Available at: </w:t>
      </w:r>
      <w:hyperlink r:id="rId67" w:history="1">
        <w:r w:rsidRPr="000C307D">
          <w:rPr>
            <w:rFonts w:eastAsia="Aptos" w:cs="Times New Roman"/>
            <w:color w:val="0563C1"/>
            <w:kern w:val="2"/>
            <w:u w:val="single"/>
            <w:lang w:val="en-GB"/>
            <w14:ligatures w14:val="standardContextual"/>
          </w:rPr>
          <w:t>https://doi.org/10.47191/ijmra/v6-i8-52</w:t>
        </w:r>
      </w:hyperlink>
      <w:r w:rsidRPr="000C307D">
        <w:rPr>
          <w:rFonts w:eastAsia="Aptos" w:cs="Times New Roman"/>
          <w:kern w:val="2"/>
          <w:lang w:val="en-GB"/>
          <w14:ligatures w14:val="standardContextual"/>
        </w:rPr>
        <w:t xml:space="preserve">  [Accessed 20 Aug. 2026].</w:t>
      </w:r>
    </w:p>
    <w:p w14:paraId="6EEC5AC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Golzar, J., Tajik, O. and Noor, S. (2022). </w:t>
      </w:r>
      <w:r w:rsidRPr="000C307D">
        <w:rPr>
          <w:rFonts w:eastAsia="Aptos" w:cs="Times New Roman"/>
          <w:i/>
          <w:iCs/>
          <w:kern w:val="2"/>
          <w:lang w:val="en-GB"/>
          <w14:ligatures w14:val="standardContextual"/>
        </w:rPr>
        <w:t>Convenience sampling</w:t>
      </w:r>
      <w:r w:rsidRPr="000C307D">
        <w:rPr>
          <w:rFonts w:eastAsia="Aptos" w:cs="Times New Roman"/>
          <w:kern w:val="2"/>
          <w:lang w:val="en-GB"/>
          <w14:ligatures w14:val="standardContextual"/>
        </w:rPr>
        <w:t>. </w:t>
      </w:r>
      <w:r w:rsidRPr="000C307D">
        <w:rPr>
          <w:rFonts w:eastAsia="Aptos" w:cs="Times New Roman"/>
          <w:i/>
          <w:iCs/>
          <w:kern w:val="2"/>
          <w:lang w:val="en-GB"/>
          <w14:ligatures w14:val="standardContextual"/>
        </w:rPr>
        <w:t>ResearchGate</w:t>
      </w:r>
      <w:r w:rsidRPr="000C307D">
        <w:rPr>
          <w:rFonts w:eastAsia="Aptos" w:cs="Times New Roman"/>
          <w:kern w:val="2"/>
          <w:lang w:val="en-GB"/>
          <w14:ligatures w14:val="standardContextual"/>
        </w:rPr>
        <w:t xml:space="preserve">,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68" w:history="1">
        <w:r w:rsidRPr="000C307D">
          <w:rPr>
            <w:rFonts w:eastAsia="Aptos" w:cs="Times New Roman"/>
            <w:color w:val="0563C1"/>
            <w:kern w:val="2"/>
            <w:u w:val="single"/>
            <w:lang w:val="en-GB"/>
            <w14:ligatures w14:val="standardContextual"/>
          </w:rPr>
          <w:t>https://www.researchgate.net/publication/366390016_Convenience_Sampling</w:t>
        </w:r>
      </w:hyperlink>
      <w:r w:rsidRPr="000C307D">
        <w:rPr>
          <w:rFonts w:eastAsia="Aptos" w:cs="Times New Roman"/>
          <w:kern w:val="2"/>
          <w:lang w:val="en-GB"/>
          <w14:ligatures w14:val="standardContextual"/>
        </w:rPr>
        <w:t xml:space="preserve"> </w:t>
      </w:r>
    </w:p>
    <w:p w14:paraId="7C63914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Government Digital Service (2011). </w:t>
      </w:r>
      <w:r w:rsidRPr="000C307D">
        <w:rPr>
          <w:rFonts w:eastAsia="Aptos" w:cs="Times New Roman"/>
          <w:i/>
          <w:iCs/>
          <w:kern w:val="2"/>
          <w:lang w:val="en-GB"/>
          <w14:ligatures w14:val="standardContextual"/>
        </w:rPr>
        <w:t>Data protection</w:t>
      </w:r>
      <w:r w:rsidRPr="000C307D">
        <w:rPr>
          <w:rFonts w:eastAsia="Aptos" w:cs="Times New Roman"/>
          <w:kern w:val="2"/>
          <w:lang w:val="en-GB"/>
          <w14:ligatures w14:val="standardContextual"/>
        </w:rPr>
        <w:t xml:space="preserve">. [online] GOV.UK. Available at: </w:t>
      </w:r>
      <w:hyperlink r:id="rId69" w:history="1">
        <w:r w:rsidRPr="000C307D">
          <w:rPr>
            <w:rFonts w:eastAsia="Aptos" w:cs="Times New Roman"/>
            <w:color w:val="0563C1"/>
            <w:kern w:val="2"/>
            <w:u w:val="single"/>
            <w:lang w:val="en-GB"/>
            <w14:ligatures w14:val="standardContextual"/>
          </w:rPr>
          <w:t>https://www.gov.uk/data-protection</w:t>
        </w:r>
      </w:hyperlink>
      <w:r w:rsidRPr="000C307D">
        <w:rPr>
          <w:rFonts w:eastAsia="Aptos" w:cs="Times New Roman"/>
          <w:kern w:val="2"/>
          <w:lang w:val="en-GB"/>
          <w14:ligatures w14:val="standardContextual"/>
        </w:rPr>
        <w:t xml:space="preserve"> [Accessed 20 Aug. 2026].</w:t>
      </w:r>
    </w:p>
    <w:p w14:paraId="12CA57D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Gu, Y., Che Me, R., </w:t>
      </w:r>
      <w:proofErr w:type="spellStart"/>
      <w:r w:rsidRPr="000C307D">
        <w:rPr>
          <w:rFonts w:eastAsia="Aptos" w:cs="Times New Roman"/>
          <w:kern w:val="2"/>
          <w:lang w:val="en-GB"/>
          <w14:ligatures w14:val="standardContextual"/>
        </w:rPr>
        <w:t>Pujazon</w:t>
      </w:r>
      <w:proofErr w:type="spellEnd"/>
      <w:r w:rsidRPr="000C307D">
        <w:rPr>
          <w:rFonts w:eastAsia="Aptos" w:cs="Times New Roman"/>
          <w:kern w:val="2"/>
          <w:lang w:val="en-GB"/>
          <w14:ligatures w14:val="standardContextual"/>
        </w:rPr>
        <w:t xml:space="preserve">, E. and Feng, Y. (2026). A symbolic–visual advertising framework for engaging China’s generation Z in sustainable consumption. </w:t>
      </w:r>
      <w:r w:rsidRPr="000C307D">
        <w:rPr>
          <w:rFonts w:eastAsia="Aptos" w:cs="Times New Roman"/>
          <w:i/>
          <w:iCs/>
          <w:kern w:val="2"/>
          <w:lang w:val="en-GB"/>
          <w14:ligatures w14:val="standardContextual"/>
        </w:rPr>
        <w:t>Humanities and Social Sciences Communications</w:t>
      </w:r>
      <w:r w:rsidRPr="000C307D">
        <w:rPr>
          <w:rFonts w:eastAsia="Aptos" w:cs="Times New Roman"/>
          <w:kern w:val="2"/>
          <w:lang w:val="en-GB"/>
          <w14:ligatures w14:val="standardContextual"/>
        </w:rPr>
        <w:t xml:space="preserve">, [online] 13(1). Available at: </w:t>
      </w:r>
      <w:hyperlink r:id="rId70" w:history="1">
        <w:r w:rsidRPr="000C307D">
          <w:rPr>
            <w:rFonts w:eastAsia="Aptos" w:cs="Times New Roman"/>
            <w:color w:val="0563C1"/>
            <w:kern w:val="2"/>
            <w:u w:val="single"/>
            <w:lang w:val="en-GB"/>
            <w14:ligatures w14:val="standardContextual"/>
          </w:rPr>
          <w:t>https://www.nature.com/articles/s41599-026-07058-6.pdf</w:t>
        </w:r>
      </w:hyperlink>
      <w:r w:rsidRPr="000C307D">
        <w:rPr>
          <w:rFonts w:eastAsia="Aptos" w:cs="Times New Roman"/>
          <w:kern w:val="2"/>
          <w:lang w:val="en-GB"/>
          <w14:ligatures w14:val="standardContextual"/>
        </w:rPr>
        <w:t>.</w:t>
      </w:r>
    </w:p>
    <w:p w14:paraId="7798D2B5" w14:textId="77777777" w:rsidR="000C307D" w:rsidRPr="000C307D" w:rsidRDefault="000C307D" w:rsidP="000C307D">
      <w:pPr>
        <w:spacing w:after="160" w:line="259" w:lineRule="auto"/>
        <w:rPr>
          <w:rFonts w:eastAsia="Aptos" w:cs="Times New Roman"/>
          <w:kern w:val="2"/>
          <w:lang w:val="en-GB"/>
          <w14:ligatures w14:val="standardContextual"/>
        </w:rPr>
      </w:pPr>
      <w:r w:rsidRPr="000C307D">
        <w:rPr>
          <w:rFonts w:eastAsia="Aptos" w:cs="Times New Roman"/>
          <w:kern w:val="2"/>
          <w:lang w:val="en-GB"/>
          <w14:ligatures w14:val="standardContextual"/>
        </w:rPr>
        <w:t xml:space="preserve">Guest, G., Namey, E., O’Regan, A., Godwin, C. and Taylor, J. (2020). Comparing Interview and Focus Group Data Collected in Person and Online. </w:t>
      </w:r>
      <w:r w:rsidRPr="000C307D">
        <w:rPr>
          <w:rFonts w:eastAsia="Aptos" w:cs="Times New Roman"/>
          <w:i/>
          <w:iCs/>
          <w:kern w:val="2"/>
          <w:lang w:val="en-GB"/>
          <w14:ligatures w14:val="standardContextual"/>
        </w:rPr>
        <w:t>PubMed</w:t>
      </w:r>
      <w:r w:rsidRPr="000C307D">
        <w:rPr>
          <w:rFonts w:eastAsia="Aptos" w:cs="Times New Roman"/>
          <w:kern w:val="2"/>
          <w:lang w:val="en-GB"/>
          <w14:ligatures w14:val="standardContextual"/>
        </w:rPr>
        <w:t xml:space="preserve">. Available at: </w:t>
      </w:r>
      <w:hyperlink r:id="rId71" w:history="1">
        <w:r w:rsidRPr="000C307D">
          <w:rPr>
            <w:rFonts w:eastAsia="Aptos" w:cs="Times New Roman"/>
            <w:color w:val="0563C1"/>
            <w:kern w:val="2"/>
            <w:u w:val="single"/>
            <w:lang w:val="en-GB"/>
            <w14:ligatures w14:val="standardContextual"/>
          </w:rPr>
          <w:t>https://www.ncbi.nlm.nih.gov/books/NBK588708/</w:t>
        </w:r>
      </w:hyperlink>
      <w:r w:rsidRPr="000C307D">
        <w:rPr>
          <w:rFonts w:eastAsia="Aptos" w:cs="Times New Roman"/>
          <w:kern w:val="2"/>
          <w:lang w:val="en-GB"/>
          <w14:ligatures w14:val="standardContextual"/>
        </w:rPr>
        <w:t xml:space="preserve"> [Accessed 20 Aug. 2026].</w:t>
      </w:r>
    </w:p>
    <w:p w14:paraId="3CD8506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Han, K. and Jo, H. (2025). What drives consumer engagement and purchase intentions in fashion live commerce? </w:t>
      </w:r>
      <w:r w:rsidRPr="000C307D">
        <w:rPr>
          <w:rFonts w:eastAsia="Aptos" w:cs="Times New Roman"/>
          <w:i/>
          <w:iCs/>
          <w:kern w:val="2"/>
          <w:lang w:val="en-GB"/>
          <w14:ligatures w14:val="standardContextual"/>
        </w:rPr>
        <w:t>Sustainability</w:t>
      </w:r>
      <w:r w:rsidRPr="000C307D">
        <w:rPr>
          <w:rFonts w:eastAsia="Aptos" w:cs="Times New Roman"/>
          <w:kern w:val="2"/>
          <w:lang w:val="en-GB"/>
          <w14:ligatures w14:val="standardContextual"/>
        </w:rPr>
        <w:t xml:space="preserve">, 17(13), p.5734. Available at: </w:t>
      </w:r>
      <w:hyperlink r:id="rId72" w:history="1">
        <w:r w:rsidRPr="000C307D">
          <w:rPr>
            <w:rFonts w:eastAsia="Aptos" w:cs="Times New Roman"/>
            <w:color w:val="0563C1"/>
            <w:kern w:val="2"/>
            <w:u w:val="single"/>
            <w:lang w:val="en-GB"/>
            <w14:ligatures w14:val="standardContextual"/>
          </w:rPr>
          <w:t>https://www.mdpi.com/2071-1050/17/13/5734</w:t>
        </w:r>
      </w:hyperlink>
      <w:r w:rsidRPr="000C307D">
        <w:rPr>
          <w:rFonts w:eastAsia="Aptos" w:cs="Times New Roman"/>
          <w:kern w:val="2"/>
          <w:lang w:val="en-GB"/>
          <w14:ligatures w14:val="standardContextual"/>
        </w:rPr>
        <w:t>.</w:t>
      </w:r>
    </w:p>
    <w:p w14:paraId="519179E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Hochstein, R.E., Harmeling, C.M. and Perko, T. (2023). Toward a theory of consumer digital trust: Meta-analytic evidence of its role in the effectiveness of user-generated content. </w:t>
      </w:r>
      <w:r w:rsidRPr="000C307D">
        <w:rPr>
          <w:rFonts w:eastAsia="Aptos" w:cs="Times New Roman"/>
          <w:i/>
          <w:iCs/>
          <w:kern w:val="2"/>
          <w:lang w:val="en-GB"/>
          <w14:ligatures w14:val="standardContextual"/>
        </w:rPr>
        <w:t>Journal of the Academy of Marketing Science</w:t>
      </w:r>
      <w:r w:rsidRPr="000C307D">
        <w:rPr>
          <w:rFonts w:eastAsia="Aptos" w:cs="Times New Roman"/>
          <w:kern w:val="2"/>
          <w:lang w:val="en-GB"/>
          <w14:ligatures w14:val="standardContextual"/>
        </w:rPr>
        <w:t xml:space="preserve">. Available at: </w:t>
      </w:r>
      <w:hyperlink r:id="rId73" w:history="1">
        <w:r w:rsidRPr="000C307D">
          <w:rPr>
            <w:rFonts w:eastAsia="Aptos" w:cs="Times New Roman"/>
            <w:color w:val="0563C1"/>
            <w:kern w:val="2"/>
            <w:u w:val="single"/>
            <w:lang w:val="en-GB"/>
            <w14:ligatures w14:val="standardContextual"/>
          </w:rPr>
          <w:t>https://www.researchgate.net/profile/Colleen-Harmeling/publication/375751639_Toward_a_theory_of_consumer_digital_trust_Meta-analytic_evidence_of_its_role_in_the_effectiveness_of_user-generated_content/links/656f6894fd4c91437ba4cff4/Toward-a-theory-of-consumer-digital-trust-Meta-analytic-evidence-of-its-role-in-the-effectiveness-of-user-generated-content.pdf</w:t>
        </w:r>
      </w:hyperlink>
      <w:r w:rsidRPr="000C307D">
        <w:rPr>
          <w:rFonts w:eastAsia="Aptos" w:cs="Times New Roman"/>
          <w:kern w:val="2"/>
          <w:lang w:val="en-GB"/>
          <w14:ligatures w14:val="standardContextual"/>
        </w:rPr>
        <w:t>.</w:t>
      </w:r>
    </w:p>
    <w:p w14:paraId="54FF524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Huang, S. (2023). Research on marketing strategies and trends of art co-branding in the contemporary fashion industry. </w:t>
      </w:r>
      <w:r w:rsidRPr="000C307D">
        <w:rPr>
          <w:rFonts w:eastAsia="Aptos" w:cs="Times New Roman"/>
          <w:i/>
          <w:iCs/>
          <w:kern w:val="2"/>
          <w:lang w:val="en-GB"/>
          <w14:ligatures w14:val="standardContextual"/>
        </w:rPr>
        <w:t>Advances in Economics Management and Political Sciences</w:t>
      </w:r>
      <w:r w:rsidRPr="000C307D">
        <w:rPr>
          <w:rFonts w:eastAsia="Aptos" w:cs="Times New Roman"/>
          <w:kern w:val="2"/>
          <w:lang w:val="en-GB"/>
          <w14:ligatures w14:val="standardContextual"/>
        </w:rPr>
        <w:t xml:space="preserve">, 55(1), pp.7–15. Available at: </w:t>
      </w:r>
      <w:hyperlink r:id="rId74" w:history="1">
        <w:r w:rsidRPr="000C307D">
          <w:rPr>
            <w:rFonts w:eastAsia="Aptos" w:cs="Times New Roman"/>
            <w:color w:val="0563C1"/>
            <w:kern w:val="2"/>
            <w:u w:val="single"/>
            <w:lang w:val="en-GB"/>
            <w14:ligatures w14:val="standardContextual"/>
          </w:rPr>
          <w:t>https://www.researchgate.net/publication/376132041_Research_on_Marketing_Strategies_and_Trends_of_Art_Co-Branding_in_the_Contemporary_Fashion_Industry</w:t>
        </w:r>
      </w:hyperlink>
      <w:r w:rsidRPr="000C307D">
        <w:rPr>
          <w:rFonts w:eastAsia="Aptos" w:cs="Times New Roman"/>
          <w:kern w:val="2"/>
          <w:lang w:val="en-GB"/>
          <w14:ligatures w14:val="standardContextual"/>
        </w:rPr>
        <w:t>.</w:t>
      </w:r>
    </w:p>
    <w:p w14:paraId="6203B40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Hussey, I., </w:t>
      </w:r>
      <w:proofErr w:type="spellStart"/>
      <w:r w:rsidRPr="000C307D">
        <w:rPr>
          <w:rFonts w:eastAsia="Aptos" w:cs="Times New Roman"/>
          <w:kern w:val="2"/>
          <w:lang w:val="en-GB"/>
          <w14:ligatures w14:val="standardContextual"/>
        </w:rPr>
        <w:t>Alsalti</w:t>
      </w:r>
      <w:proofErr w:type="spellEnd"/>
      <w:r w:rsidRPr="000C307D">
        <w:rPr>
          <w:rFonts w:eastAsia="Aptos" w:cs="Times New Roman"/>
          <w:kern w:val="2"/>
          <w:lang w:val="en-GB"/>
          <w14:ligatures w14:val="standardContextual"/>
        </w:rPr>
        <w:t>, T., Bosco, F., Elson, M. and Arslan, R. (2025). </w:t>
      </w:r>
      <w:r w:rsidRPr="000C307D">
        <w:rPr>
          <w:rFonts w:eastAsia="Aptos" w:cs="Times New Roman"/>
          <w:i/>
          <w:iCs/>
          <w:kern w:val="2"/>
          <w:lang w:val="en-GB"/>
          <w14:ligatures w14:val="standardContextual"/>
        </w:rPr>
        <w:t>An Aberrant Abundance of Cronbach’s Alpha Values at .70</w:t>
      </w:r>
      <w:r w:rsidRPr="000C307D">
        <w:rPr>
          <w:rFonts w:eastAsia="Aptos" w:cs="Times New Roman"/>
          <w:kern w:val="2"/>
          <w:lang w:val="en-GB"/>
          <w14:ligatures w14:val="standardContextual"/>
        </w:rPr>
        <w:t xml:space="preserve">. [online] Advances in Methods and Practices in Psychological Science.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75" w:history="1">
        <w:r w:rsidRPr="000C307D">
          <w:rPr>
            <w:rFonts w:eastAsia="Aptos" w:cs="Times New Roman"/>
            <w:color w:val="0563C1"/>
            <w:kern w:val="2"/>
            <w:u w:val="single"/>
            <w:lang w:val="en-GB"/>
            <w14:ligatures w14:val="standardContextual"/>
          </w:rPr>
          <w:t>https://journals.sagepub.com/doi/epub/10.1177/25152459241287123</w:t>
        </w:r>
      </w:hyperlink>
    </w:p>
    <w:p w14:paraId="431E224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 xml:space="preserve">Jain, V. (2026). Influence of content authenticity on long-term consumer loyalty in digital markets. </w:t>
      </w:r>
      <w:r w:rsidRPr="000C307D">
        <w:rPr>
          <w:rFonts w:eastAsia="Aptos" w:cs="Times New Roman"/>
          <w:i/>
          <w:iCs/>
          <w:kern w:val="2"/>
          <w:lang w:val="en-GB"/>
          <w14:ligatures w14:val="standardContextual"/>
        </w:rPr>
        <w:t>International Journal of Research &amp; Technology</w:t>
      </w:r>
      <w:r w:rsidRPr="000C307D">
        <w:rPr>
          <w:rFonts w:eastAsia="Aptos" w:cs="Times New Roman"/>
          <w:kern w:val="2"/>
          <w:lang w:val="en-GB"/>
          <w14:ligatures w14:val="standardContextual"/>
        </w:rPr>
        <w:t xml:space="preserve">, [online] 14(S1), pp.608–628. Available at: </w:t>
      </w:r>
      <w:hyperlink r:id="rId76" w:history="1">
        <w:r w:rsidRPr="000C307D">
          <w:rPr>
            <w:rFonts w:eastAsia="Aptos" w:cs="Times New Roman"/>
            <w:color w:val="0563C1"/>
            <w:kern w:val="2"/>
            <w:u w:val="single"/>
            <w:lang w:val="en-GB"/>
            <w14:ligatures w14:val="standardContextual"/>
          </w:rPr>
          <w:t>https://ijrt.org/j/article/download/1070/1012</w:t>
        </w:r>
      </w:hyperlink>
      <w:r w:rsidRPr="000C307D">
        <w:rPr>
          <w:rFonts w:eastAsia="Aptos" w:cs="Times New Roman"/>
          <w:kern w:val="2"/>
          <w:lang w:val="en-GB"/>
          <w14:ligatures w14:val="standardContextual"/>
        </w:rPr>
        <w:t>.</w:t>
      </w:r>
    </w:p>
    <w:p w14:paraId="7616887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Koo, M. and Yang, S.-W. (2025a) “Questionnaire use and development in health research,” </w:t>
      </w:r>
      <w:proofErr w:type="spellStart"/>
      <w:r w:rsidRPr="000C307D">
        <w:rPr>
          <w:rFonts w:eastAsia="Aptos" w:cs="Times New Roman"/>
          <w:i/>
          <w:iCs/>
          <w:kern w:val="2"/>
          <w:lang w:val="en-GB"/>
          <w14:ligatures w14:val="standardContextual"/>
        </w:rPr>
        <w:t>Encyclopedia</w:t>
      </w:r>
      <w:proofErr w:type="spellEnd"/>
      <w:r w:rsidRPr="000C307D">
        <w:rPr>
          <w:rFonts w:eastAsia="Aptos" w:cs="Times New Roman"/>
          <w:kern w:val="2"/>
          <w:lang w:val="en-GB"/>
          <w14:ligatures w14:val="standardContextual"/>
        </w:rPr>
        <w:t xml:space="preserve">, 5(2), pp. 65–65. Available at: </w:t>
      </w:r>
      <w:hyperlink r:id="rId77" w:history="1">
        <w:r w:rsidRPr="000C307D">
          <w:rPr>
            <w:rFonts w:eastAsia="Aptos" w:cs="Times New Roman"/>
            <w:color w:val="0563C1"/>
            <w:kern w:val="2"/>
            <w:u w:val="single"/>
            <w:lang w:val="en-GB"/>
            <w14:ligatures w14:val="standardContextual"/>
          </w:rPr>
          <w:t>https://doi.org/10.3390/encyclopedia5020065</w:t>
        </w:r>
      </w:hyperlink>
      <w:r w:rsidRPr="000C307D">
        <w:rPr>
          <w:rFonts w:eastAsia="Aptos" w:cs="Times New Roman"/>
          <w:kern w:val="2"/>
          <w:lang w:val="en-GB"/>
          <w14:ligatures w14:val="standardContextual"/>
        </w:rPr>
        <w:t xml:space="preserve">. </w:t>
      </w:r>
    </w:p>
    <w:p w14:paraId="597E025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Koo, M. and Yang, S.-W. (2025b). </w:t>
      </w:r>
      <w:r w:rsidRPr="000C307D">
        <w:rPr>
          <w:rFonts w:eastAsia="Aptos" w:cs="Times New Roman"/>
          <w:i/>
          <w:iCs/>
          <w:kern w:val="2"/>
          <w:lang w:val="en-GB"/>
          <w14:ligatures w14:val="standardContextual"/>
        </w:rPr>
        <w:t>Likert-Type Scale</w:t>
      </w:r>
      <w:r w:rsidRPr="000C307D">
        <w:rPr>
          <w:rFonts w:eastAsia="Aptos" w:cs="Times New Roman"/>
          <w:kern w:val="2"/>
          <w:lang w:val="en-GB"/>
          <w14:ligatures w14:val="standardContextual"/>
        </w:rPr>
        <w:t xml:space="preserve">. </w:t>
      </w:r>
      <w:proofErr w:type="spellStart"/>
      <w:r w:rsidRPr="000C307D">
        <w:rPr>
          <w:rFonts w:eastAsia="Aptos" w:cs="Times New Roman"/>
          <w:kern w:val="2"/>
          <w:lang w:val="en-GB"/>
          <w14:ligatures w14:val="standardContextual"/>
        </w:rPr>
        <w:t>Encyclopedia</w:t>
      </w:r>
      <w:proofErr w:type="spellEnd"/>
      <w:r w:rsidRPr="000C307D">
        <w:rPr>
          <w:rFonts w:eastAsia="Aptos" w:cs="Times New Roman"/>
          <w:kern w:val="2"/>
          <w:lang w:val="en-GB"/>
          <w14:ligatures w14:val="standardContextual"/>
        </w:rPr>
        <w:t xml:space="preserve">.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78" w:history="1">
        <w:r w:rsidRPr="000C307D">
          <w:rPr>
            <w:rFonts w:eastAsia="Aptos" w:cs="Times New Roman"/>
            <w:color w:val="0563C1"/>
            <w:kern w:val="2"/>
            <w:u w:val="single"/>
            <w:lang w:val="en-GB"/>
            <w14:ligatures w14:val="standardContextual"/>
          </w:rPr>
          <w:t>https://www.researchgate.net/publication/388654893_Likert-Type_Scale</w:t>
        </w:r>
      </w:hyperlink>
      <w:r w:rsidRPr="000C307D">
        <w:rPr>
          <w:rFonts w:eastAsia="Aptos" w:cs="Times New Roman"/>
          <w:kern w:val="2"/>
          <w:lang w:val="en-GB"/>
          <w14:ligatures w14:val="standardContextual"/>
        </w:rPr>
        <w:t xml:space="preserve"> </w:t>
      </w:r>
    </w:p>
    <w:p w14:paraId="522BA32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Lan, J., Waheed, M. and Bidin, R. (2025). What fuels fans in China? </w:t>
      </w:r>
      <w:proofErr w:type="spellStart"/>
      <w:r w:rsidRPr="000C307D">
        <w:rPr>
          <w:rFonts w:eastAsia="Aptos" w:cs="Times New Roman"/>
          <w:kern w:val="2"/>
          <w:lang w:val="en-GB"/>
          <w14:ligatures w14:val="standardContextual"/>
        </w:rPr>
        <w:t>Unraveling</w:t>
      </w:r>
      <w:proofErr w:type="spellEnd"/>
      <w:r w:rsidRPr="000C307D">
        <w:rPr>
          <w:rFonts w:eastAsia="Aptos" w:cs="Times New Roman"/>
          <w:kern w:val="2"/>
          <w:lang w:val="en-GB"/>
          <w14:ligatures w14:val="standardContextual"/>
        </w:rPr>
        <w:t xml:space="preserve"> the factors for online fan community engagement associated with politics: A systematic review. </w:t>
      </w:r>
      <w:r w:rsidRPr="000C307D">
        <w:rPr>
          <w:rFonts w:eastAsia="Aptos" w:cs="Times New Roman"/>
          <w:i/>
          <w:iCs/>
          <w:kern w:val="2"/>
          <w:lang w:val="en-GB"/>
          <w14:ligatures w14:val="standardContextual"/>
        </w:rPr>
        <w:t>SAGE Open</w:t>
      </w:r>
      <w:r w:rsidRPr="000C307D">
        <w:rPr>
          <w:rFonts w:eastAsia="Aptos" w:cs="Times New Roman"/>
          <w:kern w:val="2"/>
          <w:lang w:val="en-GB"/>
          <w14:ligatures w14:val="standardContextual"/>
        </w:rPr>
        <w:t xml:space="preserve">, 15(4). Available At: </w:t>
      </w:r>
      <w:hyperlink r:id="rId79" w:history="1">
        <w:r w:rsidRPr="000C307D">
          <w:rPr>
            <w:rFonts w:eastAsia="Aptos" w:cs="Times New Roman"/>
            <w:color w:val="0563C1"/>
            <w:kern w:val="2"/>
            <w:u w:val="single"/>
            <w:lang w:val="en-GB"/>
            <w14:ligatures w14:val="standardContextual"/>
          </w:rPr>
          <w:t>https://journals.sagepub.com/doi/pdf/10.1177/21582440251374604</w:t>
        </w:r>
      </w:hyperlink>
      <w:r w:rsidRPr="000C307D">
        <w:rPr>
          <w:rFonts w:eastAsia="Aptos" w:cs="Times New Roman"/>
          <w:kern w:val="2"/>
          <w:lang w:val="en-GB"/>
          <w14:ligatures w14:val="standardContextual"/>
        </w:rPr>
        <w:t>.</w:t>
      </w:r>
    </w:p>
    <w:p w14:paraId="6F20200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Li, N. and </w:t>
      </w:r>
      <w:proofErr w:type="spellStart"/>
      <w:r w:rsidRPr="000C307D">
        <w:rPr>
          <w:rFonts w:eastAsia="Aptos" w:cs="Times New Roman"/>
          <w:kern w:val="2"/>
          <w:lang w:val="en-GB"/>
          <w14:ligatures w14:val="standardContextual"/>
        </w:rPr>
        <w:t>Aumeboonsuke</w:t>
      </w:r>
      <w:proofErr w:type="spellEnd"/>
      <w:r w:rsidRPr="000C307D">
        <w:rPr>
          <w:rFonts w:eastAsia="Aptos" w:cs="Times New Roman"/>
          <w:kern w:val="2"/>
          <w:lang w:val="en-GB"/>
          <w14:ligatures w14:val="standardContextual"/>
        </w:rPr>
        <w:t xml:space="preserve">, V. (2025). How gamification features drive brand loyalty: The mediating roles of consumer experience and brand engagement. </w:t>
      </w:r>
      <w:r w:rsidRPr="000C307D">
        <w:rPr>
          <w:rFonts w:eastAsia="Aptos" w:cs="Times New Roman"/>
          <w:i/>
          <w:iCs/>
          <w:kern w:val="2"/>
          <w:lang w:val="en-GB"/>
          <w14:ligatures w14:val="standardContextual"/>
        </w:rPr>
        <w:t>Journal of Theoretical and Applied Electronic Commerce Research</w:t>
      </w:r>
      <w:r w:rsidRPr="000C307D">
        <w:rPr>
          <w:rFonts w:eastAsia="Aptos" w:cs="Times New Roman"/>
          <w:kern w:val="2"/>
          <w:lang w:val="en-GB"/>
          <w14:ligatures w14:val="standardContextual"/>
        </w:rPr>
        <w:t xml:space="preserve">, 20(2), p.113. Available at: </w:t>
      </w:r>
      <w:hyperlink r:id="rId80" w:history="1">
        <w:r w:rsidRPr="000C307D">
          <w:rPr>
            <w:rFonts w:eastAsia="Aptos" w:cs="Times New Roman"/>
            <w:color w:val="0563C1"/>
            <w:kern w:val="2"/>
            <w:u w:val="single"/>
            <w:lang w:val="en-GB"/>
            <w14:ligatures w14:val="standardContextual"/>
          </w:rPr>
          <w:t>https://www.mdpi.com/0718-1876/20/2/113</w:t>
        </w:r>
      </w:hyperlink>
      <w:r w:rsidRPr="000C307D">
        <w:rPr>
          <w:rFonts w:eastAsia="Aptos" w:cs="Times New Roman"/>
          <w:kern w:val="2"/>
          <w:lang w:val="en-GB"/>
          <w14:ligatures w14:val="standardContextual"/>
        </w:rPr>
        <w:t>.</w:t>
      </w:r>
    </w:p>
    <w:p w14:paraId="3E79CA9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Li, W., AI, P. and Ding, A. (2023). More than just numbers: How engagement metrics influence user intention to pay for online knowledge products. </w:t>
      </w:r>
      <w:r w:rsidRPr="000C307D">
        <w:rPr>
          <w:rFonts w:eastAsia="Aptos" w:cs="Times New Roman"/>
          <w:i/>
          <w:iCs/>
          <w:kern w:val="2"/>
          <w:lang w:val="en-GB"/>
          <w14:ligatures w14:val="standardContextual"/>
        </w:rPr>
        <w:t>SAGE Open</w:t>
      </w:r>
      <w:r w:rsidRPr="000C307D">
        <w:rPr>
          <w:rFonts w:eastAsia="Aptos" w:cs="Times New Roman"/>
          <w:kern w:val="2"/>
          <w:lang w:val="en-GB"/>
          <w14:ligatures w14:val="standardContextual"/>
        </w:rPr>
        <w:t xml:space="preserve">, [online] 13(1), pp.215824402211486–215824402211486. Available At: </w:t>
      </w:r>
      <w:hyperlink r:id="rId81" w:history="1">
        <w:r w:rsidRPr="000C307D">
          <w:rPr>
            <w:rFonts w:eastAsia="Aptos" w:cs="Times New Roman"/>
            <w:color w:val="0563C1"/>
            <w:kern w:val="2"/>
            <w:u w:val="single"/>
            <w:lang w:val="en-GB"/>
            <w14:ligatures w14:val="standardContextual"/>
          </w:rPr>
          <w:t>https://journals.sagepub.com/doi/pdf/10.1177/21582440221148620</w:t>
        </w:r>
      </w:hyperlink>
      <w:r w:rsidRPr="000C307D">
        <w:rPr>
          <w:rFonts w:eastAsia="Aptos" w:cs="Times New Roman"/>
          <w:kern w:val="2"/>
          <w:lang w:val="en-GB"/>
          <w14:ligatures w14:val="standardContextual"/>
        </w:rPr>
        <w:t>.</w:t>
      </w:r>
    </w:p>
    <w:p w14:paraId="615CF9A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Liang, H.-L. and Yang, F.-H. (2022). Are virtual anime endorsers a new type of endorser? Examining product involvement as a moderating role. </w:t>
      </w:r>
      <w:r w:rsidRPr="000C307D">
        <w:rPr>
          <w:rFonts w:eastAsia="Aptos" w:cs="Times New Roman"/>
          <w:i/>
          <w:iCs/>
          <w:kern w:val="2"/>
          <w:lang w:val="en-GB"/>
          <w14:ligatures w14:val="standardContextual"/>
        </w:rPr>
        <w:t>Frontiers in Psychology</w:t>
      </w:r>
      <w:r w:rsidRPr="000C307D">
        <w:rPr>
          <w:rFonts w:eastAsia="Aptos" w:cs="Times New Roman"/>
          <w:kern w:val="2"/>
          <w:lang w:val="en-GB"/>
          <w14:ligatures w14:val="standardContextual"/>
        </w:rPr>
        <w:t xml:space="preserve">, 13. Available At: </w:t>
      </w:r>
      <w:hyperlink r:id="rId82" w:history="1">
        <w:r w:rsidRPr="000C307D">
          <w:rPr>
            <w:rFonts w:eastAsia="Aptos" w:cs="Times New Roman"/>
            <w:color w:val="0563C1"/>
            <w:kern w:val="2"/>
            <w:u w:val="single"/>
            <w:lang w:val="en-GB"/>
            <w14:ligatures w14:val="standardContextual"/>
          </w:rPr>
          <w:t>https://www.frontiersin.org/journals/psychology/articles/10.3389/fpsyg.2022.779519/pdf</w:t>
        </w:r>
      </w:hyperlink>
      <w:r w:rsidRPr="000C307D">
        <w:rPr>
          <w:rFonts w:eastAsia="Aptos" w:cs="Times New Roman"/>
          <w:kern w:val="2"/>
          <w:lang w:val="en-GB"/>
          <w14:ligatures w14:val="standardContextual"/>
        </w:rPr>
        <w:t>.</w:t>
      </w:r>
    </w:p>
    <w:p w14:paraId="46E2B23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Liu, C., Xia, S. and Lang, C. (2023). Online luxury resale platforms and customer experiences: A text mining analysis of online reviews. </w:t>
      </w:r>
      <w:r w:rsidRPr="000C307D">
        <w:rPr>
          <w:rFonts w:eastAsia="Aptos" w:cs="Times New Roman"/>
          <w:i/>
          <w:iCs/>
          <w:kern w:val="2"/>
          <w:lang w:val="en-GB"/>
          <w14:ligatures w14:val="standardContextual"/>
        </w:rPr>
        <w:t>Sustainability</w:t>
      </w:r>
      <w:r w:rsidRPr="000C307D">
        <w:rPr>
          <w:rFonts w:eastAsia="Aptos" w:cs="Times New Roman"/>
          <w:kern w:val="2"/>
          <w:lang w:val="en-GB"/>
          <w14:ligatures w14:val="standardContextual"/>
        </w:rPr>
        <w:t xml:space="preserve">, [online] 15(10), p.8137. Available at: </w:t>
      </w:r>
      <w:hyperlink r:id="rId83" w:history="1">
        <w:r w:rsidRPr="000C307D">
          <w:rPr>
            <w:rFonts w:eastAsia="Aptos" w:cs="Times New Roman"/>
            <w:color w:val="0563C1"/>
            <w:kern w:val="2"/>
            <w:u w:val="single"/>
            <w:lang w:val="en-GB"/>
            <w14:ligatures w14:val="standardContextual"/>
          </w:rPr>
          <w:t>https://www.mdpi.com/2071-1050/15/10/8137</w:t>
        </w:r>
      </w:hyperlink>
      <w:r w:rsidRPr="000C307D">
        <w:rPr>
          <w:rFonts w:eastAsia="Aptos" w:cs="Times New Roman"/>
          <w:kern w:val="2"/>
          <w:lang w:val="en-GB"/>
          <w14:ligatures w14:val="standardContextual"/>
        </w:rPr>
        <w:t>.</w:t>
      </w:r>
    </w:p>
    <w:p w14:paraId="01DAEDED" w14:textId="77777777" w:rsidR="000C307D" w:rsidRPr="000C307D" w:rsidRDefault="000C307D" w:rsidP="000C307D">
      <w:pPr>
        <w:spacing w:after="160"/>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lastRenderedPageBreak/>
        <w:t>Moulard</w:t>
      </w:r>
      <w:proofErr w:type="spellEnd"/>
      <w:r w:rsidRPr="000C307D">
        <w:rPr>
          <w:rFonts w:eastAsia="Aptos" w:cs="Times New Roman"/>
          <w:kern w:val="2"/>
          <w:lang w:val="en-GB"/>
          <w14:ligatures w14:val="standardContextual"/>
        </w:rPr>
        <w:t xml:space="preserve">, J.G., Raggio, R.D. and Folse, J.A.G. (2020). Disentangling the meanings of brand authenticity: The entity-referent correspondence framework of authenticity. </w:t>
      </w:r>
      <w:r w:rsidRPr="000C307D">
        <w:rPr>
          <w:rFonts w:eastAsia="Aptos" w:cs="Times New Roman"/>
          <w:i/>
          <w:iCs/>
          <w:kern w:val="2"/>
          <w:lang w:val="en-GB"/>
          <w14:ligatures w14:val="standardContextual"/>
        </w:rPr>
        <w:t>Journal of the Academy of Marketing Science</w:t>
      </w:r>
      <w:r w:rsidRPr="000C307D">
        <w:rPr>
          <w:rFonts w:eastAsia="Aptos" w:cs="Times New Roman"/>
          <w:kern w:val="2"/>
          <w:lang w:val="en-GB"/>
          <w14:ligatures w14:val="standardContextual"/>
        </w:rPr>
        <w:t xml:space="preserve">, [online] 49(1), pp.96–118. Available at: </w:t>
      </w:r>
      <w:hyperlink r:id="rId84" w:history="1">
        <w:r w:rsidRPr="000C307D">
          <w:rPr>
            <w:rFonts w:eastAsia="Aptos" w:cs="Times New Roman"/>
            <w:color w:val="0563C1"/>
            <w:kern w:val="2"/>
            <w:u w:val="single"/>
            <w:lang w:val="en-GB"/>
            <w14:ligatures w14:val="standardContextual"/>
          </w:rPr>
          <w:t>https://www.academia.edu/download/94681916/s11747-020-00735-120221122-1-2yqylo.pdf</w:t>
        </w:r>
      </w:hyperlink>
      <w:r w:rsidRPr="000C307D">
        <w:rPr>
          <w:rFonts w:eastAsia="Aptos" w:cs="Times New Roman"/>
          <w:kern w:val="2"/>
          <w:lang w:val="en-GB"/>
          <w14:ligatures w14:val="standardContextual"/>
        </w:rPr>
        <w:t>.</w:t>
      </w:r>
    </w:p>
    <w:p w14:paraId="46E654B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Nair, A.J., Manohar, S., Mittal, A. and Patwa, N. (2025). </w:t>
      </w:r>
      <w:r w:rsidRPr="000C307D">
        <w:rPr>
          <w:rFonts w:eastAsia="Aptos" w:cs="Times New Roman"/>
          <w:i/>
          <w:iCs/>
          <w:kern w:val="2"/>
          <w:lang w:val="en-GB"/>
          <w14:ligatures w14:val="standardContextual"/>
        </w:rPr>
        <w:t xml:space="preserve">Decoding consumer </w:t>
      </w:r>
      <w:proofErr w:type="spellStart"/>
      <w:r w:rsidRPr="000C307D">
        <w:rPr>
          <w:rFonts w:eastAsia="Aptos" w:cs="Times New Roman"/>
          <w:i/>
          <w:iCs/>
          <w:kern w:val="2"/>
          <w:lang w:val="en-GB"/>
          <w14:ligatures w14:val="standardContextual"/>
        </w:rPr>
        <w:t>behavior</w:t>
      </w:r>
      <w:proofErr w:type="spellEnd"/>
      <w:r w:rsidRPr="000C307D">
        <w:rPr>
          <w:rFonts w:eastAsia="Aptos" w:cs="Times New Roman"/>
          <w:i/>
          <w:iCs/>
          <w:kern w:val="2"/>
          <w:lang w:val="en-GB"/>
          <w14:ligatures w14:val="standardContextual"/>
        </w:rPr>
        <w:t xml:space="preserve"> using the insight equation and AI marketing</w:t>
      </w:r>
      <w:r w:rsidRPr="000C307D">
        <w:rPr>
          <w:rFonts w:eastAsia="Aptos" w:cs="Times New Roman"/>
          <w:kern w:val="2"/>
          <w:lang w:val="en-GB"/>
          <w14:ligatures w14:val="standardContextual"/>
        </w:rPr>
        <w:t xml:space="preserve">. Business Science Reference. Available at: </w:t>
      </w:r>
      <w:hyperlink r:id="rId85" w:history="1">
        <w:r w:rsidRPr="000C307D">
          <w:rPr>
            <w:rFonts w:eastAsia="Aptos" w:cs="Times New Roman"/>
            <w:color w:val="0563C1"/>
            <w:kern w:val="2"/>
            <w:u w:val="single"/>
            <w:lang w:val="en-GB"/>
            <w14:ligatures w14:val="standardContextual"/>
          </w:rPr>
          <w:t>https://books.google.com/books?hl=en&amp;lr=&amp;id=sldSEQAAQBAJ&amp;oi=fnd&amp;pg=PR1&amp;dq=Nair,+A.J.,+Manohar,+S.,+Mittal,+A.+and+Patwa,+N.+(2025).+Decoding+consumer+behavior+using+the+insight+equation+and+AI+marketing.+Business+Science+Reference&amp;ots=jx2XYZfGrN&amp;sig=oYrqAXCZQqRO7IawZl_QM_aJiZA</w:t>
        </w:r>
      </w:hyperlink>
      <w:r w:rsidRPr="000C307D">
        <w:rPr>
          <w:rFonts w:eastAsia="Aptos" w:cs="Times New Roman"/>
          <w:kern w:val="2"/>
          <w:lang w:val="en-GB"/>
          <w14:ligatures w14:val="standardContextual"/>
        </w:rPr>
        <w:t>.</w:t>
      </w:r>
    </w:p>
    <w:p w14:paraId="0D4C01F8"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Ng, S.C., Sweeney, J.C. and Plewa, C. (2020). Customer engagement: A systematic review and future research priorities. </w:t>
      </w:r>
      <w:r w:rsidRPr="000C307D">
        <w:rPr>
          <w:rFonts w:eastAsia="Aptos" w:cs="Times New Roman"/>
          <w:i/>
          <w:iCs/>
          <w:kern w:val="2"/>
          <w:lang w:val="en-GB"/>
          <w14:ligatures w14:val="standardContextual"/>
        </w:rPr>
        <w:t>Australasian Marketing Journal (AMJ)</w:t>
      </w:r>
      <w:r w:rsidRPr="000C307D">
        <w:rPr>
          <w:rFonts w:eastAsia="Aptos" w:cs="Times New Roman"/>
          <w:kern w:val="2"/>
          <w:lang w:val="en-GB"/>
          <w14:ligatures w14:val="standardContextual"/>
        </w:rPr>
        <w:t xml:space="preserve">, 28(4), pp.235–252. Available at: </w:t>
      </w:r>
      <w:hyperlink r:id="rId86" w:history="1">
        <w:r w:rsidRPr="000C307D">
          <w:rPr>
            <w:rFonts w:eastAsia="Aptos" w:cs="Times New Roman"/>
            <w:color w:val="0563C1"/>
            <w:kern w:val="2"/>
            <w:u w:val="single"/>
            <w:lang w:val="en-GB"/>
            <w14:ligatures w14:val="standardContextual"/>
          </w:rPr>
          <w:t>https://journals.sagepub.com/doi/pdf/10.1016/j.ausmj.2020.05.004</w:t>
        </w:r>
      </w:hyperlink>
      <w:r w:rsidRPr="000C307D">
        <w:rPr>
          <w:rFonts w:eastAsia="Aptos" w:cs="Times New Roman"/>
          <w:kern w:val="2"/>
          <w:lang w:val="en-GB"/>
          <w14:ligatures w14:val="standardContextual"/>
        </w:rPr>
        <w:t>.</w:t>
      </w:r>
    </w:p>
    <w:p w14:paraId="37F42E48" w14:textId="77777777" w:rsidR="000C307D" w:rsidRPr="000C307D" w:rsidRDefault="000C307D" w:rsidP="000C307D">
      <w:pPr>
        <w:spacing w:after="160"/>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t>Nicmanis</w:t>
      </w:r>
      <w:proofErr w:type="spellEnd"/>
      <w:r w:rsidRPr="000C307D">
        <w:rPr>
          <w:rFonts w:eastAsia="Aptos" w:cs="Times New Roman"/>
          <w:kern w:val="2"/>
          <w:lang w:val="en-GB"/>
          <w14:ligatures w14:val="standardContextual"/>
        </w:rPr>
        <w:t xml:space="preserve">, M. and Spurrier, H. (2025). Getting started with Artificial Intelligence assisted qualitative analysis: An introductory guide to qualitative research approaches with exploratory examples from reflexive content analysis. </w:t>
      </w:r>
      <w:r w:rsidRPr="000C307D">
        <w:rPr>
          <w:rFonts w:eastAsia="Aptos" w:cs="Times New Roman"/>
          <w:i/>
          <w:iCs/>
          <w:kern w:val="2"/>
          <w:lang w:val="en-GB"/>
          <w14:ligatures w14:val="standardContextual"/>
        </w:rPr>
        <w:t>International Journal of Qualitative Methods</w:t>
      </w:r>
      <w:r w:rsidRPr="000C307D">
        <w:rPr>
          <w:rFonts w:eastAsia="Aptos" w:cs="Times New Roman"/>
          <w:kern w:val="2"/>
          <w:lang w:val="en-GB"/>
          <w14:ligatures w14:val="standardContextual"/>
        </w:rPr>
        <w:t xml:space="preserve">, 24.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87" w:history="1">
        <w:r w:rsidRPr="000C307D">
          <w:rPr>
            <w:rFonts w:eastAsia="Aptos" w:cs="Times New Roman"/>
            <w:color w:val="0563C1"/>
            <w:kern w:val="2"/>
            <w:u w:val="single"/>
            <w:lang w:val="en-GB"/>
            <w14:ligatures w14:val="standardContextual"/>
          </w:rPr>
          <w:t>https://journals.sagepub.com/doi/abs/10.1177/16094069251354863</w:t>
        </w:r>
      </w:hyperlink>
      <w:r w:rsidRPr="000C307D">
        <w:rPr>
          <w:rFonts w:eastAsia="Aptos" w:cs="Times New Roman"/>
          <w:kern w:val="2"/>
          <w:lang w:val="en-GB"/>
          <w14:ligatures w14:val="standardContextual"/>
        </w:rPr>
        <w:t xml:space="preserve"> </w:t>
      </w:r>
    </w:p>
    <w:p w14:paraId="2DA059E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Okoli, C. (2023) “Inductive, abductive and deductive theorising,” </w:t>
      </w:r>
      <w:r w:rsidRPr="000C307D">
        <w:rPr>
          <w:rFonts w:eastAsia="Aptos" w:cs="Times New Roman"/>
          <w:i/>
          <w:iCs/>
          <w:kern w:val="2"/>
          <w:lang w:val="en-GB"/>
          <w14:ligatures w14:val="standardContextual"/>
        </w:rPr>
        <w:t>International Journal of Management Concepts and Philosophy</w:t>
      </w:r>
      <w:r w:rsidRPr="000C307D">
        <w:rPr>
          <w:rFonts w:eastAsia="Aptos" w:cs="Times New Roman"/>
          <w:kern w:val="2"/>
          <w:lang w:val="en-GB"/>
          <w14:ligatures w14:val="standardContextual"/>
        </w:rPr>
        <w:t xml:space="preserve">, 16(3), pp. 302–316. Available at: </w:t>
      </w:r>
      <w:hyperlink r:id="rId88" w:history="1">
        <w:r w:rsidRPr="000C307D">
          <w:rPr>
            <w:rFonts w:eastAsia="Aptos" w:cs="Times New Roman"/>
            <w:color w:val="0563C1"/>
            <w:kern w:val="2"/>
            <w:u w:val="single"/>
            <w:lang w:val="en-GB"/>
            <w14:ligatures w14:val="standardContextual"/>
          </w:rPr>
          <w:t>https://www.researchgate.net/publication/372054290_Inductive_abductive_and_deductive_theorising</w:t>
        </w:r>
      </w:hyperlink>
      <w:r w:rsidRPr="000C307D">
        <w:rPr>
          <w:rFonts w:eastAsia="Aptos" w:cs="Times New Roman"/>
          <w:kern w:val="2"/>
          <w:lang w:val="en-GB"/>
          <w14:ligatures w14:val="standardContextual"/>
        </w:rPr>
        <w:t xml:space="preserve"> </w:t>
      </w:r>
    </w:p>
    <w:p w14:paraId="7BA67D6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Osakwe, C.N., Říha, D., Mahmoud Yousef, E.I. and Ramayah, T. (2024). Understanding gen Z shoppers” interaction with customer-service robots: A cognitive-affective-normative perspective. </w:t>
      </w:r>
      <w:r w:rsidRPr="000C307D">
        <w:rPr>
          <w:rFonts w:eastAsia="Aptos" w:cs="Times New Roman"/>
          <w:i/>
          <w:iCs/>
          <w:kern w:val="2"/>
          <w:lang w:val="en-GB"/>
          <w14:ligatures w14:val="standardContextual"/>
        </w:rPr>
        <w:t>International Journal of Retail &amp; Distribution Management</w:t>
      </w:r>
      <w:r w:rsidRPr="000C307D">
        <w:rPr>
          <w:rFonts w:eastAsia="Aptos" w:cs="Times New Roman"/>
          <w:kern w:val="2"/>
          <w:lang w:val="en-GB"/>
          <w14:ligatures w14:val="standardContextual"/>
        </w:rPr>
        <w:t xml:space="preserve">, [online] 52(13), pp.103–120. Available at: </w:t>
      </w:r>
      <w:hyperlink r:id="rId89" w:history="1">
        <w:r w:rsidRPr="000C307D">
          <w:rPr>
            <w:rFonts w:eastAsia="Aptos" w:cs="Times New Roman"/>
            <w:color w:val="0563C1"/>
            <w:kern w:val="2"/>
            <w:u w:val="single"/>
            <w:lang w:val="en-GB"/>
            <w14:ligatures w14:val="standardContextual"/>
          </w:rPr>
          <w:t>https://www.emerald.com/ijrdm/article-pdf/52/13/103/9479191/ijrdm-09-2023-0552.pdf</w:t>
        </w:r>
      </w:hyperlink>
      <w:r w:rsidRPr="000C307D">
        <w:rPr>
          <w:rFonts w:eastAsia="Aptos" w:cs="Times New Roman"/>
          <w:kern w:val="2"/>
          <w:lang w:val="en-GB"/>
          <w14:ligatures w14:val="standardContextual"/>
        </w:rPr>
        <w:t>.</w:t>
      </w:r>
    </w:p>
    <w:p w14:paraId="3D270F3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lastRenderedPageBreak/>
        <w:t xml:space="preserve">Papadopoulou, C., </w:t>
      </w:r>
      <w:proofErr w:type="spellStart"/>
      <w:r w:rsidRPr="000C307D">
        <w:rPr>
          <w:rFonts w:eastAsia="Aptos" w:cs="Times New Roman"/>
          <w:kern w:val="2"/>
          <w:lang w:val="en-GB"/>
          <w14:ligatures w14:val="standardContextual"/>
        </w:rPr>
        <w:t>Vardarsuyu</w:t>
      </w:r>
      <w:proofErr w:type="spellEnd"/>
      <w:r w:rsidRPr="000C307D">
        <w:rPr>
          <w:rFonts w:eastAsia="Aptos" w:cs="Times New Roman"/>
          <w:kern w:val="2"/>
          <w:lang w:val="en-GB"/>
          <w14:ligatures w14:val="standardContextual"/>
        </w:rPr>
        <w:t xml:space="preserve">, M. and </w:t>
      </w:r>
      <w:proofErr w:type="spellStart"/>
      <w:r w:rsidRPr="000C307D">
        <w:rPr>
          <w:rFonts w:eastAsia="Aptos" w:cs="Times New Roman"/>
          <w:kern w:val="2"/>
          <w:lang w:val="en-GB"/>
          <w14:ligatures w14:val="standardContextual"/>
        </w:rPr>
        <w:t>Oghazi</w:t>
      </w:r>
      <w:proofErr w:type="spellEnd"/>
      <w:r w:rsidRPr="000C307D">
        <w:rPr>
          <w:rFonts w:eastAsia="Aptos" w:cs="Times New Roman"/>
          <w:kern w:val="2"/>
          <w:lang w:val="en-GB"/>
          <w14:ligatures w14:val="standardContextual"/>
        </w:rPr>
        <w:t xml:space="preserve">, P. (2023). Examining the relationships between brand authenticity, perceived value, and brand forgiveness: The role of cross-cultural happiness. </w:t>
      </w:r>
      <w:r w:rsidRPr="000C307D">
        <w:rPr>
          <w:rFonts w:eastAsia="Aptos" w:cs="Times New Roman"/>
          <w:i/>
          <w:iCs/>
          <w:kern w:val="2"/>
          <w:lang w:val="en-GB"/>
          <w14:ligatures w14:val="standardContextual"/>
        </w:rPr>
        <w:t>Journal of Business Research</w:t>
      </w:r>
      <w:r w:rsidRPr="000C307D">
        <w:rPr>
          <w:rFonts w:eastAsia="Aptos" w:cs="Times New Roman"/>
          <w:kern w:val="2"/>
          <w:lang w:val="en-GB"/>
          <w14:ligatures w14:val="standardContextual"/>
        </w:rPr>
        <w:t xml:space="preserve">, [online] 167(1), pp.114154–114154. Available at: </w:t>
      </w:r>
      <w:hyperlink r:id="rId90" w:history="1">
        <w:r w:rsidRPr="000C307D">
          <w:rPr>
            <w:rFonts w:eastAsia="Aptos" w:cs="Times New Roman"/>
            <w:color w:val="0563C1"/>
            <w:kern w:val="2"/>
            <w:u w:val="single"/>
            <w:lang w:val="en-GB"/>
            <w14:ligatures w14:val="standardContextual"/>
          </w:rPr>
          <w:t>https://www.sciencedirect.com/science/article/pii/S0148296323005131</w:t>
        </w:r>
      </w:hyperlink>
      <w:r w:rsidRPr="000C307D">
        <w:rPr>
          <w:rFonts w:eastAsia="Aptos" w:cs="Times New Roman"/>
          <w:kern w:val="2"/>
          <w:lang w:val="en-GB"/>
          <w14:ligatures w14:val="standardContextual"/>
        </w:rPr>
        <w:t>.</w:t>
      </w:r>
    </w:p>
    <w:p w14:paraId="1E7EE56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Park, C.W., Milberg, S. and Lawson, R. (1991). Evaluation of brand extensions: The role of product feature similarity and brand concept consistency. </w:t>
      </w:r>
      <w:r w:rsidRPr="000C307D">
        <w:rPr>
          <w:rFonts w:eastAsia="Aptos" w:cs="Times New Roman"/>
          <w:i/>
          <w:iCs/>
          <w:kern w:val="2"/>
          <w:lang w:val="en-GB"/>
          <w14:ligatures w14:val="standardContextual"/>
        </w:rPr>
        <w:t>Journal of Consumer Research</w:t>
      </w:r>
      <w:r w:rsidRPr="000C307D">
        <w:rPr>
          <w:rFonts w:eastAsia="Aptos" w:cs="Times New Roman"/>
          <w:kern w:val="2"/>
          <w:lang w:val="en-GB"/>
          <w14:ligatures w14:val="standardContextual"/>
        </w:rPr>
        <w:t xml:space="preserve">, [online] 18(2), pp.185–193. Available at: </w:t>
      </w:r>
      <w:hyperlink r:id="rId91" w:history="1">
        <w:r w:rsidRPr="000C307D">
          <w:rPr>
            <w:rFonts w:eastAsia="Aptos" w:cs="Times New Roman"/>
            <w:color w:val="0563C1"/>
            <w:kern w:val="2"/>
            <w:u w:val="single"/>
            <w:lang w:val="en-GB"/>
            <w14:ligatures w14:val="standardContextual"/>
          </w:rPr>
          <w:t>https://web.archive.org/web/20240415094051/https://citeseerx.ist.psu.edu/document?repid=rep1&amp;type=pdf&amp;doi=5b9d93d501582385e0097865ce95cd33202873ba</w:t>
        </w:r>
      </w:hyperlink>
      <w:r w:rsidRPr="000C307D">
        <w:rPr>
          <w:rFonts w:eastAsia="Aptos" w:cs="Times New Roman"/>
          <w:kern w:val="2"/>
          <w:lang w:val="en-GB"/>
          <w14:ligatures w14:val="standardContextual"/>
        </w:rPr>
        <w:t xml:space="preserve"> [Accessed 5 Aug. 2026].</w:t>
      </w:r>
    </w:p>
    <w:p w14:paraId="0532898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Park, Y.S., Konge, L. and Artino, A.R. (2020) </w:t>
      </w:r>
      <w:r w:rsidRPr="000C307D">
        <w:rPr>
          <w:rFonts w:eastAsia="Aptos" w:cs="Times New Roman"/>
          <w:i/>
          <w:iCs/>
          <w:kern w:val="2"/>
          <w:lang w:val="en-GB"/>
          <w14:ligatures w14:val="standardContextual"/>
        </w:rPr>
        <w:t>The positivism paradigm of research</w:t>
      </w:r>
      <w:r w:rsidRPr="000C307D">
        <w:rPr>
          <w:rFonts w:eastAsia="Aptos" w:cs="Times New Roman"/>
          <w:kern w:val="2"/>
          <w:lang w:val="en-GB"/>
          <w14:ligatures w14:val="standardContextual"/>
        </w:rPr>
        <w:t xml:space="preserve">, </w:t>
      </w:r>
      <w:r w:rsidRPr="000C307D">
        <w:rPr>
          <w:rFonts w:eastAsia="Aptos" w:cs="Times New Roman"/>
          <w:i/>
          <w:iCs/>
          <w:kern w:val="2"/>
          <w:lang w:val="en-GB"/>
          <w14:ligatures w14:val="standardContextual"/>
        </w:rPr>
        <w:t>ResearchGate</w:t>
      </w:r>
      <w:r w:rsidRPr="000C307D">
        <w:rPr>
          <w:rFonts w:eastAsia="Aptos" w:cs="Times New Roman"/>
          <w:kern w:val="2"/>
          <w:lang w:val="en-GB"/>
          <w14:ligatures w14:val="standardContextual"/>
        </w:rPr>
        <w:t xml:space="preserve">. www.researchgate.net. Available at: </w:t>
      </w:r>
      <w:hyperlink r:id="rId92" w:history="1">
        <w:r w:rsidRPr="000C307D">
          <w:rPr>
            <w:rFonts w:eastAsia="Aptos" w:cs="Times New Roman"/>
            <w:color w:val="0563C1"/>
            <w:kern w:val="2"/>
            <w:u w:val="single"/>
            <w:lang w:val="en-GB"/>
            <w14:ligatures w14:val="standardContextual"/>
          </w:rPr>
          <w:t>https://www.researchgate.net/publication/337693284_The_Positivism_Paradigm_of_Research</w:t>
        </w:r>
      </w:hyperlink>
      <w:r w:rsidRPr="000C307D">
        <w:rPr>
          <w:rFonts w:eastAsia="Aptos" w:cs="Times New Roman"/>
          <w:kern w:val="2"/>
          <w:lang w:val="en-GB"/>
          <w14:ligatures w14:val="standardContextual"/>
        </w:rPr>
        <w:t>.</w:t>
      </w:r>
    </w:p>
    <w:p w14:paraId="7ED2472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Peng, H.-P. (2023). </w:t>
      </w:r>
      <w:r w:rsidRPr="000C307D">
        <w:rPr>
          <w:rFonts w:eastAsia="Aptos" w:cs="Times New Roman"/>
          <w:i/>
          <w:iCs/>
          <w:kern w:val="2"/>
          <w:lang w:val="en-GB"/>
          <w14:ligatures w14:val="standardContextual"/>
        </w:rPr>
        <w:t xml:space="preserve">Exploring Symbolic Effect of New Media: The Impact of </w:t>
      </w:r>
      <w:proofErr w:type="spellStart"/>
      <w:r w:rsidRPr="000C307D">
        <w:rPr>
          <w:rFonts w:eastAsia="Aptos" w:cs="Times New Roman"/>
          <w:i/>
          <w:iCs/>
          <w:kern w:val="2"/>
          <w:lang w:val="en-GB"/>
          <w14:ligatures w14:val="standardContextual"/>
        </w:rPr>
        <w:t>Bilibili</w:t>
      </w:r>
      <w:proofErr w:type="spellEnd"/>
      <w:r w:rsidRPr="000C307D">
        <w:rPr>
          <w:rFonts w:eastAsia="Aptos" w:cs="Times New Roman"/>
          <w:i/>
          <w:iCs/>
          <w:kern w:val="2"/>
          <w:lang w:val="en-GB"/>
          <w14:ligatures w14:val="standardContextual"/>
        </w:rPr>
        <w:t xml:space="preserve"> on Gen Z’s Cohort Identity and Aesthetic Choices in Fashion</w:t>
      </w:r>
      <w:r w:rsidRPr="000C307D">
        <w:rPr>
          <w:rFonts w:eastAsia="Aptos" w:cs="Times New Roman"/>
          <w:kern w:val="2"/>
          <w:lang w:val="en-GB"/>
          <w14:ligatures w14:val="standardContextual"/>
        </w:rPr>
        <w:t xml:space="preserve">. Springer proceedings in business and economics.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93" w:history="1">
        <w:r w:rsidRPr="000C307D">
          <w:rPr>
            <w:rFonts w:eastAsia="Aptos" w:cs="Times New Roman"/>
            <w:color w:val="0563C1"/>
            <w:kern w:val="2"/>
            <w:u w:val="single"/>
            <w:lang w:val="en-GB"/>
            <w14:ligatures w14:val="standardContextual"/>
          </w:rPr>
          <w:t>https://link.springer.com/content/pdf/10.1007/978-3-031-38541-4_17.pdf</w:t>
        </w:r>
      </w:hyperlink>
      <w:r w:rsidRPr="000C307D">
        <w:rPr>
          <w:rFonts w:eastAsia="Aptos" w:cs="Times New Roman"/>
          <w:kern w:val="2"/>
          <w:lang w:val="en-GB"/>
          <w14:ligatures w14:val="standardContextual"/>
        </w:rPr>
        <w:t xml:space="preserve"> </w:t>
      </w:r>
    </w:p>
    <w:p w14:paraId="640141F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Pereira, Schmitt, B., Cordeiro, B.A., Schmitt, B., Gabriela, M., Eugenia, S. and Gonçalves, M.C. (2025). Factors of customer loyalty and retention in the digital environment. </w:t>
      </w:r>
      <w:r w:rsidRPr="000C307D">
        <w:rPr>
          <w:rFonts w:eastAsia="Aptos" w:cs="Times New Roman"/>
          <w:i/>
          <w:iCs/>
          <w:kern w:val="2"/>
          <w:lang w:val="en-GB"/>
          <w14:ligatures w14:val="standardContextual"/>
        </w:rPr>
        <w:t>Journal of Theoretical and Applied Electronic Commerce Research</w:t>
      </w:r>
      <w:r w:rsidRPr="000C307D">
        <w:rPr>
          <w:rFonts w:eastAsia="Aptos" w:cs="Times New Roman"/>
          <w:kern w:val="2"/>
          <w:lang w:val="en-GB"/>
          <w14:ligatures w14:val="standardContextual"/>
        </w:rPr>
        <w:t xml:space="preserve">, [online] 20(2), p.71. Available at: </w:t>
      </w:r>
      <w:hyperlink r:id="rId94" w:history="1">
        <w:r w:rsidRPr="000C307D">
          <w:rPr>
            <w:rFonts w:eastAsia="Aptos" w:cs="Times New Roman"/>
            <w:color w:val="0563C1"/>
            <w:kern w:val="2"/>
            <w:u w:val="single"/>
            <w:lang w:val="en-GB"/>
            <w14:ligatures w14:val="standardContextual"/>
          </w:rPr>
          <w:t>https://www.mdpi.com/0718-1876/20/2/71</w:t>
        </w:r>
      </w:hyperlink>
      <w:r w:rsidRPr="000C307D">
        <w:rPr>
          <w:rFonts w:eastAsia="Aptos" w:cs="Times New Roman"/>
          <w:kern w:val="2"/>
          <w:lang w:val="en-GB"/>
          <w14:ligatures w14:val="standardContextual"/>
        </w:rPr>
        <w:t xml:space="preserve"> [Accessed 11 Aug. 2026].</w:t>
      </w:r>
    </w:p>
    <w:p w14:paraId="1F4D936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Putri, N.A., </w:t>
      </w:r>
      <w:proofErr w:type="spellStart"/>
      <w:r w:rsidRPr="000C307D">
        <w:rPr>
          <w:rFonts w:eastAsia="Aptos" w:cs="Times New Roman"/>
          <w:kern w:val="2"/>
          <w:lang w:val="en-GB"/>
          <w14:ligatures w14:val="standardContextual"/>
        </w:rPr>
        <w:t>Rosyida</w:t>
      </w:r>
      <w:proofErr w:type="spellEnd"/>
      <w:r w:rsidRPr="000C307D">
        <w:rPr>
          <w:rFonts w:eastAsia="Aptos" w:cs="Times New Roman"/>
          <w:kern w:val="2"/>
          <w:lang w:val="en-GB"/>
          <w14:ligatures w14:val="standardContextual"/>
        </w:rPr>
        <w:t xml:space="preserve">, H.N. and </w:t>
      </w:r>
      <w:proofErr w:type="spellStart"/>
      <w:r w:rsidRPr="000C307D">
        <w:rPr>
          <w:rFonts w:eastAsia="Aptos" w:cs="Times New Roman"/>
          <w:kern w:val="2"/>
          <w:lang w:val="en-GB"/>
          <w14:ligatures w14:val="standardContextual"/>
        </w:rPr>
        <w:t>Prakoso</w:t>
      </w:r>
      <w:proofErr w:type="spellEnd"/>
      <w:r w:rsidRPr="000C307D">
        <w:rPr>
          <w:rFonts w:eastAsia="Aptos" w:cs="Times New Roman"/>
          <w:kern w:val="2"/>
          <w:lang w:val="en-GB"/>
          <w14:ligatures w14:val="standardContextual"/>
        </w:rPr>
        <w:t xml:space="preserve">, H.A. (2025). UNIQLO X manga &amp; anime: Cultural globalization and community acceptance in Indonesia. </w:t>
      </w:r>
      <w:proofErr w:type="spellStart"/>
      <w:r w:rsidRPr="000C307D">
        <w:rPr>
          <w:rFonts w:eastAsia="Aptos" w:cs="Times New Roman"/>
          <w:i/>
          <w:iCs/>
          <w:kern w:val="2"/>
          <w:lang w:val="en-GB"/>
          <w14:ligatures w14:val="standardContextual"/>
        </w:rPr>
        <w:t>Priviet</w:t>
      </w:r>
      <w:proofErr w:type="spellEnd"/>
      <w:r w:rsidRPr="000C307D">
        <w:rPr>
          <w:rFonts w:eastAsia="Aptos" w:cs="Times New Roman"/>
          <w:i/>
          <w:iCs/>
          <w:kern w:val="2"/>
          <w:lang w:val="en-GB"/>
          <w14:ligatures w14:val="standardContextual"/>
        </w:rPr>
        <w:t xml:space="preserve"> Social Sciences Journal</w:t>
      </w:r>
      <w:r w:rsidRPr="000C307D">
        <w:rPr>
          <w:rFonts w:eastAsia="Aptos" w:cs="Times New Roman"/>
          <w:kern w:val="2"/>
          <w:lang w:val="en-GB"/>
          <w14:ligatures w14:val="standardContextual"/>
        </w:rPr>
        <w:t xml:space="preserve">, [online] 5(8), pp.73–86. Available at: </w:t>
      </w:r>
      <w:hyperlink r:id="rId95" w:history="1">
        <w:r w:rsidRPr="000C307D">
          <w:rPr>
            <w:rFonts w:eastAsia="Aptos" w:cs="Times New Roman"/>
            <w:color w:val="0563C1"/>
            <w:kern w:val="2"/>
            <w:u w:val="single"/>
            <w:lang w:val="en-GB"/>
            <w14:ligatures w14:val="standardContextual"/>
          </w:rPr>
          <w:t>https://journal.privietlab.org/index.php/PSSJ/article/download/582/285</w:t>
        </w:r>
      </w:hyperlink>
      <w:r w:rsidRPr="000C307D">
        <w:rPr>
          <w:rFonts w:eastAsia="Aptos" w:cs="Times New Roman"/>
          <w:kern w:val="2"/>
          <w:lang w:val="en-GB"/>
          <w14:ligatures w14:val="standardContextual"/>
        </w:rPr>
        <w:t>.</w:t>
      </w:r>
    </w:p>
    <w:p w14:paraId="7E1C9FF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Rodrigues, C., Brandão, A., </w:t>
      </w:r>
      <w:proofErr w:type="spellStart"/>
      <w:r w:rsidRPr="000C307D">
        <w:rPr>
          <w:rFonts w:eastAsia="Aptos" w:cs="Times New Roman"/>
          <w:kern w:val="2"/>
          <w:lang w:val="en-GB"/>
          <w14:ligatures w14:val="standardContextual"/>
        </w:rPr>
        <w:t>Billore</w:t>
      </w:r>
      <w:proofErr w:type="spellEnd"/>
      <w:r w:rsidRPr="000C307D">
        <w:rPr>
          <w:rFonts w:eastAsia="Aptos" w:cs="Times New Roman"/>
          <w:kern w:val="2"/>
          <w:lang w:val="en-GB"/>
          <w14:ligatures w14:val="standardContextual"/>
        </w:rPr>
        <w:t xml:space="preserve">, S. and Oda, T. (2023). The mediating role of perceived brand authenticity between brand experience and brand love: A cross-cultural </w:t>
      </w:r>
      <w:r w:rsidRPr="000C307D">
        <w:rPr>
          <w:rFonts w:eastAsia="Aptos" w:cs="Times New Roman"/>
          <w:kern w:val="2"/>
          <w:lang w:val="en-GB"/>
          <w14:ligatures w14:val="standardContextual"/>
        </w:rPr>
        <w:lastRenderedPageBreak/>
        <w:t xml:space="preserve">perspective. </w:t>
      </w:r>
      <w:r w:rsidRPr="000C307D">
        <w:rPr>
          <w:rFonts w:eastAsia="Aptos" w:cs="Times New Roman"/>
          <w:i/>
          <w:iCs/>
          <w:kern w:val="2"/>
          <w:lang w:val="en-GB"/>
          <w14:ligatures w14:val="standardContextual"/>
        </w:rPr>
        <w:t>Journal of Brand Management</w:t>
      </w:r>
      <w:r w:rsidRPr="000C307D">
        <w:rPr>
          <w:rFonts w:eastAsia="Aptos" w:cs="Times New Roman"/>
          <w:kern w:val="2"/>
          <w:lang w:val="en-GB"/>
          <w14:ligatures w14:val="standardContextual"/>
        </w:rPr>
        <w:t xml:space="preserve">, 31. Available at: </w:t>
      </w:r>
      <w:hyperlink r:id="rId96" w:history="1">
        <w:r w:rsidRPr="000C307D">
          <w:rPr>
            <w:rFonts w:eastAsia="Aptos" w:cs="Times New Roman"/>
            <w:color w:val="0563C1"/>
            <w:kern w:val="2"/>
            <w:u w:val="single"/>
            <w:lang w:val="en-GB"/>
            <w14:ligatures w14:val="standardContextual"/>
          </w:rPr>
          <w:t>https://link.springer.com/content/pdf/10.1057/s41262-023-00342-9.pdf</w:t>
        </w:r>
      </w:hyperlink>
      <w:r w:rsidRPr="000C307D">
        <w:rPr>
          <w:rFonts w:eastAsia="Aptos" w:cs="Times New Roman"/>
          <w:kern w:val="2"/>
          <w:lang w:val="en-GB"/>
          <w14:ligatures w14:val="standardContextual"/>
        </w:rPr>
        <w:t>.</w:t>
      </w:r>
    </w:p>
    <w:p w14:paraId="2B32E1B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Ruiz, C.D. and Gracia, A. (2023). Unconventional luxury brand collaborations: A new form of luxury consumption among young adults in China. </w:t>
      </w:r>
      <w:r w:rsidRPr="000C307D">
        <w:rPr>
          <w:rFonts w:eastAsia="Aptos" w:cs="Times New Roman"/>
          <w:i/>
          <w:iCs/>
          <w:kern w:val="2"/>
          <w:lang w:val="en-GB"/>
          <w14:ligatures w14:val="standardContextual"/>
        </w:rPr>
        <w:t>International Marketing Review</w:t>
      </w:r>
      <w:r w:rsidRPr="000C307D">
        <w:rPr>
          <w:rFonts w:eastAsia="Aptos" w:cs="Times New Roman"/>
          <w:kern w:val="2"/>
          <w:lang w:val="en-GB"/>
          <w14:ligatures w14:val="standardContextual"/>
        </w:rPr>
        <w:t xml:space="preserve">, 40(7), pp.1–21. Available at: </w:t>
      </w:r>
      <w:hyperlink r:id="rId97" w:history="1">
        <w:r w:rsidRPr="000C307D">
          <w:rPr>
            <w:rFonts w:eastAsia="Aptos" w:cs="Times New Roman"/>
            <w:color w:val="0563C1"/>
            <w:kern w:val="2"/>
            <w:u w:val="single"/>
            <w:lang w:val="en-GB"/>
            <w14:ligatures w14:val="standardContextual"/>
          </w:rPr>
          <w:t>https://www.emerald.com/imr/article-pdf/40/7/1/1233706/imr-04-2022-0099.pdf</w:t>
        </w:r>
      </w:hyperlink>
      <w:r w:rsidRPr="000C307D">
        <w:rPr>
          <w:rFonts w:eastAsia="Aptos" w:cs="Times New Roman"/>
          <w:kern w:val="2"/>
          <w:lang w:val="en-GB"/>
          <w14:ligatures w14:val="standardContextual"/>
        </w:rPr>
        <w:t>.</w:t>
      </w:r>
    </w:p>
    <w:p w14:paraId="5A09E87E" w14:textId="77777777" w:rsidR="000C307D" w:rsidRPr="000C307D" w:rsidRDefault="000C307D" w:rsidP="000C307D">
      <w:pPr>
        <w:spacing w:after="160"/>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t>Şanlı</w:t>
      </w:r>
      <w:proofErr w:type="spellEnd"/>
      <w:r w:rsidRPr="000C307D">
        <w:rPr>
          <w:rFonts w:eastAsia="Aptos" w:cs="Times New Roman"/>
          <w:kern w:val="2"/>
          <w:lang w:val="en-GB"/>
          <w14:ligatures w14:val="standardContextual"/>
        </w:rPr>
        <w:t>, C.H., 2023. Impact of the number and congruence of co-branding partners on evaluations of the strength and uniqueness of a focal brand’s core associations. </w:t>
      </w:r>
      <w:proofErr w:type="spellStart"/>
      <w:r w:rsidRPr="000C307D">
        <w:rPr>
          <w:rFonts w:eastAsia="Aptos" w:cs="Times New Roman"/>
          <w:i/>
          <w:iCs/>
          <w:kern w:val="2"/>
          <w:lang w:val="en-GB"/>
          <w14:ligatures w14:val="standardContextual"/>
        </w:rPr>
        <w:t>Pazarlama</w:t>
      </w:r>
      <w:proofErr w:type="spellEnd"/>
      <w:r w:rsidRPr="000C307D">
        <w:rPr>
          <w:rFonts w:eastAsia="Aptos" w:cs="Times New Roman"/>
          <w:i/>
          <w:iCs/>
          <w:kern w:val="2"/>
          <w:lang w:val="en-GB"/>
          <w14:ligatures w14:val="standardContextual"/>
        </w:rPr>
        <w:t xml:space="preserve"> </w:t>
      </w:r>
      <w:proofErr w:type="spellStart"/>
      <w:r w:rsidRPr="000C307D">
        <w:rPr>
          <w:rFonts w:eastAsia="Aptos" w:cs="Times New Roman"/>
          <w:i/>
          <w:iCs/>
          <w:kern w:val="2"/>
          <w:lang w:val="en-GB"/>
          <w14:ligatures w14:val="standardContextual"/>
        </w:rPr>
        <w:t>ve</w:t>
      </w:r>
      <w:proofErr w:type="spellEnd"/>
      <w:r w:rsidRPr="000C307D">
        <w:rPr>
          <w:rFonts w:eastAsia="Aptos" w:cs="Times New Roman"/>
          <w:i/>
          <w:iCs/>
          <w:kern w:val="2"/>
          <w:lang w:val="en-GB"/>
          <w14:ligatures w14:val="standardContextual"/>
        </w:rPr>
        <w:t xml:space="preserve"> </w:t>
      </w:r>
      <w:proofErr w:type="spellStart"/>
      <w:r w:rsidRPr="000C307D">
        <w:rPr>
          <w:rFonts w:eastAsia="Aptos" w:cs="Times New Roman"/>
          <w:i/>
          <w:iCs/>
          <w:kern w:val="2"/>
          <w:lang w:val="en-GB"/>
          <w14:ligatures w14:val="standardContextual"/>
        </w:rPr>
        <w:t>Pazarlama</w:t>
      </w:r>
      <w:proofErr w:type="spellEnd"/>
      <w:r w:rsidRPr="000C307D">
        <w:rPr>
          <w:rFonts w:eastAsia="Aptos" w:cs="Times New Roman"/>
          <w:i/>
          <w:iCs/>
          <w:kern w:val="2"/>
          <w:lang w:val="en-GB"/>
          <w14:ligatures w14:val="standardContextual"/>
        </w:rPr>
        <w:t xml:space="preserve"> </w:t>
      </w:r>
      <w:proofErr w:type="spellStart"/>
      <w:r w:rsidRPr="000C307D">
        <w:rPr>
          <w:rFonts w:eastAsia="Aptos" w:cs="Times New Roman"/>
          <w:i/>
          <w:iCs/>
          <w:kern w:val="2"/>
          <w:lang w:val="en-GB"/>
          <w14:ligatures w14:val="standardContextual"/>
        </w:rPr>
        <w:t>Araştırmaları</w:t>
      </w:r>
      <w:proofErr w:type="spellEnd"/>
      <w:r w:rsidRPr="000C307D">
        <w:rPr>
          <w:rFonts w:eastAsia="Aptos" w:cs="Times New Roman"/>
          <w:i/>
          <w:iCs/>
          <w:kern w:val="2"/>
          <w:lang w:val="en-GB"/>
          <w14:ligatures w14:val="standardContextual"/>
        </w:rPr>
        <w:t xml:space="preserve"> </w:t>
      </w:r>
      <w:proofErr w:type="spellStart"/>
      <w:r w:rsidRPr="000C307D">
        <w:rPr>
          <w:rFonts w:eastAsia="Aptos" w:cs="Times New Roman"/>
          <w:i/>
          <w:iCs/>
          <w:kern w:val="2"/>
          <w:lang w:val="en-GB"/>
          <w14:ligatures w14:val="standardContextual"/>
        </w:rPr>
        <w:t>Dergisi</w:t>
      </w:r>
      <w:proofErr w:type="spellEnd"/>
      <w:r w:rsidRPr="000C307D">
        <w:rPr>
          <w:rFonts w:eastAsia="Aptos" w:cs="Times New Roman"/>
          <w:kern w:val="2"/>
          <w:lang w:val="en-GB"/>
          <w14:ligatures w14:val="standardContextual"/>
        </w:rPr>
        <w:t>, </w:t>
      </w:r>
      <w:r w:rsidRPr="000C307D">
        <w:rPr>
          <w:rFonts w:eastAsia="Aptos" w:cs="Times New Roman"/>
          <w:i/>
          <w:iCs/>
          <w:kern w:val="2"/>
          <w:lang w:val="en-GB"/>
          <w14:ligatures w14:val="standardContextual"/>
        </w:rPr>
        <w:t>16</w:t>
      </w:r>
      <w:r w:rsidRPr="000C307D">
        <w:rPr>
          <w:rFonts w:eastAsia="Aptos" w:cs="Times New Roman"/>
          <w:kern w:val="2"/>
          <w:lang w:val="en-GB"/>
          <w14:ligatures w14:val="standardContextual"/>
        </w:rPr>
        <w:t xml:space="preserve">(2), pp.381-402. Available at: </w:t>
      </w:r>
      <w:hyperlink r:id="rId98" w:history="1">
        <w:r w:rsidRPr="000C307D">
          <w:rPr>
            <w:rFonts w:eastAsia="Aptos" w:cs="Times New Roman"/>
            <w:color w:val="0563C1"/>
            <w:kern w:val="2"/>
            <w:u w:val="single"/>
            <w:lang w:val="en-GB"/>
            <w14:ligatures w14:val="standardContextual"/>
          </w:rPr>
          <w:t>https://dergipark.org.tr/en/download/article-file/2941307</w:t>
        </w:r>
      </w:hyperlink>
      <w:r w:rsidRPr="000C307D">
        <w:rPr>
          <w:rFonts w:eastAsia="Aptos" w:cs="Times New Roman"/>
          <w:kern w:val="2"/>
          <w:lang w:val="en-GB"/>
          <w14:ligatures w14:val="standardContextual"/>
        </w:rPr>
        <w:t>.</w:t>
      </w:r>
    </w:p>
    <w:p w14:paraId="492920C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Schober, P. and Boer, C. (2018). </w:t>
      </w:r>
      <w:r w:rsidRPr="000C307D">
        <w:rPr>
          <w:rFonts w:eastAsia="Aptos" w:cs="Times New Roman"/>
          <w:i/>
          <w:iCs/>
          <w:kern w:val="2"/>
          <w:lang w:val="en-GB"/>
          <w14:ligatures w14:val="standardContextual"/>
        </w:rPr>
        <w:t>Correlation Coefficients: Appropriate Use and Interpretation</w:t>
      </w:r>
      <w:r w:rsidRPr="000C307D">
        <w:rPr>
          <w:rFonts w:eastAsia="Aptos" w:cs="Times New Roman"/>
          <w:kern w:val="2"/>
          <w:lang w:val="en-GB"/>
          <w14:ligatures w14:val="standardContextual"/>
        </w:rPr>
        <w:t>. </w:t>
      </w:r>
      <w:r w:rsidRPr="000C307D">
        <w:rPr>
          <w:rFonts w:eastAsia="Aptos" w:cs="Times New Roman"/>
          <w:i/>
          <w:iCs/>
          <w:kern w:val="2"/>
          <w:lang w:val="en-GB"/>
          <w14:ligatures w14:val="standardContextual"/>
        </w:rPr>
        <w:t>ResearchGate</w:t>
      </w:r>
      <w:r w:rsidRPr="000C307D">
        <w:rPr>
          <w:rFonts w:eastAsia="Aptos" w:cs="Times New Roman"/>
          <w:kern w:val="2"/>
          <w:lang w:val="en-GB"/>
          <w14:ligatures w14:val="standardContextual"/>
        </w:rPr>
        <w:t xml:space="preserve">. Available at: </w:t>
      </w:r>
      <w:hyperlink r:id="rId99" w:history="1">
        <w:r w:rsidRPr="000C307D">
          <w:rPr>
            <w:rFonts w:eastAsia="Aptos" w:cs="Times New Roman"/>
            <w:color w:val="0563C1"/>
            <w:kern w:val="2"/>
            <w:u w:val="single"/>
            <w:lang w:val="en-GB"/>
            <w14:ligatures w14:val="standardContextual"/>
          </w:rPr>
          <w:t>https://www.researchgate.net/publication/323388613_Correlation_Coefficients_Appropriate_Use_and_Interpretation</w:t>
        </w:r>
      </w:hyperlink>
      <w:r w:rsidRPr="000C307D">
        <w:rPr>
          <w:rFonts w:eastAsia="Aptos" w:cs="Times New Roman"/>
          <w:kern w:val="2"/>
          <w:lang w:val="en-GB"/>
          <w14:ligatures w14:val="standardContextual"/>
        </w:rPr>
        <w:t>.</w:t>
      </w:r>
    </w:p>
    <w:p w14:paraId="49DA9D6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Sheikh, M.A., Bajwa, F., Aslam, M.J. and Mir, B. (2024). Survey research: Descriptive and analytical power, types and usages. International Journal of Politics &amp; Social Sciences Review (IJPSSR), [online] 3(3), pp.231–239. Available at: </w:t>
      </w:r>
      <w:hyperlink r:id="rId100" w:history="1">
        <w:r w:rsidRPr="000C307D">
          <w:rPr>
            <w:rFonts w:eastAsia="Aptos" w:cs="Times New Roman"/>
            <w:color w:val="0563C1"/>
            <w:kern w:val="2"/>
            <w:u w:val="single"/>
            <w:lang w:val="en-GB"/>
            <w14:ligatures w14:val="standardContextual"/>
          </w:rPr>
          <w:t>https://www.researchgate.net/publication/385828054_Survey_Research_Descriptive_and_Analytical_Power_Types_and_Usages</w:t>
        </w:r>
      </w:hyperlink>
      <w:r w:rsidRPr="000C307D">
        <w:rPr>
          <w:rFonts w:eastAsia="Aptos" w:cs="Times New Roman"/>
          <w:kern w:val="2"/>
          <w:lang w:val="en-GB"/>
          <w14:ligatures w14:val="standardContextual"/>
        </w:rPr>
        <w:t xml:space="preserve"> [Accessed 20 Aug. 2026].</w:t>
      </w:r>
    </w:p>
    <w:p w14:paraId="62D5339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Shin, H., Eastman, J. and Li, Y. (2021). Is it love or just like? Generation Z’s brand relationship with luxury. </w:t>
      </w:r>
      <w:r w:rsidRPr="000C307D">
        <w:rPr>
          <w:rFonts w:eastAsia="Aptos" w:cs="Times New Roman"/>
          <w:i/>
          <w:iCs/>
          <w:kern w:val="2"/>
          <w:lang w:val="en-GB"/>
          <w14:ligatures w14:val="standardContextual"/>
        </w:rPr>
        <w:t>Journal of Product &amp; Brand Management</w:t>
      </w:r>
      <w:r w:rsidRPr="000C307D">
        <w:rPr>
          <w:rFonts w:eastAsia="Aptos" w:cs="Times New Roman"/>
          <w:kern w:val="2"/>
          <w:lang w:val="en-GB"/>
          <w14:ligatures w14:val="standardContextual"/>
        </w:rPr>
        <w:t xml:space="preserve">, [online] 31(3), pp.394–414. Available at: </w:t>
      </w:r>
      <w:hyperlink r:id="rId101" w:history="1">
        <w:r w:rsidRPr="000C307D">
          <w:rPr>
            <w:rFonts w:eastAsia="Aptos" w:cs="Times New Roman"/>
            <w:color w:val="0563C1"/>
            <w:kern w:val="2"/>
            <w:u w:val="single"/>
            <w:lang w:val="en-GB"/>
            <w14:ligatures w14:val="standardContextual"/>
          </w:rPr>
          <w:t>https://www.researchgate.net/profile/Hyunju-Shin/publication/352293800_Is_it_love_or_just_like_Generation_Z's_brand_relationship_with_luxury/links/62410e4057084c718b705b5f/Is-it-love-or-just-like-Generation-Zs-brand-relationship-with-luxury.pdf</w:t>
        </w:r>
      </w:hyperlink>
      <w:r w:rsidRPr="000C307D">
        <w:rPr>
          <w:rFonts w:eastAsia="Aptos" w:cs="Times New Roman"/>
          <w:kern w:val="2"/>
          <w:lang w:val="en-GB"/>
          <w14:ligatures w14:val="standardContextual"/>
        </w:rPr>
        <w:t>.</w:t>
      </w:r>
    </w:p>
    <w:p w14:paraId="2829D48B"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Simonin, B.L. and Ruth, J.A. (1998). Is a company known by the company it keeps? Assessing the spillover effects of brand alliances on consumer brand attitudes. </w:t>
      </w:r>
      <w:r w:rsidRPr="000C307D">
        <w:rPr>
          <w:rFonts w:eastAsia="Aptos" w:cs="Times New Roman"/>
          <w:i/>
          <w:iCs/>
          <w:kern w:val="2"/>
          <w:lang w:val="en-GB"/>
          <w14:ligatures w14:val="standardContextual"/>
        </w:rPr>
        <w:t>Journal of Marketing Research</w:t>
      </w:r>
      <w:r w:rsidRPr="000C307D">
        <w:rPr>
          <w:rFonts w:eastAsia="Aptos" w:cs="Times New Roman"/>
          <w:kern w:val="2"/>
          <w:lang w:val="en-GB"/>
          <w14:ligatures w14:val="standardContextual"/>
        </w:rPr>
        <w:t xml:space="preserve">, 35(1), pp.30–42. Available at: </w:t>
      </w:r>
      <w:hyperlink r:id="rId102" w:history="1">
        <w:r w:rsidRPr="000C307D">
          <w:rPr>
            <w:rFonts w:eastAsia="Aptos" w:cs="Times New Roman"/>
            <w:color w:val="0563C1"/>
            <w:kern w:val="2"/>
            <w:u w:val="single"/>
            <w:lang w:val="en-GB"/>
            <w14:ligatures w14:val="standardContextual"/>
          </w:rPr>
          <w:t>https://www.researchgate.net/profile/Julie-</w:t>
        </w:r>
        <w:r w:rsidRPr="000C307D">
          <w:rPr>
            <w:rFonts w:eastAsia="Aptos" w:cs="Times New Roman"/>
            <w:color w:val="0563C1"/>
            <w:kern w:val="2"/>
            <w:u w:val="single"/>
            <w:lang w:val="en-GB"/>
            <w14:ligatures w14:val="standardContextual"/>
          </w:rPr>
          <w:lastRenderedPageBreak/>
          <w:t>Ruth/publication/236980531_Is_a_Company_Known_by_the_Company_It_Keeps_Assessing_the_Spillover_Effects_of_Brand_Alliances_on_Consumer_Brand_Attitudes/links/00b4951e9342abf343000000/Is-a-Company-Known-by-the-Company-It-Keeps-Assessing-the-Spillover-Effects-of-Brand-Alliances-on-Consumer-Brand-Attitudes.pdf</w:t>
        </w:r>
      </w:hyperlink>
      <w:r w:rsidRPr="000C307D">
        <w:rPr>
          <w:rFonts w:eastAsia="Aptos" w:cs="Times New Roman"/>
          <w:kern w:val="2"/>
          <w:lang w:val="en-GB"/>
          <w14:ligatures w14:val="standardContextual"/>
        </w:rPr>
        <w:t>.</w:t>
      </w:r>
    </w:p>
    <w:p w14:paraId="67CBAF6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Smith, R.K. and Du, K. (2026). Authenticity as fact or feeling: A dual</w:t>
      </w:r>
      <w:r w:rsidRPr="000C307D">
        <w:rPr>
          <w:rFonts w:ascii="Cambria Math" w:eastAsia="Aptos" w:hAnsi="Cambria Math" w:cs="Cambria Math"/>
          <w:kern w:val="2"/>
          <w:lang w:val="en-GB"/>
          <w14:ligatures w14:val="standardContextual"/>
        </w:rPr>
        <w:t>‐</w:t>
      </w:r>
      <w:r w:rsidRPr="000C307D">
        <w:rPr>
          <w:rFonts w:eastAsia="Aptos" w:cs="Times New Roman"/>
          <w:kern w:val="2"/>
          <w:lang w:val="en-GB"/>
          <w14:ligatures w14:val="standardContextual"/>
        </w:rPr>
        <w:t xml:space="preserve">process framework of consumer authenticity judgments. </w:t>
      </w:r>
      <w:r w:rsidRPr="000C307D">
        <w:rPr>
          <w:rFonts w:eastAsia="Aptos" w:cs="Times New Roman"/>
          <w:i/>
          <w:iCs/>
          <w:kern w:val="2"/>
          <w:lang w:val="en-GB"/>
          <w14:ligatures w14:val="standardContextual"/>
        </w:rPr>
        <w:t>Journal of Consumer Psychology</w:t>
      </w:r>
      <w:r w:rsidRPr="000C307D">
        <w:rPr>
          <w:rFonts w:eastAsia="Aptos" w:cs="Times New Roman"/>
          <w:kern w:val="2"/>
          <w:lang w:val="en-GB"/>
          <w14:ligatures w14:val="standardContextual"/>
        </w:rPr>
        <w:t xml:space="preserve">, 36(3), pp.380–398. Available at: </w:t>
      </w:r>
      <w:hyperlink r:id="rId103" w:history="1">
        <w:r w:rsidRPr="000C307D">
          <w:rPr>
            <w:rFonts w:eastAsia="Aptos" w:cs="Times New Roman"/>
            <w:color w:val="0563C1"/>
            <w:kern w:val="2"/>
            <w:u w:val="single"/>
            <w:lang w:val="en-GB"/>
            <w14:ligatures w14:val="standardContextual"/>
          </w:rPr>
          <w:t>https://myscp.onlinelibrary.wiley.com/doi/pdf/10.1002/jcpy.70030</w:t>
        </w:r>
      </w:hyperlink>
      <w:r w:rsidRPr="000C307D">
        <w:rPr>
          <w:rFonts w:eastAsia="Aptos" w:cs="Times New Roman"/>
          <w:kern w:val="2"/>
          <w:lang w:val="en-GB"/>
          <w14:ligatures w14:val="standardContextual"/>
        </w:rPr>
        <w:t>.</w:t>
      </w:r>
    </w:p>
    <w:p w14:paraId="0C1543F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Södergren, J. (2021). Brand authenticity: 25 Years of research. </w:t>
      </w:r>
      <w:r w:rsidRPr="000C307D">
        <w:rPr>
          <w:rFonts w:eastAsia="Aptos" w:cs="Times New Roman"/>
          <w:i/>
          <w:iCs/>
          <w:kern w:val="2"/>
          <w:lang w:val="en-GB"/>
          <w14:ligatures w14:val="standardContextual"/>
        </w:rPr>
        <w:t>International Journal of Consumer Studies</w:t>
      </w:r>
      <w:r w:rsidRPr="000C307D">
        <w:rPr>
          <w:rFonts w:eastAsia="Aptos" w:cs="Times New Roman"/>
          <w:kern w:val="2"/>
          <w:lang w:val="en-GB"/>
          <w14:ligatures w14:val="standardContextual"/>
        </w:rPr>
        <w:t xml:space="preserve">, [online] 45(4), pp.645–663. Available at: </w:t>
      </w:r>
      <w:hyperlink r:id="rId104" w:history="1">
        <w:r w:rsidRPr="000C307D">
          <w:rPr>
            <w:rFonts w:eastAsia="Aptos" w:cs="Times New Roman"/>
            <w:color w:val="0563C1"/>
            <w:kern w:val="2"/>
            <w:u w:val="single"/>
            <w:lang w:val="en-GB"/>
            <w14:ligatures w14:val="standardContextual"/>
          </w:rPr>
          <w:t>https://onlinelibrary.wiley.com/doi/full/10.1111/ijcs.12651</w:t>
        </w:r>
      </w:hyperlink>
      <w:r w:rsidRPr="000C307D">
        <w:rPr>
          <w:rFonts w:eastAsia="Aptos" w:cs="Times New Roman"/>
          <w:kern w:val="2"/>
          <w:lang w:val="en-GB"/>
          <w14:ligatures w14:val="standardContextual"/>
        </w:rPr>
        <w:t xml:space="preserve"> [Accessed 11 Aug. 2026].</w:t>
      </w:r>
    </w:p>
    <w:p w14:paraId="26DCEEA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sv-SE"/>
          <w14:ligatures w14:val="standardContextual"/>
        </w:rPr>
        <w:t xml:space="preserve">Srivastava, R., Gupta, P., Kumar, H. and Tuli, N. (2023). </w:t>
      </w:r>
      <w:r w:rsidRPr="000C307D">
        <w:rPr>
          <w:rFonts w:eastAsia="Aptos" w:cs="Times New Roman"/>
          <w:kern w:val="2"/>
          <w:lang w:val="en-GB"/>
          <w14:ligatures w14:val="standardContextual"/>
        </w:rPr>
        <w:t xml:space="preserve">Digital customer engagement: A systematic literature review and research agenda. </w:t>
      </w:r>
      <w:r w:rsidRPr="000C307D">
        <w:rPr>
          <w:rFonts w:eastAsia="Aptos" w:cs="Times New Roman"/>
          <w:i/>
          <w:iCs/>
          <w:kern w:val="2"/>
          <w:lang w:val="en-GB"/>
          <w14:ligatures w14:val="standardContextual"/>
        </w:rPr>
        <w:t>Australian Journal of Management</w:t>
      </w:r>
      <w:r w:rsidRPr="000C307D">
        <w:rPr>
          <w:rFonts w:eastAsia="Aptos" w:cs="Times New Roman"/>
          <w:kern w:val="2"/>
          <w:lang w:val="en-GB"/>
          <w14:ligatures w14:val="standardContextual"/>
        </w:rPr>
        <w:t xml:space="preserve">, 50(1), pp.031289622311770–031289622311770. Available at: </w:t>
      </w:r>
      <w:hyperlink r:id="rId105" w:history="1">
        <w:r w:rsidRPr="000C307D">
          <w:rPr>
            <w:rFonts w:eastAsia="Aptos" w:cs="Times New Roman"/>
            <w:color w:val="0563C1"/>
            <w:kern w:val="2"/>
            <w:u w:val="single"/>
            <w:lang w:val="en-GB"/>
            <w14:ligatures w14:val="standardContextual"/>
          </w:rPr>
          <w:t>https://journals.sagepub.com/doi/pdf/10.1177/03128962231177096</w:t>
        </w:r>
      </w:hyperlink>
      <w:r w:rsidRPr="000C307D">
        <w:rPr>
          <w:rFonts w:eastAsia="Aptos" w:cs="Times New Roman"/>
          <w:kern w:val="2"/>
          <w:lang w:val="en-GB"/>
          <w14:ligatures w14:val="standardContextual"/>
        </w:rPr>
        <w:t>.</w:t>
      </w:r>
    </w:p>
    <w:p w14:paraId="04BCAF60" w14:textId="77777777" w:rsidR="000C307D" w:rsidRPr="000C307D" w:rsidRDefault="000C307D" w:rsidP="000C307D">
      <w:pPr>
        <w:spacing w:after="160"/>
        <w:rPr>
          <w:rFonts w:eastAsia="Aptos" w:cs="Times New Roman"/>
          <w:kern w:val="2"/>
          <w:lang w:val="en-GB"/>
          <w14:ligatures w14:val="standardContextual"/>
        </w:rPr>
      </w:pPr>
      <w:proofErr w:type="spellStart"/>
      <w:r w:rsidRPr="000C307D">
        <w:rPr>
          <w:rFonts w:eastAsia="Aptos" w:cs="Times New Roman"/>
          <w:kern w:val="2"/>
          <w:lang w:val="en-GB"/>
          <w14:ligatures w14:val="standardContextual"/>
        </w:rPr>
        <w:t>Stollfub</w:t>
      </w:r>
      <w:proofErr w:type="spellEnd"/>
      <w:r w:rsidRPr="000C307D">
        <w:rPr>
          <w:rFonts w:eastAsia="Aptos" w:cs="Times New Roman"/>
          <w:kern w:val="2"/>
          <w:lang w:val="en-GB"/>
          <w14:ligatures w14:val="standardContextual"/>
        </w:rPr>
        <w:t xml:space="preserve">, S. (2020). </w:t>
      </w:r>
      <w:proofErr w:type="spellStart"/>
      <w:r w:rsidRPr="000C307D">
        <w:rPr>
          <w:rFonts w:eastAsia="Aptos" w:cs="Times New Roman"/>
          <w:kern w:val="2"/>
          <w:lang w:val="en-GB"/>
          <w14:ligatures w14:val="standardContextual"/>
        </w:rPr>
        <w:t>Communitainment</w:t>
      </w:r>
      <w:proofErr w:type="spellEnd"/>
      <w:r w:rsidRPr="000C307D">
        <w:rPr>
          <w:rFonts w:eastAsia="Aptos" w:cs="Times New Roman"/>
          <w:kern w:val="2"/>
          <w:lang w:val="en-GB"/>
          <w14:ligatures w14:val="standardContextual"/>
        </w:rPr>
        <w:t xml:space="preserve"> on </w:t>
      </w:r>
      <w:proofErr w:type="spellStart"/>
      <w:r w:rsidRPr="000C307D">
        <w:rPr>
          <w:rFonts w:eastAsia="Aptos" w:cs="Times New Roman"/>
          <w:kern w:val="2"/>
          <w:lang w:val="en-GB"/>
          <w14:ligatures w14:val="standardContextual"/>
        </w:rPr>
        <w:t>instagram</w:t>
      </w:r>
      <w:proofErr w:type="spellEnd"/>
      <w:r w:rsidRPr="000C307D">
        <w:rPr>
          <w:rFonts w:eastAsia="Aptos" w:cs="Times New Roman"/>
          <w:kern w:val="2"/>
          <w:lang w:val="en-GB"/>
          <w14:ligatures w14:val="standardContextual"/>
        </w:rPr>
        <w:t xml:space="preserve">: Fitness content and community-driven communication as social media entertainment. </w:t>
      </w:r>
      <w:r w:rsidRPr="000C307D">
        <w:rPr>
          <w:rFonts w:eastAsia="Aptos" w:cs="Times New Roman"/>
          <w:i/>
          <w:iCs/>
          <w:kern w:val="2"/>
          <w:lang w:val="en-GB"/>
          <w14:ligatures w14:val="standardContextual"/>
        </w:rPr>
        <w:t>SAGE Open</w:t>
      </w:r>
      <w:r w:rsidRPr="000C307D">
        <w:rPr>
          <w:rFonts w:eastAsia="Aptos" w:cs="Times New Roman"/>
          <w:kern w:val="2"/>
          <w:lang w:val="en-GB"/>
          <w14:ligatures w14:val="standardContextual"/>
        </w:rPr>
        <w:t xml:space="preserve">, 10(2), p.215824402091953. Available at: </w:t>
      </w:r>
      <w:hyperlink r:id="rId106" w:history="1">
        <w:r w:rsidRPr="000C307D">
          <w:rPr>
            <w:rFonts w:eastAsia="Aptos" w:cs="Times New Roman"/>
            <w:color w:val="0563C1"/>
            <w:kern w:val="2"/>
            <w:u w:val="single"/>
            <w:lang w:val="en-GB"/>
            <w14:ligatures w14:val="standardContextual"/>
          </w:rPr>
          <w:t>https://journals.sagepub.com/doi/pdf/10.1177/2158244020919535</w:t>
        </w:r>
      </w:hyperlink>
      <w:r w:rsidRPr="000C307D">
        <w:rPr>
          <w:rFonts w:eastAsia="Aptos" w:cs="Times New Roman"/>
          <w:kern w:val="2"/>
          <w:lang w:val="en-GB"/>
          <w14:ligatures w14:val="standardContextual"/>
        </w:rPr>
        <w:t>.</w:t>
      </w:r>
    </w:p>
    <w:p w14:paraId="55A0B18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Sun, H., Dai, Y.-Y., Jeon, S.-S., Lee, R., Wang, H., Shi, X., Sun, L. and Wang, Y. (2024). The impact of brand authenticity on brand attachment, brand loyalty, willingness to pay more, and forgiveness - for Chinese consumers of Korean cosmetic brands -. </w:t>
      </w:r>
      <w:proofErr w:type="spellStart"/>
      <w:r w:rsidRPr="000C307D">
        <w:rPr>
          <w:rFonts w:eastAsia="Aptos" w:cs="Times New Roman"/>
          <w:i/>
          <w:iCs/>
          <w:kern w:val="2"/>
          <w:lang w:val="en-GB"/>
          <w14:ligatures w14:val="standardContextual"/>
        </w:rPr>
        <w:t>Heliyon</w:t>
      </w:r>
      <w:proofErr w:type="spellEnd"/>
      <w:r w:rsidRPr="000C307D">
        <w:rPr>
          <w:rFonts w:eastAsia="Aptos" w:cs="Times New Roman"/>
          <w:kern w:val="2"/>
          <w:lang w:val="en-GB"/>
          <w14:ligatures w14:val="standardContextual"/>
        </w:rPr>
        <w:t xml:space="preserve">, [online] 10(16), </w:t>
      </w:r>
      <w:proofErr w:type="gramStart"/>
      <w:r w:rsidRPr="000C307D">
        <w:rPr>
          <w:rFonts w:eastAsia="Aptos" w:cs="Times New Roman"/>
          <w:kern w:val="2"/>
          <w:lang w:val="en-GB"/>
          <w14:ligatures w14:val="standardContextual"/>
        </w:rPr>
        <w:t>pp.e</w:t>
      </w:r>
      <w:proofErr w:type="gramEnd"/>
      <w:r w:rsidRPr="000C307D">
        <w:rPr>
          <w:rFonts w:eastAsia="Aptos" w:cs="Times New Roman"/>
          <w:kern w:val="2"/>
          <w:lang w:val="en-GB"/>
          <w14:ligatures w14:val="standardContextual"/>
        </w:rPr>
        <w:t xml:space="preserve">36030-e36030. Available at: </w:t>
      </w:r>
      <w:hyperlink r:id="rId107" w:history="1">
        <w:r w:rsidRPr="000C307D">
          <w:rPr>
            <w:rFonts w:eastAsia="Aptos" w:cs="Times New Roman"/>
            <w:color w:val="0563C1"/>
            <w:kern w:val="2"/>
            <w:u w:val="single"/>
            <w:lang w:val="en-GB"/>
            <w14:ligatures w14:val="standardContextual"/>
          </w:rPr>
          <w:t>https://www.cell.com/heliyon/pdf/S2405-8440(24)12061-0.pdf</w:t>
        </w:r>
      </w:hyperlink>
      <w:r w:rsidRPr="000C307D">
        <w:rPr>
          <w:rFonts w:eastAsia="Aptos" w:cs="Times New Roman"/>
          <w:kern w:val="2"/>
          <w:lang w:val="en-GB"/>
          <w14:ligatures w14:val="standardContextual"/>
        </w:rPr>
        <w:t>.</w:t>
      </w:r>
    </w:p>
    <w:p w14:paraId="10C70546" w14:textId="77777777" w:rsidR="000C307D" w:rsidRPr="000C307D" w:rsidRDefault="000C307D" w:rsidP="000C307D">
      <w:pPr>
        <w:spacing w:after="160"/>
        <w:rPr>
          <w:rFonts w:eastAsia="Aptos" w:cs="Times New Roman"/>
          <w:kern w:val="2"/>
          <w:lang/>
          <w14:ligatures w14:val="standardContextual"/>
        </w:rPr>
      </w:pPr>
      <w:r w:rsidRPr="000C307D">
        <w:rPr>
          <w:rFonts w:eastAsia="Aptos" w:cs="Times New Roman"/>
          <w:kern w:val="2"/>
          <w:lang/>
          <w14:ligatures w14:val="standardContextual"/>
        </w:rPr>
        <w:t xml:space="preserve">Seabrook, J.A. (2025). Powering Nutrition Research: Practical strategies for sample size in multiple regression. </w:t>
      </w:r>
      <w:r w:rsidRPr="000C307D">
        <w:rPr>
          <w:rFonts w:eastAsia="Aptos" w:cs="Times New Roman"/>
          <w:i/>
          <w:iCs/>
          <w:kern w:val="2"/>
          <w:lang/>
          <w14:ligatures w14:val="standardContextual"/>
        </w:rPr>
        <w:t>Nutrients</w:t>
      </w:r>
      <w:r w:rsidRPr="000C307D">
        <w:rPr>
          <w:rFonts w:eastAsia="Aptos" w:cs="Times New Roman"/>
          <w:kern w:val="2"/>
          <w:lang/>
          <w14:ligatures w14:val="standardContextual"/>
        </w:rPr>
        <w:t xml:space="preserve">, [online] 17(16), pp.2668–2668. doi: </w:t>
      </w:r>
      <w:hyperlink r:id="rId108" w:history="1">
        <w:r w:rsidRPr="000C307D">
          <w:rPr>
            <w:rFonts w:eastAsia="Aptos" w:cs="Times New Roman"/>
            <w:color w:val="0563C1"/>
            <w:kern w:val="2"/>
            <w:u w:val="single"/>
            <w:lang/>
            <w14:ligatures w14:val="standardContextual"/>
          </w:rPr>
          <w:t>https://pubmed.ncbi.nlm.nih.gov/40871696/</w:t>
        </w:r>
      </w:hyperlink>
      <w:r w:rsidRPr="000C307D">
        <w:rPr>
          <w:rFonts w:eastAsia="Aptos" w:cs="Times New Roman"/>
          <w:kern w:val="2"/>
          <w:lang/>
          <w14:ligatures w14:val="standardContextual"/>
        </w:rPr>
        <w:t xml:space="preserve"> </w:t>
      </w:r>
    </w:p>
    <w:p w14:paraId="3E220C9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Sun, Y., Wang, X., Zhang, C. and Zuo, M. (2023). </w:t>
      </w:r>
      <w:r w:rsidRPr="000C307D">
        <w:rPr>
          <w:rFonts w:eastAsia="Aptos" w:cs="Times New Roman"/>
          <w:i/>
          <w:iCs/>
          <w:kern w:val="2"/>
          <w:lang w:val="en-GB"/>
          <w14:ligatures w14:val="standardContextual"/>
        </w:rPr>
        <w:t>Multiple Regression: Methodology and Applications</w:t>
      </w:r>
      <w:r w:rsidRPr="000C307D">
        <w:rPr>
          <w:rFonts w:eastAsia="Aptos" w:cs="Times New Roman"/>
          <w:kern w:val="2"/>
          <w:lang w:val="en-GB"/>
          <w14:ligatures w14:val="standardContextual"/>
        </w:rPr>
        <w:t xml:space="preserve">. Highlights in Science, Engineering and Technology.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109" w:history="1">
        <w:r w:rsidRPr="000C307D">
          <w:rPr>
            <w:rFonts w:eastAsia="Aptos" w:cs="Times New Roman"/>
            <w:color w:val="0563C1"/>
            <w:kern w:val="2"/>
            <w:u w:val="single"/>
            <w:lang w:val="en-GB"/>
            <w14:ligatures w14:val="standardContextual"/>
          </w:rPr>
          <w:t>https://www.researchgate.net/publication/371140605_Multiple_Regression_Methodology_and_Applications</w:t>
        </w:r>
      </w:hyperlink>
      <w:r w:rsidRPr="000C307D">
        <w:rPr>
          <w:rFonts w:eastAsia="Aptos" w:cs="Times New Roman"/>
          <w:kern w:val="2"/>
          <w:lang w:val="en-GB"/>
          <w14:ligatures w14:val="standardContextual"/>
        </w:rPr>
        <w:t xml:space="preserve"> </w:t>
      </w:r>
    </w:p>
    <w:p w14:paraId="3B4B007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Taris, T.W., Kessler, S.R. and Kelloway, E.K. (2021). </w:t>
      </w:r>
      <w:r w:rsidRPr="000C307D">
        <w:rPr>
          <w:rFonts w:eastAsia="Aptos" w:cs="Times New Roman"/>
          <w:i/>
          <w:iCs/>
          <w:kern w:val="2"/>
          <w:lang w:val="en-GB"/>
          <w14:ligatures w14:val="standardContextual"/>
        </w:rPr>
        <w:t>Strategies addressing the limitations of cross-sectional designs in occupational health psychology: What they are good for (and what not)</w:t>
      </w:r>
      <w:r w:rsidRPr="000C307D">
        <w:rPr>
          <w:rFonts w:eastAsia="Aptos" w:cs="Times New Roman"/>
          <w:kern w:val="2"/>
          <w:lang w:val="en-GB"/>
          <w14:ligatures w14:val="standardContextual"/>
        </w:rPr>
        <w:t xml:space="preserve">. [online] Work &amp; Stress.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110" w:history="1">
        <w:r w:rsidRPr="000C307D">
          <w:rPr>
            <w:rFonts w:eastAsia="Aptos" w:cs="Times New Roman"/>
            <w:color w:val="0563C1"/>
            <w:kern w:val="2"/>
            <w:u w:val="single"/>
            <w:lang w:val="en-GB"/>
            <w14:ligatures w14:val="standardContextual"/>
          </w:rPr>
          <w:t>https://www.tandfonline.com/doi/full/10.1080/02678373.2021.1888561</w:t>
        </w:r>
      </w:hyperlink>
    </w:p>
    <w:p w14:paraId="475D7A65"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Thomas, D. and Zubkov, P. (2023). </w:t>
      </w:r>
      <w:r w:rsidRPr="000C307D">
        <w:rPr>
          <w:rFonts w:eastAsia="Aptos" w:cs="Times New Roman"/>
          <w:i/>
          <w:iCs/>
          <w:kern w:val="2"/>
          <w:lang w:val="en-GB"/>
          <w14:ligatures w14:val="standardContextual"/>
        </w:rPr>
        <w:t>Quantitative Research Designs</w:t>
      </w:r>
      <w:r w:rsidRPr="000C307D">
        <w:rPr>
          <w:rFonts w:eastAsia="Aptos" w:cs="Times New Roman"/>
          <w:kern w:val="2"/>
          <w:lang w:val="en-GB"/>
          <w14:ligatures w14:val="standardContextual"/>
        </w:rPr>
        <w:t xml:space="preserve">. [online] Available at: </w:t>
      </w:r>
      <w:hyperlink r:id="rId111" w:history="1">
        <w:r w:rsidRPr="000C307D">
          <w:rPr>
            <w:rFonts w:eastAsia="Aptos" w:cs="Times New Roman"/>
            <w:color w:val="0563C1"/>
            <w:kern w:val="2"/>
            <w:u w:val="single"/>
            <w:lang w:val="en-GB"/>
            <w14:ligatures w14:val="standardContextual"/>
          </w:rPr>
          <w:t>https://www.researchgate.net/profile/Darrin-Thomas/publication/370630979_Quantitative_Research_Designs/links/645a8b0c2edb8e5f094afcfe/Quantitative-Research-Designs.pdf</w:t>
        </w:r>
      </w:hyperlink>
      <w:r w:rsidRPr="000C307D">
        <w:rPr>
          <w:rFonts w:eastAsia="Aptos" w:cs="Times New Roman"/>
          <w:kern w:val="2"/>
          <w:lang w:val="en-GB"/>
          <w14:ligatures w14:val="standardContextual"/>
        </w:rPr>
        <w:t xml:space="preserve">. </w:t>
      </w:r>
    </w:p>
    <w:p w14:paraId="682D522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Wang, X. and Cheng, Z. (2020). Cross-Sectional Studies. </w:t>
      </w:r>
      <w:r w:rsidRPr="000C307D">
        <w:rPr>
          <w:rFonts w:eastAsia="Aptos" w:cs="Times New Roman"/>
          <w:i/>
          <w:iCs/>
          <w:kern w:val="2"/>
          <w:lang w:val="en-GB"/>
          <w14:ligatures w14:val="standardContextual"/>
        </w:rPr>
        <w:t>Chest</w:t>
      </w:r>
      <w:r w:rsidRPr="000C307D">
        <w:rPr>
          <w:rFonts w:eastAsia="Aptos" w:cs="Times New Roman"/>
          <w:kern w:val="2"/>
          <w:lang w:val="en-GB"/>
          <w14:ligatures w14:val="standardContextual"/>
        </w:rPr>
        <w:t xml:space="preserve">, [online] 158(1), pp. S65-S71. </w:t>
      </w:r>
      <w:proofErr w:type="spellStart"/>
      <w:r w:rsidRPr="000C307D">
        <w:rPr>
          <w:rFonts w:eastAsia="Aptos" w:cs="Times New Roman"/>
          <w:kern w:val="2"/>
          <w:lang w:val="en-GB"/>
          <w14:ligatures w14:val="standardContextual"/>
        </w:rPr>
        <w:t>doi</w:t>
      </w:r>
      <w:proofErr w:type="spellEnd"/>
      <w:r w:rsidRPr="000C307D">
        <w:rPr>
          <w:rFonts w:eastAsia="Aptos" w:cs="Times New Roman"/>
          <w:kern w:val="2"/>
          <w:lang w:val="en-GB"/>
          <w14:ligatures w14:val="standardContextual"/>
        </w:rPr>
        <w:t xml:space="preserve">: </w:t>
      </w:r>
      <w:hyperlink r:id="rId112" w:history="1">
        <w:r w:rsidRPr="000C307D">
          <w:rPr>
            <w:rFonts w:eastAsia="Aptos" w:cs="Times New Roman"/>
            <w:color w:val="0563C1"/>
            <w:kern w:val="2"/>
            <w:u w:val="single"/>
            <w:lang w:val="en-GB"/>
            <w14:ligatures w14:val="standardContextual"/>
          </w:rPr>
          <w:t>https://journal.chestnet.org/article/S0012-3692(20)30462-1/fulltext</w:t>
        </w:r>
      </w:hyperlink>
      <w:r w:rsidRPr="000C307D">
        <w:rPr>
          <w:rFonts w:eastAsia="Aptos" w:cs="Times New Roman"/>
          <w:kern w:val="2"/>
          <w:lang w:val="en-GB"/>
          <w14:ligatures w14:val="standardContextual"/>
        </w:rPr>
        <w:t xml:space="preserve"> </w:t>
      </w:r>
    </w:p>
    <w:p w14:paraId="2DB482D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Xi, X., Yang, J., Jiao, K., Wang, S. and Lu, T. (2022). “We buy what we </w:t>
      </w:r>
      <w:proofErr w:type="spellStart"/>
      <w:r w:rsidRPr="000C307D">
        <w:rPr>
          <w:rFonts w:eastAsia="Aptos" w:cs="Times New Roman"/>
          <w:kern w:val="2"/>
          <w:lang w:val="en-GB"/>
          <w14:ligatures w14:val="standardContextual"/>
        </w:rPr>
        <w:t>wanna</w:t>
      </w:r>
      <w:proofErr w:type="spellEnd"/>
      <w:r w:rsidRPr="000C307D">
        <w:rPr>
          <w:rFonts w:eastAsia="Aptos" w:cs="Times New Roman"/>
          <w:kern w:val="2"/>
          <w:lang w:val="en-GB"/>
          <w14:ligatures w14:val="standardContextual"/>
        </w:rPr>
        <w:t xml:space="preserve"> be”: Understanding the effect of brand identity driven by consumer perceived value in the luxury sector. </w:t>
      </w:r>
      <w:r w:rsidRPr="000C307D">
        <w:rPr>
          <w:rFonts w:eastAsia="Aptos" w:cs="Times New Roman"/>
          <w:i/>
          <w:iCs/>
          <w:kern w:val="2"/>
          <w:lang w:val="en-GB"/>
          <w14:ligatures w14:val="standardContextual"/>
        </w:rPr>
        <w:t>Frontiers in Psychology</w:t>
      </w:r>
      <w:r w:rsidRPr="000C307D">
        <w:rPr>
          <w:rFonts w:eastAsia="Aptos" w:cs="Times New Roman"/>
          <w:kern w:val="2"/>
          <w:lang w:val="en-GB"/>
          <w14:ligatures w14:val="standardContextual"/>
        </w:rPr>
        <w:t xml:space="preserve">, [online] 13(1002275), pp.1–15. Available at: </w:t>
      </w:r>
      <w:hyperlink r:id="rId113" w:history="1">
        <w:r w:rsidRPr="000C307D">
          <w:rPr>
            <w:rFonts w:eastAsia="Aptos" w:cs="Times New Roman"/>
            <w:color w:val="0563C1"/>
            <w:kern w:val="2"/>
            <w:u w:val="single"/>
            <w:lang w:val="en-GB"/>
            <w14:ligatures w14:val="standardContextual"/>
          </w:rPr>
          <w:t>https://www.frontiersin.org/journals/psychology/articles/10.3389/fpsyg.2022.1002275/pdf</w:t>
        </w:r>
      </w:hyperlink>
    </w:p>
    <w:p w14:paraId="010D786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Zheng, R., Zhen, S., Cai, A., Li, S. and Liu, H. (2025). Anime tourists traveling to Japan: Pilgrimage </w:t>
      </w:r>
      <w:proofErr w:type="spellStart"/>
      <w:r w:rsidRPr="000C307D">
        <w:rPr>
          <w:rFonts w:eastAsia="Aptos" w:cs="Times New Roman"/>
          <w:kern w:val="2"/>
          <w:lang w:val="en-GB"/>
          <w14:ligatures w14:val="standardContextual"/>
        </w:rPr>
        <w:t>behaviors</w:t>
      </w:r>
      <w:proofErr w:type="spellEnd"/>
      <w:r w:rsidRPr="000C307D">
        <w:rPr>
          <w:rFonts w:eastAsia="Aptos" w:cs="Times New Roman"/>
          <w:kern w:val="2"/>
          <w:lang w:val="en-GB"/>
          <w14:ligatures w14:val="standardContextual"/>
        </w:rPr>
        <w:t xml:space="preserve"> patterns and the formation of homologous emotions. </w:t>
      </w:r>
      <w:r w:rsidRPr="000C307D">
        <w:rPr>
          <w:rFonts w:eastAsia="Aptos" w:cs="Times New Roman"/>
          <w:i/>
          <w:iCs/>
          <w:kern w:val="2"/>
          <w:lang w:val="en-GB"/>
          <w14:ligatures w14:val="standardContextual"/>
        </w:rPr>
        <w:t>Frontiers in Psychology</w:t>
      </w:r>
      <w:r w:rsidRPr="000C307D">
        <w:rPr>
          <w:rFonts w:eastAsia="Aptos" w:cs="Times New Roman"/>
          <w:kern w:val="2"/>
          <w:lang w:val="en-GB"/>
          <w14:ligatures w14:val="standardContextual"/>
        </w:rPr>
        <w:t xml:space="preserve">, 16. Available at: </w:t>
      </w:r>
      <w:hyperlink r:id="rId114" w:history="1">
        <w:r w:rsidRPr="000C307D">
          <w:rPr>
            <w:rFonts w:eastAsia="Aptos" w:cs="Times New Roman"/>
            <w:color w:val="0563C1"/>
            <w:kern w:val="2"/>
            <w:u w:val="single"/>
            <w:lang w:val="en-GB"/>
            <w14:ligatures w14:val="standardContextual"/>
          </w:rPr>
          <w:t>https://www.frontiersin.org/journals/psychology/articles/10.3389/fpsyg.2025.1637114/pdf</w:t>
        </w:r>
      </w:hyperlink>
      <w:r w:rsidRPr="000C307D">
        <w:rPr>
          <w:rFonts w:eastAsia="Aptos" w:cs="Times New Roman"/>
          <w:kern w:val="2"/>
          <w:lang w:val="en-GB"/>
          <w14:ligatures w14:val="standardContextual"/>
        </w:rPr>
        <w:t>.</w:t>
      </w:r>
    </w:p>
    <w:p w14:paraId="7CD10DF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kern w:val="2"/>
          <w:lang w:val="en-GB"/>
          <w14:ligatures w14:val="standardContextual"/>
        </w:rPr>
        <w:t xml:space="preserve">Zhou, C. and Luo, J. (2026). Digital neo-tribal formations and identity construction among generation Z: A cyber-ethnographic analysis of China’s cotton dolls circle subculture. </w:t>
      </w:r>
      <w:r w:rsidRPr="000C307D">
        <w:rPr>
          <w:rFonts w:eastAsia="Aptos" w:cs="Times New Roman"/>
          <w:i/>
          <w:iCs/>
          <w:kern w:val="2"/>
          <w:lang w:val="en-GB"/>
          <w14:ligatures w14:val="standardContextual"/>
        </w:rPr>
        <w:t>Journal of Consumer Culture</w:t>
      </w:r>
      <w:r w:rsidRPr="000C307D">
        <w:rPr>
          <w:rFonts w:eastAsia="Aptos" w:cs="Times New Roman"/>
          <w:kern w:val="2"/>
          <w:lang w:val="en-GB"/>
          <w14:ligatures w14:val="standardContextual"/>
        </w:rPr>
        <w:t xml:space="preserve">, 26(3), pp.308–327. Available at: </w:t>
      </w:r>
      <w:hyperlink r:id="rId115" w:history="1">
        <w:r w:rsidRPr="000C307D">
          <w:rPr>
            <w:rFonts w:eastAsia="Aptos" w:cs="Times New Roman"/>
            <w:color w:val="0563C1"/>
            <w:kern w:val="2"/>
            <w:u w:val="single"/>
            <w:lang w:val="en-GB"/>
            <w14:ligatures w14:val="standardContextual"/>
          </w:rPr>
          <w:t>https://journals.sagepub.com/doi/abs/10.1177/14695405261436266</w:t>
        </w:r>
      </w:hyperlink>
      <w:r w:rsidRPr="000C307D">
        <w:rPr>
          <w:rFonts w:eastAsia="Aptos" w:cs="Times New Roman"/>
          <w:kern w:val="2"/>
          <w:lang w:val="en-GB"/>
          <w14:ligatures w14:val="standardContextual"/>
        </w:rPr>
        <w:t>.</w:t>
      </w:r>
    </w:p>
    <w:p w14:paraId="7B128570" w14:textId="77777777" w:rsidR="000C307D" w:rsidRPr="000C307D" w:rsidRDefault="000C307D" w:rsidP="000C307D">
      <w:pPr>
        <w:spacing w:after="160"/>
        <w:rPr>
          <w:rFonts w:eastAsia="Aptos" w:cs="Times New Roman"/>
          <w:kern w:val="2"/>
          <w:lang w:val="en-GB"/>
          <w14:ligatures w14:val="standardContextual"/>
        </w:rPr>
      </w:pPr>
    </w:p>
    <w:p w14:paraId="1096200A" w14:textId="77777777" w:rsidR="000C307D" w:rsidRPr="000C307D" w:rsidRDefault="000C307D" w:rsidP="000C307D">
      <w:pPr>
        <w:spacing w:after="160"/>
        <w:rPr>
          <w:rFonts w:eastAsia="Aptos" w:cs="Times New Roman"/>
          <w:kern w:val="2"/>
          <w:lang w:val="en-GB"/>
          <w14:ligatures w14:val="standardContextual"/>
        </w:rPr>
      </w:pPr>
    </w:p>
    <w:p w14:paraId="6A57C6F8" w14:textId="77777777" w:rsidR="000C307D" w:rsidRPr="000C307D" w:rsidRDefault="000C307D" w:rsidP="000C307D">
      <w:pPr>
        <w:spacing w:after="160"/>
        <w:rPr>
          <w:rFonts w:eastAsia="Aptos" w:cs="Times New Roman"/>
          <w:kern w:val="2"/>
          <w:lang w:val="en-GB"/>
          <w14:ligatures w14:val="standardContextual"/>
        </w:rPr>
      </w:pPr>
    </w:p>
    <w:p w14:paraId="4478FFCB" w14:textId="77777777" w:rsidR="000C307D" w:rsidRPr="000C307D" w:rsidRDefault="000C307D" w:rsidP="000C307D">
      <w:pPr>
        <w:spacing w:after="160"/>
        <w:rPr>
          <w:rFonts w:eastAsia="Aptos" w:cs="Times New Roman"/>
          <w:kern w:val="2"/>
          <w:lang w:val="en-GB"/>
          <w14:ligatures w14:val="standardContextual"/>
        </w:rPr>
      </w:pPr>
    </w:p>
    <w:p w14:paraId="70F9F791" w14:textId="77777777" w:rsidR="000C307D" w:rsidRPr="000C307D" w:rsidRDefault="000C307D" w:rsidP="000C307D">
      <w:pPr>
        <w:keepNext/>
        <w:keepLines/>
        <w:spacing w:before="360" w:after="80"/>
        <w:ind w:left="432" w:hanging="432"/>
        <w:outlineLvl w:val="0"/>
        <w:rPr>
          <w:rFonts w:eastAsia="Times New Roman" w:cs="Times New Roman"/>
          <w:b/>
          <w:color w:val="000000"/>
          <w:kern w:val="2"/>
          <w:sz w:val="32"/>
          <w:szCs w:val="40"/>
          <w:lang w:val="en-GB"/>
          <w14:ligatures w14:val="standardContextual"/>
        </w:rPr>
      </w:pPr>
      <w:bookmarkStart w:id="126" w:name="_Toc241176430"/>
      <w:r w:rsidRPr="000C307D">
        <w:rPr>
          <w:rFonts w:eastAsia="Times New Roman" w:cs="Times New Roman"/>
          <w:b/>
          <w:color w:val="000000"/>
          <w:kern w:val="2"/>
          <w:sz w:val="32"/>
          <w:szCs w:val="40"/>
          <w:lang w:val="en-GB"/>
          <w14:ligatures w14:val="standardContextual"/>
        </w:rPr>
        <w:t>Appendices</w:t>
      </w:r>
      <w:bookmarkEnd w:id="126"/>
    </w:p>
    <w:p w14:paraId="409B7A4D"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7" w:name="_Toc241176431"/>
      <w:r w:rsidRPr="000C307D">
        <w:rPr>
          <w:rFonts w:eastAsia="Times New Roman" w:cs="Times New Roman"/>
          <w:b/>
          <w:color w:val="000000"/>
          <w:kern w:val="2"/>
          <w:sz w:val="28"/>
          <w:szCs w:val="32"/>
          <w:lang w:val="en-GB"/>
          <w14:ligatures w14:val="standardContextual"/>
        </w:rPr>
        <w:t>Appendix A: Survey Link</w:t>
      </w:r>
      <w:bookmarkEnd w:id="127"/>
    </w:p>
    <w:p w14:paraId="27AFA2EE" w14:textId="77777777" w:rsidR="000C307D" w:rsidRPr="000C307D" w:rsidRDefault="000C307D" w:rsidP="000C307D">
      <w:pPr>
        <w:spacing w:after="160"/>
        <w:rPr>
          <w:rFonts w:eastAsia="Aptos" w:cs="Times New Roman"/>
          <w:kern w:val="2"/>
          <w:lang w:val="en-GB"/>
          <w14:ligatures w14:val="standardContextual"/>
        </w:rPr>
      </w:pPr>
      <w:hyperlink r:id="rId116" w:history="1">
        <w:r w:rsidRPr="000C307D">
          <w:rPr>
            <w:rFonts w:eastAsia="Aptos" w:cs="Times New Roman"/>
            <w:color w:val="0563C1"/>
            <w:kern w:val="2"/>
            <w:u w:val="single"/>
            <w:lang w:val="en-GB"/>
            <w14:ligatures w14:val="standardContextual"/>
          </w:rPr>
          <w:t>https://forms.gle/AfEirvL4GrgZmF7eA</w:t>
        </w:r>
      </w:hyperlink>
      <w:r w:rsidRPr="000C307D">
        <w:rPr>
          <w:rFonts w:eastAsia="Aptos" w:cs="Times New Roman"/>
          <w:kern w:val="2"/>
          <w:lang w:val="en-GB"/>
          <w14:ligatures w14:val="standardContextual"/>
        </w:rPr>
        <w:t xml:space="preserve"> </w:t>
      </w:r>
    </w:p>
    <w:p w14:paraId="180A5ED4"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8" w:name="_Toc241176432"/>
      <w:r w:rsidRPr="000C307D">
        <w:rPr>
          <w:rFonts w:eastAsia="Times New Roman" w:cs="Times New Roman"/>
          <w:b/>
          <w:color w:val="000000"/>
          <w:kern w:val="2"/>
          <w:sz w:val="28"/>
          <w:szCs w:val="32"/>
          <w:lang w:val="en-GB"/>
          <w14:ligatures w14:val="standardContextual"/>
        </w:rPr>
        <w:t>Appendix B: Raw Data</w:t>
      </w:r>
      <w:bookmarkEnd w:id="128"/>
    </w:p>
    <w:p w14:paraId="60E4A0BD"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6E3602C0" wp14:editId="29147E28">
            <wp:extent cx="5943600" cy="2966720"/>
            <wp:effectExtent l="0" t="0" r="0" b="5080"/>
            <wp:docPr id="1157675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75900" name=""/>
                    <pic:cNvPicPr/>
                  </pic:nvPicPr>
                  <pic:blipFill>
                    <a:blip r:embed="rId117"/>
                    <a:stretch>
                      <a:fillRect/>
                    </a:stretch>
                  </pic:blipFill>
                  <pic:spPr>
                    <a:xfrm>
                      <a:off x="0" y="0"/>
                      <a:ext cx="5943600" cy="2966720"/>
                    </a:xfrm>
                    <a:prstGeom prst="rect">
                      <a:avLst/>
                    </a:prstGeom>
                  </pic:spPr>
                </pic:pic>
              </a:graphicData>
            </a:graphic>
          </wp:inline>
        </w:drawing>
      </w:r>
    </w:p>
    <w:p w14:paraId="3DF75591"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29" w:name="_Toc241176433"/>
      <w:r w:rsidRPr="000C307D">
        <w:rPr>
          <w:rFonts w:eastAsia="Times New Roman" w:cs="Times New Roman"/>
          <w:b/>
          <w:color w:val="000000"/>
          <w:kern w:val="2"/>
          <w:sz w:val="28"/>
          <w:szCs w:val="32"/>
          <w:lang w:val="en-GB"/>
          <w14:ligatures w14:val="standardContextual"/>
        </w:rPr>
        <w:lastRenderedPageBreak/>
        <w:t>Appendix C: SPSS Analysis</w:t>
      </w:r>
      <w:bookmarkEnd w:id="129"/>
    </w:p>
    <w:p w14:paraId="549A6C86"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1238887F" wp14:editId="1DD919F3">
            <wp:extent cx="5943600" cy="3089910"/>
            <wp:effectExtent l="0" t="0" r="0" b="0"/>
            <wp:docPr id="93269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90203" name=""/>
                    <pic:cNvPicPr/>
                  </pic:nvPicPr>
                  <pic:blipFill>
                    <a:blip r:embed="rId118"/>
                    <a:stretch>
                      <a:fillRect/>
                    </a:stretch>
                  </pic:blipFill>
                  <pic:spPr>
                    <a:xfrm>
                      <a:off x="0" y="0"/>
                      <a:ext cx="5943600" cy="3089910"/>
                    </a:xfrm>
                    <a:prstGeom prst="rect">
                      <a:avLst/>
                    </a:prstGeom>
                  </pic:spPr>
                </pic:pic>
              </a:graphicData>
            </a:graphic>
          </wp:inline>
        </w:drawing>
      </w:r>
    </w:p>
    <w:p w14:paraId="43422A25"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30" w:name="_Toc241176434"/>
      <w:r w:rsidRPr="000C307D">
        <w:rPr>
          <w:rFonts w:eastAsia="Times New Roman" w:cs="Times New Roman"/>
          <w:b/>
          <w:color w:val="000000"/>
          <w:kern w:val="2"/>
          <w:sz w:val="28"/>
          <w:szCs w:val="32"/>
          <w:lang w:val="en-GB"/>
          <w14:ligatures w14:val="standardContextual"/>
        </w:rPr>
        <w:lastRenderedPageBreak/>
        <w:t>Appendix D: Questionnaire</w:t>
      </w:r>
      <w:bookmarkEnd w:id="130"/>
      <w:r w:rsidRPr="000C307D">
        <w:rPr>
          <w:rFonts w:eastAsia="Times New Roman" w:cs="Times New Roman"/>
          <w:b/>
          <w:color w:val="000000"/>
          <w:kern w:val="2"/>
          <w:sz w:val="28"/>
          <w:szCs w:val="32"/>
          <w:lang w:val="en-GB"/>
          <w14:ligatures w14:val="standardContextual"/>
        </w:rPr>
        <w:t xml:space="preserve"> </w:t>
      </w:r>
    </w:p>
    <w:p w14:paraId="5C57A2A2"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2CC54064" wp14:editId="26441040">
            <wp:extent cx="4237087" cy="5380186"/>
            <wp:effectExtent l="0" t="0" r="0" b="0"/>
            <wp:docPr id="2003164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64917" name=""/>
                    <pic:cNvPicPr/>
                  </pic:nvPicPr>
                  <pic:blipFill>
                    <a:blip r:embed="rId119"/>
                    <a:stretch>
                      <a:fillRect/>
                    </a:stretch>
                  </pic:blipFill>
                  <pic:spPr>
                    <a:xfrm>
                      <a:off x="0" y="0"/>
                      <a:ext cx="4237087" cy="5380186"/>
                    </a:xfrm>
                    <a:prstGeom prst="rect">
                      <a:avLst/>
                    </a:prstGeom>
                  </pic:spPr>
                </pic:pic>
              </a:graphicData>
            </a:graphic>
          </wp:inline>
        </w:drawing>
      </w:r>
    </w:p>
    <w:p w14:paraId="29070ED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1C302B83" wp14:editId="7F020645">
            <wp:extent cx="4046571" cy="5235394"/>
            <wp:effectExtent l="0" t="0" r="0" b="3810"/>
            <wp:docPr id="639933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933693" name=""/>
                    <pic:cNvPicPr/>
                  </pic:nvPicPr>
                  <pic:blipFill>
                    <a:blip r:embed="rId120"/>
                    <a:stretch>
                      <a:fillRect/>
                    </a:stretch>
                  </pic:blipFill>
                  <pic:spPr>
                    <a:xfrm>
                      <a:off x="0" y="0"/>
                      <a:ext cx="4046571" cy="5235394"/>
                    </a:xfrm>
                    <a:prstGeom prst="rect">
                      <a:avLst/>
                    </a:prstGeom>
                  </pic:spPr>
                </pic:pic>
              </a:graphicData>
            </a:graphic>
          </wp:inline>
        </w:drawing>
      </w:r>
    </w:p>
    <w:p w14:paraId="0ED1673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0BB7826D" wp14:editId="1A133EBB">
            <wp:extent cx="4168501" cy="5258256"/>
            <wp:effectExtent l="0" t="0" r="3810" b="0"/>
            <wp:docPr id="1381364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64671" name=""/>
                    <pic:cNvPicPr/>
                  </pic:nvPicPr>
                  <pic:blipFill>
                    <a:blip r:embed="rId121"/>
                    <a:stretch>
                      <a:fillRect/>
                    </a:stretch>
                  </pic:blipFill>
                  <pic:spPr>
                    <a:xfrm>
                      <a:off x="0" y="0"/>
                      <a:ext cx="4168501" cy="5258256"/>
                    </a:xfrm>
                    <a:prstGeom prst="rect">
                      <a:avLst/>
                    </a:prstGeom>
                  </pic:spPr>
                </pic:pic>
              </a:graphicData>
            </a:graphic>
          </wp:inline>
        </w:drawing>
      </w:r>
    </w:p>
    <w:p w14:paraId="12705370"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6F5A4913" wp14:editId="75B24021">
            <wp:extent cx="4000847" cy="5387807"/>
            <wp:effectExtent l="0" t="0" r="0" b="3810"/>
            <wp:docPr id="1789074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074373" name=""/>
                    <pic:cNvPicPr/>
                  </pic:nvPicPr>
                  <pic:blipFill>
                    <a:blip r:embed="rId122"/>
                    <a:stretch>
                      <a:fillRect/>
                    </a:stretch>
                  </pic:blipFill>
                  <pic:spPr>
                    <a:xfrm>
                      <a:off x="0" y="0"/>
                      <a:ext cx="4000847" cy="5387807"/>
                    </a:xfrm>
                    <a:prstGeom prst="rect">
                      <a:avLst/>
                    </a:prstGeom>
                  </pic:spPr>
                </pic:pic>
              </a:graphicData>
            </a:graphic>
          </wp:inline>
        </w:drawing>
      </w:r>
    </w:p>
    <w:p w14:paraId="7A3DAF9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52533749" wp14:editId="5D7CCAC0">
            <wp:extent cx="4077053" cy="5189670"/>
            <wp:effectExtent l="0" t="0" r="0" b="0"/>
            <wp:docPr id="1639110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110461" name=""/>
                    <pic:cNvPicPr/>
                  </pic:nvPicPr>
                  <pic:blipFill>
                    <a:blip r:embed="rId123"/>
                    <a:stretch>
                      <a:fillRect/>
                    </a:stretch>
                  </pic:blipFill>
                  <pic:spPr>
                    <a:xfrm>
                      <a:off x="0" y="0"/>
                      <a:ext cx="4077053" cy="5189670"/>
                    </a:xfrm>
                    <a:prstGeom prst="rect">
                      <a:avLst/>
                    </a:prstGeom>
                  </pic:spPr>
                </pic:pic>
              </a:graphicData>
            </a:graphic>
          </wp:inline>
        </w:drawing>
      </w:r>
    </w:p>
    <w:p w14:paraId="2B867E77"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177B22C9" wp14:editId="69F2363C">
            <wp:extent cx="4237087" cy="5425910"/>
            <wp:effectExtent l="0" t="0" r="0" b="3810"/>
            <wp:docPr id="2008450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50229" name=""/>
                    <pic:cNvPicPr/>
                  </pic:nvPicPr>
                  <pic:blipFill>
                    <a:blip r:embed="rId124"/>
                    <a:stretch>
                      <a:fillRect/>
                    </a:stretch>
                  </pic:blipFill>
                  <pic:spPr>
                    <a:xfrm>
                      <a:off x="0" y="0"/>
                      <a:ext cx="4237087" cy="5425910"/>
                    </a:xfrm>
                    <a:prstGeom prst="rect">
                      <a:avLst/>
                    </a:prstGeom>
                  </pic:spPr>
                </pic:pic>
              </a:graphicData>
            </a:graphic>
          </wp:inline>
        </w:drawing>
      </w:r>
    </w:p>
    <w:p w14:paraId="61AE54B3"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0C178500" wp14:editId="7D56055F">
            <wp:extent cx="3977985" cy="5418290"/>
            <wp:effectExtent l="0" t="0" r="3810" b="0"/>
            <wp:docPr id="1571212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12313" name=""/>
                    <pic:cNvPicPr/>
                  </pic:nvPicPr>
                  <pic:blipFill>
                    <a:blip r:embed="rId125"/>
                    <a:stretch>
                      <a:fillRect/>
                    </a:stretch>
                  </pic:blipFill>
                  <pic:spPr>
                    <a:xfrm>
                      <a:off x="0" y="0"/>
                      <a:ext cx="3977985" cy="5418290"/>
                    </a:xfrm>
                    <a:prstGeom prst="rect">
                      <a:avLst/>
                    </a:prstGeom>
                  </pic:spPr>
                </pic:pic>
              </a:graphicData>
            </a:graphic>
          </wp:inline>
        </w:drawing>
      </w:r>
    </w:p>
    <w:p w14:paraId="77F43D14"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68190C70" wp14:editId="23FF1981">
            <wp:extent cx="4153260" cy="5029636"/>
            <wp:effectExtent l="0" t="0" r="0" b="0"/>
            <wp:docPr id="88384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84379" name=""/>
                    <pic:cNvPicPr/>
                  </pic:nvPicPr>
                  <pic:blipFill>
                    <a:blip r:embed="rId126"/>
                    <a:stretch>
                      <a:fillRect/>
                    </a:stretch>
                  </pic:blipFill>
                  <pic:spPr>
                    <a:xfrm>
                      <a:off x="0" y="0"/>
                      <a:ext cx="4153260" cy="5029636"/>
                    </a:xfrm>
                    <a:prstGeom prst="rect">
                      <a:avLst/>
                    </a:prstGeom>
                  </pic:spPr>
                </pic:pic>
              </a:graphicData>
            </a:graphic>
          </wp:inline>
        </w:drawing>
      </w:r>
    </w:p>
    <w:p w14:paraId="6FD8113D" w14:textId="77777777" w:rsidR="000C307D" w:rsidRPr="000C307D" w:rsidRDefault="000C307D" w:rsidP="000C307D">
      <w:pPr>
        <w:keepNext/>
        <w:keepLines/>
        <w:numPr>
          <w:ilvl w:val="1"/>
          <w:numId w:val="0"/>
        </w:numPr>
        <w:spacing w:before="160" w:after="80"/>
        <w:ind w:left="576" w:hanging="576"/>
        <w:outlineLvl w:val="1"/>
        <w:rPr>
          <w:rFonts w:eastAsia="Times New Roman" w:cs="Times New Roman"/>
          <w:b/>
          <w:color w:val="000000"/>
          <w:kern w:val="2"/>
          <w:sz w:val="28"/>
          <w:szCs w:val="32"/>
          <w:lang w:val="en-GB"/>
          <w14:ligatures w14:val="standardContextual"/>
        </w:rPr>
      </w:pPr>
      <w:bookmarkStart w:id="131" w:name="_Toc241176435"/>
      <w:r w:rsidRPr="000C307D">
        <w:rPr>
          <w:rFonts w:eastAsia="Times New Roman" w:cs="Times New Roman"/>
          <w:b/>
          <w:color w:val="000000"/>
          <w:kern w:val="2"/>
          <w:sz w:val="28"/>
          <w:szCs w:val="32"/>
          <w:lang w:val="en-GB"/>
          <w14:ligatures w14:val="standardContextual"/>
        </w:rPr>
        <w:lastRenderedPageBreak/>
        <w:t>Appendix E: Ethic Form</w:t>
      </w:r>
      <w:bookmarkEnd w:id="131"/>
    </w:p>
    <w:p w14:paraId="4F1A3D6E"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drawing>
          <wp:inline distT="0" distB="0" distL="0" distR="0" wp14:anchorId="0C822429" wp14:editId="77B1F881">
            <wp:extent cx="3619814" cy="5151566"/>
            <wp:effectExtent l="0" t="0" r="0" b="0"/>
            <wp:docPr id="1986925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925063" name=""/>
                    <pic:cNvPicPr/>
                  </pic:nvPicPr>
                  <pic:blipFill>
                    <a:blip r:embed="rId127"/>
                    <a:stretch>
                      <a:fillRect/>
                    </a:stretch>
                  </pic:blipFill>
                  <pic:spPr>
                    <a:xfrm>
                      <a:off x="0" y="0"/>
                      <a:ext cx="3619814" cy="5151566"/>
                    </a:xfrm>
                    <a:prstGeom prst="rect">
                      <a:avLst/>
                    </a:prstGeom>
                  </pic:spPr>
                </pic:pic>
              </a:graphicData>
            </a:graphic>
          </wp:inline>
        </w:drawing>
      </w:r>
    </w:p>
    <w:p w14:paraId="3CB390E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0197753D" wp14:editId="2A7948C1">
            <wp:extent cx="3619814" cy="5182049"/>
            <wp:effectExtent l="0" t="0" r="0" b="0"/>
            <wp:docPr id="1405252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52644" name=""/>
                    <pic:cNvPicPr/>
                  </pic:nvPicPr>
                  <pic:blipFill>
                    <a:blip r:embed="rId128"/>
                    <a:stretch>
                      <a:fillRect/>
                    </a:stretch>
                  </pic:blipFill>
                  <pic:spPr>
                    <a:xfrm>
                      <a:off x="0" y="0"/>
                      <a:ext cx="3619814" cy="5182049"/>
                    </a:xfrm>
                    <a:prstGeom prst="rect">
                      <a:avLst/>
                    </a:prstGeom>
                  </pic:spPr>
                </pic:pic>
              </a:graphicData>
            </a:graphic>
          </wp:inline>
        </w:drawing>
      </w:r>
    </w:p>
    <w:p w14:paraId="4FCBF0D9"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09E8D24F" wp14:editId="43D8D689">
            <wp:extent cx="3543607" cy="5159187"/>
            <wp:effectExtent l="0" t="0" r="0" b="3810"/>
            <wp:docPr id="368585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85937" name=""/>
                    <pic:cNvPicPr/>
                  </pic:nvPicPr>
                  <pic:blipFill>
                    <a:blip r:embed="rId129"/>
                    <a:stretch>
                      <a:fillRect/>
                    </a:stretch>
                  </pic:blipFill>
                  <pic:spPr>
                    <a:xfrm>
                      <a:off x="0" y="0"/>
                      <a:ext cx="3543607" cy="5159187"/>
                    </a:xfrm>
                    <a:prstGeom prst="rect">
                      <a:avLst/>
                    </a:prstGeom>
                  </pic:spPr>
                </pic:pic>
              </a:graphicData>
            </a:graphic>
          </wp:inline>
        </w:drawing>
      </w:r>
    </w:p>
    <w:p w14:paraId="5DE38E5F"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70AB1FF1" wp14:editId="6FF564B9">
            <wp:extent cx="3558848" cy="5273497"/>
            <wp:effectExtent l="0" t="0" r="3810" b="3810"/>
            <wp:docPr id="1619801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801933" name=""/>
                    <pic:cNvPicPr/>
                  </pic:nvPicPr>
                  <pic:blipFill>
                    <a:blip r:embed="rId130"/>
                    <a:stretch>
                      <a:fillRect/>
                    </a:stretch>
                  </pic:blipFill>
                  <pic:spPr>
                    <a:xfrm>
                      <a:off x="0" y="0"/>
                      <a:ext cx="3558848" cy="5273497"/>
                    </a:xfrm>
                    <a:prstGeom prst="rect">
                      <a:avLst/>
                    </a:prstGeom>
                  </pic:spPr>
                </pic:pic>
              </a:graphicData>
            </a:graphic>
          </wp:inline>
        </w:drawing>
      </w:r>
    </w:p>
    <w:p w14:paraId="7DD9AEAC"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3425F6EF" wp14:editId="2F7EEDB1">
            <wp:extent cx="3627434" cy="5166808"/>
            <wp:effectExtent l="0" t="0" r="0" b="0"/>
            <wp:docPr id="946522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522342" name=""/>
                    <pic:cNvPicPr/>
                  </pic:nvPicPr>
                  <pic:blipFill>
                    <a:blip r:embed="rId131"/>
                    <a:stretch>
                      <a:fillRect/>
                    </a:stretch>
                  </pic:blipFill>
                  <pic:spPr>
                    <a:xfrm>
                      <a:off x="0" y="0"/>
                      <a:ext cx="3627434" cy="5166808"/>
                    </a:xfrm>
                    <a:prstGeom prst="rect">
                      <a:avLst/>
                    </a:prstGeom>
                  </pic:spPr>
                </pic:pic>
              </a:graphicData>
            </a:graphic>
          </wp:inline>
        </w:drawing>
      </w:r>
    </w:p>
    <w:p w14:paraId="230EE65C" w14:textId="77777777" w:rsidR="000C307D" w:rsidRPr="000C307D" w:rsidRDefault="000C307D" w:rsidP="000C307D">
      <w:pPr>
        <w:spacing w:after="160"/>
        <w:rPr>
          <w:rFonts w:eastAsia="Aptos" w:cs="Times New Roman"/>
          <w:noProof/>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337161FD" wp14:editId="1FC8F3B7">
            <wp:extent cx="3596952" cy="5159187"/>
            <wp:effectExtent l="0" t="0" r="3810" b="3810"/>
            <wp:docPr id="120924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46294" name=""/>
                    <pic:cNvPicPr/>
                  </pic:nvPicPr>
                  <pic:blipFill>
                    <a:blip r:embed="rId132"/>
                    <a:stretch>
                      <a:fillRect/>
                    </a:stretch>
                  </pic:blipFill>
                  <pic:spPr>
                    <a:xfrm>
                      <a:off x="0" y="0"/>
                      <a:ext cx="3596952" cy="5159187"/>
                    </a:xfrm>
                    <a:prstGeom prst="rect">
                      <a:avLst/>
                    </a:prstGeom>
                  </pic:spPr>
                </pic:pic>
              </a:graphicData>
            </a:graphic>
          </wp:inline>
        </w:drawing>
      </w:r>
      <w:r w:rsidRPr="000C307D">
        <w:rPr>
          <w:rFonts w:eastAsia="Aptos" w:cs="Times New Roman"/>
          <w:noProof/>
          <w:kern w:val="2"/>
          <w:lang w:val="en-GB"/>
          <w14:ligatures w14:val="standardContextual"/>
        </w:rPr>
        <w:t xml:space="preserve"> </w:t>
      </w:r>
      <w:r w:rsidRPr="000C307D">
        <w:rPr>
          <w:rFonts w:eastAsia="Aptos" w:cs="Times New Roman"/>
          <w:noProof/>
          <w:kern w:val="2"/>
          <w:lang w:val="en-GB"/>
          <w14:ligatures w14:val="standardContextual"/>
        </w:rPr>
        <w:lastRenderedPageBreak/>
        <w:drawing>
          <wp:inline distT="0" distB="0" distL="0" distR="0" wp14:anchorId="7B3A6DEC" wp14:editId="0B97EAA7">
            <wp:extent cx="3596952" cy="5143946"/>
            <wp:effectExtent l="0" t="0" r="3810" b="0"/>
            <wp:docPr id="1163012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012994" name=""/>
                    <pic:cNvPicPr/>
                  </pic:nvPicPr>
                  <pic:blipFill>
                    <a:blip r:embed="rId133"/>
                    <a:stretch>
                      <a:fillRect/>
                    </a:stretch>
                  </pic:blipFill>
                  <pic:spPr>
                    <a:xfrm>
                      <a:off x="0" y="0"/>
                      <a:ext cx="3596952" cy="5143946"/>
                    </a:xfrm>
                    <a:prstGeom prst="rect">
                      <a:avLst/>
                    </a:prstGeom>
                  </pic:spPr>
                </pic:pic>
              </a:graphicData>
            </a:graphic>
          </wp:inline>
        </w:drawing>
      </w:r>
    </w:p>
    <w:p w14:paraId="0DA8243A"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5E11BC24" wp14:editId="696BA91C">
            <wp:extent cx="3558848" cy="5159187"/>
            <wp:effectExtent l="0" t="0" r="3810" b="3810"/>
            <wp:docPr id="963243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43924" name=""/>
                    <pic:cNvPicPr/>
                  </pic:nvPicPr>
                  <pic:blipFill>
                    <a:blip r:embed="rId134"/>
                    <a:stretch>
                      <a:fillRect/>
                    </a:stretch>
                  </pic:blipFill>
                  <pic:spPr>
                    <a:xfrm>
                      <a:off x="0" y="0"/>
                      <a:ext cx="3558848" cy="5159187"/>
                    </a:xfrm>
                    <a:prstGeom prst="rect">
                      <a:avLst/>
                    </a:prstGeom>
                  </pic:spPr>
                </pic:pic>
              </a:graphicData>
            </a:graphic>
          </wp:inline>
        </w:drawing>
      </w:r>
    </w:p>
    <w:p w14:paraId="06827F85"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624396EC" wp14:editId="5601D052">
            <wp:extent cx="3635055" cy="5235394"/>
            <wp:effectExtent l="0" t="0" r="3810" b="3810"/>
            <wp:docPr id="1602471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71941" name=""/>
                    <pic:cNvPicPr/>
                  </pic:nvPicPr>
                  <pic:blipFill>
                    <a:blip r:embed="rId135"/>
                    <a:stretch>
                      <a:fillRect/>
                    </a:stretch>
                  </pic:blipFill>
                  <pic:spPr>
                    <a:xfrm>
                      <a:off x="0" y="0"/>
                      <a:ext cx="3635055" cy="5235394"/>
                    </a:xfrm>
                    <a:prstGeom prst="rect">
                      <a:avLst/>
                    </a:prstGeom>
                  </pic:spPr>
                </pic:pic>
              </a:graphicData>
            </a:graphic>
          </wp:inline>
        </w:drawing>
      </w:r>
    </w:p>
    <w:p w14:paraId="5762B881" w14:textId="77777777" w:rsidR="000C307D" w:rsidRPr="000C307D" w:rsidRDefault="000C307D" w:rsidP="000C307D">
      <w:pPr>
        <w:spacing w:after="160"/>
        <w:rPr>
          <w:rFonts w:eastAsia="Aptos" w:cs="Times New Roman"/>
          <w:kern w:val="2"/>
          <w:lang w:val="en-GB"/>
          <w14:ligatures w14:val="standardContextual"/>
        </w:rPr>
      </w:pPr>
      <w:r w:rsidRPr="000C307D">
        <w:rPr>
          <w:rFonts w:eastAsia="Aptos" w:cs="Times New Roman"/>
          <w:noProof/>
          <w:kern w:val="2"/>
          <w:lang w:val="en-GB"/>
          <w14:ligatures w14:val="standardContextual"/>
        </w:rPr>
        <w:lastRenderedPageBreak/>
        <w:drawing>
          <wp:inline distT="0" distB="0" distL="0" distR="0" wp14:anchorId="1EA1CBE8" wp14:editId="40184F42">
            <wp:extent cx="3673158" cy="5204911"/>
            <wp:effectExtent l="0" t="0" r="3810" b="0"/>
            <wp:docPr id="2122860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60342" name=""/>
                    <pic:cNvPicPr/>
                  </pic:nvPicPr>
                  <pic:blipFill>
                    <a:blip r:embed="rId136"/>
                    <a:stretch>
                      <a:fillRect/>
                    </a:stretch>
                  </pic:blipFill>
                  <pic:spPr>
                    <a:xfrm>
                      <a:off x="0" y="0"/>
                      <a:ext cx="3673158" cy="5204911"/>
                    </a:xfrm>
                    <a:prstGeom prst="rect">
                      <a:avLst/>
                    </a:prstGeom>
                  </pic:spPr>
                </pic:pic>
              </a:graphicData>
            </a:graphic>
          </wp:inline>
        </w:drawing>
      </w:r>
    </w:p>
    <w:p w14:paraId="7F482A22" w14:textId="26F86CA6" w:rsidR="00051F31" w:rsidRPr="000158D6" w:rsidRDefault="00051F31" w:rsidP="000158D6"/>
    <w:sectPr w:rsidR="00051F31" w:rsidRPr="000158D6" w:rsidSect="0056169B">
      <w:footerReference w:type="default" r:id="rId13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832AF" w14:textId="77777777" w:rsidR="00900589" w:rsidRDefault="00900589">
      <w:pPr>
        <w:spacing w:after="0" w:line="240" w:lineRule="auto"/>
      </w:pPr>
      <w:r>
        <w:separator/>
      </w:r>
    </w:p>
  </w:endnote>
  <w:endnote w:type="continuationSeparator" w:id="0">
    <w:p w14:paraId="29A9354B" w14:textId="77777777" w:rsidR="00900589" w:rsidRDefault="00900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87993"/>
      <w:docPartObj>
        <w:docPartGallery w:val="Page Numbers (Bottom of Page)"/>
        <w:docPartUnique/>
      </w:docPartObj>
    </w:sdtPr>
    <w:sdtEndPr>
      <w:rPr>
        <w:noProof/>
      </w:rPr>
    </w:sdtEndPr>
    <w:sdtContent>
      <w:p w14:paraId="71CE4FB1" w14:textId="77777777" w:rsidR="000C307D" w:rsidRDefault="000C30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D42ABF" w14:textId="77777777" w:rsidR="000C307D" w:rsidRDefault="000C30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3477038"/>
      <w:docPartObj>
        <w:docPartGallery w:val="Page Numbers (Bottom of Page)"/>
        <w:docPartUnique/>
      </w:docPartObj>
    </w:sdtPr>
    <w:sdtEndPr>
      <w:rPr>
        <w:noProof/>
      </w:rPr>
    </w:sdtEndPr>
    <w:sdtContent>
      <w:p w14:paraId="3BBA0864" w14:textId="77777777" w:rsidR="0056169B" w:rsidRDefault="005616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E0B2ED" w14:textId="77777777" w:rsidR="0056169B" w:rsidRDefault="00561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1F73F" w14:textId="77777777" w:rsidR="00900589" w:rsidRDefault="00900589">
      <w:pPr>
        <w:spacing w:after="0" w:line="240" w:lineRule="auto"/>
      </w:pPr>
      <w:r>
        <w:separator/>
      </w:r>
    </w:p>
  </w:footnote>
  <w:footnote w:type="continuationSeparator" w:id="0">
    <w:p w14:paraId="5DC98E99" w14:textId="77777777" w:rsidR="00900589" w:rsidRDefault="009005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80EBF"/>
    <w:multiLevelType w:val="hybridMultilevel"/>
    <w:tmpl w:val="E522E39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600649E"/>
    <w:multiLevelType w:val="hybridMultilevel"/>
    <w:tmpl w:val="B4B29B7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41E6CD2"/>
    <w:multiLevelType w:val="hybridMultilevel"/>
    <w:tmpl w:val="0144E6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79E11FB"/>
    <w:multiLevelType w:val="hybridMultilevel"/>
    <w:tmpl w:val="F51CE7C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8D65576"/>
    <w:multiLevelType w:val="multilevel"/>
    <w:tmpl w:val="98C07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BE534C"/>
    <w:multiLevelType w:val="hybridMultilevel"/>
    <w:tmpl w:val="812C048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522221C6"/>
    <w:multiLevelType w:val="multilevel"/>
    <w:tmpl w:val="A2763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29577E"/>
    <w:multiLevelType w:val="hybridMultilevel"/>
    <w:tmpl w:val="94AE5FE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66BD2F6C"/>
    <w:multiLevelType w:val="multilevel"/>
    <w:tmpl w:val="03B20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C21D55"/>
    <w:multiLevelType w:val="multilevel"/>
    <w:tmpl w:val="1F0EC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CC03FB"/>
    <w:multiLevelType w:val="multilevel"/>
    <w:tmpl w:val="BA2A7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9128348">
    <w:abstractNumId w:val="1"/>
  </w:num>
  <w:num w:numId="2" w16cid:durableId="907769790">
    <w:abstractNumId w:val="0"/>
  </w:num>
  <w:num w:numId="3" w16cid:durableId="1885798710">
    <w:abstractNumId w:val="2"/>
  </w:num>
  <w:num w:numId="4" w16cid:durableId="1517844662">
    <w:abstractNumId w:val="5"/>
  </w:num>
  <w:num w:numId="5" w16cid:durableId="621427538">
    <w:abstractNumId w:val="10"/>
  </w:num>
  <w:num w:numId="6" w16cid:durableId="290137731">
    <w:abstractNumId w:val="3"/>
  </w:num>
  <w:num w:numId="7" w16cid:durableId="1610428320">
    <w:abstractNumId w:val="7"/>
  </w:num>
  <w:num w:numId="8" w16cid:durableId="1814758365">
    <w:abstractNumId w:val="4"/>
  </w:num>
  <w:num w:numId="9" w16cid:durableId="299309152">
    <w:abstractNumId w:val="8"/>
  </w:num>
  <w:num w:numId="10" w16cid:durableId="1659311040">
    <w:abstractNumId w:val="6"/>
  </w:num>
  <w:num w:numId="11" w16cid:durableId="1776996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DF7"/>
    <w:rsid w:val="000158D6"/>
    <w:rsid w:val="00026F09"/>
    <w:rsid w:val="00042969"/>
    <w:rsid w:val="00051F31"/>
    <w:rsid w:val="000572F4"/>
    <w:rsid w:val="000A64A5"/>
    <w:rsid w:val="000C2572"/>
    <w:rsid w:val="000C307D"/>
    <w:rsid w:val="000C51D1"/>
    <w:rsid w:val="000D3292"/>
    <w:rsid w:val="001167E3"/>
    <w:rsid w:val="001335CC"/>
    <w:rsid w:val="00133937"/>
    <w:rsid w:val="0013569F"/>
    <w:rsid w:val="00171888"/>
    <w:rsid w:val="00187A6E"/>
    <w:rsid w:val="001A4D89"/>
    <w:rsid w:val="001F2435"/>
    <w:rsid w:val="001F6089"/>
    <w:rsid w:val="002031A5"/>
    <w:rsid w:val="00207F48"/>
    <w:rsid w:val="002114A6"/>
    <w:rsid w:val="00216FEC"/>
    <w:rsid w:val="00236AD2"/>
    <w:rsid w:val="00272272"/>
    <w:rsid w:val="00280FB4"/>
    <w:rsid w:val="0029540F"/>
    <w:rsid w:val="00303D24"/>
    <w:rsid w:val="00390282"/>
    <w:rsid w:val="003C3DCE"/>
    <w:rsid w:val="003C4C22"/>
    <w:rsid w:val="004141E3"/>
    <w:rsid w:val="00444EF9"/>
    <w:rsid w:val="004A33F4"/>
    <w:rsid w:val="004C5222"/>
    <w:rsid w:val="00515652"/>
    <w:rsid w:val="00530857"/>
    <w:rsid w:val="00542846"/>
    <w:rsid w:val="0056169B"/>
    <w:rsid w:val="00577167"/>
    <w:rsid w:val="005A34C4"/>
    <w:rsid w:val="005B406A"/>
    <w:rsid w:val="005C20E2"/>
    <w:rsid w:val="005E38FC"/>
    <w:rsid w:val="00611114"/>
    <w:rsid w:val="00650173"/>
    <w:rsid w:val="00650F84"/>
    <w:rsid w:val="0065458E"/>
    <w:rsid w:val="006A2117"/>
    <w:rsid w:val="006A5C87"/>
    <w:rsid w:val="006A6469"/>
    <w:rsid w:val="007006E7"/>
    <w:rsid w:val="007022FA"/>
    <w:rsid w:val="00731E3A"/>
    <w:rsid w:val="007B69CC"/>
    <w:rsid w:val="007E4DBE"/>
    <w:rsid w:val="00831126"/>
    <w:rsid w:val="00840137"/>
    <w:rsid w:val="00852DF7"/>
    <w:rsid w:val="00897C51"/>
    <w:rsid w:val="008B2431"/>
    <w:rsid w:val="008F3EDE"/>
    <w:rsid w:val="00900589"/>
    <w:rsid w:val="00933CDE"/>
    <w:rsid w:val="009400A0"/>
    <w:rsid w:val="009578E3"/>
    <w:rsid w:val="0096615B"/>
    <w:rsid w:val="009A4239"/>
    <w:rsid w:val="009A6A8E"/>
    <w:rsid w:val="009B3CE9"/>
    <w:rsid w:val="009C7AE6"/>
    <w:rsid w:val="009D6AFA"/>
    <w:rsid w:val="009D77CC"/>
    <w:rsid w:val="009D7AA3"/>
    <w:rsid w:val="009F2249"/>
    <w:rsid w:val="009F25B2"/>
    <w:rsid w:val="00A175E1"/>
    <w:rsid w:val="00A63643"/>
    <w:rsid w:val="00AA6F68"/>
    <w:rsid w:val="00AB23CA"/>
    <w:rsid w:val="00AB742E"/>
    <w:rsid w:val="00AC7CF8"/>
    <w:rsid w:val="00AD3870"/>
    <w:rsid w:val="00B027E8"/>
    <w:rsid w:val="00B17B99"/>
    <w:rsid w:val="00B739ED"/>
    <w:rsid w:val="00B86212"/>
    <w:rsid w:val="00BD0F04"/>
    <w:rsid w:val="00BD756F"/>
    <w:rsid w:val="00BE2371"/>
    <w:rsid w:val="00C3140B"/>
    <w:rsid w:val="00C35CBA"/>
    <w:rsid w:val="00C44124"/>
    <w:rsid w:val="00C67070"/>
    <w:rsid w:val="00C940F4"/>
    <w:rsid w:val="00CA2F0E"/>
    <w:rsid w:val="00CB06A1"/>
    <w:rsid w:val="00CC07F0"/>
    <w:rsid w:val="00CC4757"/>
    <w:rsid w:val="00CF6862"/>
    <w:rsid w:val="00D03FFF"/>
    <w:rsid w:val="00D1519C"/>
    <w:rsid w:val="00D868E7"/>
    <w:rsid w:val="00DC2C1E"/>
    <w:rsid w:val="00DC47F5"/>
    <w:rsid w:val="00DC7A05"/>
    <w:rsid w:val="00DE2AED"/>
    <w:rsid w:val="00E21F1E"/>
    <w:rsid w:val="00E8417C"/>
    <w:rsid w:val="00EF46A2"/>
    <w:rsid w:val="00F51D65"/>
    <w:rsid w:val="00F63969"/>
    <w:rsid w:val="00F91094"/>
    <w:rsid w:val="024855A8"/>
    <w:rsid w:val="051E1C9A"/>
    <w:rsid w:val="0A199C46"/>
    <w:rsid w:val="6613E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C14C6"/>
  <w15:chartTrackingRefBased/>
  <w15:docId w15:val="{7E1F7757-9086-4DA2-BA07-64315DA01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643"/>
    <w:pPr>
      <w:spacing w:after="200" w:line="360" w:lineRule="auto"/>
      <w:jc w:val="both"/>
    </w:pPr>
    <w:rPr>
      <w:rFonts w:ascii="Arial" w:hAnsi="Arial"/>
      <w:kern w:val="0"/>
      <w:szCs w:val="22"/>
      <w:lang w:val="en-US"/>
      <w14:ligatures w14:val="none"/>
    </w:rPr>
  </w:style>
  <w:style w:type="paragraph" w:styleId="Heading1">
    <w:name w:val="heading 1"/>
    <w:basedOn w:val="Normal"/>
    <w:next w:val="Normal"/>
    <w:link w:val="Heading1Char"/>
    <w:uiPriority w:val="9"/>
    <w:qFormat/>
    <w:rsid w:val="00852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2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2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52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2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2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52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DF7"/>
    <w:rPr>
      <w:rFonts w:eastAsiaTheme="majorEastAsia" w:cstheme="majorBidi"/>
      <w:color w:val="272727" w:themeColor="text1" w:themeTint="D8"/>
    </w:rPr>
  </w:style>
  <w:style w:type="paragraph" w:styleId="Title">
    <w:name w:val="Title"/>
    <w:basedOn w:val="Normal"/>
    <w:next w:val="Normal"/>
    <w:link w:val="TitleChar"/>
    <w:uiPriority w:val="10"/>
    <w:qFormat/>
    <w:rsid w:val="00852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DF7"/>
    <w:pPr>
      <w:spacing w:before="160"/>
      <w:jc w:val="center"/>
    </w:pPr>
    <w:rPr>
      <w:i/>
      <w:iCs/>
      <w:color w:val="404040" w:themeColor="text1" w:themeTint="BF"/>
    </w:rPr>
  </w:style>
  <w:style w:type="character" w:customStyle="1" w:styleId="QuoteChar">
    <w:name w:val="Quote Char"/>
    <w:basedOn w:val="DefaultParagraphFont"/>
    <w:link w:val="Quote"/>
    <w:uiPriority w:val="29"/>
    <w:rsid w:val="00852DF7"/>
    <w:rPr>
      <w:i/>
      <w:iCs/>
      <w:color w:val="404040" w:themeColor="text1" w:themeTint="BF"/>
    </w:rPr>
  </w:style>
  <w:style w:type="paragraph" w:styleId="ListParagraph">
    <w:name w:val="List Paragraph"/>
    <w:basedOn w:val="Normal"/>
    <w:uiPriority w:val="34"/>
    <w:qFormat/>
    <w:rsid w:val="00852DF7"/>
    <w:pPr>
      <w:ind w:left="720"/>
      <w:contextualSpacing/>
    </w:pPr>
  </w:style>
  <w:style w:type="character" w:styleId="IntenseEmphasis">
    <w:name w:val="Intense Emphasis"/>
    <w:basedOn w:val="DefaultParagraphFont"/>
    <w:uiPriority w:val="21"/>
    <w:qFormat/>
    <w:rsid w:val="00852DF7"/>
    <w:rPr>
      <w:i/>
      <w:iCs/>
      <w:color w:val="0F4761" w:themeColor="accent1" w:themeShade="BF"/>
    </w:rPr>
  </w:style>
  <w:style w:type="paragraph" w:styleId="IntenseQuote">
    <w:name w:val="Intense Quote"/>
    <w:basedOn w:val="Normal"/>
    <w:next w:val="Normal"/>
    <w:link w:val="IntenseQuoteChar"/>
    <w:uiPriority w:val="30"/>
    <w:qFormat/>
    <w:rsid w:val="00852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DF7"/>
    <w:rPr>
      <w:i/>
      <w:iCs/>
      <w:color w:val="0F4761" w:themeColor="accent1" w:themeShade="BF"/>
    </w:rPr>
  </w:style>
  <w:style w:type="character" w:styleId="IntenseReference">
    <w:name w:val="Intense Reference"/>
    <w:basedOn w:val="DefaultParagraphFont"/>
    <w:uiPriority w:val="32"/>
    <w:qFormat/>
    <w:rsid w:val="00852DF7"/>
    <w:rPr>
      <w:b/>
      <w:bCs/>
      <w:smallCaps/>
      <w:color w:val="0F4761" w:themeColor="accent1" w:themeShade="BF"/>
      <w:spacing w:val="5"/>
    </w:rPr>
  </w:style>
  <w:style w:type="paragraph" w:styleId="NormalWeb">
    <w:name w:val="Normal (Web)"/>
    <w:basedOn w:val="Normal"/>
    <w:uiPriority w:val="99"/>
    <w:semiHidden/>
    <w:unhideWhenUsed/>
    <w:rsid w:val="00A63643"/>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A63643"/>
    <w:rPr>
      <w:color w:val="467886" w:themeColor="hyperlink"/>
      <w:u w:val="single"/>
    </w:rPr>
  </w:style>
  <w:style w:type="paragraph" w:styleId="Footer">
    <w:name w:val="footer"/>
    <w:basedOn w:val="Normal"/>
    <w:link w:val="FooterChar"/>
    <w:uiPriority w:val="99"/>
    <w:unhideWhenUsed/>
    <w:rsid w:val="0056169B"/>
    <w:pPr>
      <w:tabs>
        <w:tab w:val="center" w:pos="4680"/>
        <w:tab w:val="right" w:pos="9360"/>
      </w:tabs>
      <w:spacing w:after="0" w:line="240" w:lineRule="auto"/>
    </w:pPr>
    <w:rPr>
      <w:kern w:val="2"/>
      <w:lang w:val="en-GB"/>
      <w14:ligatures w14:val="standardContextual"/>
    </w:rPr>
  </w:style>
  <w:style w:type="character" w:customStyle="1" w:styleId="FooterChar">
    <w:name w:val="Footer Char"/>
    <w:basedOn w:val="DefaultParagraphFont"/>
    <w:link w:val="Footer"/>
    <w:uiPriority w:val="99"/>
    <w:rsid w:val="0056169B"/>
    <w:rPr>
      <w:rFonts w:ascii="Arial" w:hAnsi="Arial"/>
      <w:szCs w:val="22"/>
    </w:rPr>
  </w:style>
  <w:style w:type="paragraph" w:styleId="Caption">
    <w:name w:val="caption"/>
    <w:basedOn w:val="Normal"/>
    <w:next w:val="Normal"/>
    <w:uiPriority w:val="35"/>
    <w:unhideWhenUsed/>
    <w:qFormat/>
    <w:rsid w:val="0056169B"/>
    <w:pPr>
      <w:spacing w:line="240" w:lineRule="auto"/>
    </w:pPr>
    <w:rPr>
      <w:i/>
      <w:iCs/>
      <w:color w:val="0E2841" w:themeColor="text2"/>
      <w:kern w:val="2"/>
      <w:sz w:val="18"/>
      <w:szCs w:val="18"/>
      <w:lang w:val="en-GB"/>
      <w14:ligatures w14:val="standardContextual"/>
    </w:rPr>
  </w:style>
  <w:style w:type="table" w:styleId="TableGrid">
    <w:name w:val="Table Grid"/>
    <w:basedOn w:val="TableNormal"/>
    <w:uiPriority w:val="39"/>
    <w:rsid w:val="0056169B"/>
    <w:pPr>
      <w:spacing w:after="0" w:line="240" w:lineRule="auto"/>
    </w:pPr>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40137"/>
    <w:pPr>
      <w:spacing w:after="0" w:line="240" w:lineRule="auto"/>
    </w:pPr>
    <w:rPr>
      <w:rFonts w:ascii="Arial" w:hAnsi="Arial"/>
      <w:kern w:val="0"/>
      <w:szCs w:val="22"/>
      <w:lang w:val="en-US"/>
      <w14:ligatures w14:val="none"/>
    </w:rPr>
  </w:style>
  <w:style w:type="character" w:styleId="CommentReference">
    <w:name w:val="annotation reference"/>
    <w:basedOn w:val="DefaultParagraphFont"/>
    <w:uiPriority w:val="99"/>
    <w:semiHidden/>
    <w:unhideWhenUsed/>
    <w:rsid w:val="007022FA"/>
    <w:rPr>
      <w:sz w:val="16"/>
      <w:szCs w:val="16"/>
    </w:rPr>
  </w:style>
  <w:style w:type="paragraph" w:styleId="CommentText">
    <w:name w:val="annotation text"/>
    <w:basedOn w:val="Normal"/>
    <w:link w:val="CommentTextChar"/>
    <w:uiPriority w:val="99"/>
    <w:unhideWhenUsed/>
    <w:rsid w:val="007022FA"/>
    <w:pPr>
      <w:spacing w:line="240" w:lineRule="auto"/>
    </w:pPr>
    <w:rPr>
      <w:sz w:val="20"/>
      <w:szCs w:val="20"/>
    </w:rPr>
  </w:style>
  <w:style w:type="character" w:customStyle="1" w:styleId="CommentTextChar">
    <w:name w:val="Comment Text Char"/>
    <w:basedOn w:val="DefaultParagraphFont"/>
    <w:link w:val="CommentText"/>
    <w:uiPriority w:val="99"/>
    <w:rsid w:val="007022FA"/>
    <w:rPr>
      <w:rFonts w:ascii="Arial" w:hAnsi="Arial"/>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7022FA"/>
    <w:rPr>
      <w:b/>
      <w:bCs/>
    </w:rPr>
  </w:style>
  <w:style w:type="character" w:customStyle="1" w:styleId="CommentSubjectChar">
    <w:name w:val="Comment Subject Char"/>
    <w:basedOn w:val="CommentTextChar"/>
    <w:link w:val="CommentSubject"/>
    <w:uiPriority w:val="99"/>
    <w:semiHidden/>
    <w:rsid w:val="007022FA"/>
    <w:rPr>
      <w:rFonts w:ascii="Arial" w:hAnsi="Arial"/>
      <w:b/>
      <w:bCs/>
      <w:kern w:val="0"/>
      <w:sz w:val="20"/>
      <w:szCs w:val="20"/>
      <w:lang w:val="en-US"/>
      <w14:ligatures w14:val="none"/>
    </w:rPr>
  </w:style>
  <w:style w:type="character" w:styleId="FollowedHyperlink">
    <w:name w:val="FollowedHyperlink"/>
    <w:basedOn w:val="DefaultParagraphFont"/>
    <w:uiPriority w:val="99"/>
    <w:semiHidden/>
    <w:unhideWhenUsed/>
    <w:rsid w:val="00CF6862"/>
    <w:rPr>
      <w:color w:val="96607D" w:themeColor="followedHyperlink"/>
      <w:u w:val="single"/>
    </w:rPr>
  </w:style>
  <w:style w:type="paragraph" w:styleId="Header">
    <w:name w:val="header"/>
    <w:basedOn w:val="Normal"/>
    <w:link w:val="HeaderChar"/>
    <w:uiPriority w:val="99"/>
    <w:unhideWhenUsed/>
    <w:rsid w:val="00B027E8"/>
    <w:pPr>
      <w:tabs>
        <w:tab w:val="center" w:pos="4680"/>
        <w:tab w:val="right" w:pos="9360"/>
      </w:tabs>
      <w:spacing w:after="0" w:line="240" w:lineRule="auto"/>
    </w:pPr>
    <w:rPr>
      <w:kern w:val="2"/>
      <w:lang w:val="en-GB"/>
      <w14:ligatures w14:val="standardContextual"/>
    </w:rPr>
  </w:style>
  <w:style w:type="character" w:customStyle="1" w:styleId="HeaderChar">
    <w:name w:val="Header Char"/>
    <w:basedOn w:val="DefaultParagraphFont"/>
    <w:link w:val="Header"/>
    <w:uiPriority w:val="99"/>
    <w:rsid w:val="00B027E8"/>
    <w:rPr>
      <w:rFonts w:ascii="Arial" w:hAnsi="Arial"/>
      <w:szCs w:val="22"/>
    </w:rPr>
  </w:style>
  <w:style w:type="character" w:styleId="UnresolvedMention">
    <w:name w:val="Unresolved Mention"/>
    <w:basedOn w:val="DefaultParagraphFont"/>
    <w:uiPriority w:val="99"/>
    <w:semiHidden/>
    <w:unhideWhenUsed/>
    <w:rsid w:val="00B027E8"/>
    <w:rPr>
      <w:color w:val="605E5C"/>
      <w:shd w:val="clear" w:color="auto" w:fill="E1DFDD"/>
    </w:rPr>
  </w:style>
  <w:style w:type="numbering" w:customStyle="1" w:styleId="NoList1">
    <w:name w:val="No List1"/>
    <w:next w:val="NoList"/>
    <w:uiPriority w:val="99"/>
    <w:semiHidden/>
    <w:unhideWhenUsed/>
    <w:rsid w:val="00F63969"/>
  </w:style>
  <w:style w:type="table" w:customStyle="1" w:styleId="TableGrid0">
    <w:name w:val="TableGrid"/>
    <w:rsid w:val="00F63969"/>
    <w:pPr>
      <w:spacing w:after="0" w:line="240" w:lineRule="auto"/>
    </w:pPr>
    <w:rPr>
      <w:rFonts w:eastAsia="Times New Roman"/>
    </w:rPr>
    <w:tblPr>
      <w:tblCellMar>
        <w:top w:w="0" w:type="dxa"/>
        <w:left w:w="0" w:type="dxa"/>
        <w:bottom w:w="0" w:type="dxa"/>
        <w:right w:w="0" w:type="dxa"/>
      </w:tblCellMar>
    </w:tblPr>
  </w:style>
  <w:style w:type="paragraph" w:customStyle="1" w:styleId="TOCHeading1">
    <w:name w:val="TOC Heading1"/>
    <w:basedOn w:val="Heading1"/>
    <w:next w:val="Normal"/>
    <w:uiPriority w:val="39"/>
    <w:unhideWhenUsed/>
    <w:qFormat/>
    <w:rsid w:val="00F63969"/>
    <w:pPr>
      <w:spacing w:before="240" w:after="0" w:line="259" w:lineRule="auto"/>
      <w:jc w:val="left"/>
      <w:outlineLvl w:val="9"/>
    </w:pPr>
    <w:rPr>
      <w:sz w:val="32"/>
      <w:szCs w:val="32"/>
    </w:rPr>
  </w:style>
  <w:style w:type="paragraph" w:customStyle="1" w:styleId="TOC11">
    <w:name w:val="TOC 11"/>
    <w:basedOn w:val="Normal"/>
    <w:next w:val="Normal"/>
    <w:autoRedefine/>
    <w:uiPriority w:val="39"/>
    <w:unhideWhenUsed/>
    <w:rsid w:val="00F63969"/>
    <w:pPr>
      <w:spacing w:after="100"/>
    </w:pPr>
    <w:rPr>
      <w:kern w:val="2"/>
      <w:lang w:val="en-GB"/>
      <w14:ligatures w14:val="standardContextual"/>
    </w:rPr>
  </w:style>
  <w:style w:type="paragraph" w:customStyle="1" w:styleId="TOC21">
    <w:name w:val="TOC 21"/>
    <w:basedOn w:val="Normal"/>
    <w:next w:val="Normal"/>
    <w:autoRedefine/>
    <w:uiPriority w:val="39"/>
    <w:unhideWhenUsed/>
    <w:rsid w:val="00F63969"/>
    <w:pPr>
      <w:spacing w:after="100"/>
      <w:ind w:left="240"/>
    </w:pPr>
    <w:rPr>
      <w:kern w:val="2"/>
      <w:lang w:val="en-GB"/>
      <w14:ligatures w14:val="standardContextual"/>
    </w:rPr>
  </w:style>
  <w:style w:type="paragraph" w:customStyle="1" w:styleId="TOC31">
    <w:name w:val="TOC 31"/>
    <w:basedOn w:val="Normal"/>
    <w:next w:val="Normal"/>
    <w:autoRedefine/>
    <w:uiPriority w:val="39"/>
    <w:unhideWhenUsed/>
    <w:rsid w:val="00F63969"/>
    <w:pPr>
      <w:spacing w:after="100"/>
      <w:ind w:left="480"/>
    </w:pPr>
    <w:rPr>
      <w:kern w:val="2"/>
      <w:lang w:val="en-GB"/>
      <w14:ligatures w14:val="standardContextual"/>
    </w:rPr>
  </w:style>
  <w:style w:type="paragraph" w:customStyle="1" w:styleId="TOC41">
    <w:name w:val="TOC 41"/>
    <w:basedOn w:val="Normal"/>
    <w:next w:val="Normal"/>
    <w:autoRedefine/>
    <w:uiPriority w:val="39"/>
    <w:unhideWhenUsed/>
    <w:rsid w:val="00F63969"/>
    <w:pPr>
      <w:spacing w:after="100" w:line="278" w:lineRule="auto"/>
      <w:ind w:left="720"/>
      <w:jc w:val="left"/>
    </w:pPr>
    <w:rPr>
      <w:rFonts w:ascii="Aptos" w:eastAsia="Times New Roman" w:hAnsi="Aptos"/>
      <w:kern w:val="2"/>
      <w:szCs w:val="24"/>
      <w14:ligatures w14:val="standardContextual"/>
    </w:rPr>
  </w:style>
  <w:style w:type="paragraph" w:customStyle="1" w:styleId="TOC51">
    <w:name w:val="TOC 51"/>
    <w:basedOn w:val="Normal"/>
    <w:next w:val="Normal"/>
    <w:autoRedefine/>
    <w:uiPriority w:val="39"/>
    <w:unhideWhenUsed/>
    <w:rsid w:val="00F63969"/>
    <w:pPr>
      <w:spacing w:after="100" w:line="278" w:lineRule="auto"/>
      <w:ind w:left="960"/>
      <w:jc w:val="left"/>
    </w:pPr>
    <w:rPr>
      <w:rFonts w:ascii="Aptos" w:eastAsia="Times New Roman" w:hAnsi="Aptos"/>
      <w:kern w:val="2"/>
      <w:szCs w:val="24"/>
      <w14:ligatures w14:val="standardContextual"/>
    </w:rPr>
  </w:style>
  <w:style w:type="paragraph" w:customStyle="1" w:styleId="TOC61">
    <w:name w:val="TOC 61"/>
    <w:basedOn w:val="Normal"/>
    <w:next w:val="Normal"/>
    <w:autoRedefine/>
    <w:uiPriority w:val="39"/>
    <w:unhideWhenUsed/>
    <w:rsid w:val="00F63969"/>
    <w:pPr>
      <w:spacing w:after="100" w:line="278" w:lineRule="auto"/>
      <w:ind w:left="1200"/>
      <w:jc w:val="left"/>
    </w:pPr>
    <w:rPr>
      <w:rFonts w:ascii="Aptos" w:eastAsia="Times New Roman" w:hAnsi="Aptos"/>
      <w:kern w:val="2"/>
      <w:szCs w:val="24"/>
      <w14:ligatures w14:val="standardContextual"/>
    </w:rPr>
  </w:style>
  <w:style w:type="paragraph" w:customStyle="1" w:styleId="TOC71">
    <w:name w:val="TOC 71"/>
    <w:basedOn w:val="Normal"/>
    <w:next w:val="Normal"/>
    <w:autoRedefine/>
    <w:uiPriority w:val="39"/>
    <w:unhideWhenUsed/>
    <w:rsid w:val="00F63969"/>
    <w:pPr>
      <w:spacing w:after="100" w:line="278" w:lineRule="auto"/>
      <w:ind w:left="1440"/>
      <w:jc w:val="left"/>
    </w:pPr>
    <w:rPr>
      <w:rFonts w:ascii="Aptos" w:eastAsia="Times New Roman" w:hAnsi="Aptos"/>
      <w:kern w:val="2"/>
      <w:szCs w:val="24"/>
      <w14:ligatures w14:val="standardContextual"/>
    </w:rPr>
  </w:style>
  <w:style w:type="paragraph" w:customStyle="1" w:styleId="TOC81">
    <w:name w:val="TOC 81"/>
    <w:basedOn w:val="Normal"/>
    <w:next w:val="Normal"/>
    <w:autoRedefine/>
    <w:uiPriority w:val="39"/>
    <w:unhideWhenUsed/>
    <w:rsid w:val="00F63969"/>
    <w:pPr>
      <w:spacing w:after="100" w:line="278" w:lineRule="auto"/>
      <w:ind w:left="1680"/>
      <w:jc w:val="left"/>
    </w:pPr>
    <w:rPr>
      <w:rFonts w:ascii="Aptos" w:eastAsia="Times New Roman" w:hAnsi="Aptos"/>
      <w:kern w:val="2"/>
      <w:szCs w:val="24"/>
      <w14:ligatures w14:val="standardContextual"/>
    </w:rPr>
  </w:style>
  <w:style w:type="paragraph" w:customStyle="1" w:styleId="TOC91">
    <w:name w:val="TOC 91"/>
    <w:basedOn w:val="Normal"/>
    <w:next w:val="Normal"/>
    <w:autoRedefine/>
    <w:uiPriority w:val="39"/>
    <w:unhideWhenUsed/>
    <w:rsid w:val="00F63969"/>
    <w:pPr>
      <w:spacing w:after="100" w:line="278" w:lineRule="auto"/>
      <w:ind w:left="1920"/>
      <w:jc w:val="left"/>
    </w:pPr>
    <w:rPr>
      <w:rFonts w:ascii="Aptos" w:eastAsia="Times New Roman" w:hAnsi="Aptos"/>
      <w:kern w:val="2"/>
      <w:szCs w:val="24"/>
      <w14:ligatures w14:val="standardContextual"/>
    </w:rPr>
  </w:style>
  <w:style w:type="paragraph" w:customStyle="1" w:styleId="TableofFigures1">
    <w:name w:val="Table of Figures1"/>
    <w:basedOn w:val="Normal"/>
    <w:next w:val="Normal"/>
    <w:uiPriority w:val="99"/>
    <w:unhideWhenUsed/>
    <w:rsid w:val="00F63969"/>
    <w:pPr>
      <w:spacing w:after="0"/>
    </w:pPr>
    <w:rPr>
      <w:kern w:val="2"/>
      <w:lang w:val="en-GB"/>
      <w14:ligatures w14:val="standardContextual"/>
    </w:rPr>
  </w:style>
  <w:style w:type="numbering" w:customStyle="1" w:styleId="NoList2">
    <w:name w:val="No List2"/>
    <w:next w:val="NoList"/>
    <w:uiPriority w:val="99"/>
    <w:semiHidden/>
    <w:unhideWhenUsed/>
    <w:rsid w:val="00D1519C"/>
  </w:style>
  <w:style w:type="table" w:customStyle="1" w:styleId="TableGrid1">
    <w:name w:val="TableGrid1"/>
    <w:rsid w:val="00D1519C"/>
    <w:pPr>
      <w:spacing w:after="0" w:line="240" w:lineRule="auto"/>
    </w:pPr>
    <w:rPr>
      <w:rFonts w:eastAsia="Times New Roman"/>
    </w:rPr>
    <w:tblPr>
      <w:tblCellMar>
        <w:top w:w="0" w:type="dxa"/>
        <w:left w:w="0" w:type="dxa"/>
        <w:bottom w:w="0" w:type="dxa"/>
        <w:right w:w="0" w:type="dxa"/>
      </w:tblCellMar>
    </w:tblPr>
  </w:style>
  <w:style w:type="paragraph" w:customStyle="1" w:styleId="TOCHeading2">
    <w:name w:val="TOC Heading2"/>
    <w:basedOn w:val="Heading1"/>
    <w:next w:val="Normal"/>
    <w:uiPriority w:val="39"/>
    <w:unhideWhenUsed/>
    <w:qFormat/>
    <w:rsid w:val="00D1519C"/>
    <w:pPr>
      <w:spacing w:before="240" w:after="0" w:line="259" w:lineRule="auto"/>
      <w:jc w:val="left"/>
      <w:outlineLvl w:val="9"/>
    </w:pPr>
    <w:rPr>
      <w:sz w:val="32"/>
      <w:szCs w:val="32"/>
    </w:rPr>
  </w:style>
  <w:style w:type="paragraph" w:styleId="TOC1">
    <w:name w:val="toc 1"/>
    <w:basedOn w:val="Normal"/>
    <w:next w:val="Normal"/>
    <w:autoRedefine/>
    <w:uiPriority w:val="39"/>
    <w:unhideWhenUsed/>
    <w:rsid w:val="00D1519C"/>
    <w:pPr>
      <w:spacing w:after="100"/>
    </w:pPr>
    <w:rPr>
      <w:kern w:val="2"/>
      <w:lang w:val="en-GB"/>
      <w14:ligatures w14:val="standardContextual"/>
    </w:rPr>
  </w:style>
  <w:style w:type="paragraph" w:styleId="TOC2">
    <w:name w:val="toc 2"/>
    <w:basedOn w:val="Normal"/>
    <w:next w:val="Normal"/>
    <w:autoRedefine/>
    <w:uiPriority w:val="39"/>
    <w:unhideWhenUsed/>
    <w:rsid w:val="00D1519C"/>
    <w:pPr>
      <w:spacing w:after="100"/>
      <w:ind w:left="240"/>
    </w:pPr>
    <w:rPr>
      <w:kern w:val="2"/>
      <w:lang w:val="en-GB"/>
      <w14:ligatures w14:val="standardContextual"/>
    </w:rPr>
  </w:style>
  <w:style w:type="paragraph" w:styleId="TOC3">
    <w:name w:val="toc 3"/>
    <w:basedOn w:val="Normal"/>
    <w:next w:val="Normal"/>
    <w:autoRedefine/>
    <w:uiPriority w:val="39"/>
    <w:unhideWhenUsed/>
    <w:rsid w:val="00D1519C"/>
    <w:pPr>
      <w:spacing w:after="100"/>
      <w:ind w:left="480"/>
    </w:pPr>
    <w:rPr>
      <w:kern w:val="2"/>
      <w:lang w:val="en-GB"/>
      <w14:ligatures w14:val="standardContextual"/>
    </w:rPr>
  </w:style>
  <w:style w:type="paragraph" w:customStyle="1" w:styleId="TOC42">
    <w:name w:val="TOC 42"/>
    <w:basedOn w:val="Normal"/>
    <w:next w:val="Normal"/>
    <w:autoRedefine/>
    <w:uiPriority w:val="39"/>
    <w:unhideWhenUsed/>
    <w:rsid w:val="00D1519C"/>
    <w:pPr>
      <w:spacing w:after="100" w:line="278" w:lineRule="auto"/>
      <w:ind w:left="720"/>
      <w:jc w:val="left"/>
    </w:pPr>
    <w:rPr>
      <w:rFonts w:ascii="Aptos" w:eastAsia="Times New Roman" w:hAnsi="Aptos"/>
      <w:kern w:val="2"/>
      <w:szCs w:val="24"/>
      <w14:ligatures w14:val="standardContextual"/>
    </w:rPr>
  </w:style>
  <w:style w:type="paragraph" w:customStyle="1" w:styleId="TOC52">
    <w:name w:val="TOC 52"/>
    <w:basedOn w:val="Normal"/>
    <w:next w:val="Normal"/>
    <w:autoRedefine/>
    <w:uiPriority w:val="39"/>
    <w:unhideWhenUsed/>
    <w:rsid w:val="00D1519C"/>
    <w:pPr>
      <w:spacing w:after="100" w:line="278" w:lineRule="auto"/>
      <w:ind w:left="960"/>
      <w:jc w:val="left"/>
    </w:pPr>
    <w:rPr>
      <w:rFonts w:ascii="Aptos" w:eastAsia="Times New Roman" w:hAnsi="Aptos"/>
      <w:kern w:val="2"/>
      <w:szCs w:val="24"/>
      <w14:ligatures w14:val="standardContextual"/>
    </w:rPr>
  </w:style>
  <w:style w:type="paragraph" w:customStyle="1" w:styleId="TOC62">
    <w:name w:val="TOC 62"/>
    <w:basedOn w:val="Normal"/>
    <w:next w:val="Normal"/>
    <w:autoRedefine/>
    <w:uiPriority w:val="39"/>
    <w:unhideWhenUsed/>
    <w:rsid w:val="00D1519C"/>
    <w:pPr>
      <w:spacing w:after="100" w:line="278" w:lineRule="auto"/>
      <w:ind w:left="1200"/>
      <w:jc w:val="left"/>
    </w:pPr>
    <w:rPr>
      <w:rFonts w:ascii="Aptos" w:eastAsia="Times New Roman" w:hAnsi="Aptos"/>
      <w:kern w:val="2"/>
      <w:szCs w:val="24"/>
      <w14:ligatures w14:val="standardContextual"/>
    </w:rPr>
  </w:style>
  <w:style w:type="paragraph" w:customStyle="1" w:styleId="TOC72">
    <w:name w:val="TOC 72"/>
    <w:basedOn w:val="Normal"/>
    <w:next w:val="Normal"/>
    <w:autoRedefine/>
    <w:uiPriority w:val="39"/>
    <w:unhideWhenUsed/>
    <w:rsid w:val="00D1519C"/>
    <w:pPr>
      <w:spacing w:after="100" w:line="278" w:lineRule="auto"/>
      <w:ind w:left="1440"/>
      <w:jc w:val="left"/>
    </w:pPr>
    <w:rPr>
      <w:rFonts w:ascii="Aptos" w:eastAsia="Times New Roman" w:hAnsi="Aptos"/>
      <w:kern w:val="2"/>
      <w:szCs w:val="24"/>
      <w14:ligatures w14:val="standardContextual"/>
    </w:rPr>
  </w:style>
  <w:style w:type="paragraph" w:customStyle="1" w:styleId="TOC82">
    <w:name w:val="TOC 82"/>
    <w:basedOn w:val="Normal"/>
    <w:next w:val="Normal"/>
    <w:autoRedefine/>
    <w:uiPriority w:val="39"/>
    <w:unhideWhenUsed/>
    <w:rsid w:val="00D1519C"/>
    <w:pPr>
      <w:spacing w:after="100" w:line="278" w:lineRule="auto"/>
      <w:ind w:left="1680"/>
      <w:jc w:val="left"/>
    </w:pPr>
    <w:rPr>
      <w:rFonts w:ascii="Aptos" w:eastAsia="Times New Roman" w:hAnsi="Aptos"/>
      <w:kern w:val="2"/>
      <w:szCs w:val="24"/>
      <w14:ligatures w14:val="standardContextual"/>
    </w:rPr>
  </w:style>
  <w:style w:type="paragraph" w:customStyle="1" w:styleId="TOC92">
    <w:name w:val="TOC 92"/>
    <w:basedOn w:val="Normal"/>
    <w:next w:val="Normal"/>
    <w:autoRedefine/>
    <w:uiPriority w:val="39"/>
    <w:unhideWhenUsed/>
    <w:rsid w:val="00D1519C"/>
    <w:pPr>
      <w:spacing w:after="100" w:line="278" w:lineRule="auto"/>
      <w:ind w:left="1920"/>
      <w:jc w:val="left"/>
    </w:pPr>
    <w:rPr>
      <w:rFonts w:ascii="Aptos" w:eastAsia="Times New Roman" w:hAnsi="Aptos"/>
      <w:kern w:val="2"/>
      <w:szCs w:val="24"/>
      <w14:ligatures w14:val="standardContextual"/>
    </w:rPr>
  </w:style>
  <w:style w:type="paragraph" w:styleId="TableofFigures">
    <w:name w:val="table of figures"/>
    <w:basedOn w:val="Normal"/>
    <w:next w:val="Normal"/>
    <w:uiPriority w:val="99"/>
    <w:unhideWhenUsed/>
    <w:rsid w:val="00D1519C"/>
    <w:pPr>
      <w:spacing w:after="0"/>
    </w:pPr>
    <w:rPr>
      <w:kern w:val="2"/>
      <w:lang w:val="en-GB"/>
      <w14:ligatures w14:val="standardContextual"/>
    </w:rPr>
  </w:style>
  <w:style w:type="paragraph" w:styleId="TOCHeading">
    <w:name w:val="TOC Heading"/>
    <w:basedOn w:val="Heading1"/>
    <w:next w:val="Normal"/>
    <w:uiPriority w:val="39"/>
    <w:unhideWhenUsed/>
    <w:qFormat/>
    <w:rsid w:val="00AB23CA"/>
    <w:pPr>
      <w:spacing w:before="240" w:after="0"/>
      <w:outlineLvl w:val="9"/>
    </w:pPr>
    <w:rPr>
      <w:sz w:val="32"/>
      <w:szCs w:val="32"/>
    </w:rPr>
  </w:style>
  <w:style w:type="numbering" w:customStyle="1" w:styleId="NoList3">
    <w:name w:val="No List3"/>
    <w:next w:val="NoList"/>
    <w:uiPriority w:val="99"/>
    <w:semiHidden/>
    <w:unhideWhenUsed/>
    <w:rsid w:val="00AB23CA"/>
  </w:style>
  <w:style w:type="table" w:customStyle="1" w:styleId="TableGrid2">
    <w:name w:val="TableGrid2"/>
    <w:rsid w:val="00AB23CA"/>
    <w:pPr>
      <w:spacing w:after="0" w:line="240" w:lineRule="auto"/>
    </w:pPr>
    <w:rPr>
      <w:rFonts w:eastAsia="Times New Roman"/>
      <w:lang w:val="en-US"/>
    </w:rPr>
    <w:tblPr>
      <w:tblCellMar>
        <w:top w:w="0" w:type="dxa"/>
        <w:left w:w="0" w:type="dxa"/>
        <w:bottom w:w="0" w:type="dxa"/>
        <w:right w:w="0" w:type="dxa"/>
      </w:tblCellMar>
    </w:tblPr>
  </w:style>
  <w:style w:type="paragraph" w:customStyle="1" w:styleId="TOC43">
    <w:name w:val="TOC 43"/>
    <w:basedOn w:val="Normal"/>
    <w:next w:val="Normal"/>
    <w:autoRedefine/>
    <w:uiPriority w:val="39"/>
    <w:unhideWhenUsed/>
    <w:rsid w:val="00AB23CA"/>
    <w:pPr>
      <w:spacing w:after="100" w:line="278" w:lineRule="auto"/>
      <w:ind w:left="720"/>
      <w:jc w:val="left"/>
    </w:pPr>
    <w:rPr>
      <w:rFonts w:ascii="Aptos" w:eastAsia="Times New Roman" w:hAnsi="Aptos"/>
      <w:kern w:val="2"/>
      <w:szCs w:val="24"/>
      <w:lang w:val="en-GB"/>
      <w14:ligatures w14:val="standardContextual"/>
    </w:rPr>
  </w:style>
  <w:style w:type="paragraph" w:customStyle="1" w:styleId="TOC53">
    <w:name w:val="TOC 53"/>
    <w:basedOn w:val="Normal"/>
    <w:next w:val="Normal"/>
    <w:autoRedefine/>
    <w:uiPriority w:val="39"/>
    <w:unhideWhenUsed/>
    <w:rsid w:val="00AB23CA"/>
    <w:pPr>
      <w:spacing w:after="100" w:line="278" w:lineRule="auto"/>
      <w:ind w:left="960"/>
      <w:jc w:val="left"/>
    </w:pPr>
    <w:rPr>
      <w:rFonts w:ascii="Aptos" w:eastAsia="Times New Roman" w:hAnsi="Aptos"/>
      <w:kern w:val="2"/>
      <w:szCs w:val="24"/>
      <w:lang w:val="en-GB"/>
      <w14:ligatures w14:val="standardContextual"/>
    </w:rPr>
  </w:style>
  <w:style w:type="paragraph" w:customStyle="1" w:styleId="TOC63">
    <w:name w:val="TOC 63"/>
    <w:basedOn w:val="Normal"/>
    <w:next w:val="Normal"/>
    <w:autoRedefine/>
    <w:uiPriority w:val="39"/>
    <w:unhideWhenUsed/>
    <w:rsid w:val="00AB23CA"/>
    <w:pPr>
      <w:spacing w:after="100" w:line="278" w:lineRule="auto"/>
      <w:ind w:left="1200"/>
      <w:jc w:val="left"/>
    </w:pPr>
    <w:rPr>
      <w:rFonts w:ascii="Aptos" w:eastAsia="Times New Roman" w:hAnsi="Aptos"/>
      <w:kern w:val="2"/>
      <w:szCs w:val="24"/>
      <w:lang w:val="en-GB"/>
      <w14:ligatures w14:val="standardContextual"/>
    </w:rPr>
  </w:style>
  <w:style w:type="paragraph" w:customStyle="1" w:styleId="TOC73">
    <w:name w:val="TOC 73"/>
    <w:basedOn w:val="Normal"/>
    <w:next w:val="Normal"/>
    <w:autoRedefine/>
    <w:uiPriority w:val="39"/>
    <w:unhideWhenUsed/>
    <w:rsid w:val="00AB23CA"/>
    <w:pPr>
      <w:spacing w:after="100" w:line="278" w:lineRule="auto"/>
      <w:ind w:left="1440"/>
      <w:jc w:val="left"/>
    </w:pPr>
    <w:rPr>
      <w:rFonts w:ascii="Aptos" w:eastAsia="Times New Roman" w:hAnsi="Aptos"/>
      <w:kern w:val="2"/>
      <w:szCs w:val="24"/>
      <w:lang w:val="en-GB"/>
      <w14:ligatures w14:val="standardContextual"/>
    </w:rPr>
  </w:style>
  <w:style w:type="paragraph" w:customStyle="1" w:styleId="TOC83">
    <w:name w:val="TOC 83"/>
    <w:basedOn w:val="Normal"/>
    <w:next w:val="Normal"/>
    <w:autoRedefine/>
    <w:uiPriority w:val="39"/>
    <w:unhideWhenUsed/>
    <w:rsid w:val="00AB23CA"/>
    <w:pPr>
      <w:spacing w:after="100" w:line="278" w:lineRule="auto"/>
      <w:ind w:left="1680"/>
      <w:jc w:val="left"/>
    </w:pPr>
    <w:rPr>
      <w:rFonts w:ascii="Aptos" w:eastAsia="Times New Roman" w:hAnsi="Aptos"/>
      <w:kern w:val="2"/>
      <w:szCs w:val="24"/>
      <w:lang w:val="en-GB"/>
      <w14:ligatures w14:val="standardContextual"/>
    </w:rPr>
  </w:style>
  <w:style w:type="paragraph" w:customStyle="1" w:styleId="TOC93">
    <w:name w:val="TOC 93"/>
    <w:basedOn w:val="Normal"/>
    <w:next w:val="Normal"/>
    <w:autoRedefine/>
    <w:uiPriority w:val="39"/>
    <w:unhideWhenUsed/>
    <w:rsid w:val="00AB23CA"/>
    <w:pPr>
      <w:spacing w:after="100" w:line="278" w:lineRule="auto"/>
      <w:ind w:left="1920"/>
      <w:jc w:val="left"/>
    </w:pPr>
    <w:rPr>
      <w:rFonts w:ascii="Aptos" w:eastAsia="Times New Roman" w:hAnsi="Aptos"/>
      <w:kern w:val="2"/>
      <w:szCs w:val="24"/>
      <w:lang w:val="en-GB"/>
      <w14:ligatures w14:val="standardContextual"/>
    </w:rPr>
  </w:style>
  <w:style w:type="numbering" w:customStyle="1" w:styleId="NoList4">
    <w:name w:val="No List4"/>
    <w:next w:val="NoList"/>
    <w:uiPriority w:val="99"/>
    <w:semiHidden/>
    <w:unhideWhenUsed/>
    <w:rsid w:val="00CC07F0"/>
  </w:style>
  <w:style w:type="table" w:customStyle="1" w:styleId="TableGrid3">
    <w:name w:val="TableGrid3"/>
    <w:rsid w:val="00CC07F0"/>
    <w:pPr>
      <w:spacing w:after="0" w:line="240" w:lineRule="auto"/>
    </w:pPr>
    <w:rPr>
      <w:rFonts w:eastAsia="Times New Roman"/>
      <w:lang w:val="en-US"/>
    </w:rPr>
    <w:tblPr>
      <w:tblCellMar>
        <w:top w:w="0" w:type="dxa"/>
        <w:left w:w="0" w:type="dxa"/>
        <w:bottom w:w="0" w:type="dxa"/>
        <w:right w:w="0" w:type="dxa"/>
      </w:tblCellMar>
    </w:tblPr>
  </w:style>
  <w:style w:type="paragraph" w:customStyle="1" w:styleId="TOC44">
    <w:name w:val="TOC 44"/>
    <w:basedOn w:val="Normal"/>
    <w:next w:val="Normal"/>
    <w:autoRedefine/>
    <w:uiPriority w:val="39"/>
    <w:unhideWhenUsed/>
    <w:rsid w:val="00CC07F0"/>
    <w:pPr>
      <w:spacing w:after="100" w:line="278" w:lineRule="auto"/>
      <w:ind w:left="720"/>
      <w:jc w:val="left"/>
    </w:pPr>
    <w:rPr>
      <w:rFonts w:ascii="Aptos" w:eastAsia="Times New Roman" w:hAnsi="Aptos"/>
      <w:kern w:val="2"/>
      <w:szCs w:val="24"/>
      <w:lang w:val="en-GB"/>
      <w14:ligatures w14:val="standardContextual"/>
    </w:rPr>
  </w:style>
  <w:style w:type="paragraph" w:customStyle="1" w:styleId="TOC54">
    <w:name w:val="TOC 54"/>
    <w:basedOn w:val="Normal"/>
    <w:next w:val="Normal"/>
    <w:autoRedefine/>
    <w:uiPriority w:val="39"/>
    <w:unhideWhenUsed/>
    <w:rsid w:val="00CC07F0"/>
    <w:pPr>
      <w:spacing w:after="100" w:line="278" w:lineRule="auto"/>
      <w:ind w:left="960"/>
      <w:jc w:val="left"/>
    </w:pPr>
    <w:rPr>
      <w:rFonts w:ascii="Aptos" w:eastAsia="Times New Roman" w:hAnsi="Aptos"/>
      <w:kern w:val="2"/>
      <w:szCs w:val="24"/>
      <w:lang w:val="en-GB"/>
      <w14:ligatures w14:val="standardContextual"/>
    </w:rPr>
  </w:style>
  <w:style w:type="paragraph" w:customStyle="1" w:styleId="TOC64">
    <w:name w:val="TOC 64"/>
    <w:basedOn w:val="Normal"/>
    <w:next w:val="Normal"/>
    <w:autoRedefine/>
    <w:uiPriority w:val="39"/>
    <w:unhideWhenUsed/>
    <w:rsid w:val="00CC07F0"/>
    <w:pPr>
      <w:spacing w:after="100" w:line="278" w:lineRule="auto"/>
      <w:ind w:left="1200"/>
      <w:jc w:val="left"/>
    </w:pPr>
    <w:rPr>
      <w:rFonts w:ascii="Aptos" w:eastAsia="Times New Roman" w:hAnsi="Aptos"/>
      <w:kern w:val="2"/>
      <w:szCs w:val="24"/>
      <w:lang w:val="en-GB"/>
      <w14:ligatures w14:val="standardContextual"/>
    </w:rPr>
  </w:style>
  <w:style w:type="paragraph" w:customStyle="1" w:styleId="TOC74">
    <w:name w:val="TOC 74"/>
    <w:basedOn w:val="Normal"/>
    <w:next w:val="Normal"/>
    <w:autoRedefine/>
    <w:uiPriority w:val="39"/>
    <w:unhideWhenUsed/>
    <w:rsid w:val="00CC07F0"/>
    <w:pPr>
      <w:spacing w:after="100" w:line="278" w:lineRule="auto"/>
      <w:ind w:left="1440"/>
      <w:jc w:val="left"/>
    </w:pPr>
    <w:rPr>
      <w:rFonts w:ascii="Aptos" w:eastAsia="Times New Roman" w:hAnsi="Aptos"/>
      <w:kern w:val="2"/>
      <w:szCs w:val="24"/>
      <w:lang w:val="en-GB"/>
      <w14:ligatures w14:val="standardContextual"/>
    </w:rPr>
  </w:style>
  <w:style w:type="paragraph" w:customStyle="1" w:styleId="TOC84">
    <w:name w:val="TOC 84"/>
    <w:basedOn w:val="Normal"/>
    <w:next w:val="Normal"/>
    <w:autoRedefine/>
    <w:uiPriority w:val="39"/>
    <w:unhideWhenUsed/>
    <w:rsid w:val="00CC07F0"/>
    <w:pPr>
      <w:spacing w:after="100" w:line="278" w:lineRule="auto"/>
      <w:ind w:left="1680"/>
      <w:jc w:val="left"/>
    </w:pPr>
    <w:rPr>
      <w:rFonts w:ascii="Aptos" w:eastAsia="Times New Roman" w:hAnsi="Aptos"/>
      <w:kern w:val="2"/>
      <w:szCs w:val="24"/>
      <w:lang w:val="en-GB"/>
      <w14:ligatures w14:val="standardContextual"/>
    </w:rPr>
  </w:style>
  <w:style w:type="paragraph" w:customStyle="1" w:styleId="TOC94">
    <w:name w:val="TOC 94"/>
    <w:basedOn w:val="Normal"/>
    <w:next w:val="Normal"/>
    <w:autoRedefine/>
    <w:uiPriority w:val="39"/>
    <w:unhideWhenUsed/>
    <w:rsid w:val="00CC07F0"/>
    <w:pPr>
      <w:spacing w:after="100" w:line="278" w:lineRule="auto"/>
      <w:ind w:left="1920"/>
      <w:jc w:val="left"/>
    </w:pPr>
    <w:rPr>
      <w:rFonts w:ascii="Aptos" w:eastAsia="Times New Roman" w:hAnsi="Aptos"/>
      <w:kern w:val="2"/>
      <w:szCs w:val="24"/>
      <w:lang w:val="en-GB"/>
      <w14:ligatures w14:val="standardContextual"/>
    </w:rPr>
  </w:style>
  <w:style w:type="numbering" w:customStyle="1" w:styleId="NoList5">
    <w:name w:val="No List5"/>
    <w:next w:val="NoList"/>
    <w:uiPriority w:val="99"/>
    <w:semiHidden/>
    <w:unhideWhenUsed/>
    <w:rsid w:val="008B2431"/>
  </w:style>
  <w:style w:type="table" w:customStyle="1" w:styleId="TableGrid4">
    <w:name w:val="TableGrid4"/>
    <w:rsid w:val="008B2431"/>
    <w:pPr>
      <w:spacing w:after="0" w:line="240" w:lineRule="auto"/>
    </w:pPr>
    <w:rPr>
      <w:rFonts w:eastAsia="Times New Roman"/>
    </w:rPr>
    <w:tblPr>
      <w:tblCellMar>
        <w:top w:w="0" w:type="dxa"/>
        <w:left w:w="0" w:type="dxa"/>
        <w:bottom w:w="0" w:type="dxa"/>
        <w:right w:w="0" w:type="dxa"/>
      </w:tblCellMar>
    </w:tblPr>
  </w:style>
  <w:style w:type="paragraph" w:customStyle="1" w:styleId="TOC45">
    <w:name w:val="TOC 45"/>
    <w:basedOn w:val="Normal"/>
    <w:next w:val="Normal"/>
    <w:autoRedefine/>
    <w:uiPriority w:val="39"/>
    <w:unhideWhenUsed/>
    <w:rsid w:val="008B2431"/>
    <w:pPr>
      <w:spacing w:after="100" w:line="278" w:lineRule="auto"/>
      <w:ind w:left="720"/>
      <w:jc w:val="left"/>
    </w:pPr>
    <w:rPr>
      <w:rFonts w:ascii="Aptos" w:eastAsia="Times New Roman" w:hAnsi="Aptos"/>
      <w:kern w:val="2"/>
      <w:szCs w:val="24"/>
      <w14:ligatures w14:val="standardContextual"/>
    </w:rPr>
  </w:style>
  <w:style w:type="paragraph" w:customStyle="1" w:styleId="TOC55">
    <w:name w:val="TOC 55"/>
    <w:basedOn w:val="Normal"/>
    <w:next w:val="Normal"/>
    <w:autoRedefine/>
    <w:uiPriority w:val="39"/>
    <w:unhideWhenUsed/>
    <w:rsid w:val="008B2431"/>
    <w:pPr>
      <w:spacing w:after="100" w:line="278" w:lineRule="auto"/>
      <w:ind w:left="960"/>
      <w:jc w:val="left"/>
    </w:pPr>
    <w:rPr>
      <w:rFonts w:ascii="Aptos" w:eastAsia="Times New Roman" w:hAnsi="Aptos"/>
      <w:kern w:val="2"/>
      <w:szCs w:val="24"/>
      <w14:ligatures w14:val="standardContextual"/>
    </w:rPr>
  </w:style>
  <w:style w:type="paragraph" w:customStyle="1" w:styleId="TOC65">
    <w:name w:val="TOC 65"/>
    <w:basedOn w:val="Normal"/>
    <w:next w:val="Normal"/>
    <w:autoRedefine/>
    <w:uiPriority w:val="39"/>
    <w:unhideWhenUsed/>
    <w:rsid w:val="008B2431"/>
    <w:pPr>
      <w:spacing w:after="100" w:line="278" w:lineRule="auto"/>
      <w:ind w:left="1200"/>
      <w:jc w:val="left"/>
    </w:pPr>
    <w:rPr>
      <w:rFonts w:ascii="Aptos" w:eastAsia="Times New Roman" w:hAnsi="Aptos"/>
      <w:kern w:val="2"/>
      <w:szCs w:val="24"/>
      <w14:ligatures w14:val="standardContextual"/>
    </w:rPr>
  </w:style>
  <w:style w:type="paragraph" w:customStyle="1" w:styleId="TOC75">
    <w:name w:val="TOC 75"/>
    <w:basedOn w:val="Normal"/>
    <w:next w:val="Normal"/>
    <w:autoRedefine/>
    <w:uiPriority w:val="39"/>
    <w:unhideWhenUsed/>
    <w:rsid w:val="008B2431"/>
    <w:pPr>
      <w:spacing w:after="100" w:line="278" w:lineRule="auto"/>
      <w:ind w:left="1440"/>
      <w:jc w:val="left"/>
    </w:pPr>
    <w:rPr>
      <w:rFonts w:ascii="Aptos" w:eastAsia="Times New Roman" w:hAnsi="Aptos"/>
      <w:kern w:val="2"/>
      <w:szCs w:val="24"/>
      <w14:ligatures w14:val="standardContextual"/>
    </w:rPr>
  </w:style>
  <w:style w:type="paragraph" w:customStyle="1" w:styleId="TOC85">
    <w:name w:val="TOC 85"/>
    <w:basedOn w:val="Normal"/>
    <w:next w:val="Normal"/>
    <w:autoRedefine/>
    <w:uiPriority w:val="39"/>
    <w:unhideWhenUsed/>
    <w:rsid w:val="008B2431"/>
    <w:pPr>
      <w:spacing w:after="100" w:line="278" w:lineRule="auto"/>
      <w:ind w:left="1680"/>
      <w:jc w:val="left"/>
    </w:pPr>
    <w:rPr>
      <w:rFonts w:ascii="Aptos" w:eastAsia="Times New Roman" w:hAnsi="Aptos"/>
      <w:kern w:val="2"/>
      <w:szCs w:val="24"/>
      <w14:ligatures w14:val="standardContextual"/>
    </w:rPr>
  </w:style>
  <w:style w:type="paragraph" w:customStyle="1" w:styleId="TOC95">
    <w:name w:val="TOC 95"/>
    <w:basedOn w:val="Normal"/>
    <w:next w:val="Normal"/>
    <w:autoRedefine/>
    <w:uiPriority w:val="39"/>
    <w:unhideWhenUsed/>
    <w:rsid w:val="008B2431"/>
    <w:pPr>
      <w:spacing w:after="100" w:line="278" w:lineRule="auto"/>
      <w:ind w:left="1920"/>
      <w:jc w:val="left"/>
    </w:pPr>
    <w:rPr>
      <w:rFonts w:ascii="Aptos" w:eastAsia="Times New Roman" w:hAnsi="Aptos"/>
      <w:kern w:val="2"/>
      <w:szCs w:val="24"/>
      <w14:ligatures w14:val="standardContextual"/>
    </w:rPr>
  </w:style>
  <w:style w:type="numbering" w:customStyle="1" w:styleId="NoList6">
    <w:name w:val="No List6"/>
    <w:next w:val="NoList"/>
    <w:uiPriority w:val="99"/>
    <w:semiHidden/>
    <w:unhideWhenUsed/>
    <w:rsid w:val="002031A5"/>
  </w:style>
  <w:style w:type="table" w:customStyle="1" w:styleId="TableGrid5">
    <w:name w:val="TableGrid5"/>
    <w:rsid w:val="002031A5"/>
    <w:pPr>
      <w:spacing w:after="0" w:line="240" w:lineRule="auto"/>
    </w:pPr>
    <w:rPr>
      <w:rFonts w:eastAsia="Times New Roman"/>
      <w:lang w:val="en-US"/>
    </w:rPr>
    <w:tblPr>
      <w:tblCellMar>
        <w:top w:w="0" w:type="dxa"/>
        <w:left w:w="0" w:type="dxa"/>
        <w:bottom w:w="0" w:type="dxa"/>
        <w:right w:w="0" w:type="dxa"/>
      </w:tblCellMar>
    </w:tblPr>
  </w:style>
  <w:style w:type="paragraph" w:customStyle="1" w:styleId="TOC46">
    <w:name w:val="TOC 46"/>
    <w:basedOn w:val="Normal"/>
    <w:next w:val="Normal"/>
    <w:autoRedefine/>
    <w:uiPriority w:val="39"/>
    <w:unhideWhenUsed/>
    <w:rsid w:val="002031A5"/>
    <w:pPr>
      <w:spacing w:after="100" w:line="278" w:lineRule="auto"/>
      <w:ind w:left="720"/>
      <w:jc w:val="left"/>
    </w:pPr>
    <w:rPr>
      <w:rFonts w:ascii="Aptos" w:eastAsia="Times New Roman" w:hAnsi="Aptos"/>
      <w:kern w:val="2"/>
      <w:szCs w:val="24"/>
      <w:lang w:val="en-GB"/>
      <w14:ligatures w14:val="standardContextual"/>
    </w:rPr>
  </w:style>
  <w:style w:type="paragraph" w:customStyle="1" w:styleId="TOC56">
    <w:name w:val="TOC 56"/>
    <w:basedOn w:val="Normal"/>
    <w:next w:val="Normal"/>
    <w:autoRedefine/>
    <w:uiPriority w:val="39"/>
    <w:unhideWhenUsed/>
    <w:rsid w:val="002031A5"/>
    <w:pPr>
      <w:spacing w:after="100" w:line="278" w:lineRule="auto"/>
      <w:ind w:left="960"/>
      <w:jc w:val="left"/>
    </w:pPr>
    <w:rPr>
      <w:rFonts w:ascii="Aptos" w:eastAsia="Times New Roman" w:hAnsi="Aptos"/>
      <w:kern w:val="2"/>
      <w:szCs w:val="24"/>
      <w:lang w:val="en-GB"/>
      <w14:ligatures w14:val="standardContextual"/>
    </w:rPr>
  </w:style>
  <w:style w:type="paragraph" w:customStyle="1" w:styleId="TOC66">
    <w:name w:val="TOC 66"/>
    <w:basedOn w:val="Normal"/>
    <w:next w:val="Normal"/>
    <w:autoRedefine/>
    <w:uiPriority w:val="39"/>
    <w:unhideWhenUsed/>
    <w:rsid w:val="002031A5"/>
    <w:pPr>
      <w:spacing w:after="100" w:line="278" w:lineRule="auto"/>
      <w:ind w:left="1200"/>
      <w:jc w:val="left"/>
    </w:pPr>
    <w:rPr>
      <w:rFonts w:ascii="Aptos" w:eastAsia="Times New Roman" w:hAnsi="Aptos"/>
      <w:kern w:val="2"/>
      <w:szCs w:val="24"/>
      <w:lang w:val="en-GB"/>
      <w14:ligatures w14:val="standardContextual"/>
    </w:rPr>
  </w:style>
  <w:style w:type="paragraph" w:customStyle="1" w:styleId="TOC76">
    <w:name w:val="TOC 76"/>
    <w:basedOn w:val="Normal"/>
    <w:next w:val="Normal"/>
    <w:autoRedefine/>
    <w:uiPriority w:val="39"/>
    <w:unhideWhenUsed/>
    <w:rsid w:val="002031A5"/>
    <w:pPr>
      <w:spacing w:after="100" w:line="278" w:lineRule="auto"/>
      <w:ind w:left="1440"/>
      <w:jc w:val="left"/>
    </w:pPr>
    <w:rPr>
      <w:rFonts w:ascii="Aptos" w:eastAsia="Times New Roman" w:hAnsi="Aptos"/>
      <w:kern w:val="2"/>
      <w:szCs w:val="24"/>
      <w:lang w:val="en-GB"/>
      <w14:ligatures w14:val="standardContextual"/>
    </w:rPr>
  </w:style>
  <w:style w:type="paragraph" w:customStyle="1" w:styleId="TOC86">
    <w:name w:val="TOC 86"/>
    <w:basedOn w:val="Normal"/>
    <w:next w:val="Normal"/>
    <w:autoRedefine/>
    <w:uiPriority w:val="39"/>
    <w:unhideWhenUsed/>
    <w:rsid w:val="002031A5"/>
    <w:pPr>
      <w:spacing w:after="100" w:line="278" w:lineRule="auto"/>
      <w:ind w:left="1680"/>
      <w:jc w:val="left"/>
    </w:pPr>
    <w:rPr>
      <w:rFonts w:ascii="Aptos" w:eastAsia="Times New Roman" w:hAnsi="Aptos"/>
      <w:kern w:val="2"/>
      <w:szCs w:val="24"/>
      <w:lang w:val="en-GB"/>
      <w14:ligatures w14:val="standardContextual"/>
    </w:rPr>
  </w:style>
  <w:style w:type="paragraph" w:customStyle="1" w:styleId="TOC96">
    <w:name w:val="TOC 96"/>
    <w:basedOn w:val="Normal"/>
    <w:next w:val="Normal"/>
    <w:autoRedefine/>
    <w:uiPriority w:val="39"/>
    <w:unhideWhenUsed/>
    <w:rsid w:val="002031A5"/>
    <w:pPr>
      <w:spacing w:after="100" w:line="278" w:lineRule="auto"/>
      <w:ind w:left="1920"/>
      <w:jc w:val="left"/>
    </w:pPr>
    <w:rPr>
      <w:rFonts w:ascii="Aptos" w:eastAsia="Times New Roman" w:hAnsi="Aptos"/>
      <w:kern w:val="2"/>
      <w:szCs w:val="24"/>
      <w:lang w:val="en-GB"/>
      <w14:ligatures w14:val="standardContextual"/>
    </w:rPr>
  </w:style>
  <w:style w:type="numbering" w:customStyle="1" w:styleId="NoList7">
    <w:name w:val="No List7"/>
    <w:next w:val="NoList"/>
    <w:uiPriority w:val="99"/>
    <w:semiHidden/>
    <w:unhideWhenUsed/>
    <w:rsid w:val="000C307D"/>
  </w:style>
  <w:style w:type="table" w:customStyle="1" w:styleId="TableGrid6">
    <w:name w:val="TableGrid6"/>
    <w:rsid w:val="000C307D"/>
    <w:pPr>
      <w:spacing w:after="0" w:line="240" w:lineRule="auto"/>
    </w:pPr>
    <w:rPr>
      <w:rFonts w:eastAsia="Times New Roman"/>
      <w:lang w:val="en-US"/>
    </w:rPr>
    <w:tblPr>
      <w:tblCellMar>
        <w:top w:w="0" w:type="dxa"/>
        <w:left w:w="0" w:type="dxa"/>
        <w:bottom w:w="0" w:type="dxa"/>
        <w:right w:w="0" w:type="dxa"/>
      </w:tblCellMar>
    </w:tblPr>
  </w:style>
  <w:style w:type="paragraph" w:customStyle="1" w:styleId="TOC47">
    <w:name w:val="TOC 47"/>
    <w:basedOn w:val="Normal"/>
    <w:next w:val="Normal"/>
    <w:autoRedefine/>
    <w:uiPriority w:val="39"/>
    <w:unhideWhenUsed/>
    <w:rsid w:val="000C307D"/>
    <w:pPr>
      <w:spacing w:after="100" w:line="278" w:lineRule="auto"/>
      <w:ind w:left="720"/>
      <w:jc w:val="left"/>
    </w:pPr>
    <w:rPr>
      <w:rFonts w:ascii="Aptos" w:eastAsia="Times New Roman" w:hAnsi="Aptos"/>
      <w:kern w:val="2"/>
      <w:szCs w:val="24"/>
      <w:lang w:val="en-GB"/>
      <w14:ligatures w14:val="standardContextual"/>
    </w:rPr>
  </w:style>
  <w:style w:type="paragraph" w:customStyle="1" w:styleId="TOC57">
    <w:name w:val="TOC 57"/>
    <w:basedOn w:val="Normal"/>
    <w:next w:val="Normal"/>
    <w:autoRedefine/>
    <w:uiPriority w:val="39"/>
    <w:unhideWhenUsed/>
    <w:rsid w:val="000C307D"/>
    <w:pPr>
      <w:spacing w:after="100" w:line="278" w:lineRule="auto"/>
      <w:ind w:left="960"/>
      <w:jc w:val="left"/>
    </w:pPr>
    <w:rPr>
      <w:rFonts w:ascii="Aptos" w:eastAsia="Times New Roman" w:hAnsi="Aptos"/>
      <w:kern w:val="2"/>
      <w:szCs w:val="24"/>
      <w:lang w:val="en-GB"/>
      <w14:ligatures w14:val="standardContextual"/>
    </w:rPr>
  </w:style>
  <w:style w:type="paragraph" w:customStyle="1" w:styleId="TOC67">
    <w:name w:val="TOC 67"/>
    <w:basedOn w:val="Normal"/>
    <w:next w:val="Normal"/>
    <w:autoRedefine/>
    <w:uiPriority w:val="39"/>
    <w:unhideWhenUsed/>
    <w:rsid w:val="000C307D"/>
    <w:pPr>
      <w:spacing w:after="100" w:line="278" w:lineRule="auto"/>
      <w:ind w:left="1200"/>
      <w:jc w:val="left"/>
    </w:pPr>
    <w:rPr>
      <w:rFonts w:ascii="Aptos" w:eastAsia="Times New Roman" w:hAnsi="Aptos"/>
      <w:kern w:val="2"/>
      <w:szCs w:val="24"/>
      <w:lang w:val="en-GB"/>
      <w14:ligatures w14:val="standardContextual"/>
    </w:rPr>
  </w:style>
  <w:style w:type="paragraph" w:customStyle="1" w:styleId="TOC77">
    <w:name w:val="TOC 77"/>
    <w:basedOn w:val="Normal"/>
    <w:next w:val="Normal"/>
    <w:autoRedefine/>
    <w:uiPriority w:val="39"/>
    <w:unhideWhenUsed/>
    <w:rsid w:val="000C307D"/>
    <w:pPr>
      <w:spacing w:after="100" w:line="278" w:lineRule="auto"/>
      <w:ind w:left="1440"/>
      <w:jc w:val="left"/>
    </w:pPr>
    <w:rPr>
      <w:rFonts w:ascii="Aptos" w:eastAsia="Times New Roman" w:hAnsi="Aptos"/>
      <w:kern w:val="2"/>
      <w:szCs w:val="24"/>
      <w:lang w:val="en-GB"/>
      <w14:ligatures w14:val="standardContextual"/>
    </w:rPr>
  </w:style>
  <w:style w:type="paragraph" w:customStyle="1" w:styleId="TOC87">
    <w:name w:val="TOC 87"/>
    <w:basedOn w:val="Normal"/>
    <w:next w:val="Normal"/>
    <w:autoRedefine/>
    <w:uiPriority w:val="39"/>
    <w:unhideWhenUsed/>
    <w:rsid w:val="000C307D"/>
    <w:pPr>
      <w:spacing w:after="100" w:line="278" w:lineRule="auto"/>
      <w:ind w:left="1680"/>
      <w:jc w:val="left"/>
    </w:pPr>
    <w:rPr>
      <w:rFonts w:ascii="Aptos" w:eastAsia="Times New Roman" w:hAnsi="Aptos"/>
      <w:kern w:val="2"/>
      <w:szCs w:val="24"/>
      <w:lang w:val="en-GB"/>
      <w14:ligatures w14:val="standardContextual"/>
    </w:rPr>
  </w:style>
  <w:style w:type="paragraph" w:customStyle="1" w:styleId="TOC97">
    <w:name w:val="TOC 97"/>
    <w:basedOn w:val="Normal"/>
    <w:next w:val="Normal"/>
    <w:autoRedefine/>
    <w:uiPriority w:val="39"/>
    <w:unhideWhenUsed/>
    <w:rsid w:val="000C307D"/>
    <w:pPr>
      <w:spacing w:after="100" w:line="278" w:lineRule="auto"/>
      <w:ind w:left="1920"/>
      <w:jc w:val="left"/>
    </w:pPr>
    <w:rPr>
      <w:rFonts w:ascii="Aptos" w:eastAsia="Times New Roman" w:hAnsi="Aptos"/>
      <w:kern w:val="2"/>
      <w:szCs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2.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hyperlink" Target="https://www.brandcatalyser.com/go-to-market-solutions/market-collaboration/" TargetMode="External"/><Relationship Id="rId84" Type="http://schemas.openxmlformats.org/officeDocument/2006/relationships/hyperlink" Target="https://www.academia.edu/download/94681916/s11747-020-00735-120221122-1-2yqylo.pdf" TargetMode="External"/><Relationship Id="rId138" Type="http://schemas.openxmlformats.org/officeDocument/2006/relationships/fontTable" Target="fontTable.xml"/><Relationship Id="rId16" Type="http://schemas.openxmlformats.org/officeDocument/2006/relationships/image" Target="media/image9.png"/><Relationship Id="rId107" Type="http://schemas.openxmlformats.org/officeDocument/2006/relationships/hyperlink" Target="https://www.cell.com/heliyon/pdf/S2405-8440(24)12061-0.pdf"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www.sciencedirect.com/science/article/pii/S0969698923002722" TargetMode="External"/><Relationship Id="rId58" Type="http://schemas.openxmlformats.org/officeDocument/2006/relationships/hyperlink" Target="https://www.researchgate.net/profile/Monica-Chaudhary-2/publication/382632013_Anime_and_influence_on_consumption/links/6a068fd0e93d4619159620eb/Anime-and-influence-on-consumption.pdf" TargetMode="External"/><Relationship Id="rId74" Type="http://schemas.openxmlformats.org/officeDocument/2006/relationships/hyperlink" Target="https://www.researchgate.net/publication/376132041_Research_on_Marketing_Strategies_and_Trends_of_Art_Co-Branding_in_the_Contemporary_Fashion_Industry" TargetMode="External"/><Relationship Id="rId79" Type="http://schemas.openxmlformats.org/officeDocument/2006/relationships/hyperlink" Target="https://journals.sagepub.com/doi/pdf/10.1177/21582440251374604" TargetMode="External"/><Relationship Id="rId102" Type="http://schemas.openxmlformats.org/officeDocument/2006/relationships/hyperlink" Target="https://www.researchgate.net/profile/Julie-Ruth/publication/236980531_Is_a_Company_Known_by_the_Company_It_Keeps_Assessing_the_Spillover_Effects_of_Brand_Alliances_on_Consumer_Brand_Attitudes/links/00b4951e9342abf343000000/Is-a-Company-Known-by-the-Company-It-Keeps-Assessing-the-Spillover-Effects-of-Brand-Alliances-on-Consumer-Brand-Attitudes.pdf" TargetMode="External"/><Relationship Id="rId123" Type="http://schemas.openxmlformats.org/officeDocument/2006/relationships/image" Target="media/image48.png"/><Relationship Id="rId128" Type="http://schemas.openxmlformats.org/officeDocument/2006/relationships/image" Target="media/image53.png"/><Relationship Id="rId5" Type="http://schemas.openxmlformats.org/officeDocument/2006/relationships/footnotes" Target="footnotes.xml"/><Relationship Id="rId90" Type="http://schemas.openxmlformats.org/officeDocument/2006/relationships/hyperlink" Target="https://www.sciencedirect.com/science/article/pii/S0148296323005131" TargetMode="External"/><Relationship Id="rId95" Type="http://schemas.openxmlformats.org/officeDocument/2006/relationships/hyperlink" Target="https://journal.privietlab.org/index.php/PSSJ/article/download/582/285"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hyperlink" Target="https://www.atlantis-press.com/article/126022306.pdf" TargetMode="External"/><Relationship Id="rId69" Type="http://schemas.openxmlformats.org/officeDocument/2006/relationships/hyperlink" Target="https://www.gov.uk/data-protection" TargetMode="External"/><Relationship Id="rId113" Type="http://schemas.openxmlformats.org/officeDocument/2006/relationships/hyperlink" Target="https://www.frontiersin.org/journals/psychology/articles/10.3389/fpsyg.2022.1002275/pdf" TargetMode="External"/><Relationship Id="rId118" Type="http://schemas.openxmlformats.org/officeDocument/2006/relationships/image" Target="media/image43.png"/><Relationship Id="rId134" Type="http://schemas.openxmlformats.org/officeDocument/2006/relationships/image" Target="media/image59.png"/><Relationship Id="rId139" Type="http://schemas.openxmlformats.org/officeDocument/2006/relationships/theme" Target="theme/theme1.xml"/><Relationship Id="rId80" Type="http://schemas.openxmlformats.org/officeDocument/2006/relationships/hyperlink" Target="https://www.mdpi.com/0718-1876/20/2/113" TargetMode="External"/><Relationship Id="rId85" Type="http://schemas.openxmlformats.org/officeDocument/2006/relationships/hyperlink" Target="https://books.google.com/books?hl=en&amp;lr=&amp;id=sldSEQAAQBAJ&amp;oi=fnd&amp;pg=PR1&amp;dq=Nair,+A.J.,+Manohar,+S.,+Mittal,+A.+and+Patwa,+N.+(2025).+Decoding+consumer+behavior+using+the+insight+equation+and+AI+marketing.+Business+Science+Reference&amp;ots=jx2XYZfGrN&amp;sig=oYrqAXCZQqRO7IawZl_QM_aJiZA"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https://www.sciencedirect.com/science/article/am/pii/S0167923621001329" TargetMode="External"/><Relationship Id="rId103" Type="http://schemas.openxmlformats.org/officeDocument/2006/relationships/hyperlink" Target="https://myscp.onlinelibrary.wiley.com/doi/pdf/10.1002/jcpy.70030" TargetMode="External"/><Relationship Id="rId108" Type="http://schemas.openxmlformats.org/officeDocument/2006/relationships/hyperlink" Target="https://pubmed.ncbi.nlm.nih.gov/40871696/" TargetMode="External"/><Relationship Id="rId124" Type="http://schemas.openxmlformats.org/officeDocument/2006/relationships/image" Target="media/image49.png"/><Relationship Id="rId129" Type="http://schemas.openxmlformats.org/officeDocument/2006/relationships/image" Target="media/image54.png"/><Relationship Id="rId54" Type="http://schemas.openxmlformats.org/officeDocument/2006/relationships/hyperlink" Target="https://www.tandfonline.com/doi/pdf/10.1080/00913367.2020.1795756" TargetMode="External"/><Relationship Id="rId70" Type="http://schemas.openxmlformats.org/officeDocument/2006/relationships/hyperlink" Target="https://www.nature.com/articles/s41599-026-07058-6.pdf" TargetMode="External"/><Relationship Id="rId75" Type="http://schemas.openxmlformats.org/officeDocument/2006/relationships/hyperlink" Target="https://journals.sagepub.com/doi/epub/10.1177/25152459241287123" TargetMode="External"/><Relationship Id="rId91" Type="http://schemas.openxmlformats.org/officeDocument/2006/relationships/hyperlink" Target="https://web.archive.org/web/20240415094051/https://citeseerx.ist.psu.edu/document?repid=rep1&amp;type=pdf&amp;doi=5b9d93d501582385e0097865ce95cd33202873ba" TargetMode="External"/><Relationship Id="rId96" Type="http://schemas.openxmlformats.org/officeDocument/2006/relationships/hyperlink" Target="https://link.springer.com/content/pdf/10.1057/s41262-023-00342-9.pdf"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journals.sagepub.com/doi/abs/10.1177/002224299005400102" TargetMode="External"/><Relationship Id="rId114" Type="http://schemas.openxmlformats.org/officeDocument/2006/relationships/hyperlink" Target="https://www.frontiersin.org/journals/psychology/articles/10.3389/fpsyg.2025.1637114/pdf" TargetMode="External"/><Relationship Id="rId119" Type="http://schemas.openxmlformats.org/officeDocument/2006/relationships/image" Target="media/image44.png"/><Relationship Id="rId44" Type="http://schemas.openxmlformats.org/officeDocument/2006/relationships/image" Target="media/image37.png"/><Relationship Id="rId60" Type="http://schemas.openxmlformats.org/officeDocument/2006/relationships/hyperlink" Target="https://link.springer.com/content/pdf/10.1007/978-3-031-38541-4_18.pdf" TargetMode="External"/><Relationship Id="rId65" Type="http://schemas.openxmlformats.org/officeDocument/2006/relationships/hyperlink" Target="https://www.frontiersin.org/journals/communication/articles/10.3389/fcomm.2026.1853345/pdf" TargetMode="External"/><Relationship Id="rId81" Type="http://schemas.openxmlformats.org/officeDocument/2006/relationships/hyperlink" Target="https://journals.sagepub.com/doi/pdf/10.1177/21582440221148620" TargetMode="External"/><Relationship Id="rId86" Type="http://schemas.openxmlformats.org/officeDocument/2006/relationships/hyperlink" Target="https://journals.sagepub.com/doi/pdf/10.1016/j.ausmj.2020.05.004" TargetMode="External"/><Relationship Id="rId130" Type="http://schemas.openxmlformats.org/officeDocument/2006/relationships/image" Target="media/image55.png"/><Relationship Id="rId135" Type="http://schemas.openxmlformats.org/officeDocument/2006/relationships/image" Target="media/image60.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www.researchgate.net/publication/371140605_Multiple_Regression_Methodology_and_Applications" TargetMode="External"/><Relationship Id="rId34" Type="http://schemas.openxmlformats.org/officeDocument/2006/relationships/image" Target="media/image27.png"/><Relationship Id="rId50" Type="http://schemas.openxmlformats.org/officeDocument/2006/relationships/hyperlink" Target="https://www.academia.edu/download/68227075/Digital_traces_of_taste_Airoldi_PREPRINT_RG.pdf" TargetMode="External"/><Relationship Id="rId55" Type="http://schemas.openxmlformats.org/officeDocument/2006/relationships/hyperlink" Target="https://link.springer.com/content/pdf/10.1186/s40359-026-04471-z.pdf" TargetMode="External"/><Relationship Id="rId76" Type="http://schemas.openxmlformats.org/officeDocument/2006/relationships/hyperlink" Target="https://ijrt.org/j/article/download/1070/1012" TargetMode="External"/><Relationship Id="rId97" Type="http://schemas.openxmlformats.org/officeDocument/2006/relationships/hyperlink" Target="https://www.emerald.com/imr/article-pdf/40/7/1/1233706/imr-04-2022-0099.pdf" TargetMode="External"/><Relationship Id="rId104" Type="http://schemas.openxmlformats.org/officeDocument/2006/relationships/hyperlink" Target="https://onlinelibrary.wiley.com/doi/full/10.1111/ijcs.12651" TargetMode="External"/><Relationship Id="rId120" Type="http://schemas.openxmlformats.org/officeDocument/2006/relationships/image" Target="media/image45.png"/><Relationship Id="rId125" Type="http://schemas.openxmlformats.org/officeDocument/2006/relationships/image" Target="media/image50.png"/><Relationship Id="rId7" Type="http://schemas.openxmlformats.org/officeDocument/2006/relationships/image" Target="media/image1.png"/><Relationship Id="rId71" Type="http://schemas.openxmlformats.org/officeDocument/2006/relationships/hyperlink" Target="https://www.ncbi.nlm.nih.gov/books/NBK588708/" TargetMode="External"/><Relationship Id="rId92" Type="http://schemas.openxmlformats.org/officeDocument/2006/relationships/hyperlink" Target="https://www.researchgate.net/publication/337693284_The_Positivism_Paradigm_of_Research" TargetMode="External"/><Relationship Id="rId2" Type="http://schemas.openxmlformats.org/officeDocument/2006/relationships/styles" Target="styles.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fortunebusinessinsights.com/anime-merchandising-market-112249" TargetMode="External"/><Relationship Id="rId87" Type="http://schemas.openxmlformats.org/officeDocument/2006/relationships/hyperlink" Target="https://journals.sagepub.com/doi/abs/10.1177/16094069251354863" TargetMode="External"/><Relationship Id="rId110" Type="http://schemas.openxmlformats.org/officeDocument/2006/relationships/hyperlink" Target="https://www.tandfonline.com/doi/full/10.1080/02678373.2021.1888561" TargetMode="External"/><Relationship Id="rId115" Type="http://schemas.openxmlformats.org/officeDocument/2006/relationships/hyperlink" Target="https://journals.sagepub.com/doi/abs/10.1177/14695405261436266" TargetMode="External"/><Relationship Id="rId131" Type="http://schemas.openxmlformats.org/officeDocument/2006/relationships/image" Target="media/image56.png"/><Relationship Id="rId136" Type="http://schemas.openxmlformats.org/officeDocument/2006/relationships/image" Target="media/image61.png"/><Relationship Id="rId61" Type="http://schemas.openxmlformats.org/officeDocument/2006/relationships/hyperlink" Target="https://www.deloitte.com/global/en/about/press-room/deloitte-2024-gen-z-and-millennial-survey.html" TargetMode="External"/><Relationship Id="rId82" Type="http://schemas.openxmlformats.org/officeDocument/2006/relationships/hyperlink" Target="https://www.frontiersin.org/journals/psychology/articles/10.3389/fpsyg.2022.779519/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www.researchgate.net/profile/Vikas-Arya-10/publication/331962268_Brand_Authenticity_and_Brand_Attachment_How_Online_Communities_Built_on_Social_Networking_Vehicles_Moderate_the_Consumers'_Brand_Attachment/links/69809e7e42f94d1212a5d3db/Brand-Authenticity-and-Brand-Attachment-How-Online-Communities-Built-on-Social-Networking-Vehicles-Moderate-the-Consumers-Brand-Attachment.pdf" TargetMode="External"/><Relationship Id="rId77" Type="http://schemas.openxmlformats.org/officeDocument/2006/relationships/hyperlink" Target="https://doi.org/10.3390/encyclopedia5020065" TargetMode="External"/><Relationship Id="rId100" Type="http://schemas.openxmlformats.org/officeDocument/2006/relationships/hyperlink" Target="https://www.researchgate.net/publication/385828054_Survey_Research_Descriptive_and_Analytical_Power_Types_and_Usages" TargetMode="External"/><Relationship Id="rId105" Type="http://schemas.openxmlformats.org/officeDocument/2006/relationships/hyperlink" Target="https://journals.sagepub.com/doi/pdf/10.1177/03128962231177096" TargetMode="External"/><Relationship Id="rId126" Type="http://schemas.openxmlformats.org/officeDocument/2006/relationships/image" Target="media/image51.png"/><Relationship Id="rId8" Type="http://schemas.openxmlformats.org/officeDocument/2006/relationships/footer" Target="footer1.xml"/><Relationship Id="rId51" Type="http://schemas.openxmlformats.org/officeDocument/2006/relationships/hyperlink" Target="https://ojs.unbc.ca/index.php/design/article/download/1887/1414" TargetMode="External"/><Relationship Id="rId72" Type="http://schemas.openxmlformats.org/officeDocument/2006/relationships/hyperlink" Target="https://www.mdpi.com/2071-1050/17/13/5734" TargetMode="External"/><Relationship Id="rId93" Type="http://schemas.openxmlformats.org/officeDocument/2006/relationships/hyperlink" Target="https://link.springer.com/content/pdf/10.1007/978-3-031-38541-4_17.pdf" TargetMode="External"/><Relationship Id="rId98" Type="http://schemas.openxmlformats.org/officeDocument/2006/relationships/hyperlink" Target="https://dergipark.org.tr/en/download/article-file/2941307" TargetMode="External"/><Relationship Id="rId121" Type="http://schemas.openxmlformats.org/officeDocument/2006/relationships/image" Target="media/image46.png"/><Relationship Id="rId3" Type="http://schemas.openxmlformats.org/officeDocument/2006/relationships/settings" Target="setting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hyperlink" Target="https://doi.org/10.47191/ijmra/v6-i8-52" TargetMode="External"/><Relationship Id="rId116" Type="http://schemas.openxmlformats.org/officeDocument/2006/relationships/hyperlink" Target="https://forms.gle/AfEirvL4GrgZmF7eA" TargetMode="External"/><Relationship Id="rId137" Type="http://schemas.openxmlformats.org/officeDocument/2006/relationships/footer" Target="footer2.xm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https://www.mdpi.com/2071-1050/17/9/4133" TargetMode="External"/><Relationship Id="rId83" Type="http://schemas.openxmlformats.org/officeDocument/2006/relationships/hyperlink" Target="https://www.mdpi.com/2071-1050/15/10/8137" TargetMode="External"/><Relationship Id="rId88" Type="http://schemas.openxmlformats.org/officeDocument/2006/relationships/hyperlink" Target="https://www.researchgate.net/publication/372054290_Inductive_abductive_and_deductive_theorising" TargetMode="External"/><Relationship Id="rId111" Type="http://schemas.openxmlformats.org/officeDocument/2006/relationships/hyperlink" Target="https://www.researchgate.net/profile/Darrin-Thomas/publication/370630979_Quantitative_Research_Designs/links/645a8b0c2edb8e5f094afcfe/Quantitative-Research-Designs.pdf" TargetMode="External"/><Relationship Id="rId132" Type="http://schemas.openxmlformats.org/officeDocument/2006/relationships/image" Target="media/image57.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pmc.ncbi.nlm.nih.gov/articles/PMC7722257/pdf/11135_2020_Article_1072.pdf" TargetMode="External"/><Relationship Id="rId106" Type="http://schemas.openxmlformats.org/officeDocument/2006/relationships/hyperlink" Target="https://journals.sagepub.com/doi/pdf/10.1177/2158244020919535" TargetMode="External"/><Relationship Id="rId127" Type="http://schemas.openxmlformats.org/officeDocument/2006/relationships/image" Target="media/image52.png"/><Relationship Id="rId10" Type="http://schemas.openxmlformats.org/officeDocument/2006/relationships/image" Target="media/image3.svg"/><Relationship Id="rId31" Type="http://schemas.openxmlformats.org/officeDocument/2006/relationships/image" Target="media/image24.png"/><Relationship Id="rId52" Type="http://schemas.openxmlformats.org/officeDocument/2006/relationships/hyperlink" Target="https://www.emerald.com/ejmbe/article-pdf/33/4/394/9507577/ejmbe-06-2023-0179.pdf" TargetMode="External"/><Relationship Id="rId73" Type="http://schemas.openxmlformats.org/officeDocument/2006/relationships/hyperlink" Target="https://www.researchgate.net/profile/Colleen-Harmeling/publication/375751639_Toward_a_theory_of_consumer_digital_trust_Meta-analytic_evidence_of_its_role_in_the_effectiveness_of_user-generated_content/links/656f6894fd4c91437ba4cff4/Toward-a-theory-of-consumer-digital-trust-Meta-analytic-evidence-of-its-role-in-the-effectiveness-of-user-generated-content.pdf" TargetMode="External"/><Relationship Id="rId78" Type="http://schemas.openxmlformats.org/officeDocument/2006/relationships/hyperlink" Target="https://www.researchgate.net/publication/388654893_Likert-Type_Scale" TargetMode="External"/><Relationship Id="rId94" Type="http://schemas.openxmlformats.org/officeDocument/2006/relationships/hyperlink" Target="https://www.mdpi.com/0718-1876/20/2/71" TargetMode="External"/><Relationship Id="rId99" Type="http://schemas.openxmlformats.org/officeDocument/2006/relationships/hyperlink" Target="https://www.researchgate.net/publication/323388613_Correlation_Coefficients_Appropriate_Use_and_Interpretation" TargetMode="External"/><Relationship Id="rId101" Type="http://schemas.openxmlformats.org/officeDocument/2006/relationships/hyperlink" Target="https://www.researchgate.net/profile/Hyunju-Shin/publication/352293800_Is_it_love_or_just_like_Generation_Z's_brand_relationship_with_luxury/links/62410e4057084c718b705b5f/Is-it-love-or-just-like-Generation-Zs-brand-relationship-with-luxury.pdf" TargetMode="External"/><Relationship Id="rId122" Type="http://schemas.openxmlformats.org/officeDocument/2006/relationships/image" Target="media/image47.png"/><Relationship Id="rId4" Type="http://schemas.openxmlformats.org/officeDocument/2006/relationships/webSettings" Target="web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hyperlink" Target="https://www.researchgate.net/publication/366390016_Convenience_Sampling" TargetMode="External"/><Relationship Id="rId89" Type="http://schemas.openxmlformats.org/officeDocument/2006/relationships/hyperlink" Target="https://www.emerald.com/ijrdm/article-pdf/52/13/103/9479191/ijrdm-09-2023-0552.pdf" TargetMode="External"/><Relationship Id="rId112" Type="http://schemas.openxmlformats.org/officeDocument/2006/relationships/hyperlink" Target="https://journal.chestnet.org/article/S0012-3692(20)30462-1/fulltext" TargetMode="External"/><Relationship Id="rId133" Type="http://schemas.openxmlformats.org/officeDocument/2006/relationships/image" Target="media/image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TotalTime>
  <Pages>112</Pages>
  <Words>23178</Words>
  <Characters>132120</Characters>
  <Application>Microsoft Office Word</Application>
  <DocSecurity>0</DocSecurity>
  <Lines>1101</Lines>
  <Paragraphs>309</Paragraphs>
  <ScaleCrop>false</ScaleCrop>
  <Company/>
  <LinksUpToDate>false</LinksUpToDate>
  <CharactersWithSpaces>154989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Hasibur Rahman</dc:creator>
  <cp:keywords/>
  <dc:description/>
  <cp:lastModifiedBy>Hasibur Rahman</cp:lastModifiedBy>
  <cp:revision>110</cp:revision>
  <dcterms:created xsi:type="dcterms:W3CDTF">2026-08-04T12:04:00Z</dcterms:created>
  <dcterms:modified xsi:type="dcterms:W3CDTF">2026-09-24T22:08:00Z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06bbd18c-6537-469c-93d9-b94b0ee093d6</vt:lpwstr>
  </property>
</Properties>
</file>