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1617C5" w14:textId="77777777" w:rsidR="00552B38" w:rsidRDefault="00552B38" w:rsidP="00552B38">
      <w:r>
        <w:rPr>
          <w:noProof/>
        </w:rPr>
        <w:drawing>
          <wp:inline distT="0" distB="0" distL="0" distR="0" wp14:anchorId="7919B581" wp14:editId="6A5506A1">
            <wp:extent cx="5715000" cy="1895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1895475"/>
                    </a:xfrm>
                    <a:prstGeom prst="rect">
                      <a:avLst/>
                    </a:prstGeom>
                    <a:noFill/>
                  </pic:spPr>
                </pic:pic>
              </a:graphicData>
            </a:graphic>
          </wp:inline>
        </w:drawing>
      </w:r>
    </w:p>
    <w:p w14:paraId="4C9ACE09" w14:textId="77777777" w:rsidR="00552B38" w:rsidRDefault="00552B38" w:rsidP="00552B38"/>
    <w:p w14:paraId="69DF1791" w14:textId="77777777" w:rsidR="00552B38" w:rsidRDefault="00552B38" w:rsidP="00552B38"/>
    <w:p w14:paraId="2E980FE3" w14:textId="77777777" w:rsidR="00552B38" w:rsidRDefault="00552B38" w:rsidP="00552B38">
      <w:pPr>
        <w:jc w:val="center"/>
        <w:rPr>
          <w:b/>
          <w:bCs/>
          <w:sz w:val="52"/>
          <w:szCs w:val="52"/>
        </w:rPr>
      </w:pPr>
      <w:r w:rsidRPr="00D557C5">
        <w:rPr>
          <w:b/>
          <w:bCs/>
          <w:sz w:val="52"/>
          <w:szCs w:val="52"/>
        </w:rPr>
        <w:t>BA(Hons) Business Management</w:t>
      </w:r>
    </w:p>
    <w:p w14:paraId="42B10926" w14:textId="77777777" w:rsidR="00552B38" w:rsidRPr="00D557C5" w:rsidRDefault="00552B38" w:rsidP="00552B38">
      <w:pPr>
        <w:jc w:val="center"/>
        <w:rPr>
          <w:rFonts w:ascii="Arial" w:hAnsi="Arial" w:cs="Arial"/>
          <w:b/>
          <w:bCs/>
          <w:sz w:val="52"/>
          <w:szCs w:val="52"/>
        </w:rPr>
      </w:pPr>
    </w:p>
    <w:p w14:paraId="1AA634C2" w14:textId="77777777" w:rsidR="00552B38" w:rsidRDefault="00552B38" w:rsidP="00552B38">
      <w:pPr>
        <w:spacing w:line="600" w:lineRule="auto"/>
        <w:rPr>
          <w:rFonts w:ascii="Arial" w:hAnsi="Arial" w:cs="Arial"/>
          <w:i/>
          <w:iCs/>
        </w:rPr>
      </w:pPr>
    </w:p>
    <w:p w14:paraId="7542C047" w14:textId="7E48BF62" w:rsidR="00552B38" w:rsidRPr="00552B38" w:rsidRDefault="00552B38" w:rsidP="00552B38">
      <w:pPr>
        <w:spacing w:line="600" w:lineRule="auto"/>
        <w:rPr>
          <w:rFonts w:ascii="Arial" w:hAnsi="Arial" w:cs="Arial"/>
          <w:i/>
          <w:iCs/>
          <w:sz w:val="22"/>
          <w:szCs w:val="22"/>
        </w:rPr>
      </w:pPr>
      <w:r w:rsidRPr="00552B38">
        <w:rPr>
          <w:rFonts w:ascii="Arial" w:hAnsi="Arial" w:cs="Arial"/>
          <w:b/>
          <w:bCs/>
          <w:i/>
          <w:iCs/>
          <w:sz w:val="22"/>
          <w:szCs w:val="22"/>
        </w:rPr>
        <w:t xml:space="preserve">Student Name: </w:t>
      </w:r>
      <w:r w:rsidRPr="00552B38">
        <w:rPr>
          <w:rFonts w:ascii="Arial" w:hAnsi="Arial" w:cs="Arial"/>
          <w:i/>
          <w:iCs/>
          <w:sz w:val="22"/>
          <w:szCs w:val="22"/>
        </w:rPr>
        <w:t>Laszlo Balogh</w:t>
      </w:r>
    </w:p>
    <w:p w14:paraId="1CD760C7" w14:textId="38D3FE94" w:rsidR="00552B38" w:rsidRPr="00552B38" w:rsidRDefault="00552B38" w:rsidP="00552B38">
      <w:pPr>
        <w:spacing w:line="600" w:lineRule="auto"/>
        <w:rPr>
          <w:rFonts w:ascii="Arial" w:hAnsi="Arial" w:cs="Arial"/>
          <w:b/>
          <w:bCs/>
          <w:i/>
          <w:iCs/>
          <w:sz w:val="22"/>
          <w:szCs w:val="22"/>
        </w:rPr>
      </w:pPr>
      <w:r w:rsidRPr="00552B38">
        <w:rPr>
          <w:rFonts w:ascii="Arial" w:hAnsi="Arial" w:cs="Arial"/>
          <w:b/>
          <w:bCs/>
          <w:i/>
          <w:iCs/>
          <w:sz w:val="22"/>
          <w:szCs w:val="22"/>
        </w:rPr>
        <w:t>Student Number:</w:t>
      </w:r>
      <w:r w:rsidRPr="00552B38">
        <w:rPr>
          <w:rFonts w:ascii="Arial" w:hAnsi="Arial" w:cs="Arial"/>
          <w:b/>
          <w:bCs/>
          <w:i/>
          <w:iCs/>
          <w:sz w:val="22"/>
          <w:szCs w:val="22"/>
        </w:rPr>
        <w:t xml:space="preserve"> </w:t>
      </w:r>
      <w:r w:rsidRPr="00552B38">
        <w:rPr>
          <w:rFonts w:ascii="Arial" w:hAnsi="Arial" w:cs="Arial"/>
          <w:i/>
          <w:iCs/>
          <w:sz w:val="22"/>
          <w:szCs w:val="22"/>
        </w:rPr>
        <w:t>2441884</w:t>
      </w:r>
    </w:p>
    <w:p w14:paraId="164121FC" w14:textId="77777777" w:rsidR="00552B38" w:rsidRPr="00552B38" w:rsidRDefault="00552B38" w:rsidP="00552B38">
      <w:pPr>
        <w:spacing w:line="600" w:lineRule="auto"/>
        <w:rPr>
          <w:rFonts w:ascii="Arial" w:hAnsi="Arial" w:cs="Arial"/>
          <w:i/>
          <w:iCs/>
          <w:sz w:val="22"/>
          <w:szCs w:val="22"/>
        </w:rPr>
      </w:pPr>
      <w:r w:rsidRPr="00552B38">
        <w:rPr>
          <w:rFonts w:ascii="Arial" w:hAnsi="Arial" w:cs="Arial"/>
          <w:b/>
          <w:bCs/>
          <w:i/>
          <w:iCs/>
          <w:sz w:val="22"/>
          <w:szCs w:val="22"/>
        </w:rPr>
        <w:t>Course Name:</w:t>
      </w:r>
      <w:r w:rsidRPr="00552B38">
        <w:rPr>
          <w:rFonts w:ascii="Arial" w:hAnsi="Arial" w:cs="Arial"/>
          <w:i/>
          <w:iCs/>
          <w:sz w:val="22"/>
          <w:szCs w:val="22"/>
        </w:rPr>
        <w:t xml:space="preserve"> Global Business Environment LCBB4016</w:t>
      </w:r>
    </w:p>
    <w:p w14:paraId="4CCC259D" w14:textId="7154CACD" w:rsidR="00552B38" w:rsidRPr="00552B38" w:rsidRDefault="00552B38" w:rsidP="00552B38">
      <w:pPr>
        <w:spacing w:line="600" w:lineRule="auto"/>
        <w:rPr>
          <w:rFonts w:ascii="Arial" w:hAnsi="Arial" w:cs="Arial"/>
          <w:i/>
          <w:iCs/>
          <w:sz w:val="22"/>
          <w:szCs w:val="22"/>
        </w:rPr>
      </w:pPr>
      <w:r w:rsidRPr="00552B38">
        <w:rPr>
          <w:rFonts w:ascii="Arial" w:hAnsi="Arial" w:cs="Arial"/>
          <w:b/>
          <w:bCs/>
          <w:i/>
          <w:iCs/>
          <w:sz w:val="22"/>
          <w:szCs w:val="22"/>
        </w:rPr>
        <w:t xml:space="preserve">Lecturer Name: </w:t>
      </w:r>
      <w:r w:rsidRPr="00552B38">
        <w:rPr>
          <w:rFonts w:ascii="Arial" w:hAnsi="Arial" w:cs="Arial"/>
          <w:sz w:val="22"/>
          <w:szCs w:val="22"/>
        </w:rPr>
        <w:t>Dr Oluwagbenga Seyingbo</w:t>
      </w:r>
    </w:p>
    <w:p w14:paraId="7DDCEEDC" w14:textId="77777777" w:rsidR="00552B38" w:rsidRPr="00552B38" w:rsidRDefault="00552B38" w:rsidP="00552B38">
      <w:pPr>
        <w:spacing w:line="600" w:lineRule="auto"/>
        <w:rPr>
          <w:rFonts w:ascii="Arial" w:hAnsi="Arial" w:cs="Arial"/>
          <w:b/>
          <w:bCs/>
          <w:i/>
          <w:iCs/>
          <w:sz w:val="22"/>
          <w:szCs w:val="22"/>
        </w:rPr>
      </w:pPr>
      <w:r w:rsidRPr="00552B38">
        <w:rPr>
          <w:rFonts w:ascii="Arial" w:hAnsi="Arial" w:cs="Arial"/>
          <w:b/>
          <w:bCs/>
          <w:i/>
          <w:iCs/>
          <w:sz w:val="22"/>
          <w:szCs w:val="22"/>
        </w:rPr>
        <w:t>Session</w:t>
      </w:r>
      <w:r w:rsidRPr="00552B38">
        <w:rPr>
          <w:rFonts w:ascii="Arial" w:hAnsi="Arial" w:cs="Arial"/>
          <w:i/>
          <w:iCs/>
          <w:sz w:val="22"/>
          <w:szCs w:val="22"/>
        </w:rPr>
        <w:t>: February 2026</w:t>
      </w:r>
      <w:r w:rsidRPr="00552B38">
        <w:rPr>
          <w:rFonts w:ascii="Arial" w:hAnsi="Arial" w:cs="Arial"/>
          <w:b/>
          <w:bCs/>
          <w:i/>
          <w:iCs/>
          <w:sz w:val="22"/>
          <w:szCs w:val="22"/>
        </w:rPr>
        <w:t xml:space="preserve"> </w:t>
      </w:r>
      <w:r w:rsidRPr="00552B38">
        <w:rPr>
          <w:rFonts w:ascii="Arial" w:hAnsi="Arial" w:cs="Arial"/>
          <w:i/>
          <w:iCs/>
          <w:sz w:val="22"/>
          <w:szCs w:val="22"/>
        </w:rPr>
        <w:t xml:space="preserve">Term </w:t>
      </w:r>
    </w:p>
    <w:p w14:paraId="1FC45E04" w14:textId="77777777" w:rsidR="00552B38" w:rsidRDefault="00552B38" w:rsidP="00552B38">
      <w:pPr>
        <w:spacing w:line="600" w:lineRule="auto"/>
        <w:rPr>
          <w:rFonts w:ascii="Arial" w:hAnsi="Arial" w:cs="Arial"/>
          <w:b/>
          <w:bCs/>
          <w:i/>
          <w:iCs/>
        </w:rPr>
      </w:pPr>
    </w:p>
    <w:p w14:paraId="4B578F1A" w14:textId="77777777" w:rsidR="00552B38" w:rsidRDefault="00552B38" w:rsidP="00552B38">
      <w:pPr>
        <w:spacing w:line="600" w:lineRule="auto"/>
        <w:rPr>
          <w:rFonts w:ascii="Arial" w:hAnsi="Arial" w:cs="Arial"/>
          <w:b/>
          <w:bCs/>
          <w:i/>
          <w:iCs/>
        </w:rPr>
      </w:pPr>
    </w:p>
    <w:p w14:paraId="6E54FEBA" w14:textId="77777777" w:rsidR="00552B38" w:rsidRDefault="00552B38">
      <w:pPr>
        <w:rPr>
          <w:rFonts w:ascii="Arial" w:hAnsi="Arial" w:cs="Arial"/>
          <w:sz w:val="22"/>
          <w:szCs w:val="22"/>
        </w:rPr>
      </w:pPr>
    </w:p>
    <w:p w14:paraId="6B0E9DE1" w14:textId="77777777" w:rsidR="00552B38" w:rsidRDefault="00552B38">
      <w:pPr>
        <w:rPr>
          <w:rFonts w:ascii="Arial" w:hAnsi="Arial" w:cs="Arial"/>
          <w:sz w:val="22"/>
          <w:szCs w:val="22"/>
        </w:rPr>
      </w:pPr>
    </w:p>
    <w:p w14:paraId="653FD4AC" w14:textId="77777777" w:rsidR="00552B38" w:rsidRDefault="00552B38">
      <w:pPr>
        <w:rPr>
          <w:rFonts w:ascii="Arial" w:hAnsi="Arial" w:cs="Arial"/>
          <w:sz w:val="22"/>
          <w:szCs w:val="22"/>
        </w:rPr>
      </w:pPr>
    </w:p>
    <w:p w14:paraId="02DB43C7" w14:textId="77777777" w:rsidR="00552B38" w:rsidRDefault="00552B38">
      <w:pPr>
        <w:rPr>
          <w:rFonts w:ascii="Arial" w:hAnsi="Arial" w:cs="Arial"/>
          <w:sz w:val="22"/>
          <w:szCs w:val="22"/>
        </w:rPr>
      </w:pPr>
    </w:p>
    <w:p w14:paraId="675D87B1" w14:textId="77777777" w:rsidR="00552B38" w:rsidRDefault="00552B38">
      <w:pPr>
        <w:rPr>
          <w:rFonts w:ascii="Arial" w:hAnsi="Arial" w:cs="Arial"/>
          <w:sz w:val="22"/>
          <w:szCs w:val="22"/>
        </w:rPr>
      </w:pPr>
    </w:p>
    <w:p w14:paraId="42CAA6EF" w14:textId="77777777" w:rsidR="00552B38" w:rsidRDefault="00552B38">
      <w:pPr>
        <w:rPr>
          <w:rFonts w:ascii="Arial" w:hAnsi="Arial" w:cs="Arial"/>
          <w:sz w:val="22"/>
          <w:szCs w:val="22"/>
        </w:rPr>
      </w:pPr>
    </w:p>
    <w:p w14:paraId="1D4FDCB5" w14:textId="77777777" w:rsidR="00552B38" w:rsidRDefault="00552B38">
      <w:pPr>
        <w:rPr>
          <w:rFonts w:ascii="Arial" w:hAnsi="Arial" w:cs="Arial"/>
          <w:sz w:val="22"/>
          <w:szCs w:val="22"/>
        </w:rPr>
      </w:pPr>
    </w:p>
    <w:p w14:paraId="618C63E6" w14:textId="77777777" w:rsidR="00552B38" w:rsidRDefault="00552B38">
      <w:pPr>
        <w:rPr>
          <w:rFonts w:ascii="Arial" w:hAnsi="Arial" w:cs="Arial"/>
          <w:sz w:val="22"/>
          <w:szCs w:val="22"/>
        </w:rPr>
      </w:pPr>
    </w:p>
    <w:sdt>
      <w:sdtPr>
        <w:rPr>
          <w:rFonts w:ascii="Arial" w:hAnsi="Arial" w:cs="Arial"/>
          <w:sz w:val="22"/>
          <w:szCs w:val="22"/>
        </w:rPr>
        <w:id w:val="-1078121771"/>
        <w:docPartObj>
          <w:docPartGallery w:val="Table of Contents"/>
          <w:docPartUnique/>
        </w:docPartObj>
      </w:sdtPr>
      <w:sdtContent>
        <w:p w14:paraId="5EA67157" w14:textId="77777777" w:rsidR="00DB05CA" w:rsidRPr="00DB05CA" w:rsidRDefault="00DB05CA" w:rsidP="00882DB4">
          <w:pPr>
            <w:spacing w:line="600" w:lineRule="auto"/>
            <w:rPr>
              <w:rFonts w:ascii="Arial" w:hAnsi="Arial" w:cs="Arial"/>
              <w:b/>
              <w:bCs/>
              <w:sz w:val="22"/>
              <w:szCs w:val="22"/>
              <w:lang w:val="en-US"/>
            </w:rPr>
          </w:pPr>
          <w:r w:rsidRPr="00DB05CA">
            <w:rPr>
              <w:rFonts w:ascii="Arial" w:hAnsi="Arial" w:cs="Arial"/>
              <w:b/>
              <w:bCs/>
              <w:sz w:val="22"/>
              <w:szCs w:val="22"/>
              <w:lang w:val="en-US"/>
            </w:rPr>
            <w:t>Table of Contents</w:t>
          </w:r>
        </w:p>
        <w:p w14:paraId="32570F77" w14:textId="778906D7" w:rsidR="00DB05CA" w:rsidRPr="00DB05CA" w:rsidRDefault="00DB05CA" w:rsidP="00882DB4">
          <w:pPr>
            <w:spacing w:line="600" w:lineRule="auto"/>
            <w:rPr>
              <w:rFonts w:ascii="Arial" w:hAnsi="Arial" w:cs="Arial"/>
              <w:b/>
              <w:bCs/>
              <w:sz w:val="22"/>
              <w:szCs w:val="22"/>
            </w:rPr>
          </w:pPr>
          <w:r w:rsidRPr="00DB05CA">
            <w:rPr>
              <w:rFonts w:ascii="Arial" w:hAnsi="Arial" w:cs="Arial"/>
              <w:b/>
              <w:bCs/>
              <w:sz w:val="22"/>
              <w:szCs w:val="22"/>
            </w:rPr>
            <w:fldChar w:fldCharType="begin"/>
          </w:r>
          <w:r w:rsidRPr="00DB05CA">
            <w:rPr>
              <w:rFonts w:ascii="Arial" w:hAnsi="Arial" w:cs="Arial"/>
              <w:b/>
              <w:bCs/>
              <w:sz w:val="22"/>
              <w:szCs w:val="22"/>
            </w:rPr>
            <w:instrText xml:space="preserve"> TOC \o "1-3" \h \z \u </w:instrText>
          </w:r>
          <w:r w:rsidRPr="00DB05CA">
            <w:rPr>
              <w:rFonts w:ascii="Arial" w:hAnsi="Arial" w:cs="Arial"/>
              <w:b/>
              <w:bCs/>
              <w:sz w:val="22"/>
              <w:szCs w:val="22"/>
            </w:rPr>
            <w:fldChar w:fldCharType="separate"/>
          </w:r>
          <w:hyperlink r:id="rId6" w:anchor="_Toc193534689" w:history="1">
            <w:r w:rsidRPr="00DB05CA">
              <w:rPr>
                <w:rStyle w:val="Hyperlink"/>
                <w:rFonts w:ascii="Arial" w:hAnsi="Arial" w:cs="Arial"/>
                <w:b/>
                <w:bCs/>
                <w:sz w:val="22"/>
                <w:szCs w:val="22"/>
              </w:rPr>
              <w:t>Introduction</w:t>
            </w:r>
            <w:r w:rsidRPr="00DB05CA">
              <w:rPr>
                <w:rStyle w:val="Hyperlink"/>
                <w:rFonts w:ascii="Arial" w:hAnsi="Arial" w:cs="Arial"/>
                <w:b/>
                <w:bCs/>
                <w:webHidden/>
                <w:sz w:val="22"/>
                <w:szCs w:val="22"/>
              </w:rPr>
              <w:tab/>
            </w:r>
            <w:r w:rsidRPr="00882DB4">
              <w:rPr>
                <w:rStyle w:val="Hyperlink"/>
                <w:rFonts w:ascii="Arial" w:hAnsi="Arial" w:cs="Arial"/>
                <w:b/>
                <w:bCs/>
                <w:webHidden/>
                <w:sz w:val="22"/>
                <w:szCs w:val="22"/>
              </w:rPr>
              <w:t>………………………………………….</w:t>
            </w:r>
            <w:r w:rsidRPr="00DB05CA">
              <w:rPr>
                <w:rStyle w:val="Hyperlink"/>
                <w:rFonts w:ascii="Arial" w:hAnsi="Arial" w:cs="Arial"/>
                <w:b/>
                <w:bCs/>
                <w:webHidden/>
                <w:sz w:val="22"/>
                <w:szCs w:val="22"/>
              </w:rPr>
              <w:fldChar w:fldCharType="begin"/>
            </w:r>
            <w:r w:rsidRPr="00DB05CA">
              <w:rPr>
                <w:rStyle w:val="Hyperlink"/>
                <w:rFonts w:ascii="Arial" w:hAnsi="Arial" w:cs="Arial"/>
                <w:b/>
                <w:bCs/>
                <w:webHidden/>
                <w:sz w:val="22"/>
                <w:szCs w:val="22"/>
              </w:rPr>
              <w:instrText xml:space="preserve"> PAGEREF _Toc193534689 \h </w:instrText>
            </w:r>
            <w:r w:rsidRPr="00DB05CA">
              <w:rPr>
                <w:rStyle w:val="Hyperlink"/>
                <w:rFonts w:ascii="Arial" w:hAnsi="Arial" w:cs="Arial"/>
                <w:b/>
                <w:bCs/>
                <w:webHidden/>
                <w:sz w:val="22"/>
                <w:szCs w:val="22"/>
              </w:rPr>
            </w:r>
            <w:r w:rsidRPr="00DB05CA">
              <w:rPr>
                <w:rStyle w:val="Hyperlink"/>
                <w:rFonts w:ascii="Arial" w:hAnsi="Arial" w:cs="Arial"/>
                <w:b/>
                <w:bCs/>
                <w:webHidden/>
                <w:sz w:val="22"/>
                <w:szCs w:val="22"/>
              </w:rPr>
              <w:fldChar w:fldCharType="separate"/>
            </w:r>
            <w:r w:rsidRPr="00DB05CA">
              <w:rPr>
                <w:rStyle w:val="Hyperlink"/>
                <w:rFonts w:ascii="Arial" w:hAnsi="Arial" w:cs="Arial"/>
                <w:b/>
                <w:bCs/>
                <w:webHidden/>
                <w:sz w:val="22"/>
                <w:szCs w:val="22"/>
              </w:rPr>
              <w:t>3</w:t>
            </w:r>
            <w:r w:rsidRPr="00DB05CA">
              <w:rPr>
                <w:rStyle w:val="Hyperlink"/>
                <w:rFonts w:ascii="Arial" w:hAnsi="Arial" w:cs="Arial"/>
                <w:b/>
                <w:bCs/>
                <w:webHidden/>
                <w:sz w:val="22"/>
                <w:szCs w:val="22"/>
              </w:rPr>
              <w:fldChar w:fldCharType="end"/>
            </w:r>
          </w:hyperlink>
        </w:p>
        <w:p w14:paraId="50F9218B" w14:textId="58F7A60E" w:rsidR="00DB05CA" w:rsidRPr="00DB05CA" w:rsidRDefault="00DB05CA" w:rsidP="00882DB4">
          <w:pPr>
            <w:spacing w:line="600" w:lineRule="auto"/>
            <w:rPr>
              <w:rFonts w:ascii="Arial" w:hAnsi="Arial" w:cs="Arial"/>
              <w:b/>
              <w:bCs/>
              <w:sz w:val="22"/>
              <w:szCs w:val="22"/>
            </w:rPr>
          </w:pPr>
          <w:hyperlink r:id="rId7" w:anchor="_Toc193534690" w:history="1">
            <w:r w:rsidRPr="00882DB4">
              <w:rPr>
                <w:rFonts w:ascii="Arial" w:hAnsi="Arial" w:cs="Arial"/>
                <w:b/>
                <w:bCs/>
                <w:sz w:val="22"/>
                <w:szCs w:val="22"/>
              </w:rPr>
              <w:t>Opportunities and Challenges</w:t>
            </w:r>
            <w:r w:rsidRPr="00882DB4">
              <w:rPr>
                <w:rFonts w:ascii="Arial" w:hAnsi="Arial" w:cs="Arial"/>
                <w:b/>
                <w:bCs/>
                <w:sz w:val="22"/>
                <w:szCs w:val="22"/>
              </w:rPr>
              <w:t xml:space="preserve">   …………………...</w:t>
            </w:r>
            <w:r w:rsidRPr="00DB05CA">
              <w:rPr>
                <w:rStyle w:val="Hyperlink"/>
                <w:rFonts w:ascii="Arial" w:hAnsi="Arial" w:cs="Arial"/>
                <w:b/>
                <w:bCs/>
                <w:webHidden/>
                <w:sz w:val="22"/>
                <w:szCs w:val="22"/>
              </w:rPr>
              <w:fldChar w:fldCharType="begin"/>
            </w:r>
            <w:r w:rsidRPr="00DB05CA">
              <w:rPr>
                <w:rStyle w:val="Hyperlink"/>
                <w:rFonts w:ascii="Arial" w:hAnsi="Arial" w:cs="Arial"/>
                <w:b/>
                <w:bCs/>
                <w:webHidden/>
                <w:sz w:val="22"/>
                <w:szCs w:val="22"/>
              </w:rPr>
              <w:instrText xml:space="preserve"> PAGEREF _Toc193534690 \h </w:instrText>
            </w:r>
            <w:r w:rsidRPr="00DB05CA">
              <w:rPr>
                <w:rStyle w:val="Hyperlink"/>
                <w:rFonts w:ascii="Arial" w:hAnsi="Arial" w:cs="Arial"/>
                <w:b/>
                <w:bCs/>
                <w:webHidden/>
                <w:sz w:val="22"/>
                <w:szCs w:val="22"/>
              </w:rPr>
            </w:r>
            <w:r w:rsidRPr="00DB05CA">
              <w:rPr>
                <w:rStyle w:val="Hyperlink"/>
                <w:rFonts w:ascii="Arial" w:hAnsi="Arial" w:cs="Arial"/>
                <w:b/>
                <w:bCs/>
                <w:webHidden/>
                <w:sz w:val="22"/>
                <w:szCs w:val="22"/>
              </w:rPr>
              <w:fldChar w:fldCharType="separate"/>
            </w:r>
            <w:r w:rsidRPr="00DB05CA">
              <w:rPr>
                <w:rStyle w:val="Hyperlink"/>
                <w:rFonts w:ascii="Arial" w:hAnsi="Arial" w:cs="Arial"/>
                <w:b/>
                <w:bCs/>
                <w:webHidden/>
                <w:sz w:val="22"/>
                <w:szCs w:val="22"/>
              </w:rPr>
              <w:t>3</w:t>
            </w:r>
            <w:r w:rsidRPr="00DB05CA">
              <w:rPr>
                <w:rStyle w:val="Hyperlink"/>
                <w:rFonts w:ascii="Arial" w:hAnsi="Arial" w:cs="Arial"/>
                <w:b/>
                <w:bCs/>
                <w:webHidden/>
                <w:sz w:val="22"/>
                <w:szCs w:val="22"/>
              </w:rPr>
              <w:fldChar w:fldCharType="end"/>
            </w:r>
          </w:hyperlink>
        </w:p>
        <w:p w14:paraId="008DF6F7" w14:textId="4C607C48" w:rsidR="00DB05CA" w:rsidRPr="00DB05CA" w:rsidRDefault="00DB05CA" w:rsidP="00882DB4">
          <w:pPr>
            <w:spacing w:line="600" w:lineRule="auto"/>
            <w:rPr>
              <w:rFonts w:ascii="Arial" w:hAnsi="Arial" w:cs="Arial"/>
              <w:b/>
              <w:bCs/>
              <w:sz w:val="22"/>
              <w:szCs w:val="22"/>
            </w:rPr>
          </w:pPr>
          <w:r w:rsidRPr="00882DB4">
            <w:rPr>
              <w:rFonts w:ascii="Arial" w:hAnsi="Arial" w:cs="Arial"/>
              <w:b/>
              <w:bCs/>
              <w:sz w:val="22"/>
              <w:szCs w:val="22"/>
            </w:rPr>
            <w:t>Strategic Recommendations</w:t>
          </w:r>
          <w:r w:rsidRPr="00882DB4">
            <w:rPr>
              <w:rFonts w:ascii="Arial" w:hAnsi="Arial" w:cs="Arial"/>
              <w:b/>
              <w:bCs/>
              <w:sz w:val="22"/>
              <w:szCs w:val="22"/>
            </w:rPr>
            <w:t xml:space="preserve">   ……………………..6</w:t>
          </w:r>
        </w:p>
        <w:p w14:paraId="4CD5C934" w14:textId="578F7D78" w:rsidR="00DB05CA" w:rsidRPr="00DB05CA" w:rsidRDefault="004044CF" w:rsidP="00882DB4">
          <w:pPr>
            <w:spacing w:line="600" w:lineRule="auto"/>
            <w:rPr>
              <w:rFonts w:ascii="Arial" w:hAnsi="Arial" w:cs="Arial"/>
              <w:b/>
              <w:bCs/>
              <w:sz w:val="22"/>
              <w:szCs w:val="22"/>
            </w:rPr>
          </w:pPr>
          <w:r w:rsidRPr="00882DB4">
            <w:rPr>
              <w:rFonts w:ascii="Arial" w:hAnsi="Arial" w:cs="Arial"/>
              <w:b/>
              <w:bCs/>
              <w:sz w:val="22"/>
              <w:szCs w:val="22"/>
            </w:rPr>
            <w:t>Conclusion   …………………………………………..6</w:t>
          </w:r>
        </w:p>
        <w:p w14:paraId="4094AE9A" w14:textId="2E63468A" w:rsidR="00DB05CA" w:rsidRPr="00DB05CA" w:rsidRDefault="00DB05CA" w:rsidP="00882DB4">
          <w:pPr>
            <w:spacing w:line="600" w:lineRule="auto"/>
            <w:rPr>
              <w:rFonts w:ascii="Arial" w:hAnsi="Arial" w:cs="Arial"/>
              <w:b/>
              <w:bCs/>
              <w:sz w:val="22"/>
              <w:szCs w:val="22"/>
            </w:rPr>
          </w:pPr>
          <w:r w:rsidRPr="00DB05CA">
            <w:rPr>
              <w:rFonts w:ascii="Arial" w:hAnsi="Arial" w:cs="Arial"/>
              <w:b/>
              <w:bCs/>
              <w:sz w:val="22"/>
              <w:szCs w:val="22"/>
            </w:rPr>
            <w:fldChar w:fldCharType="end"/>
          </w:r>
          <w:r w:rsidR="00882DB4" w:rsidRPr="00882DB4">
            <w:rPr>
              <w:rFonts w:ascii="Arial" w:hAnsi="Arial" w:cs="Arial"/>
              <w:b/>
              <w:bCs/>
              <w:sz w:val="22"/>
              <w:szCs w:val="22"/>
            </w:rPr>
            <w:t>References   ………………………………………</w:t>
          </w:r>
          <w:r w:rsidR="00882DB4">
            <w:rPr>
              <w:rFonts w:ascii="Arial" w:hAnsi="Arial" w:cs="Arial"/>
              <w:b/>
              <w:bCs/>
              <w:sz w:val="22"/>
              <w:szCs w:val="22"/>
            </w:rPr>
            <w:t>..</w:t>
          </w:r>
          <w:r w:rsidR="00882DB4" w:rsidRPr="00882DB4">
            <w:rPr>
              <w:rFonts w:ascii="Arial" w:hAnsi="Arial" w:cs="Arial"/>
              <w:b/>
              <w:bCs/>
              <w:sz w:val="22"/>
              <w:szCs w:val="22"/>
            </w:rPr>
            <w:t>…7</w:t>
          </w:r>
        </w:p>
      </w:sdtContent>
    </w:sdt>
    <w:p w14:paraId="088EC81B" w14:textId="77777777" w:rsidR="00DB05CA" w:rsidRDefault="00DB05CA" w:rsidP="00882DB4">
      <w:pPr>
        <w:spacing w:line="600" w:lineRule="auto"/>
        <w:rPr>
          <w:rFonts w:ascii="Arial" w:hAnsi="Arial" w:cs="Arial"/>
          <w:sz w:val="22"/>
          <w:szCs w:val="22"/>
        </w:rPr>
      </w:pPr>
    </w:p>
    <w:p w14:paraId="44DFFD7D" w14:textId="77777777" w:rsidR="00DB05CA" w:rsidRDefault="00DB05CA" w:rsidP="00882DB4">
      <w:pPr>
        <w:spacing w:line="600" w:lineRule="auto"/>
        <w:rPr>
          <w:rFonts w:ascii="Arial" w:hAnsi="Arial" w:cs="Arial"/>
          <w:sz w:val="22"/>
          <w:szCs w:val="22"/>
        </w:rPr>
      </w:pPr>
    </w:p>
    <w:p w14:paraId="5796CE7A" w14:textId="77777777" w:rsidR="00DB05CA" w:rsidRDefault="00DB05CA">
      <w:pPr>
        <w:rPr>
          <w:rFonts w:ascii="Arial" w:hAnsi="Arial" w:cs="Arial"/>
          <w:sz w:val="22"/>
          <w:szCs w:val="22"/>
        </w:rPr>
      </w:pPr>
    </w:p>
    <w:p w14:paraId="63114160" w14:textId="77777777" w:rsidR="00DB05CA" w:rsidRDefault="00DB05CA">
      <w:pPr>
        <w:rPr>
          <w:rFonts w:ascii="Arial" w:hAnsi="Arial" w:cs="Arial"/>
          <w:sz w:val="22"/>
          <w:szCs w:val="22"/>
        </w:rPr>
      </w:pPr>
    </w:p>
    <w:p w14:paraId="03AC1116" w14:textId="77777777" w:rsidR="00DB05CA" w:rsidRDefault="00DB05CA">
      <w:pPr>
        <w:rPr>
          <w:rFonts w:ascii="Arial" w:hAnsi="Arial" w:cs="Arial"/>
          <w:sz w:val="22"/>
          <w:szCs w:val="22"/>
        </w:rPr>
      </w:pPr>
    </w:p>
    <w:p w14:paraId="6AFB776B" w14:textId="77777777" w:rsidR="00DB05CA" w:rsidRDefault="00DB05CA">
      <w:pPr>
        <w:rPr>
          <w:rFonts w:ascii="Arial" w:hAnsi="Arial" w:cs="Arial"/>
          <w:sz w:val="22"/>
          <w:szCs w:val="22"/>
        </w:rPr>
      </w:pPr>
    </w:p>
    <w:p w14:paraId="2E6F1601" w14:textId="77777777" w:rsidR="00DB05CA" w:rsidRDefault="00DB05CA">
      <w:pPr>
        <w:rPr>
          <w:rFonts w:ascii="Arial" w:hAnsi="Arial" w:cs="Arial"/>
          <w:sz w:val="22"/>
          <w:szCs w:val="22"/>
        </w:rPr>
      </w:pPr>
    </w:p>
    <w:p w14:paraId="3A5BBB14" w14:textId="77777777" w:rsidR="00DB05CA" w:rsidRDefault="00DB05CA">
      <w:pPr>
        <w:rPr>
          <w:rFonts w:ascii="Arial" w:hAnsi="Arial" w:cs="Arial"/>
          <w:sz w:val="22"/>
          <w:szCs w:val="22"/>
        </w:rPr>
      </w:pPr>
    </w:p>
    <w:p w14:paraId="59BBC9E0" w14:textId="77777777" w:rsidR="00DB05CA" w:rsidRDefault="00DB05CA">
      <w:pPr>
        <w:rPr>
          <w:rFonts w:ascii="Arial" w:hAnsi="Arial" w:cs="Arial"/>
          <w:sz w:val="22"/>
          <w:szCs w:val="22"/>
        </w:rPr>
      </w:pPr>
    </w:p>
    <w:p w14:paraId="7158953B" w14:textId="77777777" w:rsidR="00DB05CA" w:rsidRDefault="00DB05CA">
      <w:pPr>
        <w:rPr>
          <w:rFonts w:ascii="Arial" w:hAnsi="Arial" w:cs="Arial"/>
          <w:sz w:val="22"/>
          <w:szCs w:val="22"/>
        </w:rPr>
      </w:pPr>
    </w:p>
    <w:p w14:paraId="2D38E946" w14:textId="77777777" w:rsidR="00DB05CA" w:rsidRDefault="00DB05CA">
      <w:pPr>
        <w:rPr>
          <w:rFonts w:ascii="Arial" w:hAnsi="Arial" w:cs="Arial"/>
          <w:b/>
          <w:bCs/>
          <w:sz w:val="22"/>
          <w:szCs w:val="22"/>
        </w:rPr>
      </w:pPr>
    </w:p>
    <w:p w14:paraId="45C55986" w14:textId="77777777" w:rsidR="00DB05CA" w:rsidRDefault="00DB05CA">
      <w:pPr>
        <w:rPr>
          <w:rFonts w:ascii="Arial" w:hAnsi="Arial" w:cs="Arial"/>
          <w:b/>
          <w:bCs/>
          <w:sz w:val="22"/>
          <w:szCs w:val="22"/>
        </w:rPr>
      </w:pPr>
    </w:p>
    <w:p w14:paraId="3ADF5951" w14:textId="77777777" w:rsidR="00DB05CA" w:rsidRDefault="00DB05CA">
      <w:pPr>
        <w:rPr>
          <w:rFonts w:ascii="Arial" w:hAnsi="Arial" w:cs="Arial"/>
          <w:b/>
          <w:bCs/>
          <w:sz w:val="22"/>
          <w:szCs w:val="22"/>
        </w:rPr>
      </w:pPr>
    </w:p>
    <w:p w14:paraId="2D57D18D" w14:textId="77777777" w:rsidR="00DB05CA" w:rsidRDefault="00DB05CA">
      <w:pPr>
        <w:rPr>
          <w:rFonts w:ascii="Arial" w:hAnsi="Arial" w:cs="Arial"/>
          <w:b/>
          <w:bCs/>
          <w:sz w:val="22"/>
          <w:szCs w:val="22"/>
        </w:rPr>
      </w:pPr>
    </w:p>
    <w:p w14:paraId="5BCD6ED1" w14:textId="77777777" w:rsidR="00DB05CA" w:rsidRDefault="00DB05CA">
      <w:pPr>
        <w:rPr>
          <w:rFonts w:ascii="Arial" w:hAnsi="Arial" w:cs="Arial"/>
          <w:b/>
          <w:bCs/>
          <w:sz w:val="22"/>
          <w:szCs w:val="22"/>
        </w:rPr>
      </w:pPr>
    </w:p>
    <w:p w14:paraId="5AD999B3" w14:textId="77777777" w:rsidR="00DB05CA" w:rsidRDefault="00DB05CA">
      <w:pPr>
        <w:rPr>
          <w:rFonts w:ascii="Arial" w:hAnsi="Arial" w:cs="Arial"/>
          <w:b/>
          <w:bCs/>
          <w:sz w:val="22"/>
          <w:szCs w:val="22"/>
        </w:rPr>
      </w:pPr>
    </w:p>
    <w:p w14:paraId="7F46A3CC" w14:textId="77777777" w:rsidR="00DB05CA" w:rsidRDefault="00DB05CA">
      <w:pPr>
        <w:rPr>
          <w:rFonts w:ascii="Arial" w:hAnsi="Arial" w:cs="Arial"/>
          <w:b/>
          <w:bCs/>
          <w:sz w:val="22"/>
          <w:szCs w:val="22"/>
        </w:rPr>
      </w:pPr>
    </w:p>
    <w:p w14:paraId="23F58D58" w14:textId="77777777" w:rsidR="00DB05CA" w:rsidRDefault="00DB05CA">
      <w:pPr>
        <w:rPr>
          <w:rFonts w:ascii="Arial" w:hAnsi="Arial" w:cs="Arial"/>
          <w:b/>
          <w:bCs/>
          <w:sz w:val="22"/>
          <w:szCs w:val="22"/>
        </w:rPr>
      </w:pPr>
    </w:p>
    <w:p w14:paraId="07B3BE32" w14:textId="77777777" w:rsidR="00DB05CA" w:rsidRDefault="00DB05CA">
      <w:pPr>
        <w:rPr>
          <w:rFonts w:ascii="Arial" w:hAnsi="Arial" w:cs="Arial"/>
          <w:b/>
          <w:bCs/>
          <w:sz w:val="22"/>
          <w:szCs w:val="22"/>
        </w:rPr>
      </w:pPr>
    </w:p>
    <w:p w14:paraId="7274FCC1" w14:textId="77777777" w:rsidR="00DB05CA" w:rsidRDefault="00DB05CA">
      <w:pPr>
        <w:rPr>
          <w:rFonts w:ascii="Arial" w:hAnsi="Arial" w:cs="Arial"/>
          <w:b/>
          <w:bCs/>
          <w:sz w:val="22"/>
          <w:szCs w:val="22"/>
        </w:rPr>
      </w:pPr>
    </w:p>
    <w:p w14:paraId="72C2E746" w14:textId="77777777" w:rsidR="00DB05CA" w:rsidRDefault="00DB05CA">
      <w:pPr>
        <w:rPr>
          <w:rFonts w:ascii="Arial" w:hAnsi="Arial" w:cs="Arial"/>
          <w:b/>
          <w:bCs/>
          <w:sz w:val="22"/>
          <w:szCs w:val="22"/>
        </w:rPr>
      </w:pPr>
    </w:p>
    <w:p w14:paraId="48B0F675" w14:textId="77777777" w:rsidR="00DB05CA" w:rsidRDefault="00DB05CA">
      <w:pPr>
        <w:rPr>
          <w:rFonts w:ascii="Arial" w:hAnsi="Arial" w:cs="Arial"/>
          <w:b/>
          <w:bCs/>
          <w:sz w:val="22"/>
          <w:szCs w:val="22"/>
        </w:rPr>
      </w:pPr>
    </w:p>
    <w:p w14:paraId="39786A91" w14:textId="77777777" w:rsidR="00DB05CA" w:rsidRDefault="00DB05CA">
      <w:pPr>
        <w:rPr>
          <w:rFonts w:ascii="Arial" w:hAnsi="Arial" w:cs="Arial"/>
          <w:b/>
          <w:bCs/>
          <w:sz w:val="22"/>
          <w:szCs w:val="22"/>
        </w:rPr>
      </w:pPr>
    </w:p>
    <w:p w14:paraId="31031F54" w14:textId="77777777" w:rsidR="00DB05CA" w:rsidRDefault="00DB05CA">
      <w:pPr>
        <w:rPr>
          <w:rFonts w:ascii="Arial" w:hAnsi="Arial" w:cs="Arial"/>
          <w:b/>
          <w:bCs/>
          <w:sz w:val="22"/>
          <w:szCs w:val="22"/>
        </w:rPr>
      </w:pPr>
    </w:p>
    <w:p w14:paraId="241D9DEE" w14:textId="77777777" w:rsidR="00DB05CA" w:rsidRDefault="00DB05CA">
      <w:pPr>
        <w:rPr>
          <w:rFonts w:ascii="Arial" w:hAnsi="Arial" w:cs="Arial"/>
          <w:b/>
          <w:bCs/>
          <w:sz w:val="22"/>
          <w:szCs w:val="22"/>
        </w:rPr>
      </w:pPr>
    </w:p>
    <w:p w14:paraId="0FEAB998" w14:textId="09270BB9" w:rsidR="00F92352" w:rsidRDefault="005C7619">
      <w:pPr>
        <w:rPr>
          <w:rFonts w:ascii="Arial" w:hAnsi="Arial" w:cs="Arial"/>
          <w:b/>
          <w:bCs/>
          <w:sz w:val="22"/>
          <w:szCs w:val="22"/>
        </w:rPr>
      </w:pPr>
      <w:r w:rsidRPr="00F92352">
        <w:rPr>
          <w:rFonts w:ascii="Arial" w:hAnsi="Arial" w:cs="Arial"/>
          <w:b/>
          <w:bCs/>
          <w:sz w:val="22"/>
          <w:szCs w:val="22"/>
        </w:rPr>
        <w:lastRenderedPageBreak/>
        <w:t>Introductio</w:t>
      </w:r>
      <w:r w:rsidR="00B3627D">
        <w:rPr>
          <w:rFonts w:ascii="Arial" w:hAnsi="Arial" w:cs="Arial"/>
          <w:b/>
          <w:bCs/>
          <w:sz w:val="22"/>
          <w:szCs w:val="22"/>
        </w:rPr>
        <w:t>n</w:t>
      </w:r>
    </w:p>
    <w:p w14:paraId="5D38EB87" w14:textId="42ACEE51" w:rsidR="00806C7A" w:rsidRPr="00806C7A" w:rsidRDefault="00F1616A" w:rsidP="00806C7A">
      <w:pPr>
        <w:rPr>
          <w:rFonts w:ascii="Arial" w:hAnsi="Arial" w:cs="Arial"/>
          <w:sz w:val="22"/>
          <w:szCs w:val="22"/>
        </w:rPr>
      </w:pPr>
      <w:r w:rsidRPr="00F1616A">
        <w:rPr>
          <w:rFonts w:ascii="Arial" w:hAnsi="Arial" w:cs="Arial"/>
          <w:sz w:val="22"/>
          <w:szCs w:val="22"/>
        </w:rPr>
        <w:t xml:space="preserve">This essay will critically analyse how Shell PLC, a multinational corporation with headquarters in the UK, is affected by significant changes for global businesses brought about by the quick adoption of artificial intelligence (AI), supply chain issues related to geopolitical tensions, and new sustainability requirements like the EU's Corporate Sustainability Reporting Directive (CSRD). The analysis will look at the potential brought about by these developments as well as the difficulties they provide for the organization's global operations and strategy. The term globalisation describes the growing interconnection and integration of national economies </w:t>
      </w:r>
      <w:r w:rsidRPr="00F1616A">
        <w:rPr>
          <w:rFonts w:ascii="Arial" w:hAnsi="Arial" w:cs="Arial"/>
          <w:sz w:val="22"/>
          <w:szCs w:val="22"/>
        </w:rPr>
        <w:t>because of</w:t>
      </w:r>
      <w:r w:rsidRPr="00F1616A">
        <w:rPr>
          <w:rFonts w:ascii="Arial" w:hAnsi="Arial" w:cs="Arial"/>
          <w:sz w:val="22"/>
          <w:szCs w:val="22"/>
        </w:rPr>
        <w:t xml:space="preserve"> cross-border capital flows, commerce, and technology.</w:t>
      </w:r>
      <w:r>
        <w:rPr>
          <w:rFonts w:ascii="Arial" w:hAnsi="Arial" w:cs="Arial"/>
          <w:sz w:val="22"/>
          <w:szCs w:val="22"/>
        </w:rPr>
        <w:t xml:space="preserve"> </w:t>
      </w:r>
      <w:r w:rsidR="00806C7A" w:rsidRPr="000C1F82">
        <w:rPr>
          <w:rFonts w:ascii="Arial" w:hAnsi="Arial" w:cs="Arial"/>
          <w:sz w:val="22"/>
          <w:szCs w:val="22"/>
        </w:rPr>
        <w:t>Academics often describe it as the "widening, deepening, and speeding up of worldwide connectedness" (Held et al., 1999). </w:t>
      </w:r>
      <w:r w:rsidRPr="00F1616A">
        <w:rPr>
          <w:rFonts w:ascii="Arial" w:hAnsi="Arial" w:cs="Arial"/>
          <w:sz w:val="22"/>
          <w:szCs w:val="22"/>
        </w:rPr>
        <w:t>It is essential for reaching economies of scale and expanding markets in international company. By gaining access to diversified skills and global resources, it enables businesses to optimise their supply chains. Cross-border cooperation promotes innovation, but it also brings with it difficulties like geopolitical unpredictability. Strategic survival now depends on navigating these difficulties</w:t>
      </w:r>
      <w:r>
        <w:rPr>
          <w:rFonts w:ascii="Arial" w:hAnsi="Arial" w:cs="Arial"/>
          <w:sz w:val="22"/>
          <w:szCs w:val="22"/>
        </w:rPr>
        <w:t xml:space="preserve"> </w:t>
      </w:r>
      <w:r w:rsidR="00806C7A">
        <w:rPr>
          <w:rFonts w:ascii="Arial" w:hAnsi="Arial" w:cs="Arial"/>
          <w:sz w:val="22"/>
          <w:szCs w:val="22"/>
        </w:rPr>
        <w:t>(</w:t>
      </w:r>
      <w:r w:rsidR="00806C7A" w:rsidRPr="00806C7A">
        <w:rPr>
          <w:rFonts w:ascii="Arial" w:hAnsi="Arial" w:cs="Arial"/>
          <w:sz w:val="22"/>
          <w:szCs w:val="22"/>
        </w:rPr>
        <w:t>Held et al., 1999). </w:t>
      </w:r>
    </w:p>
    <w:p w14:paraId="3408A9F0" w14:textId="159A00E7" w:rsidR="00F92352" w:rsidRPr="008E31E0" w:rsidRDefault="00F1616A" w:rsidP="008E31E0">
      <w:pPr>
        <w:rPr>
          <w:rFonts w:ascii="Arial" w:hAnsi="Arial" w:cs="Arial"/>
          <w:sz w:val="22"/>
          <w:szCs w:val="22"/>
        </w:rPr>
      </w:pPr>
      <w:r w:rsidRPr="00F1616A">
        <w:rPr>
          <w:rFonts w:ascii="Arial" w:hAnsi="Arial" w:cs="Arial"/>
          <w:sz w:val="22"/>
          <w:szCs w:val="22"/>
        </w:rPr>
        <w:t>Shell PLC is a well-known energy leader with headquarters in the UK and a major component of the FTSE 100 index. Shell, one of the biggest independent energy firms in the world, employs around 85,000 people and operates in more than 70 countries. By striking a balance between conventional oil and gas production and strategic investments in renewable energy and low-carbon technologies to fulfil the global energy transition, it plays a crucial role in the global market</w:t>
      </w:r>
      <w:r w:rsidR="008E31E0">
        <w:rPr>
          <w:rFonts w:ascii="Arial" w:hAnsi="Arial" w:cs="Arial"/>
          <w:sz w:val="22"/>
          <w:szCs w:val="22"/>
        </w:rPr>
        <w:t xml:space="preserve"> (Shell Global, 2025).</w:t>
      </w:r>
    </w:p>
    <w:p w14:paraId="5F849C77" w14:textId="4E17EED6" w:rsidR="00F92352" w:rsidRDefault="00F92352">
      <w:pPr>
        <w:rPr>
          <w:rFonts w:ascii="Arial" w:hAnsi="Arial" w:cs="Arial"/>
          <w:sz w:val="22"/>
          <w:szCs w:val="22"/>
        </w:rPr>
      </w:pPr>
    </w:p>
    <w:p w14:paraId="718A0F28" w14:textId="71E140CD" w:rsidR="00741A96" w:rsidRDefault="00741A96" w:rsidP="00741A96">
      <w:pPr>
        <w:rPr>
          <w:rFonts w:ascii="Arial" w:hAnsi="Arial" w:cs="Arial"/>
          <w:b/>
          <w:bCs/>
          <w:sz w:val="22"/>
          <w:szCs w:val="22"/>
        </w:rPr>
      </w:pPr>
      <w:r w:rsidRPr="00741A96">
        <w:rPr>
          <w:rFonts w:ascii="Arial" w:hAnsi="Arial" w:cs="Arial"/>
          <w:b/>
          <w:bCs/>
          <w:sz w:val="22"/>
          <w:szCs w:val="22"/>
        </w:rPr>
        <w:t>Opportunities and Challenges</w:t>
      </w:r>
    </w:p>
    <w:p w14:paraId="3AF878A4" w14:textId="77777777" w:rsidR="00C24882" w:rsidRDefault="00C24882" w:rsidP="00741A96">
      <w:pPr>
        <w:rPr>
          <w:rFonts w:ascii="Arial" w:hAnsi="Arial" w:cs="Arial"/>
          <w:b/>
          <w:bCs/>
          <w:sz w:val="22"/>
          <w:szCs w:val="22"/>
        </w:rPr>
      </w:pPr>
    </w:p>
    <w:p w14:paraId="72DB98A7" w14:textId="77777777" w:rsidR="00741A96" w:rsidRPr="00741A96" w:rsidRDefault="00741A96" w:rsidP="00741A96">
      <w:pPr>
        <w:rPr>
          <w:rFonts w:ascii="Arial" w:hAnsi="Arial" w:cs="Arial"/>
          <w:sz w:val="22"/>
          <w:szCs w:val="22"/>
        </w:rPr>
      </w:pPr>
      <w:r w:rsidRPr="00741A96">
        <w:rPr>
          <w:rFonts w:ascii="Arial" w:hAnsi="Arial" w:cs="Arial"/>
          <w:sz w:val="22"/>
          <w:szCs w:val="22"/>
        </w:rPr>
        <w:t>1. Opportunities Driven by Global Forces</w:t>
      </w:r>
    </w:p>
    <w:p w14:paraId="0A0E5F32" w14:textId="4CF17D56" w:rsidR="00741A96" w:rsidRPr="00741A96" w:rsidRDefault="00C24882" w:rsidP="00654057">
      <w:pPr>
        <w:rPr>
          <w:rFonts w:ascii="Arial" w:hAnsi="Arial" w:cs="Arial"/>
          <w:sz w:val="22"/>
          <w:szCs w:val="22"/>
        </w:rPr>
      </w:pPr>
      <w:r w:rsidRPr="00C24882">
        <w:rPr>
          <w:rFonts w:ascii="Arial" w:hAnsi="Arial" w:cs="Arial"/>
          <w:sz w:val="22"/>
          <w:szCs w:val="22"/>
        </w:rPr>
        <w:t xml:space="preserve">Shell's traditional and transitional activities have benefited greatly from current global factors, especially geopolitical instability and the consequent prioritising of energy security. Energy Security and Natural Gas Dominance: Natural gas has been repositioned as a practical first step for energy-intensive businesses </w:t>
      </w:r>
      <w:r w:rsidRPr="00C24882">
        <w:rPr>
          <w:rFonts w:ascii="Arial" w:hAnsi="Arial" w:cs="Arial"/>
          <w:sz w:val="22"/>
          <w:szCs w:val="22"/>
        </w:rPr>
        <w:t>because of</w:t>
      </w:r>
      <w:r w:rsidRPr="00C24882">
        <w:rPr>
          <w:rFonts w:ascii="Arial" w:hAnsi="Arial" w:cs="Arial"/>
          <w:sz w:val="22"/>
          <w:szCs w:val="22"/>
        </w:rPr>
        <w:t xml:space="preserve"> Europe's move away from Russian gas (REPowerEU). Shell has taken advantage of this by aiming for a 20–30% increase in LNG liquefaction volumes by 2030, utilising significant initiatives like LNG Canada and its ownership in the North Field expansion in Qatar. Frameworks for Supportive Policies: Significant financial incentives for low-carbon initiatives are provided by laws like the US Inflation Reduction Act (IRA) and EU green mandates. These frameworks are being used by Shell to support its $10–15 billion investment in low-carbon solutions through 2025, particularly in carbon capture and hydrogen</w:t>
      </w:r>
      <w:r>
        <w:rPr>
          <w:rFonts w:ascii="Arial" w:hAnsi="Arial" w:cs="Arial"/>
          <w:sz w:val="22"/>
          <w:szCs w:val="22"/>
        </w:rPr>
        <w:t xml:space="preserve"> storage </w:t>
      </w:r>
      <w:r w:rsidR="00654057">
        <w:rPr>
          <w:rFonts w:ascii="Arial" w:hAnsi="Arial" w:cs="Arial"/>
          <w:sz w:val="22"/>
          <w:szCs w:val="22"/>
        </w:rPr>
        <w:t>(Shell, 2025).</w:t>
      </w:r>
    </w:p>
    <w:p w14:paraId="6466C3C6" w14:textId="3890B4D8" w:rsidR="00741A96" w:rsidRPr="00741A96" w:rsidRDefault="00C24882" w:rsidP="00654057">
      <w:pPr>
        <w:rPr>
          <w:rFonts w:ascii="Arial" w:hAnsi="Arial" w:cs="Arial"/>
          <w:sz w:val="22"/>
          <w:szCs w:val="22"/>
        </w:rPr>
      </w:pPr>
      <w:r w:rsidRPr="00C24882">
        <w:rPr>
          <w:rFonts w:ascii="Arial" w:hAnsi="Arial" w:cs="Arial"/>
          <w:sz w:val="22"/>
          <w:szCs w:val="22"/>
        </w:rPr>
        <w:lastRenderedPageBreak/>
        <w:t>Technological Development (AI and Digitalisation): Shell's 2025 Surge Scenario Artificial intelligence (AI) is changing operations, as demonstrated by Energy Security Scenarios. AI-driven asset optimisation, for instance, has directly reduced maintenance costs and carbon intensity by increasing offshore platform uptime by 15%</w:t>
      </w:r>
      <w:r>
        <w:rPr>
          <w:rFonts w:ascii="Arial" w:hAnsi="Arial" w:cs="Arial"/>
          <w:sz w:val="22"/>
          <w:szCs w:val="22"/>
        </w:rPr>
        <w:t xml:space="preserve"> </w:t>
      </w:r>
      <w:r w:rsidR="00654057">
        <w:rPr>
          <w:rFonts w:ascii="Arial" w:hAnsi="Arial" w:cs="Arial"/>
          <w:sz w:val="22"/>
          <w:szCs w:val="22"/>
        </w:rPr>
        <w:t>(LSE, 2024).</w:t>
      </w:r>
    </w:p>
    <w:p w14:paraId="55716F20" w14:textId="3A542813" w:rsidR="00741A96" w:rsidRPr="00741A96" w:rsidRDefault="00741A96" w:rsidP="00741A96">
      <w:pPr>
        <w:rPr>
          <w:rFonts w:ascii="Arial" w:hAnsi="Arial" w:cs="Arial"/>
          <w:b/>
          <w:bCs/>
          <w:sz w:val="22"/>
          <w:szCs w:val="22"/>
        </w:rPr>
      </w:pPr>
    </w:p>
    <w:p w14:paraId="7BC1038D" w14:textId="77777777" w:rsidR="00741A96" w:rsidRPr="00741A96" w:rsidRDefault="00741A96" w:rsidP="00741A96">
      <w:pPr>
        <w:rPr>
          <w:rFonts w:ascii="Arial" w:hAnsi="Arial" w:cs="Arial"/>
          <w:sz w:val="22"/>
          <w:szCs w:val="22"/>
        </w:rPr>
      </w:pPr>
      <w:r w:rsidRPr="00741A96">
        <w:rPr>
          <w:rFonts w:ascii="Arial" w:hAnsi="Arial" w:cs="Arial"/>
          <w:sz w:val="22"/>
          <w:szCs w:val="22"/>
        </w:rPr>
        <w:t>2. Significant Challenges and Strategic Friction</w:t>
      </w:r>
    </w:p>
    <w:p w14:paraId="6C45B546" w14:textId="79C8381E" w:rsidR="00741A96" w:rsidRPr="00741A96" w:rsidRDefault="00C24882" w:rsidP="00D00CBA">
      <w:pPr>
        <w:tabs>
          <w:tab w:val="num" w:pos="720"/>
        </w:tabs>
        <w:rPr>
          <w:rFonts w:ascii="Arial" w:hAnsi="Arial" w:cs="Arial"/>
          <w:sz w:val="22"/>
          <w:szCs w:val="22"/>
        </w:rPr>
      </w:pPr>
      <w:r w:rsidRPr="00C24882">
        <w:rPr>
          <w:rFonts w:ascii="Arial" w:hAnsi="Arial" w:cs="Arial"/>
          <w:sz w:val="22"/>
          <w:szCs w:val="22"/>
        </w:rPr>
        <w:t xml:space="preserve">Global influences also cause significant operational friction and need challenging trade-offs notwithstanding </w:t>
      </w:r>
      <w:r w:rsidRPr="00C24882">
        <w:rPr>
          <w:rFonts w:ascii="Arial" w:hAnsi="Arial" w:cs="Arial"/>
          <w:sz w:val="22"/>
          <w:szCs w:val="22"/>
        </w:rPr>
        <w:t>this potential</w:t>
      </w:r>
      <w:r w:rsidRPr="00C24882">
        <w:rPr>
          <w:rFonts w:ascii="Arial" w:hAnsi="Arial" w:cs="Arial"/>
          <w:sz w:val="22"/>
          <w:szCs w:val="22"/>
        </w:rPr>
        <w:t xml:space="preserve">. Supply Chain Vulnerability and Geopolitical Conflict: Operations have been directly influenced by ongoing crises in Eastern Europe and the Middle East. Shell reported lower gas production in early 2026 </w:t>
      </w:r>
      <w:r w:rsidRPr="00C24882">
        <w:rPr>
          <w:rFonts w:ascii="Arial" w:hAnsi="Arial" w:cs="Arial"/>
          <w:sz w:val="22"/>
          <w:szCs w:val="22"/>
        </w:rPr>
        <w:t>because of</w:t>
      </w:r>
      <w:r w:rsidRPr="00C24882">
        <w:rPr>
          <w:rFonts w:ascii="Arial" w:hAnsi="Arial" w:cs="Arial"/>
          <w:sz w:val="22"/>
          <w:szCs w:val="22"/>
        </w:rPr>
        <w:t xml:space="preserve"> the Iranian conflict, including the temporary closure of its Pearl GTL plant in Qatar. Furthermore, Shell had to reroute tankers across Africa due to Houthi rebel attacks in the Red Sea, which increased transit times and yearly compliance costs</w:t>
      </w:r>
      <w:r>
        <w:rPr>
          <w:rFonts w:ascii="Arial" w:hAnsi="Arial" w:cs="Arial"/>
          <w:sz w:val="22"/>
          <w:szCs w:val="22"/>
        </w:rPr>
        <w:t xml:space="preserve"> </w:t>
      </w:r>
      <w:r w:rsidR="00801E57">
        <w:rPr>
          <w:rFonts w:ascii="Arial" w:hAnsi="Arial" w:cs="Arial"/>
          <w:sz w:val="22"/>
          <w:szCs w:val="22"/>
        </w:rPr>
        <w:t>(N. G. and Power, 2024)</w:t>
      </w:r>
      <w:r>
        <w:rPr>
          <w:rFonts w:ascii="Arial" w:hAnsi="Arial" w:cs="Arial"/>
          <w:sz w:val="22"/>
          <w:szCs w:val="22"/>
        </w:rPr>
        <w:t>.</w:t>
      </w:r>
    </w:p>
    <w:p w14:paraId="49482BAD" w14:textId="04B4A2EE" w:rsidR="00741A96" w:rsidRPr="00741A96" w:rsidRDefault="00741A96" w:rsidP="00B9392F">
      <w:pPr>
        <w:rPr>
          <w:rFonts w:ascii="Arial" w:hAnsi="Arial" w:cs="Arial"/>
          <w:b/>
          <w:bCs/>
          <w:sz w:val="22"/>
          <w:szCs w:val="22"/>
        </w:rPr>
      </w:pPr>
      <w:r w:rsidRPr="00741A96">
        <w:rPr>
          <w:rFonts w:ascii="Arial" w:hAnsi="Arial" w:cs="Arial"/>
          <w:sz w:val="22"/>
          <w:szCs w:val="22"/>
        </w:rPr>
        <w:t>Regulatory and Legal Pressure: Shell faces intense legal scrutiny, including continuing litigation following the 2021 Hague ruling. Stricter EU methane standards and the Carbon Border Adjustment Mechanism (CBAM) are increasing operating costs and necessitating rapid capital allocation toward emissions reduction technologies</w:t>
      </w:r>
      <w:r w:rsidR="00B9392F">
        <w:rPr>
          <w:rFonts w:ascii="Arial" w:hAnsi="Arial" w:cs="Arial"/>
          <w:sz w:val="22"/>
          <w:szCs w:val="22"/>
        </w:rPr>
        <w:t xml:space="preserve"> </w:t>
      </w:r>
      <w:r w:rsidR="00B9392F" w:rsidRPr="00B9392F">
        <w:rPr>
          <w:rFonts w:ascii="Arial" w:hAnsi="Arial" w:cs="Arial"/>
          <w:sz w:val="22"/>
          <w:szCs w:val="22"/>
        </w:rPr>
        <w:t>(</w:t>
      </w:r>
      <w:r w:rsidR="00B9392F" w:rsidRPr="00801E57">
        <w:rPr>
          <w:rFonts w:ascii="Arial" w:hAnsi="Arial" w:cs="Arial"/>
          <w:sz w:val="22"/>
          <w:szCs w:val="22"/>
        </w:rPr>
        <w:t>Jayakumar</w:t>
      </w:r>
      <w:r w:rsidR="00B9392F">
        <w:rPr>
          <w:rFonts w:ascii="Arial" w:hAnsi="Arial" w:cs="Arial"/>
          <w:sz w:val="22"/>
          <w:szCs w:val="22"/>
        </w:rPr>
        <w:t xml:space="preserve"> et al, 2025).</w:t>
      </w:r>
    </w:p>
    <w:p w14:paraId="70C05F64" w14:textId="7C1B0B49" w:rsidR="00741A96" w:rsidRPr="00741A96" w:rsidRDefault="00741A96" w:rsidP="00B9392F">
      <w:pPr>
        <w:rPr>
          <w:rFonts w:ascii="Arial" w:hAnsi="Arial" w:cs="Arial"/>
          <w:sz w:val="22"/>
          <w:szCs w:val="22"/>
        </w:rPr>
      </w:pPr>
      <w:r w:rsidRPr="00741A96">
        <w:rPr>
          <w:rFonts w:ascii="Arial" w:hAnsi="Arial" w:cs="Arial"/>
          <w:sz w:val="22"/>
          <w:szCs w:val="22"/>
        </w:rPr>
        <w:t>Macroeconomic Volatility: High-interest rate environments have raised the Weighted Average Cost of Capital (WACC) for large-scale projects, making capital-intensive renewables like offshore wind less attractive compared to high-margin oil assets</w:t>
      </w:r>
      <w:r w:rsidR="00B9392F" w:rsidRPr="00B9392F">
        <w:rPr>
          <w:rFonts w:ascii="Arial" w:hAnsi="Arial" w:cs="Arial"/>
          <w:sz w:val="22"/>
          <w:szCs w:val="22"/>
        </w:rPr>
        <w:t xml:space="preserve"> (Sharma, 2026)</w:t>
      </w:r>
    </w:p>
    <w:p w14:paraId="1F186D7A" w14:textId="3E5CDC9F" w:rsidR="00741A96" w:rsidRPr="00741A96" w:rsidRDefault="00741A96" w:rsidP="00741A96">
      <w:pPr>
        <w:rPr>
          <w:rFonts w:ascii="Arial" w:hAnsi="Arial" w:cs="Arial"/>
          <w:b/>
          <w:bCs/>
          <w:sz w:val="22"/>
          <w:szCs w:val="22"/>
        </w:rPr>
      </w:pPr>
    </w:p>
    <w:p w14:paraId="072C9566" w14:textId="77777777" w:rsidR="00741A96" w:rsidRPr="00741A96" w:rsidRDefault="00741A96" w:rsidP="00741A96">
      <w:pPr>
        <w:rPr>
          <w:rFonts w:ascii="Arial" w:hAnsi="Arial" w:cs="Arial"/>
          <w:sz w:val="22"/>
          <w:szCs w:val="22"/>
        </w:rPr>
      </w:pPr>
      <w:r w:rsidRPr="00741A96">
        <w:rPr>
          <w:rFonts w:ascii="Arial" w:hAnsi="Arial" w:cs="Arial"/>
          <w:sz w:val="22"/>
          <w:szCs w:val="22"/>
        </w:rPr>
        <w:t>3. Impact on the Organisation</w:t>
      </w:r>
    </w:p>
    <w:p w14:paraId="1CD20536" w14:textId="66E453A7" w:rsidR="00741A96" w:rsidRDefault="00C24882" w:rsidP="00741A96">
      <w:pPr>
        <w:rPr>
          <w:rFonts w:ascii="Arial" w:hAnsi="Arial" w:cs="Arial"/>
          <w:sz w:val="22"/>
          <w:szCs w:val="22"/>
        </w:rPr>
      </w:pPr>
      <w:r w:rsidRPr="00C24882">
        <w:rPr>
          <w:rFonts w:ascii="Arial" w:hAnsi="Arial" w:cs="Arial"/>
          <w:sz w:val="22"/>
          <w:szCs w:val="22"/>
        </w:rPr>
        <w:t xml:space="preserve">Shell's capacity to maintain its competitiveness while changing its fundamental identity is impacted by the interplay of these forces. </w:t>
      </w:r>
      <w:r w:rsidRPr="00C24882">
        <w:rPr>
          <w:rFonts w:ascii="Arial" w:hAnsi="Arial" w:cs="Arial"/>
          <w:sz w:val="22"/>
          <w:szCs w:val="22"/>
        </w:rPr>
        <w:br/>
        <w:t xml:space="preserve">Competitiveness and Market Positioning </w:t>
      </w:r>
      <w:r w:rsidRPr="00C24882">
        <w:rPr>
          <w:rFonts w:ascii="Arial" w:hAnsi="Arial" w:cs="Arial"/>
          <w:sz w:val="22"/>
          <w:szCs w:val="22"/>
        </w:rPr>
        <w:br/>
        <w:t>In order to concentrate on high margin, advantageous barrels with break-even prices below $30/Boe, Shell has been selling off approximately $35 billion in non-core assets since 2020 as part of a more value, less volume strategy. Although this improves short-term cash flow and permits $3.5 billion in quarterly share buybacks, it puts pure-play renewable energy companies at a competitive disadvantage. Despite its goal of becoming net-zero by 2050, Shell runs the danger of damaging its reputation among consumers who care about the environment by continuing to produce 1.4 million barrels of liquids per day through 2030</w:t>
      </w:r>
      <w:r>
        <w:rPr>
          <w:rFonts w:ascii="Arial" w:hAnsi="Arial" w:cs="Arial"/>
          <w:sz w:val="22"/>
          <w:szCs w:val="22"/>
        </w:rPr>
        <w:t xml:space="preserve"> (</w:t>
      </w:r>
      <w:r w:rsidR="00515DAA" w:rsidRPr="00515DAA">
        <w:rPr>
          <w:rFonts w:ascii="Arial" w:hAnsi="Arial" w:cs="Arial"/>
          <w:sz w:val="22"/>
          <w:szCs w:val="22"/>
        </w:rPr>
        <w:t>Shell Global, 2026).</w:t>
      </w:r>
    </w:p>
    <w:p w14:paraId="7F74DE22" w14:textId="77777777" w:rsidR="00690C96" w:rsidRPr="00690C96" w:rsidRDefault="00690C96" w:rsidP="00690C96">
      <w:pPr>
        <w:rPr>
          <w:rFonts w:ascii="Arial" w:hAnsi="Arial" w:cs="Arial"/>
          <w:sz w:val="22"/>
          <w:szCs w:val="22"/>
        </w:rPr>
      </w:pPr>
      <w:r w:rsidRPr="00690C96">
        <w:rPr>
          <w:rFonts w:ascii="Arial" w:hAnsi="Arial" w:cs="Arial"/>
          <w:sz w:val="22"/>
          <w:szCs w:val="22"/>
        </w:rPr>
        <w:t>Shell is now in a dual-track market position due to the worldwide push for decarbonisation and the urgent need for energy security.</w:t>
      </w:r>
    </w:p>
    <w:p w14:paraId="787A519B" w14:textId="3EC3323E" w:rsidR="00903873" w:rsidRPr="00741A96" w:rsidRDefault="00690C96" w:rsidP="00741A96">
      <w:pPr>
        <w:rPr>
          <w:rFonts w:ascii="Arial" w:hAnsi="Arial" w:cs="Arial"/>
          <w:b/>
          <w:bCs/>
          <w:sz w:val="22"/>
          <w:szCs w:val="22"/>
        </w:rPr>
      </w:pPr>
      <w:r w:rsidRPr="00690C96">
        <w:rPr>
          <w:rFonts w:ascii="Arial" w:hAnsi="Arial" w:cs="Arial"/>
          <w:sz w:val="22"/>
          <w:szCs w:val="22"/>
        </w:rPr>
        <w:lastRenderedPageBreak/>
        <w:t>Positive Impact: Shell has dominated the LNG market, which is seen as a crucial transition fuel, by utilising its unique role as a global energy leader. Shell maintained a competitive advantage over pure-play renewable companies with stronger cash flow and shareholder returns in 2024, achieving $28.3 billion in adjusted earnings by focusing on high-margin upstream assets</w:t>
      </w:r>
      <w:r>
        <w:rPr>
          <w:rFonts w:ascii="Arial" w:hAnsi="Arial" w:cs="Arial"/>
          <w:sz w:val="22"/>
          <w:szCs w:val="22"/>
        </w:rPr>
        <w:t xml:space="preserve"> </w:t>
      </w:r>
      <w:r w:rsidRPr="00EF585F">
        <w:rPr>
          <w:rFonts w:ascii="Arial" w:hAnsi="Arial" w:cs="Arial"/>
          <w:sz w:val="22"/>
          <w:szCs w:val="22"/>
        </w:rPr>
        <w:t>(Delaporte, Bogaert, 2025).</w:t>
      </w:r>
      <w:r w:rsidRPr="00690C96">
        <w:rPr>
          <w:rFonts w:ascii="Arial" w:hAnsi="Arial" w:cs="Arial"/>
          <w:sz w:val="22"/>
          <w:szCs w:val="22"/>
        </w:rPr>
        <w:br/>
        <w:t>Negative Effect: In certain places, a strategic retreat has resulted from this value-over-volume change. According to scholarly evaluations, 90% of Shell's 2025–2030 capital expenditure (CAPEX) strategy is devoted to oil and gas, with just 9% going toward renewable and energy solutions. In a world increasingly governed by the Paris Agreement and stringent ESG regulations, this discrepancy creates a legitimacy gap that could undermine its long-term competitiveness</w:t>
      </w:r>
      <w:r>
        <w:rPr>
          <w:rFonts w:ascii="Arial" w:hAnsi="Arial" w:cs="Arial"/>
          <w:sz w:val="22"/>
          <w:szCs w:val="22"/>
        </w:rPr>
        <w:t xml:space="preserve"> </w:t>
      </w:r>
      <w:r w:rsidR="00EF585F" w:rsidRPr="00EF585F">
        <w:rPr>
          <w:rFonts w:ascii="Arial" w:hAnsi="Arial" w:cs="Arial"/>
          <w:sz w:val="22"/>
          <w:szCs w:val="22"/>
        </w:rPr>
        <w:t>(Delaporte, Bogaert, 2025).</w:t>
      </w:r>
    </w:p>
    <w:p w14:paraId="70C19D1D" w14:textId="77777777" w:rsidR="00741A96" w:rsidRPr="00741A96" w:rsidRDefault="00741A96" w:rsidP="00741A96">
      <w:pPr>
        <w:rPr>
          <w:rFonts w:ascii="Arial" w:hAnsi="Arial" w:cs="Arial"/>
          <w:sz w:val="22"/>
          <w:szCs w:val="22"/>
        </w:rPr>
      </w:pPr>
      <w:r w:rsidRPr="00741A96">
        <w:rPr>
          <w:rFonts w:ascii="Arial" w:hAnsi="Arial" w:cs="Arial"/>
          <w:sz w:val="22"/>
          <w:szCs w:val="22"/>
        </w:rPr>
        <w:t>Innovation and Talent Management</w:t>
      </w:r>
    </w:p>
    <w:p w14:paraId="1D00BD9A" w14:textId="055A0B50" w:rsidR="00741A96" w:rsidRPr="00741A96" w:rsidRDefault="00690C96" w:rsidP="00741A96">
      <w:pPr>
        <w:rPr>
          <w:rFonts w:ascii="Arial" w:hAnsi="Arial" w:cs="Arial"/>
          <w:b/>
          <w:bCs/>
          <w:sz w:val="22"/>
          <w:szCs w:val="22"/>
        </w:rPr>
      </w:pPr>
      <w:r w:rsidRPr="00690C96">
        <w:rPr>
          <w:rFonts w:ascii="Arial" w:hAnsi="Arial" w:cs="Arial"/>
          <w:sz w:val="22"/>
          <w:szCs w:val="22"/>
        </w:rPr>
        <w:t>Decarbonisation is becoming the primary focus of innovation. With a focus on green hydrogen and digital twins, Shell oversees a portfolio of more than 8,000 current patents. The goal of initiatives like Holland Hydrogen I is to make these technologies commercially viable</w:t>
      </w:r>
      <w:r>
        <w:rPr>
          <w:rFonts w:ascii="Arial" w:hAnsi="Arial" w:cs="Arial"/>
          <w:sz w:val="22"/>
          <w:szCs w:val="22"/>
        </w:rPr>
        <w:t xml:space="preserve"> </w:t>
      </w:r>
      <w:r w:rsidR="00903873" w:rsidRPr="00903873">
        <w:rPr>
          <w:rFonts w:ascii="Arial" w:hAnsi="Arial" w:cs="Arial"/>
          <w:sz w:val="22"/>
          <w:szCs w:val="22"/>
        </w:rPr>
        <w:t>(Pestel, 2025).</w:t>
      </w:r>
    </w:p>
    <w:p w14:paraId="3CDD1205" w14:textId="3DB5AF56" w:rsidR="00690C96" w:rsidRPr="00690C96" w:rsidRDefault="00690C96" w:rsidP="00690C96">
      <w:pPr>
        <w:rPr>
          <w:rFonts w:ascii="Arial" w:hAnsi="Arial" w:cs="Arial"/>
          <w:sz w:val="22"/>
          <w:szCs w:val="22"/>
        </w:rPr>
      </w:pPr>
      <w:r w:rsidRPr="00690C96">
        <w:rPr>
          <w:rFonts w:ascii="Arial" w:hAnsi="Arial" w:cs="Arial"/>
          <w:sz w:val="22"/>
          <w:szCs w:val="22"/>
        </w:rPr>
        <w:t xml:space="preserve">Talent management is also important; as of late 2025, Shell had over 85,000 employees and was concentrating on finding skill gaps in new companies. However, as demonstrated by the early 2025 divestiture of significant stakes like Shell Pakistan, the internal reorganisation necessary for this transformation is disruptive (Wafi-Energy, 2025). </w:t>
      </w:r>
      <w:r w:rsidRPr="00690C96">
        <w:rPr>
          <w:rFonts w:ascii="Arial" w:hAnsi="Arial" w:cs="Arial"/>
          <w:sz w:val="22"/>
          <w:szCs w:val="22"/>
        </w:rPr>
        <w:br/>
        <w:t xml:space="preserve">The main reasons behind Shell's operational evolution are global technology forces, especially the development of low-carbon engineering and artificial intelligence (AI). </w:t>
      </w:r>
      <w:r w:rsidRPr="00690C96">
        <w:rPr>
          <w:rFonts w:ascii="Arial" w:hAnsi="Arial" w:cs="Arial"/>
          <w:sz w:val="22"/>
          <w:szCs w:val="22"/>
        </w:rPr>
        <w:br/>
        <w:t>Positive Impact: AI-integrated modular energy systems will create a Surge in productivity, according to Shell's 2025 Scenarios. Nearly half of Shell's $1 billion R&amp;D budget in 2024 went toward decarbonisation initiatives including the Northern Lights CCS plant, which started operating in late 2024.</w:t>
      </w:r>
    </w:p>
    <w:p w14:paraId="67955BAA" w14:textId="6DCC763A" w:rsidR="00690C96" w:rsidRPr="00690C96" w:rsidRDefault="00690C96" w:rsidP="00690C96">
      <w:pPr>
        <w:rPr>
          <w:rFonts w:ascii="Arial" w:hAnsi="Arial" w:cs="Arial"/>
          <w:sz w:val="22"/>
          <w:szCs w:val="22"/>
        </w:rPr>
      </w:pPr>
      <w:r w:rsidRPr="00690C96">
        <w:rPr>
          <w:rFonts w:ascii="Arial" w:hAnsi="Arial" w:cs="Arial"/>
          <w:sz w:val="22"/>
          <w:szCs w:val="22"/>
        </w:rPr>
        <w:t xml:space="preserve">Negative Impact: There is a financial risk due to the high cost of innovation in unproven technologies like green hydrogen. While these are most effective for long-term survival, academic frameworks such as the Quantitative Strategic Planning Matrix (QSPM) indicate that they now offer lower immediate appeal compared to optimised fossil-fuel risk management (Shell, 2025). </w:t>
      </w:r>
      <w:r w:rsidRPr="00690C96">
        <w:rPr>
          <w:rFonts w:ascii="Arial" w:hAnsi="Arial" w:cs="Arial"/>
          <w:sz w:val="22"/>
          <w:szCs w:val="22"/>
        </w:rPr>
        <w:br/>
        <w:t xml:space="preserve">The organization's needs for human capital have changed significantly </w:t>
      </w:r>
      <w:r w:rsidRPr="00690C96">
        <w:rPr>
          <w:rFonts w:ascii="Arial" w:hAnsi="Arial" w:cs="Arial"/>
          <w:sz w:val="22"/>
          <w:szCs w:val="22"/>
        </w:rPr>
        <w:t>because of</w:t>
      </w:r>
      <w:r w:rsidRPr="00690C96">
        <w:rPr>
          <w:rFonts w:ascii="Arial" w:hAnsi="Arial" w:cs="Arial"/>
          <w:sz w:val="22"/>
          <w:szCs w:val="22"/>
        </w:rPr>
        <w:t xml:space="preserve"> the energy transition, resulting in a large skills gap. </w:t>
      </w:r>
      <w:r w:rsidRPr="00690C96">
        <w:rPr>
          <w:rFonts w:ascii="Arial" w:hAnsi="Arial" w:cs="Arial"/>
          <w:sz w:val="22"/>
          <w:szCs w:val="22"/>
        </w:rPr>
        <w:br/>
        <w:t xml:space="preserve">Positive Impact: </w:t>
      </w:r>
      <w:r w:rsidRPr="00690C96">
        <w:rPr>
          <w:rFonts w:ascii="Arial" w:hAnsi="Arial" w:cs="Arial"/>
          <w:sz w:val="22"/>
          <w:szCs w:val="22"/>
        </w:rPr>
        <w:t>To</w:t>
      </w:r>
      <w:r w:rsidRPr="00690C96">
        <w:rPr>
          <w:rFonts w:ascii="Arial" w:hAnsi="Arial" w:cs="Arial"/>
          <w:sz w:val="22"/>
          <w:szCs w:val="22"/>
        </w:rPr>
        <w:t xml:space="preserve"> support 15,000 people in transition-focused roles by 2035, Shell has proactively addressed these changes through programs like the Energy Transition Skills Hubs in the UK. This preserves its social license to operate and cultivates a staff that is diverse and prepared for the future.</w:t>
      </w:r>
    </w:p>
    <w:p w14:paraId="39073D86" w14:textId="295ED1FF" w:rsidR="00EF585F" w:rsidRPr="00F23111" w:rsidRDefault="00690C96" w:rsidP="00A07F2F">
      <w:pPr>
        <w:rPr>
          <w:rFonts w:ascii="Arial" w:hAnsi="Arial" w:cs="Arial"/>
          <w:sz w:val="22"/>
          <w:szCs w:val="22"/>
        </w:rPr>
      </w:pPr>
      <w:r w:rsidRPr="00690C96">
        <w:rPr>
          <w:rFonts w:ascii="Arial" w:hAnsi="Arial" w:cs="Arial"/>
          <w:sz w:val="22"/>
          <w:szCs w:val="22"/>
        </w:rPr>
        <w:lastRenderedPageBreak/>
        <w:t xml:space="preserve">Negative Impact: Shell faces fierce competition for a small talent pool </w:t>
      </w:r>
      <w:r w:rsidRPr="00690C96">
        <w:rPr>
          <w:rFonts w:ascii="Arial" w:hAnsi="Arial" w:cs="Arial"/>
          <w:sz w:val="22"/>
          <w:szCs w:val="22"/>
        </w:rPr>
        <w:t>because of</w:t>
      </w:r>
      <w:r w:rsidRPr="00690C96">
        <w:rPr>
          <w:rFonts w:ascii="Arial" w:hAnsi="Arial" w:cs="Arial"/>
          <w:sz w:val="22"/>
          <w:szCs w:val="22"/>
        </w:rPr>
        <w:t xml:space="preserve"> the shift, which also generates internal upheaval because fundamental oil and gas skills become obsolete and specialised green energy expertise becomes very costly. Additionally, regional talent displacement and organisational instability result from the disposal of significant assets, such as its onshore operations in Nigeria</w:t>
      </w:r>
      <w:r>
        <w:rPr>
          <w:rFonts w:ascii="Arial" w:hAnsi="Arial" w:cs="Arial"/>
          <w:sz w:val="22"/>
          <w:szCs w:val="22"/>
        </w:rPr>
        <w:t xml:space="preserve"> </w:t>
      </w:r>
      <w:r w:rsidR="00A07F2F" w:rsidRPr="00A07F2F">
        <w:rPr>
          <w:rFonts w:ascii="Arial" w:hAnsi="Arial" w:cs="Arial"/>
          <w:sz w:val="22"/>
          <w:szCs w:val="22"/>
        </w:rPr>
        <w:t>(committees parliament, 2025)</w:t>
      </w:r>
      <w:r>
        <w:rPr>
          <w:rFonts w:ascii="Arial" w:hAnsi="Arial" w:cs="Arial"/>
          <w:sz w:val="22"/>
          <w:szCs w:val="22"/>
        </w:rPr>
        <w:t>.</w:t>
      </w:r>
    </w:p>
    <w:p w14:paraId="05645F02" w14:textId="1E8AFCC3" w:rsidR="00F92352" w:rsidRDefault="005C7619" w:rsidP="00741A96">
      <w:pPr>
        <w:rPr>
          <w:rFonts w:ascii="Arial" w:hAnsi="Arial" w:cs="Arial"/>
          <w:sz w:val="22"/>
          <w:szCs w:val="22"/>
        </w:rPr>
      </w:pPr>
      <w:r w:rsidRPr="005C7619">
        <w:rPr>
          <w:rFonts w:ascii="Arial" w:hAnsi="Arial" w:cs="Arial"/>
          <w:sz w:val="22"/>
          <w:szCs w:val="22"/>
        </w:rPr>
        <w:t xml:space="preserve"> </w:t>
      </w:r>
    </w:p>
    <w:p w14:paraId="0D13B3B6" w14:textId="77777777" w:rsidR="006B2607" w:rsidRDefault="005C7619" w:rsidP="006B2607">
      <w:pPr>
        <w:rPr>
          <w:rFonts w:ascii="Arial" w:hAnsi="Arial" w:cs="Arial"/>
          <w:sz w:val="22"/>
          <w:szCs w:val="22"/>
        </w:rPr>
      </w:pPr>
      <w:r w:rsidRPr="00F92352">
        <w:rPr>
          <w:rFonts w:ascii="Arial" w:hAnsi="Arial" w:cs="Arial"/>
          <w:b/>
          <w:bCs/>
          <w:sz w:val="22"/>
          <w:szCs w:val="22"/>
        </w:rPr>
        <w:t>Strategic Recommendations</w:t>
      </w:r>
      <w:r w:rsidRPr="005C7619">
        <w:rPr>
          <w:rFonts w:ascii="Arial" w:hAnsi="Arial" w:cs="Arial"/>
          <w:sz w:val="22"/>
          <w:szCs w:val="22"/>
        </w:rPr>
        <w:t xml:space="preserve"> on how the organisation could respond to these global forces to enhance its global success.</w:t>
      </w:r>
      <w:r w:rsidR="006B2607">
        <w:rPr>
          <w:rFonts w:ascii="Arial" w:hAnsi="Arial" w:cs="Arial"/>
          <w:sz w:val="22"/>
          <w:szCs w:val="22"/>
        </w:rPr>
        <w:t xml:space="preserve"> </w:t>
      </w:r>
      <w:r w:rsidR="006B2607" w:rsidRPr="006B2607">
        <w:rPr>
          <w:rFonts w:ascii="Arial" w:hAnsi="Arial" w:cs="Arial"/>
          <w:sz w:val="22"/>
          <w:szCs w:val="22"/>
        </w:rPr>
        <w:t xml:space="preserve">Shell is currently walking a tightrope. It is using its massive profits from oil and gas </w:t>
      </w:r>
      <w:r w:rsidR="006B2607">
        <w:rPr>
          <w:rFonts w:ascii="Arial" w:hAnsi="Arial" w:cs="Arial"/>
          <w:sz w:val="22"/>
          <w:szCs w:val="22"/>
        </w:rPr>
        <w:t>as a</w:t>
      </w:r>
      <w:r w:rsidR="006B2607" w:rsidRPr="006B2607">
        <w:rPr>
          <w:rFonts w:ascii="Arial" w:hAnsi="Arial" w:cs="Arial"/>
          <w:sz w:val="22"/>
          <w:szCs w:val="22"/>
        </w:rPr>
        <w:t xml:space="preserve"> cash cow</w:t>
      </w:r>
      <w:r w:rsidR="006B2607">
        <w:rPr>
          <w:rFonts w:ascii="Arial" w:hAnsi="Arial" w:cs="Arial"/>
          <w:sz w:val="22"/>
          <w:szCs w:val="22"/>
        </w:rPr>
        <w:t xml:space="preserve"> </w:t>
      </w:r>
      <w:r w:rsidR="006B2607" w:rsidRPr="006B2607">
        <w:rPr>
          <w:rFonts w:ascii="Arial" w:hAnsi="Arial" w:cs="Arial"/>
          <w:sz w:val="22"/>
          <w:szCs w:val="22"/>
        </w:rPr>
        <w:t>to pay for its shift toward greener energy. While this keeps the company financially strong right now, it creates a reputation gap because it still produces a lot of fossil fuels.</w:t>
      </w:r>
      <w:r w:rsidR="006B2607">
        <w:rPr>
          <w:rFonts w:ascii="Arial" w:hAnsi="Arial" w:cs="Arial"/>
          <w:sz w:val="22"/>
          <w:szCs w:val="22"/>
        </w:rPr>
        <w:t xml:space="preserve"> </w:t>
      </w:r>
    </w:p>
    <w:p w14:paraId="404CDD6D" w14:textId="6E7EAF30" w:rsidR="006B2607" w:rsidRPr="006B2607" w:rsidRDefault="006B2607" w:rsidP="006B2607">
      <w:pPr>
        <w:rPr>
          <w:rFonts w:ascii="Arial" w:hAnsi="Arial" w:cs="Arial"/>
          <w:sz w:val="22"/>
          <w:szCs w:val="22"/>
        </w:rPr>
      </w:pPr>
      <w:r w:rsidRPr="006B2607">
        <w:rPr>
          <w:rFonts w:ascii="Arial" w:hAnsi="Arial" w:cs="Arial"/>
          <w:sz w:val="22"/>
          <w:szCs w:val="22"/>
        </w:rPr>
        <w:t>To stay successful globally, Shell should:</w:t>
      </w:r>
    </w:p>
    <w:p w14:paraId="5FD7663A" w14:textId="77777777" w:rsidR="006B2607" w:rsidRPr="006B2607" w:rsidRDefault="006B2607" w:rsidP="006B2607">
      <w:pPr>
        <w:rPr>
          <w:rFonts w:ascii="Arial" w:hAnsi="Arial" w:cs="Arial"/>
          <w:sz w:val="22"/>
          <w:szCs w:val="22"/>
        </w:rPr>
      </w:pPr>
      <w:r w:rsidRPr="006B2607">
        <w:rPr>
          <w:rFonts w:ascii="Arial" w:hAnsi="Arial" w:cs="Arial"/>
          <w:sz w:val="22"/>
          <w:szCs w:val="22"/>
        </w:rPr>
        <w:t>Speed up green tech: Use AI to make carbon capture and hydrogen projects cheaper and faster to build.</w:t>
      </w:r>
    </w:p>
    <w:p w14:paraId="6579B1C9" w14:textId="42BC6A38" w:rsidR="006B2607" w:rsidRPr="006B2607" w:rsidRDefault="006B2607" w:rsidP="006B2607">
      <w:pPr>
        <w:rPr>
          <w:rFonts w:ascii="Arial" w:hAnsi="Arial" w:cs="Arial"/>
          <w:sz w:val="22"/>
          <w:szCs w:val="22"/>
        </w:rPr>
      </w:pPr>
      <w:r w:rsidRPr="006B2607">
        <w:rPr>
          <w:rFonts w:ascii="Arial" w:hAnsi="Arial" w:cs="Arial"/>
          <w:sz w:val="22"/>
          <w:szCs w:val="22"/>
        </w:rPr>
        <w:t>Be more transparent: Clearly show how they are meeting new climate rules to win back sceptical investors.</w:t>
      </w:r>
    </w:p>
    <w:p w14:paraId="4B2A077D" w14:textId="173003E6" w:rsidR="006B2607" w:rsidRPr="006B2607" w:rsidRDefault="006B2607" w:rsidP="006B2607">
      <w:pPr>
        <w:rPr>
          <w:rFonts w:ascii="Arial" w:hAnsi="Arial" w:cs="Arial"/>
          <w:sz w:val="22"/>
          <w:szCs w:val="22"/>
        </w:rPr>
      </w:pPr>
      <w:r w:rsidRPr="006B2607">
        <w:rPr>
          <w:rFonts w:ascii="Arial" w:hAnsi="Arial" w:cs="Arial"/>
          <w:sz w:val="22"/>
          <w:szCs w:val="22"/>
        </w:rPr>
        <w:t>Invest in staff: Retrain current workers for green jobs so they don’t lose their best talent during the transition.</w:t>
      </w:r>
    </w:p>
    <w:p w14:paraId="74FB84CB" w14:textId="77777777" w:rsidR="006B2607" w:rsidRDefault="006B2607">
      <w:pPr>
        <w:rPr>
          <w:rFonts w:ascii="Arial" w:hAnsi="Arial" w:cs="Arial"/>
          <w:sz w:val="22"/>
          <w:szCs w:val="22"/>
        </w:rPr>
      </w:pPr>
    </w:p>
    <w:p w14:paraId="024F8DA3" w14:textId="2ECC812C" w:rsidR="00F92352" w:rsidRPr="00F92352" w:rsidRDefault="005C7619">
      <w:pPr>
        <w:rPr>
          <w:rFonts w:ascii="Arial" w:hAnsi="Arial" w:cs="Arial"/>
          <w:b/>
          <w:bCs/>
          <w:sz w:val="22"/>
          <w:szCs w:val="22"/>
        </w:rPr>
      </w:pPr>
      <w:r w:rsidRPr="00F92352">
        <w:rPr>
          <w:rFonts w:ascii="Arial" w:hAnsi="Arial" w:cs="Arial"/>
          <w:b/>
          <w:bCs/>
          <w:sz w:val="22"/>
          <w:szCs w:val="22"/>
        </w:rPr>
        <w:t>Conclusion:</w:t>
      </w:r>
    </w:p>
    <w:p w14:paraId="13DE77EB" w14:textId="37F52E0A" w:rsidR="00B3627D" w:rsidRPr="00B3627D" w:rsidRDefault="00B3627D" w:rsidP="00B3627D">
      <w:pPr>
        <w:rPr>
          <w:rFonts w:ascii="Arial" w:hAnsi="Arial" w:cs="Arial"/>
          <w:sz w:val="22"/>
          <w:szCs w:val="22"/>
        </w:rPr>
      </w:pPr>
      <w:r w:rsidRPr="00B3627D">
        <w:rPr>
          <w:rFonts w:ascii="Arial" w:hAnsi="Arial" w:cs="Arial"/>
          <w:sz w:val="22"/>
          <w:szCs w:val="22"/>
        </w:rPr>
        <w:t>Shell’s situation shows that big businesses today can’t just focus on one thing. They must play a double game: making money from what works now (oil and gas) while building what will work in the future (renewables). The key takeaway is that Shell is using its massive profits to stay financially healthy and keep investors happy, but this makes it harder to prove they are truly committed to saving the planet.</w:t>
      </w:r>
      <w:r>
        <w:rPr>
          <w:rFonts w:ascii="Arial" w:hAnsi="Arial" w:cs="Arial"/>
          <w:sz w:val="22"/>
          <w:szCs w:val="22"/>
        </w:rPr>
        <w:t xml:space="preserve"> </w:t>
      </w:r>
      <w:r w:rsidRPr="00B3627D">
        <w:rPr>
          <w:rFonts w:ascii="Arial" w:hAnsi="Arial" w:cs="Arial"/>
          <w:sz w:val="22"/>
          <w:szCs w:val="22"/>
        </w:rPr>
        <w:t>Understanding these global dynamics</w:t>
      </w:r>
      <w:r>
        <w:rPr>
          <w:rFonts w:ascii="Arial" w:hAnsi="Arial" w:cs="Arial"/>
          <w:sz w:val="22"/>
          <w:szCs w:val="22"/>
        </w:rPr>
        <w:t xml:space="preserve"> </w:t>
      </w:r>
      <w:r w:rsidRPr="00B3627D">
        <w:rPr>
          <w:rFonts w:ascii="Arial" w:hAnsi="Arial" w:cs="Arial"/>
          <w:sz w:val="22"/>
          <w:szCs w:val="22"/>
        </w:rPr>
        <w:t>like shifting laws, new technology, and political tension</w:t>
      </w:r>
      <w:r>
        <w:rPr>
          <w:rFonts w:ascii="Arial" w:hAnsi="Arial" w:cs="Arial"/>
          <w:sz w:val="22"/>
          <w:szCs w:val="22"/>
        </w:rPr>
        <w:t xml:space="preserve"> </w:t>
      </w:r>
      <w:r w:rsidRPr="00B3627D">
        <w:rPr>
          <w:rFonts w:ascii="Arial" w:hAnsi="Arial" w:cs="Arial"/>
          <w:sz w:val="22"/>
          <w:szCs w:val="22"/>
        </w:rPr>
        <w:t>is vital for any international business strategy for three main reasons:</w:t>
      </w:r>
    </w:p>
    <w:p w14:paraId="4C8ECD7A" w14:textId="44BCD4D2" w:rsidR="00B85477" w:rsidRDefault="00B3627D">
      <w:pPr>
        <w:rPr>
          <w:rFonts w:ascii="Arial" w:hAnsi="Arial" w:cs="Arial"/>
          <w:sz w:val="22"/>
          <w:szCs w:val="22"/>
        </w:rPr>
      </w:pPr>
      <w:r w:rsidRPr="00B3627D">
        <w:rPr>
          <w:rFonts w:ascii="Arial" w:hAnsi="Arial" w:cs="Arial"/>
          <w:sz w:val="22"/>
          <w:szCs w:val="22"/>
        </w:rPr>
        <w:t>Spotting Risks Early: Laws change fast. By staying ahead of climate regulations like carbon taxes, a company avoids massive fines and stays ahead of competitors who are slower to adapt. Staying Relevant: Customers and young workers care about the environment. If a company looks like it’s stuck in the past, it will lose its best talent and its social license to operate. Efficiency through Tech: As we saw with Shell’s use of AI, technology isn't just a bonus</w:t>
      </w:r>
      <w:r>
        <w:rPr>
          <w:rFonts w:ascii="Arial" w:hAnsi="Arial" w:cs="Arial"/>
          <w:sz w:val="22"/>
          <w:szCs w:val="22"/>
        </w:rPr>
        <w:t xml:space="preserve">, </w:t>
      </w:r>
      <w:r w:rsidRPr="00B3627D">
        <w:rPr>
          <w:rFonts w:ascii="Arial" w:hAnsi="Arial" w:cs="Arial"/>
          <w:sz w:val="22"/>
          <w:szCs w:val="22"/>
        </w:rPr>
        <w:t>it’s how companies survive high costs and unpredictable markets.</w:t>
      </w:r>
      <w:r>
        <w:rPr>
          <w:rFonts w:ascii="Arial" w:hAnsi="Arial" w:cs="Arial"/>
          <w:sz w:val="22"/>
          <w:szCs w:val="22"/>
        </w:rPr>
        <w:t xml:space="preserve"> </w:t>
      </w:r>
      <w:r w:rsidRPr="00B3627D">
        <w:rPr>
          <w:rFonts w:ascii="Arial" w:hAnsi="Arial" w:cs="Arial"/>
          <w:sz w:val="22"/>
          <w:szCs w:val="22"/>
        </w:rPr>
        <w:t>In short, international business isn't just about selling a product; it’s about navigating a messy, changing world. Success comes to those who can fund their future without crashing their present.</w:t>
      </w:r>
    </w:p>
    <w:p w14:paraId="0111E5BC" w14:textId="77777777" w:rsidR="004044CF" w:rsidRDefault="004044CF">
      <w:pPr>
        <w:rPr>
          <w:rFonts w:ascii="Arial" w:hAnsi="Arial" w:cs="Arial"/>
          <w:sz w:val="22"/>
          <w:szCs w:val="22"/>
        </w:rPr>
      </w:pPr>
    </w:p>
    <w:p w14:paraId="70558375" w14:textId="77777777" w:rsidR="004044CF" w:rsidRDefault="004044CF">
      <w:pPr>
        <w:rPr>
          <w:rFonts w:ascii="Arial" w:hAnsi="Arial" w:cs="Arial"/>
          <w:sz w:val="22"/>
          <w:szCs w:val="22"/>
        </w:rPr>
      </w:pPr>
    </w:p>
    <w:p w14:paraId="0C158964" w14:textId="77777777" w:rsidR="004044CF" w:rsidRDefault="004044CF">
      <w:pPr>
        <w:rPr>
          <w:rFonts w:ascii="Arial" w:hAnsi="Arial" w:cs="Arial"/>
          <w:sz w:val="22"/>
          <w:szCs w:val="22"/>
        </w:rPr>
      </w:pPr>
    </w:p>
    <w:p w14:paraId="28CF0531" w14:textId="77777777" w:rsidR="004044CF" w:rsidRDefault="004044CF">
      <w:pPr>
        <w:rPr>
          <w:rFonts w:ascii="Arial" w:hAnsi="Arial" w:cs="Arial"/>
          <w:sz w:val="22"/>
          <w:szCs w:val="22"/>
        </w:rPr>
      </w:pPr>
    </w:p>
    <w:p w14:paraId="0C1A0978" w14:textId="77777777" w:rsidR="004044CF" w:rsidRDefault="004044CF">
      <w:pPr>
        <w:rPr>
          <w:rFonts w:ascii="Arial" w:hAnsi="Arial" w:cs="Arial"/>
          <w:sz w:val="22"/>
          <w:szCs w:val="22"/>
        </w:rPr>
      </w:pPr>
    </w:p>
    <w:p w14:paraId="0EED6094" w14:textId="77777777" w:rsidR="00DA6E02" w:rsidRDefault="00DA6E02">
      <w:pPr>
        <w:rPr>
          <w:rFonts w:ascii="Arial" w:hAnsi="Arial" w:cs="Arial"/>
          <w:sz w:val="22"/>
          <w:szCs w:val="22"/>
        </w:rPr>
      </w:pPr>
    </w:p>
    <w:p w14:paraId="3C00BDDA" w14:textId="2FCF3FFB" w:rsidR="00DA6E02" w:rsidRDefault="00DA6E02">
      <w:pPr>
        <w:rPr>
          <w:rFonts w:ascii="Arial" w:hAnsi="Arial" w:cs="Arial"/>
          <w:b/>
          <w:bCs/>
          <w:sz w:val="22"/>
          <w:szCs w:val="22"/>
        </w:rPr>
      </w:pPr>
      <w:r w:rsidRPr="00DA6E02">
        <w:rPr>
          <w:rFonts w:ascii="Arial" w:hAnsi="Arial" w:cs="Arial"/>
          <w:b/>
          <w:bCs/>
          <w:sz w:val="22"/>
          <w:szCs w:val="22"/>
        </w:rPr>
        <w:t>References:</w:t>
      </w:r>
    </w:p>
    <w:p w14:paraId="24B30CFC" w14:textId="77777777" w:rsidR="00A07F2F" w:rsidRDefault="00A07F2F">
      <w:pPr>
        <w:rPr>
          <w:rFonts w:ascii="Arial" w:hAnsi="Arial" w:cs="Arial"/>
          <w:b/>
          <w:bCs/>
          <w:sz w:val="22"/>
          <w:szCs w:val="22"/>
        </w:rPr>
      </w:pPr>
    </w:p>
    <w:p w14:paraId="72FE0AFD" w14:textId="1B3D60C5" w:rsidR="00A07F2F" w:rsidRDefault="00A07F2F">
      <w:pPr>
        <w:rPr>
          <w:rFonts w:ascii="Arial" w:hAnsi="Arial" w:cs="Arial"/>
          <w:b/>
          <w:bCs/>
          <w:sz w:val="22"/>
          <w:szCs w:val="22"/>
        </w:rPr>
      </w:pPr>
      <w:r w:rsidRPr="00A07F2F">
        <w:rPr>
          <w:rFonts w:ascii="Arial" w:hAnsi="Arial" w:cs="Arial"/>
          <w:sz w:val="22"/>
          <w:szCs w:val="22"/>
        </w:rPr>
        <w:t xml:space="preserve">(2025a) </w:t>
      </w:r>
      <w:r w:rsidRPr="00A07F2F">
        <w:rPr>
          <w:rFonts w:ascii="Arial" w:hAnsi="Arial" w:cs="Arial"/>
          <w:i/>
          <w:iCs/>
          <w:sz w:val="22"/>
          <w:szCs w:val="22"/>
        </w:rPr>
        <w:t>Written evidence submitted by Shell UK (WFP0084) introduction</w:t>
      </w:r>
      <w:r w:rsidRPr="00A07F2F">
        <w:rPr>
          <w:rFonts w:ascii="Arial" w:hAnsi="Arial" w:cs="Arial"/>
          <w:sz w:val="22"/>
          <w:szCs w:val="22"/>
        </w:rPr>
        <w:t xml:space="preserve">. Available at: https://committees.parliament.uk/writtenevidence/134177/pdf/ (Accessed: 26 April 2026). </w:t>
      </w:r>
    </w:p>
    <w:p w14:paraId="097E0002" w14:textId="77777777" w:rsidR="00903873" w:rsidRDefault="00903873">
      <w:pPr>
        <w:rPr>
          <w:rFonts w:ascii="Arial" w:hAnsi="Arial" w:cs="Arial"/>
          <w:b/>
          <w:bCs/>
          <w:sz w:val="22"/>
          <w:szCs w:val="22"/>
        </w:rPr>
      </w:pPr>
    </w:p>
    <w:p w14:paraId="30B2EEC7" w14:textId="3A463FBC" w:rsidR="00903873" w:rsidRDefault="00903873" w:rsidP="00903873">
      <w:pPr>
        <w:rPr>
          <w:rFonts w:ascii="Arial" w:hAnsi="Arial" w:cs="Arial"/>
          <w:sz w:val="22"/>
          <w:szCs w:val="22"/>
        </w:rPr>
      </w:pPr>
      <w:r w:rsidRPr="00903873">
        <w:rPr>
          <w:rFonts w:ascii="Arial" w:hAnsi="Arial" w:cs="Arial"/>
          <w:sz w:val="22"/>
          <w:szCs w:val="22"/>
        </w:rPr>
        <w:t>(</w:t>
      </w:r>
      <w:r>
        <w:rPr>
          <w:rFonts w:ascii="Arial" w:hAnsi="Arial" w:cs="Arial"/>
          <w:sz w:val="22"/>
          <w:szCs w:val="22"/>
        </w:rPr>
        <w:t>2025</w:t>
      </w:r>
      <w:r w:rsidRPr="00903873">
        <w:rPr>
          <w:rFonts w:ascii="Arial" w:hAnsi="Arial" w:cs="Arial"/>
          <w:sz w:val="22"/>
          <w:szCs w:val="22"/>
        </w:rPr>
        <w:t xml:space="preserve">) </w:t>
      </w:r>
      <w:r w:rsidRPr="00903873">
        <w:rPr>
          <w:rFonts w:ascii="Arial" w:hAnsi="Arial" w:cs="Arial"/>
          <w:i/>
          <w:iCs/>
          <w:sz w:val="22"/>
          <w:szCs w:val="22"/>
        </w:rPr>
        <w:t>Shell annual report 2025 cover</w:t>
      </w:r>
      <w:r w:rsidRPr="00903873">
        <w:rPr>
          <w:rFonts w:ascii="Arial" w:hAnsi="Arial" w:cs="Arial"/>
          <w:sz w:val="22"/>
          <w:szCs w:val="22"/>
        </w:rPr>
        <w:t xml:space="preserve">. Available at: https://wafi-energy.com/wp-content/uploads/2025/04/WEPL-Annual-Report-2024.pdf (Accessed: 26 April 2026). </w:t>
      </w:r>
    </w:p>
    <w:p w14:paraId="1D2E09D9" w14:textId="77777777" w:rsidR="00A07F2F" w:rsidRDefault="00A07F2F" w:rsidP="00903873">
      <w:pPr>
        <w:rPr>
          <w:rFonts w:ascii="Arial" w:hAnsi="Arial" w:cs="Arial"/>
          <w:sz w:val="22"/>
          <w:szCs w:val="22"/>
        </w:rPr>
      </w:pPr>
    </w:p>
    <w:p w14:paraId="7B80754F" w14:textId="14414643" w:rsidR="00903873" w:rsidRDefault="00A07F2F">
      <w:pPr>
        <w:rPr>
          <w:rFonts w:ascii="Arial" w:hAnsi="Arial" w:cs="Arial"/>
          <w:b/>
          <w:bCs/>
          <w:sz w:val="22"/>
          <w:szCs w:val="22"/>
        </w:rPr>
      </w:pPr>
      <w:r w:rsidRPr="00A07F2F">
        <w:rPr>
          <w:rFonts w:ascii="Arial" w:hAnsi="Arial" w:cs="Arial"/>
          <w:sz w:val="22"/>
          <w:szCs w:val="22"/>
        </w:rPr>
        <w:t xml:space="preserve">(2025) </w:t>
      </w:r>
      <w:r w:rsidRPr="00A07F2F">
        <w:rPr>
          <w:rFonts w:ascii="Arial" w:hAnsi="Arial" w:cs="Arial"/>
          <w:i/>
          <w:iCs/>
          <w:sz w:val="22"/>
          <w:szCs w:val="22"/>
        </w:rPr>
        <w:t>The 2025 energy security scenarios</w:t>
      </w:r>
      <w:r w:rsidRPr="00A07F2F">
        <w:rPr>
          <w:rFonts w:ascii="Arial" w:hAnsi="Arial" w:cs="Arial"/>
          <w:sz w:val="22"/>
          <w:szCs w:val="22"/>
        </w:rPr>
        <w:t xml:space="preserve">. Available at: https://www.shell.com/news-and-insights/scenarios/the-2025-energy-security-scenarios/_jcr_content/root/main/section_1902297548/promo/links/item0.stream/1746784000258/ca7e977082c0ee7f8e60e87fa41556287d3be0cf/the_2025_energy_security_scenarios.pdf (Accessed: 26 April 2026). </w:t>
      </w:r>
    </w:p>
    <w:p w14:paraId="702D0815" w14:textId="77777777" w:rsidR="00903873" w:rsidRDefault="00903873">
      <w:pPr>
        <w:rPr>
          <w:rFonts w:ascii="Arial" w:hAnsi="Arial" w:cs="Arial"/>
          <w:b/>
          <w:bCs/>
          <w:sz w:val="22"/>
          <w:szCs w:val="22"/>
        </w:rPr>
      </w:pPr>
    </w:p>
    <w:p w14:paraId="0472E675" w14:textId="77777777" w:rsidR="00903873" w:rsidRDefault="00903873" w:rsidP="00903873">
      <w:pPr>
        <w:rPr>
          <w:rFonts w:ascii="Arial" w:hAnsi="Arial" w:cs="Arial"/>
          <w:sz w:val="22"/>
          <w:szCs w:val="22"/>
        </w:rPr>
      </w:pPr>
      <w:r w:rsidRPr="00903873">
        <w:rPr>
          <w:rFonts w:ascii="Arial" w:hAnsi="Arial" w:cs="Arial"/>
          <w:sz w:val="22"/>
          <w:szCs w:val="22"/>
        </w:rPr>
        <w:t xml:space="preserve">Analysis, P. (2025) </w:t>
      </w:r>
      <w:r w:rsidRPr="00903873">
        <w:rPr>
          <w:rFonts w:ascii="Arial" w:hAnsi="Arial" w:cs="Arial"/>
          <w:i/>
          <w:iCs/>
          <w:sz w:val="22"/>
          <w:szCs w:val="22"/>
        </w:rPr>
        <w:t>What is growth strategy and future prospects of Shell plc company?</w:t>
      </w:r>
      <w:r w:rsidRPr="00903873">
        <w:rPr>
          <w:rFonts w:ascii="Arial" w:hAnsi="Arial" w:cs="Arial"/>
          <w:sz w:val="22"/>
          <w:szCs w:val="22"/>
        </w:rPr>
        <w:t xml:space="preserve">, </w:t>
      </w:r>
      <w:r w:rsidRPr="00903873">
        <w:rPr>
          <w:rFonts w:ascii="Arial" w:hAnsi="Arial" w:cs="Arial"/>
          <w:i/>
          <w:iCs/>
          <w:sz w:val="22"/>
          <w:szCs w:val="22"/>
        </w:rPr>
        <w:t>PESTEL ANALYSIS</w:t>
      </w:r>
      <w:r w:rsidRPr="00903873">
        <w:rPr>
          <w:rFonts w:ascii="Arial" w:hAnsi="Arial" w:cs="Arial"/>
          <w:sz w:val="22"/>
          <w:szCs w:val="22"/>
        </w:rPr>
        <w:t xml:space="preserve">. Available at: https://pestel-analysis.com/blogs/growth-strategy/shell#:~:text=Shell’s%20Capital%20Markets%20Day%202025,per%20share%20through%20to%202030. (Accessed: 26 April 2026). </w:t>
      </w:r>
    </w:p>
    <w:p w14:paraId="04D2F6DD" w14:textId="77777777" w:rsidR="00EF585F" w:rsidRDefault="00EF585F" w:rsidP="00903873">
      <w:pPr>
        <w:rPr>
          <w:rFonts w:ascii="Arial" w:hAnsi="Arial" w:cs="Arial"/>
          <w:sz w:val="22"/>
          <w:szCs w:val="22"/>
        </w:rPr>
      </w:pPr>
    </w:p>
    <w:p w14:paraId="15F14616" w14:textId="77777777" w:rsidR="00EF585F" w:rsidRPr="00EF585F" w:rsidRDefault="00EF585F" w:rsidP="00EF585F">
      <w:pPr>
        <w:rPr>
          <w:rFonts w:ascii="Arial" w:hAnsi="Arial" w:cs="Arial"/>
          <w:sz w:val="22"/>
          <w:szCs w:val="22"/>
        </w:rPr>
      </w:pPr>
      <w:r w:rsidRPr="00EF585F">
        <w:rPr>
          <w:rFonts w:ascii="Arial" w:hAnsi="Arial" w:cs="Arial"/>
          <w:sz w:val="22"/>
          <w:szCs w:val="22"/>
        </w:rPr>
        <w:t xml:space="preserve">Delaporte, L.-M. and Bogaert, A. (2025) </w:t>
      </w:r>
      <w:r w:rsidRPr="00EF585F">
        <w:rPr>
          <w:rFonts w:ascii="Arial" w:hAnsi="Arial" w:cs="Arial"/>
          <w:i/>
          <w:iCs/>
          <w:sz w:val="22"/>
          <w:szCs w:val="22"/>
        </w:rPr>
        <w:t>April 2025 assessment of Shell’s climate strategy</w:t>
      </w:r>
      <w:r w:rsidRPr="00EF585F">
        <w:rPr>
          <w:rFonts w:ascii="Arial" w:hAnsi="Arial" w:cs="Arial"/>
          <w:sz w:val="22"/>
          <w:szCs w:val="22"/>
        </w:rPr>
        <w:t xml:space="preserve">, </w:t>
      </w:r>
      <w:r w:rsidRPr="00EF585F">
        <w:rPr>
          <w:rFonts w:ascii="Arial" w:hAnsi="Arial" w:cs="Arial"/>
          <w:i/>
          <w:iCs/>
          <w:sz w:val="22"/>
          <w:szCs w:val="22"/>
        </w:rPr>
        <w:t>reclaimfinance.org</w:t>
      </w:r>
      <w:r w:rsidRPr="00EF585F">
        <w:rPr>
          <w:rFonts w:ascii="Arial" w:hAnsi="Arial" w:cs="Arial"/>
          <w:sz w:val="22"/>
          <w:szCs w:val="22"/>
        </w:rPr>
        <w:t xml:space="preserve">. Available at: https://reclaimfinance.org/site/wp-content/uploads/2025/05/202504_Shell_Climate-Strategy-Assessment.pdf (Accessed: 26 April 2026). </w:t>
      </w:r>
    </w:p>
    <w:p w14:paraId="15F68C1D" w14:textId="77777777" w:rsidR="002A3EDE" w:rsidRDefault="002A3EDE">
      <w:pPr>
        <w:rPr>
          <w:rFonts w:ascii="Arial" w:hAnsi="Arial" w:cs="Arial"/>
          <w:b/>
          <w:bCs/>
          <w:sz w:val="22"/>
          <w:szCs w:val="22"/>
        </w:rPr>
      </w:pPr>
    </w:p>
    <w:p w14:paraId="31FED55B" w14:textId="27312F0A" w:rsidR="002A3EDE" w:rsidRPr="00DA6E02" w:rsidRDefault="002A3EDE">
      <w:pPr>
        <w:rPr>
          <w:rFonts w:ascii="Arial" w:hAnsi="Arial" w:cs="Arial"/>
          <w:b/>
          <w:bCs/>
          <w:sz w:val="22"/>
          <w:szCs w:val="22"/>
        </w:rPr>
      </w:pPr>
      <w:r w:rsidRPr="002A3EDE">
        <w:rPr>
          <w:rFonts w:ascii="Arial" w:hAnsi="Arial" w:cs="Arial"/>
          <w:i/>
          <w:iCs/>
          <w:sz w:val="22"/>
          <w:szCs w:val="22"/>
        </w:rPr>
        <w:t>Four trends set to shape Europe’s Industrial Energy Future – Shell</w:t>
      </w:r>
      <w:r w:rsidRPr="002A3EDE">
        <w:rPr>
          <w:rFonts w:ascii="Arial" w:hAnsi="Arial" w:cs="Arial"/>
          <w:sz w:val="22"/>
          <w:szCs w:val="22"/>
        </w:rPr>
        <w:t xml:space="preserve"> (2025) </w:t>
      </w:r>
      <w:r w:rsidRPr="002A3EDE">
        <w:rPr>
          <w:rFonts w:ascii="Arial" w:hAnsi="Arial" w:cs="Arial"/>
          <w:i/>
          <w:iCs/>
          <w:sz w:val="22"/>
          <w:szCs w:val="22"/>
        </w:rPr>
        <w:t>Shell Global</w:t>
      </w:r>
      <w:r w:rsidRPr="002A3EDE">
        <w:rPr>
          <w:rFonts w:ascii="Arial" w:hAnsi="Arial" w:cs="Arial"/>
          <w:sz w:val="22"/>
          <w:szCs w:val="22"/>
        </w:rPr>
        <w:t xml:space="preserve">. Available at: https://www.shell.com/shellenergy/shell-energy-europe/news-and-insights/four-trends-set-to-shape-europes-industrial-energy-future.html (Accessed: 26 April 2026). </w:t>
      </w:r>
    </w:p>
    <w:p w14:paraId="3A4DCA55" w14:textId="77777777" w:rsidR="00DA6E02" w:rsidRDefault="00DA6E02">
      <w:pPr>
        <w:rPr>
          <w:rFonts w:ascii="Arial" w:hAnsi="Arial" w:cs="Arial"/>
          <w:sz w:val="22"/>
          <w:szCs w:val="22"/>
        </w:rPr>
      </w:pPr>
    </w:p>
    <w:p w14:paraId="03F172CB" w14:textId="24E65D0A" w:rsidR="00801E57" w:rsidRDefault="00806C7A">
      <w:pPr>
        <w:rPr>
          <w:rFonts w:ascii="Arial" w:hAnsi="Arial" w:cs="Arial"/>
          <w:sz w:val="22"/>
          <w:szCs w:val="22"/>
        </w:rPr>
      </w:pPr>
      <w:r w:rsidRPr="00806C7A">
        <w:rPr>
          <w:rFonts w:ascii="Arial" w:hAnsi="Arial" w:cs="Arial"/>
          <w:sz w:val="22"/>
          <w:szCs w:val="22"/>
        </w:rPr>
        <w:t>Held, D.,</w:t>
      </w:r>
      <w:r w:rsidR="000C1F82" w:rsidRPr="000C1F82">
        <w:rPr>
          <w:rFonts w:ascii="Arial" w:hAnsi="Arial" w:cs="Arial"/>
          <w:sz w:val="22"/>
          <w:szCs w:val="22"/>
        </w:rPr>
        <w:t xml:space="preserve"> McGrew, A., Goldblatt, D. and Perraton, J.</w:t>
      </w:r>
      <w:r w:rsidRPr="00806C7A">
        <w:rPr>
          <w:rFonts w:ascii="Arial" w:hAnsi="Arial" w:cs="Arial"/>
          <w:sz w:val="22"/>
          <w:szCs w:val="22"/>
        </w:rPr>
        <w:t xml:space="preserve"> 1999., Global Transformations: Politics, economics and culture.</w:t>
      </w:r>
    </w:p>
    <w:p w14:paraId="7B72D766" w14:textId="77777777" w:rsidR="00B3627D" w:rsidRDefault="00B3627D">
      <w:pPr>
        <w:rPr>
          <w:rFonts w:ascii="Arial" w:hAnsi="Arial" w:cs="Arial"/>
          <w:sz w:val="22"/>
          <w:szCs w:val="22"/>
        </w:rPr>
      </w:pPr>
    </w:p>
    <w:p w14:paraId="6B2A149D" w14:textId="5E8E9860" w:rsidR="00903873" w:rsidRDefault="00801E57">
      <w:pPr>
        <w:rPr>
          <w:rFonts w:ascii="Arial" w:hAnsi="Arial" w:cs="Arial"/>
          <w:sz w:val="22"/>
          <w:szCs w:val="22"/>
        </w:rPr>
      </w:pPr>
      <w:r w:rsidRPr="00801E57">
        <w:rPr>
          <w:rFonts w:ascii="Arial" w:hAnsi="Arial" w:cs="Arial"/>
          <w:sz w:val="22"/>
          <w:szCs w:val="22"/>
        </w:rPr>
        <w:lastRenderedPageBreak/>
        <w:t>Jayakumar, T., Sinha, S.N. and Prabhudesai, R., 2025. Instruction Manual: Shell plc: a green light to continue or a signal to go green?. </w:t>
      </w:r>
      <w:r w:rsidRPr="00801E57">
        <w:rPr>
          <w:rFonts w:ascii="Arial" w:hAnsi="Arial" w:cs="Arial"/>
          <w:i/>
          <w:iCs/>
          <w:sz w:val="22"/>
          <w:szCs w:val="22"/>
        </w:rPr>
        <w:t>The CASE Journal Teaching Notes</w:t>
      </w:r>
      <w:r w:rsidRPr="00801E57">
        <w:rPr>
          <w:rFonts w:ascii="Arial" w:hAnsi="Arial" w:cs="Arial"/>
          <w:sz w:val="22"/>
          <w:szCs w:val="22"/>
        </w:rPr>
        <w:t>, pp.1-9.</w:t>
      </w:r>
    </w:p>
    <w:p w14:paraId="07FC9F5F" w14:textId="77777777" w:rsidR="00515DAA" w:rsidRDefault="00515DAA">
      <w:pPr>
        <w:rPr>
          <w:rFonts w:ascii="Arial" w:hAnsi="Arial" w:cs="Arial"/>
          <w:sz w:val="22"/>
          <w:szCs w:val="22"/>
        </w:rPr>
      </w:pPr>
    </w:p>
    <w:p w14:paraId="5E36A2CB" w14:textId="7FBE5831" w:rsidR="00515DAA" w:rsidRDefault="00515DAA">
      <w:pPr>
        <w:rPr>
          <w:rFonts w:ascii="Arial" w:hAnsi="Arial" w:cs="Arial"/>
          <w:sz w:val="22"/>
          <w:szCs w:val="22"/>
        </w:rPr>
      </w:pPr>
      <w:r w:rsidRPr="00515DAA">
        <w:rPr>
          <w:rFonts w:ascii="Arial" w:hAnsi="Arial" w:cs="Arial"/>
          <w:i/>
          <w:iCs/>
          <w:sz w:val="22"/>
          <w:szCs w:val="22"/>
        </w:rPr>
        <w:t>Our strategy: Delivering more value with less emissions</w:t>
      </w:r>
      <w:r w:rsidRPr="00515DAA">
        <w:rPr>
          <w:rFonts w:ascii="Arial" w:hAnsi="Arial" w:cs="Arial"/>
          <w:sz w:val="22"/>
          <w:szCs w:val="22"/>
        </w:rPr>
        <w:t xml:space="preserve"> (2026) </w:t>
      </w:r>
      <w:r w:rsidRPr="00515DAA">
        <w:rPr>
          <w:rFonts w:ascii="Arial" w:hAnsi="Arial" w:cs="Arial"/>
          <w:i/>
          <w:iCs/>
          <w:sz w:val="22"/>
          <w:szCs w:val="22"/>
        </w:rPr>
        <w:t>Shell Global</w:t>
      </w:r>
      <w:r w:rsidRPr="00515DAA">
        <w:rPr>
          <w:rFonts w:ascii="Arial" w:hAnsi="Arial" w:cs="Arial"/>
          <w:sz w:val="22"/>
          <w:szCs w:val="22"/>
        </w:rPr>
        <w:t xml:space="preserve">. Available at: https://www.shell.com/what-we-do/our-strategy.html#:~:text=We%20aim%20to%20sustain%20liquids,%2D%20and%20carbon%2Dcompetitive%20molecules. (Accessed: 26 April 2026). </w:t>
      </w:r>
    </w:p>
    <w:p w14:paraId="363FEBE7" w14:textId="77777777" w:rsidR="00801E57" w:rsidRDefault="00801E57">
      <w:pPr>
        <w:rPr>
          <w:rFonts w:ascii="Arial" w:hAnsi="Arial" w:cs="Arial"/>
          <w:sz w:val="22"/>
          <w:szCs w:val="22"/>
        </w:rPr>
      </w:pPr>
    </w:p>
    <w:p w14:paraId="59B7A522" w14:textId="77777777" w:rsidR="00801E57" w:rsidRDefault="00801E57" w:rsidP="00801E57">
      <w:pPr>
        <w:rPr>
          <w:rFonts w:ascii="Arial" w:hAnsi="Arial" w:cs="Arial"/>
          <w:sz w:val="22"/>
          <w:szCs w:val="22"/>
        </w:rPr>
      </w:pPr>
      <w:r w:rsidRPr="00801E57">
        <w:rPr>
          <w:rFonts w:ascii="Arial" w:hAnsi="Arial" w:cs="Arial"/>
          <w:sz w:val="22"/>
          <w:szCs w:val="22"/>
        </w:rPr>
        <w:t xml:space="preserve">Power, N.G. and (2024) </w:t>
      </w:r>
      <w:r w:rsidRPr="00801E57">
        <w:rPr>
          <w:rFonts w:ascii="Arial" w:hAnsi="Arial" w:cs="Arial"/>
          <w:i/>
          <w:iCs/>
          <w:sz w:val="22"/>
          <w:szCs w:val="22"/>
        </w:rPr>
        <w:t>Shell pauses Red Sea operations amidst rising geopolitical tensions</w:t>
      </w:r>
      <w:r w:rsidRPr="00801E57">
        <w:rPr>
          <w:rFonts w:ascii="Arial" w:hAnsi="Arial" w:cs="Arial"/>
          <w:sz w:val="22"/>
          <w:szCs w:val="22"/>
        </w:rPr>
        <w:t xml:space="preserve">, </w:t>
      </w:r>
      <w:r w:rsidRPr="00801E57">
        <w:rPr>
          <w:rFonts w:ascii="Arial" w:hAnsi="Arial" w:cs="Arial"/>
          <w:i/>
          <w:iCs/>
          <w:sz w:val="22"/>
          <w:szCs w:val="22"/>
        </w:rPr>
        <w:t>LinkedIn</w:t>
      </w:r>
      <w:r w:rsidRPr="00801E57">
        <w:rPr>
          <w:rFonts w:ascii="Arial" w:hAnsi="Arial" w:cs="Arial"/>
          <w:sz w:val="22"/>
          <w:szCs w:val="22"/>
        </w:rPr>
        <w:t xml:space="preserve">. Available at: https://www.linkedin.com/pulse/shell-pauses-red-sea-operations-amidst-rising-geopolitical-3ajee (Accessed: 26 April 2026). </w:t>
      </w:r>
    </w:p>
    <w:p w14:paraId="2D765073" w14:textId="77777777" w:rsidR="00B9392F" w:rsidRDefault="00B9392F" w:rsidP="00801E57">
      <w:pPr>
        <w:rPr>
          <w:rFonts w:ascii="Arial" w:hAnsi="Arial" w:cs="Arial"/>
          <w:sz w:val="22"/>
          <w:szCs w:val="22"/>
        </w:rPr>
      </w:pPr>
    </w:p>
    <w:p w14:paraId="0A4ECD5C" w14:textId="444A3E9F" w:rsidR="00B9392F" w:rsidRPr="00801E57" w:rsidRDefault="00B9392F" w:rsidP="00801E57">
      <w:pPr>
        <w:rPr>
          <w:rFonts w:ascii="Arial" w:hAnsi="Arial" w:cs="Arial"/>
          <w:sz w:val="22"/>
          <w:szCs w:val="22"/>
        </w:rPr>
      </w:pPr>
      <w:r w:rsidRPr="00B9392F">
        <w:rPr>
          <w:rFonts w:ascii="Arial" w:hAnsi="Arial" w:cs="Arial"/>
          <w:sz w:val="22"/>
          <w:szCs w:val="22"/>
        </w:rPr>
        <w:t xml:space="preserve">Sharma, A. (2026) </w:t>
      </w:r>
      <w:r w:rsidRPr="00B9392F">
        <w:rPr>
          <w:rFonts w:ascii="Arial" w:hAnsi="Arial" w:cs="Arial"/>
          <w:i/>
          <w:iCs/>
          <w:sz w:val="22"/>
          <w:szCs w:val="22"/>
        </w:rPr>
        <w:t>Can Shell plc continue to benefit from high oil prices?</w:t>
      </w:r>
      <w:r w:rsidRPr="00B9392F">
        <w:rPr>
          <w:rFonts w:ascii="Arial" w:hAnsi="Arial" w:cs="Arial"/>
          <w:sz w:val="22"/>
          <w:szCs w:val="22"/>
        </w:rPr>
        <w:t xml:space="preserve">, </w:t>
      </w:r>
      <w:r w:rsidRPr="00B9392F">
        <w:rPr>
          <w:rFonts w:ascii="Arial" w:hAnsi="Arial" w:cs="Arial"/>
          <w:i/>
          <w:iCs/>
          <w:sz w:val="22"/>
          <w:szCs w:val="22"/>
        </w:rPr>
        <w:t>Kalkine</w:t>
      </w:r>
      <w:r w:rsidRPr="00B9392F">
        <w:rPr>
          <w:rFonts w:ascii="Arial" w:hAnsi="Arial" w:cs="Arial"/>
          <w:sz w:val="22"/>
          <w:szCs w:val="22"/>
        </w:rPr>
        <w:t xml:space="preserve">. Available at: https://kalkine.co.uk/news/energy/can-shell-plc-continue-to-benefit-from-high-oil-prices#:~:text=Despite%20energy%20transition%20efforts%2C%20global,Inflation%20and%20Global%20Economic%20Impact (Accessed: 26 April 2026). </w:t>
      </w:r>
    </w:p>
    <w:p w14:paraId="4F786687" w14:textId="77777777" w:rsidR="00654057" w:rsidRDefault="00654057">
      <w:pPr>
        <w:rPr>
          <w:rFonts w:ascii="Arial" w:hAnsi="Arial" w:cs="Arial"/>
          <w:sz w:val="22"/>
          <w:szCs w:val="22"/>
        </w:rPr>
      </w:pPr>
    </w:p>
    <w:p w14:paraId="41297379" w14:textId="6F51261C" w:rsidR="00654057" w:rsidRDefault="00654057">
      <w:pPr>
        <w:rPr>
          <w:rFonts w:ascii="Arial" w:hAnsi="Arial" w:cs="Arial"/>
          <w:sz w:val="22"/>
          <w:szCs w:val="22"/>
        </w:rPr>
      </w:pPr>
      <w:r w:rsidRPr="00654057">
        <w:rPr>
          <w:rFonts w:ascii="Arial" w:hAnsi="Arial" w:cs="Arial"/>
          <w:i/>
          <w:iCs/>
          <w:sz w:val="22"/>
          <w:szCs w:val="22"/>
        </w:rPr>
        <w:t>Shell publishes Energy Transition Strategy 2024</w:t>
      </w:r>
      <w:r w:rsidRPr="00654057">
        <w:rPr>
          <w:rFonts w:ascii="Arial" w:hAnsi="Arial" w:cs="Arial"/>
          <w:sz w:val="22"/>
          <w:szCs w:val="22"/>
        </w:rPr>
        <w:t xml:space="preserve"> (2024) </w:t>
      </w:r>
      <w:r w:rsidRPr="00654057">
        <w:rPr>
          <w:rFonts w:ascii="Arial" w:hAnsi="Arial" w:cs="Arial"/>
          <w:i/>
          <w:iCs/>
          <w:sz w:val="22"/>
          <w:szCs w:val="22"/>
        </w:rPr>
        <w:t>London Stock Exchange | London Stock Exchange</w:t>
      </w:r>
      <w:r w:rsidRPr="00654057">
        <w:rPr>
          <w:rFonts w:ascii="Arial" w:hAnsi="Arial" w:cs="Arial"/>
          <w:sz w:val="22"/>
          <w:szCs w:val="22"/>
        </w:rPr>
        <w:t xml:space="preserve">. Available at: https://www.londonstockexchange.com/news-article/SHEL/shell-publishes-energy-transition-strategy-2024-correction/16387429 (Accessed: 26 April 2026). </w:t>
      </w:r>
    </w:p>
    <w:p w14:paraId="2995EECE" w14:textId="77777777" w:rsidR="00806C7A" w:rsidRDefault="00806C7A">
      <w:pPr>
        <w:rPr>
          <w:rFonts w:ascii="Arial" w:hAnsi="Arial" w:cs="Arial"/>
          <w:sz w:val="22"/>
          <w:szCs w:val="22"/>
        </w:rPr>
      </w:pPr>
    </w:p>
    <w:p w14:paraId="2FCB2230" w14:textId="77777777" w:rsidR="008E31E0" w:rsidRPr="008E31E0" w:rsidRDefault="008E31E0" w:rsidP="008E31E0">
      <w:pPr>
        <w:rPr>
          <w:rFonts w:ascii="Arial" w:hAnsi="Arial" w:cs="Arial"/>
          <w:sz w:val="22"/>
          <w:szCs w:val="22"/>
        </w:rPr>
      </w:pPr>
      <w:r w:rsidRPr="008E31E0">
        <w:rPr>
          <w:rFonts w:ascii="Arial" w:hAnsi="Arial" w:cs="Arial"/>
          <w:i/>
          <w:iCs/>
          <w:sz w:val="22"/>
          <w:szCs w:val="22"/>
        </w:rPr>
        <w:t>Who we are</w:t>
      </w:r>
      <w:r w:rsidRPr="008E31E0">
        <w:rPr>
          <w:rFonts w:ascii="Arial" w:hAnsi="Arial" w:cs="Arial"/>
          <w:sz w:val="22"/>
          <w:szCs w:val="22"/>
        </w:rPr>
        <w:t xml:space="preserve"> (2025) </w:t>
      </w:r>
      <w:r w:rsidRPr="008E31E0">
        <w:rPr>
          <w:rFonts w:ascii="Arial" w:hAnsi="Arial" w:cs="Arial"/>
          <w:i/>
          <w:iCs/>
          <w:sz w:val="22"/>
          <w:szCs w:val="22"/>
        </w:rPr>
        <w:t>Shell Global</w:t>
      </w:r>
      <w:r w:rsidRPr="008E31E0">
        <w:rPr>
          <w:rFonts w:ascii="Arial" w:hAnsi="Arial" w:cs="Arial"/>
          <w:sz w:val="22"/>
          <w:szCs w:val="22"/>
        </w:rPr>
        <w:t xml:space="preserve">. Available at: https://www.shell.com/who-we-are.html#:~:text=Shell%20is%20a%20global%20group,our%20activities%20and%20stakeholder%20relationships. (Accessed: 19 April 2026). </w:t>
      </w:r>
    </w:p>
    <w:p w14:paraId="605379B1" w14:textId="77777777" w:rsidR="00806C7A" w:rsidRDefault="00806C7A">
      <w:pPr>
        <w:rPr>
          <w:rFonts w:ascii="Arial" w:hAnsi="Arial" w:cs="Arial"/>
          <w:sz w:val="22"/>
          <w:szCs w:val="22"/>
        </w:rPr>
      </w:pPr>
    </w:p>
    <w:p w14:paraId="308D250E" w14:textId="77777777" w:rsidR="002A3EDE" w:rsidRDefault="002A3EDE">
      <w:pPr>
        <w:rPr>
          <w:rFonts w:ascii="Arial" w:hAnsi="Arial" w:cs="Arial"/>
          <w:sz w:val="22"/>
          <w:szCs w:val="22"/>
        </w:rPr>
      </w:pPr>
    </w:p>
    <w:p w14:paraId="22CB83C0" w14:textId="77777777" w:rsidR="00DA6E02" w:rsidRPr="005C7619" w:rsidRDefault="00DA6E02">
      <w:pPr>
        <w:rPr>
          <w:rFonts w:ascii="Arial" w:hAnsi="Arial" w:cs="Arial"/>
          <w:sz w:val="22"/>
          <w:szCs w:val="22"/>
        </w:rPr>
      </w:pPr>
    </w:p>
    <w:sectPr w:rsidR="00DA6E02" w:rsidRPr="005C761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603DCB"/>
    <w:multiLevelType w:val="multilevel"/>
    <w:tmpl w:val="BCB29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055359"/>
    <w:multiLevelType w:val="multilevel"/>
    <w:tmpl w:val="A7EEF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2E275A"/>
    <w:multiLevelType w:val="multilevel"/>
    <w:tmpl w:val="BC1278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5534E2"/>
    <w:multiLevelType w:val="multilevel"/>
    <w:tmpl w:val="1A22D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06363AD"/>
    <w:multiLevelType w:val="multilevel"/>
    <w:tmpl w:val="4CFE14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E664580"/>
    <w:multiLevelType w:val="multilevel"/>
    <w:tmpl w:val="DEDEA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04644C"/>
    <w:multiLevelType w:val="multilevel"/>
    <w:tmpl w:val="EB2A3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1DA2B92"/>
    <w:multiLevelType w:val="multilevel"/>
    <w:tmpl w:val="68144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5360404">
    <w:abstractNumId w:val="7"/>
  </w:num>
  <w:num w:numId="2" w16cid:durableId="2075154684">
    <w:abstractNumId w:val="0"/>
  </w:num>
  <w:num w:numId="3" w16cid:durableId="1314984564">
    <w:abstractNumId w:val="6"/>
  </w:num>
  <w:num w:numId="4" w16cid:durableId="450822452">
    <w:abstractNumId w:val="1"/>
  </w:num>
  <w:num w:numId="5" w16cid:durableId="464784820">
    <w:abstractNumId w:val="5"/>
  </w:num>
  <w:num w:numId="6" w16cid:durableId="128862917">
    <w:abstractNumId w:val="4"/>
  </w:num>
  <w:num w:numId="7" w16cid:durableId="412049090">
    <w:abstractNumId w:val="2"/>
  </w:num>
  <w:num w:numId="8" w16cid:durableId="14402500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7619"/>
    <w:rsid w:val="000621A7"/>
    <w:rsid w:val="000977F1"/>
    <w:rsid w:val="000C1F82"/>
    <w:rsid w:val="000E5C3B"/>
    <w:rsid w:val="00196E08"/>
    <w:rsid w:val="0025238E"/>
    <w:rsid w:val="002A3EDE"/>
    <w:rsid w:val="003A600A"/>
    <w:rsid w:val="004044CF"/>
    <w:rsid w:val="00515DAA"/>
    <w:rsid w:val="00552B38"/>
    <w:rsid w:val="005C7619"/>
    <w:rsid w:val="00654057"/>
    <w:rsid w:val="00690C96"/>
    <w:rsid w:val="006B2607"/>
    <w:rsid w:val="00741A96"/>
    <w:rsid w:val="00771DAF"/>
    <w:rsid w:val="007818AF"/>
    <w:rsid w:val="007E31F0"/>
    <w:rsid w:val="00801E57"/>
    <w:rsid w:val="00806C7A"/>
    <w:rsid w:val="00882DB4"/>
    <w:rsid w:val="008E31E0"/>
    <w:rsid w:val="00900033"/>
    <w:rsid w:val="00903873"/>
    <w:rsid w:val="009D518E"/>
    <w:rsid w:val="00A07F2F"/>
    <w:rsid w:val="00B3627D"/>
    <w:rsid w:val="00B85477"/>
    <w:rsid w:val="00B9392F"/>
    <w:rsid w:val="00C24882"/>
    <w:rsid w:val="00C55010"/>
    <w:rsid w:val="00C95B12"/>
    <w:rsid w:val="00D00CBA"/>
    <w:rsid w:val="00DA6E02"/>
    <w:rsid w:val="00DB05CA"/>
    <w:rsid w:val="00DB1FEB"/>
    <w:rsid w:val="00E46615"/>
    <w:rsid w:val="00EF585F"/>
    <w:rsid w:val="00F1616A"/>
    <w:rsid w:val="00F23111"/>
    <w:rsid w:val="00F92352"/>
    <w:rsid w:val="00FC018F"/>
    <w:rsid w:val="00FE0F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FB85B8"/>
  <w15:chartTrackingRefBased/>
  <w15:docId w15:val="{3E662709-C451-41DC-83B2-516DE2537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1"/>
        <w:szCs w:val="21"/>
        <w:lang w:val="en-GB" w:eastAsia="en-US" w:bidi="ar-SA"/>
        <w14:ligatures w14:val="standardContextual"/>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018F"/>
  </w:style>
  <w:style w:type="paragraph" w:styleId="Heading1">
    <w:name w:val="heading 1"/>
    <w:basedOn w:val="Normal"/>
    <w:next w:val="Normal"/>
    <w:link w:val="Heading1Char"/>
    <w:uiPriority w:val="9"/>
    <w:qFormat/>
    <w:rsid w:val="00FC018F"/>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semiHidden/>
    <w:unhideWhenUsed/>
    <w:qFormat/>
    <w:rsid w:val="00FC018F"/>
    <w:pPr>
      <w:keepNext/>
      <w:keepLines/>
      <w:spacing w:before="8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FC018F"/>
    <w:pPr>
      <w:keepNext/>
      <w:keepLines/>
      <w:spacing w:before="8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FC018F"/>
    <w:pPr>
      <w:keepNext/>
      <w:keepLines/>
      <w:spacing w:before="8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FC018F"/>
    <w:pPr>
      <w:keepNext/>
      <w:keepLines/>
      <w:spacing w:before="4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FC018F"/>
    <w:pPr>
      <w:keepNext/>
      <w:keepLines/>
      <w:spacing w:before="4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FC018F"/>
    <w:pPr>
      <w:keepNext/>
      <w:keepLines/>
      <w:spacing w:before="4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FC018F"/>
    <w:pPr>
      <w:keepNext/>
      <w:keepLines/>
      <w:spacing w:before="4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FC018F"/>
    <w:pPr>
      <w:keepNext/>
      <w:keepLines/>
      <w:spacing w:before="4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018F"/>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semiHidden/>
    <w:rsid w:val="00FC018F"/>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FC018F"/>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FC018F"/>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FC018F"/>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FC018F"/>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FC018F"/>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FC018F"/>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FC018F"/>
    <w:rPr>
      <w:rFonts w:asciiTheme="majorHAnsi" w:eastAsiaTheme="majorEastAsia" w:hAnsiTheme="majorHAnsi" w:cstheme="majorBidi"/>
      <w:i/>
      <w:iCs/>
      <w:color w:val="4EA72E" w:themeColor="accent6"/>
      <w:sz w:val="20"/>
      <w:szCs w:val="20"/>
    </w:rPr>
  </w:style>
  <w:style w:type="paragraph" w:styleId="Caption">
    <w:name w:val="caption"/>
    <w:basedOn w:val="Normal"/>
    <w:next w:val="Normal"/>
    <w:uiPriority w:val="35"/>
    <w:semiHidden/>
    <w:unhideWhenUsed/>
    <w:qFormat/>
    <w:rsid w:val="00FC018F"/>
    <w:pPr>
      <w:spacing w:line="240" w:lineRule="auto"/>
    </w:pPr>
    <w:rPr>
      <w:b/>
      <w:bCs/>
      <w:smallCaps/>
      <w:color w:val="595959" w:themeColor="text1" w:themeTint="A6"/>
    </w:rPr>
  </w:style>
  <w:style w:type="paragraph" w:styleId="Title">
    <w:name w:val="Title"/>
    <w:basedOn w:val="Normal"/>
    <w:next w:val="Normal"/>
    <w:link w:val="TitleChar"/>
    <w:uiPriority w:val="10"/>
    <w:qFormat/>
    <w:rsid w:val="00FC018F"/>
    <w:pPr>
      <w:spacing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FC018F"/>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FC018F"/>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FC018F"/>
    <w:rPr>
      <w:rFonts w:asciiTheme="majorHAnsi" w:eastAsiaTheme="majorEastAsia" w:hAnsiTheme="majorHAnsi" w:cstheme="majorBidi"/>
      <w:sz w:val="30"/>
      <w:szCs w:val="30"/>
    </w:rPr>
  </w:style>
  <w:style w:type="character" w:styleId="Strong">
    <w:name w:val="Strong"/>
    <w:basedOn w:val="DefaultParagraphFont"/>
    <w:uiPriority w:val="22"/>
    <w:qFormat/>
    <w:rsid w:val="00FC018F"/>
    <w:rPr>
      <w:b/>
      <w:bCs/>
    </w:rPr>
  </w:style>
  <w:style w:type="character" w:styleId="Emphasis">
    <w:name w:val="Emphasis"/>
    <w:basedOn w:val="DefaultParagraphFont"/>
    <w:uiPriority w:val="20"/>
    <w:qFormat/>
    <w:rsid w:val="00FC018F"/>
    <w:rPr>
      <w:i/>
      <w:iCs/>
      <w:color w:val="4EA72E" w:themeColor="accent6"/>
    </w:rPr>
  </w:style>
  <w:style w:type="paragraph" w:styleId="NoSpacing">
    <w:name w:val="No Spacing"/>
    <w:uiPriority w:val="1"/>
    <w:qFormat/>
    <w:rsid w:val="00FC018F"/>
    <w:pPr>
      <w:spacing w:line="240" w:lineRule="auto"/>
    </w:pPr>
  </w:style>
  <w:style w:type="paragraph" w:styleId="ListParagraph">
    <w:name w:val="List Paragraph"/>
    <w:basedOn w:val="Normal"/>
    <w:uiPriority w:val="34"/>
    <w:qFormat/>
    <w:rsid w:val="00FC018F"/>
    <w:pPr>
      <w:ind w:left="720"/>
      <w:contextualSpacing/>
    </w:pPr>
  </w:style>
  <w:style w:type="paragraph" w:styleId="Quote">
    <w:name w:val="Quote"/>
    <w:basedOn w:val="Normal"/>
    <w:next w:val="Normal"/>
    <w:link w:val="QuoteChar"/>
    <w:uiPriority w:val="29"/>
    <w:qFormat/>
    <w:rsid w:val="00FC018F"/>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FC018F"/>
    <w:rPr>
      <w:i/>
      <w:iCs/>
      <w:color w:val="262626" w:themeColor="text1" w:themeTint="D9"/>
    </w:rPr>
  </w:style>
  <w:style w:type="paragraph" w:styleId="IntenseQuote">
    <w:name w:val="Intense Quote"/>
    <w:basedOn w:val="Normal"/>
    <w:next w:val="Normal"/>
    <w:link w:val="IntenseQuoteChar"/>
    <w:uiPriority w:val="30"/>
    <w:qFormat/>
    <w:rsid w:val="00FC018F"/>
    <w:pPr>
      <w:spacing w:before="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FC018F"/>
    <w:rPr>
      <w:rFonts w:asciiTheme="majorHAnsi" w:eastAsiaTheme="majorEastAsia" w:hAnsiTheme="majorHAnsi" w:cstheme="majorBidi"/>
      <w:i/>
      <w:iCs/>
      <w:color w:val="4EA72E" w:themeColor="accent6"/>
      <w:sz w:val="32"/>
      <w:szCs w:val="32"/>
    </w:rPr>
  </w:style>
  <w:style w:type="character" w:styleId="SubtleEmphasis">
    <w:name w:val="Subtle Emphasis"/>
    <w:basedOn w:val="DefaultParagraphFont"/>
    <w:uiPriority w:val="19"/>
    <w:qFormat/>
    <w:rsid w:val="00FC018F"/>
    <w:rPr>
      <w:i/>
      <w:iCs/>
    </w:rPr>
  </w:style>
  <w:style w:type="character" w:styleId="IntenseEmphasis">
    <w:name w:val="Intense Emphasis"/>
    <w:basedOn w:val="DefaultParagraphFont"/>
    <w:uiPriority w:val="21"/>
    <w:qFormat/>
    <w:rsid w:val="00FC018F"/>
    <w:rPr>
      <w:b/>
      <w:bCs/>
      <w:i/>
      <w:iCs/>
    </w:rPr>
  </w:style>
  <w:style w:type="character" w:styleId="SubtleReference">
    <w:name w:val="Subtle Reference"/>
    <w:basedOn w:val="DefaultParagraphFont"/>
    <w:uiPriority w:val="31"/>
    <w:qFormat/>
    <w:rsid w:val="00FC018F"/>
    <w:rPr>
      <w:smallCaps/>
      <w:color w:val="595959" w:themeColor="text1" w:themeTint="A6"/>
    </w:rPr>
  </w:style>
  <w:style w:type="character" w:styleId="IntenseReference">
    <w:name w:val="Intense Reference"/>
    <w:basedOn w:val="DefaultParagraphFont"/>
    <w:uiPriority w:val="32"/>
    <w:qFormat/>
    <w:rsid w:val="00FC018F"/>
    <w:rPr>
      <w:b/>
      <w:bCs/>
      <w:smallCaps/>
      <w:color w:val="4EA72E" w:themeColor="accent6"/>
    </w:rPr>
  </w:style>
  <w:style w:type="character" w:styleId="BookTitle">
    <w:name w:val="Book Title"/>
    <w:basedOn w:val="DefaultParagraphFont"/>
    <w:uiPriority w:val="33"/>
    <w:qFormat/>
    <w:rsid w:val="00FC018F"/>
    <w:rPr>
      <w:b/>
      <w:bCs/>
      <w:caps w:val="0"/>
      <w:smallCaps/>
      <w:spacing w:val="7"/>
      <w:sz w:val="21"/>
      <w:szCs w:val="21"/>
    </w:rPr>
  </w:style>
  <w:style w:type="paragraph" w:styleId="TOCHeading">
    <w:name w:val="TOC Heading"/>
    <w:basedOn w:val="Heading1"/>
    <w:next w:val="Normal"/>
    <w:uiPriority w:val="39"/>
    <w:semiHidden/>
    <w:unhideWhenUsed/>
    <w:qFormat/>
    <w:rsid w:val="00FC018F"/>
    <w:pPr>
      <w:outlineLvl w:val="9"/>
    </w:pPr>
  </w:style>
  <w:style w:type="character" w:styleId="Hyperlink">
    <w:name w:val="Hyperlink"/>
    <w:basedOn w:val="DefaultParagraphFont"/>
    <w:uiPriority w:val="99"/>
    <w:unhideWhenUsed/>
    <w:rsid w:val="008E31E0"/>
    <w:rPr>
      <w:color w:val="467886" w:themeColor="hyperlink"/>
      <w:u w:val="single"/>
    </w:rPr>
  </w:style>
  <w:style w:type="character" w:styleId="UnresolvedMention">
    <w:name w:val="Unresolved Mention"/>
    <w:basedOn w:val="DefaultParagraphFont"/>
    <w:uiPriority w:val="99"/>
    <w:semiHidden/>
    <w:unhideWhenUsed/>
    <w:rsid w:val="008E31E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file:///C:\Users\golf3\Downloads\ASSIGNMENT%202%20STRUCTURE.docx"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golf3\Downloads\ASSIGNMENT%202%20STRUCTURE.docx"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754</TotalTime>
  <Pages>8</Pages>
  <Words>2181</Words>
  <Characters>12433</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Laszlo Balogh (2441884)</dc:creator>
  <cp:keywords/>
  <dc:description/>
  <cp:lastModifiedBy>Laszlo Balogh (2441884)</cp:lastModifiedBy>
  <cp:revision>18</cp:revision>
  <dcterms:created xsi:type="dcterms:W3CDTF">2026-04-19T10:14:00Z</dcterms:created>
  <dcterms:modified xsi:type="dcterms:W3CDTF">2026-04-26T12:28:00Z</dcterms:modified>
</cp:coreProperties>
</file>