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BB52C3" w14:textId="77777777" w:rsidR="00680448" w:rsidRDefault="00680448" w:rsidP="000D7771">
      <w:pPr>
        <w:pStyle w:val="Nornal"/>
        <w:jc w:val="left"/>
        <w:rPr>
          <w:rFonts w:eastAsia="Arial"/>
          <w:b/>
          <w:bCs/>
          <w:color w:val="00616A" w:themeColor="accent2" w:themeShade="BF"/>
          <w:sz w:val="20"/>
          <w:szCs w:val="20"/>
        </w:rPr>
      </w:pPr>
    </w:p>
    <w:p w14:paraId="20122925" w14:textId="5FD028D5" w:rsidR="0083154D" w:rsidRPr="00680448" w:rsidRDefault="00233A57" w:rsidP="000D7771">
      <w:pPr>
        <w:pStyle w:val="Nornal"/>
        <w:jc w:val="left"/>
        <w:rPr>
          <w:rFonts w:eastAsia="Arial"/>
          <w:b/>
          <w:bCs/>
          <w:color w:val="00616A" w:themeColor="accent2" w:themeShade="BF"/>
          <w:sz w:val="20"/>
          <w:szCs w:val="20"/>
        </w:rPr>
      </w:pPr>
      <w:r w:rsidRPr="00680448">
        <w:rPr>
          <w:rFonts w:eastAsia="Arial"/>
          <w:b/>
          <w:bCs/>
          <w:color w:val="00616A" w:themeColor="accent2" w:themeShade="BF"/>
          <w:sz w:val="20"/>
          <w:szCs w:val="20"/>
        </w:rPr>
        <w:t xml:space="preserve">Evaluate the advantages and disadvantages of </w:t>
      </w:r>
      <w:r w:rsidR="00667F30" w:rsidRPr="00680448">
        <w:rPr>
          <w:rFonts w:eastAsia="Arial"/>
          <w:b/>
          <w:bCs/>
          <w:color w:val="00616A" w:themeColor="accent2" w:themeShade="BF"/>
          <w:sz w:val="20"/>
          <w:szCs w:val="20"/>
        </w:rPr>
        <w:t xml:space="preserve">both </w:t>
      </w:r>
      <w:r w:rsidRPr="00680448">
        <w:rPr>
          <w:rFonts w:eastAsia="Arial"/>
          <w:b/>
          <w:bCs/>
          <w:color w:val="00616A" w:themeColor="accent2" w:themeShade="BF"/>
          <w:sz w:val="20"/>
          <w:szCs w:val="20"/>
        </w:rPr>
        <w:t>a divisional structure and a matrix structure. Within the evaluation, you should include the reasons underpinning each structure. (AC 1.1)</w:t>
      </w:r>
    </w:p>
    <w:p w14:paraId="63EDFD59" w14:textId="26AE7000" w:rsidR="0083154D" w:rsidRPr="005709CF" w:rsidRDefault="0083154D" w:rsidP="000D7771">
      <w:pPr>
        <w:pStyle w:val="Nornal"/>
        <w:jc w:val="left"/>
        <w:rPr>
          <w:rFonts w:eastAsia="Arial"/>
          <w:color w:val="auto"/>
          <w:sz w:val="20"/>
          <w:szCs w:val="20"/>
        </w:rPr>
      </w:pPr>
      <w:r w:rsidRPr="005709CF">
        <w:rPr>
          <w:rFonts w:eastAsia="Arial"/>
          <w:color w:val="auto"/>
          <w:sz w:val="20"/>
          <w:szCs w:val="20"/>
        </w:rPr>
        <w:t xml:space="preserve">Organisational structures play a crucial role in determining efficiency, decision-making, and collaboration. Two structures </w:t>
      </w:r>
      <w:r w:rsidR="00C02FAC">
        <w:rPr>
          <w:rFonts w:eastAsia="Arial"/>
          <w:color w:val="auto"/>
          <w:sz w:val="20"/>
          <w:szCs w:val="20"/>
        </w:rPr>
        <w:t xml:space="preserve">that are commonly adopted by organisations </w:t>
      </w:r>
      <w:r w:rsidRPr="005709CF">
        <w:rPr>
          <w:rFonts w:eastAsia="Arial"/>
          <w:color w:val="auto"/>
          <w:sz w:val="20"/>
          <w:szCs w:val="20"/>
        </w:rPr>
        <w:t>are the divisional structure and the matrix structure, each with advantages and disadvantages</w:t>
      </w:r>
      <w:r w:rsidR="00D631DD">
        <w:rPr>
          <w:rFonts w:eastAsia="Arial"/>
          <w:color w:val="auto"/>
          <w:sz w:val="20"/>
          <w:szCs w:val="20"/>
        </w:rPr>
        <w:t xml:space="preserve"> to consider</w:t>
      </w:r>
      <w:r w:rsidRPr="005709CF">
        <w:rPr>
          <w:rFonts w:eastAsia="Arial"/>
          <w:color w:val="auto"/>
          <w:sz w:val="20"/>
          <w:szCs w:val="20"/>
        </w:rPr>
        <w:t>.</w:t>
      </w:r>
    </w:p>
    <w:p w14:paraId="5D1E64E8" w14:textId="1E3578C7" w:rsidR="0083154D" w:rsidRPr="005709CF" w:rsidRDefault="0083154D" w:rsidP="000D7771">
      <w:pPr>
        <w:pStyle w:val="Nornal"/>
        <w:jc w:val="left"/>
        <w:rPr>
          <w:rFonts w:eastAsia="Arial"/>
          <w:color w:val="auto"/>
          <w:sz w:val="20"/>
          <w:szCs w:val="20"/>
        </w:rPr>
      </w:pPr>
      <w:r w:rsidRPr="005709CF">
        <w:rPr>
          <w:rFonts w:eastAsia="Arial"/>
          <w:color w:val="auto"/>
          <w:sz w:val="20"/>
          <w:szCs w:val="20"/>
        </w:rPr>
        <w:t xml:space="preserve">A divisional structure groups employees based on products, services, geography, or customers and is commonly found in large multinational corporations (Armstrong and Taylor, 2020). One of its key advantages is its flexibility and specialisation, as each division operates independently and can focus on specific markets, making it more responsive to external changes (Mintzberg, 1993). Additionally, clear accountability is a strength, as each division has a leader responsible for performance, improving efficiency and responsibility (Ulrich </w:t>
      </w:r>
      <w:r w:rsidRPr="005709CF">
        <w:rPr>
          <w:rFonts w:eastAsia="Arial"/>
          <w:i/>
          <w:iCs/>
          <w:color w:val="auto"/>
          <w:sz w:val="20"/>
          <w:szCs w:val="20"/>
        </w:rPr>
        <w:t>et al.,</w:t>
      </w:r>
      <w:r w:rsidRPr="005709CF">
        <w:rPr>
          <w:rFonts w:eastAsia="Arial"/>
          <w:color w:val="auto"/>
          <w:sz w:val="20"/>
          <w:szCs w:val="20"/>
        </w:rPr>
        <w:t xml:space="preserve"> 2017). Decision-making is also faster in this structure, as divisions function autonomously and can quickly implement strategies without waiting for centralised approval (Kotter, 2012).</w:t>
      </w:r>
    </w:p>
    <w:p w14:paraId="36DB516A" w14:textId="5A9E8508" w:rsidR="0083154D" w:rsidRPr="005709CF" w:rsidRDefault="0083154D" w:rsidP="000D7771">
      <w:pPr>
        <w:pStyle w:val="Nornal"/>
        <w:jc w:val="left"/>
        <w:rPr>
          <w:rFonts w:eastAsia="Arial"/>
          <w:color w:val="auto"/>
          <w:sz w:val="20"/>
          <w:szCs w:val="20"/>
        </w:rPr>
      </w:pPr>
      <w:r w:rsidRPr="005709CF">
        <w:rPr>
          <w:rFonts w:eastAsia="Arial"/>
          <w:color w:val="auto"/>
          <w:sz w:val="20"/>
          <w:szCs w:val="20"/>
        </w:rPr>
        <w:t>However, a divisional structure has drawbacks, including the duplication of resources, where separate divisions replicate roles such as HR, finance, or marketing, leading to inefficiencies (Galbraith, 2002). Another disadvantage is the potential for a silo mentality, where divisions prioritise their own goals over organisational unity, reducing cross-functional collaboration (Goold and Campbell, 2002). Maintaining multiple divisions can also be costly, particularly for smaller organisations (Armstrong and Taylor, 2020).</w:t>
      </w:r>
    </w:p>
    <w:p w14:paraId="0C61DCE3" w14:textId="00A58C23" w:rsidR="0083154D" w:rsidRPr="005709CF" w:rsidRDefault="0083154D" w:rsidP="000D7771">
      <w:pPr>
        <w:pStyle w:val="Nornal"/>
        <w:jc w:val="left"/>
        <w:rPr>
          <w:rFonts w:eastAsia="Arial"/>
          <w:color w:val="auto"/>
          <w:sz w:val="20"/>
          <w:szCs w:val="20"/>
        </w:rPr>
      </w:pPr>
      <w:r w:rsidRPr="005709CF">
        <w:rPr>
          <w:rFonts w:eastAsia="Arial"/>
          <w:color w:val="auto"/>
          <w:sz w:val="20"/>
          <w:szCs w:val="20"/>
        </w:rPr>
        <w:t>In contrast, a matrix structure blends divisional</w:t>
      </w:r>
      <w:r w:rsidR="00012B4D">
        <w:rPr>
          <w:rFonts w:eastAsia="Arial"/>
          <w:color w:val="auto"/>
          <w:sz w:val="20"/>
          <w:szCs w:val="20"/>
        </w:rPr>
        <w:t xml:space="preserve"> and functional</w:t>
      </w:r>
      <w:r w:rsidRPr="005709CF">
        <w:rPr>
          <w:rFonts w:eastAsia="Arial"/>
          <w:color w:val="auto"/>
          <w:sz w:val="20"/>
          <w:szCs w:val="20"/>
        </w:rPr>
        <w:t xml:space="preserve"> structures, meaning employees report to multiple managers. This structure is often found in project-based industries such as consulting and technology firms (Drucker, 20</w:t>
      </w:r>
      <w:r w:rsidR="00AD53AA" w:rsidRPr="005709CF">
        <w:rPr>
          <w:rFonts w:eastAsia="Arial"/>
          <w:color w:val="auto"/>
          <w:sz w:val="20"/>
          <w:szCs w:val="20"/>
        </w:rPr>
        <w:t>12</w:t>
      </w:r>
      <w:r w:rsidRPr="005709CF">
        <w:rPr>
          <w:rFonts w:eastAsia="Arial"/>
          <w:color w:val="auto"/>
          <w:sz w:val="20"/>
          <w:szCs w:val="20"/>
        </w:rPr>
        <w:t xml:space="preserve">). An advantage of the matrix structure is that it enhances collaboration, as employees work across functions and projects, fostering knowledge-sharing and innovation (Galbraith, 2002). It also improves resource utilisation by allowing different departments to share resources efficiently, reducing redundancy (Ulrich </w:t>
      </w:r>
      <w:r w:rsidRPr="005709CF">
        <w:rPr>
          <w:rFonts w:eastAsia="Arial"/>
          <w:i/>
          <w:iCs/>
          <w:color w:val="auto"/>
          <w:sz w:val="20"/>
          <w:szCs w:val="20"/>
        </w:rPr>
        <w:t>et al.,</w:t>
      </w:r>
      <w:r w:rsidRPr="005709CF">
        <w:rPr>
          <w:rFonts w:eastAsia="Arial"/>
          <w:color w:val="auto"/>
          <w:sz w:val="20"/>
          <w:szCs w:val="20"/>
        </w:rPr>
        <w:t xml:space="preserve"> 2017). Furthermore, problem-solving benefits from this structure, as cross-functional teams bring diverse perspectives that contribute to better decision-making (Kotter, 2012). </w:t>
      </w:r>
    </w:p>
    <w:p w14:paraId="05C62F8A" w14:textId="31B385CB" w:rsidR="0083154D" w:rsidRPr="005709CF" w:rsidRDefault="0083154D" w:rsidP="000D7771">
      <w:pPr>
        <w:pStyle w:val="Nornal"/>
        <w:jc w:val="left"/>
        <w:rPr>
          <w:rFonts w:eastAsia="Arial"/>
          <w:color w:val="auto"/>
          <w:sz w:val="20"/>
          <w:szCs w:val="20"/>
        </w:rPr>
      </w:pPr>
      <w:r w:rsidRPr="005709CF">
        <w:rPr>
          <w:rFonts w:eastAsia="Arial"/>
          <w:color w:val="auto"/>
          <w:sz w:val="20"/>
          <w:szCs w:val="20"/>
        </w:rPr>
        <w:t>However, the complexity of a matrix structure can cause confusion, as employees reporting to multiple managers may face conflicts and delays in decision-making (Mintzberg, 1993). Power struggles between functional and project managers can further lead to inefficiencies (Galbraith, 2002). Additionally, employees often experience an increased workload as they manage multiple responsibilities, which can lead to stress and burnout (Armstrong and Taylor, 2020).</w:t>
      </w:r>
    </w:p>
    <w:p w14:paraId="3E1EEE5E" w14:textId="6C1622C0" w:rsidR="00002B04" w:rsidRPr="005709CF" w:rsidRDefault="0083154D" w:rsidP="000D7771">
      <w:pPr>
        <w:pStyle w:val="Nornal"/>
        <w:jc w:val="left"/>
        <w:rPr>
          <w:rFonts w:eastAsia="Arial"/>
          <w:color w:val="auto"/>
          <w:sz w:val="20"/>
          <w:szCs w:val="20"/>
        </w:rPr>
      </w:pPr>
      <w:r w:rsidRPr="005709CF">
        <w:rPr>
          <w:rFonts w:eastAsia="Arial"/>
          <w:color w:val="auto"/>
          <w:sz w:val="20"/>
          <w:szCs w:val="20"/>
        </w:rPr>
        <w:t>In conclusion, a divisional structure is most suitable for organisations requiring autonomy and market responsiveness, whereas a matrix structure is beneficial for those prioritising collaboration and efficiency. The choice between these structures depends on an organisation’s goals, industry, and scale.</w:t>
      </w:r>
    </w:p>
    <w:p w14:paraId="3A95F953" w14:textId="77777777" w:rsidR="000D7771" w:rsidRPr="000D7771" w:rsidRDefault="000D7771" w:rsidP="000D7771">
      <w:pPr>
        <w:pStyle w:val="Nornal"/>
        <w:jc w:val="left"/>
        <w:rPr>
          <w:rFonts w:eastAsia="Arial"/>
          <w:color w:val="FF0000"/>
          <w:sz w:val="20"/>
          <w:szCs w:val="20"/>
        </w:rPr>
      </w:pPr>
    </w:p>
    <w:p w14:paraId="0C148928" w14:textId="640EFC29" w:rsidR="00233A57" w:rsidRPr="00680448" w:rsidRDefault="003646A0" w:rsidP="000D7771">
      <w:pPr>
        <w:pStyle w:val="Nornal"/>
        <w:jc w:val="left"/>
        <w:rPr>
          <w:rFonts w:eastAsia="Arial"/>
          <w:b/>
          <w:bCs/>
          <w:color w:val="00616A" w:themeColor="accent2" w:themeShade="BF"/>
          <w:sz w:val="20"/>
          <w:szCs w:val="20"/>
        </w:rPr>
      </w:pPr>
      <w:r w:rsidRPr="00680448">
        <w:rPr>
          <w:rFonts w:eastAsia="Arial"/>
          <w:b/>
          <w:bCs/>
          <w:color w:val="00616A" w:themeColor="accent2" w:themeShade="BF"/>
          <w:sz w:val="20"/>
          <w:szCs w:val="20"/>
        </w:rPr>
        <w:t>Analyse the extent to which the organisational strategy in your organisation (or an organisation with which you are familiar) helps to ensure products or services meet customers’ needs. (AC 1.2)</w:t>
      </w:r>
    </w:p>
    <w:p w14:paraId="25578050" w14:textId="7007DC8A" w:rsidR="00D35043" w:rsidRPr="00D35043" w:rsidRDefault="00D35043" w:rsidP="003960D8">
      <w:pPr>
        <w:pStyle w:val="Nornal"/>
        <w:jc w:val="left"/>
        <w:rPr>
          <w:rFonts w:eastAsia="Arial"/>
          <w:color w:val="auto"/>
          <w:sz w:val="20"/>
          <w:szCs w:val="20"/>
        </w:rPr>
      </w:pPr>
      <w:r w:rsidRPr="00D35043">
        <w:rPr>
          <w:rFonts w:eastAsia="Arial"/>
          <w:color w:val="auto"/>
          <w:sz w:val="20"/>
          <w:szCs w:val="20"/>
        </w:rPr>
        <w:t>British Airways (BA) employs a divisional organi</w:t>
      </w:r>
      <w:r>
        <w:rPr>
          <w:rFonts w:eastAsia="Arial"/>
          <w:color w:val="auto"/>
          <w:sz w:val="20"/>
          <w:szCs w:val="20"/>
        </w:rPr>
        <w:t>s</w:t>
      </w:r>
      <w:r w:rsidRPr="00D35043">
        <w:rPr>
          <w:rFonts w:eastAsia="Arial"/>
          <w:color w:val="auto"/>
          <w:sz w:val="20"/>
          <w:szCs w:val="20"/>
        </w:rPr>
        <w:t xml:space="preserve">ational structure, segmenting its operations based on specific products, services, or geographic markets. This structure allows </w:t>
      </w:r>
      <w:r w:rsidR="000960EA">
        <w:rPr>
          <w:rFonts w:eastAsia="Arial"/>
          <w:color w:val="auto"/>
          <w:sz w:val="20"/>
          <w:szCs w:val="20"/>
        </w:rPr>
        <w:t>the</w:t>
      </w:r>
      <w:r w:rsidRPr="00D35043">
        <w:rPr>
          <w:rFonts w:eastAsia="Arial"/>
          <w:color w:val="auto"/>
          <w:sz w:val="20"/>
          <w:szCs w:val="20"/>
        </w:rPr>
        <w:t xml:space="preserve"> division</w:t>
      </w:r>
      <w:r w:rsidR="000960EA">
        <w:rPr>
          <w:rFonts w:eastAsia="Arial"/>
          <w:color w:val="auto"/>
          <w:sz w:val="20"/>
          <w:szCs w:val="20"/>
        </w:rPr>
        <w:t>s</w:t>
      </w:r>
      <w:r w:rsidRPr="00D35043">
        <w:rPr>
          <w:rFonts w:eastAsia="Arial"/>
          <w:color w:val="auto"/>
          <w:sz w:val="20"/>
          <w:szCs w:val="20"/>
        </w:rPr>
        <w:t xml:space="preserve"> to operate semi-autonomously, focusing on distinct market segments and tailoring services to meet specific customer needs. Such an arrangement enhances the </w:t>
      </w:r>
      <w:r w:rsidR="00DF6EB7">
        <w:rPr>
          <w:rFonts w:eastAsia="Arial"/>
          <w:color w:val="auto"/>
          <w:sz w:val="20"/>
          <w:szCs w:val="20"/>
        </w:rPr>
        <w:t>organisation’s</w:t>
      </w:r>
      <w:r w:rsidRPr="00D35043">
        <w:rPr>
          <w:rFonts w:eastAsia="Arial"/>
          <w:color w:val="auto"/>
          <w:sz w:val="20"/>
          <w:szCs w:val="20"/>
        </w:rPr>
        <w:t xml:space="preserve"> ability to respon</w:t>
      </w:r>
      <w:r w:rsidR="00BC78C7">
        <w:rPr>
          <w:rFonts w:eastAsia="Arial"/>
          <w:color w:val="auto"/>
          <w:sz w:val="20"/>
          <w:szCs w:val="20"/>
        </w:rPr>
        <w:t>d</w:t>
      </w:r>
      <w:r w:rsidRPr="00D35043">
        <w:rPr>
          <w:rFonts w:eastAsia="Arial"/>
          <w:color w:val="auto"/>
          <w:sz w:val="20"/>
          <w:szCs w:val="20"/>
        </w:rPr>
        <w:t xml:space="preserve"> to</w:t>
      </w:r>
      <w:r w:rsidR="00BC78C7">
        <w:rPr>
          <w:rFonts w:eastAsia="Arial"/>
          <w:color w:val="auto"/>
          <w:sz w:val="20"/>
          <w:szCs w:val="20"/>
        </w:rPr>
        <w:t xml:space="preserve"> changes in</w:t>
      </w:r>
      <w:r w:rsidRPr="00D35043">
        <w:rPr>
          <w:rFonts w:eastAsia="Arial"/>
          <w:color w:val="auto"/>
          <w:sz w:val="20"/>
          <w:szCs w:val="20"/>
        </w:rPr>
        <w:t xml:space="preserve"> market and customer preferences. </w:t>
      </w:r>
    </w:p>
    <w:p w14:paraId="5358BE4E" w14:textId="7388633B" w:rsidR="00D35043" w:rsidRPr="00D35043" w:rsidRDefault="00D35043" w:rsidP="003960D8">
      <w:pPr>
        <w:pStyle w:val="Nornal"/>
        <w:jc w:val="left"/>
        <w:rPr>
          <w:rFonts w:eastAsia="Arial"/>
          <w:color w:val="auto"/>
          <w:sz w:val="20"/>
          <w:szCs w:val="20"/>
        </w:rPr>
      </w:pPr>
      <w:r w:rsidRPr="00D35043">
        <w:rPr>
          <w:rFonts w:eastAsia="Arial"/>
          <w:color w:val="auto"/>
          <w:sz w:val="20"/>
          <w:szCs w:val="20"/>
        </w:rPr>
        <w:t>A key advantage of BA's divisional structure is the speciali</w:t>
      </w:r>
      <w:r w:rsidR="00D84E1C">
        <w:rPr>
          <w:rFonts w:eastAsia="Arial"/>
          <w:color w:val="auto"/>
          <w:sz w:val="20"/>
          <w:szCs w:val="20"/>
        </w:rPr>
        <w:t>s</w:t>
      </w:r>
      <w:r w:rsidRPr="00D35043">
        <w:rPr>
          <w:rFonts w:eastAsia="Arial"/>
          <w:color w:val="auto"/>
          <w:sz w:val="20"/>
          <w:szCs w:val="20"/>
        </w:rPr>
        <w:t>ation it fosters within each division. By concentrating on particular routes or services, divisions can develop a deep understanding of their target customers, enabling them to offer tailored services that enhance customer satisfaction. For instance, BA's investment in new first-class suites on its Airbus A380 aircraft demonstrates a commitment to meeting the expectations of premium passengers. These suites feature advanced amenities such as 36-inch wide seats that convert into 6ft 5in beds, 32-inch 4K entertainment screens, and adjustable mood lighting, all designed to provide a luxurious and personali</w:t>
      </w:r>
      <w:r w:rsidR="0080084D">
        <w:rPr>
          <w:rFonts w:eastAsia="Arial"/>
          <w:color w:val="auto"/>
          <w:sz w:val="20"/>
          <w:szCs w:val="20"/>
        </w:rPr>
        <w:t>s</w:t>
      </w:r>
      <w:r w:rsidRPr="00D35043">
        <w:rPr>
          <w:rFonts w:eastAsia="Arial"/>
          <w:color w:val="auto"/>
          <w:sz w:val="20"/>
          <w:szCs w:val="20"/>
        </w:rPr>
        <w:t xml:space="preserve">ed travel experience. </w:t>
      </w:r>
    </w:p>
    <w:p w14:paraId="0E89A070" w14:textId="760FD20D" w:rsidR="00D35043" w:rsidRPr="00D35043" w:rsidRDefault="00D35043" w:rsidP="003960D8">
      <w:pPr>
        <w:pStyle w:val="Nornal"/>
        <w:jc w:val="left"/>
        <w:rPr>
          <w:rFonts w:eastAsia="Arial"/>
          <w:color w:val="auto"/>
          <w:sz w:val="20"/>
          <w:szCs w:val="20"/>
        </w:rPr>
      </w:pPr>
      <w:r w:rsidRPr="00D35043">
        <w:rPr>
          <w:rFonts w:eastAsia="Arial"/>
          <w:color w:val="auto"/>
          <w:sz w:val="20"/>
          <w:szCs w:val="20"/>
        </w:rPr>
        <w:t>However, the divisional structure also presents challenges. The autonomy of divisions can lead to inconsistencies in service quality across the organi</w:t>
      </w:r>
      <w:r w:rsidR="00985FCA">
        <w:rPr>
          <w:rFonts w:eastAsia="Arial"/>
          <w:color w:val="auto"/>
          <w:sz w:val="20"/>
          <w:szCs w:val="20"/>
        </w:rPr>
        <w:t>s</w:t>
      </w:r>
      <w:r w:rsidRPr="00D35043">
        <w:rPr>
          <w:rFonts w:eastAsia="Arial"/>
          <w:color w:val="auto"/>
          <w:sz w:val="20"/>
          <w:szCs w:val="20"/>
        </w:rPr>
        <w:t xml:space="preserve">ation. For example, variations in customer service standards between different routes or classes may result in uneven customer experiences. Additionally, the </w:t>
      </w:r>
      <w:r w:rsidRPr="00D35043">
        <w:rPr>
          <w:rFonts w:eastAsia="Arial"/>
          <w:color w:val="auto"/>
          <w:sz w:val="20"/>
          <w:szCs w:val="20"/>
        </w:rPr>
        <w:lastRenderedPageBreak/>
        <w:t xml:space="preserve">independence of divisions can create silos, hindering the sharing of best practices and leading to duplicated efforts in areas such as marketing or customer service initiatives. </w:t>
      </w:r>
    </w:p>
    <w:p w14:paraId="3B8ABB7B" w14:textId="77777777" w:rsidR="00D35043" w:rsidRPr="00D35043" w:rsidRDefault="00D35043" w:rsidP="003960D8">
      <w:pPr>
        <w:pStyle w:val="Nornal"/>
        <w:jc w:val="left"/>
        <w:rPr>
          <w:rFonts w:eastAsia="Arial"/>
          <w:color w:val="auto"/>
          <w:sz w:val="20"/>
          <w:szCs w:val="20"/>
        </w:rPr>
      </w:pPr>
      <w:r w:rsidRPr="00D35043">
        <w:rPr>
          <w:rFonts w:eastAsia="Arial"/>
          <w:color w:val="auto"/>
          <w:sz w:val="20"/>
          <w:szCs w:val="20"/>
        </w:rPr>
        <w:t xml:space="preserve">Despite these challenges, BA's divisional structure has facilitated significant investments aimed at enhancing customer satisfaction. The company's £7 billion investment plan includes the acquisition of new aircraft, upgrading existing ones, and improving passenger services. This initiative reflects BA's strategy to align its divisional operations with overarching corporate goals, ensuring that each division contributes to a cohesive brand experience. </w:t>
      </w:r>
    </w:p>
    <w:p w14:paraId="4A1BAD82" w14:textId="52D4D30C" w:rsidR="00D35043" w:rsidRPr="00D35043" w:rsidRDefault="00D35043" w:rsidP="003960D8">
      <w:pPr>
        <w:pStyle w:val="Nornal"/>
        <w:jc w:val="left"/>
        <w:rPr>
          <w:rFonts w:eastAsia="Arial"/>
          <w:color w:val="auto"/>
          <w:sz w:val="20"/>
          <w:szCs w:val="20"/>
        </w:rPr>
      </w:pPr>
      <w:r w:rsidRPr="00D35043">
        <w:rPr>
          <w:rFonts w:eastAsia="Arial"/>
          <w:color w:val="auto"/>
          <w:sz w:val="20"/>
          <w:szCs w:val="20"/>
        </w:rPr>
        <w:t>In conclusion, British Airways' divisional structure enables the company to focus on specific market segments, allowing for tailored services that meet diverse customer needs. While this structure offers advantages in speciali</w:t>
      </w:r>
      <w:r w:rsidR="001C1523">
        <w:rPr>
          <w:rFonts w:eastAsia="Arial"/>
          <w:color w:val="auto"/>
          <w:sz w:val="20"/>
          <w:szCs w:val="20"/>
        </w:rPr>
        <w:t>s</w:t>
      </w:r>
      <w:r w:rsidRPr="00D35043">
        <w:rPr>
          <w:rFonts w:eastAsia="Arial"/>
          <w:color w:val="auto"/>
          <w:sz w:val="20"/>
          <w:szCs w:val="20"/>
        </w:rPr>
        <w:t>ation and responsiveness, it also requires effective coordination and communication across divisions to maintain consistent service quality and operational efficiency. By leveraging the strengths of its divisional structure and addressing its challenges, BA can continue to enhance its products and services to meet and exceed customer expectations.</w:t>
      </w:r>
    </w:p>
    <w:p w14:paraId="0ADE75D0" w14:textId="77777777" w:rsidR="00233A57" w:rsidRPr="00680448" w:rsidRDefault="00233A57" w:rsidP="000D7771">
      <w:pPr>
        <w:pStyle w:val="Nornal"/>
        <w:jc w:val="left"/>
        <w:rPr>
          <w:rFonts w:eastAsia="Arial"/>
          <w:color w:val="00616A" w:themeColor="accent2" w:themeShade="BF"/>
          <w:sz w:val="20"/>
          <w:szCs w:val="20"/>
        </w:rPr>
      </w:pPr>
    </w:p>
    <w:p w14:paraId="7AB78850" w14:textId="4FA057E3" w:rsidR="006A391D" w:rsidRPr="00680448" w:rsidRDefault="00233A57" w:rsidP="000D7771">
      <w:pPr>
        <w:pStyle w:val="Nornal"/>
        <w:jc w:val="left"/>
        <w:rPr>
          <w:rFonts w:eastAsia="Arial"/>
          <w:b/>
          <w:bCs/>
          <w:color w:val="00616A" w:themeColor="accent2" w:themeShade="BF"/>
          <w:sz w:val="20"/>
          <w:szCs w:val="20"/>
        </w:rPr>
      </w:pPr>
      <w:r w:rsidRPr="00680448">
        <w:rPr>
          <w:rFonts w:eastAsia="Arial"/>
          <w:b/>
          <w:bCs/>
          <w:color w:val="00616A" w:themeColor="accent2" w:themeShade="BF"/>
          <w:sz w:val="20"/>
          <w:szCs w:val="20"/>
        </w:rPr>
        <w:t>Analyse the current impact of interest rates, inflation and one other external factor on your organisation (or one with which you are familiar). Identify organisational priorities arising from your analysis. (AC 1.3</w:t>
      </w:r>
      <w:r w:rsidR="00680448" w:rsidRPr="00680448">
        <w:rPr>
          <w:rFonts w:eastAsia="Arial"/>
          <w:b/>
          <w:bCs/>
          <w:color w:val="00616A" w:themeColor="accent2" w:themeShade="BF"/>
          <w:sz w:val="20"/>
          <w:szCs w:val="20"/>
        </w:rPr>
        <w:t>)</w:t>
      </w:r>
    </w:p>
    <w:p w14:paraId="609D3061" w14:textId="5A4FAE99" w:rsidR="006A391D" w:rsidRPr="00B02ACA" w:rsidRDefault="006A391D" w:rsidP="000D7771">
      <w:pPr>
        <w:pStyle w:val="Nornal"/>
        <w:jc w:val="left"/>
        <w:rPr>
          <w:rFonts w:eastAsia="Arial"/>
          <w:color w:val="auto"/>
          <w:sz w:val="20"/>
          <w:szCs w:val="20"/>
        </w:rPr>
      </w:pPr>
      <w:r w:rsidRPr="005709CF">
        <w:rPr>
          <w:rFonts w:eastAsia="Arial"/>
          <w:color w:val="auto"/>
          <w:sz w:val="20"/>
          <w:szCs w:val="20"/>
        </w:rPr>
        <w:t xml:space="preserve">British Airways (BA) operates in a dynamic environment where external factors such as </w:t>
      </w:r>
      <w:r w:rsidRPr="00B02ACA">
        <w:rPr>
          <w:rFonts w:eastAsia="Arial"/>
          <w:color w:val="auto"/>
          <w:sz w:val="20"/>
          <w:szCs w:val="20"/>
        </w:rPr>
        <w:t>inflation,</w:t>
      </w:r>
      <w:r w:rsidR="007F1619">
        <w:rPr>
          <w:rFonts w:eastAsia="Arial"/>
          <w:color w:val="auto"/>
          <w:sz w:val="20"/>
          <w:szCs w:val="20"/>
        </w:rPr>
        <w:t xml:space="preserve"> interest rates</w:t>
      </w:r>
      <w:r w:rsidRPr="00B02ACA">
        <w:rPr>
          <w:rFonts w:eastAsia="Arial"/>
          <w:color w:val="auto"/>
          <w:sz w:val="20"/>
          <w:szCs w:val="20"/>
        </w:rPr>
        <w:t xml:space="preserve"> and geopolitical events significantly i</w:t>
      </w:r>
      <w:r w:rsidR="005C68CF">
        <w:rPr>
          <w:rFonts w:eastAsia="Arial"/>
          <w:color w:val="auto"/>
          <w:sz w:val="20"/>
          <w:szCs w:val="20"/>
        </w:rPr>
        <w:t>mpact</w:t>
      </w:r>
      <w:r w:rsidRPr="00B02ACA">
        <w:rPr>
          <w:rFonts w:eastAsia="Arial"/>
          <w:color w:val="auto"/>
          <w:sz w:val="20"/>
          <w:szCs w:val="20"/>
        </w:rPr>
        <w:t xml:space="preserve"> its operations and strategic decisions.</w:t>
      </w:r>
    </w:p>
    <w:p w14:paraId="4132A287" w14:textId="55739306" w:rsidR="006A391D" w:rsidRPr="00B02ACA" w:rsidRDefault="006A391D" w:rsidP="000D7771">
      <w:pPr>
        <w:pStyle w:val="Nornal"/>
        <w:jc w:val="left"/>
        <w:rPr>
          <w:rFonts w:eastAsia="Arial"/>
          <w:color w:val="FF0000"/>
          <w:sz w:val="20"/>
          <w:szCs w:val="20"/>
        </w:rPr>
      </w:pPr>
      <w:r w:rsidRPr="00B02ACA">
        <w:rPr>
          <w:rFonts w:eastAsia="Arial"/>
          <w:color w:val="auto"/>
          <w:sz w:val="20"/>
          <w:szCs w:val="20"/>
        </w:rPr>
        <w:t>Fluctuations in interest rates directly affect BA's financing costs. Elevated interest rates increase the cost of borrowing, impacting the airline's capital expenditure plans and debt servicing obligations. This scenario necessitates prudent financial management to mitigate the adverse effects on profitability. Conversely, lower interest rates can reduce financing costs, potentially enabling BA to invest in fleet expansion and service enhancements. According to Cirium's Ascend Consultancy, rising interest rates have contributed to increased aircraft lease rents, further affecting operational costs (Cirium, 2024).</w:t>
      </w:r>
    </w:p>
    <w:p w14:paraId="4D5B5EBC" w14:textId="05063030" w:rsidR="006A391D" w:rsidRPr="00B02ACA" w:rsidRDefault="006A391D" w:rsidP="000D7771">
      <w:pPr>
        <w:pStyle w:val="Nornal"/>
        <w:jc w:val="left"/>
        <w:rPr>
          <w:rFonts w:eastAsia="Arial"/>
          <w:color w:val="auto"/>
          <w:sz w:val="20"/>
          <w:szCs w:val="20"/>
        </w:rPr>
      </w:pPr>
      <w:r w:rsidRPr="00B02ACA">
        <w:rPr>
          <w:rFonts w:eastAsia="Arial"/>
          <w:color w:val="auto"/>
          <w:sz w:val="20"/>
          <w:szCs w:val="20"/>
        </w:rPr>
        <w:t>Rising inflation presents challenges by escalating operational expenses, including fuel, labo</w:t>
      </w:r>
      <w:r w:rsidR="00B02ACA" w:rsidRPr="00B02ACA">
        <w:rPr>
          <w:rFonts w:eastAsia="Arial"/>
          <w:color w:val="auto"/>
          <w:sz w:val="20"/>
          <w:szCs w:val="20"/>
        </w:rPr>
        <w:t>u</w:t>
      </w:r>
      <w:r w:rsidRPr="00B02ACA">
        <w:rPr>
          <w:rFonts w:eastAsia="Arial"/>
          <w:color w:val="auto"/>
          <w:sz w:val="20"/>
          <w:szCs w:val="20"/>
        </w:rPr>
        <w:t xml:space="preserve">r, and maintenance costs. To maintain profitability, BA may need to adjust ticket prices accordingly. However, higher fares could suppress customer demand, particularly among price-sensitive </w:t>
      </w:r>
      <w:r w:rsidR="00B02ACA" w:rsidRPr="00B02ACA">
        <w:rPr>
          <w:rFonts w:eastAsia="Arial"/>
          <w:color w:val="auto"/>
          <w:sz w:val="20"/>
          <w:szCs w:val="20"/>
        </w:rPr>
        <w:t>travellers</w:t>
      </w:r>
      <w:r w:rsidRPr="00B02ACA">
        <w:rPr>
          <w:rFonts w:eastAsia="Arial"/>
          <w:color w:val="auto"/>
          <w:sz w:val="20"/>
          <w:szCs w:val="20"/>
        </w:rPr>
        <w:t>. Therefore, BA must balance cost management with competitive pricing strategies to sustain market share. Investec notes that inflation has driven costs through the supply chain, including spares, insurance, salaries,</w:t>
      </w:r>
      <w:r w:rsidR="00AA46EF">
        <w:rPr>
          <w:rFonts w:eastAsia="Arial"/>
          <w:color w:val="auto"/>
          <w:sz w:val="20"/>
          <w:szCs w:val="20"/>
        </w:rPr>
        <w:t xml:space="preserve"> and maintenance,</w:t>
      </w:r>
      <w:r w:rsidRPr="00B02ACA">
        <w:rPr>
          <w:rFonts w:eastAsia="Arial"/>
          <w:color w:val="auto"/>
          <w:sz w:val="20"/>
          <w:szCs w:val="20"/>
        </w:rPr>
        <w:t xml:space="preserve"> thereby increasing the financial burden on airlines (Investec, 2024).</w:t>
      </w:r>
    </w:p>
    <w:p w14:paraId="6164FEE1" w14:textId="2EABD0E7" w:rsidR="006A391D" w:rsidRPr="00B02ACA" w:rsidRDefault="006A391D" w:rsidP="000D7771">
      <w:pPr>
        <w:pStyle w:val="Nornal"/>
        <w:jc w:val="left"/>
        <w:rPr>
          <w:rFonts w:eastAsia="Arial"/>
          <w:color w:val="auto"/>
          <w:sz w:val="20"/>
          <w:szCs w:val="20"/>
        </w:rPr>
      </w:pPr>
      <w:r w:rsidRPr="00B02ACA">
        <w:rPr>
          <w:rFonts w:eastAsia="Arial"/>
          <w:color w:val="auto"/>
          <w:sz w:val="20"/>
          <w:szCs w:val="20"/>
        </w:rPr>
        <w:t>Geopolitical factors, such as international conflicts and political instability, can disrupt BA's operations. For instance, the closure of Russian airspace following the Ukraine conflict forced BA to reroute flights to destinations like Beijing, resulting in longer flight times and increased fuel consumption. This not only raised operational costs but also affected scheduling and customer satisfaction. Additionally, geopolitical tensions can lead to fluctuating fuel prices and currency exchange rates, further complicating financial planning. The Financial Times reported that BA suspended flights between London Heathrow and Beijing due to increased costs from avoiding Russian airspace and reduced demand (Financial Times, 2024).</w:t>
      </w:r>
    </w:p>
    <w:p w14:paraId="7067A349" w14:textId="288866B4" w:rsidR="006A391D" w:rsidRPr="00B02ACA" w:rsidRDefault="006A391D" w:rsidP="000D7771">
      <w:pPr>
        <w:pStyle w:val="Nornal"/>
        <w:jc w:val="left"/>
        <w:rPr>
          <w:rFonts w:eastAsia="Arial"/>
          <w:color w:val="auto"/>
          <w:sz w:val="20"/>
          <w:szCs w:val="20"/>
        </w:rPr>
      </w:pPr>
      <w:r w:rsidRPr="00B02ACA">
        <w:rPr>
          <w:rFonts w:eastAsia="Arial"/>
          <w:color w:val="auto"/>
          <w:sz w:val="20"/>
          <w:szCs w:val="20"/>
        </w:rPr>
        <w:t>In response to these external factors, BA should prioriti</w:t>
      </w:r>
      <w:r w:rsidR="00B02ACA" w:rsidRPr="00B02ACA">
        <w:rPr>
          <w:rFonts w:eastAsia="Arial"/>
          <w:color w:val="auto"/>
          <w:sz w:val="20"/>
          <w:szCs w:val="20"/>
        </w:rPr>
        <w:t>s</w:t>
      </w:r>
      <w:r w:rsidRPr="00B02ACA">
        <w:rPr>
          <w:rFonts w:eastAsia="Arial"/>
          <w:color w:val="auto"/>
          <w:sz w:val="20"/>
          <w:szCs w:val="20"/>
        </w:rPr>
        <w:t>e the following</w:t>
      </w:r>
      <w:r w:rsidR="00B02ACA" w:rsidRPr="00B02ACA">
        <w:rPr>
          <w:rFonts w:eastAsia="Arial"/>
          <w:color w:val="auto"/>
          <w:sz w:val="20"/>
          <w:szCs w:val="20"/>
        </w:rPr>
        <w:t>;</w:t>
      </w:r>
    </w:p>
    <w:p w14:paraId="60D205BB" w14:textId="1FC37EE6" w:rsidR="006A391D" w:rsidRPr="00B02ACA" w:rsidRDefault="006A391D" w:rsidP="000D7771">
      <w:pPr>
        <w:pStyle w:val="Nornal"/>
        <w:jc w:val="left"/>
        <w:rPr>
          <w:rFonts w:eastAsia="Arial"/>
          <w:color w:val="auto"/>
          <w:sz w:val="20"/>
          <w:szCs w:val="20"/>
        </w:rPr>
      </w:pPr>
      <w:r w:rsidRPr="00B02ACA">
        <w:rPr>
          <w:rFonts w:eastAsia="Arial"/>
          <w:color w:val="auto"/>
          <w:sz w:val="20"/>
          <w:szCs w:val="20"/>
        </w:rPr>
        <w:t>Implementing robust financial strategies to manage debt and leverage favo</w:t>
      </w:r>
      <w:r w:rsidR="00B02ACA" w:rsidRPr="00B02ACA">
        <w:rPr>
          <w:rFonts w:eastAsia="Arial"/>
          <w:color w:val="auto"/>
          <w:sz w:val="20"/>
          <w:szCs w:val="20"/>
        </w:rPr>
        <w:t>u</w:t>
      </w:r>
      <w:r w:rsidRPr="00B02ACA">
        <w:rPr>
          <w:rFonts w:eastAsia="Arial"/>
          <w:color w:val="auto"/>
          <w:sz w:val="20"/>
          <w:szCs w:val="20"/>
        </w:rPr>
        <w:t>rable interest rate environments is crucial. This includes exploring hedging options to mitigate the impact of interest rate volatility.</w:t>
      </w:r>
    </w:p>
    <w:p w14:paraId="5949BB5E" w14:textId="42B4AA77" w:rsidR="006A391D" w:rsidRPr="00B02ACA" w:rsidRDefault="006A391D" w:rsidP="000D7771">
      <w:pPr>
        <w:pStyle w:val="Nornal"/>
        <w:jc w:val="left"/>
        <w:rPr>
          <w:rFonts w:eastAsia="Arial"/>
          <w:color w:val="auto"/>
          <w:sz w:val="20"/>
          <w:szCs w:val="20"/>
        </w:rPr>
      </w:pPr>
      <w:r w:rsidRPr="00B02ACA">
        <w:rPr>
          <w:rFonts w:eastAsia="Arial"/>
          <w:color w:val="auto"/>
          <w:sz w:val="20"/>
          <w:szCs w:val="20"/>
        </w:rPr>
        <w:t>Enhancing operational efficiency through fuel-efficient technologies and optimi</w:t>
      </w:r>
      <w:r w:rsidR="00B02ACA" w:rsidRPr="00B02ACA">
        <w:rPr>
          <w:rFonts w:eastAsia="Arial"/>
          <w:color w:val="auto"/>
          <w:sz w:val="20"/>
          <w:szCs w:val="20"/>
        </w:rPr>
        <w:t>s</w:t>
      </w:r>
      <w:r w:rsidRPr="00B02ACA">
        <w:rPr>
          <w:rFonts w:eastAsia="Arial"/>
          <w:color w:val="auto"/>
          <w:sz w:val="20"/>
          <w:szCs w:val="20"/>
        </w:rPr>
        <w:t>ing route planning can help control costs amid inflationary pressures. Investing in more fuel-efficient aircraft and exploring sustainable aviation fuels may also provide long-term benefits.</w:t>
      </w:r>
    </w:p>
    <w:p w14:paraId="01826BEF" w14:textId="31CC995C" w:rsidR="006A391D" w:rsidRPr="00B02ACA" w:rsidRDefault="006A391D" w:rsidP="000D7771">
      <w:pPr>
        <w:pStyle w:val="Nornal"/>
        <w:jc w:val="left"/>
        <w:rPr>
          <w:rFonts w:eastAsia="Arial"/>
          <w:color w:val="auto"/>
          <w:sz w:val="20"/>
          <w:szCs w:val="20"/>
        </w:rPr>
      </w:pPr>
      <w:r w:rsidRPr="00B02ACA">
        <w:rPr>
          <w:rFonts w:eastAsia="Arial"/>
          <w:color w:val="auto"/>
          <w:sz w:val="20"/>
          <w:szCs w:val="20"/>
        </w:rPr>
        <w:t>Developing comprehensive risk management frameworks to anticipate and respond to geopolitical disruptions is essential. This involves diversifying routes, establishing contingency plans, and maintaining flexibility in operations to adapt to changing geopolitical landscapes.</w:t>
      </w:r>
    </w:p>
    <w:p w14:paraId="76EAB986" w14:textId="6E143A1C" w:rsidR="006A391D" w:rsidRPr="00B02ACA" w:rsidRDefault="00681923" w:rsidP="000D7771">
      <w:pPr>
        <w:pStyle w:val="Nornal"/>
        <w:jc w:val="left"/>
        <w:rPr>
          <w:rFonts w:eastAsia="Arial"/>
          <w:color w:val="auto"/>
          <w:sz w:val="20"/>
          <w:szCs w:val="20"/>
        </w:rPr>
      </w:pPr>
      <w:r>
        <w:rPr>
          <w:rFonts w:eastAsia="Arial"/>
          <w:color w:val="auto"/>
          <w:sz w:val="20"/>
          <w:szCs w:val="20"/>
        </w:rPr>
        <w:t>With a strong</w:t>
      </w:r>
      <w:r w:rsidR="006A391D" w:rsidRPr="00B02ACA">
        <w:rPr>
          <w:rFonts w:eastAsia="Arial"/>
          <w:color w:val="auto"/>
          <w:sz w:val="20"/>
          <w:szCs w:val="20"/>
        </w:rPr>
        <w:t xml:space="preserve"> focus on these priorities, BA can navigate the challenges posed by interest rates, inflation, and geopolitical events, ensuring sustained operational stability and competitiveness in the global aviation market.</w:t>
      </w:r>
    </w:p>
    <w:p w14:paraId="0C73D932" w14:textId="77777777" w:rsidR="00233A57" w:rsidRPr="000D7771" w:rsidRDefault="00233A57" w:rsidP="000D7771">
      <w:pPr>
        <w:pStyle w:val="Nornal"/>
        <w:jc w:val="left"/>
        <w:rPr>
          <w:rFonts w:eastAsia="Arial"/>
          <w:sz w:val="20"/>
          <w:szCs w:val="20"/>
        </w:rPr>
      </w:pPr>
    </w:p>
    <w:p w14:paraId="33733478" w14:textId="23A0F567" w:rsidR="006F1FB5" w:rsidRPr="00680448" w:rsidRDefault="00233A57" w:rsidP="000D7771">
      <w:pPr>
        <w:pStyle w:val="Nornal"/>
        <w:jc w:val="left"/>
        <w:rPr>
          <w:rFonts w:eastAsia="Arial"/>
          <w:b/>
          <w:bCs/>
          <w:color w:val="00616A" w:themeColor="accent2" w:themeShade="BF"/>
          <w:sz w:val="20"/>
          <w:szCs w:val="20"/>
        </w:rPr>
      </w:pPr>
      <w:r w:rsidRPr="00680448">
        <w:rPr>
          <w:rFonts w:eastAsia="Arial"/>
          <w:b/>
          <w:bCs/>
          <w:color w:val="00616A" w:themeColor="accent2" w:themeShade="BF"/>
          <w:sz w:val="20"/>
          <w:szCs w:val="20"/>
        </w:rPr>
        <w:t>In February 2024,</w:t>
      </w:r>
      <w:r w:rsidRPr="00680448">
        <w:rPr>
          <w:b/>
          <w:bCs/>
          <w:color w:val="00616A" w:themeColor="accent2" w:themeShade="BF"/>
          <w:sz w:val="20"/>
          <w:szCs w:val="20"/>
        </w:rPr>
        <w:t xml:space="preserve"> </w:t>
      </w:r>
      <w:r w:rsidRPr="00680448">
        <w:rPr>
          <w:rFonts w:eastAsia="Arial"/>
          <w:b/>
          <w:bCs/>
          <w:color w:val="00616A" w:themeColor="accent2" w:themeShade="BF"/>
          <w:sz w:val="20"/>
          <w:szCs w:val="20"/>
        </w:rPr>
        <w:t>Peter Cheese, current CEO of CIPD stated, “</w:t>
      </w:r>
      <w:r w:rsidRPr="00680448">
        <w:rPr>
          <w:rFonts w:eastAsia="Arial"/>
          <w:b/>
          <w:bCs/>
          <w:i/>
          <w:iCs/>
          <w:color w:val="00616A" w:themeColor="accent2" w:themeShade="BF"/>
          <w:sz w:val="20"/>
          <w:szCs w:val="20"/>
        </w:rPr>
        <w:t>AI is transforming jobs, careers and workplaces. People professionals have a key role to play in encouraging safe experimentation and rapid learning, so that we can reap the benefits and mitigate the risks</w:t>
      </w:r>
      <w:r w:rsidRPr="00680448">
        <w:rPr>
          <w:rFonts w:eastAsia="Arial"/>
          <w:b/>
          <w:bCs/>
          <w:color w:val="00616A" w:themeColor="accent2" w:themeShade="BF"/>
          <w:sz w:val="20"/>
          <w:szCs w:val="20"/>
        </w:rPr>
        <w:t>.” Assess the extent that AI is, or could be, used in your organisation (or an organisation with which you are familiar) and assess how AI impacts work. (AC 1.4)</w:t>
      </w:r>
    </w:p>
    <w:p w14:paraId="42E1EE16" w14:textId="48FDB0E3" w:rsidR="002840FE" w:rsidRPr="00B02ACA" w:rsidRDefault="006F1FB5" w:rsidP="000D7771">
      <w:pPr>
        <w:pStyle w:val="Nornal"/>
        <w:jc w:val="left"/>
        <w:rPr>
          <w:rFonts w:eastAsia="Arial"/>
          <w:color w:val="auto"/>
          <w:sz w:val="20"/>
          <w:szCs w:val="20"/>
        </w:rPr>
      </w:pPr>
      <w:r w:rsidRPr="00B02ACA">
        <w:rPr>
          <w:rFonts w:eastAsia="Arial"/>
          <w:color w:val="auto"/>
          <w:sz w:val="20"/>
          <w:szCs w:val="20"/>
        </w:rPr>
        <w:t>BA is actively integrating Artificial Intelligence (AI) across various facets of its operations, including people processes, to enhance efficiency and service quality. In its recruitment strategy, BA employs AI-driven tools to streamline candidate sourcing and selection. These tools assist in screening resumes, matching candidate profiles to job requirements, and even scheduling interviews, thereby accelerating the hiring process and reducing administrative burdens on HR personnel. However, it is crucial to maintain human oversight to ensure fairness and mitigate potential biases inherent in AI algorithms (Workday, 2024a).</w:t>
      </w:r>
    </w:p>
    <w:p w14:paraId="359403B8" w14:textId="34F9BABD" w:rsidR="002840FE" w:rsidRPr="00B02ACA" w:rsidRDefault="006F1FB5" w:rsidP="000D7771">
      <w:pPr>
        <w:pStyle w:val="Nornal"/>
        <w:jc w:val="left"/>
        <w:rPr>
          <w:rFonts w:eastAsia="Arial"/>
          <w:color w:val="auto"/>
          <w:sz w:val="20"/>
          <w:szCs w:val="20"/>
        </w:rPr>
      </w:pPr>
      <w:r w:rsidRPr="00B02ACA">
        <w:rPr>
          <w:rFonts w:eastAsia="Arial"/>
          <w:color w:val="auto"/>
          <w:sz w:val="20"/>
          <w:szCs w:val="20"/>
        </w:rPr>
        <w:t>In the realm of employee development, AI facilitates personali</w:t>
      </w:r>
      <w:r w:rsidR="00B02ACA" w:rsidRPr="00B02ACA">
        <w:rPr>
          <w:rFonts w:eastAsia="Arial"/>
          <w:color w:val="auto"/>
          <w:sz w:val="20"/>
          <w:szCs w:val="20"/>
        </w:rPr>
        <w:t>s</w:t>
      </w:r>
      <w:r w:rsidRPr="00B02ACA">
        <w:rPr>
          <w:rFonts w:eastAsia="Arial"/>
          <w:color w:val="auto"/>
          <w:sz w:val="20"/>
          <w:szCs w:val="20"/>
        </w:rPr>
        <w:t xml:space="preserve">ed learning experiences by </w:t>
      </w:r>
      <w:r w:rsidR="002847CB" w:rsidRPr="00B02ACA">
        <w:rPr>
          <w:rFonts w:eastAsia="Arial"/>
          <w:color w:val="auto"/>
          <w:sz w:val="20"/>
          <w:szCs w:val="20"/>
        </w:rPr>
        <w:t>analysing</w:t>
      </w:r>
      <w:r w:rsidRPr="00B02ACA">
        <w:rPr>
          <w:rFonts w:eastAsia="Arial"/>
          <w:color w:val="auto"/>
          <w:sz w:val="20"/>
          <w:szCs w:val="20"/>
        </w:rPr>
        <w:t xml:space="preserve"> individual performance data and tailoring training programs accordingly. This approach not only enhances skill development but also promotes employee engagement and retention by addressing specific developmental needs (Workday, 2024b).</w:t>
      </w:r>
    </w:p>
    <w:p w14:paraId="0B463987" w14:textId="4F8F625D" w:rsidR="002840FE" w:rsidRPr="00B02ACA" w:rsidRDefault="006F1FB5" w:rsidP="000D7771">
      <w:pPr>
        <w:pStyle w:val="Nornal"/>
        <w:jc w:val="left"/>
        <w:rPr>
          <w:rFonts w:eastAsia="Arial"/>
          <w:color w:val="auto"/>
          <w:sz w:val="20"/>
          <w:szCs w:val="20"/>
        </w:rPr>
      </w:pPr>
      <w:r w:rsidRPr="00B02ACA">
        <w:rPr>
          <w:rFonts w:eastAsia="Arial"/>
          <w:color w:val="auto"/>
          <w:sz w:val="20"/>
          <w:szCs w:val="20"/>
        </w:rPr>
        <w:t>Moreover, BA utili</w:t>
      </w:r>
      <w:r w:rsidR="00B02ACA" w:rsidRPr="00B02ACA">
        <w:rPr>
          <w:rFonts w:eastAsia="Arial"/>
          <w:color w:val="auto"/>
          <w:sz w:val="20"/>
          <w:szCs w:val="20"/>
        </w:rPr>
        <w:t>s</w:t>
      </w:r>
      <w:r w:rsidRPr="00B02ACA">
        <w:rPr>
          <w:rFonts w:eastAsia="Arial"/>
          <w:color w:val="auto"/>
          <w:sz w:val="20"/>
          <w:szCs w:val="20"/>
        </w:rPr>
        <w:t xml:space="preserve">es AI to </w:t>
      </w:r>
      <w:r w:rsidR="002847CB" w:rsidRPr="00B02ACA">
        <w:rPr>
          <w:rFonts w:eastAsia="Arial"/>
          <w:color w:val="auto"/>
          <w:sz w:val="20"/>
          <w:szCs w:val="20"/>
        </w:rPr>
        <w:t>optimise</w:t>
      </w:r>
      <w:r w:rsidRPr="00B02ACA">
        <w:rPr>
          <w:rFonts w:eastAsia="Arial"/>
          <w:color w:val="auto"/>
          <w:sz w:val="20"/>
          <w:szCs w:val="20"/>
        </w:rPr>
        <w:t xml:space="preserve"> workforce management. Predictive analytics assess factors such as employee turnover and absenteeism, enabling proactive interventions to maintain workforce stability. AI also supports performance management by providing data-driven insights into employee productivity, thereby informing appraisal and reward systems (Workday, 2024b).</w:t>
      </w:r>
    </w:p>
    <w:p w14:paraId="14802186" w14:textId="0C9657E7" w:rsidR="002840FE" w:rsidRPr="00B02ACA" w:rsidRDefault="006F1FB5" w:rsidP="000D7771">
      <w:pPr>
        <w:pStyle w:val="Nornal"/>
        <w:jc w:val="left"/>
        <w:rPr>
          <w:rFonts w:eastAsia="Arial"/>
          <w:color w:val="auto"/>
          <w:sz w:val="20"/>
          <w:szCs w:val="20"/>
        </w:rPr>
      </w:pPr>
      <w:r w:rsidRPr="00B02ACA">
        <w:rPr>
          <w:rFonts w:eastAsia="Arial"/>
          <w:color w:val="auto"/>
          <w:sz w:val="20"/>
          <w:szCs w:val="20"/>
        </w:rPr>
        <w:t>While AI offers significant advantages in automating routine tasks and providing analytical insights, it does not replace the need for human judgment in people processes. Critical functions such as conflict resolution, leadership, and strategic decision-making rely heavily on human empathy, ethical considerations, and complex problem-solving abilities</w:t>
      </w:r>
      <w:r w:rsidR="00B02ACA" w:rsidRPr="00B02ACA">
        <w:rPr>
          <w:rFonts w:eastAsia="Arial"/>
          <w:color w:val="auto"/>
          <w:sz w:val="20"/>
          <w:szCs w:val="20"/>
        </w:rPr>
        <w:t xml:space="preserve"> - </w:t>
      </w:r>
      <w:r w:rsidRPr="00B02ACA">
        <w:rPr>
          <w:rFonts w:eastAsia="Arial"/>
          <w:color w:val="auto"/>
          <w:sz w:val="20"/>
          <w:szCs w:val="20"/>
        </w:rPr>
        <w:t xml:space="preserve">areas where AI currently lacks competence. Therefore, BA's approach integrates AI as a complementary tool to human efforts, enhancing overall effectiveness without compromising the human elements essential to </w:t>
      </w:r>
      <w:r w:rsidR="002847CB" w:rsidRPr="00B02ACA">
        <w:rPr>
          <w:rFonts w:eastAsia="Arial"/>
          <w:color w:val="auto"/>
          <w:sz w:val="20"/>
          <w:szCs w:val="20"/>
        </w:rPr>
        <w:t>organisation</w:t>
      </w:r>
      <w:r w:rsidRPr="00B02ACA">
        <w:rPr>
          <w:rFonts w:eastAsia="Arial"/>
          <w:color w:val="auto"/>
          <w:sz w:val="20"/>
          <w:szCs w:val="20"/>
        </w:rPr>
        <w:t>al culture and employee satisfaction.</w:t>
      </w:r>
    </w:p>
    <w:p w14:paraId="7B1474AD" w14:textId="59FA870D" w:rsidR="006F1FB5" w:rsidRPr="00B02ACA" w:rsidRDefault="006F1FB5" w:rsidP="000D7771">
      <w:pPr>
        <w:pStyle w:val="Nornal"/>
        <w:jc w:val="left"/>
        <w:rPr>
          <w:rFonts w:eastAsia="Arial"/>
          <w:color w:val="auto"/>
          <w:sz w:val="20"/>
          <w:szCs w:val="20"/>
        </w:rPr>
      </w:pPr>
      <w:r w:rsidRPr="00B02ACA">
        <w:rPr>
          <w:rFonts w:eastAsia="Arial"/>
          <w:color w:val="auto"/>
          <w:sz w:val="20"/>
          <w:szCs w:val="20"/>
        </w:rPr>
        <w:t xml:space="preserve">In conclusion, BA's strategic implementation of AI in people processes aims to augment human capabilities rather than replace them. By automating administrative tasks and providing actionable insights, AI allows </w:t>
      </w:r>
      <w:r w:rsidR="00B02ACA" w:rsidRPr="00B02ACA">
        <w:rPr>
          <w:rFonts w:eastAsia="Arial"/>
          <w:color w:val="auto"/>
          <w:sz w:val="20"/>
          <w:szCs w:val="20"/>
        </w:rPr>
        <w:t xml:space="preserve">people </w:t>
      </w:r>
      <w:r w:rsidRPr="00B02ACA">
        <w:rPr>
          <w:rFonts w:eastAsia="Arial"/>
          <w:color w:val="auto"/>
          <w:sz w:val="20"/>
          <w:szCs w:val="20"/>
        </w:rPr>
        <w:t>professionals to focus on more strategic initiatives, thereby enhancing both operational efficiency and employee experience.</w:t>
      </w:r>
    </w:p>
    <w:p w14:paraId="2907CF6E" w14:textId="77777777" w:rsidR="00233A57" w:rsidRPr="000D7771" w:rsidRDefault="00233A57" w:rsidP="000D7771">
      <w:pPr>
        <w:pStyle w:val="Nornal"/>
        <w:jc w:val="left"/>
        <w:rPr>
          <w:rFonts w:eastAsia="Arial"/>
          <w:sz w:val="20"/>
          <w:szCs w:val="20"/>
        </w:rPr>
      </w:pPr>
    </w:p>
    <w:p w14:paraId="44BE46B5" w14:textId="4B413ADD" w:rsidR="00C967F4" w:rsidRPr="00680448" w:rsidRDefault="00233A57" w:rsidP="000D7771">
      <w:pPr>
        <w:pStyle w:val="Nornal"/>
        <w:jc w:val="left"/>
        <w:rPr>
          <w:rFonts w:eastAsia="Arial"/>
          <w:b/>
          <w:bCs/>
          <w:color w:val="00616A" w:themeColor="accent2" w:themeShade="BF"/>
          <w:sz w:val="20"/>
          <w:szCs w:val="20"/>
        </w:rPr>
      </w:pPr>
      <w:r w:rsidRPr="00680448">
        <w:rPr>
          <w:rFonts w:eastAsia="Arial"/>
          <w:b/>
          <w:bCs/>
          <w:color w:val="00616A" w:themeColor="accent2" w:themeShade="BF"/>
          <w:sz w:val="20"/>
          <w:szCs w:val="20"/>
        </w:rPr>
        <w:t>Explain Charles Handy’s model of organisational culture and explain David Rock’s SCARF theory. (AC 2.1)</w:t>
      </w:r>
    </w:p>
    <w:p w14:paraId="2D073839" w14:textId="0433BEBC" w:rsidR="00F66580" w:rsidRPr="00901BE8" w:rsidRDefault="00C967F4" w:rsidP="000D7771">
      <w:pPr>
        <w:pStyle w:val="Nornal"/>
        <w:jc w:val="left"/>
        <w:rPr>
          <w:rFonts w:eastAsia="Arial"/>
          <w:color w:val="auto"/>
          <w:sz w:val="20"/>
          <w:szCs w:val="20"/>
        </w:rPr>
      </w:pPr>
      <w:r w:rsidRPr="00901BE8">
        <w:rPr>
          <w:rFonts w:eastAsia="Arial"/>
          <w:color w:val="auto"/>
          <w:sz w:val="20"/>
          <w:szCs w:val="20"/>
        </w:rPr>
        <w:t xml:space="preserve">Charles Handy's model of </w:t>
      </w:r>
      <w:r w:rsidR="002847CB" w:rsidRPr="00901BE8">
        <w:rPr>
          <w:rFonts w:eastAsia="Arial"/>
          <w:color w:val="auto"/>
          <w:sz w:val="20"/>
          <w:szCs w:val="20"/>
        </w:rPr>
        <w:t>organisation</w:t>
      </w:r>
      <w:r w:rsidRPr="00901BE8">
        <w:rPr>
          <w:rFonts w:eastAsia="Arial"/>
          <w:color w:val="auto"/>
          <w:sz w:val="20"/>
          <w:szCs w:val="20"/>
        </w:rPr>
        <w:t>al culture identifies four distinct types: Power, Role, Task, and Perso</w:t>
      </w:r>
      <w:r w:rsidR="00CA4905">
        <w:rPr>
          <w:rFonts w:eastAsia="Arial"/>
          <w:color w:val="auto"/>
          <w:sz w:val="20"/>
          <w:szCs w:val="20"/>
        </w:rPr>
        <w:t>n</w:t>
      </w:r>
      <w:r w:rsidRPr="00901BE8">
        <w:rPr>
          <w:rFonts w:eastAsia="Arial"/>
          <w:color w:val="auto"/>
          <w:sz w:val="20"/>
          <w:szCs w:val="20"/>
        </w:rPr>
        <w:t>. Power Culture</w:t>
      </w:r>
      <w:r w:rsidR="00A146A3">
        <w:rPr>
          <w:rFonts w:eastAsia="Arial"/>
          <w:color w:val="auto"/>
          <w:sz w:val="20"/>
          <w:szCs w:val="20"/>
        </w:rPr>
        <w:t xml:space="preserve"> describes an organisation where</w:t>
      </w:r>
      <w:r w:rsidRPr="00901BE8">
        <w:rPr>
          <w:rFonts w:eastAsia="Arial"/>
          <w:color w:val="auto"/>
          <w:sz w:val="20"/>
          <w:szCs w:val="20"/>
        </w:rPr>
        <w:t xml:space="preserve"> control is centrali</w:t>
      </w:r>
      <w:r w:rsidR="00B02ACA" w:rsidRPr="00901BE8">
        <w:rPr>
          <w:rFonts w:eastAsia="Arial"/>
          <w:color w:val="auto"/>
          <w:sz w:val="20"/>
          <w:szCs w:val="20"/>
        </w:rPr>
        <w:t>s</w:t>
      </w:r>
      <w:r w:rsidRPr="00901BE8">
        <w:rPr>
          <w:rFonts w:eastAsia="Arial"/>
          <w:color w:val="auto"/>
          <w:sz w:val="20"/>
          <w:szCs w:val="20"/>
        </w:rPr>
        <w:t>ed, with decision-making authority concentrated among a few individuals, leading to swift decisions but potentially limiting employee autonomy. Role Culture is characteri</w:t>
      </w:r>
      <w:r w:rsidR="00B02ACA" w:rsidRPr="00901BE8">
        <w:rPr>
          <w:rFonts w:eastAsia="Arial"/>
          <w:color w:val="auto"/>
          <w:sz w:val="20"/>
          <w:szCs w:val="20"/>
        </w:rPr>
        <w:t>s</w:t>
      </w:r>
      <w:r w:rsidRPr="00901BE8">
        <w:rPr>
          <w:rFonts w:eastAsia="Arial"/>
          <w:color w:val="auto"/>
          <w:sz w:val="20"/>
          <w:szCs w:val="20"/>
        </w:rPr>
        <w:t>ed by clearly defined roles and responsibilities within a structured hierarchy, emphasi</w:t>
      </w:r>
      <w:r w:rsidR="00B02ACA" w:rsidRPr="00901BE8">
        <w:rPr>
          <w:rFonts w:eastAsia="Arial"/>
          <w:color w:val="auto"/>
          <w:sz w:val="20"/>
          <w:szCs w:val="20"/>
        </w:rPr>
        <w:t>s</w:t>
      </w:r>
      <w:r w:rsidRPr="00901BE8">
        <w:rPr>
          <w:rFonts w:eastAsia="Arial"/>
          <w:color w:val="auto"/>
          <w:sz w:val="20"/>
          <w:szCs w:val="20"/>
        </w:rPr>
        <w:t xml:space="preserve">ing stability and efficiency, though it may hinder innovation. Task Culture focuses on teamwork, bringing together individuals with specific skills to address particular projects or problems, fostering flexibility and collaboration. Person Culture places the individual at its </w:t>
      </w:r>
      <w:r w:rsidR="00901BE8" w:rsidRPr="00901BE8">
        <w:rPr>
          <w:rFonts w:eastAsia="Arial"/>
          <w:color w:val="auto"/>
          <w:sz w:val="20"/>
          <w:szCs w:val="20"/>
        </w:rPr>
        <w:t>centre</w:t>
      </w:r>
      <w:r w:rsidRPr="00901BE8">
        <w:rPr>
          <w:rFonts w:eastAsia="Arial"/>
          <w:color w:val="auto"/>
          <w:sz w:val="20"/>
          <w:szCs w:val="20"/>
        </w:rPr>
        <w:t xml:space="preserve">, often seen in </w:t>
      </w:r>
      <w:r w:rsidR="002847CB" w:rsidRPr="00901BE8">
        <w:rPr>
          <w:rFonts w:eastAsia="Arial"/>
          <w:color w:val="auto"/>
          <w:sz w:val="20"/>
          <w:szCs w:val="20"/>
        </w:rPr>
        <w:t>organisations</w:t>
      </w:r>
      <w:r w:rsidRPr="00901BE8">
        <w:rPr>
          <w:rFonts w:eastAsia="Arial"/>
          <w:color w:val="auto"/>
          <w:sz w:val="20"/>
          <w:szCs w:val="20"/>
        </w:rPr>
        <w:t xml:space="preserve"> where individuals operate independently, such as in certain professional partnerships. Understanding these cultural types aids </w:t>
      </w:r>
      <w:r w:rsidR="002847CB" w:rsidRPr="00901BE8">
        <w:rPr>
          <w:rFonts w:eastAsia="Arial"/>
          <w:color w:val="auto"/>
          <w:sz w:val="20"/>
          <w:szCs w:val="20"/>
        </w:rPr>
        <w:t>organisations</w:t>
      </w:r>
      <w:r w:rsidRPr="00901BE8">
        <w:rPr>
          <w:rFonts w:eastAsia="Arial"/>
          <w:color w:val="auto"/>
          <w:sz w:val="20"/>
          <w:szCs w:val="20"/>
        </w:rPr>
        <w:t xml:space="preserve"> in aligning their structures and practices with their strategic objectives</w:t>
      </w:r>
      <w:r w:rsidR="005E046D" w:rsidRPr="00901BE8">
        <w:rPr>
          <w:rFonts w:eastAsia="Arial"/>
          <w:color w:val="auto"/>
          <w:sz w:val="20"/>
          <w:szCs w:val="20"/>
        </w:rPr>
        <w:t xml:space="preserve"> (</w:t>
      </w:r>
      <w:r w:rsidR="00DF07FB" w:rsidRPr="00901BE8">
        <w:rPr>
          <w:rFonts w:eastAsia="Arial"/>
          <w:color w:val="auto"/>
          <w:sz w:val="20"/>
          <w:szCs w:val="20"/>
        </w:rPr>
        <w:t>Mind Tools</w:t>
      </w:r>
      <w:r w:rsidR="005E046D" w:rsidRPr="00901BE8">
        <w:rPr>
          <w:rFonts w:eastAsia="Arial"/>
          <w:color w:val="auto"/>
          <w:sz w:val="20"/>
          <w:szCs w:val="20"/>
        </w:rPr>
        <w:t>, 2022</w:t>
      </w:r>
      <w:r w:rsidR="00F66580" w:rsidRPr="00901BE8">
        <w:rPr>
          <w:rFonts w:eastAsia="Arial"/>
          <w:color w:val="auto"/>
          <w:sz w:val="20"/>
          <w:szCs w:val="20"/>
        </w:rPr>
        <w:t>)</w:t>
      </w:r>
      <w:r w:rsidR="00880B92" w:rsidRPr="00901BE8">
        <w:rPr>
          <w:rFonts w:eastAsia="Arial"/>
          <w:color w:val="auto"/>
          <w:sz w:val="20"/>
          <w:szCs w:val="20"/>
        </w:rPr>
        <w:t>.</w:t>
      </w:r>
    </w:p>
    <w:p w14:paraId="0CD0EDC2" w14:textId="6A3FA322" w:rsidR="00C967F4" w:rsidRPr="00901BE8" w:rsidRDefault="00C967F4" w:rsidP="000D7771">
      <w:pPr>
        <w:pStyle w:val="Nornal"/>
        <w:jc w:val="left"/>
        <w:rPr>
          <w:rFonts w:eastAsia="Arial"/>
          <w:color w:val="auto"/>
          <w:sz w:val="20"/>
          <w:szCs w:val="20"/>
        </w:rPr>
      </w:pPr>
      <w:r w:rsidRPr="00901BE8">
        <w:rPr>
          <w:rFonts w:eastAsia="Arial"/>
          <w:color w:val="auto"/>
          <w:sz w:val="20"/>
          <w:szCs w:val="20"/>
        </w:rPr>
        <w:t xml:space="preserve">David Rock's SCARF model outlines </w:t>
      </w:r>
      <w:r w:rsidR="008F4A18">
        <w:rPr>
          <w:rFonts w:eastAsia="Arial"/>
          <w:color w:val="auto"/>
          <w:sz w:val="20"/>
          <w:szCs w:val="20"/>
        </w:rPr>
        <w:t xml:space="preserve">a total of </w:t>
      </w:r>
      <w:r w:rsidRPr="00901BE8">
        <w:rPr>
          <w:rFonts w:eastAsia="Arial"/>
          <w:color w:val="auto"/>
          <w:sz w:val="20"/>
          <w:szCs w:val="20"/>
        </w:rPr>
        <w:t>five domains that influence human behavio</w:t>
      </w:r>
      <w:r w:rsidR="00901BE8" w:rsidRPr="00901BE8">
        <w:rPr>
          <w:rFonts w:eastAsia="Arial"/>
          <w:color w:val="auto"/>
          <w:sz w:val="20"/>
          <w:szCs w:val="20"/>
        </w:rPr>
        <w:t>u</w:t>
      </w:r>
      <w:r w:rsidRPr="00901BE8">
        <w:rPr>
          <w:rFonts w:eastAsia="Arial"/>
          <w:color w:val="auto"/>
          <w:sz w:val="20"/>
          <w:szCs w:val="20"/>
        </w:rPr>
        <w:t xml:space="preserve">r in social interactions: Status, Certainty, Autonomy, Relatedness, and Fairness. Status pertains to </w:t>
      </w:r>
      <w:r w:rsidR="004E6E10">
        <w:rPr>
          <w:rFonts w:eastAsia="Arial"/>
          <w:color w:val="auto"/>
          <w:sz w:val="20"/>
          <w:szCs w:val="20"/>
        </w:rPr>
        <w:t>people’s</w:t>
      </w:r>
      <w:r w:rsidRPr="00901BE8">
        <w:rPr>
          <w:rFonts w:eastAsia="Arial"/>
          <w:color w:val="auto"/>
          <w:sz w:val="20"/>
          <w:szCs w:val="20"/>
        </w:rPr>
        <w:t xml:space="preserve"> perceived importance relative to others. Certainty </w:t>
      </w:r>
      <w:r w:rsidR="004E6E10">
        <w:rPr>
          <w:rFonts w:eastAsia="Arial"/>
          <w:color w:val="auto"/>
          <w:sz w:val="20"/>
          <w:szCs w:val="20"/>
        </w:rPr>
        <w:t>refers to</w:t>
      </w:r>
      <w:r w:rsidRPr="00901BE8">
        <w:rPr>
          <w:rFonts w:eastAsia="Arial"/>
          <w:color w:val="auto"/>
          <w:sz w:val="20"/>
          <w:szCs w:val="20"/>
        </w:rPr>
        <w:t xml:space="preserve"> the ability to predict </w:t>
      </w:r>
      <w:r w:rsidR="007354E6">
        <w:rPr>
          <w:rFonts w:eastAsia="Arial"/>
          <w:color w:val="auto"/>
          <w:sz w:val="20"/>
          <w:szCs w:val="20"/>
        </w:rPr>
        <w:t xml:space="preserve">the future, thus </w:t>
      </w:r>
      <w:r w:rsidRPr="00901BE8">
        <w:rPr>
          <w:rFonts w:eastAsia="Arial"/>
          <w:color w:val="auto"/>
          <w:sz w:val="20"/>
          <w:szCs w:val="20"/>
        </w:rPr>
        <w:t>reducing anxiety. Autonomy refers to</w:t>
      </w:r>
      <w:r w:rsidR="00C234D9">
        <w:rPr>
          <w:rFonts w:eastAsia="Arial"/>
          <w:color w:val="auto"/>
          <w:sz w:val="20"/>
          <w:szCs w:val="20"/>
        </w:rPr>
        <w:t xml:space="preserve"> a</w:t>
      </w:r>
      <w:r w:rsidRPr="00901BE8">
        <w:rPr>
          <w:rFonts w:eastAsia="Arial"/>
          <w:color w:val="auto"/>
          <w:sz w:val="20"/>
          <w:szCs w:val="20"/>
        </w:rPr>
        <w:t xml:space="preserve"> sense of control over </w:t>
      </w:r>
      <w:r w:rsidR="00C234D9">
        <w:rPr>
          <w:rFonts w:eastAsia="Arial"/>
          <w:color w:val="auto"/>
          <w:sz w:val="20"/>
          <w:szCs w:val="20"/>
        </w:rPr>
        <w:t xml:space="preserve">your own </w:t>
      </w:r>
      <w:r w:rsidRPr="00901BE8">
        <w:rPr>
          <w:rFonts w:eastAsia="Arial"/>
          <w:color w:val="auto"/>
          <w:sz w:val="20"/>
          <w:szCs w:val="20"/>
        </w:rPr>
        <w:t xml:space="preserve">actions. Relatedness </w:t>
      </w:r>
      <w:r w:rsidR="007836B3">
        <w:rPr>
          <w:rFonts w:eastAsia="Arial"/>
          <w:color w:val="auto"/>
          <w:sz w:val="20"/>
          <w:szCs w:val="20"/>
        </w:rPr>
        <w:t>describes a</w:t>
      </w:r>
      <w:r w:rsidRPr="00901BE8">
        <w:rPr>
          <w:rFonts w:eastAsia="Arial"/>
          <w:color w:val="auto"/>
          <w:sz w:val="20"/>
          <w:szCs w:val="20"/>
        </w:rPr>
        <w:t xml:space="preserve"> feeling of connection with others. Fairness concerns the perception of equitable treatment. The SCARF model suggests that enhancing these domains can improve collaboration and productivity within </w:t>
      </w:r>
      <w:r w:rsidR="002847CB" w:rsidRPr="00901BE8">
        <w:rPr>
          <w:rFonts w:eastAsia="Arial"/>
          <w:color w:val="auto"/>
          <w:sz w:val="20"/>
          <w:szCs w:val="20"/>
        </w:rPr>
        <w:t>organisations</w:t>
      </w:r>
      <w:r w:rsidR="00880B92" w:rsidRPr="00901BE8">
        <w:rPr>
          <w:rFonts w:eastAsia="Arial"/>
          <w:color w:val="auto"/>
          <w:sz w:val="20"/>
          <w:szCs w:val="20"/>
        </w:rPr>
        <w:t xml:space="preserve"> (Mind Tools, 2008</w:t>
      </w:r>
      <w:r w:rsidR="00F66580" w:rsidRPr="00901BE8">
        <w:rPr>
          <w:rFonts w:eastAsia="Arial"/>
          <w:color w:val="auto"/>
          <w:sz w:val="20"/>
          <w:szCs w:val="20"/>
        </w:rPr>
        <w:t>)</w:t>
      </w:r>
      <w:r w:rsidR="00880B92" w:rsidRPr="00901BE8">
        <w:rPr>
          <w:rFonts w:eastAsia="Arial"/>
          <w:color w:val="auto"/>
          <w:sz w:val="20"/>
          <w:szCs w:val="20"/>
        </w:rPr>
        <w:t>.</w:t>
      </w:r>
    </w:p>
    <w:p w14:paraId="13A98FCB" w14:textId="0F5FBBC1" w:rsidR="00C967F4" w:rsidRPr="00901BE8" w:rsidRDefault="00C967F4" w:rsidP="000D7771">
      <w:pPr>
        <w:pStyle w:val="Nornal"/>
        <w:jc w:val="left"/>
        <w:rPr>
          <w:rFonts w:eastAsia="Arial"/>
          <w:color w:val="auto"/>
          <w:sz w:val="20"/>
          <w:szCs w:val="20"/>
        </w:rPr>
      </w:pPr>
      <w:r w:rsidRPr="00901BE8">
        <w:rPr>
          <w:rFonts w:eastAsia="Arial"/>
          <w:color w:val="auto"/>
          <w:sz w:val="20"/>
          <w:szCs w:val="20"/>
        </w:rPr>
        <w:lastRenderedPageBreak/>
        <w:t xml:space="preserve">Both Handy's and Rock's frameworks offer valuable insights into </w:t>
      </w:r>
      <w:r w:rsidR="002847CB" w:rsidRPr="00901BE8">
        <w:rPr>
          <w:rFonts w:eastAsia="Arial"/>
          <w:color w:val="auto"/>
          <w:sz w:val="20"/>
          <w:szCs w:val="20"/>
        </w:rPr>
        <w:t>organisation</w:t>
      </w:r>
      <w:r w:rsidRPr="00901BE8">
        <w:rPr>
          <w:rFonts w:eastAsia="Arial"/>
          <w:color w:val="auto"/>
          <w:sz w:val="20"/>
          <w:szCs w:val="20"/>
        </w:rPr>
        <w:t>al behavio</w:t>
      </w:r>
      <w:r w:rsidR="00901BE8" w:rsidRPr="00901BE8">
        <w:rPr>
          <w:rFonts w:eastAsia="Arial"/>
          <w:color w:val="auto"/>
          <w:sz w:val="20"/>
          <w:szCs w:val="20"/>
        </w:rPr>
        <w:t>u</w:t>
      </w:r>
      <w:r w:rsidRPr="00901BE8">
        <w:rPr>
          <w:rFonts w:eastAsia="Arial"/>
          <w:color w:val="auto"/>
          <w:sz w:val="20"/>
          <w:szCs w:val="20"/>
        </w:rPr>
        <w:t xml:space="preserve">r. Handy's model provides a lens to assess and shape </w:t>
      </w:r>
      <w:r w:rsidR="002847CB" w:rsidRPr="00901BE8">
        <w:rPr>
          <w:rFonts w:eastAsia="Arial"/>
          <w:color w:val="auto"/>
          <w:sz w:val="20"/>
          <w:szCs w:val="20"/>
        </w:rPr>
        <w:t>organisation</w:t>
      </w:r>
      <w:r w:rsidRPr="00901BE8">
        <w:rPr>
          <w:rFonts w:eastAsia="Arial"/>
          <w:color w:val="auto"/>
          <w:sz w:val="20"/>
          <w:szCs w:val="20"/>
        </w:rPr>
        <w:t>al culture, while Rock's SCARF model offers strategies to enhance employee engagement and collaboration by addressing fundamental social needs.</w:t>
      </w:r>
    </w:p>
    <w:p w14:paraId="36FC44F8" w14:textId="77777777" w:rsidR="00233A57" w:rsidRPr="000D7771" w:rsidRDefault="00233A57" w:rsidP="000D7771">
      <w:pPr>
        <w:pStyle w:val="Nornal"/>
        <w:jc w:val="left"/>
        <w:rPr>
          <w:rFonts w:eastAsia="Arial"/>
          <w:sz w:val="20"/>
          <w:szCs w:val="20"/>
        </w:rPr>
      </w:pPr>
    </w:p>
    <w:p w14:paraId="6F7AB027" w14:textId="68F5D60E" w:rsidR="00D31320" w:rsidRPr="00680448" w:rsidRDefault="008362B2" w:rsidP="000D7771">
      <w:pPr>
        <w:pStyle w:val="Nornal"/>
        <w:jc w:val="left"/>
        <w:rPr>
          <w:rFonts w:eastAsia="Arial"/>
          <w:b/>
          <w:bCs/>
          <w:color w:val="00616A" w:themeColor="accent2" w:themeShade="BF"/>
          <w:sz w:val="20"/>
          <w:szCs w:val="20"/>
        </w:rPr>
      </w:pPr>
      <w:r w:rsidRPr="00680448">
        <w:rPr>
          <w:rFonts w:eastAsia="Arial"/>
          <w:b/>
          <w:bCs/>
          <w:color w:val="00616A" w:themeColor="accent2" w:themeShade="BF"/>
          <w:sz w:val="20"/>
          <w:szCs w:val="20"/>
        </w:rPr>
        <w:t>Assess how employee selection or employee development impacts organisational culture and behaviour in your organisation (or one with which you are familiar). (AC 2.2)</w:t>
      </w:r>
    </w:p>
    <w:p w14:paraId="0175F33C" w14:textId="156C86F2" w:rsidR="00D31320" w:rsidRPr="00901BE8" w:rsidRDefault="00D31320" w:rsidP="000D7771">
      <w:pPr>
        <w:pStyle w:val="Nornal"/>
        <w:jc w:val="left"/>
        <w:rPr>
          <w:rFonts w:eastAsia="Arial"/>
          <w:color w:val="auto"/>
          <w:sz w:val="20"/>
          <w:szCs w:val="20"/>
        </w:rPr>
      </w:pPr>
      <w:r w:rsidRPr="00901BE8">
        <w:rPr>
          <w:rFonts w:eastAsia="Arial"/>
          <w:color w:val="auto"/>
          <w:sz w:val="20"/>
          <w:szCs w:val="20"/>
        </w:rPr>
        <w:t xml:space="preserve">Employee selection and development are pivotal in shaping </w:t>
      </w:r>
      <w:r w:rsidR="002847CB" w:rsidRPr="00901BE8">
        <w:rPr>
          <w:rFonts w:eastAsia="Arial"/>
          <w:color w:val="auto"/>
          <w:sz w:val="20"/>
          <w:szCs w:val="20"/>
        </w:rPr>
        <w:t>organisation</w:t>
      </w:r>
      <w:r w:rsidRPr="00901BE8">
        <w:rPr>
          <w:rFonts w:eastAsia="Arial"/>
          <w:color w:val="auto"/>
          <w:sz w:val="20"/>
          <w:szCs w:val="20"/>
        </w:rPr>
        <w:t>al culture and behavio</w:t>
      </w:r>
      <w:r w:rsidR="00901BE8" w:rsidRPr="00901BE8">
        <w:rPr>
          <w:rFonts w:eastAsia="Arial"/>
          <w:color w:val="auto"/>
          <w:sz w:val="20"/>
          <w:szCs w:val="20"/>
        </w:rPr>
        <w:t>u</w:t>
      </w:r>
      <w:r w:rsidRPr="00901BE8">
        <w:rPr>
          <w:rFonts w:eastAsia="Arial"/>
          <w:color w:val="auto"/>
          <w:sz w:val="20"/>
          <w:szCs w:val="20"/>
        </w:rPr>
        <w:t>r, particularly in service-oriented industries like aviation. At British Airways (BA), these processes have been instrumental in fostering a culture that emphasi</w:t>
      </w:r>
      <w:r w:rsidR="00901BE8" w:rsidRPr="00901BE8">
        <w:rPr>
          <w:rFonts w:eastAsia="Arial"/>
          <w:color w:val="auto"/>
          <w:sz w:val="20"/>
          <w:szCs w:val="20"/>
        </w:rPr>
        <w:t>s</w:t>
      </w:r>
      <w:r w:rsidRPr="00901BE8">
        <w:rPr>
          <w:rFonts w:eastAsia="Arial"/>
          <w:color w:val="auto"/>
          <w:sz w:val="20"/>
          <w:szCs w:val="20"/>
        </w:rPr>
        <w:t>es customer service excellence and operational efficiency.</w:t>
      </w:r>
    </w:p>
    <w:p w14:paraId="3371EDE3" w14:textId="1685BDA1" w:rsidR="00D31320" w:rsidRPr="00901BE8" w:rsidRDefault="00D31320" w:rsidP="000D7771">
      <w:pPr>
        <w:pStyle w:val="Nornal"/>
        <w:jc w:val="left"/>
        <w:rPr>
          <w:rFonts w:eastAsia="Arial"/>
          <w:color w:val="auto"/>
          <w:sz w:val="20"/>
          <w:szCs w:val="20"/>
        </w:rPr>
      </w:pPr>
      <w:r w:rsidRPr="00901BE8">
        <w:rPr>
          <w:rFonts w:eastAsia="Arial"/>
          <w:color w:val="auto"/>
          <w:sz w:val="20"/>
          <w:szCs w:val="20"/>
        </w:rPr>
        <w:t xml:space="preserve">BA's recruitment strategy focuses on attracting individuals who align with the company's core values and service ethos. By selecting candidates who demonstrate a commitment to customer satisfaction and teamwork, BA reinforces a culture </w:t>
      </w:r>
      <w:r w:rsidR="00901BE8" w:rsidRPr="00901BE8">
        <w:rPr>
          <w:rFonts w:eastAsia="Arial"/>
          <w:color w:val="auto"/>
          <w:sz w:val="20"/>
          <w:szCs w:val="20"/>
        </w:rPr>
        <w:t>centred</w:t>
      </w:r>
      <w:r w:rsidRPr="00901BE8">
        <w:rPr>
          <w:rFonts w:eastAsia="Arial"/>
          <w:color w:val="auto"/>
          <w:sz w:val="20"/>
          <w:szCs w:val="20"/>
        </w:rPr>
        <w:t xml:space="preserve"> on delivering high-quality service. This alignment between individual attributes and </w:t>
      </w:r>
      <w:r w:rsidR="002847CB" w:rsidRPr="00901BE8">
        <w:rPr>
          <w:rFonts w:eastAsia="Arial"/>
          <w:color w:val="auto"/>
          <w:sz w:val="20"/>
          <w:szCs w:val="20"/>
        </w:rPr>
        <w:t>organisation</w:t>
      </w:r>
      <w:r w:rsidRPr="00901BE8">
        <w:rPr>
          <w:rFonts w:eastAsia="Arial"/>
          <w:color w:val="auto"/>
          <w:sz w:val="20"/>
          <w:szCs w:val="20"/>
        </w:rPr>
        <w:t xml:space="preserve">al values ensures that employees embody the </w:t>
      </w:r>
      <w:r w:rsidR="00901BE8" w:rsidRPr="00901BE8">
        <w:rPr>
          <w:rFonts w:eastAsia="Arial"/>
          <w:color w:val="auto"/>
          <w:sz w:val="20"/>
          <w:szCs w:val="20"/>
        </w:rPr>
        <w:t>behaviours</w:t>
      </w:r>
      <w:r w:rsidRPr="00901BE8">
        <w:rPr>
          <w:rFonts w:eastAsia="Arial"/>
          <w:color w:val="auto"/>
          <w:sz w:val="20"/>
          <w:szCs w:val="20"/>
        </w:rPr>
        <w:t xml:space="preserve"> and attitudes that BA seeks to promote, thereby strengthening the desired </w:t>
      </w:r>
      <w:r w:rsidR="002847CB" w:rsidRPr="00901BE8">
        <w:rPr>
          <w:rFonts w:eastAsia="Arial"/>
          <w:color w:val="auto"/>
          <w:sz w:val="20"/>
          <w:szCs w:val="20"/>
        </w:rPr>
        <w:t>organisation</w:t>
      </w:r>
      <w:r w:rsidRPr="00901BE8">
        <w:rPr>
          <w:rFonts w:eastAsia="Arial"/>
          <w:color w:val="auto"/>
          <w:sz w:val="20"/>
          <w:szCs w:val="20"/>
        </w:rPr>
        <w:t>al culture. As noted by Grugulis and Wilkinson (2002), strategic recruitment is essential for embedding cultural values within the workforce.</w:t>
      </w:r>
    </w:p>
    <w:p w14:paraId="3B5043A7" w14:textId="7A00BA29" w:rsidR="00D31320" w:rsidRPr="00901BE8" w:rsidRDefault="00D31320" w:rsidP="000D7771">
      <w:pPr>
        <w:pStyle w:val="Nornal"/>
        <w:jc w:val="left"/>
        <w:rPr>
          <w:rFonts w:eastAsia="Arial"/>
          <w:color w:val="auto"/>
          <w:sz w:val="20"/>
          <w:szCs w:val="20"/>
        </w:rPr>
      </w:pPr>
      <w:r w:rsidRPr="00901BE8">
        <w:rPr>
          <w:rFonts w:eastAsia="Arial"/>
          <w:color w:val="auto"/>
          <w:sz w:val="20"/>
          <w:szCs w:val="20"/>
        </w:rPr>
        <w:t xml:space="preserve">BA has historically invested in comprehensive training programs to enhance employee skills and inculcate </w:t>
      </w:r>
      <w:r w:rsidR="002847CB" w:rsidRPr="00901BE8">
        <w:rPr>
          <w:rFonts w:eastAsia="Arial"/>
          <w:color w:val="auto"/>
          <w:sz w:val="20"/>
          <w:szCs w:val="20"/>
        </w:rPr>
        <w:t>organisation</w:t>
      </w:r>
      <w:r w:rsidRPr="00901BE8">
        <w:rPr>
          <w:rFonts w:eastAsia="Arial"/>
          <w:color w:val="auto"/>
          <w:sz w:val="20"/>
          <w:szCs w:val="20"/>
        </w:rPr>
        <w:t xml:space="preserve">al values. Initiatives such as the "Putting People First" program were designed to shift the company culture towards greater customer orientation and employee empowerment. These development programs not only improve individual competencies but also promote a collective identity and shared purpose among employees, which are critical components of </w:t>
      </w:r>
      <w:r w:rsidR="002847CB" w:rsidRPr="00901BE8">
        <w:rPr>
          <w:rFonts w:eastAsia="Arial"/>
          <w:color w:val="auto"/>
          <w:sz w:val="20"/>
          <w:szCs w:val="20"/>
        </w:rPr>
        <w:t>organisation</w:t>
      </w:r>
      <w:r w:rsidRPr="00901BE8">
        <w:rPr>
          <w:rFonts w:eastAsia="Arial"/>
          <w:color w:val="auto"/>
          <w:sz w:val="20"/>
          <w:szCs w:val="20"/>
        </w:rPr>
        <w:t>al culture (Grugulis and Wilkinson, 2002).</w:t>
      </w:r>
    </w:p>
    <w:p w14:paraId="763FD347" w14:textId="3D2A29E8" w:rsidR="00D31320" w:rsidRPr="00901BE8" w:rsidRDefault="00D31320" w:rsidP="000D7771">
      <w:pPr>
        <w:pStyle w:val="Nornal"/>
        <w:jc w:val="left"/>
        <w:rPr>
          <w:rFonts w:eastAsia="Arial"/>
          <w:color w:val="auto"/>
          <w:sz w:val="20"/>
          <w:szCs w:val="20"/>
        </w:rPr>
      </w:pPr>
      <w:r w:rsidRPr="00901BE8">
        <w:rPr>
          <w:rFonts w:eastAsia="Arial"/>
          <w:color w:val="auto"/>
          <w:sz w:val="20"/>
          <w:szCs w:val="20"/>
        </w:rPr>
        <w:t xml:space="preserve">Through targeted selection and development efforts, BA cultivates </w:t>
      </w:r>
      <w:r w:rsidR="00901BE8" w:rsidRPr="00901BE8">
        <w:rPr>
          <w:rFonts w:eastAsia="Arial"/>
          <w:color w:val="auto"/>
          <w:sz w:val="20"/>
          <w:szCs w:val="20"/>
        </w:rPr>
        <w:t>behaviours</w:t>
      </w:r>
      <w:r w:rsidRPr="00901BE8">
        <w:rPr>
          <w:rFonts w:eastAsia="Arial"/>
          <w:color w:val="auto"/>
          <w:sz w:val="20"/>
          <w:szCs w:val="20"/>
        </w:rPr>
        <w:t xml:space="preserve"> that align with its strategic objectives. Employees are encouraged to engage in proactive problem-solving, exhibit adaptability in dynamic environments, and maintain a strong focus on customer needs. This </w:t>
      </w:r>
      <w:r w:rsidR="00901BE8" w:rsidRPr="00901BE8">
        <w:rPr>
          <w:rFonts w:eastAsia="Arial"/>
          <w:color w:val="auto"/>
          <w:sz w:val="20"/>
          <w:szCs w:val="20"/>
        </w:rPr>
        <w:t>behavioural</w:t>
      </w:r>
      <w:r w:rsidRPr="00901BE8">
        <w:rPr>
          <w:rFonts w:eastAsia="Arial"/>
          <w:color w:val="auto"/>
          <w:sz w:val="20"/>
          <w:szCs w:val="20"/>
        </w:rPr>
        <w:t xml:space="preserve"> alignment enhances </w:t>
      </w:r>
      <w:r w:rsidR="002847CB" w:rsidRPr="00901BE8">
        <w:rPr>
          <w:rFonts w:eastAsia="Arial"/>
          <w:color w:val="auto"/>
          <w:sz w:val="20"/>
          <w:szCs w:val="20"/>
        </w:rPr>
        <w:t>organisation</w:t>
      </w:r>
      <w:r w:rsidRPr="00901BE8">
        <w:rPr>
          <w:rFonts w:eastAsia="Arial"/>
          <w:color w:val="auto"/>
          <w:sz w:val="20"/>
          <w:szCs w:val="20"/>
        </w:rPr>
        <w:t>al performance and fosters a cohesive culture that supports BA's mission and goals.</w:t>
      </w:r>
    </w:p>
    <w:p w14:paraId="67C0C658" w14:textId="0036B60E" w:rsidR="00D31320" w:rsidRPr="00901BE8" w:rsidRDefault="00D31320" w:rsidP="000D7771">
      <w:pPr>
        <w:pStyle w:val="Nornal"/>
        <w:jc w:val="left"/>
        <w:rPr>
          <w:rFonts w:eastAsia="Arial"/>
          <w:color w:val="auto"/>
          <w:sz w:val="20"/>
          <w:szCs w:val="20"/>
        </w:rPr>
      </w:pPr>
      <w:r w:rsidRPr="00901BE8">
        <w:rPr>
          <w:rFonts w:eastAsia="Arial"/>
          <w:color w:val="auto"/>
          <w:sz w:val="20"/>
          <w:szCs w:val="20"/>
        </w:rPr>
        <w:t xml:space="preserve">Despite these efforts, BA has faced challenges in maintaining its desired culture, particularly during periods of </w:t>
      </w:r>
      <w:r w:rsidR="002847CB" w:rsidRPr="00901BE8">
        <w:rPr>
          <w:rFonts w:eastAsia="Arial"/>
          <w:color w:val="auto"/>
          <w:sz w:val="20"/>
          <w:szCs w:val="20"/>
        </w:rPr>
        <w:t>organisation</w:t>
      </w:r>
      <w:r w:rsidRPr="00901BE8">
        <w:rPr>
          <w:rFonts w:eastAsia="Arial"/>
          <w:color w:val="auto"/>
          <w:sz w:val="20"/>
          <w:szCs w:val="20"/>
        </w:rPr>
        <w:t xml:space="preserve">al change. For instance, shifts in management strategies and external market pressures have at times led to cultural turbulence, affecting employee morale and </w:t>
      </w:r>
      <w:r w:rsidR="00901BE8" w:rsidRPr="00901BE8">
        <w:rPr>
          <w:rFonts w:eastAsia="Arial"/>
          <w:color w:val="auto"/>
          <w:sz w:val="20"/>
          <w:szCs w:val="20"/>
        </w:rPr>
        <w:t>behaviour</w:t>
      </w:r>
      <w:r w:rsidRPr="00901BE8">
        <w:rPr>
          <w:rFonts w:eastAsia="Arial"/>
          <w:color w:val="auto"/>
          <w:sz w:val="20"/>
          <w:szCs w:val="20"/>
        </w:rPr>
        <w:t xml:space="preserve">. This underscores the need for continuous alignment between selection, development, and broader </w:t>
      </w:r>
      <w:r w:rsidR="002847CB" w:rsidRPr="00901BE8">
        <w:rPr>
          <w:rFonts w:eastAsia="Arial"/>
          <w:color w:val="auto"/>
          <w:sz w:val="20"/>
          <w:szCs w:val="20"/>
        </w:rPr>
        <w:t>organisation</w:t>
      </w:r>
      <w:r w:rsidRPr="00901BE8">
        <w:rPr>
          <w:rFonts w:eastAsia="Arial"/>
          <w:color w:val="auto"/>
          <w:sz w:val="20"/>
          <w:szCs w:val="20"/>
        </w:rPr>
        <w:t>al strategies to sustain a positive culture (Grugulis and Wilkinson, 2002).</w:t>
      </w:r>
    </w:p>
    <w:p w14:paraId="28A971DD" w14:textId="00CC1C20" w:rsidR="00D31320" w:rsidRPr="00901BE8" w:rsidRDefault="00D31320" w:rsidP="000D7771">
      <w:pPr>
        <w:pStyle w:val="Nornal"/>
        <w:jc w:val="left"/>
        <w:rPr>
          <w:rFonts w:eastAsia="Arial"/>
          <w:color w:val="auto"/>
          <w:sz w:val="20"/>
          <w:szCs w:val="20"/>
        </w:rPr>
      </w:pPr>
      <w:r w:rsidRPr="00901BE8">
        <w:rPr>
          <w:rFonts w:eastAsia="Arial"/>
          <w:color w:val="auto"/>
          <w:sz w:val="20"/>
          <w:szCs w:val="20"/>
        </w:rPr>
        <w:t xml:space="preserve">In conclusion, BA's approach to employee selection and development significantly influences its </w:t>
      </w:r>
      <w:r w:rsidR="002847CB" w:rsidRPr="00901BE8">
        <w:rPr>
          <w:rFonts w:eastAsia="Arial"/>
          <w:color w:val="auto"/>
          <w:sz w:val="20"/>
          <w:szCs w:val="20"/>
        </w:rPr>
        <w:t>organisation</w:t>
      </w:r>
      <w:r w:rsidRPr="00901BE8">
        <w:rPr>
          <w:rFonts w:eastAsia="Arial"/>
          <w:color w:val="auto"/>
          <w:sz w:val="20"/>
          <w:szCs w:val="20"/>
        </w:rPr>
        <w:t xml:space="preserve">al culture and </w:t>
      </w:r>
      <w:r w:rsidR="00901BE8" w:rsidRPr="00901BE8">
        <w:rPr>
          <w:rFonts w:eastAsia="Arial"/>
          <w:color w:val="auto"/>
          <w:sz w:val="20"/>
          <w:szCs w:val="20"/>
        </w:rPr>
        <w:t>behaviour</w:t>
      </w:r>
      <w:r w:rsidRPr="00901BE8">
        <w:rPr>
          <w:rFonts w:eastAsia="Arial"/>
          <w:color w:val="auto"/>
          <w:sz w:val="20"/>
          <w:szCs w:val="20"/>
        </w:rPr>
        <w:t xml:space="preserve">. By aligning these processes with its strategic objectives, BA fosters a workforce that embodies its core values and contributes to sustained </w:t>
      </w:r>
      <w:r w:rsidR="002847CB" w:rsidRPr="00901BE8">
        <w:rPr>
          <w:rFonts w:eastAsia="Arial"/>
          <w:color w:val="auto"/>
          <w:sz w:val="20"/>
          <w:szCs w:val="20"/>
        </w:rPr>
        <w:t>organisation</w:t>
      </w:r>
      <w:r w:rsidRPr="00901BE8">
        <w:rPr>
          <w:rFonts w:eastAsia="Arial"/>
          <w:color w:val="auto"/>
          <w:sz w:val="20"/>
          <w:szCs w:val="20"/>
        </w:rPr>
        <w:t>al success.</w:t>
      </w:r>
    </w:p>
    <w:p w14:paraId="1040EFEC" w14:textId="77777777" w:rsidR="00233A57" w:rsidRPr="000D7771" w:rsidRDefault="00233A57" w:rsidP="000D7771">
      <w:pPr>
        <w:pStyle w:val="Nornal"/>
        <w:jc w:val="left"/>
        <w:rPr>
          <w:rFonts w:eastAsia="Arial"/>
          <w:sz w:val="20"/>
          <w:szCs w:val="20"/>
        </w:rPr>
      </w:pPr>
    </w:p>
    <w:p w14:paraId="7885197E" w14:textId="5B2716D7" w:rsidR="00034B4F" w:rsidRPr="00680448" w:rsidRDefault="00233A57" w:rsidP="000D7771">
      <w:pPr>
        <w:pStyle w:val="Nornal"/>
        <w:jc w:val="left"/>
        <w:rPr>
          <w:rFonts w:eastAsia="Arial"/>
          <w:b/>
          <w:bCs/>
          <w:color w:val="00616A" w:themeColor="accent2" w:themeShade="BF"/>
          <w:sz w:val="20"/>
          <w:szCs w:val="20"/>
        </w:rPr>
      </w:pPr>
      <w:r w:rsidRPr="00680448">
        <w:rPr>
          <w:rFonts w:eastAsia="Arial"/>
          <w:b/>
          <w:bCs/>
          <w:color w:val="00616A" w:themeColor="accent2" w:themeShade="BF"/>
          <w:sz w:val="20"/>
          <w:szCs w:val="20"/>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30FABC16" w14:textId="2AA34F54" w:rsidR="00034B4F" w:rsidRPr="00915D66" w:rsidRDefault="00034B4F" w:rsidP="000D7771">
      <w:pPr>
        <w:pStyle w:val="Nornal"/>
        <w:jc w:val="left"/>
        <w:rPr>
          <w:rFonts w:eastAsia="Arial"/>
          <w:color w:val="auto"/>
          <w:sz w:val="20"/>
          <w:szCs w:val="20"/>
        </w:rPr>
      </w:pPr>
      <w:r w:rsidRPr="00915D66">
        <w:rPr>
          <w:rFonts w:eastAsia="Arial"/>
          <w:color w:val="auto"/>
          <w:sz w:val="20"/>
          <w:szCs w:val="20"/>
        </w:rPr>
        <w:t>To implement a hybrid working model, where employees are required to work on-site at least two days a week, Kotter's 8-Step Change Model provides a structured approach to managing this transition. The first step, creating a sense of urgency, involves clearly communicating the need for change, highlighting the benefits of hybrid working, such as improved collaboration and employee wellbeing. By presenting data and real-life examples, employees and stakeholders will be motivated to support the shift (</w:t>
      </w:r>
      <w:r w:rsidR="00915D66">
        <w:rPr>
          <w:rFonts w:eastAsia="Arial"/>
          <w:color w:val="auto"/>
          <w:sz w:val="20"/>
          <w:szCs w:val="20"/>
        </w:rPr>
        <w:t>Kotter</w:t>
      </w:r>
      <w:r w:rsidRPr="00915D66">
        <w:rPr>
          <w:rFonts w:eastAsia="Arial"/>
          <w:color w:val="auto"/>
          <w:sz w:val="20"/>
          <w:szCs w:val="20"/>
        </w:rPr>
        <w:t>, 2025).</w:t>
      </w:r>
    </w:p>
    <w:p w14:paraId="2AD5CE31" w14:textId="6770CD6B" w:rsidR="00034B4F" w:rsidRPr="00915D66" w:rsidRDefault="00034B4F" w:rsidP="000D7771">
      <w:pPr>
        <w:pStyle w:val="Nornal"/>
        <w:jc w:val="left"/>
        <w:rPr>
          <w:rFonts w:eastAsia="Arial"/>
          <w:color w:val="auto"/>
          <w:sz w:val="20"/>
          <w:szCs w:val="20"/>
        </w:rPr>
      </w:pPr>
      <w:r w:rsidRPr="00915D66">
        <w:rPr>
          <w:rFonts w:eastAsia="Arial"/>
          <w:color w:val="auto"/>
          <w:sz w:val="20"/>
          <w:szCs w:val="20"/>
        </w:rPr>
        <w:t>Next, building a guiding coalition is crucial. A team of influential leaders should be assembled to drive the change process, address employee concerns, and maintain momentum throughout the implementation. This coalition is key in fostering support for the change (</w:t>
      </w:r>
      <w:r w:rsidR="004A149A" w:rsidRPr="00915D66">
        <w:rPr>
          <w:rFonts w:eastAsia="Arial"/>
          <w:color w:val="auto"/>
          <w:sz w:val="20"/>
          <w:szCs w:val="20"/>
        </w:rPr>
        <w:t>Kotter</w:t>
      </w:r>
      <w:r w:rsidRPr="00915D66">
        <w:rPr>
          <w:rFonts w:eastAsia="Arial"/>
          <w:color w:val="auto"/>
          <w:sz w:val="20"/>
          <w:szCs w:val="20"/>
        </w:rPr>
        <w:t xml:space="preserve">, 2025). In the third step, it is important to form a strategic vision and initiatives. A clear vision will outline the objectives and benefits of the hybrid working model, and initiatives should be developed to guide its implementation, ensuring alignment with </w:t>
      </w:r>
      <w:r w:rsidR="002847CB" w:rsidRPr="00915D66">
        <w:rPr>
          <w:rFonts w:eastAsia="Arial"/>
          <w:color w:val="auto"/>
          <w:sz w:val="20"/>
          <w:szCs w:val="20"/>
        </w:rPr>
        <w:t>organisation</w:t>
      </w:r>
      <w:r w:rsidRPr="00915D66">
        <w:rPr>
          <w:rFonts w:eastAsia="Arial"/>
          <w:color w:val="auto"/>
          <w:sz w:val="20"/>
          <w:szCs w:val="20"/>
        </w:rPr>
        <w:t>al goals.</w:t>
      </w:r>
    </w:p>
    <w:p w14:paraId="1A68D646" w14:textId="3177F724" w:rsidR="00034B4F" w:rsidRPr="00915D66" w:rsidRDefault="00034B4F" w:rsidP="000D7771">
      <w:pPr>
        <w:pStyle w:val="Nornal"/>
        <w:jc w:val="left"/>
        <w:rPr>
          <w:rFonts w:eastAsia="Arial"/>
          <w:color w:val="auto"/>
          <w:sz w:val="20"/>
          <w:szCs w:val="20"/>
        </w:rPr>
      </w:pPr>
      <w:r w:rsidRPr="00915D66">
        <w:rPr>
          <w:rFonts w:eastAsia="Arial"/>
          <w:color w:val="auto"/>
          <w:sz w:val="20"/>
          <w:szCs w:val="20"/>
        </w:rPr>
        <w:lastRenderedPageBreak/>
        <w:t xml:space="preserve">Communicating the vision of change is the fourth step. The vision and strategic initiatives should be communicated transparently across the </w:t>
      </w:r>
      <w:r w:rsidR="002847CB" w:rsidRPr="00915D66">
        <w:rPr>
          <w:rFonts w:eastAsia="Arial"/>
          <w:color w:val="auto"/>
          <w:sz w:val="20"/>
          <w:szCs w:val="20"/>
        </w:rPr>
        <w:t>organisation</w:t>
      </w:r>
      <w:r w:rsidRPr="00915D66">
        <w:rPr>
          <w:rFonts w:eastAsia="Arial"/>
          <w:color w:val="auto"/>
          <w:sz w:val="20"/>
          <w:szCs w:val="20"/>
        </w:rPr>
        <w:t xml:space="preserve"> through various channels. This ensures that employees understand the rationale behind the hybrid model, feel included, and have the opportunity to provide feedback (</w:t>
      </w:r>
      <w:r w:rsidR="004A149A" w:rsidRPr="00915D66">
        <w:rPr>
          <w:rFonts w:eastAsia="Arial"/>
          <w:color w:val="auto"/>
          <w:sz w:val="20"/>
          <w:szCs w:val="20"/>
        </w:rPr>
        <w:t>Kotter</w:t>
      </w:r>
      <w:r w:rsidRPr="00915D66">
        <w:rPr>
          <w:rFonts w:eastAsia="Arial"/>
          <w:color w:val="auto"/>
          <w:sz w:val="20"/>
          <w:szCs w:val="20"/>
        </w:rPr>
        <w:t>, 2025). To empower employees, the fifth step involves removing obstacles to adoption and providing the necessary resources, training, and support. Empowerment enables employees to embrace the new way of working and fosters a sense of ownership in the process.</w:t>
      </w:r>
    </w:p>
    <w:p w14:paraId="33516631" w14:textId="5784FE8F" w:rsidR="00034B4F" w:rsidRPr="00915D66" w:rsidRDefault="00034B4F" w:rsidP="000D7771">
      <w:pPr>
        <w:pStyle w:val="Nornal"/>
        <w:jc w:val="left"/>
        <w:rPr>
          <w:rFonts w:eastAsia="Arial"/>
          <w:color w:val="auto"/>
          <w:sz w:val="20"/>
          <w:szCs w:val="20"/>
        </w:rPr>
      </w:pPr>
      <w:r w:rsidRPr="00915D66">
        <w:rPr>
          <w:rFonts w:eastAsia="Arial"/>
          <w:color w:val="auto"/>
          <w:sz w:val="20"/>
          <w:szCs w:val="20"/>
        </w:rPr>
        <w:t>The sixth step involves generating short-term wins. By implementing pilot programs or phased rollouts, early successes can be celebrated, building confidence in the new model. This demonstrates the model's effectiveness and reinforces the change process (</w:t>
      </w:r>
      <w:r w:rsidR="004A149A" w:rsidRPr="00915D66">
        <w:rPr>
          <w:rFonts w:eastAsia="Arial"/>
          <w:color w:val="auto"/>
          <w:sz w:val="20"/>
          <w:szCs w:val="20"/>
        </w:rPr>
        <w:t>Kotter</w:t>
      </w:r>
      <w:r w:rsidRPr="00915D66">
        <w:rPr>
          <w:rFonts w:eastAsia="Arial"/>
          <w:color w:val="auto"/>
          <w:sz w:val="20"/>
          <w:szCs w:val="20"/>
        </w:rPr>
        <w:t xml:space="preserve">, 2025). The seventh step, sustaining acceleration, focuses on using the credibility gained from early wins to drive further changes. Continuous improvements and initiatives will maintain momentum and ensure that the hybrid model becomes deeply embedded. Finally, instituting change ensures that the hybrid model is anchored into the </w:t>
      </w:r>
      <w:r w:rsidR="002847CB" w:rsidRPr="00915D66">
        <w:rPr>
          <w:rFonts w:eastAsia="Arial"/>
          <w:color w:val="auto"/>
          <w:sz w:val="20"/>
          <w:szCs w:val="20"/>
        </w:rPr>
        <w:t>organisation</w:t>
      </w:r>
      <w:r w:rsidRPr="00915D66">
        <w:rPr>
          <w:rFonts w:eastAsia="Arial"/>
          <w:color w:val="auto"/>
          <w:sz w:val="20"/>
          <w:szCs w:val="20"/>
        </w:rPr>
        <w:t>'s culture through aligned policies, practices, and leadership development (</w:t>
      </w:r>
      <w:r w:rsidR="006D1BBF" w:rsidRPr="00915D66">
        <w:rPr>
          <w:rFonts w:eastAsia="Arial"/>
          <w:color w:val="auto"/>
          <w:sz w:val="20"/>
          <w:szCs w:val="20"/>
        </w:rPr>
        <w:t>Kotter</w:t>
      </w:r>
      <w:r w:rsidRPr="00915D66">
        <w:rPr>
          <w:rFonts w:eastAsia="Arial"/>
          <w:color w:val="auto"/>
          <w:sz w:val="20"/>
          <w:szCs w:val="20"/>
        </w:rPr>
        <w:t>, 2025).</w:t>
      </w:r>
    </w:p>
    <w:p w14:paraId="036F200C" w14:textId="78817460" w:rsidR="00034B4F" w:rsidRPr="00915D66" w:rsidRDefault="00034B4F" w:rsidP="000D7771">
      <w:pPr>
        <w:pStyle w:val="Nornal"/>
        <w:jc w:val="left"/>
        <w:rPr>
          <w:rFonts w:eastAsia="Arial"/>
          <w:color w:val="auto"/>
          <w:sz w:val="20"/>
          <w:szCs w:val="20"/>
        </w:rPr>
      </w:pPr>
      <w:r w:rsidRPr="00915D66">
        <w:rPr>
          <w:rFonts w:eastAsia="Arial"/>
          <w:color w:val="auto"/>
          <w:sz w:val="20"/>
          <w:szCs w:val="20"/>
        </w:rPr>
        <w:t xml:space="preserve">By systematically applying Kotter's approach, the transition to hybrid working can be successfully managed, ensuring both </w:t>
      </w:r>
      <w:r w:rsidR="002847CB" w:rsidRPr="00915D66">
        <w:rPr>
          <w:rFonts w:eastAsia="Arial"/>
          <w:color w:val="auto"/>
          <w:sz w:val="20"/>
          <w:szCs w:val="20"/>
        </w:rPr>
        <w:t>organisation</w:t>
      </w:r>
      <w:r w:rsidRPr="00915D66">
        <w:rPr>
          <w:rFonts w:eastAsia="Arial"/>
          <w:color w:val="auto"/>
          <w:sz w:val="20"/>
          <w:szCs w:val="20"/>
        </w:rPr>
        <w:t>al goals and employee needs are met.</w:t>
      </w:r>
    </w:p>
    <w:p w14:paraId="20D37090" w14:textId="77777777" w:rsidR="00233A57" w:rsidRDefault="00233A57" w:rsidP="000D7771">
      <w:pPr>
        <w:pStyle w:val="Nornal"/>
        <w:jc w:val="left"/>
        <w:rPr>
          <w:rFonts w:eastAsia="Arial"/>
          <w:sz w:val="20"/>
          <w:szCs w:val="20"/>
        </w:rPr>
      </w:pPr>
    </w:p>
    <w:p w14:paraId="3CEAC5C0" w14:textId="77777777" w:rsidR="00680448" w:rsidRDefault="00680448" w:rsidP="000D7771">
      <w:pPr>
        <w:pStyle w:val="Nornal"/>
        <w:jc w:val="left"/>
        <w:rPr>
          <w:rFonts w:eastAsia="Arial"/>
          <w:sz w:val="20"/>
          <w:szCs w:val="20"/>
        </w:rPr>
      </w:pPr>
    </w:p>
    <w:p w14:paraId="4AFAD302" w14:textId="77777777" w:rsidR="00680448" w:rsidRPr="000D7771" w:rsidRDefault="00680448" w:rsidP="000D7771">
      <w:pPr>
        <w:pStyle w:val="Nornal"/>
        <w:jc w:val="left"/>
        <w:rPr>
          <w:rFonts w:eastAsia="Arial"/>
          <w:sz w:val="20"/>
          <w:szCs w:val="20"/>
        </w:rPr>
      </w:pPr>
    </w:p>
    <w:p w14:paraId="361130E8" w14:textId="77777777" w:rsidR="00915D66" w:rsidRDefault="00915D66" w:rsidP="000D7771">
      <w:pPr>
        <w:pStyle w:val="Nornal"/>
        <w:jc w:val="left"/>
        <w:rPr>
          <w:rFonts w:eastAsia="Arial"/>
          <w:b/>
          <w:bCs/>
          <w:color w:val="00616A" w:themeColor="accent2" w:themeShade="BF"/>
          <w:sz w:val="20"/>
          <w:szCs w:val="20"/>
        </w:rPr>
      </w:pPr>
    </w:p>
    <w:p w14:paraId="7CA47C43" w14:textId="77777777" w:rsidR="00915D66" w:rsidRDefault="00915D66" w:rsidP="000D7771">
      <w:pPr>
        <w:pStyle w:val="Nornal"/>
        <w:jc w:val="left"/>
        <w:rPr>
          <w:rFonts w:eastAsia="Arial"/>
          <w:b/>
          <w:bCs/>
          <w:color w:val="00616A" w:themeColor="accent2" w:themeShade="BF"/>
          <w:sz w:val="20"/>
          <w:szCs w:val="20"/>
        </w:rPr>
      </w:pPr>
    </w:p>
    <w:p w14:paraId="306E1012" w14:textId="77777777" w:rsidR="00915D66" w:rsidRDefault="00915D66" w:rsidP="000D7771">
      <w:pPr>
        <w:pStyle w:val="Nornal"/>
        <w:jc w:val="left"/>
        <w:rPr>
          <w:rFonts w:eastAsia="Arial"/>
          <w:b/>
          <w:bCs/>
          <w:color w:val="00616A" w:themeColor="accent2" w:themeShade="BF"/>
          <w:sz w:val="20"/>
          <w:szCs w:val="20"/>
        </w:rPr>
      </w:pPr>
    </w:p>
    <w:p w14:paraId="02A6B8E1" w14:textId="4D40223B" w:rsidR="00664040" w:rsidRPr="00680448" w:rsidRDefault="00233A57" w:rsidP="000D7771">
      <w:pPr>
        <w:pStyle w:val="Nornal"/>
        <w:jc w:val="left"/>
        <w:rPr>
          <w:rFonts w:eastAsia="Arial"/>
          <w:b/>
          <w:bCs/>
          <w:color w:val="00616A" w:themeColor="accent2" w:themeShade="BF"/>
          <w:sz w:val="20"/>
          <w:szCs w:val="20"/>
        </w:rPr>
      </w:pPr>
      <w:r w:rsidRPr="00680448">
        <w:rPr>
          <w:rFonts w:eastAsia="Arial"/>
          <w:b/>
          <w:bCs/>
          <w:color w:val="00616A" w:themeColor="accent2" w:themeShade="BF"/>
          <w:sz w:val="20"/>
          <w:szCs w:val="20"/>
        </w:rPr>
        <w:t>Using the Kubler-Ross change curve, discuss how change is experienced. (AC 2.4)</w:t>
      </w:r>
    </w:p>
    <w:p w14:paraId="643C31F8" w14:textId="40FCDC03" w:rsidR="00664040" w:rsidRPr="00915D66" w:rsidRDefault="00664040" w:rsidP="000D7771">
      <w:pPr>
        <w:pStyle w:val="Nornal"/>
        <w:jc w:val="left"/>
        <w:rPr>
          <w:rFonts w:eastAsia="Arial"/>
          <w:color w:val="auto"/>
          <w:sz w:val="20"/>
          <w:szCs w:val="20"/>
        </w:rPr>
      </w:pPr>
      <w:r w:rsidRPr="00915D66">
        <w:rPr>
          <w:rFonts w:eastAsia="Arial"/>
          <w:color w:val="auto"/>
          <w:sz w:val="20"/>
          <w:szCs w:val="20"/>
        </w:rPr>
        <w:t xml:space="preserve">The Kubler-Ross Change Curve is a model that outlines the emotional stages people typically experience when faced with change, initially introduced in the context of grief but widely applied to </w:t>
      </w:r>
      <w:r w:rsidR="002847CB" w:rsidRPr="00915D66">
        <w:rPr>
          <w:rFonts w:eastAsia="Arial"/>
          <w:color w:val="auto"/>
          <w:sz w:val="20"/>
          <w:szCs w:val="20"/>
        </w:rPr>
        <w:t>organisation</w:t>
      </w:r>
      <w:r w:rsidRPr="00915D66">
        <w:rPr>
          <w:rFonts w:eastAsia="Arial"/>
          <w:color w:val="auto"/>
          <w:sz w:val="20"/>
          <w:szCs w:val="20"/>
        </w:rPr>
        <w:t>al change. This model consists of five stages: denial, anger, bargaining, depression, and acceptance, which describe the emotional journey individuals undergo as they adjust to significant changes (Kubler-Ross &amp; Kessler, 2005).</w:t>
      </w:r>
    </w:p>
    <w:p w14:paraId="7455F4F8" w14:textId="73628DD6" w:rsidR="00664040" w:rsidRPr="00915D66" w:rsidRDefault="00664040" w:rsidP="000D7771">
      <w:pPr>
        <w:pStyle w:val="Nornal"/>
        <w:jc w:val="left"/>
        <w:rPr>
          <w:rFonts w:eastAsia="Arial"/>
          <w:color w:val="auto"/>
          <w:sz w:val="20"/>
          <w:szCs w:val="20"/>
        </w:rPr>
      </w:pPr>
      <w:r w:rsidRPr="00915D66">
        <w:rPr>
          <w:rFonts w:eastAsia="Arial"/>
          <w:color w:val="auto"/>
          <w:sz w:val="20"/>
          <w:szCs w:val="20"/>
        </w:rPr>
        <w:t xml:space="preserve">Initially, individuals may experience denial, where they reject the reality of change. This is a </w:t>
      </w:r>
      <w:r w:rsidR="00915D66" w:rsidRPr="00915D66">
        <w:rPr>
          <w:rFonts w:eastAsia="Arial"/>
          <w:color w:val="auto"/>
          <w:sz w:val="20"/>
          <w:szCs w:val="20"/>
        </w:rPr>
        <w:t>defence</w:t>
      </w:r>
      <w:r w:rsidRPr="00915D66">
        <w:rPr>
          <w:rFonts w:eastAsia="Arial"/>
          <w:color w:val="auto"/>
          <w:sz w:val="20"/>
          <w:szCs w:val="20"/>
        </w:rPr>
        <w:t xml:space="preserve"> mechanism against the overwhelming nature of change, as employees often struggle to accept the new direction (Kotter, </w:t>
      </w:r>
      <w:r w:rsidR="005E49ED" w:rsidRPr="00915D66">
        <w:rPr>
          <w:rFonts w:eastAsia="Arial"/>
          <w:color w:val="auto"/>
          <w:sz w:val="20"/>
          <w:szCs w:val="20"/>
        </w:rPr>
        <w:t>2012</w:t>
      </w:r>
      <w:r w:rsidRPr="00915D66">
        <w:rPr>
          <w:rFonts w:eastAsia="Arial"/>
          <w:color w:val="auto"/>
          <w:sz w:val="20"/>
          <w:szCs w:val="20"/>
        </w:rPr>
        <w:t>). In the anger phase, resistance to change can manifest, with individuals expressing frustration or dissatisfaction due to perceived loss or uncertainty about their future roles (Bridges, 2009).</w:t>
      </w:r>
    </w:p>
    <w:p w14:paraId="20A3D44B" w14:textId="34AA8477" w:rsidR="00664040" w:rsidRPr="00915D66" w:rsidRDefault="00664040" w:rsidP="000D7771">
      <w:pPr>
        <w:pStyle w:val="Nornal"/>
        <w:jc w:val="left"/>
        <w:rPr>
          <w:rFonts w:eastAsia="Arial"/>
          <w:color w:val="auto"/>
          <w:sz w:val="20"/>
          <w:szCs w:val="20"/>
        </w:rPr>
      </w:pPr>
      <w:r w:rsidRPr="00915D66">
        <w:rPr>
          <w:rFonts w:eastAsia="Arial"/>
          <w:color w:val="auto"/>
          <w:sz w:val="20"/>
          <w:szCs w:val="20"/>
        </w:rPr>
        <w:t>The bargaining stage often involves individuals trying to negotiate with the change, perhaps seeking ways to minimi</w:t>
      </w:r>
      <w:r w:rsidR="00915D66" w:rsidRPr="00915D66">
        <w:rPr>
          <w:rFonts w:eastAsia="Arial"/>
          <w:color w:val="auto"/>
          <w:sz w:val="20"/>
          <w:szCs w:val="20"/>
        </w:rPr>
        <w:t>s</w:t>
      </w:r>
      <w:r w:rsidRPr="00915D66">
        <w:rPr>
          <w:rFonts w:eastAsia="Arial"/>
          <w:color w:val="auto"/>
          <w:sz w:val="20"/>
          <w:szCs w:val="20"/>
        </w:rPr>
        <w:t>e its impact or hoping it will not affect them significantly. However, this is often followed by depression, a period of sadness and a sense of helplessness, where employees may feel overwhelmed by the changes that are occurring (Hiatt, 2006).</w:t>
      </w:r>
    </w:p>
    <w:p w14:paraId="48140103" w14:textId="38490BF8" w:rsidR="00664040" w:rsidRPr="00666B93" w:rsidRDefault="00664040" w:rsidP="000D7771">
      <w:pPr>
        <w:pStyle w:val="Nornal"/>
        <w:jc w:val="left"/>
        <w:rPr>
          <w:rFonts w:eastAsia="Arial"/>
          <w:color w:val="auto"/>
          <w:sz w:val="20"/>
          <w:szCs w:val="20"/>
        </w:rPr>
      </w:pPr>
      <w:r w:rsidRPr="00666B93">
        <w:rPr>
          <w:rFonts w:eastAsia="Arial"/>
          <w:color w:val="auto"/>
          <w:sz w:val="20"/>
          <w:szCs w:val="20"/>
        </w:rPr>
        <w:t xml:space="preserve">Ultimately, individuals reach the acceptance stage, where they begin to embrace the change, adapt, and engage with it. In this phase, employees start to focus on the opportunities that change may bring (Kotter, </w:t>
      </w:r>
      <w:r w:rsidR="005E49ED" w:rsidRPr="00666B93">
        <w:rPr>
          <w:rFonts w:eastAsia="Arial"/>
          <w:color w:val="auto"/>
          <w:sz w:val="20"/>
          <w:szCs w:val="20"/>
        </w:rPr>
        <w:t>2012</w:t>
      </w:r>
      <w:r w:rsidRPr="00666B93">
        <w:rPr>
          <w:rFonts w:eastAsia="Arial"/>
          <w:color w:val="auto"/>
          <w:sz w:val="20"/>
          <w:szCs w:val="20"/>
        </w:rPr>
        <w:t>). It's important to recogni</w:t>
      </w:r>
      <w:r w:rsidR="00915D66" w:rsidRPr="00666B93">
        <w:rPr>
          <w:rFonts w:eastAsia="Arial"/>
          <w:color w:val="auto"/>
          <w:sz w:val="20"/>
          <w:szCs w:val="20"/>
        </w:rPr>
        <w:t>s</w:t>
      </w:r>
      <w:r w:rsidRPr="00666B93">
        <w:rPr>
          <w:rFonts w:eastAsia="Arial"/>
          <w:color w:val="auto"/>
          <w:sz w:val="20"/>
          <w:szCs w:val="20"/>
        </w:rPr>
        <w:t>e that these stages are not linear; individuals may cycle through them multiple times or experience them in different orders, depending on the situation and their personal response to change (Bridges, 2009).</w:t>
      </w:r>
    </w:p>
    <w:p w14:paraId="427799AB" w14:textId="423BE8E2" w:rsidR="00664040" w:rsidRPr="00666B93" w:rsidRDefault="002847CB" w:rsidP="000D7771">
      <w:pPr>
        <w:pStyle w:val="Nornal"/>
        <w:jc w:val="left"/>
        <w:rPr>
          <w:rFonts w:eastAsia="Arial"/>
          <w:color w:val="auto"/>
          <w:sz w:val="20"/>
          <w:szCs w:val="20"/>
        </w:rPr>
      </w:pPr>
      <w:r w:rsidRPr="00666B93">
        <w:rPr>
          <w:rFonts w:eastAsia="Arial"/>
          <w:color w:val="auto"/>
          <w:sz w:val="20"/>
          <w:szCs w:val="20"/>
        </w:rPr>
        <w:t>Organisation</w:t>
      </w:r>
      <w:r w:rsidR="00664040" w:rsidRPr="00666B93">
        <w:rPr>
          <w:rFonts w:eastAsia="Arial"/>
          <w:color w:val="auto"/>
          <w:sz w:val="20"/>
          <w:szCs w:val="20"/>
        </w:rPr>
        <w:t xml:space="preserve">al change initiatives should consider these emotional stages to support employees through the transition. By acknowledging the emotional journey and providing adequate support, including clear communication, leadership guidance, and training, </w:t>
      </w:r>
      <w:r w:rsidRPr="00666B93">
        <w:rPr>
          <w:rFonts w:eastAsia="Arial"/>
          <w:color w:val="auto"/>
          <w:sz w:val="20"/>
          <w:szCs w:val="20"/>
        </w:rPr>
        <w:t>organisations</w:t>
      </w:r>
      <w:r w:rsidR="00664040" w:rsidRPr="00666B93">
        <w:rPr>
          <w:rFonts w:eastAsia="Arial"/>
          <w:color w:val="auto"/>
          <w:sz w:val="20"/>
          <w:szCs w:val="20"/>
        </w:rPr>
        <w:t xml:space="preserve"> can foster a smoother and more successful change process (Hiatt, 2006; Kotter, </w:t>
      </w:r>
      <w:r w:rsidR="005E49ED" w:rsidRPr="00666B93">
        <w:rPr>
          <w:rFonts w:eastAsia="Arial"/>
          <w:color w:val="auto"/>
          <w:sz w:val="20"/>
          <w:szCs w:val="20"/>
        </w:rPr>
        <w:t>2012</w:t>
      </w:r>
      <w:r w:rsidR="00664040" w:rsidRPr="00666B93">
        <w:rPr>
          <w:rFonts w:eastAsia="Arial"/>
          <w:color w:val="auto"/>
          <w:sz w:val="20"/>
          <w:szCs w:val="20"/>
        </w:rPr>
        <w:t>).</w:t>
      </w:r>
    </w:p>
    <w:p w14:paraId="3964780B" w14:textId="77777777" w:rsidR="00664040" w:rsidRPr="000D7771" w:rsidRDefault="00664040" w:rsidP="000D7771">
      <w:pPr>
        <w:pStyle w:val="Nornal"/>
        <w:jc w:val="left"/>
        <w:rPr>
          <w:rFonts w:eastAsia="Arial"/>
          <w:sz w:val="20"/>
          <w:szCs w:val="20"/>
        </w:rPr>
      </w:pPr>
    </w:p>
    <w:p w14:paraId="413C6C93" w14:textId="64293303" w:rsidR="000678EB" w:rsidRPr="00680448" w:rsidRDefault="00233A57" w:rsidP="000D7771">
      <w:pPr>
        <w:pStyle w:val="Nornal"/>
        <w:jc w:val="left"/>
        <w:rPr>
          <w:rFonts w:eastAsia="Arial"/>
          <w:b/>
          <w:bCs/>
          <w:color w:val="00616A" w:themeColor="accent2" w:themeShade="BF"/>
          <w:sz w:val="20"/>
          <w:szCs w:val="20"/>
        </w:rPr>
      </w:pPr>
      <w:r w:rsidRPr="00680448">
        <w:rPr>
          <w:rFonts w:eastAsia="Arial"/>
          <w:b/>
          <w:bCs/>
          <w:color w:val="00616A" w:themeColor="accent2" w:themeShade="BF"/>
          <w:sz w:val="20"/>
          <w:szCs w:val="20"/>
        </w:rPr>
        <w:t xml:space="preserve">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w:t>
      </w:r>
      <w:r w:rsidRPr="00680448">
        <w:rPr>
          <w:rFonts w:eastAsia="Arial"/>
          <w:b/>
          <w:bCs/>
          <w:color w:val="00616A" w:themeColor="accent2" w:themeShade="BF"/>
          <w:sz w:val="20"/>
          <w:szCs w:val="20"/>
        </w:rPr>
        <w:lastRenderedPageBreak/>
        <w:t>strategy.  Assess the importance of wellbeing at work and assess how good work could impact wellbeing. (AC 2.5)</w:t>
      </w:r>
    </w:p>
    <w:p w14:paraId="442C371A" w14:textId="17212E34" w:rsidR="000678EB" w:rsidRPr="00666B93" w:rsidRDefault="000678EB" w:rsidP="000D7771">
      <w:pPr>
        <w:pStyle w:val="Nornal"/>
        <w:jc w:val="left"/>
        <w:rPr>
          <w:rFonts w:eastAsia="Arial"/>
          <w:color w:val="auto"/>
          <w:sz w:val="20"/>
          <w:szCs w:val="20"/>
        </w:rPr>
      </w:pPr>
      <w:r w:rsidRPr="00666B93">
        <w:rPr>
          <w:rFonts w:eastAsia="Arial"/>
          <w:color w:val="auto"/>
          <w:sz w:val="20"/>
          <w:szCs w:val="20"/>
        </w:rPr>
        <w:t xml:space="preserve">The importance of wellbeing at work has gained increasing recognition, as </w:t>
      </w:r>
      <w:r w:rsidR="002847CB" w:rsidRPr="00666B93">
        <w:rPr>
          <w:rFonts w:eastAsia="Arial"/>
          <w:color w:val="auto"/>
          <w:sz w:val="20"/>
          <w:szCs w:val="20"/>
        </w:rPr>
        <w:t>organisations</w:t>
      </w:r>
      <w:r w:rsidRPr="00666B93">
        <w:rPr>
          <w:rFonts w:eastAsia="Arial"/>
          <w:color w:val="auto"/>
          <w:sz w:val="20"/>
          <w:szCs w:val="20"/>
        </w:rPr>
        <w:t xml:space="preserve"> acknowledge the profound impact it has on employee performance, engagement, and retention. Wellbeing at work encompasses both physical and mental health, including factors such as work-life balance, </w:t>
      </w:r>
      <w:r w:rsidR="002847CB" w:rsidRPr="00666B93">
        <w:rPr>
          <w:rFonts w:eastAsia="Arial"/>
          <w:color w:val="auto"/>
          <w:sz w:val="20"/>
          <w:szCs w:val="20"/>
        </w:rPr>
        <w:t>organisation</w:t>
      </w:r>
      <w:r w:rsidRPr="00666B93">
        <w:rPr>
          <w:rFonts w:eastAsia="Arial"/>
          <w:color w:val="auto"/>
          <w:sz w:val="20"/>
          <w:szCs w:val="20"/>
        </w:rPr>
        <w:t xml:space="preserve">al culture, and job satisfaction (CIPD, 2023). A healthy workforce is essential for </w:t>
      </w:r>
      <w:r w:rsidR="002847CB" w:rsidRPr="00666B93">
        <w:rPr>
          <w:rFonts w:eastAsia="Arial"/>
          <w:color w:val="auto"/>
          <w:sz w:val="20"/>
          <w:szCs w:val="20"/>
        </w:rPr>
        <w:t>organisation</w:t>
      </w:r>
      <w:r w:rsidRPr="00666B93">
        <w:rPr>
          <w:rFonts w:eastAsia="Arial"/>
          <w:color w:val="auto"/>
          <w:sz w:val="20"/>
          <w:szCs w:val="20"/>
        </w:rPr>
        <w:t>al success, as it drives productivity, reduces absenteeism, and fosters positive work environments (Danna &amp; Griffin, 1999).</w:t>
      </w:r>
    </w:p>
    <w:p w14:paraId="22B0BEFC" w14:textId="7FB2D77C" w:rsidR="000678EB" w:rsidRPr="000D7771" w:rsidRDefault="000678EB" w:rsidP="000D7771">
      <w:pPr>
        <w:pStyle w:val="Nornal"/>
        <w:jc w:val="left"/>
        <w:rPr>
          <w:rFonts w:eastAsia="Arial"/>
          <w:color w:val="FF0000"/>
          <w:sz w:val="20"/>
          <w:szCs w:val="20"/>
        </w:rPr>
      </w:pPr>
      <w:r w:rsidRPr="00666B93">
        <w:rPr>
          <w:rFonts w:eastAsia="Arial"/>
          <w:color w:val="auto"/>
          <w:sz w:val="20"/>
          <w:szCs w:val="20"/>
        </w:rPr>
        <w:t xml:space="preserve">The CIPD’s </w:t>
      </w:r>
      <w:r w:rsidRPr="00666B93">
        <w:rPr>
          <w:rFonts w:eastAsia="Arial"/>
          <w:i/>
          <w:iCs/>
          <w:color w:val="auto"/>
          <w:sz w:val="20"/>
          <w:szCs w:val="20"/>
        </w:rPr>
        <w:t>Health and Wellbeing at Work Survey 2023</w:t>
      </w:r>
      <w:r w:rsidRPr="00666B93">
        <w:rPr>
          <w:rFonts w:eastAsia="Arial"/>
          <w:color w:val="auto"/>
          <w:sz w:val="20"/>
          <w:szCs w:val="20"/>
        </w:rPr>
        <w:t xml:space="preserve"> reveals a notable rise in the number of </w:t>
      </w:r>
      <w:r w:rsidR="002847CB" w:rsidRPr="00666B93">
        <w:rPr>
          <w:rFonts w:eastAsia="Arial"/>
          <w:color w:val="auto"/>
          <w:sz w:val="20"/>
          <w:szCs w:val="20"/>
        </w:rPr>
        <w:t>organisations</w:t>
      </w:r>
      <w:r w:rsidRPr="00666B93">
        <w:rPr>
          <w:rFonts w:eastAsia="Arial"/>
          <w:color w:val="auto"/>
          <w:sz w:val="20"/>
          <w:szCs w:val="20"/>
        </w:rPr>
        <w:t xml:space="preserve"> with a standalone wellbeing strategy, which reflects an increasing awareness of the need for dedicated wellbeing initiatives (CIPD, 2023). This increase signifies progress in the recognition of wellbeing as a strategic priority. However, the fact that 47% of </w:t>
      </w:r>
      <w:r w:rsidR="002847CB" w:rsidRPr="00666B93">
        <w:rPr>
          <w:rFonts w:eastAsia="Arial"/>
          <w:color w:val="auto"/>
          <w:sz w:val="20"/>
          <w:szCs w:val="20"/>
        </w:rPr>
        <w:t>organisations</w:t>
      </w:r>
      <w:r w:rsidRPr="00666B93">
        <w:rPr>
          <w:rFonts w:eastAsia="Arial"/>
          <w:color w:val="auto"/>
          <w:sz w:val="20"/>
          <w:szCs w:val="20"/>
        </w:rPr>
        <w:t xml:space="preserve"> still lack a standalone strategy highlights a gap in how deeply </w:t>
      </w:r>
      <w:r w:rsidR="002847CB" w:rsidRPr="00666B93">
        <w:rPr>
          <w:rFonts w:eastAsia="Arial"/>
          <w:color w:val="auto"/>
          <w:sz w:val="20"/>
          <w:szCs w:val="20"/>
        </w:rPr>
        <w:t>organisations</w:t>
      </w:r>
      <w:r w:rsidRPr="00666B93">
        <w:rPr>
          <w:rFonts w:eastAsia="Arial"/>
          <w:color w:val="auto"/>
          <w:sz w:val="20"/>
          <w:szCs w:val="20"/>
        </w:rPr>
        <w:t xml:space="preserve"> are embedding wellbeing into their core practices</w:t>
      </w:r>
      <w:r w:rsidRPr="000D7771">
        <w:rPr>
          <w:rFonts w:eastAsia="Arial"/>
          <w:color w:val="FF0000"/>
          <w:sz w:val="20"/>
          <w:szCs w:val="20"/>
        </w:rPr>
        <w:t>.</w:t>
      </w:r>
    </w:p>
    <w:p w14:paraId="77400805" w14:textId="28A0E9BF" w:rsidR="000678EB" w:rsidRPr="00666B93" w:rsidRDefault="000678EB" w:rsidP="000D7771">
      <w:pPr>
        <w:pStyle w:val="Nornal"/>
        <w:jc w:val="left"/>
        <w:rPr>
          <w:rFonts w:eastAsia="Arial"/>
          <w:color w:val="auto"/>
          <w:sz w:val="20"/>
          <w:szCs w:val="20"/>
        </w:rPr>
      </w:pPr>
      <w:r w:rsidRPr="00666B93">
        <w:rPr>
          <w:rFonts w:eastAsia="Arial"/>
          <w:color w:val="auto"/>
          <w:sz w:val="20"/>
          <w:szCs w:val="20"/>
        </w:rPr>
        <w:t>A good work environment is closely linked to improved employee wellbeing. The concept of “good work” is often associated with aspects such as job security, fair pay, manageable workloads, and opportunities for personal development (Green, 2006). According to Warr (2002), good work can positively affect employees’ psychological health, leading to greater job satisfaction and a sense of purpose. Furthermore, when employees feel their work is valued and their wellbeing is supported, they are more likely to exhibit higher levels of commitment and performance (Harter, Schmidt, &amp; Hayes, 2002).</w:t>
      </w:r>
    </w:p>
    <w:p w14:paraId="55174377" w14:textId="78BF0F3C" w:rsidR="000678EB" w:rsidRPr="00666B93" w:rsidRDefault="000678EB" w:rsidP="000D7771">
      <w:pPr>
        <w:pStyle w:val="Nornal"/>
        <w:jc w:val="left"/>
        <w:rPr>
          <w:rFonts w:eastAsia="Arial"/>
          <w:color w:val="auto"/>
          <w:sz w:val="20"/>
          <w:szCs w:val="20"/>
        </w:rPr>
      </w:pPr>
      <w:r w:rsidRPr="00666B93">
        <w:rPr>
          <w:rFonts w:eastAsia="Arial"/>
          <w:color w:val="auto"/>
          <w:sz w:val="20"/>
          <w:szCs w:val="20"/>
        </w:rPr>
        <w:t xml:space="preserve">Moreover, creating good work conditions can help mitigate stress, burnout, and mental health challenges. High-quality work environments that foster autonomy, support, and recognition can reduce the likelihood of stress-related illnesses (Karasek &amp; Theorell, 1990). As </w:t>
      </w:r>
      <w:r w:rsidR="002847CB" w:rsidRPr="00666B93">
        <w:rPr>
          <w:rFonts w:eastAsia="Arial"/>
          <w:color w:val="auto"/>
          <w:sz w:val="20"/>
          <w:szCs w:val="20"/>
        </w:rPr>
        <w:t>organisations</w:t>
      </w:r>
      <w:r w:rsidRPr="00666B93">
        <w:rPr>
          <w:rFonts w:eastAsia="Arial"/>
          <w:color w:val="auto"/>
          <w:sz w:val="20"/>
          <w:szCs w:val="20"/>
        </w:rPr>
        <w:t xml:space="preserve"> strive to align their work culture with these principles, employees are more likely to experience positive health outcomes, leading to decreased turno</w:t>
      </w:r>
      <w:r w:rsidR="000D7771" w:rsidRPr="00666B93">
        <w:rPr>
          <w:rFonts w:eastAsia="Arial"/>
          <w:color w:val="auto"/>
          <w:sz w:val="20"/>
          <w:szCs w:val="20"/>
        </w:rPr>
        <w:t>v</w:t>
      </w:r>
      <w:r w:rsidRPr="00666B93">
        <w:rPr>
          <w:rFonts w:eastAsia="Arial"/>
          <w:color w:val="auto"/>
          <w:sz w:val="20"/>
          <w:szCs w:val="20"/>
        </w:rPr>
        <w:t xml:space="preserve">er and greater </w:t>
      </w:r>
      <w:r w:rsidR="002847CB" w:rsidRPr="00666B93">
        <w:rPr>
          <w:rFonts w:eastAsia="Arial"/>
          <w:color w:val="auto"/>
          <w:sz w:val="20"/>
          <w:szCs w:val="20"/>
        </w:rPr>
        <w:t>organisation</w:t>
      </w:r>
      <w:r w:rsidRPr="00666B93">
        <w:rPr>
          <w:rFonts w:eastAsia="Arial"/>
          <w:color w:val="auto"/>
          <w:sz w:val="20"/>
          <w:szCs w:val="20"/>
        </w:rPr>
        <w:t>al loyalty.</w:t>
      </w:r>
    </w:p>
    <w:p w14:paraId="4D42FECE" w14:textId="45745A5F" w:rsidR="00233A57" w:rsidRPr="00666B93" w:rsidRDefault="000678EB" w:rsidP="000D7771">
      <w:pPr>
        <w:pStyle w:val="Nornal"/>
        <w:jc w:val="left"/>
        <w:rPr>
          <w:rFonts w:eastAsia="Arial"/>
          <w:color w:val="auto"/>
          <w:sz w:val="20"/>
          <w:szCs w:val="20"/>
        </w:rPr>
      </w:pPr>
      <w:r w:rsidRPr="00666B93">
        <w:rPr>
          <w:rFonts w:eastAsia="Arial"/>
          <w:color w:val="auto"/>
          <w:sz w:val="20"/>
          <w:szCs w:val="20"/>
        </w:rPr>
        <w:t xml:space="preserve">Despite these advantages, the lack of a dedicated wellbeing strategy in nearly half of </w:t>
      </w:r>
      <w:r w:rsidR="002847CB" w:rsidRPr="00666B93">
        <w:rPr>
          <w:rFonts w:eastAsia="Arial"/>
          <w:color w:val="auto"/>
          <w:sz w:val="20"/>
          <w:szCs w:val="20"/>
        </w:rPr>
        <w:t>organisations</w:t>
      </w:r>
      <w:r w:rsidRPr="00666B93">
        <w:rPr>
          <w:rFonts w:eastAsia="Arial"/>
          <w:color w:val="auto"/>
          <w:sz w:val="20"/>
          <w:szCs w:val="20"/>
        </w:rPr>
        <w:t xml:space="preserve"> indicates a failure to prioriti</w:t>
      </w:r>
      <w:r w:rsidR="00666B93" w:rsidRPr="00666B93">
        <w:rPr>
          <w:rFonts w:eastAsia="Arial"/>
          <w:color w:val="auto"/>
          <w:sz w:val="20"/>
          <w:szCs w:val="20"/>
        </w:rPr>
        <w:t>s</w:t>
      </w:r>
      <w:r w:rsidRPr="00666B93">
        <w:rPr>
          <w:rFonts w:eastAsia="Arial"/>
          <w:color w:val="auto"/>
          <w:sz w:val="20"/>
          <w:szCs w:val="20"/>
        </w:rPr>
        <w:t xml:space="preserve">e and effectively address employee wellbeing. Research by Langford (2021) highlights that </w:t>
      </w:r>
      <w:r w:rsidR="002847CB" w:rsidRPr="00666B93">
        <w:rPr>
          <w:rFonts w:eastAsia="Arial"/>
          <w:color w:val="auto"/>
          <w:sz w:val="20"/>
          <w:szCs w:val="20"/>
        </w:rPr>
        <w:t>organisations</w:t>
      </w:r>
      <w:r w:rsidRPr="00666B93">
        <w:rPr>
          <w:rFonts w:eastAsia="Arial"/>
          <w:color w:val="auto"/>
          <w:sz w:val="20"/>
          <w:szCs w:val="20"/>
        </w:rPr>
        <w:t xml:space="preserve"> with clear wellbeing frameworks are more likely to see improvements in engagement, productivity, and employee retention. Therefore, it is crucial for </w:t>
      </w:r>
      <w:r w:rsidR="002847CB" w:rsidRPr="00666B93">
        <w:rPr>
          <w:rFonts w:eastAsia="Arial"/>
          <w:color w:val="auto"/>
          <w:sz w:val="20"/>
          <w:szCs w:val="20"/>
        </w:rPr>
        <w:t>organisations</w:t>
      </w:r>
      <w:r w:rsidRPr="00666B93">
        <w:rPr>
          <w:rFonts w:eastAsia="Arial"/>
          <w:color w:val="auto"/>
          <w:sz w:val="20"/>
          <w:szCs w:val="20"/>
        </w:rPr>
        <w:t xml:space="preserve"> to not only recogni</w:t>
      </w:r>
      <w:r w:rsidR="00666B93" w:rsidRPr="00666B93">
        <w:rPr>
          <w:rFonts w:eastAsia="Arial"/>
          <w:color w:val="auto"/>
          <w:sz w:val="20"/>
          <w:szCs w:val="20"/>
        </w:rPr>
        <w:t>s</w:t>
      </w:r>
      <w:r w:rsidRPr="00666B93">
        <w:rPr>
          <w:rFonts w:eastAsia="Arial"/>
          <w:color w:val="auto"/>
          <w:sz w:val="20"/>
          <w:szCs w:val="20"/>
        </w:rPr>
        <w:t>e the importance of wellbeing but to also integrate it into their strategic objectives to ensure a thriving, sustainable workforce.</w:t>
      </w:r>
    </w:p>
    <w:p w14:paraId="41779069" w14:textId="77777777" w:rsidR="00666B93" w:rsidRPr="00666B93" w:rsidRDefault="00666B93" w:rsidP="000D7771">
      <w:pPr>
        <w:pStyle w:val="Nornal"/>
        <w:jc w:val="left"/>
        <w:rPr>
          <w:rFonts w:eastAsia="Arial"/>
          <w:color w:val="FF0000"/>
          <w:sz w:val="20"/>
          <w:szCs w:val="20"/>
        </w:rPr>
      </w:pPr>
    </w:p>
    <w:p w14:paraId="1E8335E3" w14:textId="3F075E3B" w:rsidR="008F0744" w:rsidRPr="00680448" w:rsidRDefault="00233A57" w:rsidP="000D7771">
      <w:pPr>
        <w:pStyle w:val="Nornal"/>
        <w:jc w:val="left"/>
        <w:rPr>
          <w:rFonts w:eastAsia="Arial"/>
          <w:b/>
          <w:bCs/>
          <w:color w:val="00616A" w:themeColor="accent2" w:themeShade="BF"/>
          <w:sz w:val="20"/>
          <w:szCs w:val="20"/>
        </w:rPr>
      </w:pPr>
      <w:r w:rsidRPr="00680448">
        <w:rPr>
          <w:rFonts w:eastAsia="Arial"/>
          <w:b/>
          <w:bCs/>
          <w:color w:val="00616A" w:themeColor="accent2" w:themeShade="BF"/>
          <w:sz w:val="20"/>
          <w:szCs w:val="20"/>
        </w:rPr>
        <w:t>Provide a brief overview of the employee lifecycle</w:t>
      </w:r>
      <w:r w:rsidRPr="00680448">
        <w:rPr>
          <w:rFonts w:eastAsia="Arial"/>
          <w:b/>
          <w:bCs/>
          <w:i/>
          <w:iCs/>
          <w:color w:val="00616A" w:themeColor="accent2" w:themeShade="BF"/>
          <w:sz w:val="20"/>
          <w:szCs w:val="20"/>
        </w:rPr>
        <w:t xml:space="preserve"> </w:t>
      </w:r>
      <w:r w:rsidRPr="00680448">
        <w:rPr>
          <w:rFonts w:eastAsia="Arial"/>
          <w:b/>
          <w:bCs/>
          <w:color w:val="00616A" w:themeColor="accent2" w:themeShade="BF"/>
          <w:sz w:val="20"/>
          <w:szCs w:val="20"/>
        </w:rPr>
        <w:t>and discuss people practice roles at the recruitment, development and separation stages of the lifecycle. (AC 3.1)</w:t>
      </w:r>
    </w:p>
    <w:p w14:paraId="39C465C4" w14:textId="22B7EA12" w:rsidR="008F0744" w:rsidRPr="00666B93" w:rsidRDefault="008F0744" w:rsidP="000D7771">
      <w:pPr>
        <w:pStyle w:val="Nornal"/>
        <w:jc w:val="left"/>
        <w:rPr>
          <w:rFonts w:eastAsia="Arial"/>
          <w:color w:val="auto"/>
          <w:sz w:val="20"/>
          <w:szCs w:val="20"/>
        </w:rPr>
      </w:pPr>
      <w:r w:rsidRPr="00666B93">
        <w:rPr>
          <w:rFonts w:eastAsia="Arial"/>
          <w:color w:val="auto"/>
          <w:sz w:val="20"/>
          <w:szCs w:val="20"/>
        </w:rPr>
        <w:t xml:space="preserve">The employee lifecycle refers to </w:t>
      </w:r>
      <w:r w:rsidR="00ED0670">
        <w:rPr>
          <w:rFonts w:eastAsia="Arial"/>
          <w:color w:val="auto"/>
          <w:sz w:val="20"/>
          <w:szCs w:val="20"/>
        </w:rPr>
        <w:t>a person’s career journey</w:t>
      </w:r>
      <w:r w:rsidRPr="00666B93">
        <w:rPr>
          <w:rFonts w:eastAsia="Arial"/>
          <w:color w:val="auto"/>
          <w:sz w:val="20"/>
          <w:szCs w:val="20"/>
        </w:rPr>
        <w:t xml:space="preserve"> </w:t>
      </w:r>
      <w:r w:rsidR="009C3E46">
        <w:rPr>
          <w:rFonts w:eastAsia="Arial"/>
          <w:color w:val="auto"/>
          <w:sz w:val="20"/>
          <w:szCs w:val="20"/>
        </w:rPr>
        <w:t>with a single</w:t>
      </w:r>
      <w:r w:rsidRPr="00666B93">
        <w:rPr>
          <w:rFonts w:eastAsia="Arial"/>
          <w:color w:val="auto"/>
          <w:sz w:val="20"/>
          <w:szCs w:val="20"/>
        </w:rPr>
        <w:t xml:space="preserve"> </w:t>
      </w:r>
      <w:r w:rsidR="002847CB" w:rsidRPr="00666B93">
        <w:rPr>
          <w:rFonts w:eastAsia="Arial"/>
          <w:color w:val="auto"/>
          <w:sz w:val="20"/>
          <w:szCs w:val="20"/>
        </w:rPr>
        <w:t>organisation</w:t>
      </w:r>
      <w:r w:rsidRPr="00666B93">
        <w:rPr>
          <w:rFonts w:eastAsia="Arial"/>
          <w:color w:val="auto"/>
          <w:sz w:val="20"/>
          <w:szCs w:val="20"/>
        </w:rPr>
        <w:t>, from recruitment to separation. Understanding the employee lifecycle is essential for people professionals to effectively manage talent and ensure a positive employee experience at each stage. The lifecycle typically includes recruitment, onboarding, development, retention, and separation (CIPD, 2020).</w:t>
      </w:r>
    </w:p>
    <w:p w14:paraId="6FB9DB08" w14:textId="3E0C4A10" w:rsidR="008F0744" w:rsidRPr="006521BD" w:rsidRDefault="008F0744" w:rsidP="000D7771">
      <w:pPr>
        <w:pStyle w:val="Nornal"/>
        <w:jc w:val="left"/>
        <w:rPr>
          <w:rFonts w:eastAsia="Arial"/>
          <w:color w:val="auto"/>
          <w:sz w:val="20"/>
          <w:szCs w:val="20"/>
        </w:rPr>
      </w:pPr>
      <w:r w:rsidRPr="00666B93">
        <w:rPr>
          <w:rFonts w:eastAsia="Arial"/>
          <w:color w:val="auto"/>
          <w:sz w:val="20"/>
          <w:szCs w:val="20"/>
        </w:rPr>
        <w:t xml:space="preserve">At the recruitment stage, people professionals play a crucial role in attracting and selecting the right talent. This involves creating job descriptions, sourcing </w:t>
      </w:r>
      <w:r w:rsidR="00BA1D92">
        <w:rPr>
          <w:rFonts w:eastAsia="Arial"/>
          <w:color w:val="auto"/>
          <w:sz w:val="20"/>
          <w:szCs w:val="20"/>
        </w:rPr>
        <w:t>local talent</w:t>
      </w:r>
      <w:r w:rsidRPr="00666B93">
        <w:rPr>
          <w:rFonts w:eastAsia="Arial"/>
          <w:color w:val="auto"/>
          <w:sz w:val="20"/>
          <w:szCs w:val="20"/>
        </w:rPr>
        <w:t>, c</w:t>
      </w:r>
      <w:r w:rsidR="00BA1D92">
        <w:rPr>
          <w:rFonts w:eastAsia="Arial"/>
          <w:color w:val="auto"/>
          <w:sz w:val="20"/>
          <w:szCs w:val="20"/>
        </w:rPr>
        <w:t>arrying out</w:t>
      </w:r>
      <w:r w:rsidRPr="00666B93">
        <w:rPr>
          <w:rFonts w:eastAsia="Arial"/>
          <w:color w:val="auto"/>
          <w:sz w:val="20"/>
          <w:szCs w:val="20"/>
        </w:rPr>
        <w:t xml:space="preserve"> interviews, and ensuring a fair and unbiased hiring process. Effective recruitment strategies are vital for building a strong workforce and ensuring a good fit between employees and the </w:t>
      </w:r>
      <w:r w:rsidR="002847CB" w:rsidRPr="00666B93">
        <w:rPr>
          <w:rFonts w:eastAsia="Arial"/>
          <w:color w:val="auto"/>
          <w:sz w:val="20"/>
          <w:szCs w:val="20"/>
        </w:rPr>
        <w:t>organisation</w:t>
      </w:r>
      <w:r w:rsidRPr="00666B93">
        <w:rPr>
          <w:rFonts w:eastAsia="Arial"/>
          <w:color w:val="auto"/>
          <w:sz w:val="20"/>
          <w:szCs w:val="20"/>
        </w:rPr>
        <w:t xml:space="preserve">al culture (Armstrong, 2020). Additionally, recruitment professionals help manage employer branding to attract top talent and ensure diversity and </w:t>
      </w:r>
      <w:r w:rsidRPr="006521BD">
        <w:rPr>
          <w:rFonts w:eastAsia="Arial"/>
          <w:color w:val="auto"/>
          <w:sz w:val="20"/>
          <w:szCs w:val="20"/>
        </w:rPr>
        <w:t>inclusion are prioriti</w:t>
      </w:r>
      <w:r w:rsidR="00666B93" w:rsidRPr="006521BD">
        <w:rPr>
          <w:rFonts w:eastAsia="Arial"/>
          <w:color w:val="auto"/>
          <w:sz w:val="20"/>
          <w:szCs w:val="20"/>
        </w:rPr>
        <w:t>s</w:t>
      </w:r>
      <w:r w:rsidRPr="006521BD">
        <w:rPr>
          <w:rFonts w:eastAsia="Arial"/>
          <w:color w:val="auto"/>
          <w:sz w:val="20"/>
          <w:szCs w:val="20"/>
        </w:rPr>
        <w:t>ed.</w:t>
      </w:r>
    </w:p>
    <w:p w14:paraId="5DB29193" w14:textId="142F5F87" w:rsidR="008F0744" w:rsidRPr="006521BD" w:rsidRDefault="008F0744" w:rsidP="000D7771">
      <w:pPr>
        <w:pStyle w:val="Nornal"/>
        <w:jc w:val="left"/>
        <w:rPr>
          <w:rFonts w:eastAsia="Arial"/>
          <w:color w:val="auto"/>
          <w:sz w:val="20"/>
          <w:szCs w:val="20"/>
        </w:rPr>
      </w:pPr>
      <w:r w:rsidRPr="006521BD">
        <w:rPr>
          <w:rFonts w:eastAsia="Arial"/>
          <w:color w:val="auto"/>
          <w:sz w:val="20"/>
          <w:szCs w:val="20"/>
        </w:rPr>
        <w:t>During the development phase, people professionals focus on fostering employee growth and maximi</w:t>
      </w:r>
      <w:r w:rsidR="006521BD" w:rsidRPr="006521BD">
        <w:rPr>
          <w:rFonts w:eastAsia="Arial"/>
          <w:color w:val="auto"/>
          <w:sz w:val="20"/>
          <w:szCs w:val="20"/>
        </w:rPr>
        <w:t>s</w:t>
      </w:r>
      <w:r w:rsidRPr="006521BD">
        <w:rPr>
          <w:rFonts w:eastAsia="Arial"/>
          <w:color w:val="auto"/>
          <w:sz w:val="20"/>
          <w:szCs w:val="20"/>
        </w:rPr>
        <w:t>ing potential. This includes providing opportunities for training, skill development, and career progression. By implementing performance management systems and supporting ongoing learning, HR professionals help employees enhance their capabilities, boosting engagement and productivity (Aguinis, 2013). Development initiatives may include mentorship programs, leadership development, and continuous feedback, which contribute to long-term employee satisfaction and retention. People professionals also work closely with managers to identify skills gaps and create personali</w:t>
      </w:r>
      <w:r w:rsidR="006521BD" w:rsidRPr="006521BD">
        <w:rPr>
          <w:rFonts w:eastAsia="Arial"/>
          <w:color w:val="auto"/>
          <w:sz w:val="20"/>
          <w:szCs w:val="20"/>
        </w:rPr>
        <w:t>s</w:t>
      </w:r>
      <w:r w:rsidRPr="006521BD">
        <w:rPr>
          <w:rFonts w:eastAsia="Arial"/>
          <w:color w:val="auto"/>
          <w:sz w:val="20"/>
          <w:szCs w:val="20"/>
        </w:rPr>
        <w:t xml:space="preserve">ed development plans that align with both employee and </w:t>
      </w:r>
      <w:r w:rsidR="002847CB" w:rsidRPr="006521BD">
        <w:rPr>
          <w:rFonts w:eastAsia="Arial"/>
          <w:color w:val="auto"/>
          <w:sz w:val="20"/>
          <w:szCs w:val="20"/>
        </w:rPr>
        <w:t>organisation</w:t>
      </w:r>
      <w:r w:rsidR="000D7771" w:rsidRPr="006521BD">
        <w:rPr>
          <w:rFonts w:eastAsia="Arial"/>
          <w:color w:val="auto"/>
          <w:sz w:val="20"/>
          <w:szCs w:val="20"/>
        </w:rPr>
        <w:t>a</w:t>
      </w:r>
      <w:r w:rsidRPr="006521BD">
        <w:rPr>
          <w:rFonts w:eastAsia="Arial"/>
          <w:color w:val="auto"/>
          <w:sz w:val="20"/>
          <w:szCs w:val="20"/>
        </w:rPr>
        <w:t>l goals (CIPD, 2020).</w:t>
      </w:r>
    </w:p>
    <w:p w14:paraId="3C45B138" w14:textId="78EEE73B" w:rsidR="008F0744" w:rsidRPr="006521BD" w:rsidRDefault="008F0744" w:rsidP="000D7771">
      <w:pPr>
        <w:pStyle w:val="Nornal"/>
        <w:jc w:val="left"/>
        <w:rPr>
          <w:rFonts w:eastAsia="Arial"/>
          <w:color w:val="auto"/>
          <w:sz w:val="20"/>
          <w:szCs w:val="20"/>
        </w:rPr>
      </w:pPr>
      <w:r w:rsidRPr="006521BD">
        <w:rPr>
          <w:rFonts w:eastAsia="Arial"/>
          <w:color w:val="auto"/>
          <w:sz w:val="20"/>
          <w:szCs w:val="20"/>
        </w:rPr>
        <w:lastRenderedPageBreak/>
        <w:t xml:space="preserve">At the separation stage, people professionals manage the process of employee exit, whether due to resignation, retirement, or redundancy. A smooth separation process is essential for maintaining positive relationships with former employees and protecting the </w:t>
      </w:r>
      <w:r w:rsidR="002847CB" w:rsidRPr="006521BD">
        <w:rPr>
          <w:rFonts w:eastAsia="Arial"/>
          <w:color w:val="auto"/>
          <w:sz w:val="20"/>
          <w:szCs w:val="20"/>
        </w:rPr>
        <w:t>organisation</w:t>
      </w:r>
      <w:r w:rsidRPr="006521BD">
        <w:rPr>
          <w:rFonts w:eastAsia="Arial"/>
          <w:color w:val="auto"/>
          <w:sz w:val="20"/>
          <w:szCs w:val="20"/>
        </w:rPr>
        <w:t xml:space="preserve">’s reputation (Shuck &amp; Reio, 2014). This stage often involves conducting exit interviews to gather feedback on the employee experience, which can inform future people practices and </w:t>
      </w:r>
      <w:r w:rsidR="002847CB" w:rsidRPr="006521BD">
        <w:rPr>
          <w:rFonts w:eastAsia="Arial"/>
          <w:color w:val="auto"/>
          <w:sz w:val="20"/>
          <w:szCs w:val="20"/>
        </w:rPr>
        <w:t>organisation</w:t>
      </w:r>
      <w:r w:rsidRPr="006521BD">
        <w:rPr>
          <w:rFonts w:eastAsia="Arial"/>
          <w:color w:val="auto"/>
          <w:sz w:val="20"/>
          <w:szCs w:val="20"/>
        </w:rPr>
        <w:t>al improvements. People professionals are also responsible for ensuring compliance with legal requirements, providing necessary documentation, and facilitating knowledge transfer when an employee leaves (Armstrong, 2020).</w:t>
      </w:r>
    </w:p>
    <w:p w14:paraId="4B6D0536" w14:textId="5A81D6F7" w:rsidR="008F0744" w:rsidRPr="006521BD" w:rsidRDefault="008F0744" w:rsidP="000D7771">
      <w:pPr>
        <w:pStyle w:val="Nornal"/>
        <w:jc w:val="left"/>
        <w:rPr>
          <w:rFonts w:eastAsia="Arial"/>
          <w:color w:val="auto"/>
          <w:sz w:val="20"/>
          <w:szCs w:val="20"/>
        </w:rPr>
      </w:pPr>
      <w:r w:rsidRPr="006521BD">
        <w:rPr>
          <w:rFonts w:eastAsia="Arial"/>
          <w:color w:val="auto"/>
          <w:sz w:val="20"/>
          <w:szCs w:val="20"/>
        </w:rPr>
        <w:t xml:space="preserve">Throughout the employee lifecycle, people professionals are critical in ensuring a positive experience, supporting both the individual’s growth and the </w:t>
      </w:r>
      <w:r w:rsidR="002847CB" w:rsidRPr="006521BD">
        <w:rPr>
          <w:rFonts w:eastAsia="Arial"/>
          <w:color w:val="auto"/>
          <w:sz w:val="20"/>
          <w:szCs w:val="20"/>
        </w:rPr>
        <w:t>organisation</w:t>
      </w:r>
      <w:r w:rsidRPr="006521BD">
        <w:rPr>
          <w:rFonts w:eastAsia="Arial"/>
          <w:color w:val="auto"/>
          <w:sz w:val="20"/>
          <w:szCs w:val="20"/>
        </w:rPr>
        <w:t xml:space="preserve">’s strategic objectives. By managing each stage effectively, </w:t>
      </w:r>
      <w:r w:rsidR="002847CB" w:rsidRPr="006521BD">
        <w:rPr>
          <w:rFonts w:eastAsia="Arial"/>
          <w:color w:val="auto"/>
          <w:sz w:val="20"/>
          <w:szCs w:val="20"/>
        </w:rPr>
        <w:t>organisations</w:t>
      </w:r>
      <w:r w:rsidRPr="006521BD">
        <w:rPr>
          <w:rFonts w:eastAsia="Arial"/>
          <w:color w:val="auto"/>
          <w:sz w:val="20"/>
          <w:szCs w:val="20"/>
        </w:rPr>
        <w:t xml:space="preserve"> can enhance employee engagement, retention, and overall performance.</w:t>
      </w:r>
    </w:p>
    <w:p w14:paraId="16951A40" w14:textId="77777777" w:rsidR="00233A57" w:rsidRPr="000D7771" w:rsidRDefault="00233A57" w:rsidP="000D7771">
      <w:pPr>
        <w:pStyle w:val="Nornal"/>
        <w:jc w:val="left"/>
        <w:rPr>
          <w:rFonts w:eastAsia="Arial"/>
          <w:sz w:val="20"/>
          <w:szCs w:val="20"/>
        </w:rPr>
      </w:pPr>
    </w:p>
    <w:p w14:paraId="33186DDE" w14:textId="3A87CB58" w:rsidR="004F27A8" w:rsidRPr="00680448" w:rsidRDefault="00233A57" w:rsidP="000D7771">
      <w:pPr>
        <w:pStyle w:val="Nornal"/>
        <w:jc w:val="left"/>
        <w:rPr>
          <w:rFonts w:eastAsia="Arial"/>
          <w:b/>
          <w:bCs/>
          <w:color w:val="00616A" w:themeColor="accent2" w:themeShade="BF"/>
          <w:sz w:val="20"/>
          <w:szCs w:val="20"/>
        </w:rPr>
      </w:pPr>
      <w:r w:rsidRPr="00680448">
        <w:rPr>
          <w:rFonts w:eastAsia="Arial"/>
          <w:b/>
          <w:bCs/>
          <w:color w:val="00616A" w:themeColor="accent2" w:themeShade="BF"/>
          <w:sz w:val="20"/>
          <w:szCs w:val="20"/>
        </w:rPr>
        <w:t>Analyse how people practice supports organisational strategy through vertical integration and how people practice supports wider people strategies through horizontal integration. (AC 3.2)</w:t>
      </w:r>
    </w:p>
    <w:p w14:paraId="0937C2D7" w14:textId="0D9A432A" w:rsidR="002C2666" w:rsidRPr="006521BD" w:rsidRDefault="002C2666" w:rsidP="000D7771">
      <w:pPr>
        <w:pStyle w:val="Nornal"/>
        <w:jc w:val="left"/>
        <w:rPr>
          <w:rFonts w:eastAsia="Arial"/>
          <w:color w:val="auto"/>
          <w:sz w:val="20"/>
          <w:szCs w:val="20"/>
        </w:rPr>
      </w:pPr>
      <w:r w:rsidRPr="006521BD">
        <w:rPr>
          <w:rFonts w:eastAsia="Arial"/>
          <w:color w:val="auto"/>
          <w:sz w:val="20"/>
          <w:szCs w:val="20"/>
        </w:rPr>
        <w:t>People practice</w:t>
      </w:r>
      <w:r w:rsidR="006521BD" w:rsidRPr="006521BD">
        <w:rPr>
          <w:rFonts w:eastAsia="Arial"/>
          <w:color w:val="auto"/>
          <w:sz w:val="20"/>
          <w:szCs w:val="20"/>
        </w:rPr>
        <w:t xml:space="preserve"> </w:t>
      </w:r>
      <w:r w:rsidRPr="006521BD">
        <w:rPr>
          <w:rFonts w:eastAsia="Arial"/>
          <w:color w:val="auto"/>
          <w:sz w:val="20"/>
          <w:szCs w:val="20"/>
        </w:rPr>
        <w:t xml:space="preserve">plays a critical role in aligning with </w:t>
      </w:r>
      <w:r w:rsidR="002847CB" w:rsidRPr="006521BD">
        <w:rPr>
          <w:rFonts w:eastAsia="Arial"/>
          <w:color w:val="auto"/>
          <w:sz w:val="20"/>
          <w:szCs w:val="20"/>
        </w:rPr>
        <w:t>organisation</w:t>
      </w:r>
      <w:r w:rsidRPr="006521BD">
        <w:rPr>
          <w:rFonts w:eastAsia="Arial"/>
          <w:color w:val="auto"/>
          <w:sz w:val="20"/>
          <w:szCs w:val="20"/>
        </w:rPr>
        <w:t xml:space="preserve">al strategy through both vertical and horizontal integration. These integrations ensure that HR activities and people strategies support the broader goals of the </w:t>
      </w:r>
      <w:r w:rsidR="002847CB" w:rsidRPr="006521BD">
        <w:rPr>
          <w:rFonts w:eastAsia="Arial"/>
          <w:color w:val="auto"/>
          <w:sz w:val="20"/>
          <w:szCs w:val="20"/>
        </w:rPr>
        <w:t>organisation</w:t>
      </w:r>
      <w:r w:rsidRPr="006521BD">
        <w:rPr>
          <w:rFonts w:eastAsia="Arial"/>
          <w:color w:val="auto"/>
          <w:sz w:val="20"/>
          <w:szCs w:val="20"/>
        </w:rPr>
        <w:t xml:space="preserve"> while also contributing to the holistic development of the workforce.</w:t>
      </w:r>
    </w:p>
    <w:p w14:paraId="49EA9BB7" w14:textId="45340C54" w:rsidR="002C2666" w:rsidRPr="006521BD" w:rsidRDefault="002C2666" w:rsidP="000D7771">
      <w:pPr>
        <w:pStyle w:val="Nornal"/>
        <w:jc w:val="left"/>
        <w:rPr>
          <w:rFonts w:eastAsia="Arial"/>
          <w:color w:val="auto"/>
          <w:sz w:val="20"/>
          <w:szCs w:val="20"/>
        </w:rPr>
      </w:pPr>
      <w:r w:rsidRPr="006521BD">
        <w:rPr>
          <w:rFonts w:eastAsia="Arial"/>
          <w:color w:val="auto"/>
          <w:sz w:val="20"/>
          <w:szCs w:val="20"/>
        </w:rPr>
        <w:t xml:space="preserve">Vertical integration refers to the alignment of HR strategies with the </w:t>
      </w:r>
      <w:r w:rsidR="002847CB" w:rsidRPr="006521BD">
        <w:rPr>
          <w:rFonts w:eastAsia="Arial"/>
          <w:color w:val="auto"/>
          <w:sz w:val="20"/>
          <w:szCs w:val="20"/>
        </w:rPr>
        <w:t>organisation</w:t>
      </w:r>
      <w:r w:rsidRPr="006521BD">
        <w:rPr>
          <w:rFonts w:eastAsia="Arial"/>
          <w:color w:val="auto"/>
          <w:sz w:val="20"/>
          <w:szCs w:val="20"/>
        </w:rPr>
        <w:t xml:space="preserve">’s overall strategic goals. This type of integration ensures that people practices directly support the strategic direction and objectives of the </w:t>
      </w:r>
      <w:r w:rsidR="002847CB" w:rsidRPr="006521BD">
        <w:rPr>
          <w:rFonts w:eastAsia="Arial"/>
          <w:color w:val="auto"/>
          <w:sz w:val="20"/>
          <w:szCs w:val="20"/>
        </w:rPr>
        <w:t>organisation</w:t>
      </w:r>
      <w:r w:rsidRPr="006521BD">
        <w:rPr>
          <w:rFonts w:eastAsia="Arial"/>
          <w:color w:val="auto"/>
          <w:sz w:val="20"/>
          <w:szCs w:val="20"/>
        </w:rPr>
        <w:t xml:space="preserve">, creating a cohesive link between the workforce and the leadership team (Boxall &amp; Purcell, 2016). For example, if an </w:t>
      </w:r>
      <w:r w:rsidR="002847CB" w:rsidRPr="006521BD">
        <w:rPr>
          <w:rFonts w:eastAsia="Arial"/>
          <w:color w:val="auto"/>
          <w:sz w:val="20"/>
          <w:szCs w:val="20"/>
        </w:rPr>
        <w:t>organisation</w:t>
      </w:r>
      <w:r w:rsidRPr="006521BD">
        <w:rPr>
          <w:rFonts w:eastAsia="Arial"/>
          <w:color w:val="auto"/>
          <w:sz w:val="20"/>
          <w:szCs w:val="20"/>
        </w:rPr>
        <w:t xml:space="preserve"> focuses on innovation as a key part of its strategy, HR can align by designing recruitment processes to attract innovative talent, fostering a culture of creativity through employee engagement initiatives, and providing development opportunities that enhance employees’ innovative capabilities (Ulrich, 1997). Additionally, performance management systems can be tailored to track and reward contributions aligned with strategic goals, ensuring that individual and team objectives are in harmony with the </w:t>
      </w:r>
      <w:r w:rsidR="002847CB" w:rsidRPr="006521BD">
        <w:rPr>
          <w:rFonts w:eastAsia="Arial"/>
          <w:color w:val="auto"/>
          <w:sz w:val="20"/>
          <w:szCs w:val="20"/>
        </w:rPr>
        <w:t>organisation</w:t>
      </w:r>
      <w:r w:rsidRPr="006521BD">
        <w:rPr>
          <w:rFonts w:eastAsia="Arial"/>
          <w:color w:val="auto"/>
          <w:sz w:val="20"/>
          <w:szCs w:val="20"/>
        </w:rPr>
        <w:t>’s broader vision (Becker &amp; Huselid, 2006).</w:t>
      </w:r>
    </w:p>
    <w:p w14:paraId="5628B7CE" w14:textId="41CBCA07" w:rsidR="002C2666" w:rsidRPr="006521BD" w:rsidRDefault="002C2666" w:rsidP="000D7771">
      <w:pPr>
        <w:pStyle w:val="Nornal"/>
        <w:jc w:val="left"/>
        <w:rPr>
          <w:rFonts w:eastAsia="Arial"/>
          <w:color w:val="auto"/>
          <w:sz w:val="20"/>
          <w:szCs w:val="20"/>
        </w:rPr>
      </w:pPr>
      <w:r w:rsidRPr="006521BD">
        <w:rPr>
          <w:rFonts w:eastAsia="Arial"/>
          <w:color w:val="auto"/>
          <w:sz w:val="20"/>
          <w:szCs w:val="20"/>
        </w:rPr>
        <w:t xml:space="preserve">People practice also supports vertical integration by helping to shape </w:t>
      </w:r>
      <w:r w:rsidR="002847CB" w:rsidRPr="006521BD">
        <w:rPr>
          <w:rFonts w:eastAsia="Arial"/>
          <w:color w:val="auto"/>
          <w:sz w:val="20"/>
          <w:szCs w:val="20"/>
        </w:rPr>
        <w:t>organisation</w:t>
      </w:r>
      <w:r w:rsidRPr="006521BD">
        <w:rPr>
          <w:rFonts w:eastAsia="Arial"/>
          <w:color w:val="auto"/>
          <w:sz w:val="20"/>
          <w:szCs w:val="20"/>
        </w:rPr>
        <w:t xml:space="preserve">al culture and leadership. HR can develop leadership programs that focus on the skills needed to implement and drive strategic objectives, ensuring that leadership at all levels is equipped to steer the </w:t>
      </w:r>
      <w:r w:rsidR="002847CB" w:rsidRPr="006521BD">
        <w:rPr>
          <w:rFonts w:eastAsia="Arial"/>
          <w:color w:val="auto"/>
          <w:sz w:val="20"/>
          <w:szCs w:val="20"/>
        </w:rPr>
        <w:t>organisation</w:t>
      </w:r>
      <w:r w:rsidRPr="006521BD">
        <w:rPr>
          <w:rFonts w:eastAsia="Arial"/>
          <w:color w:val="auto"/>
          <w:sz w:val="20"/>
          <w:szCs w:val="20"/>
        </w:rPr>
        <w:t xml:space="preserve"> toward its goals (Aguinis, 2013). Furthermore, by implementing succession planning, HR ensures that future leaders align with the long-term vision of the </w:t>
      </w:r>
      <w:r w:rsidR="002847CB" w:rsidRPr="006521BD">
        <w:rPr>
          <w:rFonts w:eastAsia="Arial"/>
          <w:color w:val="auto"/>
          <w:sz w:val="20"/>
          <w:szCs w:val="20"/>
        </w:rPr>
        <w:t>organisation</w:t>
      </w:r>
      <w:r w:rsidRPr="006521BD">
        <w:rPr>
          <w:rFonts w:eastAsia="Arial"/>
          <w:color w:val="auto"/>
          <w:sz w:val="20"/>
          <w:szCs w:val="20"/>
        </w:rPr>
        <w:t>, securing the continuity of strategic execution over time.</w:t>
      </w:r>
    </w:p>
    <w:p w14:paraId="361D7D81" w14:textId="133A0358" w:rsidR="002C2666" w:rsidRPr="006521BD" w:rsidRDefault="002C2666" w:rsidP="000D7771">
      <w:pPr>
        <w:pStyle w:val="Nornal"/>
        <w:jc w:val="left"/>
        <w:rPr>
          <w:rFonts w:eastAsia="Arial"/>
          <w:color w:val="auto"/>
          <w:sz w:val="20"/>
          <w:szCs w:val="20"/>
        </w:rPr>
      </w:pPr>
      <w:r w:rsidRPr="006521BD">
        <w:rPr>
          <w:rFonts w:eastAsia="Arial"/>
          <w:color w:val="auto"/>
          <w:sz w:val="20"/>
          <w:szCs w:val="20"/>
        </w:rPr>
        <w:t xml:space="preserve">On the other hand, horizontal integration involves aligning people strategies across different HR functions and ensuring that these functions are interrelated and mutually supportive. This integration ensures a consistent and cohesive approach to people management across the </w:t>
      </w:r>
      <w:r w:rsidR="002847CB" w:rsidRPr="006521BD">
        <w:rPr>
          <w:rFonts w:eastAsia="Arial"/>
          <w:color w:val="auto"/>
          <w:sz w:val="20"/>
          <w:szCs w:val="20"/>
        </w:rPr>
        <w:t>organisation</w:t>
      </w:r>
      <w:r w:rsidRPr="006521BD">
        <w:rPr>
          <w:rFonts w:eastAsia="Arial"/>
          <w:color w:val="auto"/>
          <w:sz w:val="20"/>
          <w:szCs w:val="20"/>
        </w:rPr>
        <w:t xml:space="preserve">, leading to a more efficient and collaborative workforce (Boxall &amp; Purcell, 2016). For instance, recruitment, training, performance management, and compensation should all work together to create a seamless experience for employees and ensure that the </w:t>
      </w:r>
      <w:r w:rsidR="002847CB" w:rsidRPr="006521BD">
        <w:rPr>
          <w:rFonts w:eastAsia="Arial"/>
          <w:color w:val="auto"/>
          <w:sz w:val="20"/>
          <w:szCs w:val="20"/>
        </w:rPr>
        <w:t>organisation</w:t>
      </w:r>
      <w:r w:rsidRPr="006521BD">
        <w:rPr>
          <w:rFonts w:eastAsia="Arial"/>
          <w:color w:val="auto"/>
          <w:sz w:val="20"/>
          <w:szCs w:val="20"/>
        </w:rPr>
        <w:t>’s values and objectives are consistently communicated and upheld.</w:t>
      </w:r>
    </w:p>
    <w:p w14:paraId="3E3FD28D" w14:textId="7459C053" w:rsidR="002C2666" w:rsidRPr="006521BD" w:rsidRDefault="002C2666" w:rsidP="000D7771">
      <w:pPr>
        <w:pStyle w:val="Nornal"/>
        <w:jc w:val="left"/>
        <w:rPr>
          <w:rFonts w:eastAsia="Arial"/>
          <w:color w:val="auto"/>
          <w:sz w:val="20"/>
          <w:szCs w:val="20"/>
        </w:rPr>
      </w:pPr>
      <w:r w:rsidRPr="006521BD">
        <w:rPr>
          <w:rFonts w:eastAsia="Arial"/>
          <w:color w:val="auto"/>
          <w:sz w:val="20"/>
          <w:szCs w:val="20"/>
        </w:rPr>
        <w:t xml:space="preserve">For example, if a company aims to enhance employee wellbeing, horizontal integration means aligning health initiatives with performance management, development, and recognition systems to create a consistent message around employee care and engagement (CIPD, 2020). HR functions such as learning and development can work closely with recruitment to ensure that new hires possess the skills necessary to thrive in the </w:t>
      </w:r>
      <w:r w:rsidR="002847CB" w:rsidRPr="006521BD">
        <w:rPr>
          <w:rFonts w:eastAsia="Arial"/>
          <w:color w:val="auto"/>
          <w:sz w:val="20"/>
          <w:szCs w:val="20"/>
        </w:rPr>
        <w:t>organisation</w:t>
      </w:r>
      <w:r w:rsidRPr="006521BD">
        <w:rPr>
          <w:rFonts w:eastAsia="Arial"/>
          <w:color w:val="auto"/>
          <w:sz w:val="20"/>
          <w:szCs w:val="20"/>
        </w:rPr>
        <w:t>'s environment, while also aligning with existing training and development programs (Armstrong, 2020).</w:t>
      </w:r>
    </w:p>
    <w:p w14:paraId="76B4BAE9" w14:textId="1735A48D" w:rsidR="00233A57" w:rsidRPr="006521BD" w:rsidRDefault="002C2666" w:rsidP="000D7771">
      <w:pPr>
        <w:pStyle w:val="Nornal"/>
        <w:jc w:val="left"/>
        <w:rPr>
          <w:rFonts w:eastAsia="Arial"/>
          <w:color w:val="auto"/>
          <w:sz w:val="20"/>
          <w:szCs w:val="20"/>
        </w:rPr>
      </w:pPr>
      <w:r w:rsidRPr="006521BD">
        <w:rPr>
          <w:rFonts w:eastAsia="Arial"/>
          <w:color w:val="auto"/>
          <w:sz w:val="20"/>
          <w:szCs w:val="20"/>
        </w:rPr>
        <w:t xml:space="preserve">Through both vertical and horizontal integration, people practice ensures that HR supports </w:t>
      </w:r>
      <w:r w:rsidR="002847CB" w:rsidRPr="006521BD">
        <w:rPr>
          <w:rFonts w:eastAsia="Arial"/>
          <w:color w:val="auto"/>
          <w:sz w:val="20"/>
          <w:szCs w:val="20"/>
        </w:rPr>
        <w:t>organisation</w:t>
      </w:r>
      <w:r w:rsidRPr="006521BD">
        <w:rPr>
          <w:rFonts w:eastAsia="Arial"/>
          <w:color w:val="auto"/>
          <w:sz w:val="20"/>
          <w:szCs w:val="20"/>
        </w:rPr>
        <w:t>al strategy by aligning people management practices with the company’s goals while fostering a cohesive and engaged workforce.</w:t>
      </w:r>
    </w:p>
    <w:p w14:paraId="39672C23" w14:textId="77777777" w:rsidR="004F27A8" w:rsidRPr="000D7771" w:rsidRDefault="004F27A8" w:rsidP="000D7771">
      <w:pPr>
        <w:pStyle w:val="Nornal"/>
        <w:jc w:val="left"/>
        <w:rPr>
          <w:rFonts w:eastAsia="Arial"/>
          <w:sz w:val="20"/>
          <w:szCs w:val="20"/>
        </w:rPr>
      </w:pPr>
    </w:p>
    <w:p w14:paraId="7F3334D2" w14:textId="42D3813E" w:rsidR="00FD6185" w:rsidRPr="00680448" w:rsidRDefault="00233A57" w:rsidP="000D7771">
      <w:pPr>
        <w:pStyle w:val="Nornal"/>
        <w:jc w:val="left"/>
        <w:rPr>
          <w:rFonts w:eastAsia="Arial"/>
          <w:b/>
          <w:bCs/>
          <w:color w:val="00616A" w:themeColor="accent2" w:themeShade="BF"/>
          <w:sz w:val="20"/>
          <w:szCs w:val="20"/>
        </w:rPr>
      </w:pPr>
      <w:r w:rsidRPr="00680448">
        <w:rPr>
          <w:rFonts w:eastAsia="Arial"/>
          <w:b/>
          <w:bCs/>
          <w:color w:val="00616A" w:themeColor="accent2" w:themeShade="BF"/>
          <w:sz w:val="20"/>
          <w:szCs w:val="20"/>
        </w:rPr>
        <w:t xml:space="preserve">An organisation is planning to introduce a </w:t>
      </w:r>
      <w:r w:rsidR="00492B23" w:rsidRPr="00680448">
        <w:rPr>
          <w:rFonts w:eastAsia="Arial"/>
          <w:b/>
          <w:bCs/>
          <w:color w:val="00616A" w:themeColor="accent2" w:themeShade="BF"/>
          <w:sz w:val="20"/>
          <w:szCs w:val="20"/>
        </w:rPr>
        <w:t>four</w:t>
      </w:r>
      <w:r w:rsidRPr="00680448">
        <w:rPr>
          <w:rFonts w:eastAsia="Arial"/>
          <w:b/>
          <w:bCs/>
          <w:color w:val="00616A" w:themeColor="accent2" w:themeShade="BF"/>
          <w:sz w:val="20"/>
          <w:szCs w:val="20"/>
        </w:rPr>
        <w:t xml:space="preserve">-day working week. Discuss the processes the people function could use to consult and engage with managers and employees to understand their needs when moving from a </w:t>
      </w:r>
      <w:r w:rsidR="00492B23" w:rsidRPr="00680448">
        <w:rPr>
          <w:rFonts w:eastAsia="Arial"/>
          <w:b/>
          <w:bCs/>
          <w:color w:val="00616A" w:themeColor="accent2" w:themeShade="BF"/>
          <w:sz w:val="20"/>
          <w:szCs w:val="20"/>
        </w:rPr>
        <w:t>five</w:t>
      </w:r>
      <w:r w:rsidRPr="00680448">
        <w:rPr>
          <w:rFonts w:eastAsia="Arial"/>
          <w:b/>
          <w:bCs/>
          <w:color w:val="00616A" w:themeColor="accent2" w:themeShade="BF"/>
          <w:sz w:val="20"/>
          <w:szCs w:val="20"/>
        </w:rPr>
        <w:t xml:space="preserve">-day to </w:t>
      </w:r>
      <w:r w:rsidR="00492B23" w:rsidRPr="00680448">
        <w:rPr>
          <w:rFonts w:eastAsia="Arial"/>
          <w:b/>
          <w:bCs/>
          <w:color w:val="00616A" w:themeColor="accent2" w:themeShade="BF"/>
          <w:sz w:val="20"/>
          <w:szCs w:val="20"/>
        </w:rPr>
        <w:t>four</w:t>
      </w:r>
      <w:r w:rsidRPr="00680448">
        <w:rPr>
          <w:rFonts w:eastAsia="Arial"/>
          <w:b/>
          <w:bCs/>
          <w:color w:val="00616A" w:themeColor="accent2" w:themeShade="BF"/>
          <w:sz w:val="20"/>
          <w:szCs w:val="20"/>
        </w:rPr>
        <w:t>-day working week. (AC 3.3)</w:t>
      </w:r>
    </w:p>
    <w:p w14:paraId="63B6B3E1" w14:textId="77777777" w:rsidR="006521BD" w:rsidRDefault="00FD6185" w:rsidP="000D7771">
      <w:pPr>
        <w:pStyle w:val="Nornal"/>
        <w:jc w:val="left"/>
        <w:rPr>
          <w:color w:val="auto"/>
          <w:sz w:val="20"/>
          <w:szCs w:val="20"/>
        </w:rPr>
      </w:pPr>
      <w:r w:rsidRPr="006521BD">
        <w:rPr>
          <w:color w:val="auto"/>
          <w:sz w:val="20"/>
          <w:szCs w:val="20"/>
        </w:rPr>
        <w:lastRenderedPageBreak/>
        <w:t xml:space="preserve">Introducing a four-day working week is a significant change for any </w:t>
      </w:r>
      <w:r w:rsidR="002847CB" w:rsidRPr="006521BD">
        <w:rPr>
          <w:color w:val="auto"/>
          <w:sz w:val="20"/>
          <w:szCs w:val="20"/>
        </w:rPr>
        <w:t>organisation</w:t>
      </w:r>
      <w:r w:rsidRPr="006521BD">
        <w:rPr>
          <w:color w:val="auto"/>
          <w:sz w:val="20"/>
          <w:szCs w:val="20"/>
        </w:rPr>
        <w:t xml:space="preserve">, and the people function must effectively consult and engage with both managers and employees to understand their needs and ensure a smooth transition. By using structured processes to gather insights and address concerns, HR can foster acceptance, identify potential challenges, and align the change with </w:t>
      </w:r>
      <w:r w:rsidR="002847CB" w:rsidRPr="006521BD">
        <w:rPr>
          <w:color w:val="auto"/>
          <w:sz w:val="20"/>
          <w:szCs w:val="20"/>
        </w:rPr>
        <w:t>organisation</w:t>
      </w:r>
      <w:r w:rsidRPr="006521BD">
        <w:rPr>
          <w:color w:val="auto"/>
          <w:sz w:val="20"/>
          <w:szCs w:val="20"/>
        </w:rPr>
        <w:t>al goals</w:t>
      </w:r>
      <w:r w:rsidR="006521BD">
        <w:rPr>
          <w:color w:val="auto"/>
          <w:sz w:val="20"/>
          <w:szCs w:val="20"/>
        </w:rPr>
        <w:t>.</w:t>
      </w:r>
    </w:p>
    <w:p w14:paraId="1FFD91FA" w14:textId="20186A67" w:rsidR="00FD6185" w:rsidRPr="006521BD" w:rsidRDefault="00FD6185" w:rsidP="000D7771">
      <w:pPr>
        <w:pStyle w:val="Nornal"/>
        <w:jc w:val="left"/>
        <w:rPr>
          <w:color w:val="auto"/>
          <w:sz w:val="20"/>
          <w:szCs w:val="20"/>
        </w:rPr>
      </w:pPr>
      <w:r w:rsidRPr="006521BD">
        <w:rPr>
          <w:color w:val="auto"/>
          <w:sz w:val="20"/>
          <w:szCs w:val="20"/>
        </w:rPr>
        <w:t>The first step in the process is to engage with managers, as they will play a crucial role in implementing the new working model. People professionals can conduct structured consultations, such as workshops, focus groups, or one-on-one meetings, to understand managers’ perspectives on the potential impacts of a four-day working week. These discussions should explore concerns around productivity, performance monitoring, and team dynamics (Armstrong, 2020). Managers may also have insights into how the change could impact customer service, project timelines, and operational efficiency.</w:t>
      </w:r>
    </w:p>
    <w:p w14:paraId="3816F6F6" w14:textId="77777777" w:rsidR="006521BD" w:rsidRPr="006521BD" w:rsidRDefault="00FD6185" w:rsidP="000D7771">
      <w:pPr>
        <w:pStyle w:val="Nornal"/>
        <w:jc w:val="left"/>
        <w:rPr>
          <w:color w:val="auto"/>
          <w:sz w:val="20"/>
          <w:szCs w:val="20"/>
        </w:rPr>
      </w:pPr>
      <w:r w:rsidRPr="006521BD">
        <w:rPr>
          <w:color w:val="auto"/>
          <w:sz w:val="20"/>
          <w:szCs w:val="20"/>
        </w:rPr>
        <w:t>HR should also ensure managers are involved in setting clear expectations for the transition, defining measurable outcomes, and determining how to adjust workflows to maintain productivity. As recommended by Ulrich (1997), people professionals should position managers as key drivers of change by providing them with the resources and training necessary to manage teams in this new environment.</w:t>
      </w:r>
    </w:p>
    <w:p w14:paraId="722F7391" w14:textId="76E7DD05" w:rsidR="00FD6185" w:rsidRPr="006521BD" w:rsidRDefault="00FD6185" w:rsidP="000D7771">
      <w:pPr>
        <w:pStyle w:val="Nornal"/>
        <w:jc w:val="left"/>
        <w:rPr>
          <w:color w:val="auto"/>
          <w:sz w:val="20"/>
          <w:szCs w:val="20"/>
        </w:rPr>
      </w:pPr>
      <w:r w:rsidRPr="006521BD">
        <w:rPr>
          <w:color w:val="auto"/>
          <w:sz w:val="20"/>
          <w:szCs w:val="20"/>
        </w:rPr>
        <w:t>Employee consultation is equally important, as they are the ones directly affected by the change. A transparent and inclusive communication strategy can help build trust and ensure that employees feel heard and supported. People functions could use surveys, town hall meetings, or employee forums to gather feedback on how the change might impact work-life balance, job satisfaction, and wellbeing (CIPD, 2020). Open-ended questions in surveys can help uncover specific needs, such as flexibility in how the four-day week is structured (e.g., longer hours on four days vs. reducing hours per day).</w:t>
      </w:r>
    </w:p>
    <w:p w14:paraId="00B1ACEC" w14:textId="77777777" w:rsidR="006521BD" w:rsidRDefault="00FD6185" w:rsidP="000D7771">
      <w:pPr>
        <w:pStyle w:val="Nornal"/>
        <w:jc w:val="left"/>
        <w:rPr>
          <w:color w:val="auto"/>
          <w:sz w:val="20"/>
          <w:szCs w:val="20"/>
        </w:rPr>
      </w:pPr>
      <w:r w:rsidRPr="006521BD">
        <w:rPr>
          <w:color w:val="auto"/>
          <w:sz w:val="20"/>
          <w:szCs w:val="20"/>
        </w:rPr>
        <w:t>Additionally, HR should ensure that the employee engagement process is inclusive, allowing employees from diverse roles and departments to voice their concerns and preferences. Engaging with employee representatives or union bodies (if applicable) can provide additional insights into collective concerns and help facilitate smoother communication (Boxall &amp; Purcell, 2016).</w:t>
      </w:r>
    </w:p>
    <w:p w14:paraId="29A8827F" w14:textId="77777777" w:rsidR="006521BD" w:rsidRDefault="00FD6185" w:rsidP="000D7771">
      <w:pPr>
        <w:pStyle w:val="Nornal"/>
        <w:jc w:val="left"/>
        <w:rPr>
          <w:color w:val="auto"/>
          <w:sz w:val="20"/>
          <w:szCs w:val="20"/>
        </w:rPr>
      </w:pPr>
      <w:r w:rsidRPr="006521BD">
        <w:rPr>
          <w:color w:val="auto"/>
          <w:sz w:val="20"/>
          <w:szCs w:val="20"/>
        </w:rPr>
        <w:t xml:space="preserve">Once feedback has been collected from both managers and employees, HR can initiate pilot programs to test the new working structure. These trials allow the </w:t>
      </w:r>
      <w:r w:rsidR="002847CB" w:rsidRPr="006521BD">
        <w:rPr>
          <w:color w:val="auto"/>
          <w:sz w:val="20"/>
          <w:szCs w:val="20"/>
        </w:rPr>
        <w:t>organisation</w:t>
      </w:r>
      <w:r w:rsidRPr="006521BD">
        <w:rPr>
          <w:color w:val="auto"/>
          <w:sz w:val="20"/>
          <w:szCs w:val="20"/>
        </w:rPr>
        <w:t xml:space="preserve"> to identify any issues in real-time and make adjustments before full-scale implementation. Pilot groups could be selected across different departments to ensure that feedback is representative of the broader </w:t>
      </w:r>
      <w:r w:rsidR="002847CB" w:rsidRPr="006521BD">
        <w:rPr>
          <w:color w:val="auto"/>
          <w:sz w:val="20"/>
          <w:szCs w:val="20"/>
        </w:rPr>
        <w:t>organisation</w:t>
      </w:r>
      <w:r w:rsidRPr="006521BD">
        <w:rPr>
          <w:color w:val="auto"/>
          <w:sz w:val="20"/>
          <w:szCs w:val="20"/>
        </w:rPr>
        <w:t>. Regular feedback sessions during the pilot phase are essential for refining the approach and addressing any unforeseen challenges (Armstrong, 2020).</w:t>
      </w:r>
    </w:p>
    <w:p w14:paraId="34864B89" w14:textId="63A7710A" w:rsidR="00FD6185" w:rsidRPr="006521BD" w:rsidRDefault="00FD6185" w:rsidP="000D7771">
      <w:pPr>
        <w:pStyle w:val="Nornal"/>
        <w:jc w:val="left"/>
        <w:rPr>
          <w:color w:val="auto"/>
          <w:sz w:val="20"/>
          <w:szCs w:val="20"/>
        </w:rPr>
      </w:pPr>
      <w:r w:rsidRPr="006521BD">
        <w:rPr>
          <w:color w:val="auto"/>
          <w:sz w:val="20"/>
          <w:szCs w:val="20"/>
        </w:rPr>
        <w:t xml:space="preserve">Throughout the transition, continuous communication is vital. People professionals should provide regular updates to both managers and employees on the progress of the transition and any adjustments based on feedback. Engaging employees in regular feedback loops will help the </w:t>
      </w:r>
      <w:r w:rsidR="002847CB" w:rsidRPr="006521BD">
        <w:rPr>
          <w:color w:val="auto"/>
          <w:sz w:val="20"/>
          <w:szCs w:val="20"/>
        </w:rPr>
        <w:t>organisation</w:t>
      </w:r>
      <w:r w:rsidRPr="006521BD">
        <w:rPr>
          <w:color w:val="auto"/>
          <w:sz w:val="20"/>
          <w:szCs w:val="20"/>
        </w:rPr>
        <w:t xml:space="preserve"> refine the four-day working week model to meet both employee needs and </w:t>
      </w:r>
      <w:r w:rsidR="002847CB" w:rsidRPr="006521BD">
        <w:rPr>
          <w:color w:val="auto"/>
          <w:sz w:val="20"/>
          <w:szCs w:val="20"/>
        </w:rPr>
        <w:t>organisation</w:t>
      </w:r>
      <w:r w:rsidRPr="006521BD">
        <w:rPr>
          <w:color w:val="auto"/>
          <w:sz w:val="20"/>
          <w:szCs w:val="20"/>
        </w:rPr>
        <w:t>al objectives (CIPD, 2020).</w:t>
      </w:r>
    </w:p>
    <w:p w14:paraId="1F0C857D" w14:textId="1EB81253" w:rsidR="00FD6185" w:rsidRPr="006521BD" w:rsidRDefault="00FD6185" w:rsidP="000D7771">
      <w:pPr>
        <w:pStyle w:val="Nornal"/>
        <w:jc w:val="left"/>
        <w:rPr>
          <w:color w:val="auto"/>
          <w:sz w:val="20"/>
          <w:szCs w:val="20"/>
        </w:rPr>
      </w:pPr>
      <w:r w:rsidRPr="006521BD">
        <w:rPr>
          <w:color w:val="auto"/>
          <w:sz w:val="20"/>
          <w:szCs w:val="20"/>
        </w:rPr>
        <w:t xml:space="preserve">By engaging both managers and employees early and continuously throughout the transition, HR can help ensure that the switch to a four-day working week is successful and benefits the entire </w:t>
      </w:r>
      <w:r w:rsidR="002847CB" w:rsidRPr="006521BD">
        <w:rPr>
          <w:color w:val="auto"/>
          <w:sz w:val="20"/>
          <w:szCs w:val="20"/>
        </w:rPr>
        <w:t>organisation</w:t>
      </w:r>
      <w:r w:rsidRPr="006521BD">
        <w:rPr>
          <w:color w:val="auto"/>
          <w:sz w:val="20"/>
          <w:szCs w:val="20"/>
        </w:rPr>
        <w:t>.</w:t>
      </w:r>
    </w:p>
    <w:p w14:paraId="50F320D8" w14:textId="386C13DF" w:rsidR="001E4F5C" w:rsidRPr="000D7771" w:rsidRDefault="001E4F5C" w:rsidP="000D7771">
      <w:pPr>
        <w:pStyle w:val="Nornal"/>
        <w:rPr>
          <w:rFonts w:eastAsia="Times New Roman"/>
          <w:sz w:val="20"/>
          <w:szCs w:val="20"/>
          <w:lang w:eastAsia="en-GB"/>
        </w:rPr>
      </w:pPr>
    </w:p>
    <w:p w14:paraId="5B0496C2" w14:textId="2BC79DC2" w:rsidR="002B269E" w:rsidRPr="00680448" w:rsidRDefault="008F2FD2" w:rsidP="000D7771">
      <w:pPr>
        <w:pStyle w:val="Nornal"/>
        <w:rPr>
          <w:b/>
          <w:bCs/>
          <w:color w:val="00616A" w:themeColor="accent2" w:themeShade="BF"/>
          <w:sz w:val="20"/>
          <w:szCs w:val="20"/>
          <w:lang w:eastAsia="en-GB"/>
        </w:rPr>
      </w:pPr>
      <w:r w:rsidRPr="00680448">
        <w:rPr>
          <w:b/>
          <w:bCs/>
          <w:color w:val="00616A" w:themeColor="accent2" w:themeShade="BF"/>
          <w:sz w:val="20"/>
          <w:szCs w:val="20"/>
          <w:lang w:eastAsia="en-GB"/>
        </w:rPr>
        <w:t>R</w:t>
      </w:r>
      <w:r w:rsidR="001E4F5C" w:rsidRPr="00680448">
        <w:rPr>
          <w:b/>
          <w:bCs/>
          <w:color w:val="00616A" w:themeColor="accent2" w:themeShade="BF"/>
          <w:sz w:val="20"/>
          <w:szCs w:val="20"/>
          <w:lang w:eastAsia="en-GB"/>
        </w:rPr>
        <w:t>eference List</w:t>
      </w:r>
    </w:p>
    <w:p w14:paraId="5A1867EB" w14:textId="77777777" w:rsidR="002B269E" w:rsidRPr="000D7771" w:rsidRDefault="002B269E" w:rsidP="00F33E1B">
      <w:pPr>
        <w:pStyle w:val="Nornal"/>
        <w:jc w:val="left"/>
        <w:rPr>
          <w:sz w:val="20"/>
          <w:szCs w:val="20"/>
        </w:rPr>
      </w:pPr>
      <w:r w:rsidRPr="000D7771">
        <w:rPr>
          <w:sz w:val="20"/>
          <w:szCs w:val="20"/>
        </w:rPr>
        <w:t xml:space="preserve">Aguinis, H. (2013). </w:t>
      </w:r>
      <w:r w:rsidRPr="000D7771">
        <w:rPr>
          <w:i/>
          <w:iCs/>
          <w:sz w:val="20"/>
          <w:szCs w:val="20"/>
        </w:rPr>
        <w:t>Performance management</w:t>
      </w:r>
      <w:r w:rsidRPr="000D7771">
        <w:rPr>
          <w:sz w:val="20"/>
          <w:szCs w:val="20"/>
        </w:rPr>
        <w:t>. Harlow, Essex: Pearson.</w:t>
      </w:r>
    </w:p>
    <w:p w14:paraId="75577B3C" w14:textId="77777777" w:rsidR="002B269E" w:rsidRPr="000D7771" w:rsidRDefault="002B269E" w:rsidP="00F33E1B">
      <w:pPr>
        <w:pStyle w:val="Nornal"/>
        <w:jc w:val="left"/>
        <w:rPr>
          <w:sz w:val="20"/>
          <w:szCs w:val="20"/>
        </w:rPr>
      </w:pPr>
      <w:r w:rsidRPr="000D7771">
        <w:rPr>
          <w:sz w:val="20"/>
          <w:szCs w:val="20"/>
        </w:rPr>
        <w:t xml:space="preserve">Armstrong, M. and Taylor, S. (2020). </w:t>
      </w:r>
      <w:r w:rsidRPr="000D7771">
        <w:rPr>
          <w:i/>
          <w:iCs/>
          <w:sz w:val="20"/>
          <w:szCs w:val="20"/>
        </w:rPr>
        <w:t>Armstrong’s Handbook of Human Resource Management Practice</w:t>
      </w:r>
      <w:r w:rsidRPr="000D7771">
        <w:rPr>
          <w:sz w:val="20"/>
          <w:szCs w:val="20"/>
        </w:rPr>
        <w:t>. 15th ed. Kogan Page.</w:t>
      </w:r>
    </w:p>
    <w:p w14:paraId="381F96F9" w14:textId="77777777" w:rsidR="002B269E" w:rsidRPr="000D7771" w:rsidRDefault="002B269E" w:rsidP="00F33E1B">
      <w:pPr>
        <w:pStyle w:val="Nornal"/>
        <w:jc w:val="left"/>
        <w:rPr>
          <w:sz w:val="20"/>
          <w:szCs w:val="20"/>
        </w:rPr>
      </w:pPr>
      <w:r w:rsidRPr="000D7771">
        <w:rPr>
          <w:sz w:val="20"/>
          <w:szCs w:val="20"/>
        </w:rPr>
        <w:t xml:space="preserve">Becker, B.E. and Huselid, M.A. (2006). Strategic Human Resources Management: Where Do We Go from Here? </w:t>
      </w:r>
      <w:r w:rsidRPr="000D7771">
        <w:rPr>
          <w:i/>
          <w:iCs/>
          <w:sz w:val="20"/>
          <w:szCs w:val="20"/>
        </w:rPr>
        <w:t>Journal of Management</w:t>
      </w:r>
      <w:r w:rsidRPr="000D7771">
        <w:rPr>
          <w:sz w:val="20"/>
          <w:szCs w:val="20"/>
        </w:rPr>
        <w:t>, 32(6), pp.898–925. doi:https://doi.org/10.1177/0149206306293668.</w:t>
      </w:r>
    </w:p>
    <w:p w14:paraId="2EEF90C5" w14:textId="77777777" w:rsidR="002B269E" w:rsidRPr="000D7771" w:rsidRDefault="002B269E" w:rsidP="00F33E1B">
      <w:pPr>
        <w:pStyle w:val="Nornal"/>
        <w:jc w:val="left"/>
        <w:rPr>
          <w:sz w:val="20"/>
          <w:szCs w:val="20"/>
        </w:rPr>
      </w:pPr>
      <w:r w:rsidRPr="000D7771">
        <w:rPr>
          <w:sz w:val="20"/>
          <w:szCs w:val="20"/>
        </w:rPr>
        <w:t xml:space="preserve">Boxall, P. and Purcell, J. (2016). </w:t>
      </w:r>
      <w:r w:rsidRPr="000D7771">
        <w:rPr>
          <w:i/>
          <w:iCs/>
          <w:sz w:val="20"/>
          <w:szCs w:val="20"/>
        </w:rPr>
        <w:t>Strategy and Human Resource Management</w:t>
      </w:r>
      <w:r w:rsidRPr="000D7771">
        <w:rPr>
          <w:sz w:val="20"/>
          <w:szCs w:val="20"/>
        </w:rPr>
        <w:t>. 4th ed. Basingstoke, Hampshire: Palgrave Macmillan.</w:t>
      </w:r>
    </w:p>
    <w:p w14:paraId="3791A5E4" w14:textId="77777777" w:rsidR="002B269E" w:rsidRPr="000D7771" w:rsidRDefault="002B269E" w:rsidP="00F33E1B">
      <w:pPr>
        <w:pStyle w:val="Nornal"/>
        <w:jc w:val="left"/>
        <w:rPr>
          <w:sz w:val="20"/>
          <w:szCs w:val="20"/>
        </w:rPr>
      </w:pPr>
      <w:r w:rsidRPr="000D7771">
        <w:rPr>
          <w:sz w:val="20"/>
          <w:szCs w:val="20"/>
        </w:rPr>
        <w:t xml:space="preserve">Bridges, W. (2009). </w:t>
      </w:r>
      <w:r w:rsidRPr="000D7771">
        <w:rPr>
          <w:i/>
          <w:iCs/>
          <w:sz w:val="20"/>
          <w:szCs w:val="20"/>
        </w:rPr>
        <w:t>Managing transitions: Making the Most of Change</w:t>
      </w:r>
      <w:r w:rsidRPr="000D7771">
        <w:rPr>
          <w:sz w:val="20"/>
          <w:szCs w:val="20"/>
        </w:rPr>
        <w:t>. London: Nicholas Brealey Publishing.</w:t>
      </w:r>
    </w:p>
    <w:p w14:paraId="6995EAE0" w14:textId="77777777" w:rsidR="002B269E" w:rsidRPr="000D7771" w:rsidRDefault="002B269E" w:rsidP="00F33E1B">
      <w:pPr>
        <w:pStyle w:val="Nornal"/>
        <w:jc w:val="left"/>
        <w:rPr>
          <w:sz w:val="20"/>
          <w:szCs w:val="20"/>
        </w:rPr>
      </w:pPr>
      <w:r w:rsidRPr="000D7771">
        <w:rPr>
          <w:sz w:val="20"/>
          <w:szCs w:val="20"/>
        </w:rPr>
        <w:t xml:space="preserve">CIPD (2020). </w:t>
      </w:r>
      <w:r w:rsidRPr="000D7771">
        <w:rPr>
          <w:i/>
          <w:iCs/>
          <w:sz w:val="20"/>
          <w:szCs w:val="20"/>
        </w:rPr>
        <w:t>The Employee Lifecycle</w:t>
      </w:r>
      <w:r w:rsidRPr="000D7771">
        <w:rPr>
          <w:sz w:val="20"/>
          <w:szCs w:val="20"/>
        </w:rPr>
        <w:t>. [online] CIPD. Available at: https://www.cipd.co.uk [Accessed 7 Feb. 2025].</w:t>
      </w:r>
    </w:p>
    <w:p w14:paraId="3760856B" w14:textId="77777777" w:rsidR="002B269E" w:rsidRPr="000D7771" w:rsidRDefault="002B269E" w:rsidP="00F33E1B">
      <w:pPr>
        <w:pStyle w:val="Nornal"/>
        <w:jc w:val="left"/>
        <w:rPr>
          <w:sz w:val="20"/>
          <w:szCs w:val="20"/>
        </w:rPr>
      </w:pPr>
      <w:r w:rsidRPr="000D7771">
        <w:rPr>
          <w:sz w:val="20"/>
          <w:szCs w:val="20"/>
        </w:rPr>
        <w:lastRenderedPageBreak/>
        <w:t xml:space="preserve">CIPD (2023). </w:t>
      </w:r>
      <w:r w:rsidRPr="000D7771">
        <w:rPr>
          <w:i/>
          <w:iCs/>
          <w:sz w:val="20"/>
          <w:szCs w:val="20"/>
        </w:rPr>
        <w:t>Health and Wellbeing at Work Survey 2023</w:t>
      </w:r>
      <w:r w:rsidRPr="000D7771">
        <w:rPr>
          <w:sz w:val="20"/>
          <w:szCs w:val="20"/>
        </w:rPr>
        <w:t>. [online] Chartered Institute of Personnel and Development. Available at: https://www.cipd.co.uk [Accessed 5 Feb. 2025].</w:t>
      </w:r>
    </w:p>
    <w:p w14:paraId="0CEB1EE2" w14:textId="77777777" w:rsidR="002B269E" w:rsidRPr="000D7771" w:rsidRDefault="002B269E" w:rsidP="00F33E1B">
      <w:pPr>
        <w:pStyle w:val="Nornal"/>
        <w:jc w:val="left"/>
        <w:rPr>
          <w:sz w:val="20"/>
          <w:szCs w:val="20"/>
        </w:rPr>
      </w:pPr>
      <w:r w:rsidRPr="000D7771">
        <w:rPr>
          <w:sz w:val="20"/>
          <w:szCs w:val="20"/>
        </w:rPr>
        <w:t xml:space="preserve">Danna, K. and Griffin, R.W. (1999). Health and Well-Being in the Workplace: A Review and Synthesis of the Literature. </w:t>
      </w:r>
      <w:r w:rsidRPr="000D7771">
        <w:rPr>
          <w:i/>
          <w:iCs/>
          <w:sz w:val="20"/>
          <w:szCs w:val="20"/>
        </w:rPr>
        <w:t>Journal of Management</w:t>
      </w:r>
      <w:r w:rsidRPr="000D7771">
        <w:rPr>
          <w:sz w:val="20"/>
          <w:szCs w:val="20"/>
        </w:rPr>
        <w:t>, 25(3), pp.357–384. doi:https://doi.org/10.1177/014920639902500305.</w:t>
      </w:r>
    </w:p>
    <w:p w14:paraId="330C82BE" w14:textId="77777777" w:rsidR="002B269E" w:rsidRPr="000D7771" w:rsidRDefault="002B269E" w:rsidP="00F33E1B">
      <w:pPr>
        <w:pStyle w:val="Nornal"/>
        <w:jc w:val="left"/>
        <w:rPr>
          <w:sz w:val="20"/>
          <w:szCs w:val="20"/>
        </w:rPr>
      </w:pPr>
      <w:r w:rsidRPr="000D7771">
        <w:rPr>
          <w:sz w:val="20"/>
          <w:szCs w:val="20"/>
        </w:rPr>
        <w:t xml:space="preserve">Drucker, P. (2012). </w:t>
      </w:r>
      <w:r w:rsidRPr="000D7771">
        <w:rPr>
          <w:i/>
          <w:iCs/>
          <w:sz w:val="20"/>
          <w:szCs w:val="20"/>
        </w:rPr>
        <w:t>Management Challenges for the 21st Century</w:t>
      </w:r>
      <w:r w:rsidRPr="000D7771">
        <w:rPr>
          <w:sz w:val="20"/>
          <w:szCs w:val="20"/>
        </w:rPr>
        <w:t>. Routledge.</w:t>
      </w:r>
    </w:p>
    <w:p w14:paraId="0200872C" w14:textId="32A49114" w:rsidR="002B269E" w:rsidRPr="000D7771" w:rsidRDefault="002B269E" w:rsidP="00F33E1B">
      <w:pPr>
        <w:pStyle w:val="Nornal"/>
        <w:jc w:val="left"/>
        <w:rPr>
          <w:sz w:val="20"/>
          <w:szCs w:val="20"/>
        </w:rPr>
      </w:pPr>
      <w:r w:rsidRPr="000D7771">
        <w:rPr>
          <w:sz w:val="20"/>
          <w:szCs w:val="20"/>
        </w:rPr>
        <w:t xml:space="preserve">Galbraith, J.R. (2002). </w:t>
      </w:r>
      <w:r w:rsidRPr="000D7771">
        <w:rPr>
          <w:i/>
          <w:iCs/>
          <w:sz w:val="20"/>
          <w:szCs w:val="20"/>
        </w:rPr>
        <w:t xml:space="preserve">Designing </w:t>
      </w:r>
      <w:r w:rsidR="002847CB">
        <w:rPr>
          <w:i/>
          <w:iCs/>
          <w:sz w:val="20"/>
          <w:szCs w:val="20"/>
        </w:rPr>
        <w:t>Organisations</w:t>
      </w:r>
      <w:r w:rsidRPr="000D7771">
        <w:rPr>
          <w:i/>
          <w:iCs/>
          <w:sz w:val="20"/>
          <w:szCs w:val="20"/>
        </w:rPr>
        <w:t xml:space="preserve"> : an Executive Guide to Strategy, Structure, and Process</w:t>
      </w:r>
      <w:r w:rsidRPr="000D7771">
        <w:rPr>
          <w:sz w:val="20"/>
          <w:szCs w:val="20"/>
        </w:rPr>
        <w:t>. San Francisco: Jossey-Bass &amp; Pfeiffer Imprints, Wiley.</w:t>
      </w:r>
    </w:p>
    <w:p w14:paraId="694E55C9" w14:textId="77777777" w:rsidR="002B269E" w:rsidRPr="000D7771" w:rsidRDefault="002B269E" w:rsidP="00F33E1B">
      <w:pPr>
        <w:pStyle w:val="Nornal"/>
        <w:jc w:val="left"/>
        <w:rPr>
          <w:sz w:val="20"/>
          <w:szCs w:val="20"/>
        </w:rPr>
      </w:pPr>
      <w:r w:rsidRPr="000D7771">
        <w:rPr>
          <w:sz w:val="20"/>
          <w:szCs w:val="20"/>
        </w:rPr>
        <w:t xml:space="preserve">Georgiadis, P. (2024). </w:t>
      </w:r>
      <w:r w:rsidRPr="000D7771">
        <w:rPr>
          <w:i/>
          <w:iCs/>
          <w:sz w:val="20"/>
          <w:szCs w:val="20"/>
        </w:rPr>
        <w:t>British Airways to suspend flights to Beijing as Russia diversion adds costs</w:t>
      </w:r>
      <w:r w:rsidRPr="000D7771">
        <w:rPr>
          <w:sz w:val="20"/>
          <w:szCs w:val="20"/>
        </w:rPr>
        <w:t>. [online] Financial Times. Available at: https://www.ft.com/content/e752eefb-7685-480c-aec3-027ee98a47bf [Accessed 7 Feb. 2025].</w:t>
      </w:r>
    </w:p>
    <w:p w14:paraId="7D3DDFB4" w14:textId="39B91D96" w:rsidR="002B269E" w:rsidRPr="000D7771" w:rsidRDefault="002B269E" w:rsidP="00F33E1B">
      <w:pPr>
        <w:pStyle w:val="Nornal"/>
        <w:jc w:val="left"/>
        <w:rPr>
          <w:sz w:val="20"/>
          <w:szCs w:val="20"/>
        </w:rPr>
      </w:pPr>
      <w:r w:rsidRPr="000D7771">
        <w:rPr>
          <w:sz w:val="20"/>
          <w:szCs w:val="20"/>
        </w:rPr>
        <w:t xml:space="preserve">Goold, M. and Campbell, A. (2002). </w:t>
      </w:r>
      <w:r w:rsidRPr="000D7771">
        <w:rPr>
          <w:i/>
          <w:iCs/>
          <w:sz w:val="20"/>
          <w:szCs w:val="20"/>
        </w:rPr>
        <w:t xml:space="preserve">Designing Effective </w:t>
      </w:r>
      <w:r w:rsidR="002847CB">
        <w:rPr>
          <w:i/>
          <w:iCs/>
          <w:sz w:val="20"/>
          <w:szCs w:val="20"/>
        </w:rPr>
        <w:t>Organisations</w:t>
      </w:r>
      <w:r w:rsidRPr="000D7771">
        <w:rPr>
          <w:i/>
          <w:iCs/>
          <w:sz w:val="20"/>
          <w:szCs w:val="20"/>
        </w:rPr>
        <w:t xml:space="preserve"> : How to Create Structured Networks</w:t>
      </w:r>
      <w:r w:rsidRPr="000D7771">
        <w:rPr>
          <w:sz w:val="20"/>
          <w:szCs w:val="20"/>
        </w:rPr>
        <w:t>. San Francisco: Jossey-Bass.</w:t>
      </w:r>
    </w:p>
    <w:p w14:paraId="49BBEB82" w14:textId="77777777" w:rsidR="002B269E" w:rsidRPr="000D7771" w:rsidRDefault="002B269E" w:rsidP="00F33E1B">
      <w:pPr>
        <w:pStyle w:val="Nornal"/>
        <w:jc w:val="left"/>
        <w:rPr>
          <w:sz w:val="20"/>
          <w:szCs w:val="20"/>
        </w:rPr>
      </w:pPr>
      <w:r w:rsidRPr="000D7771">
        <w:rPr>
          <w:sz w:val="20"/>
          <w:szCs w:val="20"/>
        </w:rPr>
        <w:t xml:space="preserve">Green, F. (2006). </w:t>
      </w:r>
      <w:r w:rsidRPr="000D7771">
        <w:rPr>
          <w:i/>
          <w:iCs/>
          <w:sz w:val="20"/>
          <w:szCs w:val="20"/>
        </w:rPr>
        <w:t>Demanding work : the paradox of job quality in the affluent economy</w:t>
      </w:r>
      <w:r w:rsidRPr="000D7771">
        <w:rPr>
          <w:sz w:val="20"/>
          <w:szCs w:val="20"/>
        </w:rPr>
        <w:t>. Princeton: Princeton University Press.</w:t>
      </w:r>
    </w:p>
    <w:p w14:paraId="4946C274" w14:textId="77777777" w:rsidR="002B269E" w:rsidRPr="000D7771" w:rsidRDefault="002B269E" w:rsidP="00F33E1B">
      <w:pPr>
        <w:pStyle w:val="Nornal"/>
        <w:jc w:val="left"/>
        <w:rPr>
          <w:sz w:val="20"/>
          <w:szCs w:val="20"/>
        </w:rPr>
      </w:pPr>
      <w:r w:rsidRPr="000D7771">
        <w:rPr>
          <w:sz w:val="20"/>
          <w:szCs w:val="20"/>
        </w:rPr>
        <w:t xml:space="preserve">Griffith, C. (2025). </w:t>
      </w:r>
      <w:r w:rsidRPr="000D7771">
        <w:rPr>
          <w:i/>
          <w:iCs/>
          <w:sz w:val="20"/>
          <w:szCs w:val="20"/>
        </w:rPr>
        <w:t>Robotic recruiters to be unleashed in Workday upgrade</w:t>
      </w:r>
      <w:r w:rsidRPr="000D7771">
        <w:rPr>
          <w:sz w:val="20"/>
          <w:szCs w:val="20"/>
        </w:rPr>
        <w:t>. [online] The Australian. Available at: https://www.theaustralian.com.au/business/technology/robotic-recruiters-to-take-world-by-storm-as-workday-unleashes-upgrade/news-story/fa4b6f99f244e6cf24c014a2de42f074 [Accessed 8 Feb. 2025].</w:t>
      </w:r>
    </w:p>
    <w:p w14:paraId="3A9EA905" w14:textId="77777777" w:rsidR="002B269E" w:rsidRPr="000D7771" w:rsidRDefault="002B269E" w:rsidP="00F33E1B">
      <w:pPr>
        <w:pStyle w:val="Nornal"/>
        <w:jc w:val="left"/>
        <w:rPr>
          <w:sz w:val="20"/>
          <w:szCs w:val="20"/>
        </w:rPr>
      </w:pPr>
      <w:r w:rsidRPr="000D7771">
        <w:rPr>
          <w:sz w:val="20"/>
          <w:szCs w:val="20"/>
        </w:rPr>
        <w:t xml:space="preserve">Grugulis, I. and Wilkinson, A. (2002). </w:t>
      </w:r>
      <w:r w:rsidRPr="000D7771">
        <w:rPr>
          <w:i/>
          <w:iCs/>
          <w:sz w:val="20"/>
          <w:szCs w:val="20"/>
        </w:rPr>
        <w:t>Managing Culture at British Airways: Hype, Hope and Reality</w:t>
      </w:r>
      <w:r w:rsidRPr="000D7771">
        <w:rPr>
          <w:sz w:val="20"/>
          <w:szCs w:val="20"/>
        </w:rPr>
        <w:t>. Long Range Planning, pp.179–194.</w:t>
      </w:r>
    </w:p>
    <w:p w14:paraId="73C6E63A" w14:textId="77777777" w:rsidR="002B269E" w:rsidRPr="000D7771" w:rsidRDefault="002B269E" w:rsidP="00F33E1B">
      <w:pPr>
        <w:pStyle w:val="Nornal"/>
        <w:jc w:val="left"/>
        <w:rPr>
          <w:sz w:val="20"/>
          <w:szCs w:val="20"/>
        </w:rPr>
      </w:pPr>
      <w:r w:rsidRPr="000D7771">
        <w:rPr>
          <w:sz w:val="20"/>
          <w:szCs w:val="20"/>
        </w:rPr>
        <w:t xml:space="preserve">Harter, J.K., Schmidt, F.L. and Hayes, T.L. (2002). Business-unit-level Relationship between Employee satisfaction, Employee engagement, and Business outcomes: a meta-analysis. </w:t>
      </w:r>
      <w:r w:rsidRPr="000D7771">
        <w:rPr>
          <w:i/>
          <w:iCs/>
          <w:sz w:val="20"/>
          <w:szCs w:val="20"/>
        </w:rPr>
        <w:t>Journal of Applied Psychology</w:t>
      </w:r>
      <w:r w:rsidRPr="000D7771">
        <w:rPr>
          <w:sz w:val="20"/>
          <w:szCs w:val="20"/>
        </w:rPr>
        <w:t>, [online] 87(2), pp.268–279. Available at: https://www.researchgate.net/publication/11367971_Business-Unit-Level_Relationship_Between_Employee_Satisfaction_Employee_Engagement_and_Business_Outcomes_A_Meta-Analysis [Accessed 7 Feb. 2025].</w:t>
      </w:r>
    </w:p>
    <w:p w14:paraId="307B2EDD" w14:textId="77777777" w:rsidR="002B269E" w:rsidRPr="000D7771" w:rsidRDefault="002B269E" w:rsidP="00F33E1B">
      <w:pPr>
        <w:pStyle w:val="Nornal"/>
        <w:jc w:val="left"/>
        <w:rPr>
          <w:sz w:val="20"/>
          <w:szCs w:val="20"/>
        </w:rPr>
      </w:pPr>
      <w:r w:rsidRPr="000D7771">
        <w:rPr>
          <w:sz w:val="20"/>
          <w:szCs w:val="20"/>
        </w:rPr>
        <w:t xml:space="preserve">Hiatt, J.M. (2006). </w:t>
      </w:r>
      <w:r w:rsidRPr="000D7771">
        <w:rPr>
          <w:i/>
          <w:iCs/>
          <w:sz w:val="20"/>
          <w:szCs w:val="20"/>
        </w:rPr>
        <w:t>ADKAR: A Model for Change in Business, Government, and our Community</w:t>
      </w:r>
      <w:r w:rsidRPr="000D7771">
        <w:rPr>
          <w:sz w:val="20"/>
          <w:szCs w:val="20"/>
        </w:rPr>
        <w:t>. 1st ed. Prosci Learning Center Publications.</w:t>
      </w:r>
    </w:p>
    <w:p w14:paraId="00C1AE6E" w14:textId="77777777" w:rsidR="002B269E" w:rsidRPr="000D7771" w:rsidRDefault="002B269E" w:rsidP="00F33E1B">
      <w:pPr>
        <w:pStyle w:val="Nornal"/>
        <w:jc w:val="left"/>
        <w:rPr>
          <w:sz w:val="20"/>
          <w:szCs w:val="20"/>
        </w:rPr>
      </w:pPr>
      <w:r w:rsidRPr="000D7771">
        <w:rPr>
          <w:sz w:val="20"/>
          <w:szCs w:val="20"/>
        </w:rPr>
        <w:t xml:space="preserve">Kotter, J. (2025). </w:t>
      </w:r>
      <w:r w:rsidRPr="000D7771">
        <w:rPr>
          <w:i/>
          <w:iCs/>
          <w:sz w:val="20"/>
          <w:szCs w:val="20"/>
        </w:rPr>
        <w:t>The 8 Steps for Leading Change</w:t>
      </w:r>
      <w:r w:rsidRPr="000D7771">
        <w:rPr>
          <w:sz w:val="20"/>
          <w:szCs w:val="20"/>
        </w:rPr>
        <w:t>. [online] Kotter. Available at: https://www.kotterinc.com/methodology/8-steps/.</w:t>
      </w:r>
    </w:p>
    <w:p w14:paraId="214D52C8" w14:textId="77777777" w:rsidR="002B269E" w:rsidRPr="000D7771" w:rsidRDefault="002B269E" w:rsidP="00F33E1B">
      <w:pPr>
        <w:pStyle w:val="Nornal"/>
        <w:jc w:val="left"/>
        <w:rPr>
          <w:sz w:val="20"/>
          <w:szCs w:val="20"/>
        </w:rPr>
      </w:pPr>
      <w:r w:rsidRPr="000D7771">
        <w:rPr>
          <w:sz w:val="20"/>
          <w:szCs w:val="20"/>
        </w:rPr>
        <w:t xml:space="preserve">Kotter, J.P. (2012). </w:t>
      </w:r>
      <w:r w:rsidRPr="000D7771">
        <w:rPr>
          <w:i/>
          <w:iCs/>
          <w:sz w:val="20"/>
          <w:szCs w:val="20"/>
        </w:rPr>
        <w:t>Leading Change</w:t>
      </w:r>
      <w:r w:rsidRPr="000D7771">
        <w:rPr>
          <w:sz w:val="20"/>
          <w:szCs w:val="20"/>
        </w:rPr>
        <w:t>. Boston, Massachusetts: Harvard Business Review Press.</w:t>
      </w:r>
    </w:p>
    <w:p w14:paraId="2E6D8B90" w14:textId="77777777" w:rsidR="002B269E" w:rsidRPr="000D7771" w:rsidRDefault="002B269E" w:rsidP="00F33E1B">
      <w:pPr>
        <w:pStyle w:val="Nornal"/>
        <w:jc w:val="left"/>
        <w:rPr>
          <w:sz w:val="20"/>
          <w:szCs w:val="20"/>
        </w:rPr>
      </w:pPr>
      <w:r w:rsidRPr="000D7771">
        <w:rPr>
          <w:sz w:val="20"/>
          <w:szCs w:val="20"/>
        </w:rPr>
        <w:t xml:space="preserve">Kübler-Ross, E. and Kessler, D. (2005). </w:t>
      </w:r>
      <w:r w:rsidRPr="000D7771">
        <w:rPr>
          <w:i/>
          <w:iCs/>
          <w:sz w:val="20"/>
          <w:szCs w:val="20"/>
        </w:rPr>
        <w:t>On Grief &amp; grieving: Finding the Meaning of Grief through the Five Stages of Loss</w:t>
      </w:r>
      <w:r w:rsidRPr="000D7771">
        <w:rPr>
          <w:sz w:val="20"/>
          <w:szCs w:val="20"/>
        </w:rPr>
        <w:t>. New York: Scribner.</w:t>
      </w:r>
    </w:p>
    <w:p w14:paraId="3B8FEE8A" w14:textId="77777777" w:rsidR="002B269E" w:rsidRPr="000D7771" w:rsidRDefault="002B269E" w:rsidP="00F33E1B">
      <w:pPr>
        <w:pStyle w:val="Nornal"/>
        <w:jc w:val="left"/>
        <w:rPr>
          <w:sz w:val="20"/>
          <w:szCs w:val="20"/>
        </w:rPr>
      </w:pPr>
      <w:r w:rsidRPr="000D7771">
        <w:rPr>
          <w:sz w:val="20"/>
          <w:szCs w:val="20"/>
        </w:rPr>
        <w:t xml:space="preserve">Langford, P. (2021). </w:t>
      </w:r>
      <w:r w:rsidRPr="000D7771">
        <w:rPr>
          <w:i/>
          <w:iCs/>
          <w:sz w:val="20"/>
          <w:szCs w:val="20"/>
        </w:rPr>
        <w:t xml:space="preserve">The Importance of Wellbeing Strategies in Driving Engagement </w:t>
      </w:r>
      <w:r w:rsidRPr="000D7771">
        <w:rPr>
          <w:sz w:val="20"/>
          <w:szCs w:val="20"/>
        </w:rPr>
        <w:t>. [online] People Management. Available at: https://www.peoplemanagement.co.uk [Accessed 7 Feb. 2025].</w:t>
      </w:r>
    </w:p>
    <w:p w14:paraId="1BBEF073" w14:textId="77777777" w:rsidR="002B269E" w:rsidRPr="000D7771" w:rsidRDefault="002B269E" w:rsidP="00F33E1B">
      <w:pPr>
        <w:pStyle w:val="Nornal"/>
        <w:jc w:val="left"/>
        <w:rPr>
          <w:sz w:val="20"/>
          <w:szCs w:val="20"/>
        </w:rPr>
      </w:pPr>
      <w:r w:rsidRPr="000D7771">
        <w:rPr>
          <w:sz w:val="20"/>
          <w:szCs w:val="20"/>
        </w:rPr>
        <w:t xml:space="preserve">Lawlor, P. (n.d.). </w:t>
      </w:r>
      <w:r w:rsidRPr="000D7771">
        <w:rPr>
          <w:i/>
          <w:iCs/>
          <w:sz w:val="20"/>
          <w:szCs w:val="20"/>
        </w:rPr>
        <w:t>Factors impacting the global aviation industry</w:t>
      </w:r>
      <w:r w:rsidRPr="000D7771">
        <w:rPr>
          <w:sz w:val="20"/>
          <w:szCs w:val="20"/>
        </w:rPr>
        <w:t>. [online] Investec. Available at: https://www.investec.com/en_za/focus/economy/factors-impacting-the-global-aviation-industry.html [Accessed 7 Feb. 2025].</w:t>
      </w:r>
    </w:p>
    <w:p w14:paraId="071B3283" w14:textId="77777777" w:rsidR="002B269E" w:rsidRPr="000D7771" w:rsidRDefault="002B269E" w:rsidP="00F33E1B">
      <w:pPr>
        <w:pStyle w:val="Nornal"/>
        <w:jc w:val="left"/>
        <w:rPr>
          <w:sz w:val="20"/>
          <w:szCs w:val="20"/>
        </w:rPr>
      </w:pPr>
      <w:r w:rsidRPr="000D7771">
        <w:rPr>
          <w:sz w:val="20"/>
          <w:szCs w:val="20"/>
        </w:rPr>
        <w:t xml:space="preserve">Mind Tools (2008). </w:t>
      </w:r>
      <w:r w:rsidRPr="000D7771">
        <w:rPr>
          <w:i/>
          <w:iCs/>
          <w:sz w:val="20"/>
          <w:szCs w:val="20"/>
        </w:rPr>
        <w:t>David Rock’s SCARF Model</w:t>
      </w:r>
      <w:r w:rsidRPr="000D7771">
        <w:rPr>
          <w:sz w:val="20"/>
          <w:szCs w:val="20"/>
        </w:rPr>
        <w:t>. [online] www.mindtools.com. Available at: https://www.mindtools.com/akswgc0/david-rocks-scarf-model [Accessed 6 Feb. 2025].</w:t>
      </w:r>
    </w:p>
    <w:p w14:paraId="396D910D" w14:textId="77777777" w:rsidR="002B269E" w:rsidRPr="000D7771" w:rsidRDefault="002B269E" w:rsidP="00F33E1B">
      <w:pPr>
        <w:pStyle w:val="Nornal"/>
        <w:jc w:val="left"/>
        <w:rPr>
          <w:sz w:val="20"/>
          <w:szCs w:val="20"/>
        </w:rPr>
      </w:pPr>
      <w:r w:rsidRPr="000D7771">
        <w:rPr>
          <w:sz w:val="20"/>
          <w:szCs w:val="20"/>
        </w:rPr>
        <w:t xml:space="preserve">Mind Tools (2022). </w:t>
      </w:r>
      <w:r w:rsidRPr="000D7771">
        <w:rPr>
          <w:i/>
          <w:iCs/>
          <w:sz w:val="20"/>
          <w:szCs w:val="20"/>
        </w:rPr>
        <w:t>Handy’s Four Types of Culture</w:t>
      </w:r>
      <w:r w:rsidRPr="000D7771">
        <w:rPr>
          <w:sz w:val="20"/>
          <w:szCs w:val="20"/>
        </w:rPr>
        <w:t>. [online] www.mindtools.com. Available at: https://www.mindtools.com/ass7geb/handys-four-types-of-culture [Accessed 6 Feb. 2025].</w:t>
      </w:r>
    </w:p>
    <w:p w14:paraId="3B6261CF" w14:textId="5555D57B" w:rsidR="002B269E" w:rsidRPr="000D7771" w:rsidRDefault="002B269E" w:rsidP="00F33E1B">
      <w:pPr>
        <w:pStyle w:val="Nornal"/>
        <w:jc w:val="left"/>
        <w:rPr>
          <w:sz w:val="20"/>
          <w:szCs w:val="20"/>
        </w:rPr>
      </w:pPr>
      <w:r w:rsidRPr="000D7771">
        <w:rPr>
          <w:sz w:val="20"/>
          <w:szCs w:val="20"/>
        </w:rPr>
        <w:t xml:space="preserve">Mintzberg, H. (1993). </w:t>
      </w:r>
      <w:r w:rsidRPr="000D7771">
        <w:rPr>
          <w:i/>
          <w:iCs/>
          <w:sz w:val="20"/>
          <w:szCs w:val="20"/>
        </w:rPr>
        <w:t xml:space="preserve">Structure in Fives : Designing Effective </w:t>
      </w:r>
      <w:r w:rsidR="002847CB">
        <w:rPr>
          <w:i/>
          <w:iCs/>
          <w:sz w:val="20"/>
          <w:szCs w:val="20"/>
        </w:rPr>
        <w:t>Organisations</w:t>
      </w:r>
      <w:r w:rsidRPr="000D7771">
        <w:rPr>
          <w:sz w:val="20"/>
          <w:szCs w:val="20"/>
        </w:rPr>
        <w:t>. Englewood Cliffs, N.J.: Prentice Hall.</w:t>
      </w:r>
    </w:p>
    <w:p w14:paraId="484F23FB" w14:textId="77777777" w:rsidR="002B269E" w:rsidRPr="000D7771" w:rsidRDefault="002B269E" w:rsidP="00F33E1B">
      <w:pPr>
        <w:pStyle w:val="Nornal"/>
        <w:jc w:val="left"/>
        <w:rPr>
          <w:sz w:val="20"/>
          <w:szCs w:val="20"/>
        </w:rPr>
      </w:pPr>
      <w:r w:rsidRPr="000D7771">
        <w:rPr>
          <w:sz w:val="20"/>
          <w:szCs w:val="20"/>
        </w:rPr>
        <w:t xml:space="preserve">Price, R.H. (1991). Healthy Work: Stress, Productivity, and the Reconstruction of Working Life. Robert Karasek , Töres Theorell. </w:t>
      </w:r>
      <w:r w:rsidRPr="000D7771">
        <w:rPr>
          <w:i/>
          <w:iCs/>
          <w:sz w:val="20"/>
          <w:szCs w:val="20"/>
        </w:rPr>
        <w:t>The Quarterly Review of Biology</w:t>
      </w:r>
      <w:r w:rsidRPr="000D7771">
        <w:rPr>
          <w:sz w:val="20"/>
          <w:szCs w:val="20"/>
        </w:rPr>
        <w:t>, 66(4), pp.525–526. doi:https://doi.org/10.1086/417423.</w:t>
      </w:r>
    </w:p>
    <w:p w14:paraId="1F242F99" w14:textId="77777777" w:rsidR="002B269E" w:rsidRPr="000D7771" w:rsidRDefault="002B269E" w:rsidP="00F33E1B">
      <w:pPr>
        <w:pStyle w:val="Nornal"/>
        <w:jc w:val="left"/>
        <w:rPr>
          <w:sz w:val="20"/>
          <w:szCs w:val="20"/>
        </w:rPr>
      </w:pPr>
      <w:r w:rsidRPr="000D7771">
        <w:rPr>
          <w:sz w:val="20"/>
          <w:szCs w:val="20"/>
        </w:rPr>
        <w:lastRenderedPageBreak/>
        <w:t xml:space="preserve">Rose, K. (2024). </w:t>
      </w:r>
      <w:r w:rsidRPr="000D7771">
        <w:rPr>
          <w:i/>
          <w:iCs/>
          <w:sz w:val="20"/>
          <w:szCs w:val="20"/>
        </w:rPr>
        <w:t>IAG Loyalty Takes Flight with Workday Human Capital Management</w:t>
      </w:r>
      <w:r w:rsidRPr="000D7771">
        <w:rPr>
          <w:sz w:val="20"/>
          <w:szCs w:val="20"/>
        </w:rPr>
        <w:t>. [online] Newsroom | Workday. Available at: https://en-gb.newsroom.workday.com/2024-10-24-IAG-Loyalty-Takes-Flight-with-Workday-Human-Capital-Management [Accessed 7 Feb. 2025].</w:t>
      </w:r>
    </w:p>
    <w:p w14:paraId="4A42CB23" w14:textId="249B795F" w:rsidR="002B269E" w:rsidRPr="000D7771" w:rsidRDefault="002B269E" w:rsidP="00F33E1B">
      <w:pPr>
        <w:pStyle w:val="Nornal"/>
        <w:jc w:val="left"/>
        <w:rPr>
          <w:sz w:val="20"/>
          <w:szCs w:val="20"/>
        </w:rPr>
      </w:pPr>
      <w:r w:rsidRPr="000D7771">
        <w:rPr>
          <w:sz w:val="20"/>
          <w:szCs w:val="20"/>
        </w:rPr>
        <w:t xml:space="preserve">Shuck, B. and Reio, T.G. (2014). Employee Engagement and Well-Being. </w:t>
      </w:r>
      <w:r w:rsidRPr="000D7771">
        <w:rPr>
          <w:i/>
          <w:iCs/>
          <w:sz w:val="20"/>
          <w:szCs w:val="20"/>
        </w:rPr>
        <w:t xml:space="preserve">Journal of Leadership &amp; </w:t>
      </w:r>
      <w:r w:rsidR="002847CB">
        <w:rPr>
          <w:i/>
          <w:iCs/>
          <w:sz w:val="20"/>
          <w:szCs w:val="20"/>
        </w:rPr>
        <w:t>Organisation</w:t>
      </w:r>
      <w:r w:rsidRPr="000D7771">
        <w:rPr>
          <w:i/>
          <w:iCs/>
          <w:sz w:val="20"/>
          <w:szCs w:val="20"/>
        </w:rPr>
        <w:t>al Studies</w:t>
      </w:r>
      <w:r w:rsidRPr="000D7771">
        <w:rPr>
          <w:sz w:val="20"/>
          <w:szCs w:val="20"/>
        </w:rPr>
        <w:t>, [online] 21(1), pp.43–58. doi:https://doi.org/10.1177/1548051813494240.</w:t>
      </w:r>
    </w:p>
    <w:p w14:paraId="7F77CD49" w14:textId="77777777" w:rsidR="002B269E" w:rsidRPr="000D7771" w:rsidRDefault="002B269E" w:rsidP="00F33E1B">
      <w:pPr>
        <w:pStyle w:val="Nornal"/>
        <w:jc w:val="left"/>
        <w:rPr>
          <w:sz w:val="20"/>
          <w:szCs w:val="20"/>
        </w:rPr>
      </w:pPr>
      <w:r w:rsidRPr="000D7771">
        <w:rPr>
          <w:sz w:val="20"/>
          <w:szCs w:val="20"/>
        </w:rPr>
        <w:t xml:space="preserve">Sogabe, T. (2024). </w:t>
      </w:r>
      <w:r w:rsidRPr="000D7771">
        <w:rPr>
          <w:i/>
          <w:iCs/>
          <w:sz w:val="20"/>
          <w:szCs w:val="20"/>
        </w:rPr>
        <w:t>Ascend Consultancy Weekly Team Perspective: The impact of rising interest rates on lease rent</w:t>
      </w:r>
      <w:r w:rsidRPr="000D7771">
        <w:rPr>
          <w:sz w:val="20"/>
          <w:szCs w:val="20"/>
        </w:rPr>
        <w:t>. [online] Cirium. Available at: https://www.cirium.com/thoughtcloud/ascend-consultancy-weekly-team-perspective-impact-of-rising-interest-rates-lease-fees/ [Accessed 7 Feb. 2025].</w:t>
      </w:r>
    </w:p>
    <w:p w14:paraId="320B65FA" w14:textId="77777777" w:rsidR="002B269E" w:rsidRPr="000D7771" w:rsidRDefault="002B269E" w:rsidP="00F33E1B">
      <w:pPr>
        <w:pStyle w:val="Nornal"/>
        <w:jc w:val="left"/>
        <w:rPr>
          <w:sz w:val="20"/>
          <w:szCs w:val="20"/>
        </w:rPr>
      </w:pPr>
      <w:r w:rsidRPr="000D7771">
        <w:rPr>
          <w:sz w:val="20"/>
          <w:szCs w:val="20"/>
        </w:rPr>
        <w:t xml:space="preserve">Ulrich, D. (1997). </w:t>
      </w:r>
      <w:r w:rsidRPr="000D7771">
        <w:rPr>
          <w:i/>
          <w:iCs/>
          <w:sz w:val="20"/>
          <w:szCs w:val="20"/>
        </w:rPr>
        <w:t>Human Resource Champions</w:t>
      </w:r>
      <w:r w:rsidRPr="000D7771">
        <w:rPr>
          <w:sz w:val="20"/>
          <w:szCs w:val="20"/>
        </w:rPr>
        <w:t>. Harvard Business Press.</w:t>
      </w:r>
    </w:p>
    <w:p w14:paraId="7A53F66B" w14:textId="77777777" w:rsidR="002B269E" w:rsidRPr="000D7771" w:rsidRDefault="002B269E" w:rsidP="00F33E1B">
      <w:pPr>
        <w:pStyle w:val="Nornal"/>
        <w:jc w:val="left"/>
        <w:rPr>
          <w:sz w:val="20"/>
          <w:szCs w:val="20"/>
        </w:rPr>
      </w:pPr>
      <w:r w:rsidRPr="000D7771">
        <w:rPr>
          <w:sz w:val="20"/>
          <w:szCs w:val="20"/>
        </w:rPr>
        <w:t xml:space="preserve">Ulrich, D., Younger, J., Brockbank, W. and Ulrich, M. (2012). </w:t>
      </w:r>
      <w:r w:rsidRPr="000D7771">
        <w:rPr>
          <w:i/>
          <w:iCs/>
          <w:sz w:val="20"/>
          <w:szCs w:val="20"/>
        </w:rPr>
        <w:t>HR from the outside : Six Competencies for the Future of Human Resources</w:t>
      </w:r>
      <w:r w:rsidRPr="000D7771">
        <w:rPr>
          <w:sz w:val="20"/>
          <w:szCs w:val="20"/>
        </w:rPr>
        <w:t>. New York, N.Y Mcgraw-Hill Education.</w:t>
      </w:r>
    </w:p>
    <w:p w14:paraId="55799C47" w14:textId="4FEE68CA" w:rsidR="00787484" w:rsidRPr="000D7771" w:rsidRDefault="002B269E" w:rsidP="00F33E1B">
      <w:pPr>
        <w:pStyle w:val="Nornal"/>
        <w:jc w:val="left"/>
        <w:rPr>
          <w:color w:val="FF0000"/>
          <w:sz w:val="20"/>
          <w:szCs w:val="20"/>
        </w:rPr>
      </w:pPr>
      <w:r w:rsidRPr="000D7771">
        <w:rPr>
          <w:sz w:val="20"/>
          <w:szCs w:val="20"/>
        </w:rPr>
        <w:t xml:space="preserve">Warr, P. (2002). </w:t>
      </w:r>
      <w:r w:rsidRPr="000D7771">
        <w:rPr>
          <w:i/>
          <w:iCs/>
          <w:sz w:val="20"/>
          <w:szCs w:val="20"/>
        </w:rPr>
        <w:t>The Study of Well-being, Behaviour and Attitudes.</w:t>
      </w:r>
      <w:r w:rsidRPr="000D7771">
        <w:rPr>
          <w:sz w:val="20"/>
          <w:szCs w:val="20"/>
        </w:rPr>
        <w:t xml:space="preserve"> [online] Research Gate. Available at: https://www.researchgate.net/publication/232453845_The_Study_of_Well-being_Behaviour_and_Attitudes [Accessed 7 Feb. 2025]</w:t>
      </w:r>
      <w:r w:rsidR="008F2FD2" w:rsidRPr="000D7771">
        <w:rPr>
          <w:color w:val="FF0000"/>
          <w:sz w:val="20"/>
          <w:szCs w:val="20"/>
        </w:rPr>
        <w:t xml:space="preserve"> </w:t>
      </w:r>
    </w:p>
    <w:sectPr w:rsidR="00787484" w:rsidRPr="000D7771" w:rsidSect="0083154D">
      <w:headerReference w:type="default" r:id="rId11"/>
      <w:pgSz w:w="11900" w:h="16840"/>
      <w:pgMar w:top="1134" w:right="1134" w:bottom="1077" w:left="1134" w:header="720" w:footer="45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509B90" w14:textId="77777777" w:rsidR="00320480" w:rsidRDefault="00320480" w:rsidP="00CB3ADD">
      <w:pPr>
        <w:spacing w:line="240" w:lineRule="auto"/>
      </w:pPr>
      <w:r>
        <w:separator/>
      </w:r>
    </w:p>
  </w:endnote>
  <w:endnote w:type="continuationSeparator" w:id="0">
    <w:p w14:paraId="5C16B678" w14:textId="77777777" w:rsidR="00320480" w:rsidRDefault="00320480" w:rsidP="00CB3ADD">
      <w:pPr>
        <w:spacing w:line="240" w:lineRule="auto"/>
      </w:pPr>
      <w:r>
        <w:continuationSeparator/>
      </w:r>
    </w:p>
  </w:endnote>
  <w:endnote w:type="continuationNotice" w:id="1">
    <w:p w14:paraId="691E2D15" w14:textId="77777777" w:rsidR="00320480" w:rsidRDefault="0032048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2DD1B9" w14:textId="77777777" w:rsidR="00320480" w:rsidRDefault="00320480" w:rsidP="00CB3ADD">
      <w:pPr>
        <w:spacing w:line="240" w:lineRule="auto"/>
      </w:pPr>
      <w:r>
        <w:separator/>
      </w:r>
    </w:p>
  </w:footnote>
  <w:footnote w:type="continuationSeparator" w:id="0">
    <w:p w14:paraId="21AD54FB" w14:textId="77777777" w:rsidR="00320480" w:rsidRDefault="00320480" w:rsidP="00CB3ADD">
      <w:pPr>
        <w:spacing w:line="240" w:lineRule="auto"/>
      </w:pPr>
      <w:r>
        <w:continuationSeparator/>
      </w:r>
    </w:p>
  </w:footnote>
  <w:footnote w:type="continuationNotice" w:id="1">
    <w:p w14:paraId="0B1A0A08" w14:textId="77777777" w:rsidR="00320480" w:rsidRDefault="0032048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121D0D" w14:textId="5004923C" w:rsidR="00C35828" w:rsidRPr="00D73392" w:rsidRDefault="00680448" w:rsidP="00E20247">
    <w:pPr>
      <w:pStyle w:val="Header"/>
      <w:tabs>
        <w:tab w:val="clear" w:pos="4513"/>
        <w:tab w:val="clear" w:pos="9026"/>
        <w:tab w:val="center" w:pos="3544"/>
        <w:tab w:val="right" w:pos="14601"/>
      </w:tabs>
      <w:rPr>
        <w:rFonts w:ascii="Trebuchet MS" w:hAnsi="Trebuchet MS"/>
        <w:color w:val="808080" w:themeColor="background1" w:themeShade="80"/>
      </w:rPr>
    </w:pPr>
    <w:r w:rsidRPr="00680448">
      <w:rPr>
        <w:rFonts w:ascii="Trebuchet MS" w:hAnsi="Trebuchet MS"/>
        <w:color w:val="00616A" w:themeColor="accent2" w:themeShade="BF"/>
      </w:rPr>
      <w:t>Kelsea Peterson</w:t>
    </w:r>
    <w:r w:rsidR="00C35828" w:rsidRPr="00680448">
      <w:rPr>
        <w:color w:val="00616A" w:themeColor="accent2" w:themeShade="BF"/>
      </w:rPr>
      <w:t xml:space="preserve"> </w:t>
    </w:r>
    <w:r w:rsidR="00C35828">
      <w:rPr>
        <w:color w:val="808080" w:themeColor="background1" w:themeShade="80"/>
      </w:rPr>
      <w:tab/>
    </w:r>
    <w:r w:rsidR="00C35828">
      <w:rPr>
        <w:color w:val="808080" w:themeColor="background1" w:themeShade="80"/>
      </w:rPr>
      <w:tab/>
    </w:r>
    <w:r w:rsidR="00D30A5D" w:rsidRPr="00680448">
      <w:rPr>
        <w:rFonts w:ascii="Trebuchet MS" w:hAnsi="Trebuchet MS"/>
        <w:color w:val="00616A" w:themeColor="accent2" w:themeShade="BF"/>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D6012"/>
    <w:multiLevelType w:val="hybridMultilevel"/>
    <w:tmpl w:val="D2FA4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7"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FD558F"/>
    <w:multiLevelType w:val="hybridMultilevel"/>
    <w:tmpl w:val="8AE28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263600"/>
    <w:multiLevelType w:val="hybridMultilevel"/>
    <w:tmpl w:val="9498F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5A6DC7"/>
    <w:multiLevelType w:val="hybridMultilevel"/>
    <w:tmpl w:val="3D1CA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13" w15:restartNumberingAfterBreak="0">
    <w:nsid w:val="3E13266D"/>
    <w:multiLevelType w:val="hybridMultilevel"/>
    <w:tmpl w:val="A02E9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8"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20"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6B4874"/>
    <w:multiLevelType w:val="hybridMultilevel"/>
    <w:tmpl w:val="BC686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03312CE"/>
    <w:multiLevelType w:val="multilevel"/>
    <w:tmpl w:val="31AACB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6"/>
  </w:num>
  <w:num w:numId="2" w16cid:durableId="1205680468">
    <w:abstractNumId w:val="0"/>
  </w:num>
  <w:num w:numId="3" w16cid:durableId="301010472">
    <w:abstractNumId w:val="14"/>
  </w:num>
  <w:num w:numId="4" w16cid:durableId="1897160064">
    <w:abstractNumId w:val="26"/>
  </w:num>
  <w:num w:numId="5" w16cid:durableId="666664689">
    <w:abstractNumId w:val="7"/>
  </w:num>
  <w:num w:numId="6" w16cid:durableId="132262630">
    <w:abstractNumId w:val="2"/>
  </w:num>
  <w:num w:numId="7" w16cid:durableId="1552695760">
    <w:abstractNumId w:val="24"/>
  </w:num>
  <w:num w:numId="8" w16cid:durableId="651720773">
    <w:abstractNumId w:val="20"/>
  </w:num>
  <w:num w:numId="9" w16cid:durableId="1138188816">
    <w:abstractNumId w:val="5"/>
  </w:num>
  <w:num w:numId="10" w16cid:durableId="1343170309">
    <w:abstractNumId w:val="3"/>
  </w:num>
  <w:num w:numId="11" w16cid:durableId="1943106811">
    <w:abstractNumId w:val="16"/>
  </w:num>
  <w:num w:numId="12" w16cid:durableId="744258813">
    <w:abstractNumId w:val="22"/>
  </w:num>
  <w:num w:numId="13" w16cid:durableId="1534807361">
    <w:abstractNumId w:val="15"/>
  </w:num>
  <w:num w:numId="14" w16cid:durableId="1099373750">
    <w:abstractNumId w:val="18"/>
  </w:num>
  <w:num w:numId="15" w16cid:durableId="931232851">
    <w:abstractNumId w:val="4"/>
  </w:num>
  <w:num w:numId="16" w16cid:durableId="842819565">
    <w:abstractNumId w:val="11"/>
  </w:num>
  <w:num w:numId="17" w16cid:durableId="1843159052">
    <w:abstractNumId w:val="25"/>
  </w:num>
  <w:num w:numId="18" w16cid:durableId="504826028">
    <w:abstractNumId w:val="12"/>
  </w:num>
  <w:num w:numId="19" w16cid:durableId="467088888">
    <w:abstractNumId w:val="19"/>
  </w:num>
  <w:num w:numId="20" w16cid:durableId="88645351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378703744">
    <w:abstractNumId w:val="13"/>
  </w:num>
  <w:num w:numId="22" w16cid:durableId="910391277">
    <w:abstractNumId w:val="23"/>
  </w:num>
  <w:num w:numId="23" w16cid:durableId="7802764">
    <w:abstractNumId w:val="8"/>
  </w:num>
  <w:num w:numId="24" w16cid:durableId="606667089">
    <w:abstractNumId w:val="10"/>
  </w:num>
  <w:num w:numId="25" w16cid:durableId="526062744">
    <w:abstractNumId w:val="9"/>
  </w:num>
  <w:num w:numId="26" w16cid:durableId="1156602648">
    <w:abstractNumId w:val="21"/>
  </w:num>
  <w:num w:numId="27" w16cid:durableId="1947884723">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2B04"/>
    <w:rsid w:val="00004303"/>
    <w:rsid w:val="00005F03"/>
    <w:rsid w:val="00006E80"/>
    <w:rsid w:val="00010B10"/>
    <w:rsid w:val="00011888"/>
    <w:rsid w:val="00012A56"/>
    <w:rsid w:val="00012B4D"/>
    <w:rsid w:val="000133BF"/>
    <w:rsid w:val="00013D06"/>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4B4F"/>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678EB"/>
    <w:rsid w:val="000700E9"/>
    <w:rsid w:val="000710CF"/>
    <w:rsid w:val="00071E62"/>
    <w:rsid w:val="00072281"/>
    <w:rsid w:val="0007286D"/>
    <w:rsid w:val="00074BFC"/>
    <w:rsid w:val="00075587"/>
    <w:rsid w:val="00076468"/>
    <w:rsid w:val="000848A8"/>
    <w:rsid w:val="000850FA"/>
    <w:rsid w:val="00085944"/>
    <w:rsid w:val="00086D1D"/>
    <w:rsid w:val="00086D8E"/>
    <w:rsid w:val="00087359"/>
    <w:rsid w:val="000873AB"/>
    <w:rsid w:val="000907DE"/>
    <w:rsid w:val="000912FD"/>
    <w:rsid w:val="0009260A"/>
    <w:rsid w:val="00094991"/>
    <w:rsid w:val="000960EA"/>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771"/>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3DBB"/>
    <w:rsid w:val="00134EA7"/>
    <w:rsid w:val="00134FE6"/>
    <w:rsid w:val="0013520D"/>
    <w:rsid w:val="00136B2D"/>
    <w:rsid w:val="00137B0D"/>
    <w:rsid w:val="00143856"/>
    <w:rsid w:val="00145BA2"/>
    <w:rsid w:val="00150DB8"/>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87299"/>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39F4"/>
    <w:rsid w:val="001B45D7"/>
    <w:rsid w:val="001B7129"/>
    <w:rsid w:val="001B75C4"/>
    <w:rsid w:val="001B7C32"/>
    <w:rsid w:val="001C0B97"/>
    <w:rsid w:val="001C0BED"/>
    <w:rsid w:val="001C1523"/>
    <w:rsid w:val="001C1600"/>
    <w:rsid w:val="001C183C"/>
    <w:rsid w:val="001C2995"/>
    <w:rsid w:val="001C43A1"/>
    <w:rsid w:val="001C4558"/>
    <w:rsid w:val="001C587C"/>
    <w:rsid w:val="001D022A"/>
    <w:rsid w:val="001D064F"/>
    <w:rsid w:val="001D12C2"/>
    <w:rsid w:val="001D2BA6"/>
    <w:rsid w:val="001D36E1"/>
    <w:rsid w:val="001D3B2A"/>
    <w:rsid w:val="001D541A"/>
    <w:rsid w:val="001D7A22"/>
    <w:rsid w:val="001E257E"/>
    <w:rsid w:val="001E2ED0"/>
    <w:rsid w:val="001E3984"/>
    <w:rsid w:val="001E4F5C"/>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065A5"/>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495A"/>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1F4B"/>
    <w:rsid w:val="0028315D"/>
    <w:rsid w:val="002840FE"/>
    <w:rsid w:val="002847CB"/>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69E"/>
    <w:rsid w:val="002B2D87"/>
    <w:rsid w:val="002B3E23"/>
    <w:rsid w:val="002B4975"/>
    <w:rsid w:val="002B49AC"/>
    <w:rsid w:val="002B7F3C"/>
    <w:rsid w:val="002C2666"/>
    <w:rsid w:val="002C27D2"/>
    <w:rsid w:val="002C3CA5"/>
    <w:rsid w:val="002C5020"/>
    <w:rsid w:val="002C51B1"/>
    <w:rsid w:val="002C6F5B"/>
    <w:rsid w:val="002C757E"/>
    <w:rsid w:val="002D350E"/>
    <w:rsid w:val="002D49CF"/>
    <w:rsid w:val="002D4F9D"/>
    <w:rsid w:val="002D6D05"/>
    <w:rsid w:val="002D7361"/>
    <w:rsid w:val="002D7688"/>
    <w:rsid w:val="002E3F66"/>
    <w:rsid w:val="002E592E"/>
    <w:rsid w:val="002E6F56"/>
    <w:rsid w:val="002F03B9"/>
    <w:rsid w:val="002F0BE8"/>
    <w:rsid w:val="002F0C07"/>
    <w:rsid w:val="002F17FE"/>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0480"/>
    <w:rsid w:val="00325133"/>
    <w:rsid w:val="00327F95"/>
    <w:rsid w:val="003307D9"/>
    <w:rsid w:val="00331655"/>
    <w:rsid w:val="00333136"/>
    <w:rsid w:val="00335AE3"/>
    <w:rsid w:val="00343612"/>
    <w:rsid w:val="003447E5"/>
    <w:rsid w:val="00345985"/>
    <w:rsid w:val="003509E3"/>
    <w:rsid w:val="00350F2C"/>
    <w:rsid w:val="00351731"/>
    <w:rsid w:val="00352533"/>
    <w:rsid w:val="00353EE1"/>
    <w:rsid w:val="00354F67"/>
    <w:rsid w:val="00355EC4"/>
    <w:rsid w:val="00356D8A"/>
    <w:rsid w:val="00360709"/>
    <w:rsid w:val="00363742"/>
    <w:rsid w:val="003646A0"/>
    <w:rsid w:val="00366CA7"/>
    <w:rsid w:val="00372797"/>
    <w:rsid w:val="003741F6"/>
    <w:rsid w:val="00374986"/>
    <w:rsid w:val="00386814"/>
    <w:rsid w:val="0038716F"/>
    <w:rsid w:val="003875D9"/>
    <w:rsid w:val="0039172C"/>
    <w:rsid w:val="00393227"/>
    <w:rsid w:val="0039380F"/>
    <w:rsid w:val="00394803"/>
    <w:rsid w:val="00394B84"/>
    <w:rsid w:val="00395271"/>
    <w:rsid w:val="003960D8"/>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0AB9"/>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49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E6E10"/>
    <w:rsid w:val="004F1146"/>
    <w:rsid w:val="004F27A8"/>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0A27"/>
    <w:rsid w:val="00524C1B"/>
    <w:rsid w:val="005255C5"/>
    <w:rsid w:val="005258B3"/>
    <w:rsid w:val="00526892"/>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09CF"/>
    <w:rsid w:val="005766D9"/>
    <w:rsid w:val="005829EB"/>
    <w:rsid w:val="00584410"/>
    <w:rsid w:val="00585FD3"/>
    <w:rsid w:val="00586ACD"/>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8CF"/>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46D"/>
    <w:rsid w:val="005E058F"/>
    <w:rsid w:val="005E0D75"/>
    <w:rsid w:val="005E155A"/>
    <w:rsid w:val="005E1AEC"/>
    <w:rsid w:val="005E29DE"/>
    <w:rsid w:val="005E3DAC"/>
    <w:rsid w:val="005E49ED"/>
    <w:rsid w:val="005E4B49"/>
    <w:rsid w:val="005E6291"/>
    <w:rsid w:val="005F386F"/>
    <w:rsid w:val="005F771B"/>
    <w:rsid w:val="005F7D50"/>
    <w:rsid w:val="006003B4"/>
    <w:rsid w:val="006012CF"/>
    <w:rsid w:val="00602E8C"/>
    <w:rsid w:val="006049D5"/>
    <w:rsid w:val="00607F6B"/>
    <w:rsid w:val="0061091C"/>
    <w:rsid w:val="006132B0"/>
    <w:rsid w:val="00614B55"/>
    <w:rsid w:val="00616053"/>
    <w:rsid w:val="00621BCB"/>
    <w:rsid w:val="00622DB1"/>
    <w:rsid w:val="006259DA"/>
    <w:rsid w:val="00630481"/>
    <w:rsid w:val="00631AA4"/>
    <w:rsid w:val="0064049A"/>
    <w:rsid w:val="0064108A"/>
    <w:rsid w:val="006435FC"/>
    <w:rsid w:val="00645441"/>
    <w:rsid w:val="00645F65"/>
    <w:rsid w:val="006476EC"/>
    <w:rsid w:val="00650510"/>
    <w:rsid w:val="00651277"/>
    <w:rsid w:val="006521BD"/>
    <w:rsid w:val="00655B97"/>
    <w:rsid w:val="006562F3"/>
    <w:rsid w:val="006607E7"/>
    <w:rsid w:val="00661A67"/>
    <w:rsid w:val="00661B79"/>
    <w:rsid w:val="00662C23"/>
    <w:rsid w:val="00664040"/>
    <w:rsid w:val="006641B0"/>
    <w:rsid w:val="00665FF2"/>
    <w:rsid w:val="0066673E"/>
    <w:rsid w:val="00666B93"/>
    <w:rsid w:val="00667751"/>
    <w:rsid w:val="00667997"/>
    <w:rsid w:val="00667F30"/>
    <w:rsid w:val="0067043C"/>
    <w:rsid w:val="0067127A"/>
    <w:rsid w:val="006721BD"/>
    <w:rsid w:val="006757F0"/>
    <w:rsid w:val="00676E90"/>
    <w:rsid w:val="00680448"/>
    <w:rsid w:val="00680568"/>
    <w:rsid w:val="00680FB8"/>
    <w:rsid w:val="00681923"/>
    <w:rsid w:val="00681DFA"/>
    <w:rsid w:val="00683281"/>
    <w:rsid w:val="006859C3"/>
    <w:rsid w:val="006859E0"/>
    <w:rsid w:val="00687F52"/>
    <w:rsid w:val="00690E6C"/>
    <w:rsid w:val="006921F6"/>
    <w:rsid w:val="006934D4"/>
    <w:rsid w:val="006954EA"/>
    <w:rsid w:val="00696A9D"/>
    <w:rsid w:val="00697505"/>
    <w:rsid w:val="006A255C"/>
    <w:rsid w:val="006A391D"/>
    <w:rsid w:val="006A5E84"/>
    <w:rsid w:val="006A60E7"/>
    <w:rsid w:val="006B1120"/>
    <w:rsid w:val="006B24E2"/>
    <w:rsid w:val="006B3073"/>
    <w:rsid w:val="006B36DB"/>
    <w:rsid w:val="006B3820"/>
    <w:rsid w:val="006B42CE"/>
    <w:rsid w:val="006B496C"/>
    <w:rsid w:val="006B5D0F"/>
    <w:rsid w:val="006B5D40"/>
    <w:rsid w:val="006B63F2"/>
    <w:rsid w:val="006B745D"/>
    <w:rsid w:val="006C2364"/>
    <w:rsid w:val="006C528B"/>
    <w:rsid w:val="006C6636"/>
    <w:rsid w:val="006C6809"/>
    <w:rsid w:val="006D18A3"/>
    <w:rsid w:val="006D1BBF"/>
    <w:rsid w:val="006D1F6C"/>
    <w:rsid w:val="006D28F5"/>
    <w:rsid w:val="006D34EC"/>
    <w:rsid w:val="006D3512"/>
    <w:rsid w:val="006E13E1"/>
    <w:rsid w:val="006E13FC"/>
    <w:rsid w:val="006E145B"/>
    <w:rsid w:val="006E17ED"/>
    <w:rsid w:val="006E185F"/>
    <w:rsid w:val="006E1B24"/>
    <w:rsid w:val="006E27F6"/>
    <w:rsid w:val="006E3529"/>
    <w:rsid w:val="006E49AF"/>
    <w:rsid w:val="006E5F18"/>
    <w:rsid w:val="006E6676"/>
    <w:rsid w:val="006E7A8C"/>
    <w:rsid w:val="006F1156"/>
    <w:rsid w:val="006F1FB5"/>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54E6"/>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36B3"/>
    <w:rsid w:val="0078589D"/>
    <w:rsid w:val="00787484"/>
    <w:rsid w:val="00793702"/>
    <w:rsid w:val="00795B4A"/>
    <w:rsid w:val="007970CD"/>
    <w:rsid w:val="007974EE"/>
    <w:rsid w:val="007A1385"/>
    <w:rsid w:val="007A229F"/>
    <w:rsid w:val="007A34C6"/>
    <w:rsid w:val="007A7782"/>
    <w:rsid w:val="007B01AC"/>
    <w:rsid w:val="007C1252"/>
    <w:rsid w:val="007D339A"/>
    <w:rsid w:val="007D5D6C"/>
    <w:rsid w:val="007E308B"/>
    <w:rsid w:val="007E3D70"/>
    <w:rsid w:val="007E4BB2"/>
    <w:rsid w:val="007E6BFB"/>
    <w:rsid w:val="007F0435"/>
    <w:rsid w:val="007F1619"/>
    <w:rsid w:val="007F30AB"/>
    <w:rsid w:val="007F45FC"/>
    <w:rsid w:val="007F70AA"/>
    <w:rsid w:val="008002E2"/>
    <w:rsid w:val="0080084D"/>
    <w:rsid w:val="00800A61"/>
    <w:rsid w:val="008028E2"/>
    <w:rsid w:val="00802DD0"/>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154D"/>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0B92"/>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0A12"/>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6677"/>
    <w:rsid w:val="008D7142"/>
    <w:rsid w:val="008D72BE"/>
    <w:rsid w:val="008D75FC"/>
    <w:rsid w:val="008E15B3"/>
    <w:rsid w:val="008E1DD4"/>
    <w:rsid w:val="008E20C5"/>
    <w:rsid w:val="008E261D"/>
    <w:rsid w:val="008E2949"/>
    <w:rsid w:val="008E5C70"/>
    <w:rsid w:val="008E5C88"/>
    <w:rsid w:val="008E60D1"/>
    <w:rsid w:val="008E664B"/>
    <w:rsid w:val="008E72AF"/>
    <w:rsid w:val="008E75CF"/>
    <w:rsid w:val="008E7892"/>
    <w:rsid w:val="008F002C"/>
    <w:rsid w:val="008F0744"/>
    <w:rsid w:val="008F0974"/>
    <w:rsid w:val="008F0D9D"/>
    <w:rsid w:val="008F1127"/>
    <w:rsid w:val="008F2165"/>
    <w:rsid w:val="008F2FD2"/>
    <w:rsid w:val="008F3368"/>
    <w:rsid w:val="008F3B9A"/>
    <w:rsid w:val="008F3E9F"/>
    <w:rsid w:val="008F4A18"/>
    <w:rsid w:val="008F4C1A"/>
    <w:rsid w:val="008F5D47"/>
    <w:rsid w:val="008F6184"/>
    <w:rsid w:val="008F725A"/>
    <w:rsid w:val="00900224"/>
    <w:rsid w:val="009008F5"/>
    <w:rsid w:val="009016D4"/>
    <w:rsid w:val="00901BE8"/>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15D6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3C17"/>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5FCA"/>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B663A"/>
    <w:rsid w:val="009C0E74"/>
    <w:rsid w:val="009C3E46"/>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46A3"/>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3E15"/>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46EF"/>
    <w:rsid w:val="00AA5EC4"/>
    <w:rsid w:val="00AA6CD6"/>
    <w:rsid w:val="00AB1F67"/>
    <w:rsid w:val="00AB26D2"/>
    <w:rsid w:val="00AB28DB"/>
    <w:rsid w:val="00AB49D8"/>
    <w:rsid w:val="00AB52D0"/>
    <w:rsid w:val="00AB5718"/>
    <w:rsid w:val="00AB6E95"/>
    <w:rsid w:val="00AB7916"/>
    <w:rsid w:val="00AC1706"/>
    <w:rsid w:val="00AC21B2"/>
    <w:rsid w:val="00AC28CD"/>
    <w:rsid w:val="00AC35C8"/>
    <w:rsid w:val="00AC59A6"/>
    <w:rsid w:val="00AC6429"/>
    <w:rsid w:val="00AC6721"/>
    <w:rsid w:val="00AC672F"/>
    <w:rsid w:val="00AD05BA"/>
    <w:rsid w:val="00AD07CC"/>
    <w:rsid w:val="00AD48C6"/>
    <w:rsid w:val="00AD53AA"/>
    <w:rsid w:val="00AD642F"/>
    <w:rsid w:val="00AD67A9"/>
    <w:rsid w:val="00AE06D3"/>
    <w:rsid w:val="00AE0A58"/>
    <w:rsid w:val="00AE0CF2"/>
    <w:rsid w:val="00AE0D32"/>
    <w:rsid w:val="00AE0EFC"/>
    <w:rsid w:val="00AE3220"/>
    <w:rsid w:val="00AE35E8"/>
    <w:rsid w:val="00AE59DD"/>
    <w:rsid w:val="00AE61DE"/>
    <w:rsid w:val="00AF2388"/>
    <w:rsid w:val="00AF2C14"/>
    <w:rsid w:val="00AF341C"/>
    <w:rsid w:val="00AF5077"/>
    <w:rsid w:val="00B0019B"/>
    <w:rsid w:val="00B01107"/>
    <w:rsid w:val="00B02ACA"/>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277B"/>
    <w:rsid w:val="00B74116"/>
    <w:rsid w:val="00B763C9"/>
    <w:rsid w:val="00B842D7"/>
    <w:rsid w:val="00B85DA1"/>
    <w:rsid w:val="00B86D3F"/>
    <w:rsid w:val="00B92707"/>
    <w:rsid w:val="00B929C5"/>
    <w:rsid w:val="00B930EB"/>
    <w:rsid w:val="00B93F79"/>
    <w:rsid w:val="00B9606E"/>
    <w:rsid w:val="00BA07D1"/>
    <w:rsid w:val="00BA1D92"/>
    <w:rsid w:val="00BA267F"/>
    <w:rsid w:val="00BA42A6"/>
    <w:rsid w:val="00BB0B68"/>
    <w:rsid w:val="00BB14F3"/>
    <w:rsid w:val="00BB1CF0"/>
    <w:rsid w:val="00BB2A10"/>
    <w:rsid w:val="00BB3E01"/>
    <w:rsid w:val="00BC124B"/>
    <w:rsid w:val="00BC2AF3"/>
    <w:rsid w:val="00BC6CE7"/>
    <w:rsid w:val="00BC6F95"/>
    <w:rsid w:val="00BC73A4"/>
    <w:rsid w:val="00BC78C7"/>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AC"/>
    <w:rsid w:val="00C02FB1"/>
    <w:rsid w:val="00C03B73"/>
    <w:rsid w:val="00C040E2"/>
    <w:rsid w:val="00C040FC"/>
    <w:rsid w:val="00C0581D"/>
    <w:rsid w:val="00C07F15"/>
    <w:rsid w:val="00C20158"/>
    <w:rsid w:val="00C234D9"/>
    <w:rsid w:val="00C2773F"/>
    <w:rsid w:val="00C317F4"/>
    <w:rsid w:val="00C33F8D"/>
    <w:rsid w:val="00C348AD"/>
    <w:rsid w:val="00C35429"/>
    <w:rsid w:val="00C35828"/>
    <w:rsid w:val="00C36BC6"/>
    <w:rsid w:val="00C37F8D"/>
    <w:rsid w:val="00C430E4"/>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967F4"/>
    <w:rsid w:val="00CA041C"/>
    <w:rsid w:val="00CA085B"/>
    <w:rsid w:val="00CA248F"/>
    <w:rsid w:val="00CA352B"/>
    <w:rsid w:val="00CA4905"/>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CF4BD6"/>
    <w:rsid w:val="00D002D2"/>
    <w:rsid w:val="00D01018"/>
    <w:rsid w:val="00D040B1"/>
    <w:rsid w:val="00D0456C"/>
    <w:rsid w:val="00D07A60"/>
    <w:rsid w:val="00D132A5"/>
    <w:rsid w:val="00D13A0F"/>
    <w:rsid w:val="00D14360"/>
    <w:rsid w:val="00D16280"/>
    <w:rsid w:val="00D166D1"/>
    <w:rsid w:val="00D16C03"/>
    <w:rsid w:val="00D16D97"/>
    <w:rsid w:val="00D17BA2"/>
    <w:rsid w:val="00D20992"/>
    <w:rsid w:val="00D2164A"/>
    <w:rsid w:val="00D23DD5"/>
    <w:rsid w:val="00D257AB"/>
    <w:rsid w:val="00D30196"/>
    <w:rsid w:val="00D30391"/>
    <w:rsid w:val="00D30944"/>
    <w:rsid w:val="00D30A5D"/>
    <w:rsid w:val="00D31320"/>
    <w:rsid w:val="00D323B0"/>
    <w:rsid w:val="00D324E9"/>
    <w:rsid w:val="00D338E5"/>
    <w:rsid w:val="00D35043"/>
    <w:rsid w:val="00D35A80"/>
    <w:rsid w:val="00D40E56"/>
    <w:rsid w:val="00D41562"/>
    <w:rsid w:val="00D416DB"/>
    <w:rsid w:val="00D42378"/>
    <w:rsid w:val="00D439DF"/>
    <w:rsid w:val="00D442E0"/>
    <w:rsid w:val="00D46105"/>
    <w:rsid w:val="00D51A3B"/>
    <w:rsid w:val="00D53D10"/>
    <w:rsid w:val="00D572D1"/>
    <w:rsid w:val="00D57799"/>
    <w:rsid w:val="00D57D27"/>
    <w:rsid w:val="00D631DD"/>
    <w:rsid w:val="00D65D11"/>
    <w:rsid w:val="00D67641"/>
    <w:rsid w:val="00D70176"/>
    <w:rsid w:val="00D71375"/>
    <w:rsid w:val="00D73392"/>
    <w:rsid w:val="00D745D3"/>
    <w:rsid w:val="00D74C9B"/>
    <w:rsid w:val="00D74D59"/>
    <w:rsid w:val="00D7612A"/>
    <w:rsid w:val="00D76D7B"/>
    <w:rsid w:val="00D76F3E"/>
    <w:rsid w:val="00D779BA"/>
    <w:rsid w:val="00D77C24"/>
    <w:rsid w:val="00D80E3D"/>
    <w:rsid w:val="00D81FAB"/>
    <w:rsid w:val="00D825AE"/>
    <w:rsid w:val="00D826D2"/>
    <w:rsid w:val="00D84E1C"/>
    <w:rsid w:val="00D87A72"/>
    <w:rsid w:val="00D90C1A"/>
    <w:rsid w:val="00D93665"/>
    <w:rsid w:val="00D939C9"/>
    <w:rsid w:val="00D96991"/>
    <w:rsid w:val="00D9721F"/>
    <w:rsid w:val="00D9795C"/>
    <w:rsid w:val="00DA2106"/>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07FB"/>
    <w:rsid w:val="00DF13FE"/>
    <w:rsid w:val="00DF1AE8"/>
    <w:rsid w:val="00DF4F65"/>
    <w:rsid w:val="00DF6EB7"/>
    <w:rsid w:val="00E005B3"/>
    <w:rsid w:val="00E01773"/>
    <w:rsid w:val="00E04657"/>
    <w:rsid w:val="00E06609"/>
    <w:rsid w:val="00E0679F"/>
    <w:rsid w:val="00E06BA8"/>
    <w:rsid w:val="00E072E8"/>
    <w:rsid w:val="00E11E11"/>
    <w:rsid w:val="00E12B0F"/>
    <w:rsid w:val="00E14D11"/>
    <w:rsid w:val="00E162A0"/>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38C3"/>
    <w:rsid w:val="00E44E56"/>
    <w:rsid w:val="00E46145"/>
    <w:rsid w:val="00E463CC"/>
    <w:rsid w:val="00E5310D"/>
    <w:rsid w:val="00E532CE"/>
    <w:rsid w:val="00E53FD0"/>
    <w:rsid w:val="00E567FD"/>
    <w:rsid w:val="00E56D98"/>
    <w:rsid w:val="00E62A7E"/>
    <w:rsid w:val="00E6437E"/>
    <w:rsid w:val="00E6710C"/>
    <w:rsid w:val="00E71863"/>
    <w:rsid w:val="00E74E1E"/>
    <w:rsid w:val="00E76DEE"/>
    <w:rsid w:val="00E80C38"/>
    <w:rsid w:val="00E82AE8"/>
    <w:rsid w:val="00E83565"/>
    <w:rsid w:val="00E84223"/>
    <w:rsid w:val="00E86C53"/>
    <w:rsid w:val="00E87541"/>
    <w:rsid w:val="00E90DF6"/>
    <w:rsid w:val="00E916B3"/>
    <w:rsid w:val="00E92F46"/>
    <w:rsid w:val="00E93785"/>
    <w:rsid w:val="00E943E8"/>
    <w:rsid w:val="00E9682C"/>
    <w:rsid w:val="00E972CA"/>
    <w:rsid w:val="00EA0A9C"/>
    <w:rsid w:val="00EA1C75"/>
    <w:rsid w:val="00EA3503"/>
    <w:rsid w:val="00EA5386"/>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0670"/>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06D84"/>
    <w:rsid w:val="00F1132D"/>
    <w:rsid w:val="00F14358"/>
    <w:rsid w:val="00F15965"/>
    <w:rsid w:val="00F24B08"/>
    <w:rsid w:val="00F25476"/>
    <w:rsid w:val="00F26F9C"/>
    <w:rsid w:val="00F3020C"/>
    <w:rsid w:val="00F3119A"/>
    <w:rsid w:val="00F33E1B"/>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6580"/>
    <w:rsid w:val="00F67A50"/>
    <w:rsid w:val="00F71C8B"/>
    <w:rsid w:val="00F7214C"/>
    <w:rsid w:val="00F72D47"/>
    <w:rsid w:val="00F7463B"/>
    <w:rsid w:val="00F768A0"/>
    <w:rsid w:val="00F819F6"/>
    <w:rsid w:val="00F86345"/>
    <w:rsid w:val="00F86609"/>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594"/>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4C6D"/>
    <w:rsid w:val="00FD5E5B"/>
    <w:rsid w:val="00FD6185"/>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81104">
      <w:bodyDiv w:val="1"/>
      <w:marLeft w:val="0"/>
      <w:marRight w:val="0"/>
      <w:marTop w:val="0"/>
      <w:marBottom w:val="0"/>
      <w:divBdr>
        <w:top w:val="none" w:sz="0" w:space="0" w:color="auto"/>
        <w:left w:val="none" w:sz="0" w:space="0" w:color="auto"/>
        <w:bottom w:val="none" w:sz="0" w:space="0" w:color="auto"/>
        <w:right w:val="none" w:sz="0" w:space="0" w:color="auto"/>
      </w:divBdr>
    </w:div>
    <w:div w:id="10307378">
      <w:bodyDiv w:val="1"/>
      <w:marLeft w:val="0"/>
      <w:marRight w:val="0"/>
      <w:marTop w:val="0"/>
      <w:marBottom w:val="0"/>
      <w:divBdr>
        <w:top w:val="none" w:sz="0" w:space="0" w:color="auto"/>
        <w:left w:val="none" w:sz="0" w:space="0" w:color="auto"/>
        <w:bottom w:val="none" w:sz="0" w:space="0" w:color="auto"/>
        <w:right w:val="none" w:sz="0" w:space="0" w:color="auto"/>
      </w:divBdr>
    </w:div>
    <w:div w:id="68163924">
      <w:bodyDiv w:val="1"/>
      <w:marLeft w:val="0"/>
      <w:marRight w:val="0"/>
      <w:marTop w:val="0"/>
      <w:marBottom w:val="0"/>
      <w:divBdr>
        <w:top w:val="none" w:sz="0" w:space="0" w:color="auto"/>
        <w:left w:val="none" w:sz="0" w:space="0" w:color="auto"/>
        <w:bottom w:val="none" w:sz="0" w:space="0" w:color="auto"/>
        <w:right w:val="none" w:sz="0" w:space="0" w:color="auto"/>
      </w:divBdr>
    </w:div>
    <w:div w:id="154998801">
      <w:bodyDiv w:val="1"/>
      <w:marLeft w:val="0"/>
      <w:marRight w:val="0"/>
      <w:marTop w:val="0"/>
      <w:marBottom w:val="0"/>
      <w:divBdr>
        <w:top w:val="none" w:sz="0" w:space="0" w:color="auto"/>
        <w:left w:val="none" w:sz="0" w:space="0" w:color="auto"/>
        <w:bottom w:val="none" w:sz="0" w:space="0" w:color="auto"/>
        <w:right w:val="none" w:sz="0" w:space="0" w:color="auto"/>
      </w:divBdr>
      <w:divsChild>
        <w:div w:id="1690401342">
          <w:marLeft w:val="0"/>
          <w:marRight w:val="0"/>
          <w:marTop w:val="0"/>
          <w:marBottom w:val="0"/>
          <w:divBdr>
            <w:top w:val="none" w:sz="0" w:space="0" w:color="auto"/>
            <w:left w:val="none" w:sz="0" w:space="0" w:color="auto"/>
            <w:bottom w:val="none" w:sz="0" w:space="0" w:color="auto"/>
            <w:right w:val="none" w:sz="0" w:space="0" w:color="auto"/>
          </w:divBdr>
        </w:div>
        <w:div w:id="1082143360">
          <w:marLeft w:val="0"/>
          <w:marRight w:val="0"/>
          <w:marTop w:val="0"/>
          <w:marBottom w:val="0"/>
          <w:divBdr>
            <w:top w:val="none" w:sz="0" w:space="0" w:color="auto"/>
            <w:left w:val="none" w:sz="0" w:space="0" w:color="auto"/>
            <w:bottom w:val="none" w:sz="0" w:space="0" w:color="auto"/>
            <w:right w:val="none" w:sz="0" w:space="0" w:color="auto"/>
          </w:divBdr>
        </w:div>
        <w:div w:id="1855848615">
          <w:marLeft w:val="0"/>
          <w:marRight w:val="0"/>
          <w:marTop w:val="0"/>
          <w:marBottom w:val="0"/>
          <w:divBdr>
            <w:top w:val="none" w:sz="0" w:space="0" w:color="auto"/>
            <w:left w:val="none" w:sz="0" w:space="0" w:color="auto"/>
            <w:bottom w:val="none" w:sz="0" w:space="0" w:color="auto"/>
            <w:right w:val="none" w:sz="0" w:space="0" w:color="auto"/>
          </w:divBdr>
        </w:div>
        <w:div w:id="367141597">
          <w:marLeft w:val="0"/>
          <w:marRight w:val="0"/>
          <w:marTop w:val="0"/>
          <w:marBottom w:val="0"/>
          <w:divBdr>
            <w:top w:val="none" w:sz="0" w:space="0" w:color="auto"/>
            <w:left w:val="none" w:sz="0" w:space="0" w:color="auto"/>
            <w:bottom w:val="none" w:sz="0" w:space="0" w:color="auto"/>
            <w:right w:val="none" w:sz="0" w:space="0" w:color="auto"/>
          </w:divBdr>
        </w:div>
      </w:divsChild>
    </w:div>
    <w:div w:id="214239736">
      <w:bodyDiv w:val="1"/>
      <w:marLeft w:val="0"/>
      <w:marRight w:val="0"/>
      <w:marTop w:val="0"/>
      <w:marBottom w:val="0"/>
      <w:divBdr>
        <w:top w:val="none" w:sz="0" w:space="0" w:color="auto"/>
        <w:left w:val="none" w:sz="0" w:space="0" w:color="auto"/>
        <w:bottom w:val="none" w:sz="0" w:space="0" w:color="auto"/>
        <w:right w:val="none" w:sz="0" w:space="0" w:color="auto"/>
      </w:divBdr>
      <w:divsChild>
        <w:div w:id="2101221209">
          <w:marLeft w:val="0"/>
          <w:marRight w:val="0"/>
          <w:marTop w:val="0"/>
          <w:marBottom w:val="0"/>
          <w:divBdr>
            <w:top w:val="none" w:sz="0" w:space="0" w:color="auto"/>
            <w:left w:val="none" w:sz="0" w:space="0" w:color="auto"/>
            <w:bottom w:val="none" w:sz="0" w:space="0" w:color="auto"/>
            <w:right w:val="none" w:sz="0" w:space="0" w:color="auto"/>
          </w:divBdr>
        </w:div>
        <w:div w:id="1006249131">
          <w:marLeft w:val="0"/>
          <w:marRight w:val="0"/>
          <w:marTop w:val="0"/>
          <w:marBottom w:val="0"/>
          <w:divBdr>
            <w:top w:val="none" w:sz="0" w:space="0" w:color="auto"/>
            <w:left w:val="none" w:sz="0" w:space="0" w:color="auto"/>
            <w:bottom w:val="none" w:sz="0" w:space="0" w:color="auto"/>
            <w:right w:val="none" w:sz="0" w:space="0" w:color="auto"/>
          </w:divBdr>
        </w:div>
        <w:div w:id="1445804540">
          <w:marLeft w:val="0"/>
          <w:marRight w:val="0"/>
          <w:marTop w:val="0"/>
          <w:marBottom w:val="0"/>
          <w:divBdr>
            <w:top w:val="none" w:sz="0" w:space="0" w:color="auto"/>
            <w:left w:val="none" w:sz="0" w:space="0" w:color="auto"/>
            <w:bottom w:val="none" w:sz="0" w:space="0" w:color="auto"/>
            <w:right w:val="none" w:sz="0" w:space="0" w:color="auto"/>
          </w:divBdr>
        </w:div>
        <w:div w:id="391317274">
          <w:marLeft w:val="0"/>
          <w:marRight w:val="0"/>
          <w:marTop w:val="0"/>
          <w:marBottom w:val="0"/>
          <w:divBdr>
            <w:top w:val="none" w:sz="0" w:space="0" w:color="auto"/>
            <w:left w:val="none" w:sz="0" w:space="0" w:color="auto"/>
            <w:bottom w:val="none" w:sz="0" w:space="0" w:color="auto"/>
            <w:right w:val="none" w:sz="0" w:space="0" w:color="auto"/>
          </w:divBdr>
        </w:div>
      </w:divsChild>
    </w:div>
    <w:div w:id="225531211">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5767751">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321811982">
      <w:bodyDiv w:val="1"/>
      <w:marLeft w:val="0"/>
      <w:marRight w:val="0"/>
      <w:marTop w:val="0"/>
      <w:marBottom w:val="0"/>
      <w:divBdr>
        <w:top w:val="none" w:sz="0" w:space="0" w:color="auto"/>
        <w:left w:val="none" w:sz="0" w:space="0" w:color="auto"/>
        <w:bottom w:val="none" w:sz="0" w:space="0" w:color="auto"/>
        <w:right w:val="none" w:sz="0" w:space="0" w:color="auto"/>
      </w:divBdr>
    </w:div>
    <w:div w:id="453329694">
      <w:bodyDiv w:val="1"/>
      <w:marLeft w:val="0"/>
      <w:marRight w:val="0"/>
      <w:marTop w:val="0"/>
      <w:marBottom w:val="0"/>
      <w:divBdr>
        <w:top w:val="none" w:sz="0" w:space="0" w:color="auto"/>
        <w:left w:val="none" w:sz="0" w:space="0" w:color="auto"/>
        <w:bottom w:val="none" w:sz="0" w:space="0" w:color="auto"/>
        <w:right w:val="none" w:sz="0" w:space="0" w:color="auto"/>
      </w:divBdr>
    </w:div>
    <w:div w:id="465243503">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89774795">
      <w:bodyDiv w:val="1"/>
      <w:marLeft w:val="0"/>
      <w:marRight w:val="0"/>
      <w:marTop w:val="0"/>
      <w:marBottom w:val="0"/>
      <w:divBdr>
        <w:top w:val="none" w:sz="0" w:space="0" w:color="auto"/>
        <w:left w:val="none" w:sz="0" w:space="0" w:color="auto"/>
        <w:bottom w:val="none" w:sz="0" w:space="0" w:color="auto"/>
        <w:right w:val="none" w:sz="0" w:space="0" w:color="auto"/>
      </w:divBdr>
    </w:div>
    <w:div w:id="662466844">
      <w:bodyDiv w:val="1"/>
      <w:marLeft w:val="0"/>
      <w:marRight w:val="0"/>
      <w:marTop w:val="0"/>
      <w:marBottom w:val="0"/>
      <w:divBdr>
        <w:top w:val="none" w:sz="0" w:space="0" w:color="auto"/>
        <w:left w:val="none" w:sz="0" w:space="0" w:color="auto"/>
        <w:bottom w:val="none" w:sz="0" w:space="0" w:color="auto"/>
        <w:right w:val="none" w:sz="0" w:space="0" w:color="auto"/>
      </w:divBdr>
    </w:div>
    <w:div w:id="675770335">
      <w:bodyDiv w:val="1"/>
      <w:marLeft w:val="0"/>
      <w:marRight w:val="0"/>
      <w:marTop w:val="0"/>
      <w:marBottom w:val="0"/>
      <w:divBdr>
        <w:top w:val="none" w:sz="0" w:space="0" w:color="auto"/>
        <w:left w:val="none" w:sz="0" w:space="0" w:color="auto"/>
        <w:bottom w:val="none" w:sz="0" w:space="0" w:color="auto"/>
        <w:right w:val="none" w:sz="0" w:space="0" w:color="auto"/>
      </w:divBdr>
    </w:div>
    <w:div w:id="680621428">
      <w:bodyDiv w:val="1"/>
      <w:marLeft w:val="0"/>
      <w:marRight w:val="0"/>
      <w:marTop w:val="0"/>
      <w:marBottom w:val="0"/>
      <w:divBdr>
        <w:top w:val="none" w:sz="0" w:space="0" w:color="auto"/>
        <w:left w:val="none" w:sz="0" w:space="0" w:color="auto"/>
        <w:bottom w:val="none" w:sz="0" w:space="0" w:color="auto"/>
        <w:right w:val="none" w:sz="0" w:space="0" w:color="auto"/>
      </w:divBdr>
    </w:div>
    <w:div w:id="768812506">
      <w:bodyDiv w:val="1"/>
      <w:marLeft w:val="0"/>
      <w:marRight w:val="0"/>
      <w:marTop w:val="0"/>
      <w:marBottom w:val="0"/>
      <w:divBdr>
        <w:top w:val="none" w:sz="0" w:space="0" w:color="auto"/>
        <w:left w:val="none" w:sz="0" w:space="0" w:color="auto"/>
        <w:bottom w:val="none" w:sz="0" w:space="0" w:color="auto"/>
        <w:right w:val="none" w:sz="0" w:space="0" w:color="auto"/>
      </w:divBdr>
    </w:div>
    <w:div w:id="782771066">
      <w:bodyDiv w:val="1"/>
      <w:marLeft w:val="0"/>
      <w:marRight w:val="0"/>
      <w:marTop w:val="0"/>
      <w:marBottom w:val="0"/>
      <w:divBdr>
        <w:top w:val="none" w:sz="0" w:space="0" w:color="auto"/>
        <w:left w:val="none" w:sz="0" w:space="0" w:color="auto"/>
        <w:bottom w:val="none" w:sz="0" w:space="0" w:color="auto"/>
        <w:right w:val="none" w:sz="0" w:space="0" w:color="auto"/>
      </w:divBdr>
    </w:div>
    <w:div w:id="805859530">
      <w:bodyDiv w:val="1"/>
      <w:marLeft w:val="0"/>
      <w:marRight w:val="0"/>
      <w:marTop w:val="0"/>
      <w:marBottom w:val="0"/>
      <w:divBdr>
        <w:top w:val="none" w:sz="0" w:space="0" w:color="auto"/>
        <w:left w:val="none" w:sz="0" w:space="0" w:color="auto"/>
        <w:bottom w:val="none" w:sz="0" w:space="0" w:color="auto"/>
        <w:right w:val="none" w:sz="0" w:space="0" w:color="auto"/>
      </w:divBdr>
    </w:div>
    <w:div w:id="901016540">
      <w:bodyDiv w:val="1"/>
      <w:marLeft w:val="0"/>
      <w:marRight w:val="0"/>
      <w:marTop w:val="0"/>
      <w:marBottom w:val="0"/>
      <w:divBdr>
        <w:top w:val="none" w:sz="0" w:space="0" w:color="auto"/>
        <w:left w:val="none" w:sz="0" w:space="0" w:color="auto"/>
        <w:bottom w:val="none" w:sz="0" w:space="0" w:color="auto"/>
        <w:right w:val="none" w:sz="0" w:space="0" w:color="auto"/>
      </w:divBdr>
      <w:divsChild>
        <w:div w:id="841237166">
          <w:marLeft w:val="0"/>
          <w:marRight w:val="0"/>
          <w:marTop w:val="0"/>
          <w:marBottom w:val="0"/>
          <w:divBdr>
            <w:top w:val="none" w:sz="0" w:space="0" w:color="auto"/>
            <w:left w:val="none" w:sz="0" w:space="0" w:color="auto"/>
            <w:bottom w:val="none" w:sz="0" w:space="0" w:color="auto"/>
            <w:right w:val="none" w:sz="0" w:space="0" w:color="auto"/>
          </w:divBdr>
        </w:div>
        <w:div w:id="96037717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069767997">
      <w:bodyDiv w:val="1"/>
      <w:marLeft w:val="0"/>
      <w:marRight w:val="0"/>
      <w:marTop w:val="0"/>
      <w:marBottom w:val="0"/>
      <w:divBdr>
        <w:top w:val="none" w:sz="0" w:space="0" w:color="auto"/>
        <w:left w:val="none" w:sz="0" w:space="0" w:color="auto"/>
        <w:bottom w:val="none" w:sz="0" w:space="0" w:color="auto"/>
        <w:right w:val="none" w:sz="0" w:space="0" w:color="auto"/>
      </w:divBdr>
    </w:div>
    <w:div w:id="1094591466">
      <w:bodyDiv w:val="1"/>
      <w:marLeft w:val="0"/>
      <w:marRight w:val="0"/>
      <w:marTop w:val="0"/>
      <w:marBottom w:val="0"/>
      <w:divBdr>
        <w:top w:val="none" w:sz="0" w:space="0" w:color="auto"/>
        <w:left w:val="none" w:sz="0" w:space="0" w:color="auto"/>
        <w:bottom w:val="none" w:sz="0" w:space="0" w:color="auto"/>
        <w:right w:val="none" w:sz="0" w:space="0" w:color="auto"/>
      </w:divBdr>
    </w:div>
    <w:div w:id="1101989794">
      <w:bodyDiv w:val="1"/>
      <w:marLeft w:val="0"/>
      <w:marRight w:val="0"/>
      <w:marTop w:val="0"/>
      <w:marBottom w:val="0"/>
      <w:divBdr>
        <w:top w:val="none" w:sz="0" w:space="0" w:color="auto"/>
        <w:left w:val="none" w:sz="0" w:space="0" w:color="auto"/>
        <w:bottom w:val="none" w:sz="0" w:space="0" w:color="auto"/>
        <w:right w:val="none" w:sz="0" w:space="0" w:color="auto"/>
      </w:divBdr>
    </w:div>
    <w:div w:id="1108624381">
      <w:bodyDiv w:val="1"/>
      <w:marLeft w:val="0"/>
      <w:marRight w:val="0"/>
      <w:marTop w:val="0"/>
      <w:marBottom w:val="0"/>
      <w:divBdr>
        <w:top w:val="none" w:sz="0" w:space="0" w:color="auto"/>
        <w:left w:val="none" w:sz="0" w:space="0" w:color="auto"/>
        <w:bottom w:val="none" w:sz="0" w:space="0" w:color="auto"/>
        <w:right w:val="none" w:sz="0" w:space="0" w:color="auto"/>
      </w:divBdr>
    </w:div>
    <w:div w:id="1168251511">
      <w:bodyDiv w:val="1"/>
      <w:marLeft w:val="0"/>
      <w:marRight w:val="0"/>
      <w:marTop w:val="0"/>
      <w:marBottom w:val="0"/>
      <w:divBdr>
        <w:top w:val="none" w:sz="0" w:space="0" w:color="auto"/>
        <w:left w:val="none" w:sz="0" w:space="0" w:color="auto"/>
        <w:bottom w:val="none" w:sz="0" w:space="0" w:color="auto"/>
        <w:right w:val="none" w:sz="0" w:space="0" w:color="auto"/>
      </w:divBdr>
    </w:div>
    <w:div w:id="1169901477">
      <w:bodyDiv w:val="1"/>
      <w:marLeft w:val="0"/>
      <w:marRight w:val="0"/>
      <w:marTop w:val="0"/>
      <w:marBottom w:val="0"/>
      <w:divBdr>
        <w:top w:val="none" w:sz="0" w:space="0" w:color="auto"/>
        <w:left w:val="none" w:sz="0" w:space="0" w:color="auto"/>
        <w:bottom w:val="none" w:sz="0" w:space="0" w:color="auto"/>
        <w:right w:val="none" w:sz="0" w:space="0" w:color="auto"/>
      </w:divBdr>
      <w:divsChild>
        <w:div w:id="534928929">
          <w:marLeft w:val="0"/>
          <w:marRight w:val="0"/>
          <w:marTop w:val="0"/>
          <w:marBottom w:val="0"/>
          <w:divBdr>
            <w:top w:val="none" w:sz="0" w:space="0" w:color="auto"/>
            <w:left w:val="none" w:sz="0" w:space="0" w:color="auto"/>
            <w:bottom w:val="none" w:sz="0" w:space="0" w:color="auto"/>
            <w:right w:val="none" w:sz="0" w:space="0" w:color="auto"/>
          </w:divBdr>
        </w:div>
      </w:divsChild>
    </w:div>
    <w:div w:id="1306474397">
      <w:bodyDiv w:val="1"/>
      <w:marLeft w:val="0"/>
      <w:marRight w:val="0"/>
      <w:marTop w:val="0"/>
      <w:marBottom w:val="0"/>
      <w:divBdr>
        <w:top w:val="none" w:sz="0" w:space="0" w:color="auto"/>
        <w:left w:val="none" w:sz="0" w:space="0" w:color="auto"/>
        <w:bottom w:val="none" w:sz="0" w:space="0" w:color="auto"/>
        <w:right w:val="none" w:sz="0" w:space="0" w:color="auto"/>
      </w:divBdr>
      <w:divsChild>
        <w:div w:id="2031444611">
          <w:marLeft w:val="0"/>
          <w:marRight w:val="0"/>
          <w:marTop w:val="0"/>
          <w:marBottom w:val="0"/>
          <w:divBdr>
            <w:top w:val="none" w:sz="0" w:space="0" w:color="auto"/>
            <w:left w:val="none" w:sz="0" w:space="0" w:color="auto"/>
            <w:bottom w:val="none" w:sz="0" w:space="0" w:color="auto"/>
            <w:right w:val="none" w:sz="0" w:space="0" w:color="auto"/>
          </w:divBdr>
        </w:div>
      </w:divsChild>
    </w:div>
    <w:div w:id="1375890130">
      <w:bodyDiv w:val="1"/>
      <w:marLeft w:val="0"/>
      <w:marRight w:val="0"/>
      <w:marTop w:val="0"/>
      <w:marBottom w:val="0"/>
      <w:divBdr>
        <w:top w:val="none" w:sz="0" w:space="0" w:color="auto"/>
        <w:left w:val="none" w:sz="0" w:space="0" w:color="auto"/>
        <w:bottom w:val="none" w:sz="0" w:space="0" w:color="auto"/>
        <w:right w:val="none" w:sz="0" w:space="0" w:color="auto"/>
      </w:divBdr>
    </w:div>
    <w:div w:id="1451513611">
      <w:bodyDiv w:val="1"/>
      <w:marLeft w:val="0"/>
      <w:marRight w:val="0"/>
      <w:marTop w:val="0"/>
      <w:marBottom w:val="0"/>
      <w:divBdr>
        <w:top w:val="none" w:sz="0" w:space="0" w:color="auto"/>
        <w:left w:val="none" w:sz="0" w:space="0" w:color="auto"/>
        <w:bottom w:val="none" w:sz="0" w:space="0" w:color="auto"/>
        <w:right w:val="none" w:sz="0" w:space="0" w:color="auto"/>
      </w:divBdr>
    </w:div>
    <w:div w:id="1470778440">
      <w:bodyDiv w:val="1"/>
      <w:marLeft w:val="0"/>
      <w:marRight w:val="0"/>
      <w:marTop w:val="0"/>
      <w:marBottom w:val="0"/>
      <w:divBdr>
        <w:top w:val="none" w:sz="0" w:space="0" w:color="auto"/>
        <w:left w:val="none" w:sz="0" w:space="0" w:color="auto"/>
        <w:bottom w:val="none" w:sz="0" w:space="0" w:color="auto"/>
        <w:right w:val="none" w:sz="0" w:space="0" w:color="auto"/>
      </w:divBdr>
    </w:div>
    <w:div w:id="1494178525">
      <w:bodyDiv w:val="1"/>
      <w:marLeft w:val="0"/>
      <w:marRight w:val="0"/>
      <w:marTop w:val="0"/>
      <w:marBottom w:val="0"/>
      <w:divBdr>
        <w:top w:val="none" w:sz="0" w:space="0" w:color="auto"/>
        <w:left w:val="none" w:sz="0" w:space="0" w:color="auto"/>
        <w:bottom w:val="none" w:sz="0" w:space="0" w:color="auto"/>
        <w:right w:val="none" w:sz="0" w:space="0" w:color="auto"/>
      </w:divBdr>
    </w:div>
    <w:div w:id="1507403518">
      <w:bodyDiv w:val="1"/>
      <w:marLeft w:val="0"/>
      <w:marRight w:val="0"/>
      <w:marTop w:val="0"/>
      <w:marBottom w:val="0"/>
      <w:divBdr>
        <w:top w:val="none" w:sz="0" w:space="0" w:color="auto"/>
        <w:left w:val="none" w:sz="0" w:space="0" w:color="auto"/>
        <w:bottom w:val="none" w:sz="0" w:space="0" w:color="auto"/>
        <w:right w:val="none" w:sz="0" w:space="0" w:color="auto"/>
      </w:divBdr>
    </w:div>
    <w:div w:id="1519193545">
      <w:bodyDiv w:val="1"/>
      <w:marLeft w:val="0"/>
      <w:marRight w:val="0"/>
      <w:marTop w:val="0"/>
      <w:marBottom w:val="0"/>
      <w:divBdr>
        <w:top w:val="none" w:sz="0" w:space="0" w:color="auto"/>
        <w:left w:val="none" w:sz="0" w:space="0" w:color="auto"/>
        <w:bottom w:val="none" w:sz="0" w:space="0" w:color="auto"/>
        <w:right w:val="none" w:sz="0" w:space="0" w:color="auto"/>
      </w:divBdr>
    </w:div>
    <w:div w:id="1548562431">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578661608">
      <w:bodyDiv w:val="1"/>
      <w:marLeft w:val="0"/>
      <w:marRight w:val="0"/>
      <w:marTop w:val="0"/>
      <w:marBottom w:val="0"/>
      <w:divBdr>
        <w:top w:val="none" w:sz="0" w:space="0" w:color="auto"/>
        <w:left w:val="none" w:sz="0" w:space="0" w:color="auto"/>
        <w:bottom w:val="none" w:sz="0" w:space="0" w:color="auto"/>
        <w:right w:val="none" w:sz="0" w:space="0" w:color="auto"/>
      </w:divBdr>
    </w:div>
    <w:div w:id="1583098821">
      <w:bodyDiv w:val="1"/>
      <w:marLeft w:val="0"/>
      <w:marRight w:val="0"/>
      <w:marTop w:val="0"/>
      <w:marBottom w:val="0"/>
      <w:divBdr>
        <w:top w:val="none" w:sz="0" w:space="0" w:color="auto"/>
        <w:left w:val="none" w:sz="0" w:space="0" w:color="auto"/>
        <w:bottom w:val="none" w:sz="0" w:space="0" w:color="auto"/>
        <w:right w:val="none" w:sz="0" w:space="0" w:color="auto"/>
      </w:divBdr>
    </w:div>
    <w:div w:id="1592813261">
      <w:bodyDiv w:val="1"/>
      <w:marLeft w:val="0"/>
      <w:marRight w:val="0"/>
      <w:marTop w:val="0"/>
      <w:marBottom w:val="0"/>
      <w:divBdr>
        <w:top w:val="none" w:sz="0" w:space="0" w:color="auto"/>
        <w:left w:val="none" w:sz="0" w:space="0" w:color="auto"/>
        <w:bottom w:val="none" w:sz="0" w:space="0" w:color="auto"/>
        <w:right w:val="none" w:sz="0" w:space="0" w:color="auto"/>
      </w:divBdr>
    </w:div>
    <w:div w:id="1677918478">
      <w:bodyDiv w:val="1"/>
      <w:marLeft w:val="0"/>
      <w:marRight w:val="0"/>
      <w:marTop w:val="0"/>
      <w:marBottom w:val="0"/>
      <w:divBdr>
        <w:top w:val="none" w:sz="0" w:space="0" w:color="auto"/>
        <w:left w:val="none" w:sz="0" w:space="0" w:color="auto"/>
        <w:bottom w:val="none" w:sz="0" w:space="0" w:color="auto"/>
        <w:right w:val="none" w:sz="0" w:space="0" w:color="auto"/>
      </w:divBdr>
    </w:div>
    <w:div w:id="1787772336">
      <w:bodyDiv w:val="1"/>
      <w:marLeft w:val="0"/>
      <w:marRight w:val="0"/>
      <w:marTop w:val="0"/>
      <w:marBottom w:val="0"/>
      <w:divBdr>
        <w:top w:val="none" w:sz="0" w:space="0" w:color="auto"/>
        <w:left w:val="none" w:sz="0" w:space="0" w:color="auto"/>
        <w:bottom w:val="none" w:sz="0" w:space="0" w:color="auto"/>
        <w:right w:val="none" w:sz="0" w:space="0" w:color="auto"/>
      </w:divBdr>
    </w:div>
    <w:div w:id="1794325947">
      <w:bodyDiv w:val="1"/>
      <w:marLeft w:val="0"/>
      <w:marRight w:val="0"/>
      <w:marTop w:val="0"/>
      <w:marBottom w:val="0"/>
      <w:divBdr>
        <w:top w:val="none" w:sz="0" w:space="0" w:color="auto"/>
        <w:left w:val="none" w:sz="0" w:space="0" w:color="auto"/>
        <w:bottom w:val="none" w:sz="0" w:space="0" w:color="auto"/>
        <w:right w:val="none" w:sz="0" w:space="0" w:color="auto"/>
      </w:divBdr>
      <w:divsChild>
        <w:div w:id="1950315664">
          <w:marLeft w:val="0"/>
          <w:marRight w:val="0"/>
          <w:marTop w:val="0"/>
          <w:marBottom w:val="0"/>
          <w:divBdr>
            <w:top w:val="none" w:sz="0" w:space="0" w:color="auto"/>
            <w:left w:val="none" w:sz="0" w:space="0" w:color="auto"/>
            <w:bottom w:val="none" w:sz="0" w:space="0" w:color="auto"/>
            <w:right w:val="none" w:sz="0" w:space="0" w:color="auto"/>
          </w:divBdr>
        </w:div>
        <w:div w:id="1560096777">
          <w:marLeft w:val="0"/>
          <w:marRight w:val="0"/>
          <w:marTop w:val="0"/>
          <w:marBottom w:val="0"/>
          <w:divBdr>
            <w:top w:val="none" w:sz="0" w:space="0" w:color="auto"/>
            <w:left w:val="none" w:sz="0" w:space="0" w:color="auto"/>
            <w:bottom w:val="none" w:sz="0" w:space="0" w:color="auto"/>
            <w:right w:val="none" w:sz="0" w:space="0" w:color="auto"/>
          </w:divBdr>
        </w:div>
      </w:divsChild>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64896356">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883177936">
      <w:bodyDiv w:val="1"/>
      <w:marLeft w:val="0"/>
      <w:marRight w:val="0"/>
      <w:marTop w:val="0"/>
      <w:marBottom w:val="0"/>
      <w:divBdr>
        <w:top w:val="none" w:sz="0" w:space="0" w:color="auto"/>
        <w:left w:val="none" w:sz="0" w:space="0" w:color="auto"/>
        <w:bottom w:val="none" w:sz="0" w:space="0" w:color="auto"/>
        <w:right w:val="none" w:sz="0" w:space="0" w:color="auto"/>
      </w:divBdr>
    </w:div>
    <w:div w:id="1942756514">
      <w:bodyDiv w:val="1"/>
      <w:marLeft w:val="0"/>
      <w:marRight w:val="0"/>
      <w:marTop w:val="0"/>
      <w:marBottom w:val="0"/>
      <w:divBdr>
        <w:top w:val="none" w:sz="0" w:space="0" w:color="auto"/>
        <w:left w:val="none" w:sz="0" w:space="0" w:color="auto"/>
        <w:bottom w:val="none" w:sz="0" w:space="0" w:color="auto"/>
        <w:right w:val="none" w:sz="0" w:space="0" w:color="auto"/>
      </w:divBdr>
    </w:div>
    <w:div w:id="195239868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04821392">
      <w:bodyDiv w:val="1"/>
      <w:marLeft w:val="0"/>
      <w:marRight w:val="0"/>
      <w:marTop w:val="0"/>
      <w:marBottom w:val="0"/>
      <w:divBdr>
        <w:top w:val="none" w:sz="0" w:space="0" w:color="auto"/>
        <w:left w:val="none" w:sz="0" w:space="0" w:color="auto"/>
        <w:bottom w:val="none" w:sz="0" w:space="0" w:color="auto"/>
        <w:right w:val="none" w:sz="0" w:space="0" w:color="auto"/>
      </w:divBdr>
    </w:div>
    <w:div w:id="2027250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2.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3.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9B9A1E7-379E-4788-9223-5C628C6074CE}">
  <ds:schemaRefs>
    <ds:schemaRef ds:uri="http://schemas.microsoft.com/sharepoint/v3/contenttype/forms"/>
  </ds:schemaRefs>
</ds:datastoreItem>
</file>

<file path=docMetadata/LabelInfo.xml><?xml version="1.0" encoding="utf-8"?>
<clbl:labelList xmlns:clbl="http://schemas.microsoft.com/office/2020/mipLabelMetadata">
  <clbl:label id="{ddd66cce-ffe1-4029-967c-5e15ef73127f}" enabled="0" method="" siteId="{ddd66cce-ffe1-4029-967c-5e15ef73127f}" removed="1"/>
</clbl:labelList>
</file>

<file path=docProps/app.xml><?xml version="1.0" encoding="utf-8"?>
<Properties xmlns="http://schemas.openxmlformats.org/officeDocument/2006/extended-properties" xmlns:vt="http://schemas.openxmlformats.org/officeDocument/2006/docPropsVTypes">
  <Template>Normal</Template>
  <TotalTime>260</TotalTime>
  <Pages>10</Pages>
  <Words>6064</Words>
  <Characters>34568</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40551</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Kelsea Peterson</dc:creator>
  <cp:keywords/>
  <cp:lastModifiedBy>Kelsea Peterson</cp:lastModifiedBy>
  <cp:revision>100</cp:revision>
  <dcterms:created xsi:type="dcterms:W3CDTF">2025-02-07T12:01:00Z</dcterms:created>
  <dcterms:modified xsi:type="dcterms:W3CDTF">2025-02-10T13:56:00Z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