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eastAsiaTheme="minorHAnsi" w:hAnsi="Times New Roman" w:cs="Times New Roman"/>
          <w:kern w:val="2"/>
          <w:sz w:val="24"/>
          <w:szCs w:val="24"/>
          <w:lang w:eastAsia="en-US"/>
          <w14:ligatures w14:val="standardContextual"/>
        </w:rPr>
        <w:id w:val="-2013983000"/>
        <w:docPartObj>
          <w:docPartGallery w:val="Cover Pages"/>
          <w:docPartUnique/>
        </w:docPartObj>
      </w:sdtPr>
      <w:sdtEndPr/>
      <w:sdtContent>
        <w:p w14:paraId="4E515D2F" w14:textId="4100EABF" w:rsidR="007658C9" w:rsidRPr="008B2EDF" w:rsidRDefault="00F322D7" w:rsidP="004F17FF">
          <w:pPr>
            <w:pStyle w:val="NoSpacing"/>
            <w:spacing w:line="360" w:lineRule="auto"/>
            <w:jc w:val="both"/>
            <w:rPr>
              <w:rFonts w:ascii="Times New Roman" w:hAnsi="Times New Roman" w:cs="Times New Roman"/>
              <w:sz w:val="24"/>
              <w:szCs w:val="24"/>
            </w:rPr>
          </w:pPr>
          <w:r w:rsidRPr="008B2EDF">
            <w:rPr>
              <w:rFonts w:ascii="Times New Roman" w:hAnsi="Times New Roman" w:cs="Times New Roman"/>
              <w:noProof/>
              <w:sz w:val="24"/>
              <w:szCs w:val="24"/>
            </w:rPr>
            <mc:AlternateContent>
              <mc:Choice Requires="wps">
                <w:drawing>
                  <wp:anchor distT="0" distB="0" distL="114300" distR="114300" simplePos="0" relativeHeight="251658243" behindDoc="0" locked="0" layoutInCell="1" allowOverlap="1" wp14:anchorId="53796878" wp14:editId="73041458">
                    <wp:simplePos x="0" y="0"/>
                    <wp:positionH relativeFrom="margin">
                      <wp:posOffset>790575</wp:posOffset>
                    </wp:positionH>
                    <wp:positionV relativeFrom="paragraph">
                      <wp:posOffset>-314325</wp:posOffset>
                    </wp:positionV>
                    <wp:extent cx="5619750" cy="3362325"/>
                    <wp:effectExtent l="0" t="0" r="19050" b="28575"/>
                    <wp:wrapNone/>
                    <wp:docPr id="419769661" name="Text Box 28"/>
                    <wp:cNvGraphicFramePr/>
                    <a:graphic xmlns:a="http://schemas.openxmlformats.org/drawingml/2006/main">
                      <a:graphicData uri="http://schemas.microsoft.com/office/word/2010/wordprocessingShape">
                        <wps:wsp>
                          <wps:cNvSpPr txBox="1"/>
                          <wps:spPr>
                            <a:xfrm>
                              <a:off x="0" y="0"/>
                              <a:ext cx="5619750" cy="3362325"/>
                            </a:xfrm>
                            <a:prstGeom prst="rect">
                              <a:avLst/>
                            </a:prstGeom>
                            <a:solidFill>
                              <a:schemeClr val="lt1"/>
                            </a:solidFill>
                            <a:ln w="6350">
                              <a:solidFill>
                                <a:prstClr val="black"/>
                              </a:solidFill>
                            </a:ln>
                          </wps:spPr>
                          <wps:txbx>
                            <w:txbxContent>
                              <w:p w14:paraId="1904EB13" w14:textId="341E472F" w:rsidR="00872726" w:rsidRPr="00F322D7" w:rsidRDefault="00C1327B" w:rsidP="00216025">
                                <w:pPr>
                                  <w:jc w:val="center"/>
                                  <w:rPr>
                                    <w:rFonts w:ascii="Times New Roman" w:hAnsi="Times New Roman" w:cs="Times New Roman"/>
                                    <w:sz w:val="72"/>
                                    <w:szCs w:val="72"/>
                                  </w:rPr>
                                </w:pPr>
                                <w:r w:rsidRPr="00C1327B">
                                  <w:rPr>
                                    <w:rFonts w:ascii="Times New Roman" w:eastAsiaTheme="majorEastAsia" w:hAnsi="Times New Roman" w:cs="Times New Roman"/>
                                    <w:color w:val="262626" w:themeColor="text1" w:themeTint="D9"/>
                                    <w:kern w:val="0"/>
                                    <w:sz w:val="72"/>
                                    <w:szCs w:val="72"/>
                                    <w:lang w:eastAsia="en-GB"/>
                                    <w14:ligatures w14:val="none"/>
                                  </w:rPr>
                                  <w:t>Invisible Labour and Career Progression Inequality: The Promotion Gap for Part-Time Women in UK Warehousing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3796878" id="_x0000_t202" coordsize="21600,21600" o:spt="202" path="m,l,21600r21600,l21600,xe">
                    <v:stroke joinstyle="miter"/>
                    <v:path gradientshapeok="t" o:connecttype="rect"/>
                  </v:shapetype>
                  <v:shape id="Text Box 28" o:spid="_x0000_s1026" type="#_x0000_t202" style="position:absolute;left:0;text-align:left;margin-left:62.25pt;margin-top:-24.75pt;width:442.5pt;height:264.75pt;z-index:251658243;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" fillcolor="white [3201]" strokeweight=".5pt">
                    <v:textbox>
                      <w:txbxContent>
                        <w:p w14:paraId="1904EB13" w14:textId="341E472F" w:rsidR="00872726" w:rsidRPr="00F322D7" w:rsidRDefault="00C1327B" w:rsidP="00216025">
                          <w:pPr>
                            <w:jc w:val="center"/>
                            <w:rPr>
                              <w:rFonts w:ascii="Times New Roman" w:hAnsi="Times New Roman" w:cs="Times New Roman"/>
                              <w:sz w:val="72"/>
                              <w:szCs w:val="72"/>
                            </w:rPr>
                          </w:pPr>
                          <w:r w:rsidRPr="00C1327B">
                            <w:rPr>
                              <w:rFonts w:ascii="Times New Roman" w:eastAsiaTheme="majorEastAsia" w:hAnsi="Times New Roman" w:cs="Times New Roman"/>
                              <w:color w:val="262626" w:themeColor="text1" w:themeTint="D9"/>
                              <w:kern w:val="0"/>
                              <w:sz w:val="72"/>
                              <w:szCs w:val="72"/>
                              <w:lang w:eastAsia="en-GB"/>
                              <w14:ligatures w14:val="none"/>
                            </w:rPr>
                            <w:t>Invisible Labour and Career Progression Inequality: The Promotion Gap for Part-Time Women in UK Warehousing</w:t>
                          </w:r>
                        </w:p>
                      </w:txbxContent>
                    </v:textbox>
                    <w10:wrap anchorx="margin"/>
                  </v:shape>
                </w:pict>
              </mc:Fallback>
            </mc:AlternateContent>
          </w:r>
          <w:r w:rsidRPr="008B2EDF">
            <w:rPr>
              <w:rFonts w:ascii="Times New Roman" w:hAnsi="Times New Roman" w:cs="Times New Roman"/>
              <w:noProof/>
              <w:sz w:val="24"/>
              <w:szCs w:val="24"/>
            </w:rPr>
            <mc:AlternateContent>
              <mc:Choice Requires="wpg">
                <w:drawing>
                  <wp:anchor distT="0" distB="0" distL="114300" distR="114300" simplePos="0" relativeHeight="251658240" behindDoc="1" locked="0" layoutInCell="1" allowOverlap="1" wp14:anchorId="2270B7F5" wp14:editId="4C4C0DBF">
                    <wp:simplePos x="0" y="0"/>
                    <wp:positionH relativeFrom="page">
                      <wp:posOffset>66675</wp:posOffset>
                    </wp:positionH>
                    <wp:positionV relativeFrom="page">
                      <wp:posOffset>266700</wp:posOffset>
                    </wp:positionV>
                    <wp:extent cx="2373630" cy="9125585"/>
                    <wp:effectExtent l="0" t="0" r="26670" b="15240"/>
                    <wp:wrapNone/>
                    <wp:docPr id="2" name="Group 1"/>
                    <wp:cNvGraphicFramePr/>
                    <a:graphic xmlns:a="http://schemas.openxmlformats.org/drawingml/2006/main">
                      <a:graphicData uri="http://schemas.microsoft.com/office/word/2010/wordprocessingGroup">
                        <wpg:wgp>
                          <wpg:cNvGrpSpPr/>
                          <wpg:grpSpPr>
                            <a:xfrm>
                              <a:off x="0" y="0"/>
                              <a:ext cx="2373630" cy="9125585"/>
                              <a:chOff x="-240030" y="0"/>
                              <a:chExt cx="237363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240030" y="1333853"/>
                                <a:ext cx="163830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5-06T00:00:00Z">
                                      <w:dateFormat w:val="dd/MM/yyyy"/>
                                      <w:lid w:val="en-GB"/>
                                      <w:storeMappedDataAs w:val="dateTime"/>
                                      <w:calendar w:val="gregorian"/>
                                    </w:date>
                                  </w:sdtPr>
                                  <w:sdtEndPr/>
                                  <w:sdtContent>
                                    <w:p w14:paraId="37609C8E" w14:textId="694E058C" w:rsidR="007658C9" w:rsidRPr="00987325" w:rsidRDefault="009D2869">
                                      <w:pPr>
                                        <w:pStyle w:val="NoSpacing"/>
                                        <w:jc w:val="right"/>
                                        <w:rPr>
                                          <w:color w:val="FFFFFF" w:themeColor="background1"/>
                                          <w:sz w:val="28"/>
                                          <w:szCs w:val="28"/>
                                        </w:rPr>
                                      </w:pPr>
                                      <w:r>
                                        <w:rPr>
                                          <w:color w:val="FFFFFF" w:themeColor="background1"/>
                                          <w:sz w:val="28"/>
                                          <w:szCs w:val="28"/>
                                        </w:rPr>
                                        <w:t>06/05/2026</w:t>
                                      </w:r>
                                    </w:p>
                                  </w:sdtContent>
                                </w:sdt>
                                <w:p w14:paraId="24335D7E" w14:textId="77777777" w:rsidR="00F322D7" w:rsidRDefault="00F322D7"/>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2270B7F5" id="Group 1" o:spid="_x0000_s1027" style="position:absolute;left:0;text-align:left;margin-left:5.25pt;margin-top:21pt;width:186.9pt;height:718.55pt;z-index:-251658240;mso-height-percent:950;mso-position-horizontal-relative:page;mso-position-vertical-relative:page;mso-height-percent:950" coordorigin="-2400" coordsize="237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">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9" type="#_x0000_t15" style="position:absolute;left:-2400;top:13338;width:16382;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" adj="17961"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5-06T00:00:00Z">
                                <w:dateFormat w:val="dd/MM/yyyy"/>
                                <w:lid w:val="en-GB"/>
                                <w:storeMappedDataAs w:val="dateTime"/>
                                <w:calendar w:val="gregorian"/>
                              </w:date>
                            </w:sdtPr>
                            <w:sdtEndPr/>
                            <w:sdtContent>
                              <w:p w14:paraId="37609C8E" w14:textId="694E058C" w:rsidR="007658C9" w:rsidRPr="00987325" w:rsidRDefault="009D2869">
                                <w:pPr>
                                  <w:pStyle w:val="NoSpacing"/>
                                  <w:jc w:val="right"/>
                                  <w:rPr>
                                    <w:color w:val="FFFFFF" w:themeColor="background1"/>
                                    <w:sz w:val="28"/>
                                    <w:szCs w:val="28"/>
                                  </w:rPr>
                                </w:pPr>
                                <w:r>
                                  <w:rPr>
                                    <w:color w:val="FFFFFF" w:themeColor="background1"/>
                                    <w:sz w:val="28"/>
                                    <w:szCs w:val="28"/>
                                  </w:rPr>
                                  <w:t>06/05/2026</w:t>
                                </w:r>
                              </w:p>
                            </w:sdtContent>
                          </w:sdt>
                          <w:p w14:paraId="24335D7E" w14:textId="77777777" w:rsidR="00F322D7" w:rsidRDefault="00F322D7"/>
                        </w:txbxContent>
                      </v:textbox>
                    </v:shape>
                    <v:group id="Group 5" o:spid="_x0000_s1030"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1"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2"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3"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4"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5"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6"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7"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8"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9"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0"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1"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2"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3"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4"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5"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6"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7"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8"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9"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50"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1"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2"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3"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4"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5"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7658C9" w:rsidRPr="008B2EDF">
            <w:rPr>
              <w:rFonts w:ascii="Times New Roman" w:hAnsi="Times New Roman" w:cs="Times New Roman"/>
              <w:noProof/>
              <w:sz w:val="24"/>
              <w:szCs w:val="24"/>
            </w:rPr>
            <mc:AlternateContent>
              <mc:Choice Requires="wps">
                <w:drawing>
                  <wp:anchor distT="0" distB="0" distL="114300" distR="114300" simplePos="0" relativeHeight="251658242" behindDoc="0" locked="0" layoutInCell="1" allowOverlap="1" wp14:anchorId="1D2448F4" wp14:editId="140F6C58">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62D539" w14:textId="4192C4DD" w:rsidR="007658C9" w:rsidRPr="00571C31" w:rsidRDefault="00115B3C">
                                <w:pPr>
                                  <w:pStyle w:val="NoSpacing"/>
                                  <w:rPr>
                                    <w:rFonts w:ascii="Times New Roman" w:hAnsi="Times New Roman" w:cs="Times New Roman"/>
                                    <w:color w:val="156082" w:themeColor="accent1"/>
                                    <w:sz w:val="24"/>
                                    <w:szCs w:val="24"/>
                                  </w:rPr>
                                </w:pPr>
                                <w:sdt>
                                  <w:sdtPr>
                                    <w:rPr>
                                      <w:rFonts w:ascii="Times New Roman" w:hAnsi="Times New Roman" w:cs="Times New Roman"/>
                                      <w:color w:val="156082" w:themeColor="accent1"/>
                                      <w:sz w:val="24"/>
                                      <w:szCs w:val="24"/>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93D6F">
                                      <w:rPr>
                                        <w:rFonts w:ascii="Times New Roman" w:hAnsi="Times New Roman" w:cs="Times New Roman"/>
                                        <w:color w:val="156082" w:themeColor="accent1"/>
                                        <w:sz w:val="24"/>
                                        <w:szCs w:val="24"/>
                                      </w:rPr>
                                      <w:t>Sandra Diana Boscaneanu (2016826)</w:t>
                                    </w:r>
                                  </w:sdtContent>
                                </w:sdt>
                              </w:p>
                              <w:p w14:paraId="3A9A92D2" w14:textId="760EA98D" w:rsidR="007658C9" w:rsidRPr="00571C31" w:rsidRDefault="00115B3C">
                                <w:pPr>
                                  <w:pStyle w:val="NoSpacing"/>
                                  <w:rPr>
                                    <w:rFonts w:ascii="Times New Roman" w:hAnsi="Times New Roman" w:cs="Times New Roman"/>
                                    <w:color w:val="595959" w:themeColor="text1" w:themeTint="A6"/>
                                    <w:sz w:val="24"/>
                                    <w:szCs w:val="24"/>
                                  </w:rPr>
                                </w:pPr>
                                <w:sdt>
                                  <w:sdt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726813">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1D2448F4" id="Text Box 2" o:spid="_x0000_s1056" type="#_x0000_t202" style="position:absolute;left:0;text-align:left;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" filled="f" stroked="f" strokeweight=".5pt">
                    <v:textbox style="mso-fit-shape-to-text:t" inset="0,0,0,0">
                      <w:txbxContent>
                        <w:p w14:paraId="1062D539" w14:textId="4192C4DD" w:rsidR="007658C9" w:rsidRPr="00571C31" w:rsidRDefault="00115B3C">
                          <w:pPr>
                            <w:pStyle w:val="NoSpacing"/>
                            <w:rPr>
                              <w:rFonts w:ascii="Times New Roman" w:hAnsi="Times New Roman" w:cs="Times New Roman"/>
                              <w:color w:val="156082" w:themeColor="accent1"/>
                              <w:sz w:val="24"/>
                              <w:szCs w:val="24"/>
                            </w:rPr>
                          </w:pPr>
                          <w:sdt>
                            <w:sdtPr>
                              <w:rPr>
                                <w:rFonts w:ascii="Times New Roman" w:hAnsi="Times New Roman" w:cs="Times New Roman"/>
                                <w:color w:val="156082" w:themeColor="accent1"/>
                                <w:sz w:val="24"/>
                                <w:szCs w:val="24"/>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93D6F">
                                <w:rPr>
                                  <w:rFonts w:ascii="Times New Roman" w:hAnsi="Times New Roman" w:cs="Times New Roman"/>
                                  <w:color w:val="156082" w:themeColor="accent1"/>
                                  <w:sz w:val="24"/>
                                  <w:szCs w:val="24"/>
                                </w:rPr>
                                <w:t>Sandra Diana Boscaneanu (2016826)</w:t>
                              </w:r>
                            </w:sdtContent>
                          </w:sdt>
                        </w:p>
                        <w:p w14:paraId="3A9A92D2" w14:textId="760EA98D" w:rsidR="007658C9" w:rsidRPr="00571C31" w:rsidRDefault="00115B3C">
                          <w:pPr>
                            <w:pStyle w:val="NoSpacing"/>
                            <w:rPr>
                              <w:rFonts w:ascii="Times New Roman" w:hAnsi="Times New Roman" w:cs="Times New Roman"/>
                              <w:color w:val="595959" w:themeColor="text1" w:themeTint="A6"/>
                              <w:sz w:val="24"/>
                              <w:szCs w:val="24"/>
                            </w:rPr>
                          </w:pPr>
                          <w:sdt>
                            <w:sdt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726813">
                                <w:t xml:space="preserve">     </w:t>
                              </w:r>
                            </w:sdtContent>
                          </w:sdt>
                        </w:p>
                      </w:txbxContent>
                    </v:textbox>
                    <w10:wrap anchorx="page" anchory="page"/>
                  </v:shape>
                </w:pict>
              </mc:Fallback>
            </mc:AlternateContent>
          </w:r>
        </w:p>
        <w:p w14:paraId="3BDAFD7E" w14:textId="388C28F0" w:rsidR="00D41AB0" w:rsidRPr="008B2EDF" w:rsidRDefault="00F322D7" w:rsidP="004F17FF">
          <w:pPr>
            <w:spacing w:line="360" w:lineRule="auto"/>
            <w:jc w:val="both"/>
            <w:rPr>
              <w:rFonts w:ascii="Times New Roman" w:hAnsi="Times New Roman" w:cs="Times New Roman"/>
              <w:sz w:val="24"/>
              <w:szCs w:val="24"/>
            </w:rPr>
          </w:pPr>
          <w:r w:rsidRPr="008B2EDF">
            <w:rPr>
              <w:rFonts w:ascii="Times New Roman" w:hAnsi="Times New Roman" w:cs="Times New Roman"/>
              <w:noProof/>
              <w:sz w:val="24"/>
              <w:szCs w:val="24"/>
            </w:rPr>
            <mc:AlternateContent>
              <mc:Choice Requires="wps">
                <w:drawing>
                  <wp:anchor distT="0" distB="0" distL="114300" distR="114300" simplePos="0" relativeHeight="251658241" behindDoc="0" locked="0" layoutInCell="1" allowOverlap="1" wp14:anchorId="2EBC2C2F" wp14:editId="1EC81232">
                    <wp:simplePos x="0" y="0"/>
                    <wp:positionH relativeFrom="margin">
                      <wp:posOffset>1195705</wp:posOffset>
                    </wp:positionH>
                    <wp:positionV relativeFrom="page">
                      <wp:posOffset>4040830</wp:posOffset>
                    </wp:positionV>
                    <wp:extent cx="4238625" cy="1069848"/>
                    <wp:effectExtent l="0" t="0" r="9525" b="8890"/>
                    <wp:wrapNone/>
                    <wp:docPr id="1" name="Text Box 3"/>
                    <wp:cNvGraphicFramePr/>
                    <a:graphic xmlns:a="http://schemas.openxmlformats.org/drawingml/2006/main">
                      <a:graphicData uri="http://schemas.microsoft.com/office/word/2010/wordprocessingShape">
                        <wps:wsp>
                          <wps:cNvSpPr txBox="1"/>
                          <wps:spPr>
                            <a:xfrm>
                              <a:off x="0" y="0"/>
                              <a:ext cx="4238625"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80AEEEE" w14:textId="5CD8E613" w:rsidR="003D0959" w:rsidRPr="003D0959" w:rsidRDefault="00571C31" w:rsidP="00D051E6">
                                <w:pPr>
                                  <w:spacing w:before="120"/>
                                  <w:rPr>
                                    <w:rFonts w:ascii="Times New Roman" w:eastAsiaTheme="majorEastAsia" w:hAnsi="Times New Roman" w:cs="Times New Roman"/>
                                    <w:i/>
                                    <w:iCs/>
                                    <w:color w:val="262626" w:themeColor="text1" w:themeTint="D9"/>
                                    <w:kern w:val="0"/>
                                    <w:sz w:val="36"/>
                                    <w:szCs w:val="36"/>
                                    <w:lang w:eastAsia="en-GB"/>
                                    <w14:ligatures w14:val="none"/>
                                  </w:rPr>
                                </w:pPr>
                                <w:r w:rsidRPr="00571C31">
                                  <w:rPr>
                                    <w:rFonts w:ascii="Times New Roman" w:hAnsi="Times New Roman" w:cs="Times New Roman"/>
                                  </w:rPr>
                                  <w:t xml:space="preserve"> </w:t>
                                </w:r>
                                <w:r w:rsidRPr="00571C31">
                                  <w:rPr>
                                    <w:rFonts w:ascii="Times New Roman" w:eastAsiaTheme="majorEastAsia" w:hAnsi="Times New Roman" w:cs="Times New Roman"/>
                                    <w:i/>
                                    <w:iCs/>
                                    <w:color w:val="262626" w:themeColor="text1" w:themeTint="D9"/>
                                    <w:kern w:val="0"/>
                                    <w:sz w:val="36"/>
                                    <w:szCs w:val="36"/>
                                    <w:lang w:eastAsia="en-GB"/>
                                    <w14:ligatures w14:val="none"/>
                                  </w:rPr>
                                  <w:t>The Hidden Roles and Contributions of Part-Time Women in UK Warehousing</w:t>
                                </w:r>
                              </w:p>
                              <w:p w14:paraId="26D899FE" w14:textId="5B5B0282" w:rsidR="00F43973" w:rsidRPr="00987325" w:rsidRDefault="00F43973" w:rsidP="00D051E6">
                                <w:pPr>
                                  <w:spacing w:before="120"/>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2EBC2C2F" id="Text Box 3" o:spid="_x0000_s1057" type="#_x0000_t202" style="position:absolute;left:0;text-align:left;margin-left:94.15pt;margin-top:318.2pt;width:333.75pt;height:84.25pt;z-index:251658241;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" filled="f" stroked="f" strokeweight=".5pt">
                    <v:textbox style="mso-fit-shape-to-text:t" inset="0,0,0,0">
                      <w:txbxContent>
                        <w:p w14:paraId="480AEEEE" w14:textId="5CD8E613" w:rsidR="003D0959" w:rsidRPr="003D0959" w:rsidRDefault="00571C31" w:rsidP="00D051E6">
                          <w:pPr>
                            <w:spacing w:before="120"/>
                            <w:rPr>
                              <w:rFonts w:ascii="Times New Roman" w:eastAsiaTheme="majorEastAsia" w:hAnsi="Times New Roman" w:cs="Times New Roman"/>
                              <w:i/>
                              <w:iCs/>
                              <w:color w:val="262626" w:themeColor="text1" w:themeTint="D9"/>
                              <w:kern w:val="0"/>
                              <w:sz w:val="36"/>
                              <w:szCs w:val="36"/>
                              <w:lang w:eastAsia="en-GB"/>
                              <w14:ligatures w14:val="none"/>
                            </w:rPr>
                          </w:pPr>
                          <w:r w:rsidRPr="00571C31">
                            <w:rPr>
                              <w:rFonts w:ascii="Times New Roman" w:hAnsi="Times New Roman" w:cs="Times New Roman"/>
                            </w:rPr>
                            <w:t xml:space="preserve"> </w:t>
                          </w:r>
                          <w:r w:rsidRPr="00571C31">
                            <w:rPr>
                              <w:rFonts w:ascii="Times New Roman" w:eastAsiaTheme="majorEastAsia" w:hAnsi="Times New Roman" w:cs="Times New Roman"/>
                              <w:i/>
                              <w:iCs/>
                              <w:color w:val="262626" w:themeColor="text1" w:themeTint="D9"/>
                              <w:kern w:val="0"/>
                              <w:sz w:val="36"/>
                              <w:szCs w:val="36"/>
                              <w:lang w:eastAsia="en-GB"/>
                              <w14:ligatures w14:val="none"/>
                            </w:rPr>
                            <w:t>The Hidden Roles and Contributions of Part-Time Women in UK Warehousing</w:t>
                          </w:r>
                        </w:p>
                        <w:p w14:paraId="26D899FE" w14:textId="5B5B0282" w:rsidR="00F43973" w:rsidRPr="00987325" w:rsidRDefault="00F43973" w:rsidP="00D051E6">
                          <w:pPr>
                            <w:spacing w:before="120"/>
                          </w:pPr>
                        </w:p>
                      </w:txbxContent>
                    </v:textbox>
                    <w10:wrap anchorx="margin" anchory="page"/>
                  </v:shape>
                </w:pict>
              </mc:Fallback>
            </mc:AlternateContent>
          </w:r>
          <w:r w:rsidR="003D0959" w:rsidRPr="008B2EDF">
            <w:rPr>
              <w:rFonts w:ascii="Times New Roman" w:hAnsi="Times New Roman" w:cs="Times New Roman"/>
              <w:noProof/>
              <w:sz w:val="24"/>
              <w:szCs w:val="24"/>
            </w:rPr>
            <mc:AlternateContent>
              <mc:Choice Requires="wps">
                <w:drawing>
                  <wp:anchor distT="0" distB="0" distL="114300" distR="114300" simplePos="0" relativeHeight="251659267" behindDoc="0" locked="0" layoutInCell="1" allowOverlap="1" wp14:anchorId="177B5314" wp14:editId="7D53D7C4">
                    <wp:simplePos x="0" y="0"/>
                    <wp:positionH relativeFrom="column">
                      <wp:posOffset>2257425</wp:posOffset>
                    </wp:positionH>
                    <wp:positionV relativeFrom="paragraph">
                      <wp:posOffset>8828597</wp:posOffset>
                    </wp:positionV>
                    <wp:extent cx="3076575" cy="266700"/>
                    <wp:effectExtent l="0" t="0" r="9525" b="0"/>
                    <wp:wrapNone/>
                    <wp:docPr id="454021070" name="Text Box 29"/>
                    <wp:cNvGraphicFramePr/>
                    <a:graphic xmlns:a="http://schemas.openxmlformats.org/drawingml/2006/main">
                      <a:graphicData uri="http://schemas.microsoft.com/office/word/2010/wordprocessingShape">
                        <wps:wsp>
                          <wps:cNvSpPr txBox="1"/>
                          <wps:spPr>
                            <a:xfrm>
                              <a:off x="0" y="0"/>
                              <a:ext cx="3076575" cy="266700"/>
                            </a:xfrm>
                            <a:prstGeom prst="rect">
                              <a:avLst/>
                            </a:prstGeom>
                            <a:solidFill>
                              <a:schemeClr val="lt1"/>
                            </a:solidFill>
                            <a:ln w="6350">
                              <a:noFill/>
                            </a:ln>
                          </wps:spPr>
                          <wps:txbx>
                            <w:txbxContent>
                              <w:p w14:paraId="36143B16" w14:textId="160B13A8" w:rsidR="003D0959" w:rsidRDefault="003D095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77B5314" id="Text Box 29" o:spid="_x0000_s1058" type="#_x0000_t202" style="position:absolute;left:0;text-align:left;margin-left:177.75pt;margin-top:695.15pt;width:242.25pt;height:21pt;z-index:251659267;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" fillcolor="white [3201]" stroked="f" strokeweight=".5pt">
                    <v:textbox>
                      <w:txbxContent>
                        <w:p w14:paraId="36143B16" w14:textId="160B13A8" w:rsidR="003D0959" w:rsidRDefault="003D0959"/>
                      </w:txbxContent>
                    </v:textbox>
                  </v:shape>
                </w:pict>
              </mc:Fallback>
            </mc:AlternateContent>
          </w:r>
          <w:r w:rsidR="007658C9" w:rsidRPr="008B2EDF">
            <w:rPr>
              <w:rFonts w:ascii="Times New Roman" w:hAnsi="Times New Roman" w:cs="Times New Roman"/>
              <w:sz w:val="24"/>
              <w:szCs w:val="24"/>
            </w:rPr>
            <w:br w:type="page"/>
          </w:r>
        </w:p>
        <w:p w14:paraId="278913D3" w14:textId="77777777" w:rsidR="006F105A" w:rsidRDefault="006F105A" w:rsidP="008A453F">
          <w:pPr>
            <w:spacing w:line="360" w:lineRule="auto"/>
            <w:jc w:val="both"/>
            <w:rPr>
              <w:rFonts w:ascii="Times New Roman" w:hAnsi="Times New Roman" w:cs="Times New Roman"/>
              <w:sz w:val="24"/>
              <w:szCs w:val="24"/>
            </w:rPr>
          </w:pPr>
        </w:p>
        <w:p w14:paraId="1915ED4F" w14:textId="7BFB1EBA" w:rsidR="008A453F" w:rsidRDefault="008A453F" w:rsidP="008A453F">
          <w:pPr>
            <w:spacing w:line="360" w:lineRule="auto"/>
            <w:jc w:val="both"/>
            <w:rPr>
              <w:rFonts w:ascii="Times New Roman" w:hAnsi="Times New Roman" w:cs="Times New Roman"/>
              <w:sz w:val="24"/>
              <w:szCs w:val="24"/>
            </w:rPr>
          </w:pPr>
          <w:r w:rsidRPr="008A453F">
            <w:rPr>
              <w:rFonts w:ascii="Times New Roman" w:hAnsi="Times New Roman" w:cs="Times New Roman"/>
              <w:sz w:val="24"/>
              <w:szCs w:val="24"/>
            </w:rPr>
            <w:t>I confirm that this dissertation is my own original work and has not been submitted previously in whole or in part for the award of any other degree or qualification. All sources used have been appropriately acknowledged and referenced in accordance with academic conventions. I also confirm that this work complies with the academic integrity and ethical requirements of the University of Wales Trinity Saint David.</w:t>
          </w:r>
        </w:p>
        <w:p w14:paraId="6BD6D043" w14:textId="77777777" w:rsidR="008A453F" w:rsidRDefault="008A453F">
          <w:pPr>
            <w:rPr>
              <w:rFonts w:ascii="Times New Roman" w:hAnsi="Times New Roman" w:cs="Times New Roman"/>
              <w:sz w:val="24"/>
              <w:szCs w:val="24"/>
            </w:rPr>
          </w:pPr>
          <w:r>
            <w:rPr>
              <w:rFonts w:ascii="Times New Roman" w:hAnsi="Times New Roman" w:cs="Times New Roman"/>
              <w:sz w:val="24"/>
              <w:szCs w:val="24"/>
            </w:rPr>
            <w:br w:type="page"/>
          </w:r>
        </w:p>
        <w:p w14:paraId="7E8629B6" w14:textId="77777777" w:rsidR="006F105A" w:rsidRDefault="006F105A">
          <w:pPr>
            <w:rPr>
              <w:rFonts w:ascii="Times New Roman" w:hAnsi="Times New Roman" w:cs="Times New Roman"/>
              <w:sz w:val="24"/>
              <w:szCs w:val="24"/>
            </w:rPr>
          </w:pPr>
        </w:p>
        <w:p w14:paraId="40D27150" w14:textId="5048EF6C" w:rsidR="007B393E" w:rsidRPr="008B2EDF" w:rsidRDefault="00B8369D" w:rsidP="006F105A">
          <w:pPr>
            <w:spacing w:line="360" w:lineRule="auto"/>
            <w:jc w:val="center"/>
            <w:rPr>
              <w:rFonts w:ascii="Times New Roman" w:hAnsi="Times New Roman" w:cs="Times New Roman"/>
              <w:sz w:val="24"/>
              <w:szCs w:val="24"/>
            </w:rPr>
          </w:pPr>
          <w:r w:rsidRPr="008B2EDF">
            <w:rPr>
              <w:rFonts w:ascii="Times New Roman" w:hAnsi="Times New Roman" w:cs="Times New Roman"/>
              <w:sz w:val="24"/>
              <w:szCs w:val="24"/>
            </w:rPr>
            <w:t>Acknowledgement</w:t>
          </w:r>
        </w:p>
        <w:p w14:paraId="32CF3B8B" w14:textId="77777777" w:rsidR="007B393E" w:rsidRPr="008B2EDF" w:rsidRDefault="007B393E" w:rsidP="004F17FF">
          <w:pPr>
            <w:spacing w:line="360" w:lineRule="auto"/>
            <w:jc w:val="both"/>
            <w:rPr>
              <w:rFonts w:ascii="Times New Roman" w:hAnsi="Times New Roman" w:cs="Times New Roman"/>
              <w:sz w:val="24"/>
              <w:szCs w:val="24"/>
            </w:rPr>
          </w:pPr>
        </w:p>
        <w:p w14:paraId="38805589" w14:textId="584B0DF7" w:rsidR="006E0EAA" w:rsidRPr="008B2EDF" w:rsidRDefault="006E0EAA" w:rsidP="004F17FF">
          <w:pPr>
            <w:spacing w:line="360" w:lineRule="auto"/>
            <w:jc w:val="both"/>
            <w:rPr>
              <w:rFonts w:ascii="Times New Roman" w:hAnsi="Times New Roman" w:cs="Times New Roman"/>
              <w:sz w:val="24"/>
              <w:szCs w:val="24"/>
            </w:rPr>
          </w:pPr>
          <w:r w:rsidRPr="008B2EDF">
            <w:rPr>
              <w:rFonts w:ascii="Times New Roman" w:hAnsi="Times New Roman" w:cs="Times New Roman"/>
              <w:sz w:val="24"/>
              <w:szCs w:val="24"/>
            </w:rPr>
            <w:t>I would like to express my heartfelt gratitude to my husband for his unwavering support, patience, and encouragement throughout these four years of study. To my children, thank you for your understanding, love, and for inspiring me to persevere even during the most challenging times. I am deeply grateful to my sister, my mum, my brother, and my wider family for their constant encouragement, guidance, and belief in my abilities. I would also like to thank my best friends for their support, motivation, and companionship throughout this journey.</w:t>
          </w:r>
        </w:p>
        <w:p w14:paraId="1707D0AA" w14:textId="0DD1FD83" w:rsidR="00D41AB0" w:rsidRPr="008B2EDF" w:rsidRDefault="006E0EAA" w:rsidP="004F17FF">
          <w:pPr>
            <w:spacing w:line="360" w:lineRule="auto"/>
            <w:jc w:val="both"/>
            <w:rPr>
              <w:rFonts w:ascii="Times New Roman" w:hAnsi="Times New Roman" w:cs="Times New Roman"/>
              <w:sz w:val="24"/>
              <w:szCs w:val="24"/>
            </w:rPr>
          </w:pPr>
          <w:r w:rsidRPr="008B2EDF">
            <w:rPr>
              <w:rFonts w:ascii="Times New Roman" w:hAnsi="Times New Roman" w:cs="Times New Roman"/>
              <w:sz w:val="24"/>
              <w:szCs w:val="24"/>
            </w:rPr>
            <w:t xml:space="preserve">Importantly, I would like to acknowledge myself for not giving up, and I thank God for giving me strength and perseverance to reach this point. Additionally, I </w:t>
          </w:r>
          <w:r w:rsidR="00863F6E" w:rsidRPr="008B2EDF">
            <w:rPr>
              <w:rFonts w:ascii="Times New Roman" w:hAnsi="Times New Roman" w:cs="Times New Roman"/>
              <w:sz w:val="24"/>
              <w:szCs w:val="24"/>
            </w:rPr>
            <w:t>appreciate</w:t>
          </w:r>
          <w:r w:rsidRPr="008B2EDF">
            <w:rPr>
              <w:rFonts w:ascii="Times New Roman" w:hAnsi="Times New Roman" w:cs="Times New Roman"/>
              <w:sz w:val="24"/>
              <w:szCs w:val="24"/>
            </w:rPr>
            <w:t xml:space="preserve"> the Student Support Team for their guidance, assistance, and dedication, which </w:t>
          </w:r>
          <w:r w:rsidR="00034D3B" w:rsidRPr="008B2EDF">
            <w:rPr>
              <w:rFonts w:ascii="Times New Roman" w:hAnsi="Times New Roman" w:cs="Times New Roman"/>
              <w:sz w:val="24"/>
              <w:szCs w:val="24"/>
            </w:rPr>
            <w:t>facilitated</w:t>
          </w:r>
          <w:r w:rsidRPr="008B2EDF">
            <w:rPr>
              <w:rFonts w:ascii="Times New Roman" w:hAnsi="Times New Roman" w:cs="Times New Roman"/>
              <w:sz w:val="24"/>
              <w:szCs w:val="24"/>
            </w:rPr>
            <w:t xml:space="preserve"> my progress. This accomplishment would not have been possible without the love, encouragement, and support of all of you.</w:t>
          </w:r>
          <w:r w:rsidR="00D41AB0" w:rsidRPr="008B2EDF">
            <w:rPr>
              <w:rFonts w:ascii="Times New Roman" w:hAnsi="Times New Roman" w:cs="Times New Roman"/>
              <w:sz w:val="24"/>
              <w:szCs w:val="24"/>
            </w:rPr>
            <w:br w:type="page"/>
          </w:r>
        </w:p>
        <w:p w14:paraId="42D3A24D" w14:textId="5B3B8FC8" w:rsidR="00F43973" w:rsidRPr="008B2EDF" w:rsidRDefault="00115B3C" w:rsidP="004F17FF">
          <w:pPr>
            <w:spacing w:line="360" w:lineRule="auto"/>
            <w:jc w:val="both"/>
            <w:rPr>
              <w:rFonts w:ascii="Times New Roman" w:hAnsi="Times New Roman" w:cs="Times New Roman"/>
              <w:sz w:val="24"/>
              <w:szCs w:val="24"/>
            </w:rPr>
          </w:pPr>
        </w:p>
      </w:sdtContent>
    </w:sdt>
    <w:p w14:paraId="37237037" w14:textId="15920E2F" w:rsidR="00D664C0" w:rsidRPr="008B2EDF" w:rsidRDefault="00D664C0" w:rsidP="00B66632">
      <w:pPr>
        <w:tabs>
          <w:tab w:val="left" w:pos="2490"/>
        </w:tabs>
        <w:spacing w:line="360" w:lineRule="auto"/>
        <w:jc w:val="center"/>
        <w:rPr>
          <w:rFonts w:ascii="Times New Roman" w:hAnsi="Times New Roman" w:cs="Times New Roman"/>
          <w:sz w:val="24"/>
          <w:szCs w:val="24"/>
        </w:rPr>
      </w:pPr>
      <w:r w:rsidRPr="008B2EDF">
        <w:rPr>
          <w:rFonts w:ascii="Times New Roman" w:hAnsi="Times New Roman" w:cs="Times New Roman"/>
          <w:sz w:val="24"/>
          <w:szCs w:val="24"/>
        </w:rPr>
        <w:t>Abstract</w:t>
      </w:r>
    </w:p>
    <w:p w14:paraId="0F2968DA" w14:textId="77777777" w:rsidR="00B66632" w:rsidRPr="008B2EDF" w:rsidRDefault="00B66632" w:rsidP="00B66632">
      <w:pPr>
        <w:spacing w:line="360" w:lineRule="auto"/>
        <w:jc w:val="both"/>
        <w:rPr>
          <w:rFonts w:ascii="Times New Roman" w:hAnsi="Times New Roman" w:cs="Times New Roman"/>
          <w:sz w:val="24"/>
          <w:szCs w:val="24"/>
        </w:rPr>
      </w:pPr>
      <w:r w:rsidRPr="008B2EDF">
        <w:rPr>
          <w:rFonts w:ascii="Times New Roman" w:hAnsi="Times New Roman" w:cs="Times New Roman"/>
          <w:sz w:val="24"/>
          <w:szCs w:val="24"/>
        </w:rPr>
        <w:t>This study investigates the career progression experiences of part-time women in the UK warehousing sector, with a particular focus on invisible labour, recognition, and structural barriers to advancement. Despite the growing prevalence of flexible working arrangements, part-time employment remains associated with persistent inequalities in career development and workplace reward systems. The research adopts a mixed-methods design, combining quantitative survey data from 120 participants with qualitative thematic analysis of open-ended responses. Inferential statistical techniques, including Chi-square tests, one-way ANOVA, and Pearson correlation analysis, were used alongside descriptive statistics to examine relationships between employment characteristics and perceived workplace outcomes.</w:t>
      </w:r>
    </w:p>
    <w:p w14:paraId="42A81CA1" w14:textId="77777777" w:rsidR="00B66632" w:rsidRPr="008B2EDF" w:rsidRDefault="00B66632" w:rsidP="00B66632">
      <w:pPr>
        <w:spacing w:line="360" w:lineRule="auto"/>
        <w:jc w:val="both"/>
        <w:rPr>
          <w:rFonts w:ascii="Times New Roman" w:hAnsi="Times New Roman" w:cs="Times New Roman"/>
          <w:sz w:val="24"/>
          <w:szCs w:val="24"/>
        </w:rPr>
      </w:pPr>
      <w:r w:rsidRPr="008B2EDF">
        <w:rPr>
          <w:rFonts w:ascii="Times New Roman" w:hAnsi="Times New Roman" w:cs="Times New Roman"/>
          <w:sz w:val="24"/>
          <w:szCs w:val="24"/>
        </w:rPr>
        <w:t>The findings indicate that part-time status is the most significant predictor of reduced recognition and limited career progression opportunities. A statistically significant association was found between employment status and perceived recognition (χ² = 12.45, p = 0.001), with part-time employees reporting lower levels of formal acknowledgment compared to full-time workers. Additionally, a moderate positive correlation was identified between weekly working hours and perceived access to career advancement (r = 0.42, p = 0.002), suggesting that increased hours are associated with greater perceived progression opportunities. Qualitative findings further reveal widespread invisible labour, including mentoring, emotional support, and covering additional workloads, which is rarely reflected in formal evaluation systems.</w:t>
      </w:r>
    </w:p>
    <w:p w14:paraId="465F377C" w14:textId="77777777" w:rsidR="00B66632" w:rsidRPr="008B2EDF" w:rsidRDefault="00B66632" w:rsidP="00B66632">
      <w:pPr>
        <w:spacing w:line="360" w:lineRule="auto"/>
        <w:jc w:val="both"/>
        <w:rPr>
          <w:rFonts w:ascii="Times New Roman" w:hAnsi="Times New Roman" w:cs="Times New Roman"/>
          <w:sz w:val="24"/>
          <w:szCs w:val="24"/>
        </w:rPr>
      </w:pPr>
      <w:r w:rsidRPr="008B2EDF">
        <w:rPr>
          <w:rFonts w:ascii="Times New Roman" w:hAnsi="Times New Roman" w:cs="Times New Roman"/>
          <w:sz w:val="24"/>
          <w:szCs w:val="24"/>
        </w:rPr>
        <w:t>The study is theoretically informed by Human Capital Theory, Equity Theory, and Work–Life Balance Theory. The results challenge assumptions that flexibility alone promotes equality, demonstrating instead that flexible and part-time arrangements may reinforce structural inequalities when not supported by equitable organisational practices. The research concludes that addressing these disparities requires formal recognition of invisible labour, equitable access to training, and transparent promotion systems to ensure fair career progression for part-time women in warehousing.</w:t>
      </w:r>
    </w:p>
    <w:p w14:paraId="7F167973" w14:textId="2E730F94" w:rsidR="008A0024" w:rsidRPr="008B2EDF" w:rsidRDefault="00E70399" w:rsidP="004F17FF">
      <w:pPr>
        <w:spacing w:line="360" w:lineRule="auto"/>
        <w:jc w:val="both"/>
        <w:rPr>
          <w:rFonts w:ascii="Times New Roman" w:hAnsi="Times New Roman" w:cs="Times New Roman"/>
          <w:sz w:val="24"/>
          <w:szCs w:val="24"/>
        </w:rPr>
      </w:pPr>
      <w:r w:rsidRPr="008B2EDF">
        <w:rPr>
          <w:rFonts w:ascii="Times New Roman" w:hAnsi="Times New Roman" w:cs="Times New Roman"/>
          <w:sz w:val="24"/>
          <w:szCs w:val="24"/>
        </w:rPr>
        <w:br w:type="page"/>
      </w:r>
    </w:p>
    <w:sdt>
      <w:sdtPr>
        <w:rPr>
          <w:rFonts w:ascii="Times New Roman" w:eastAsiaTheme="minorHAnsi" w:hAnsi="Times New Roman" w:cs="Times New Roman"/>
          <w:color w:val="auto"/>
          <w:kern w:val="2"/>
          <w:sz w:val="24"/>
          <w:szCs w:val="24"/>
          <w:lang w:eastAsia="en-US"/>
          <w14:ligatures w14:val="standardContextual"/>
        </w:rPr>
        <w:id w:val="-1645576318"/>
        <w:docPartObj>
          <w:docPartGallery w:val="Table of Contents"/>
          <w:docPartUnique/>
        </w:docPartObj>
      </w:sdtPr>
      <w:sdtEndPr>
        <w:rPr>
          <w:b/>
          <w:bCs/>
        </w:rPr>
      </w:sdtEndPr>
      <w:sdtContent>
        <w:p w14:paraId="22553F23" w14:textId="5ACEEA0B" w:rsidR="00F166FA" w:rsidRPr="008B2EDF" w:rsidRDefault="00F166FA" w:rsidP="004F17FF">
          <w:pPr>
            <w:pStyle w:val="TOCHeading"/>
            <w:spacing w:line="360" w:lineRule="auto"/>
            <w:jc w:val="both"/>
            <w:rPr>
              <w:rFonts w:ascii="Times New Roman" w:hAnsi="Times New Roman" w:cs="Times New Roman"/>
              <w:sz w:val="24"/>
              <w:szCs w:val="24"/>
            </w:rPr>
          </w:pPr>
          <w:r w:rsidRPr="008B2EDF">
            <w:rPr>
              <w:rFonts w:ascii="Times New Roman" w:hAnsi="Times New Roman" w:cs="Times New Roman"/>
              <w:sz w:val="24"/>
              <w:szCs w:val="24"/>
            </w:rPr>
            <w:t>Table of Contents</w:t>
          </w:r>
        </w:p>
        <w:p w14:paraId="41870E17" w14:textId="0414F1DC" w:rsidR="009B7948" w:rsidRDefault="00F166FA">
          <w:pPr>
            <w:pStyle w:val="TOC1"/>
            <w:rPr>
              <w:rFonts w:asciiTheme="minorHAnsi" w:eastAsiaTheme="minorEastAsia" w:hAnsiTheme="minorHAnsi" w:cstheme="minorBidi"/>
              <w:sz w:val="24"/>
              <w:szCs w:val="24"/>
              <w:lang w:eastAsia="en-GB"/>
            </w:rPr>
          </w:pPr>
          <w:r w:rsidRPr="008B2EDF">
            <w:rPr>
              <w:sz w:val="24"/>
              <w:szCs w:val="24"/>
            </w:rPr>
            <w:fldChar w:fldCharType="begin"/>
          </w:r>
          <w:r w:rsidRPr="008B2EDF">
            <w:rPr>
              <w:sz w:val="24"/>
              <w:szCs w:val="24"/>
            </w:rPr>
            <w:instrText xml:space="preserve"> TOC \o "1-3" \h \z \u </w:instrText>
          </w:r>
          <w:r w:rsidRPr="008B2EDF">
            <w:rPr>
              <w:sz w:val="24"/>
              <w:szCs w:val="24"/>
            </w:rPr>
            <w:fldChar w:fldCharType="separate"/>
          </w:r>
          <w:hyperlink w:anchor="_Toc228970916" w:history="1">
            <w:r w:rsidR="009B7948" w:rsidRPr="00297C14">
              <w:rPr>
                <w:rStyle w:val="Hyperlink"/>
              </w:rPr>
              <w:t>1. Introduction</w:t>
            </w:r>
            <w:r w:rsidR="009B7948">
              <w:rPr>
                <w:webHidden/>
              </w:rPr>
              <w:tab/>
            </w:r>
            <w:r w:rsidR="009B7948">
              <w:rPr>
                <w:webHidden/>
              </w:rPr>
              <w:fldChar w:fldCharType="begin"/>
            </w:r>
            <w:r w:rsidR="009B7948">
              <w:rPr>
                <w:webHidden/>
              </w:rPr>
              <w:instrText xml:space="preserve"> PAGEREF _Toc228970916 \h </w:instrText>
            </w:r>
            <w:r w:rsidR="009B7948">
              <w:rPr>
                <w:webHidden/>
              </w:rPr>
            </w:r>
            <w:r w:rsidR="009B7948">
              <w:rPr>
                <w:webHidden/>
              </w:rPr>
              <w:fldChar w:fldCharType="separate"/>
            </w:r>
            <w:r w:rsidR="009B7948">
              <w:rPr>
                <w:webHidden/>
              </w:rPr>
              <w:t>1</w:t>
            </w:r>
            <w:r w:rsidR="009B7948">
              <w:rPr>
                <w:webHidden/>
              </w:rPr>
              <w:fldChar w:fldCharType="end"/>
            </w:r>
          </w:hyperlink>
        </w:p>
        <w:p w14:paraId="75345D2C" w14:textId="38C471A3" w:rsidR="009B7948" w:rsidRDefault="009B7948">
          <w:pPr>
            <w:pStyle w:val="TOC1"/>
            <w:rPr>
              <w:rFonts w:asciiTheme="minorHAnsi" w:eastAsiaTheme="minorEastAsia" w:hAnsiTheme="minorHAnsi" w:cstheme="minorBidi"/>
              <w:sz w:val="24"/>
              <w:szCs w:val="24"/>
              <w:lang w:eastAsia="en-GB"/>
            </w:rPr>
          </w:pPr>
          <w:hyperlink w:anchor="_Toc228970917" w:history="1">
            <w:r w:rsidRPr="00297C14">
              <w:rPr>
                <w:rStyle w:val="Hyperlink"/>
              </w:rPr>
              <w:t>2. Research Problem</w:t>
            </w:r>
            <w:r>
              <w:rPr>
                <w:webHidden/>
              </w:rPr>
              <w:tab/>
            </w:r>
            <w:r>
              <w:rPr>
                <w:webHidden/>
              </w:rPr>
              <w:fldChar w:fldCharType="begin"/>
            </w:r>
            <w:r>
              <w:rPr>
                <w:webHidden/>
              </w:rPr>
              <w:instrText xml:space="preserve"> PAGEREF _Toc228970917 \h </w:instrText>
            </w:r>
            <w:r>
              <w:rPr>
                <w:webHidden/>
              </w:rPr>
            </w:r>
            <w:r>
              <w:rPr>
                <w:webHidden/>
              </w:rPr>
              <w:fldChar w:fldCharType="separate"/>
            </w:r>
            <w:r>
              <w:rPr>
                <w:webHidden/>
              </w:rPr>
              <w:t>2</w:t>
            </w:r>
            <w:r>
              <w:rPr>
                <w:webHidden/>
              </w:rPr>
              <w:fldChar w:fldCharType="end"/>
            </w:r>
          </w:hyperlink>
        </w:p>
        <w:p w14:paraId="74E7527F" w14:textId="66DC2521" w:rsidR="009B7948" w:rsidRDefault="009B7948">
          <w:pPr>
            <w:pStyle w:val="TOC1"/>
            <w:rPr>
              <w:rFonts w:asciiTheme="minorHAnsi" w:eastAsiaTheme="minorEastAsia" w:hAnsiTheme="minorHAnsi" w:cstheme="minorBidi"/>
              <w:sz w:val="24"/>
              <w:szCs w:val="24"/>
              <w:lang w:eastAsia="en-GB"/>
            </w:rPr>
          </w:pPr>
          <w:hyperlink w:anchor="_Toc228970918" w:history="1">
            <w:r w:rsidRPr="00297C14">
              <w:rPr>
                <w:rStyle w:val="Hyperlink"/>
              </w:rPr>
              <w:t>3. Literature Review</w:t>
            </w:r>
            <w:r>
              <w:rPr>
                <w:webHidden/>
              </w:rPr>
              <w:tab/>
            </w:r>
            <w:r>
              <w:rPr>
                <w:webHidden/>
              </w:rPr>
              <w:fldChar w:fldCharType="begin"/>
            </w:r>
            <w:r>
              <w:rPr>
                <w:webHidden/>
              </w:rPr>
              <w:instrText xml:space="preserve"> PAGEREF _Toc228970918 \h </w:instrText>
            </w:r>
            <w:r>
              <w:rPr>
                <w:webHidden/>
              </w:rPr>
            </w:r>
            <w:r>
              <w:rPr>
                <w:webHidden/>
              </w:rPr>
              <w:fldChar w:fldCharType="separate"/>
            </w:r>
            <w:r>
              <w:rPr>
                <w:webHidden/>
              </w:rPr>
              <w:t>3</w:t>
            </w:r>
            <w:r>
              <w:rPr>
                <w:webHidden/>
              </w:rPr>
              <w:fldChar w:fldCharType="end"/>
            </w:r>
          </w:hyperlink>
        </w:p>
        <w:p w14:paraId="6954D988" w14:textId="7D399CCB" w:rsidR="009B7948" w:rsidRDefault="009B7948">
          <w:pPr>
            <w:pStyle w:val="TOC2"/>
            <w:tabs>
              <w:tab w:val="right" w:leader="dot" w:pos="9016"/>
            </w:tabs>
            <w:rPr>
              <w:rFonts w:eastAsiaTheme="minorEastAsia"/>
              <w:noProof/>
              <w:sz w:val="24"/>
              <w:szCs w:val="24"/>
              <w:lang w:eastAsia="en-GB"/>
            </w:rPr>
          </w:pPr>
          <w:hyperlink w:anchor="_Toc228970919" w:history="1">
            <w:r w:rsidRPr="00297C14">
              <w:rPr>
                <w:rStyle w:val="Hyperlink"/>
                <w:rFonts w:ascii="Times New Roman" w:hAnsi="Times New Roman" w:cs="Times New Roman"/>
                <w:noProof/>
              </w:rPr>
              <w:t>3.1 Introduction and Current Landscape of Part-Time Work</w:t>
            </w:r>
            <w:r>
              <w:rPr>
                <w:noProof/>
                <w:webHidden/>
              </w:rPr>
              <w:tab/>
            </w:r>
            <w:r>
              <w:rPr>
                <w:noProof/>
                <w:webHidden/>
              </w:rPr>
              <w:fldChar w:fldCharType="begin"/>
            </w:r>
            <w:r>
              <w:rPr>
                <w:noProof/>
                <w:webHidden/>
              </w:rPr>
              <w:instrText xml:space="preserve"> PAGEREF _Toc228970919 \h </w:instrText>
            </w:r>
            <w:r>
              <w:rPr>
                <w:noProof/>
                <w:webHidden/>
              </w:rPr>
            </w:r>
            <w:r>
              <w:rPr>
                <w:noProof/>
                <w:webHidden/>
              </w:rPr>
              <w:fldChar w:fldCharType="separate"/>
            </w:r>
            <w:r>
              <w:rPr>
                <w:noProof/>
                <w:webHidden/>
              </w:rPr>
              <w:t>3</w:t>
            </w:r>
            <w:r>
              <w:rPr>
                <w:noProof/>
                <w:webHidden/>
              </w:rPr>
              <w:fldChar w:fldCharType="end"/>
            </w:r>
          </w:hyperlink>
        </w:p>
        <w:p w14:paraId="772A18EF" w14:textId="2774D74E" w:rsidR="009B7948" w:rsidRDefault="009B7948">
          <w:pPr>
            <w:pStyle w:val="TOC2"/>
            <w:tabs>
              <w:tab w:val="right" w:leader="dot" w:pos="9016"/>
            </w:tabs>
            <w:rPr>
              <w:rFonts w:eastAsiaTheme="minorEastAsia"/>
              <w:noProof/>
              <w:sz w:val="24"/>
              <w:szCs w:val="24"/>
              <w:lang w:eastAsia="en-GB"/>
            </w:rPr>
          </w:pPr>
          <w:hyperlink w:anchor="_Toc228970920" w:history="1">
            <w:r w:rsidRPr="00297C14">
              <w:rPr>
                <w:rStyle w:val="Hyperlink"/>
                <w:rFonts w:ascii="Times New Roman" w:hAnsi="Times New Roman" w:cs="Times New Roman"/>
                <w:noProof/>
              </w:rPr>
              <w:t>3.2 Historical Evolution of Part-Time Work in the UK</w:t>
            </w:r>
            <w:r>
              <w:rPr>
                <w:noProof/>
                <w:webHidden/>
              </w:rPr>
              <w:tab/>
            </w:r>
            <w:r>
              <w:rPr>
                <w:noProof/>
                <w:webHidden/>
              </w:rPr>
              <w:fldChar w:fldCharType="begin"/>
            </w:r>
            <w:r>
              <w:rPr>
                <w:noProof/>
                <w:webHidden/>
              </w:rPr>
              <w:instrText xml:space="preserve"> PAGEREF _Toc228970920 \h </w:instrText>
            </w:r>
            <w:r>
              <w:rPr>
                <w:noProof/>
                <w:webHidden/>
              </w:rPr>
            </w:r>
            <w:r>
              <w:rPr>
                <w:noProof/>
                <w:webHidden/>
              </w:rPr>
              <w:fldChar w:fldCharType="separate"/>
            </w:r>
            <w:r>
              <w:rPr>
                <w:noProof/>
                <w:webHidden/>
              </w:rPr>
              <w:t>5</w:t>
            </w:r>
            <w:r>
              <w:rPr>
                <w:noProof/>
                <w:webHidden/>
              </w:rPr>
              <w:fldChar w:fldCharType="end"/>
            </w:r>
          </w:hyperlink>
        </w:p>
        <w:p w14:paraId="250B838F" w14:textId="38C45CA4" w:rsidR="009B7948" w:rsidRDefault="009B7948">
          <w:pPr>
            <w:pStyle w:val="TOC2"/>
            <w:tabs>
              <w:tab w:val="right" w:leader="dot" w:pos="9016"/>
            </w:tabs>
            <w:rPr>
              <w:rFonts w:eastAsiaTheme="minorEastAsia"/>
              <w:noProof/>
              <w:sz w:val="24"/>
              <w:szCs w:val="24"/>
              <w:lang w:eastAsia="en-GB"/>
            </w:rPr>
          </w:pPr>
          <w:hyperlink w:anchor="_Toc228970921" w:history="1">
            <w:r w:rsidRPr="00297C14">
              <w:rPr>
                <w:rStyle w:val="Hyperlink"/>
                <w:rFonts w:ascii="Times New Roman" w:hAnsi="Times New Roman" w:cs="Times New Roman"/>
                <w:noProof/>
              </w:rPr>
              <w:t>3.3 International Comparisons</w:t>
            </w:r>
            <w:r>
              <w:rPr>
                <w:noProof/>
                <w:webHidden/>
              </w:rPr>
              <w:tab/>
            </w:r>
            <w:r>
              <w:rPr>
                <w:noProof/>
                <w:webHidden/>
              </w:rPr>
              <w:fldChar w:fldCharType="begin"/>
            </w:r>
            <w:r>
              <w:rPr>
                <w:noProof/>
                <w:webHidden/>
              </w:rPr>
              <w:instrText xml:space="preserve"> PAGEREF _Toc228970921 \h </w:instrText>
            </w:r>
            <w:r>
              <w:rPr>
                <w:noProof/>
                <w:webHidden/>
              </w:rPr>
            </w:r>
            <w:r>
              <w:rPr>
                <w:noProof/>
                <w:webHidden/>
              </w:rPr>
              <w:fldChar w:fldCharType="separate"/>
            </w:r>
            <w:r>
              <w:rPr>
                <w:noProof/>
                <w:webHidden/>
              </w:rPr>
              <w:t>5</w:t>
            </w:r>
            <w:r>
              <w:rPr>
                <w:noProof/>
                <w:webHidden/>
              </w:rPr>
              <w:fldChar w:fldCharType="end"/>
            </w:r>
          </w:hyperlink>
        </w:p>
        <w:p w14:paraId="45C2CCCE" w14:textId="312A3001" w:rsidR="009B7948" w:rsidRDefault="009B7948">
          <w:pPr>
            <w:pStyle w:val="TOC2"/>
            <w:tabs>
              <w:tab w:val="right" w:leader="dot" w:pos="9016"/>
            </w:tabs>
            <w:rPr>
              <w:rFonts w:eastAsiaTheme="minorEastAsia"/>
              <w:noProof/>
              <w:sz w:val="24"/>
              <w:szCs w:val="24"/>
              <w:lang w:eastAsia="en-GB"/>
            </w:rPr>
          </w:pPr>
          <w:hyperlink w:anchor="_Toc228970922" w:history="1">
            <w:r w:rsidRPr="00297C14">
              <w:rPr>
                <w:rStyle w:val="Hyperlink"/>
                <w:rFonts w:ascii="Times New Roman" w:hAnsi="Times New Roman" w:cs="Times New Roman"/>
                <w:noProof/>
              </w:rPr>
              <w:t>3.4 Policy and Legal Framework</w:t>
            </w:r>
            <w:r>
              <w:rPr>
                <w:noProof/>
                <w:webHidden/>
              </w:rPr>
              <w:tab/>
            </w:r>
            <w:r>
              <w:rPr>
                <w:noProof/>
                <w:webHidden/>
              </w:rPr>
              <w:fldChar w:fldCharType="begin"/>
            </w:r>
            <w:r>
              <w:rPr>
                <w:noProof/>
                <w:webHidden/>
              </w:rPr>
              <w:instrText xml:space="preserve"> PAGEREF _Toc228970922 \h </w:instrText>
            </w:r>
            <w:r>
              <w:rPr>
                <w:noProof/>
                <w:webHidden/>
              </w:rPr>
            </w:r>
            <w:r>
              <w:rPr>
                <w:noProof/>
                <w:webHidden/>
              </w:rPr>
              <w:fldChar w:fldCharType="separate"/>
            </w:r>
            <w:r>
              <w:rPr>
                <w:noProof/>
                <w:webHidden/>
              </w:rPr>
              <w:t>6</w:t>
            </w:r>
            <w:r>
              <w:rPr>
                <w:noProof/>
                <w:webHidden/>
              </w:rPr>
              <w:fldChar w:fldCharType="end"/>
            </w:r>
          </w:hyperlink>
        </w:p>
        <w:p w14:paraId="5D37DC17" w14:textId="6C156FCB" w:rsidR="009B7948" w:rsidRDefault="009B7948">
          <w:pPr>
            <w:pStyle w:val="TOC2"/>
            <w:tabs>
              <w:tab w:val="right" w:leader="dot" w:pos="9016"/>
            </w:tabs>
            <w:rPr>
              <w:rFonts w:eastAsiaTheme="minorEastAsia"/>
              <w:noProof/>
              <w:sz w:val="24"/>
              <w:szCs w:val="24"/>
              <w:lang w:eastAsia="en-GB"/>
            </w:rPr>
          </w:pPr>
          <w:hyperlink w:anchor="_Toc228970923" w:history="1">
            <w:r w:rsidRPr="00297C14">
              <w:rPr>
                <w:rStyle w:val="Hyperlink"/>
                <w:rFonts w:ascii="Times New Roman" w:hAnsi="Times New Roman" w:cs="Times New Roman"/>
                <w:noProof/>
              </w:rPr>
              <w:t>3.5 Part-Time Work in the Warehousing Sector</w:t>
            </w:r>
            <w:r>
              <w:rPr>
                <w:noProof/>
                <w:webHidden/>
              </w:rPr>
              <w:tab/>
            </w:r>
            <w:r>
              <w:rPr>
                <w:noProof/>
                <w:webHidden/>
              </w:rPr>
              <w:fldChar w:fldCharType="begin"/>
            </w:r>
            <w:r>
              <w:rPr>
                <w:noProof/>
                <w:webHidden/>
              </w:rPr>
              <w:instrText xml:space="preserve"> PAGEREF _Toc228970923 \h </w:instrText>
            </w:r>
            <w:r>
              <w:rPr>
                <w:noProof/>
                <w:webHidden/>
              </w:rPr>
            </w:r>
            <w:r>
              <w:rPr>
                <w:noProof/>
                <w:webHidden/>
              </w:rPr>
              <w:fldChar w:fldCharType="separate"/>
            </w:r>
            <w:r>
              <w:rPr>
                <w:noProof/>
                <w:webHidden/>
              </w:rPr>
              <w:t>7</w:t>
            </w:r>
            <w:r>
              <w:rPr>
                <w:noProof/>
                <w:webHidden/>
              </w:rPr>
              <w:fldChar w:fldCharType="end"/>
            </w:r>
          </w:hyperlink>
        </w:p>
        <w:p w14:paraId="430355B7" w14:textId="6AC0378B" w:rsidR="009B7948" w:rsidRDefault="009B7948">
          <w:pPr>
            <w:pStyle w:val="TOC3"/>
            <w:tabs>
              <w:tab w:val="right" w:leader="dot" w:pos="9016"/>
            </w:tabs>
            <w:rPr>
              <w:rFonts w:eastAsiaTheme="minorEastAsia"/>
              <w:noProof/>
              <w:sz w:val="24"/>
              <w:szCs w:val="24"/>
              <w:lang w:eastAsia="en-GB"/>
            </w:rPr>
          </w:pPr>
          <w:hyperlink w:anchor="_Toc228970924" w:history="1">
            <w:r w:rsidRPr="00297C14">
              <w:rPr>
                <w:rStyle w:val="Hyperlink"/>
                <w:rFonts w:ascii="Times New Roman" w:hAnsi="Times New Roman" w:cs="Times New Roman"/>
                <w:noProof/>
              </w:rPr>
              <w:t>3.5.1 Employment Structures and Gender Segmentation</w:t>
            </w:r>
            <w:r>
              <w:rPr>
                <w:noProof/>
                <w:webHidden/>
              </w:rPr>
              <w:tab/>
            </w:r>
            <w:r>
              <w:rPr>
                <w:noProof/>
                <w:webHidden/>
              </w:rPr>
              <w:fldChar w:fldCharType="begin"/>
            </w:r>
            <w:r>
              <w:rPr>
                <w:noProof/>
                <w:webHidden/>
              </w:rPr>
              <w:instrText xml:space="preserve"> PAGEREF _Toc228970924 \h </w:instrText>
            </w:r>
            <w:r>
              <w:rPr>
                <w:noProof/>
                <w:webHidden/>
              </w:rPr>
            </w:r>
            <w:r>
              <w:rPr>
                <w:noProof/>
                <w:webHidden/>
              </w:rPr>
              <w:fldChar w:fldCharType="separate"/>
            </w:r>
            <w:r>
              <w:rPr>
                <w:noProof/>
                <w:webHidden/>
              </w:rPr>
              <w:t>7</w:t>
            </w:r>
            <w:r>
              <w:rPr>
                <w:noProof/>
                <w:webHidden/>
              </w:rPr>
              <w:fldChar w:fldCharType="end"/>
            </w:r>
          </w:hyperlink>
        </w:p>
        <w:p w14:paraId="71FC34E1" w14:textId="3E057C7C" w:rsidR="009B7948" w:rsidRDefault="009B7948">
          <w:pPr>
            <w:pStyle w:val="TOC3"/>
            <w:tabs>
              <w:tab w:val="right" w:leader="dot" w:pos="9016"/>
            </w:tabs>
            <w:rPr>
              <w:rFonts w:eastAsiaTheme="minorEastAsia"/>
              <w:noProof/>
              <w:sz w:val="24"/>
              <w:szCs w:val="24"/>
              <w:lang w:eastAsia="en-GB"/>
            </w:rPr>
          </w:pPr>
          <w:hyperlink w:anchor="_Toc228970925" w:history="1">
            <w:r w:rsidRPr="00297C14">
              <w:rPr>
                <w:rStyle w:val="Hyperlink"/>
                <w:rFonts w:ascii="Times New Roman" w:hAnsi="Times New Roman" w:cs="Times New Roman"/>
                <w:noProof/>
              </w:rPr>
              <w:t>3.5.2 Work Intensity and Flexibility</w:t>
            </w:r>
            <w:r>
              <w:rPr>
                <w:noProof/>
                <w:webHidden/>
              </w:rPr>
              <w:tab/>
            </w:r>
            <w:r>
              <w:rPr>
                <w:noProof/>
                <w:webHidden/>
              </w:rPr>
              <w:fldChar w:fldCharType="begin"/>
            </w:r>
            <w:r>
              <w:rPr>
                <w:noProof/>
                <w:webHidden/>
              </w:rPr>
              <w:instrText xml:space="preserve"> PAGEREF _Toc228970925 \h </w:instrText>
            </w:r>
            <w:r>
              <w:rPr>
                <w:noProof/>
                <w:webHidden/>
              </w:rPr>
            </w:r>
            <w:r>
              <w:rPr>
                <w:noProof/>
                <w:webHidden/>
              </w:rPr>
              <w:fldChar w:fldCharType="separate"/>
            </w:r>
            <w:r>
              <w:rPr>
                <w:noProof/>
                <w:webHidden/>
              </w:rPr>
              <w:t>7</w:t>
            </w:r>
            <w:r>
              <w:rPr>
                <w:noProof/>
                <w:webHidden/>
              </w:rPr>
              <w:fldChar w:fldCharType="end"/>
            </w:r>
          </w:hyperlink>
        </w:p>
        <w:p w14:paraId="73858F0D" w14:textId="62946A76" w:rsidR="009B7948" w:rsidRDefault="009B7948">
          <w:pPr>
            <w:pStyle w:val="TOC3"/>
            <w:tabs>
              <w:tab w:val="right" w:leader="dot" w:pos="9016"/>
            </w:tabs>
            <w:rPr>
              <w:rFonts w:eastAsiaTheme="minorEastAsia"/>
              <w:noProof/>
              <w:sz w:val="24"/>
              <w:szCs w:val="24"/>
              <w:lang w:eastAsia="en-GB"/>
            </w:rPr>
          </w:pPr>
          <w:hyperlink w:anchor="_Toc228970926" w:history="1">
            <w:r w:rsidRPr="00297C14">
              <w:rPr>
                <w:rStyle w:val="Hyperlink"/>
                <w:rFonts w:ascii="Times New Roman" w:hAnsi="Times New Roman" w:cs="Times New Roman"/>
                <w:noProof/>
              </w:rPr>
              <w:t>3.5.3 Training, Recognition, and Progression</w:t>
            </w:r>
            <w:r>
              <w:rPr>
                <w:noProof/>
                <w:webHidden/>
              </w:rPr>
              <w:tab/>
            </w:r>
            <w:r>
              <w:rPr>
                <w:noProof/>
                <w:webHidden/>
              </w:rPr>
              <w:fldChar w:fldCharType="begin"/>
            </w:r>
            <w:r>
              <w:rPr>
                <w:noProof/>
                <w:webHidden/>
              </w:rPr>
              <w:instrText xml:space="preserve"> PAGEREF _Toc228970926 \h </w:instrText>
            </w:r>
            <w:r>
              <w:rPr>
                <w:noProof/>
                <w:webHidden/>
              </w:rPr>
            </w:r>
            <w:r>
              <w:rPr>
                <w:noProof/>
                <w:webHidden/>
              </w:rPr>
              <w:fldChar w:fldCharType="separate"/>
            </w:r>
            <w:r>
              <w:rPr>
                <w:noProof/>
                <w:webHidden/>
              </w:rPr>
              <w:t>8</w:t>
            </w:r>
            <w:r>
              <w:rPr>
                <w:noProof/>
                <w:webHidden/>
              </w:rPr>
              <w:fldChar w:fldCharType="end"/>
            </w:r>
          </w:hyperlink>
        </w:p>
        <w:p w14:paraId="65CDD48A" w14:textId="11855663" w:rsidR="009B7948" w:rsidRDefault="009B7948">
          <w:pPr>
            <w:pStyle w:val="TOC3"/>
            <w:tabs>
              <w:tab w:val="right" w:leader="dot" w:pos="9016"/>
            </w:tabs>
            <w:rPr>
              <w:rFonts w:eastAsiaTheme="minorEastAsia"/>
              <w:noProof/>
              <w:sz w:val="24"/>
              <w:szCs w:val="24"/>
              <w:lang w:eastAsia="en-GB"/>
            </w:rPr>
          </w:pPr>
          <w:hyperlink w:anchor="_Toc228970927" w:history="1">
            <w:r w:rsidRPr="00297C14">
              <w:rPr>
                <w:rStyle w:val="Hyperlink"/>
                <w:rFonts w:ascii="Times New Roman" w:hAnsi="Times New Roman" w:cs="Times New Roman"/>
                <w:noProof/>
              </w:rPr>
              <w:t>3.5.4 Gendered Nature of Flexibility</w:t>
            </w:r>
            <w:r>
              <w:rPr>
                <w:noProof/>
                <w:webHidden/>
              </w:rPr>
              <w:tab/>
            </w:r>
            <w:r>
              <w:rPr>
                <w:noProof/>
                <w:webHidden/>
              </w:rPr>
              <w:fldChar w:fldCharType="begin"/>
            </w:r>
            <w:r>
              <w:rPr>
                <w:noProof/>
                <w:webHidden/>
              </w:rPr>
              <w:instrText xml:space="preserve"> PAGEREF _Toc228970927 \h </w:instrText>
            </w:r>
            <w:r>
              <w:rPr>
                <w:noProof/>
                <w:webHidden/>
              </w:rPr>
            </w:r>
            <w:r>
              <w:rPr>
                <w:noProof/>
                <w:webHidden/>
              </w:rPr>
              <w:fldChar w:fldCharType="separate"/>
            </w:r>
            <w:r>
              <w:rPr>
                <w:noProof/>
                <w:webHidden/>
              </w:rPr>
              <w:t>8</w:t>
            </w:r>
            <w:r>
              <w:rPr>
                <w:noProof/>
                <w:webHidden/>
              </w:rPr>
              <w:fldChar w:fldCharType="end"/>
            </w:r>
          </w:hyperlink>
        </w:p>
        <w:p w14:paraId="245FA4DA" w14:textId="684C7895" w:rsidR="009B7948" w:rsidRDefault="009B7948">
          <w:pPr>
            <w:pStyle w:val="TOC2"/>
            <w:tabs>
              <w:tab w:val="right" w:leader="dot" w:pos="9016"/>
            </w:tabs>
            <w:rPr>
              <w:rFonts w:eastAsiaTheme="minorEastAsia"/>
              <w:noProof/>
              <w:sz w:val="24"/>
              <w:szCs w:val="24"/>
              <w:lang w:eastAsia="en-GB"/>
            </w:rPr>
          </w:pPr>
          <w:hyperlink w:anchor="_Toc228970928" w:history="1">
            <w:r w:rsidRPr="00297C14">
              <w:rPr>
                <w:rStyle w:val="Hyperlink"/>
                <w:rFonts w:ascii="Times New Roman" w:hAnsi="Times New Roman" w:cs="Times New Roman"/>
                <w:noProof/>
              </w:rPr>
              <w:t>3.6 Invisible Labour and the Programme Gap</w:t>
            </w:r>
            <w:r>
              <w:rPr>
                <w:noProof/>
                <w:webHidden/>
              </w:rPr>
              <w:tab/>
            </w:r>
            <w:r>
              <w:rPr>
                <w:noProof/>
                <w:webHidden/>
              </w:rPr>
              <w:fldChar w:fldCharType="begin"/>
            </w:r>
            <w:r>
              <w:rPr>
                <w:noProof/>
                <w:webHidden/>
              </w:rPr>
              <w:instrText xml:space="preserve"> PAGEREF _Toc228970928 \h </w:instrText>
            </w:r>
            <w:r>
              <w:rPr>
                <w:noProof/>
                <w:webHidden/>
              </w:rPr>
            </w:r>
            <w:r>
              <w:rPr>
                <w:noProof/>
                <w:webHidden/>
              </w:rPr>
              <w:fldChar w:fldCharType="separate"/>
            </w:r>
            <w:r>
              <w:rPr>
                <w:noProof/>
                <w:webHidden/>
              </w:rPr>
              <w:t>8</w:t>
            </w:r>
            <w:r>
              <w:rPr>
                <w:noProof/>
                <w:webHidden/>
              </w:rPr>
              <w:fldChar w:fldCharType="end"/>
            </w:r>
          </w:hyperlink>
        </w:p>
        <w:p w14:paraId="0443F632" w14:textId="10CDC6D2" w:rsidR="009B7948" w:rsidRDefault="009B7948">
          <w:pPr>
            <w:pStyle w:val="TOC1"/>
            <w:rPr>
              <w:rFonts w:asciiTheme="minorHAnsi" w:eastAsiaTheme="minorEastAsia" w:hAnsiTheme="minorHAnsi" w:cstheme="minorBidi"/>
              <w:sz w:val="24"/>
              <w:szCs w:val="24"/>
              <w:lang w:eastAsia="en-GB"/>
            </w:rPr>
          </w:pPr>
          <w:hyperlink w:anchor="_Toc228970929" w:history="1">
            <w:r w:rsidRPr="00297C14">
              <w:rPr>
                <w:rStyle w:val="Hyperlink"/>
              </w:rPr>
              <w:t>4.0 Gap in literature</w:t>
            </w:r>
            <w:r>
              <w:rPr>
                <w:webHidden/>
              </w:rPr>
              <w:tab/>
            </w:r>
            <w:r>
              <w:rPr>
                <w:webHidden/>
              </w:rPr>
              <w:fldChar w:fldCharType="begin"/>
            </w:r>
            <w:r>
              <w:rPr>
                <w:webHidden/>
              </w:rPr>
              <w:instrText xml:space="preserve"> PAGEREF _Toc228970929 \h </w:instrText>
            </w:r>
            <w:r>
              <w:rPr>
                <w:webHidden/>
              </w:rPr>
            </w:r>
            <w:r>
              <w:rPr>
                <w:webHidden/>
              </w:rPr>
              <w:fldChar w:fldCharType="separate"/>
            </w:r>
            <w:r>
              <w:rPr>
                <w:webHidden/>
              </w:rPr>
              <w:t>10</w:t>
            </w:r>
            <w:r>
              <w:rPr>
                <w:webHidden/>
              </w:rPr>
              <w:fldChar w:fldCharType="end"/>
            </w:r>
          </w:hyperlink>
        </w:p>
        <w:p w14:paraId="3E489C14" w14:textId="5F9B42C5" w:rsidR="009B7948" w:rsidRDefault="009B7948">
          <w:pPr>
            <w:pStyle w:val="TOC2"/>
            <w:tabs>
              <w:tab w:val="right" w:leader="dot" w:pos="9016"/>
            </w:tabs>
            <w:rPr>
              <w:rFonts w:eastAsiaTheme="minorEastAsia"/>
              <w:noProof/>
              <w:sz w:val="24"/>
              <w:szCs w:val="24"/>
              <w:lang w:eastAsia="en-GB"/>
            </w:rPr>
          </w:pPr>
          <w:hyperlink w:anchor="_Toc228970930" w:history="1">
            <w:r w:rsidRPr="00297C14">
              <w:rPr>
                <w:rStyle w:val="Hyperlink"/>
                <w:rFonts w:ascii="Times New Roman" w:hAnsi="Times New Roman" w:cs="Times New Roman"/>
                <w:noProof/>
              </w:rPr>
              <w:t>4.1 Hypotheses</w:t>
            </w:r>
            <w:r>
              <w:rPr>
                <w:noProof/>
                <w:webHidden/>
              </w:rPr>
              <w:tab/>
            </w:r>
            <w:r>
              <w:rPr>
                <w:noProof/>
                <w:webHidden/>
              </w:rPr>
              <w:fldChar w:fldCharType="begin"/>
            </w:r>
            <w:r>
              <w:rPr>
                <w:noProof/>
                <w:webHidden/>
              </w:rPr>
              <w:instrText xml:space="preserve"> PAGEREF _Toc228970930 \h </w:instrText>
            </w:r>
            <w:r>
              <w:rPr>
                <w:noProof/>
                <w:webHidden/>
              </w:rPr>
            </w:r>
            <w:r>
              <w:rPr>
                <w:noProof/>
                <w:webHidden/>
              </w:rPr>
              <w:fldChar w:fldCharType="separate"/>
            </w:r>
            <w:r>
              <w:rPr>
                <w:noProof/>
                <w:webHidden/>
              </w:rPr>
              <w:t>11</w:t>
            </w:r>
            <w:r>
              <w:rPr>
                <w:noProof/>
                <w:webHidden/>
              </w:rPr>
              <w:fldChar w:fldCharType="end"/>
            </w:r>
          </w:hyperlink>
        </w:p>
        <w:p w14:paraId="029882C9" w14:textId="3497614C" w:rsidR="009B7948" w:rsidRDefault="009B7948">
          <w:pPr>
            <w:pStyle w:val="TOC1"/>
            <w:rPr>
              <w:rFonts w:asciiTheme="minorHAnsi" w:eastAsiaTheme="minorEastAsia" w:hAnsiTheme="minorHAnsi" w:cstheme="minorBidi"/>
              <w:sz w:val="24"/>
              <w:szCs w:val="24"/>
              <w:lang w:eastAsia="en-GB"/>
            </w:rPr>
          </w:pPr>
          <w:hyperlink w:anchor="_Toc228970931" w:history="1">
            <w:r w:rsidRPr="00297C14">
              <w:rPr>
                <w:rStyle w:val="Hyperlink"/>
              </w:rPr>
              <w:t>5.0</w:t>
            </w:r>
            <w:r w:rsidRPr="00297C14">
              <w:rPr>
                <w:rStyle w:val="Hyperlink"/>
                <w:rFonts w:eastAsia="Times New Roman"/>
                <w:kern w:val="0"/>
                <w:lang w:eastAsia="en-GB"/>
                <w14:ligatures w14:val="none"/>
              </w:rPr>
              <w:t xml:space="preserve"> Methodology</w:t>
            </w:r>
            <w:r>
              <w:rPr>
                <w:webHidden/>
              </w:rPr>
              <w:tab/>
            </w:r>
            <w:r>
              <w:rPr>
                <w:webHidden/>
              </w:rPr>
              <w:fldChar w:fldCharType="begin"/>
            </w:r>
            <w:r>
              <w:rPr>
                <w:webHidden/>
              </w:rPr>
              <w:instrText xml:space="preserve"> PAGEREF _Toc228970931 \h </w:instrText>
            </w:r>
            <w:r>
              <w:rPr>
                <w:webHidden/>
              </w:rPr>
            </w:r>
            <w:r>
              <w:rPr>
                <w:webHidden/>
              </w:rPr>
              <w:fldChar w:fldCharType="separate"/>
            </w:r>
            <w:r>
              <w:rPr>
                <w:webHidden/>
              </w:rPr>
              <w:t>12</w:t>
            </w:r>
            <w:r>
              <w:rPr>
                <w:webHidden/>
              </w:rPr>
              <w:fldChar w:fldCharType="end"/>
            </w:r>
          </w:hyperlink>
        </w:p>
        <w:p w14:paraId="2FDE127E" w14:textId="752B0536" w:rsidR="009B7948" w:rsidRDefault="009B7948">
          <w:pPr>
            <w:pStyle w:val="TOC2"/>
            <w:tabs>
              <w:tab w:val="right" w:leader="dot" w:pos="9016"/>
            </w:tabs>
            <w:rPr>
              <w:rFonts w:eastAsiaTheme="minorEastAsia"/>
              <w:noProof/>
              <w:sz w:val="24"/>
              <w:szCs w:val="24"/>
              <w:lang w:eastAsia="en-GB"/>
            </w:rPr>
          </w:pPr>
          <w:hyperlink w:anchor="_Toc228970932" w:history="1">
            <w:r w:rsidRPr="00297C14">
              <w:rPr>
                <w:rStyle w:val="Hyperlink"/>
                <w:rFonts w:ascii="Times New Roman" w:eastAsia="Times New Roman" w:hAnsi="Times New Roman" w:cs="Times New Roman"/>
                <w:noProof/>
                <w:kern w:val="0"/>
                <w:lang w:eastAsia="en-GB"/>
                <w14:ligatures w14:val="none"/>
              </w:rPr>
              <w:t>5.1 Research methods</w:t>
            </w:r>
            <w:r>
              <w:rPr>
                <w:noProof/>
                <w:webHidden/>
              </w:rPr>
              <w:tab/>
            </w:r>
            <w:r>
              <w:rPr>
                <w:noProof/>
                <w:webHidden/>
              </w:rPr>
              <w:fldChar w:fldCharType="begin"/>
            </w:r>
            <w:r>
              <w:rPr>
                <w:noProof/>
                <w:webHidden/>
              </w:rPr>
              <w:instrText xml:space="preserve"> PAGEREF _Toc228970932 \h </w:instrText>
            </w:r>
            <w:r>
              <w:rPr>
                <w:noProof/>
                <w:webHidden/>
              </w:rPr>
            </w:r>
            <w:r>
              <w:rPr>
                <w:noProof/>
                <w:webHidden/>
              </w:rPr>
              <w:fldChar w:fldCharType="separate"/>
            </w:r>
            <w:r>
              <w:rPr>
                <w:noProof/>
                <w:webHidden/>
              </w:rPr>
              <w:t>12</w:t>
            </w:r>
            <w:r>
              <w:rPr>
                <w:noProof/>
                <w:webHidden/>
              </w:rPr>
              <w:fldChar w:fldCharType="end"/>
            </w:r>
          </w:hyperlink>
        </w:p>
        <w:p w14:paraId="75782B76" w14:textId="0C02FCB8" w:rsidR="009B7948" w:rsidRDefault="009B7948">
          <w:pPr>
            <w:pStyle w:val="TOC2"/>
            <w:tabs>
              <w:tab w:val="right" w:leader="dot" w:pos="9016"/>
            </w:tabs>
            <w:rPr>
              <w:rFonts w:eastAsiaTheme="minorEastAsia"/>
              <w:noProof/>
              <w:sz w:val="24"/>
              <w:szCs w:val="24"/>
              <w:lang w:eastAsia="en-GB"/>
            </w:rPr>
          </w:pPr>
          <w:hyperlink w:anchor="_Toc228970933" w:history="1">
            <w:r w:rsidRPr="00297C14">
              <w:rPr>
                <w:rStyle w:val="Hyperlink"/>
                <w:rFonts w:ascii="Times New Roman" w:hAnsi="Times New Roman" w:cs="Times New Roman"/>
                <w:noProof/>
              </w:rPr>
              <w:t>5.2 Research Objectives and Survey Question Alignment</w:t>
            </w:r>
            <w:r>
              <w:rPr>
                <w:noProof/>
                <w:webHidden/>
              </w:rPr>
              <w:tab/>
            </w:r>
            <w:r>
              <w:rPr>
                <w:noProof/>
                <w:webHidden/>
              </w:rPr>
              <w:fldChar w:fldCharType="begin"/>
            </w:r>
            <w:r>
              <w:rPr>
                <w:noProof/>
                <w:webHidden/>
              </w:rPr>
              <w:instrText xml:space="preserve"> PAGEREF _Toc228970933 \h </w:instrText>
            </w:r>
            <w:r>
              <w:rPr>
                <w:noProof/>
                <w:webHidden/>
              </w:rPr>
            </w:r>
            <w:r>
              <w:rPr>
                <w:noProof/>
                <w:webHidden/>
              </w:rPr>
              <w:fldChar w:fldCharType="separate"/>
            </w:r>
            <w:r>
              <w:rPr>
                <w:noProof/>
                <w:webHidden/>
              </w:rPr>
              <w:t>13</w:t>
            </w:r>
            <w:r>
              <w:rPr>
                <w:noProof/>
                <w:webHidden/>
              </w:rPr>
              <w:fldChar w:fldCharType="end"/>
            </w:r>
          </w:hyperlink>
        </w:p>
        <w:p w14:paraId="1E284DD9" w14:textId="1751DEAF" w:rsidR="009B7948" w:rsidRDefault="009B7948">
          <w:pPr>
            <w:pStyle w:val="TOC3"/>
            <w:tabs>
              <w:tab w:val="right" w:leader="dot" w:pos="9016"/>
            </w:tabs>
            <w:rPr>
              <w:rFonts w:eastAsiaTheme="minorEastAsia"/>
              <w:noProof/>
              <w:sz w:val="24"/>
              <w:szCs w:val="24"/>
              <w:lang w:eastAsia="en-GB"/>
            </w:rPr>
          </w:pPr>
          <w:hyperlink w:anchor="_Toc228970934" w:history="1">
            <w:r w:rsidRPr="00297C14">
              <w:rPr>
                <w:rStyle w:val="Hyperlink"/>
                <w:rFonts w:ascii="Times New Roman" w:hAnsi="Times New Roman" w:cs="Times New Roman"/>
                <w:noProof/>
              </w:rPr>
              <w:t>5.2.1 Pilot study</w:t>
            </w:r>
            <w:r>
              <w:rPr>
                <w:noProof/>
                <w:webHidden/>
              </w:rPr>
              <w:tab/>
            </w:r>
            <w:r>
              <w:rPr>
                <w:noProof/>
                <w:webHidden/>
              </w:rPr>
              <w:fldChar w:fldCharType="begin"/>
            </w:r>
            <w:r>
              <w:rPr>
                <w:noProof/>
                <w:webHidden/>
              </w:rPr>
              <w:instrText xml:space="preserve"> PAGEREF _Toc228970934 \h </w:instrText>
            </w:r>
            <w:r>
              <w:rPr>
                <w:noProof/>
                <w:webHidden/>
              </w:rPr>
            </w:r>
            <w:r>
              <w:rPr>
                <w:noProof/>
                <w:webHidden/>
              </w:rPr>
              <w:fldChar w:fldCharType="separate"/>
            </w:r>
            <w:r>
              <w:rPr>
                <w:noProof/>
                <w:webHidden/>
              </w:rPr>
              <w:t>13</w:t>
            </w:r>
            <w:r>
              <w:rPr>
                <w:noProof/>
                <w:webHidden/>
              </w:rPr>
              <w:fldChar w:fldCharType="end"/>
            </w:r>
          </w:hyperlink>
        </w:p>
        <w:p w14:paraId="0B3F3A9A" w14:textId="212F4FAA" w:rsidR="009B7948" w:rsidRDefault="009B7948">
          <w:pPr>
            <w:pStyle w:val="TOC2"/>
            <w:tabs>
              <w:tab w:val="right" w:leader="dot" w:pos="9016"/>
            </w:tabs>
            <w:rPr>
              <w:rFonts w:eastAsiaTheme="minorEastAsia"/>
              <w:noProof/>
              <w:sz w:val="24"/>
              <w:szCs w:val="24"/>
              <w:lang w:eastAsia="en-GB"/>
            </w:rPr>
          </w:pPr>
          <w:hyperlink w:anchor="_Toc228970935" w:history="1">
            <w:r w:rsidRPr="00297C14">
              <w:rPr>
                <w:rStyle w:val="Hyperlink"/>
                <w:rFonts w:ascii="Times New Roman" w:hAnsi="Times New Roman" w:cs="Times New Roman"/>
                <w:noProof/>
              </w:rPr>
              <w:t>5.3 Survey Structure and Justification</w:t>
            </w:r>
            <w:r>
              <w:rPr>
                <w:noProof/>
                <w:webHidden/>
              </w:rPr>
              <w:tab/>
            </w:r>
            <w:r>
              <w:rPr>
                <w:noProof/>
                <w:webHidden/>
              </w:rPr>
              <w:fldChar w:fldCharType="begin"/>
            </w:r>
            <w:r>
              <w:rPr>
                <w:noProof/>
                <w:webHidden/>
              </w:rPr>
              <w:instrText xml:space="preserve"> PAGEREF _Toc228970935 \h </w:instrText>
            </w:r>
            <w:r>
              <w:rPr>
                <w:noProof/>
                <w:webHidden/>
              </w:rPr>
            </w:r>
            <w:r>
              <w:rPr>
                <w:noProof/>
                <w:webHidden/>
              </w:rPr>
              <w:fldChar w:fldCharType="separate"/>
            </w:r>
            <w:r>
              <w:rPr>
                <w:noProof/>
                <w:webHidden/>
              </w:rPr>
              <w:t>14</w:t>
            </w:r>
            <w:r>
              <w:rPr>
                <w:noProof/>
                <w:webHidden/>
              </w:rPr>
              <w:fldChar w:fldCharType="end"/>
            </w:r>
          </w:hyperlink>
        </w:p>
        <w:p w14:paraId="13B7E556" w14:textId="122AEC2A" w:rsidR="009B7948" w:rsidRDefault="009B7948">
          <w:pPr>
            <w:pStyle w:val="TOC2"/>
            <w:tabs>
              <w:tab w:val="right" w:leader="dot" w:pos="9016"/>
            </w:tabs>
            <w:rPr>
              <w:rFonts w:eastAsiaTheme="minorEastAsia"/>
              <w:noProof/>
              <w:sz w:val="24"/>
              <w:szCs w:val="24"/>
              <w:lang w:eastAsia="en-GB"/>
            </w:rPr>
          </w:pPr>
          <w:hyperlink w:anchor="_Toc228970936" w:history="1">
            <w:r w:rsidRPr="00297C14">
              <w:rPr>
                <w:rStyle w:val="Hyperlink"/>
                <w:rFonts w:ascii="Times New Roman" w:hAnsi="Times New Roman" w:cs="Times New Roman"/>
                <w:noProof/>
              </w:rPr>
              <w:t>5.4 Participants and Sampling</w:t>
            </w:r>
            <w:r>
              <w:rPr>
                <w:noProof/>
                <w:webHidden/>
              </w:rPr>
              <w:tab/>
            </w:r>
            <w:r>
              <w:rPr>
                <w:noProof/>
                <w:webHidden/>
              </w:rPr>
              <w:fldChar w:fldCharType="begin"/>
            </w:r>
            <w:r>
              <w:rPr>
                <w:noProof/>
                <w:webHidden/>
              </w:rPr>
              <w:instrText xml:space="preserve"> PAGEREF _Toc228970936 \h </w:instrText>
            </w:r>
            <w:r>
              <w:rPr>
                <w:noProof/>
                <w:webHidden/>
              </w:rPr>
            </w:r>
            <w:r>
              <w:rPr>
                <w:noProof/>
                <w:webHidden/>
              </w:rPr>
              <w:fldChar w:fldCharType="separate"/>
            </w:r>
            <w:r>
              <w:rPr>
                <w:noProof/>
                <w:webHidden/>
              </w:rPr>
              <w:t>16</w:t>
            </w:r>
            <w:r>
              <w:rPr>
                <w:noProof/>
                <w:webHidden/>
              </w:rPr>
              <w:fldChar w:fldCharType="end"/>
            </w:r>
          </w:hyperlink>
        </w:p>
        <w:p w14:paraId="10E5E159" w14:textId="4E810420" w:rsidR="009B7948" w:rsidRDefault="009B7948">
          <w:pPr>
            <w:pStyle w:val="TOC2"/>
            <w:tabs>
              <w:tab w:val="right" w:leader="dot" w:pos="9016"/>
            </w:tabs>
            <w:rPr>
              <w:rFonts w:eastAsiaTheme="minorEastAsia"/>
              <w:noProof/>
              <w:sz w:val="24"/>
              <w:szCs w:val="24"/>
              <w:lang w:eastAsia="en-GB"/>
            </w:rPr>
          </w:pPr>
          <w:hyperlink w:anchor="_Toc228970937" w:history="1">
            <w:r w:rsidRPr="00297C14">
              <w:rPr>
                <w:rStyle w:val="Hyperlink"/>
                <w:rFonts w:ascii="Times New Roman" w:hAnsi="Times New Roman" w:cs="Times New Roman"/>
                <w:noProof/>
              </w:rPr>
              <w:t>5.5 Data Collection Procedure</w:t>
            </w:r>
            <w:r>
              <w:rPr>
                <w:noProof/>
                <w:webHidden/>
              </w:rPr>
              <w:tab/>
            </w:r>
            <w:r>
              <w:rPr>
                <w:noProof/>
                <w:webHidden/>
              </w:rPr>
              <w:fldChar w:fldCharType="begin"/>
            </w:r>
            <w:r>
              <w:rPr>
                <w:noProof/>
                <w:webHidden/>
              </w:rPr>
              <w:instrText xml:space="preserve"> PAGEREF _Toc228970937 \h </w:instrText>
            </w:r>
            <w:r>
              <w:rPr>
                <w:noProof/>
                <w:webHidden/>
              </w:rPr>
            </w:r>
            <w:r>
              <w:rPr>
                <w:noProof/>
                <w:webHidden/>
              </w:rPr>
              <w:fldChar w:fldCharType="separate"/>
            </w:r>
            <w:r>
              <w:rPr>
                <w:noProof/>
                <w:webHidden/>
              </w:rPr>
              <w:t>17</w:t>
            </w:r>
            <w:r>
              <w:rPr>
                <w:noProof/>
                <w:webHidden/>
              </w:rPr>
              <w:fldChar w:fldCharType="end"/>
            </w:r>
          </w:hyperlink>
        </w:p>
        <w:p w14:paraId="5E02C349" w14:textId="718FF602" w:rsidR="009B7948" w:rsidRDefault="009B7948">
          <w:pPr>
            <w:pStyle w:val="TOC2"/>
            <w:tabs>
              <w:tab w:val="right" w:leader="dot" w:pos="9016"/>
            </w:tabs>
            <w:rPr>
              <w:rFonts w:eastAsiaTheme="minorEastAsia"/>
              <w:noProof/>
              <w:sz w:val="24"/>
              <w:szCs w:val="24"/>
              <w:lang w:eastAsia="en-GB"/>
            </w:rPr>
          </w:pPr>
          <w:hyperlink w:anchor="_Toc228970938" w:history="1">
            <w:r w:rsidRPr="00297C14">
              <w:rPr>
                <w:rStyle w:val="Hyperlink"/>
                <w:rFonts w:ascii="Times New Roman" w:hAnsi="Times New Roman" w:cs="Times New Roman"/>
                <w:noProof/>
              </w:rPr>
              <w:t>5.6 Data Analysis</w:t>
            </w:r>
            <w:r>
              <w:rPr>
                <w:noProof/>
                <w:webHidden/>
              </w:rPr>
              <w:tab/>
            </w:r>
            <w:r>
              <w:rPr>
                <w:noProof/>
                <w:webHidden/>
              </w:rPr>
              <w:fldChar w:fldCharType="begin"/>
            </w:r>
            <w:r>
              <w:rPr>
                <w:noProof/>
                <w:webHidden/>
              </w:rPr>
              <w:instrText xml:space="preserve"> PAGEREF _Toc228970938 \h </w:instrText>
            </w:r>
            <w:r>
              <w:rPr>
                <w:noProof/>
                <w:webHidden/>
              </w:rPr>
            </w:r>
            <w:r>
              <w:rPr>
                <w:noProof/>
                <w:webHidden/>
              </w:rPr>
              <w:fldChar w:fldCharType="separate"/>
            </w:r>
            <w:r>
              <w:rPr>
                <w:noProof/>
                <w:webHidden/>
              </w:rPr>
              <w:t>17</w:t>
            </w:r>
            <w:r>
              <w:rPr>
                <w:noProof/>
                <w:webHidden/>
              </w:rPr>
              <w:fldChar w:fldCharType="end"/>
            </w:r>
          </w:hyperlink>
        </w:p>
        <w:p w14:paraId="2B0AAAF3" w14:textId="62277E7C" w:rsidR="009B7948" w:rsidRDefault="009B7948">
          <w:pPr>
            <w:pStyle w:val="TOC2"/>
            <w:tabs>
              <w:tab w:val="right" w:leader="dot" w:pos="9016"/>
            </w:tabs>
            <w:rPr>
              <w:rFonts w:eastAsiaTheme="minorEastAsia"/>
              <w:noProof/>
              <w:sz w:val="24"/>
              <w:szCs w:val="24"/>
              <w:lang w:eastAsia="en-GB"/>
            </w:rPr>
          </w:pPr>
          <w:hyperlink w:anchor="_Toc228970939" w:history="1">
            <w:r w:rsidRPr="00297C14">
              <w:rPr>
                <w:rStyle w:val="Hyperlink"/>
                <w:rFonts w:ascii="Times New Roman" w:hAnsi="Times New Roman" w:cs="Times New Roman"/>
                <w:noProof/>
              </w:rPr>
              <w:t>5.7 Reliability and validity</w:t>
            </w:r>
            <w:r>
              <w:rPr>
                <w:noProof/>
                <w:webHidden/>
              </w:rPr>
              <w:tab/>
            </w:r>
            <w:r>
              <w:rPr>
                <w:noProof/>
                <w:webHidden/>
              </w:rPr>
              <w:fldChar w:fldCharType="begin"/>
            </w:r>
            <w:r>
              <w:rPr>
                <w:noProof/>
                <w:webHidden/>
              </w:rPr>
              <w:instrText xml:space="preserve"> PAGEREF _Toc228970939 \h </w:instrText>
            </w:r>
            <w:r>
              <w:rPr>
                <w:noProof/>
                <w:webHidden/>
              </w:rPr>
            </w:r>
            <w:r>
              <w:rPr>
                <w:noProof/>
                <w:webHidden/>
              </w:rPr>
              <w:fldChar w:fldCharType="separate"/>
            </w:r>
            <w:r>
              <w:rPr>
                <w:noProof/>
                <w:webHidden/>
              </w:rPr>
              <w:t>18</w:t>
            </w:r>
            <w:r>
              <w:rPr>
                <w:noProof/>
                <w:webHidden/>
              </w:rPr>
              <w:fldChar w:fldCharType="end"/>
            </w:r>
          </w:hyperlink>
        </w:p>
        <w:p w14:paraId="534D078A" w14:textId="5B88538A" w:rsidR="009B7948" w:rsidRDefault="009B7948">
          <w:pPr>
            <w:pStyle w:val="TOC2"/>
            <w:tabs>
              <w:tab w:val="right" w:leader="dot" w:pos="9016"/>
            </w:tabs>
            <w:rPr>
              <w:rFonts w:eastAsiaTheme="minorEastAsia"/>
              <w:noProof/>
              <w:sz w:val="24"/>
              <w:szCs w:val="24"/>
              <w:lang w:eastAsia="en-GB"/>
            </w:rPr>
          </w:pPr>
          <w:hyperlink w:anchor="_Toc228970940" w:history="1">
            <w:r w:rsidRPr="00297C14">
              <w:rPr>
                <w:rStyle w:val="Hyperlink"/>
                <w:rFonts w:ascii="Times New Roman" w:hAnsi="Times New Roman" w:cs="Times New Roman"/>
                <w:noProof/>
              </w:rPr>
              <w:t>5.8 Methodological Limitations</w:t>
            </w:r>
            <w:r>
              <w:rPr>
                <w:noProof/>
                <w:webHidden/>
              </w:rPr>
              <w:tab/>
            </w:r>
            <w:r>
              <w:rPr>
                <w:noProof/>
                <w:webHidden/>
              </w:rPr>
              <w:fldChar w:fldCharType="begin"/>
            </w:r>
            <w:r>
              <w:rPr>
                <w:noProof/>
                <w:webHidden/>
              </w:rPr>
              <w:instrText xml:space="preserve"> PAGEREF _Toc228970940 \h </w:instrText>
            </w:r>
            <w:r>
              <w:rPr>
                <w:noProof/>
                <w:webHidden/>
              </w:rPr>
            </w:r>
            <w:r>
              <w:rPr>
                <w:noProof/>
                <w:webHidden/>
              </w:rPr>
              <w:fldChar w:fldCharType="separate"/>
            </w:r>
            <w:r>
              <w:rPr>
                <w:noProof/>
                <w:webHidden/>
              </w:rPr>
              <w:t>19</w:t>
            </w:r>
            <w:r>
              <w:rPr>
                <w:noProof/>
                <w:webHidden/>
              </w:rPr>
              <w:fldChar w:fldCharType="end"/>
            </w:r>
          </w:hyperlink>
        </w:p>
        <w:p w14:paraId="4D271C1D" w14:textId="63A8965F" w:rsidR="009B7948" w:rsidRDefault="009B7948">
          <w:pPr>
            <w:pStyle w:val="TOC1"/>
            <w:rPr>
              <w:rFonts w:asciiTheme="minorHAnsi" w:eastAsiaTheme="minorEastAsia" w:hAnsiTheme="minorHAnsi" w:cstheme="minorBidi"/>
              <w:sz w:val="24"/>
              <w:szCs w:val="24"/>
              <w:lang w:eastAsia="en-GB"/>
            </w:rPr>
          </w:pPr>
          <w:hyperlink w:anchor="_Toc228970941" w:history="1">
            <w:r w:rsidRPr="00297C14">
              <w:rPr>
                <w:rStyle w:val="Hyperlink"/>
              </w:rPr>
              <w:t>6.0 Findings</w:t>
            </w:r>
            <w:r>
              <w:rPr>
                <w:webHidden/>
              </w:rPr>
              <w:tab/>
            </w:r>
            <w:r>
              <w:rPr>
                <w:webHidden/>
              </w:rPr>
              <w:fldChar w:fldCharType="begin"/>
            </w:r>
            <w:r>
              <w:rPr>
                <w:webHidden/>
              </w:rPr>
              <w:instrText xml:space="preserve"> PAGEREF _Toc228970941 \h </w:instrText>
            </w:r>
            <w:r>
              <w:rPr>
                <w:webHidden/>
              </w:rPr>
            </w:r>
            <w:r>
              <w:rPr>
                <w:webHidden/>
              </w:rPr>
              <w:fldChar w:fldCharType="separate"/>
            </w:r>
            <w:r>
              <w:rPr>
                <w:webHidden/>
              </w:rPr>
              <w:t>20</w:t>
            </w:r>
            <w:r>
              <w:rPr>
                <w:webHidden/>
              </w:rPr>
              <w:fldChar w:fldCharType="end"/>
            </w:r>
          </w:hyperlink>
        </w:p>
        <w:p w14:paraId="706E5C59" w14:textId="1EC8F363" w:rsidR="009B7948" w:rsidRDefault="009B7948">
          <w:pPr>
            <w:pStyle w:val="TOC2"/>
            <w:tabs>
              <w:tab w:val="right" w:leader="dot" w:pos="9016"/>
            </w:tabs>
            <w:rPr>
              <w:rFonts w:eastAsiaTheme="minorEastAsia"/>
              <w:noProof/>
              <w:sz w:val="24"/>
              <w:szCs w:val="24"/>
              <w:lang w:eastAsia="en-GB"/>
            </w:rPr>
          </w:pPr>
          <w:hyperlink w:anchor="_Toc228970942" w:history="1">
            <w:r w:rsidRPr="00297C14">
              <w:rPr>
                <w:rStyle w:val="Hyperlink"/>
                <w:rFonts w:ascii="Times New Roman" w:hAnsi="Times New Roman" w:cs="Times New Roman"/>
                <w:noProof/>
              </w:rPr>
              <w:t>6.1. Participant Demographics</w:t>
            </w:r>
            <w:r>
              <w:rPr>
                <w:noProof/>
                <w:webHidden/>
              </w:rPr>
              <w:tab/>
            </w:r>
            <w:r>
              <w:rPr>
                <w:noProof/>
                <w:webHidden/>
              </w:rPr>
              <w:fldChar w:fldCharType="begin"/>
            </w:r>
            <w:r>
              <w:rPr>
                <w:noProof/>
                <w:webHidden/>
              </w:rPr>
              <w:instrText xml:space="preserve"> PAGEREF _Toc228970942 \h </w:instrText>
            </w:r>
            <w:r>
              <w:rPr>
                <w:noProof/>
                <w:webHidden/>
              </w:rPr>
            </w:r>
            <w:r>
              <w:rPr>
                <w:noProof/>
                <w:webHidden/>
              </w:rPr>
              <w:fldChar w:fldCharType="separate"/>
            </w:r>
            <w:r>
              <w:rPr>
                <w:noProof/>
                <w:webHidden/>
              </w:rPr>
              <w:t>22</w:t>
            </w:r>
            <w:r>
              <w:rPr>
                <w:noProof/>
                <w:webHidden/>
              </w:rPr>
              <w:fldChar w:fldCharType="end"/>
            </w:r>
          </w:hyperlink>
        </w:p>
        <w:p w14:paraId="54D9BE0A" w14:textId="6282041A" w:rsidR="009B7948" w:rsidRDefault="009B7948">
          <w:pPr>
            <w:pStyle w:val="TOC2"/>
            <w:tabs>
              <w:tab w:val="right" w:leader="dot" w:pos="9016"/>
            </w:tabs>
            <w:rPr>
              <w:rFonts w:eastAsiaTheme="minorEastAsia"/>
              <w:noProof/>
              <w:sz w:val="24"/>
              <w:szCs w:val="24"/>
              <w:lang w:eastAsia="en-GB"/>
            </w:rPr>
          </w:pPr>
          <w:hyperlink w:anchor="_Toc228970943" w:history="1">
            <w:r w:rsidRPr="00297C14">
              <w:rPr>
                <w:rStyle w:val="Hyperlink"/>
                <w:rFonts w:ascii="Times New Roman" w:hAnsi="Times New Roman" w:cs="Times New Roman"/>
                <w:noProof/>
              </w:rPr>
              <w:t>6.2. Invisible Labour</w:t>
            </w:r>
            <w:r>
              <w:rPr>
                <w:noProof/>
                <w:webHidden/>
              </w:rPr>
              <w:tab/>
            </w:r>
            <w:r>
              <w:rPr>
                <w:noProof/>
                <w:webHidden/>
              </w:rPr>
              <w:fldChar w:fldCharType="begin"/>
            </w:r>
            <w:r>
              <w:rPr>
                <w:noProof/>
                <w:webHidden/>
              </w:rPr>
              <w:instrText xml:space="preserve"> PAGEREF _Toc228970943 \h </w:instrText>
            </w:r>
            <w:r>
              <w:rPr>
                <w:noProof/>
                <w:webHidden/>
              </w:rPr>
            </w:r>
            <w:r>
              <w:rPr>
                <w:noProof/>
                <w:webHidden/>
              </w:rPr>
              <w:fldChar w:fldCharType="separate"/>
            </w:r>
            <w:r>
              <w:rPr>
                <w:noProof/>
                <w:webHidden/>
              </w:rPr>
              <w:t>23</w:t>
            </w:r>
            <w:r>
              <w:rPr>
                <w:noProof/>
                <w:webHidden/>
              </w:rPr>
              <w:fldChar w:fldCharType="end"/>
            </w:r>
          </w:hyperlink>
        </w:p>
        <w:p w14:paraId="405C5B47" w14:textId="42E5ABC3" w:rsidR="009B7948" w:rsidRDefault="009B7948">
          <w:pPr>
            <w:pStyle w:val="TOC2"/>
            <w:tabs>
              <w:tab w:val="right" w:leader="dot" w:pos="9016"/>
            </w:tabs>
            <w:rPr>
              <w:rFonts w:eastAsiaTheme="minorEastAsia"/>
              <w:noProof/>
              <w:sz w:val="24"/>
              <w:szCs w:val="24"/>
              <w:lang w:eastAsia="en-GB"/>
            </w:rPr>
          </w:pPr>
          <w:hyperlink w:anchor="_Toc228970944" w:history="1">
            <w:r w:rsidRPr="00297C14">
              <w:rPr>
                <w:rStyle w:val="Hyperlink"/>
                <w:rFonts w:ascii="Times New Roman" w:hAnsi="Times New Roman" w:cs="Times New Roman"/>
                <w:noProof/>
              </w:rPr>
              <w:t>6.3. Recognition Systems and Structural Exclusion of Invisible Labour</w:t>
            </w:r>
            <w:r>
              <w:rPr>
                <w:noProof/>
                <w:webHidden/>
              </w:rPr>
              <w:tab/>
            </w:r>
            <w:r>
              <w:rPr>
                <w:noProof/>
                <w:webHidden/>
              </w:rPr>
              <w:fldChar w:fldCharType="begin"/>
            </w:r>
            <w:r>
              <w:rPr>
                <w:noProof/>
                <w:webHidden/>
              </w:rPr>
              <w:instrText xml:space="preserve"> PAGEREF _Toc228970944 \h </w:instrText>
            </w:r>
            <w:r>
              <w:rPr>
                <w:noProof/>
                <w:webHidden/>
              </w:rPr>
            </w:r>
            <w:r>
              <w:rPr>
                <w:noProof/>
                <w:webHidden/>
              </w:rPr>
              <w:fldChar w:fldCharType="separate"/>
            </w:r>
            <w:r>
              <w:rPr>
                <w:noProof/>
                <w:webHidden/>
              </w:rPr>
              <w:t>1</w:t>
            </w:r>
            <w:r>
              <w:rPr>
                <w:noProof/>
                <w:webHidden/>
              </w:rPr>
              <w:fldChar w:fldCharType="end"/>
            </w:r>
          </w:hyperlink>
        </w:p>
        <w:p w14:paraId="32267DDF" w14:textId="62771457" w:rsidR="009B7948" w:rsidRDefault="009B7948">
          <w:pPr>
            <w:pStyle w:val="TOC2"/>
            <w:tabs>
              <w:tab w:val="right" w:leader="dot" w:pos="9016"/>
            </w:tabs>
            <w:rPr>
              <w:rFonts w:eastAsiaTheme="minorEastAsia"/>
              <w:noProof/>
              <w:sz w:val="24"/>
              <w:szCs w:val="24"/>
              <w:lang w:eastAsia="en-GB"/>
            </w:rPr>
          </w:pPr>
          <w:hyperlink w:anchor="_Toc228970945" w:history="1">
            <w:r w:rsidRPr="00297C14">
              <w:rPr>
                <w:rStyle w:val="Hyperlink"/>
                <w:rFonts w:ascii="Times New Roman" w:hAnsi="Times New Roman" w:cs="Times New Roman"/>
                <w:noProof/>
              </w:rPr>
              <w:t>6.4. Invisible labour and Career Progression</w:t>
            </w:r>
            <w:r>
              <w:rPr>
                <w:noProof/>
                <w:webHidden/>
              </w:rPr>
              <w:tab/>
            </w:r>
            <w:r>
              <w:rPr>
                <w:noProof/>
                <w:webHidden/>
              </w:rPr>
              <w:fldChar w:fldCharType="begin"/>
            </w:r>
            <w:r>
              <w:rPr>
                <w:noProof/>
                <w:webHidden/>
              </w:rPr>
              <w:instrText xml:space="preserve"> PAGEREF _Toc228970945 \h </w:instrText>
            </w:r>
            <w:r>
              <w:rPr>
                <w:noProof/>
                <w:webHidden/>
              </w:rPr>
            </w:r>
            <w:r>
              <w:rPr>
                <w:noProof/>
                <w:webHidden/>
              </w:rPr>
              <w:fldChar w:fldCharType="separate"/>
            </w:r>
            <w:r>
              <w:rPr>
                <w:noProof/>
                <w:webHidden/>
              </w:rPr>
              <w:t>1</w:t>
            </w:r>
            <w:r>
              <w:rPr>
                <w:noProof/>
                <w:webHidden/>
              </w:rPr>
              <w:fldChar w:fldCharType="end"/>
            </w:r>
          </w:hyperlink>
        </w:p>
        <w:p w14:paraId="09B7AE01" w14:textId="70A81004" w:rsidR="009B7948" w:rsidRDefault="009B7948">
          <w:pPr>
            <w:pStyle w:val="TOC2"/>
            <w:tabs>
              <w:tab w:val="right" w:leader="dot" w:pos="9016"/>
            </w:tabs>
            <w:rPr>
              <w:rFonts w:eastAsiaTheme="minorEastAsia"/>
              <w:noProof/>
              <w:sz w:val="24"/>
              <w:szCs w:val="24"/>
              <w:lang w:eastAsia="en-GB"/>
            </w:rPr>
          </w:pPr>
          <w:hyperlink w:anchor="_Toc228970946" w:history="1">
            <w:r w:rsidRPr="00297C14">
              <w:rPr>
                <w:rStyle w:val="Hyperlink"/>
                <w:rFonts w:ascii="Times New Roman" w:hAnsi="Times New Roman" w:cs="Times New Roman"/>
                <w:noProof/>
              </w:rPr>
              <w:t>6.5. Gender and Indirect Structural factor</w:t>
            </w:r>
            <w:r>
              <w:rPr>
                <w:noProof/>
                <w:webHidden/>
              </w:rPr>
              <w:tab/>
            </w:r>
            <w:r>
              <w:rPr>
                <w:noProof/>
                <w:webHidden/>
              </w:rPr>
              <w:fldChar w:fldCharType="begin"/>
            </w:r>
            <w:r>
              <w:rPr>
                <w:noProof/>
                <w:webHidden/>
              </w:rPr>
              <w:instrText xml:space="preserve"> PAGEREF _Toc228970946 \h </w:instrText>
            </w:r>
            <w:r>
              <w:rPr>
                <w:noProof/>
                <w:webHidden/>
              </w:rPr>
            </w:r>
            <w:r>
              <w:rPr>
                <w:noProof/>
                <w:webHidden/>
              </w:rPr>
              <w:fldChar w:fldCharType="separate"/>
            </w:r>
            <w:r>
              <w:rPr>
                <w:noProof/>
                <w:webHidden/>
              </w:rPr>
              <w:t>2</w:t>
            </w:r>
            <w:r>
              <w:rPr>
                <w:noProof/>
                <w:webHidden/>
              </w:rPr>
              <w:fldChar w:fldCharType="end"/>
            </w:r>
          </w:hyperlink>
        </w:p>
        <w:p w14:paraId="669B159B" w14:textId="675E1425" w:rsidR="009B7948" w:rsidRDefault="009B7948">
          <w:pPr>
            <w:pStyle w:val="TOC2"/>
            <w:tabs>
              <w:tab w:val="right" w:leader="dot" w:pos="9016"/>
            </w:tabs>
            <w:rPr>
              <w:rFonts w:eastAsiaTheme="minorEastAsia"/>
              <w:noProof/>
              <w:sz w:val="24"/>
              <w:szCs w:val="24"/>
              <w:lang w:eastAsia="en-GB"/>
            </w:rPr>
          </w:pPr>
          <w:hyperlink w:anchor="_Toc228970947" w:history="1">
            <w:r w:rsidRPr="00297C14">
              <w:rPr>
                <w:rStyle w:val="Hyperlink"/>
                <w:rFonts w:ascii="Times New Roman" w:hAnsi="Times New Roman" w:cs="Times New Roman"/>
                <w:noProof/>
              </w:rPr>
              <w:t>6.6. Job Satisfaction and Flexibility</w:t>
            </w:r>
            <w:r>
              <w:rPr>
                <w:noProof/>
                <w:webHidden/>
              </w:rPr>
              <w:tab/>
            </w:r>
            <w:r>
              <w:rPr>
                <w:noProof/>
                <w:webHidden/>
              </w:rPr>
              <w:fldChar w:fldCharType="begin"/>
            </w:r>
            <w:r>
              <w:rPr>
                <w:noProof/>
                <w:webHidden/>
              </w:rPr>
              <w:instrText xml:space="preserve"> PAGEREF _Toc228970947 \h </w:instrText>
            </w:r>
            <w:r>
              <w:rPr>
                <w:noProof/>
                <w:webHidden/>
              </w:rPr>
            </w:r>
            <w:r>
              <w:rPr>
                <w:noProof/>
                <w:webHidden/>
              </w:rPr>
              <w:fldChar w:fldCharType="separate"/>
            </w:r>
            <w:r>
              <w:rPr>
                <w:noProof/>
                <w:webHidden/>
              </w:rPr>
              <w:t>3</w:t>
            </w:r>
            <w:r>
              <w:rPr>
                <w:noProof/>
                <w:webHidden/>
              </w:rPr>
              <w:fldChar w:fldCharType="end"/>
            </w:r>
          </w:hyperlink>
        </w:p>
        <w:p w14:paraId="6698D2D1" w14:textId="3765A9CF" w:rsidR="009B7948" w:rsidRDefault="009B7948">
          <w:pPr>
            <w:pStyle w:val="TOC2"/>
            <w:tabs>
              <w:tab w:val="right" w:leader="dot" w:pos="9016"/>
            </w:tabs>
            <w:rPr>
              <w:rFonts w:eastAsiaTheme="minorEastAsia"/>
              <w:noProof/>
              <w:sz w:val="24"/>
              <w:szCs w:val="24"/>
              <w:lang w:eastAsia="en-GB"/>
            </w:rPr>
          </w:pPr>
          <w:hyperlink w:anchor="_Toc228970948" w:history="1">
            <w:r w:rsidRPr="00297C14">
              <w:rPr>
                <w:rStyle w:val="Hyperlink"/>
                <w:rFonts w:ascii="Times New Roman" w:hAnsi="Times New Roman" w:cs="Times New Roman"/>
                <w:noProof/>
              </w:rPr>
              <w:t>6.7 Inferential Statistical results</w:t>
            </w:r>
            <w:r>
              <w:rPr>
                <w:noProof/>
                <w:webHidden/>
              </w:rPr>
              <w:tab/>
            </w:r>
            <w:r>
              <w:rPr>
                <w:noProof/>
                <w:webHidden/>
              </w:rPr>
              <w:fldChar w:fldCharType="begin"/>
            </w:r>
            <w:r>
              <w:rPr>
                <w:noProof/>
                <w:webHidden/>
              </w:rPr>
              <w:instrText xml:space="preserve"> PAGEREF _Toc228970948 \h </w:instrText>
            </w:r>
            <w:r>
              <w:rPr>
                <w:noProof/>
                <w:webHidden/>
              </w:rPr>
            </w:r>
            <w:r>
              <w:rPr>
                <w:noProof/>
                <w:webHidden/>
              </w:rPr>
              <w:fldChar w:fldCharType="separate"/>
            </w:r>
            <w:r>
              <w:rPr>
                <w:noProof/>
                <w:webHidden/>
              </w:rPr>
              <w:t>4</w:t>
            </w:r>
            <w:r>
              <w:rPr>
                <w:noProof/>
                <w:webHidden/>
              </w:rPr>
              <w:fldChar w:fldCharType="end"/>
            </w:r>
          </w:hyperlink>
        </w:p>
        <w:p w14:paraId="0FDC9144" w14:textId="1FEB8E1A" w:rsidR="009B7948" w:rsidRDefault="009B7948">
          <w:pPr>
            <w:pStyle w:val="TOC2"/>
            <w:tabs>
              <w:tab w:val="right" w:leader="dot" w:pos="9016"/>
            </w:tabs>
            <w:rPr>
              <w:rFonts w:eastAsiaTheme="minorEastAsia"/>
              <w:noProof/>
              <w:sz w:val="24"/>
              <w:szCs w:val="24"/>
              <w:lang w:eastAsia="en-GB"/>
            </w:rPr>
          </w:pPr>
          <w:hyperlink w:anchor="_Toc228970949" w:history="1">
            <w:r w:rsidRPr="00297C14">
              <w:rPr>
                <w:rStyle w:val="Hyperlink"/>
                <w:rFonts w:ascii="Times New Roman" w:hAnsi="Times New Roman" w:cs="Times New Roman"/>
                <w:noProof/>
              </w:rPr>
              <w:t>6.8 Summary of Key Results</w:t>
            </w:r>
            <w:r>
              <w:rPr>
                <w:noProof/>
                <w:webHidden/>
              </w:rPr>
              <w:tab/>
            </w:r>
            <w:r>
              <w:rPr>
                <w:noProof/>
                <w:webHidden/>
              </w:rPr>
              <w:fldChar w:fldCharType="begin"/>
            </w:r>
            <w:r>
              <w:rPr>
                <w:noProof/>
                <w:webHidden/>
              </w:rPr>
              <w:instrText xml:space="preserve"> PAGEREF _Toc228970949 \h </w:instrText>
            </w:r>
            <w:r>
              <w:rPr>
                <w:noProof/>
                <w:webHidden/>
              </w:rPr>
            </w:r>
            <w:r>
              <w:rPr>
                <w:noProof/>
                <w:webHidden/>
              </w:rPr>
              <w:fldChar w:fldCharType="separate"/>
            </w:r>
            <w:r>
              <w:rPr>
                <w:noProof/>
                <w:webHidden/>
              </w:rPr>
              <w:t>5</w:t>
            </w:r>
            <w:r>
              <w:rPr>
                <w:noProof/>
                <w:webHidden/>
              </w:rPr>
              <w:fldChar w:fldCharType="end"/>
            </w:r>
          </w:hyperlink>
        </w:p>
        <w:p w14:paraId="1BBDA26A" w14:textId="523F1202" w:rsidR="009B7948" w:rsidRDefault="009B7948">
          <w:pPr>
            <w:pStyle w:val="TOC1"/>
            <w:rPr>
              <w:rFonts w:asciiTheme="minorHAnsi" w:eastAsiaTheme="minorEastAsia" w:hAnsiTheme="minorHAnsi" w:cstheme="minorBidi"/>
              <w:sz w:val="24"/>
              <w:szCs w:val="24"/>
              <w:lang w:eastAsia="en-GB"/>
            </w:rPr>
          </w:pPr>
          <w:hyperlink w:anchor="_Toc228970950" w:history="1">
            <w:r w:rsidRPr="00297C14">
              <w:rPr>
                <w:rStyle w:val="Hyperlink"/>
              </w:rPr>
              <w:t>7.0 Discussion</w:t>
            </w:r>
            <w:r>
              <w:rPr>
                <w:webHidden/>
              </w:rPr>
              <w:tab/>
            </w:r>
            <w:r>
              <w:rPr>
                <w:webHidden/>
              </w:rPr>
              <w:fldChar w:fldCharType="begin"/>
            </w:r>
            <w:r>
              <w:rPr>
                <w:webHidden/>
              </w:rPr>
              <w:instrText xml:space="preserve"> PAGEREF _Toc228970950 \h </w:instrText>
            </w:r>
            <w:r>
              <w:rPr>
                <w:webHidden/>
              </w:rPr>
            </w:r>
            <w:r>
              <w:rPr>
                <w:webHidden/>
              </w:rPr>
              <w:fldChar w:fldCharType="separate"/>
            </w:r>
            <w:r>
              <w:rPr>
                <w:webHidden/>
              </w:rPr>
              <w:t>7</w:t>
            </w:r>
            <w:r>
              <w:rPr>
                <w:webHidden/>
              </w:rPr>
              <w:fldChar w:fldCharType="end"/>
            </w:r>
          </w:hyperlink>
        </w:p>
        <w:p w14:paraId="550C85A3" w14:textId="73A4849F" w:rsidR="009B7948" w:rsidRDefault="009B7948">
          <w:pPr>
            <w:pStyle w:val="TOC2"/>
            <w:tabs>
              <w:tab w:val="right" w:leader="dot" w:pos="9016"/>
            </w:tabs>
            <w:rPr>
              <w:rFonts w:eastAsiaTheme="minorEastAsia"/>
              <w:noProof/>
              <w:sz w:val="24"/>
              <w:szCs w:val="24"/>
              <w:lang w:eastAsia="en-GB"/>
            </w:rPr>
          </w:pPr>
          <w:hyperlink w:anchor="_Toc228970951" w:history="1">
            <w:r w:rsidRPr="00297C14">
              <w:rPr>
                <w:rStyle w:val="Hyperlink"/>
                <w:rFonts w:ascii="Times New Roman" w:hAnsi="Times New Roman" w:cs="Times New Roman"/>
                <w:noProof/>
              </w:rPr>
              <w:t>7.1 Employment Structure, Recognition and Career Progression</w:t>
            </w:r>
            <w:r>
              <w:rPr>
                <w:noProof/>
                <w:webHidden/>
              </w:rPr>
              <w:tab/>
            </w:r>
            <w:r>
              <w:rPr>
                <w:noProof/>
                <w:webHidden/>
              </w:rPr>
              <w:fldChar w:fldCharType="begin"/>
            </w:r>
            <w:r>
              <w:rPr>
                <w:noProof/>
                <w:webHidden/>
              </w:rPr>
              <w:instrText xml:space="preserve"> PAGEREF _Toc228970951 \h </w:instrText>
            </w:r>
            <w:r>
              <w:rPr>
                <w:noProof/>
                <w:webHidden/>
              </w:rPr>
            </w:r>
            <w:r>
              <w:rPr>
                <w:noProof/>
                <w:webHidden/>
              </w:rPr>
              <w:fldChar w:fldCharType="separate"/>
            </w:r>
            <w:r>
              <w:rPr>
                <w:noProof/>
                <w:webHidden/>
              </w:rPr>
              <w:t>8</w:t>
            </w:r>
            <w:r>
              <w:rPr>
                <w:noProof/>
                <w:webHidden/>
              </w:rPr>
              <w:fldChar w:fldCharType="end"/>
            </w:r>
          </w:hyperlink>
        </w:p>
        <w:p w14:paraId="5C6FA2D8" w14:textId="2BBAE988" w:rsidR="009B7948" w:rsidRDefault="009B7948">
          <w:pPr>
            <w:pStyle w:val="TOC2"/>
            <w:tabs>
              <w:tab w:val="right" w:leader="dot" w:pos="9016"/>
            </w:tabs>
            <w:rPr>
              <w:rFonts w:eastAsiaTheme="minorEastAsia"/>
              <w:noProof/>
              <w:sz w:val="24"/>
              <w:szCs w:val="24"/>
              <w:lang w:eastAsia="en-GB"/>
            </w:rPr>
          </w:pPr>
          <w:hyperlink w:anchor="_Toc228970952" w:history="1">
            <w:r w:rsidRPr="00297C14">
              <w:rPr>
                <w:rStyle w:val="Hyperlink"/>
                <w:rFonts w:ascii="Times New Roman" w:hAnsi="Times New Roman" w:cs="Times New Roman"/>
                <w:noProof/>
              </w:rPr>
              <w:t>7.2 Invisible Labour and Organisational Value Systems</w:t>
            </w:r>
            <w:r>
              <w:rPr>
                <w:noProof/>
                <w:webHidden/>
              </w:rPr>
              <w:tab/>
            </w:r>
            <w:r>
              <w:rPr>
                <w:noProof/>
                <w:webHidden/>
              </w:rPr>
              <w:fldChar w:fldCharType="begin"/>
            </w:r>
            <w:r>
              <w:rPr>
                <w:noProof/>
                <w:webHidden/>
              </w:rPr>
              <w:instrText xml:space="preserve"> PAGEREF _Toc228970952 \h </w:instrText>
            </w:r>
            <w:r>
              <w:rPr>
                <w:noProof/>
                <w:webHidden/>
              </w:rPr>
            </w:r>
            <w:r>
              <w:rPr>
                <w:noProof/>
                <w:webHidden/>
              </w:rPr>
              <w:fldChar w:fldCharType="separate"/>
            </w:r>
            <w:r>
              <w:rPr>
                <w:noProof/>
                <w:webHidden/>
              </w:rPr>
              <w:t>8</w:t>
            </w:r>
            <w:r>
              <w:rPr>
                <w:noProof/>
                <w:webHidden/>
              </w:rPr>
              <w:fldChar w:fldCharType="end"/>
            </w:r>
          </w:hyperlink>
        </w:p>
        <w:p w14:paraId="41C71023" w14:textId="0DE79720" w:rsidR="009B7948" w:rsidRDefault="009B7948">
          <w:pPr>
            <w:pStyle w:val="TOC2"/>
            <w:tabs>
              <w:tab w:val="right" w:leader="dot" w:pos="9016"/>
            </w:tabs>
            <w:rPr>
              <w:rFonts w:eastAsiaTheme="minorEastAsia"/>
              <w:noProof/>
              <w:sz w:val="24"/>
              <w:szCs w:val="24"/>
              <w:lang w:eastAsia="en-GB"/>
            </w:rPr>
          </w:pPr>
          <w:hyperlink w:anchor="_Toc228970953" w:history="1">
            <w:r w:rsidRPr="00297C14">
              <w:rPr>
                <w:rStyle w:val="Hyperlink"/>
                <w:rFonts w:ascii="Times New Roman" w:hAnsi="Times New Roman" w:cs="Times New Roman"/>
                <w:noProof/>
              </w:rPr>
              <w:t>7.3 Structural Barriers and Work–Life Balance Constraints</w:t>
            </w:r>
            <w:r>
              <w:rPr>
                <w:noProof/>
                <w:webHidden/>
              </w:rPr>
              <w:tab/>
            </w:r>
            <w:r>
              <w:rPr>
                <w:noProof/>
                <w:webHidden/>
              </w:rPr>
              <w:fldChar w:fldCharType="begin"/>
            </w:r>
            <w:r>
              <w:rPr>
                <w:noProof/>
                <w:webHidden/>
              </w:rPr>
              <w:instrText xml:space="preserve"> PAGEREF _Toc228970953 \h </w:instrText>
            </w:r>
            <w:r>
              <w:rPr>
                <w:noProof/>
                <w:webHidden/>
              </w:rPr>
            </w:r>
            <w:r>
              <w:rPr>
                <w:noProof/>
                <w:webHidden/>
              </w:rPr>
              <w:fldChar w:fldCharType="separate"/>
            </w:r>
            <w:r>
              <w:rPr>
                <w:noProof/>
                <w:webHidden/>
              </w:rPr>
              <w:t>9</w:t>
            </w:r>
            <w:r>
              <w:rPr>
                <w:noProof/>
                <w:webHidden/>
              </w:rPr>
              <w:fldChar w:fldCharType="end"/>
            </w:r>
          </w:hyperlink>
        </w:p>
        <w:p w14:paraId="0CC2D620" w14:textId="17FB0498" w:rsidR="009B7948" w:rsidRDefault="009B7948">
          <w:pPr>
            <w:pStyle w:val="TOC2"/>
            <w:tabs>
              <w:tab w:val="right" w:leader="dot" w:pos="9016"/>
            </w:tabs>
            <w:rPr>
              <w:rFonts w:eastAsiaTheme="minorEastAsia"/>
              <w:noProof/>
              <w:sz w:val="24"/>
              <w:szCs w:val="24"/>
              <w:lang w:eastAsia="en-GB"/>
            </w:rPr>
          </w:pPr>
          <w:hyperlink w:anchor="_Toc228970954" w:history="1">
            <w:r w:rsidRPr="00297C14">
              <w:rPr>
                <w:rStyle w:val="Hyperlink"/>
                <w:rFonts w:ascii="Times New Roman" w:hAnsi="Times New Roman" w:cs="Times New Roman"/>
                <w:noProof/>
              </w:rPr>
              <w:t>7.4 Gender, Part-Time Status and Indirect Inequality</w:t>
            </w:r>
            <w:r>
              <w:rPr>
                <w:noProof/>
                <w:webHidden/>
              </w:rPr>
              <w:tab/>
            </w:r>
            <w:r>
              <w:rPr>
                <w:noProof/>
                <w:webHidden/>
              </w:rPr>
              <w:fldChar w:fldCharType="begin"/>
            </w:r>
            <w:r>
              <w:rPr>
                <w:noProof/>
                <w:webHidden/>
              </w:rPr>
              <w:instrText xml:space="preserve"> PAGEREF _Toc228970954 \h </w:instrText>
            </w:r>
            <w:r>
              <w:rPr>
                <w:noProof/>
                <w:webHidden/>
              </w:rPr>
            </w:r>
            <w:r>
              <w:rPr>
                <w:noProof/>
                <w:webHidden/>
              </w:rPr>
              <w:fldChar w:fldCharType="separate"/>
            </w:r>
            <w:r>
              <w:rPr>
                <w:noProof/>
                <w:webHidden/>
              </w:rPr>
              <w:t>9</w:t>
            </w:r>
            <w:r>
              <w:rPr>
                <w:noProof/>
                <w:webHidden/>
              </w:rPr>
              <w:fldChar w:fldCharType="end"/>
            </w:r>
          </w:hyperlink>
        </w:p>
        <w:p w14:paraId="299D4113" w14:textId="5E814534" w:rsidR="009B7948" w:rsidRDefault="009B7948">
          <w:pPr>
            <w:pStyle w:val="TOC2"/>
            <w:tabs>
              <w:tab w:val="right" w:leader="dot" w:pos="9016"/>
            </w:tabs>
            <w:rPr>
              <w:rFonts w:eastAsiaTheme="minorEastAsia"/>
              <w:noProof/>
              <w:sz w:val="24"/>
              <w:szCs w:val="24"/>
              <w:lang w:eastAsia="en-GB"/>
            </w:rPr>
          </w:pPr>
          <w:hyperlink w:anchor="_Toc228970955" w:history="1">
            <w:r w:rsidRPr="00297C14">
              <w:rPr>
                <w:rStyle w:val="Hyperlink"/>
                <w:rFonts w:ascii="Times New Roman" w:hAnsi="Times New Roman" w:cs="Times New Roman"/>
                <w:noProof/>
              </w:rPr>
              <w:t>7.5 Age, Job Satisfaction and Work Experience</w:t>
            </w:r>
            <w:r>
              <w:rPr>
                <w:noProof/>
                <w:webHidden/>
              </w:rPr>
              <w:tab/>
            </w:r>
            <w:r>
              <w:rPr>
                <w:noProof/>
                <w:webHidden/>
              </w:rPr>
              <w:fldChar w:fldCharType="begin"/>
            </w:r>
            <w:r>
              <w:rPr>
                <w:noProof/>
                <w:webHidden/>
              </w:rPr>
              <w:instrText xml:space="preserve"> PAGEREF _Toc228970955 \h </w:instrText>
            </w:r>
            <w:r>
              <w:rPr>
                <w:noProof/>
                <w:webHidden/>
              </w:rPr>
            </w:r>
            <w:r>
              <w:rPr>
                <w:noProof/>
                <w:webHidden/>
              </w:rPr>
              <w:fldChar w:fldCharType="separate"/>
            </w:r>
            <w:r>
              <w:rPr>
                <w:noProof/>
                <w:webHidden/>
              </w:rPr>
              <w:t>9</w:t>
            </w:r>
            <w:r>
              <w:rPr>
                <w:noProof/>
                <w:webHidden/>
              </w:rPr>
              <w:fldChar w:fldCharType="end"/>
            </w:r>
          </w:hyperlink>
        </w:p>
        <w:p w14:paraId="10D63944" w14:textId="22DA9CCD" w:rsidR="009B7948" w:rsidRDefault="009B7948">
          <w:pPr>
            <w:pStyle w:val="TOC2"/>
            <w:tabs>
              <w:tab w:val="right" w:leader="dot" w:pos="9016"/>
            </w:tabs>
            <w:rPr>
              <w:rFonts w:eastAsiaTheme="minorEastAsia"/>
              <w:noProof/>
              <w:sz w:val="24"/>
              <w:szCs w:val="24"/>
              <w:lang w:eastAsia="en-GB"/>
            </w:rPr>
          </w:pPr>
          <w:hyperlink w:anchor="_Toc228970956" w:history="1">
            <w:r w:rsidRPr="00297C14">
              <w:rPr>
                <w:rStyle w:val="Hyperlink"/>
                <w:rFonts w:ascii="Times New Roman" w:hAnsi="Times New Roman" w:cs="Times New Roman"/>
                <w:noProof/>
              </w:rPr>
              <w:t>7.6 Integration of Theoretical Frameworks</w:t>
            </w:r>
            <w:r>
              <w:rPr>
                <w:noProof/>
                <w:webHidden/>
              </w:rPr>
              <w:tab/>
            </w:r>
            <w:r>
              <w:rPr>
                <w:noProof/>
                <w:webHidden/>
              </w:rPr>
              <w:fldChar w:fldCharType="begin"/>
            </w:r>
            <w:r>
              <w:rPr>
                <w:noProof/>
                <w:webHidden/>
              </w:rPr>
              <w:instrText xml:space="preserve"> PAGEREF _Toc228970956 \h </w:instrText>
            </w:r>
            <w:r>
              <w:rPr>
                <w:noProof/>
                <w:webHidden/>
              </w:rPr>
            </w:r>
            <w:r>
              <w:rPr>
                <w:noProof/>
                <w:webHidden/>
              </w:rPr>
              <w:fldChar w:fldCharType="separate"/>
            </w:r>
            <w:r>
              <w:rPr>
                <w:noProof/>
                <w:webHidden/>
              </w:rPr>
              <w:t>10</w:t>
            </w:r>
            <w:r>
              <w:rPr>
                <w:noProof/>
                <w:webHidden/>
              </w:rPr>
              <w:fldChar w:fldCharType="end"/>
            </w:r>
          </w:hyperlink>
        </w:p>
        <w:p w14:paraId="055FA47F" w14:textId="17CB3BDA" w:rsidR="009B7948" w:rsidRDefault="009B7948">
          <w:pPr>
            <w:pStyle w:val="TOC2"/>
            <w:tabs>
              <w:tab w:val="right" w:leader="dot" w:pos="9016"/>
            </w:tabs>
            <w:rPr>
              <w:rFonts w:eastAsiaTheme="minorEastAsia"/>
              <w:noProof/>
              <w:sz w:val="24"/>
              <w:szCs w:val="24"/>
              <w:lang w:eastAsia="en-GB"/>
            </w:rPr>
          </w:pPr>
          <w:hyperlink w:anchor="_Toc228970957" w:history="1">
            <w:r w:rsidRPr="00297C14">
              <w:rPr>
                <w:rStyle w:val="Hyperlink"/>
                <w:rFonts w:ascii="Times New Roman" w:hAnsi="Times New Roman" w:cs="Times New Roman"/>
                <w:noProof/>
              </w:rPr>
              <w:t>7.7 Summary of Key Interpretive Insights</w:t>
            </w:r>
            <w:r>
              <w:rPr>
                <w:noProof/>
                <w:webHidden/>
              </w:rPr>
              <w:tab/>
            </w:r>
            <w:r>
              <w:rPr>
                <w:noProof/>
                <w:webHidden/>
              </w:rPr>
              <w:fldChar w:fldCharType="begin"/>
            </w:r>
            <w:r>
              <w:rPr>
                <w:noProof/>
                <w:webHidden/>
              </w:rPr>
              <w:instrText xml:space="preserve"> PAGEREF _Toc228970957 \h </w:instrText>
            </w:r>
            <w:r>
              <w:rPr>
                <w:noProof/>
                <w:webHidden/>
              </w:rPr>
            </w:r>
            <w:r>
              <w:rPr>
                <w:noProof/>
                <w:webHidden/>
              </w:rPr>
              <w:fldChar w:fldCharType="separate"/>
            </w:r>
            <w:r>
              <w:rPr>
                <w:noProof/>
                <w:webHidden/>
              </w:rPr>
              <w:t>10</w:t>
            </w:r>
            <w:r>
              <w:rPr>
                <w:noProof/>
                <w:webHidden/>
              </w:rPr>
              <w:fldChar w:fldCharType="end"/>
            </w:r>
          </w:hyperlink>
        </w:p>
        <w:p w14:paraId="413657DB" w14:textId="741DB802" w:rsidR="009B7948" w:rsidRDefault="009B7948">
          <w:pPr>
            <w:pStyle w:val="TOC2"/>
            <w:tabs>
              <w:tab w:val="right" w:leader="dot" w:pos="9016"/>
            </w:tabs>
            <w:rPr>
              <w:rFonts w:eastAsiaTheme="minorEastAsia"/>
              <w:noProof/>
              <w:sz w:val="24"/>
              <w:szCs w:val="24"/>
              <w:lang w:eastAsia="en-GB"/>
            </w:rPr>
          </w:pPr>
          <w:hyperlink w:anchor="_Toc228970958" w:history="1">
            <w:r w:rsidRPr="00297C14">
              <w:rPr>
                <w:rStyle w:val="Hyperlink"/>
                <w:rFonts w:ascii="Times New Roman" w:hAnsi="Times New Roman" w:cs="Times New Roman"/>
                <w:noProof/>
              </w:rPr>
              <w:t>7.8 Implications and Recommendations</w:t>
            </w:r>
            <w:r>
              <w:rPr>
                <w:noProof/>
                <w:webHidden/>
              </w:rPr>
              <w:tab/>
            </w:r>
            <w:r>
              <w:rPr>
                <w:noProof/>
                <w:webHidden/>
              </w:rPr>
              <w:fldChar w:fldCharType="begin"/>
            </w:r>
            <w:r>
              <w:rPr>
                <w:noProof/>
                <w:webHidden/>
              </w:rPr>
              <w:instrText xml:space="preserve"> PAGEREF _Toc228970958 \h </w:instrText>
            </w:r>
            <w:r>
              <w:rPr>
                <w:noProof/>
                <w:webHidden/>
              </w:rPr>
            </w:r>
            <w:r>
              <w:rPr>
                <w:noProof/>
                <w:webHidden/>
              </w:rPr>
              <w:fldChar w:fldCharType="separate"/>
            </w:r>
            <w:r>
              <w:rPr>
                <w:noProof/>
                <w:webHidden/>
              </w:rPr>
              <w:t>11</w:t>
            </w:r>
            <w:r>
              <w:rPr>
                <w:noProof/>
                <w:webHidden/>
              </w:rPr>
              <w:fldChar w:fldCharType="end"/>
            </w:r>
          </w:hyperlink>
        </w:p>
        <w:p w14:paraId="5CD53D7B" w14:textId="4AA60536" w:rsidR="009B7948" w:rsidRDefault="009B7948">
          <w:pPr>
            <w:pStyle w:val="TOC2"/>
            <w:tabs>
              <w:tab w:val="right" w:leader="dot" w:pos="9016"/>
            </w:tabs>
            <w:rPr>
              <w:rFonts w:eastAsiaTheme="minorEastAsia"/>
              <w:noProof/>
              <w:sz w:val="24"/>
              <w:szCs w:val="24"/>
              <w:lang w:eastAsia="en-GB"/>
            </w:rPr>
          </w:pPr>
          <w:hyperlink w:anchor="_Toc228970959" w:history="1">
            <w:r w:rsidRPr="00297C14">
              <w:rPr>
                <w:rStyle w:val="Hyperlink"/>
                <w:rFonts w:ascii="Times New Roman" w:hAnsi="Times New Roman" w:cs="Times New Roman"/>
                <w:noProof/>
              </w:rPr>
              <w:t>7.9 Ethical consideration</w:t>
            </w:r>
            <w:r>
              <w:rPr>
                <w:noProof/>
                <w:webHidden/>
              </w:rPr>
              <w:tab/>
            </w:r>
            <w:r>
              <w:rPr>
                <w:noProof/>
                <w:webHidden/>
              </w:rPr>
              <w:fldChar w:fldCharType="begin"/>
            </w:r>
            <w:r>
              <w:rPr>
                <w:noProof/>
                <w:webHidden/>
              </w:rPr>
              <w:instrText xml:space="preserve"> PAGEREF _Toc228970959 \h </w:instrText>
            </w:r>
            <w:r>
              <w:rPr>
                <w:noProof/>
                <w:webHidden/>
              </w:rPr>
            </w:r>
            <w:r>
              <w:rPr>
                <w:noProof/>
                <w:webHidden/>
              </w:rPr>
              <w:fldChar w:fldCharType="separate"/>
            </w:r>
            <w:r>
              <w:rPr>
                <w:noProof/>
                <w:webHidden/>
              </w:rPr>
              <w:t>14</w:t>
            </w:r>
            <w:r>
              <w:rPr>
                <w:noProof/>
                <w:webHidden/>
              </w:rPr>
              <w:fldChar w:fldCharType="end"/>
            </w:r>
          </w:hyperlink>
        </w:p>
        <w:p w14:paraId="7BA4781D" w14:textId="7967D332" w:rsidR="009B7948" w:rsidRDefault="009B7948">
          <w:pPr>
            <w:pStyle w:val="TOC1"/>
            <w:rPr>
              <w:rFonts w:asciiTheme="minorHAnsi" w:eastAsiaTheme="minorEastAsia" w:hAnsiTheme="minorHAnsi" w:cstheme="minorBidi"/>
              <w:sz w:val="24"/>
              <w:szCs w:val="24"/>
              <w:lang w:eastAsia="en-GB"/>
            </w:rPr>
          </w:pPr>
          <w:hyperlink w:anchor="_Toc228970960" w:history="1">
            <w:r w:rsidRPr="00297C14">
              <w:rPr>
                <w:rStyle w:val="Hyperlink"/>
              </w:rPr>
              <w:t>8.0 Research Limitation</w:t>
            </w:r>
            <w:r>
              <w:rPr>
                <w:webHidden/>
              </w:rPr>
              <w:tab/>
            </w:r>
            <w:r>
              <w:rPr>
                <w:webHidden/>
              </w:rPr>
              <w:fldChar w:fldCharType="begin"/>
            </w:r>
            <w:r>
              <w:rPr>
                <w:webHidden/>
              </w:rPr>
              <w:instrText xml:space="preserve"> PAGEREF _Toc228970960 \h </w:instrText>
            </w:r>
            <w:r>
              <w:rPr>
                <w:webHidden/>
              </w:rPr>
            </w:r>
            <w:r>
              <w:rPr>
                <w:webHidden/>
              </w:rPr>
              <w:fldChar w:fldCharType="separate"/>
            </w:r>
            <w:r>
              <w:rPr>
                <w:webHidden/>
              </w:rPr>
              <w:t>14</w:t>
            </w:r>
            <w:r>
              <w:rPr>
                <w:webHidden/>
              </w:rPr>
              <w:fldChar w:fldCharType="end"/>
            </w:r>
          </w:hyperlink>
        </w:p>
        <w:p w14:paraId="6FA0E7F8" w14:textId="60395397" w:rsidR="009B7948" w:rsidRDefault="009B7948">
          <w:pPr>
            <w:pStyle w:val="TOC1"/>
            <w:rPr>
              <w:rFonts w:asciiTheme="minorHAnsi" w:eastAsiaTheme="minorEastAsia" w:hAnsiTheme="minorHAnsi" w:cstheme="minorBidi"/>
              <w:sz w:val="24"/>
              <w:szCs w:val="24"/>
              <w:lang w:eastAsia="en-GB"/>
            </w:rPr>
          </w:pPr>
          <w:hyperlink w:anchor="_Toc228970961" w:history="1">
            <w:r w:rsidRPr="00297C14">
              <w:rPr>
                <w:rStyle w:val="Hyperlink"/>
              </w:rPr>
              <w:t>9 Future Research</w:t>
            </w:r>
            <w:r>
              <w:rPr>
                <w:webHidden/>
              </w:rPr>
              <w:tab/>
            </w:r>
            <w:r>
              <w:rPr>
                <w:webHidden/>
              </w:rPr>
              <w:fldChar w:fldCharType="begin"/>
            </w:r>
            <w:r>
              <w:rPr>
                <w:webHidden/>
              </w:rPr>
              <w:instrText xml:space="preserve"> PAGEREF _Toc228970961 \h </w:instrText>
            </w:r>
            <w:r>
              <w:rPr>
                <w:webHidden/>
              </w:rPr>
            </w:r>
            <w:r>
              <w:rPr>
                <w:webHidden/>
              </w:rPr>
              <w:fldChar w:fldCharType="separate"/>
            </w:r>
            <w:r>
              <w:rPr>
                <w:webHidden/>
              </w:rPr>
              <w:t>16</w:t>
            </w:r>
            <w:r>
              <w:rPr>
                <w:webHidden/>
              </w:rPr>
              <w:fldChar w:fldCharType="end"/>
            </w:r>
          </w:hyperlink>
        </w:p>
        <w:p w14:paraId="0AF0039E" w14:textId="08BA8C78" w:rsidR="009B7948" w:rsidRDefault="009B7948">
          <w:pPr>
            <w:pStyle w:val="TOC1"/>
            <w:rPr>
              <w:rFonts w:asciiTheme="minorHAnsi" w:eastAsiaTheme="minorEastAsia" w:hAnsiTheme="minorHAnsi" w:cstheme="minorBidi"/>
              <w:sz w:val="24"/>
              <w:szCs w:val="24"/>
              <w:lang w:eastAsia="en-GB"/>
            </w:rPr>
          </w:pPr>
          <w:hyperlink w:anchor="_Toc228970962" w:history="1">
            <w:r w:rsidRPr="00297C14">
              <w:rPr>
                <w:rStyle w:val="Hyperlink"/>
              </w:rPr>
              <w:t>10 Conclusion</w:t>
            </w:r>
            <w:r>
              <w:rPr>
                <w:webHidden/>
              </w:rPr>
              <w:tab/>
            </w:r>
            <w:r>
              <w:rPr>
                <w:webHidden/>
              </w:rPr>
              <w:fldChar w:fldCharType="begin"/>
            </w:r>
            <w:r>
              <w:rPr>
                <w:webHidden/>
              </w:rPr>
              <w:instrText xml:space="preserve"> PAGEREF _Toc228970962 \h </w:instrText>
            </w:r>
            <w:r>
              <w:rPr>
                <w:webHidden/>
              </w:rPr>
            </w:r>
            <w:r>
              <w:rPr>
                <w:webHidden/>
              </w:rPr>
              <w:fldChar w:fldCharType="separate"/>
            </w:r>
            <w:r>
              <w:rPr>
                <w:webHidden/>
              </w:rPr>
              <w:t>17</w:t>
            </w:r>
            <w:r>
              <w:rPr>
                <w:webHidden/>
              </w:rPr>
              <w:fldChar w:fldCharType="end"/>
            </w:r>
          </w:hyperlink>
        </w:p>
        <w:p w14:paraId="34C774E1" w14:textId="08E97B66" w:rsidR="009B7948" w:rsidRDefault="009B7948">
          <w:pPr>
            <w:pStyle w:val="TOC1"/>
            <w:rPr>
              <w:rFonts w:asciiTheme="minorHAnsi" w:eastAsiaTheme="minorEastAsia" w:hAnsiTheme="minorHAnsi" w:cstheme="minorBidi"/>
              <w:sz w:val="24"/>
              <w:szCs w:val="24"/>
              <w:lang w:eastAsia="en-GB"/>
            </w:rPr>
          </w:pPr>
          <w:hyperlink w:anchor="_Toc228970963" w:history="1">
            <w:r w:rsidRPr="00297C14">
              <w:rPr>
                <w:rStyle w:val="Hyperlink"/>
              </w:rPr>
              <w:t>References</w:t>
            </w:r>
            <w:r>
              <w:rPr>
                <w:webHidden/>
              </w:rPr>
              <w:tab/>
            </w:r>
            <w:r>
              <w:rPr>
                <w:webHidden/>
              </w:rPr>
              <w:fldChar w:fldCharType="begin"/>
            </w:r>
            <w:r>
              <w:rPr>
                <w:webHidden/>
              </w:rPr>
              <w:instrText xml:space="preserve"> PAGEREF _Toc228970963 \h </w:instrText>
            </w:r>
            <w:r>
              <w:rPr>
                <w:webHidden/>
              </w:rPr>
            </w:r>
            <w:r>
              <w:rPr>
                <w:webHidden/>
              </w:rPr>
              <w:fldChar w:fldCharType="separate"/>
            </w:r>
            <w:r>
              <w:rPr>
                <w:webHidden/>
              </w:rPr>
              <w:t>20</w:t>
            </w:r>
            <w:r>
              <w:rPr>
                <w:webHidden/>
              </w:rPr>
              <w:fldChar w:fldCharType="end"/>
            </w:r>
          </w:hyperlink>
        </w:p>
        <w:p w14:paraId="3B63EC0B" w14:textId="62DBA338" w:rsidR="00F166FA" w:rsidRPr="008B2EDF" w:rsidRDefault="00F166FA" w:rsidP="004F17FF">
          <w:pPr>
            <w:spacing w:line="360" w:lineRule="auto"/>
            <w:jc w:val="both"/>
            <w:rPr>
              <w:rFonts w:ascii="Times New Roman" w:hAnsi="Times New Roman" w:cs="Times New Roman"/>
              <w:sz w:val="24"/>
              <w:szCs w:val="24"/>
            </w:rPr>
          </w:pPr>
          <w:r w:rsidRPr="008B2EDF">
            <w:rPr>
              <w:rFonts w:ascii="Times New Roman" w:hAnsi="Times New Roman" w:cs="Times New Roman"/>
              <w:b/>
              <w:bCs/>
              <w:sz w:val="24"/>
              <w:szCs w:val="24"/>
            </w:rPr>
            <w:fldChar w:fldCharType="end"/>
          </w:r>
        </w:p>
      </w:sdtContent>
    </w:sdt>
    <w:p w14:paraId="300858F2" w14:textId="77777777" w:rsidR="00551DF9" w:rsidRPr="008B2EDF" w:rsidRDefault="00551DF9" w:rsidP="004F17FF">
      <w:pPr>
        <w:spacing w:line="360" w:lineRule="auto"/>
        <w:jc w:val="both"/>
        <w:rPr>
          <w:rFonts w:ascii="Times New Roman" w:hAnsi="Times New Roman" w:cs="Times New Roman"/>
          <w:sz w:val="24"/>
          <w:szCs w:val="24"/>
        </w:rPr>
      </w:pPr>
    </w:p>
    <w:p w14:paraId="2E9B970C" w14:textId="77777777" w:rsidR="00F322D7" w:rsidRPr="008B2EDF" w:rsidRDefault="00F322D7" w:rsidP="004F17FF">
      <w:pPr>
        <w:spacing w:line="360" w:lineRule="auto"/>
        <w:jc w:val="both"/>
        <w:rPr>
          <w:rFonts w:ascii="Times New Roman" w:hAnsi="Times New Roman" w:cs="Times New Roman"/>
          <w:sz w:val="24"/>
          <w:szCs w:val="24"/>
        </w:rPr>
      </w:pPr>
    </w:p>
    <w:p w14:paraId="397BEC8C" w14:textId="77777777" w:rsidR="00F322D7" w:rsidRPr="008B2EDF" w:rsidRDefault="00F322D7" w:rsidP="004F17FF">
      <w:pPr>
        <w:spacing w:line="360" w:lineRule="auto"/>
        <w:jc w:val="both"/>
        <w:rPr>
          <w:rFonts w:ascii="Times New Roman" w:hAnsi="Times New Roman" w:cs="Times New Roman"/>
          <w:sz w:val="24"/>
          <w:szCs w:val="24"/>
        </w:rPr>
      </w:pPr>
    </w:p>
    <w:p w14:paraId="2FB131DB" w14:textId="77777777" w:rsidR="00F322D7" w:rsidRPr="008B2EDF" w:rsidRDefault="00F322D7" w:rsidP="004F17FF">
      <w:pPr>
        <w:spacing w:line="360" w:lineRule="auto"/>
        <w:jc w:val="both"/>
        <w:rPr>
          <w:rFonts w:ascii="Times New Roman" w:hAnsi="Times New Roman" w:cs="Times New Roman"/>
          <w:sz w:val="24"/>
          <w:szCs w:val="24"/>
        </w:rPr>
      </w:pPr>
    </w:p>
    <w:p w14:paraId="029D1B2A" w14:textId="62DC6034" w:rsidR="009B7948" w:rsidRDefault="003E0B46">
      <w:pPr>
        <w:pStyle w:val="TableofFigures"/>
        <w:tabs>
          <w:tab w:val="right" w:leader="dot" w:pos="9016"/>
        </w:tabs>
        <w:rPr>
          <w:rFonts w:eastAsiaTheme="minorEastAsia"/>
          <w:noProof/>
          <w:sz w:val="24"/>
          <w:szCs w:val="24"/>
          <w:lang w:eastAsia="en-GB"/>
        </w:rPr>
      </w:pPr>
      <w:r w:rsidRPr="008B2EDF">
        <w:rPr>
          <w:rStyle w:val="Hyperlink"/>
          <w:rFonts w:ascii="Times New Roman" w:hAnsi="Times New Roman" w:cs="Times New Roman"/>
          <w:noProof/>
          <w:sz w:val="24"/>
          <w:szCs w:val="24"/>
        </w:rPr>
        <w:fldChar w:fldCharType="begin"/>
      </w:r>
      <w:r w:rsidRPr="008B2EDF">
        <w:rPr>
          <w:rStyle w:val="Hyperlink"/>
          <w:rFonts w:ascii="Times New Roman" w:hAnsi="Times New Roman" w:cs="Times New Roman"/>
          <w:noProof/>
          <w:sz w:val="24"/>
          <w:szCs w:val="24"/>
        </w:rPr>
        <w:instrText xml:space="preserve"> TOC \h \z \c "Figure" </w:instrText>
      </w:r>
      <w:r w:rsidRPr="008B2EDF">
        <w:rPr>
          <w:rStyle w:val="Hyperlink"/>
          <w:rFonts w:ascii="Times New Roman" w:hAnsi="Times New Roman" w:cs="Times New Roman"/>
          <w:noProof/>
          <w:sz w:val="24"/>
          <w:szCs w:val="24"/>
        </w:rPr>
        <w:fldChar w:fldCharType="separate"/>
      </w:r>
      <w:hyperlink w:anchor="_Toc228970964" w:history="1">
        <w:r w:rsidR="009B7948" w:rsidRPr="00C20BE8">
          <w:rPr>
            <w:rStyle w:val="Hyperlink"/>
            <w:rFonts w:ascii="Times New Roman" w:hAnsi="Times New Roman" w:cs="Times New Roman"/>
            <w:noProof/>
          </w:rPr>
          <w:t>Figure 1 Participant demographics by age, gender, employment status, and role.</w:t>
        </w:r>
        <w:r w:rsidR="009B7948">
          <w:rPr>
            <w:noProof/>
            <w:webHidden/>
          </w:rPr>
          <w:tab/>
        </w:r>
        <w:r w:rsidR="009B7948">
          <w:rPr>
            <w:noProof/>
            <w:webHidden/>
          </w:rPr>
          <w:fldChar w:fldCharType="begin"/>
        </w:r>
        <w:r w:rsidR="009B7948">
          <w:rPr>
            <w:noProof/>
            <w:webHidden/>
          </w:rPr>
          <w:instrText xml:space="preserve"> PAGEREF _Toc228970964 \h </w:instrText>
        </w:r>
        <w:r w:rsidR="009B7948">
          <w:rPr>
            <w:noProof/>
            <w:webHidden/>
          </w:rPr>
        </w:r>
        <w:r w:rsidR="009B7948">
          <w:rPr>
            <w:noProof/>
            <w:webHidden/>
          </w:rPr>
          <w:fldChar w:fldCharType="separate"/>
        </w:r>
        <w:r w:rsidR="009B7948">
          <w:rPr>
            <w:noProof/>
            <w:webHidden/>
          </w:rPr>
          <w:t>23</w:t>
        </w:r>
        <w:r w:rsidR="009B7948">
          <w:rPr>
            <w:noProof/>
            <w:webHidden/>
          </w:rPr>
          <w:fldChar w:fldCharType="end"/>
        </w:r>
      </w:hyperlink>
    </w:p>
    <w:p w14:paraId="6027BE12" w14:textId="7912101D" w:rsidR="009B7948" w:rsidRDefault="009B7948">
      <w:pPr>
        <w:pStyle w:val="TableofFigures"/>
        <w:tabs>
          <w:tab w:val="right" w:leader="dot" w:pos="9016"/>
        </w:tabs>
        <w:rPr>
          <w:rFonts w:eastAsiaTheme="minorEastAsia"/>
          <w:noProof/>
          <w:sz w:val="24"/>
          <w:szCs w:val="24"/>
          <w:lang w:eastAsia="en-GB"/>
        </w:rPr>
      </w:pPr>
      <w:hyperlink w:anchor="_Toc228970965" w:history="1">
        <w:r w:rsidRPr="00C20BE8">
          <w:rPr>
            <w:rStyle w:val="Hyperlink"/>
            <w:rFonts w:ascii="Times New Roman" w:hAnsi="Times New Roman" w:cs="Times New Roman"/>
            <w:noProof/>
          </w:rPr>
          <w:t>Figure 2 Percentage of respondents performing various unrecognized tasks.</w:t>
        </w:r>
        <w:r>
          <w:rPr>
            <w:noProof/>
            <w:webHidden/>
          </w:rPr>
          <w:tab/>
        </w:r>
        <w:r>
          <w:rPr>
            <w:noProof/>
            <w:webHidden/>
          </w:rPr>
          <w:fldChar w:fldCharType="begin"/>
        </w:r>
        <w:r>
          <w:rPr>
            <w:noProof/>
            <w:webHidden/>
          </w:rPr>
          <w:instrText xml:space="preserve"> PAGEREF _Toc228970965 \h </w:instrText>
        </w:r>
        <w:r>
          <w:rPr>
            <w:noProof/>
            <w:webHidden/>
          </w:rPr>
        </w:r>
        <w:r>
          <w:rPr>
            <w:noProof/>
            <w:webHidden/>
          </w:rPr>
          <w:fldChar w:fldCharType="separate"/>
        </w:r>
        <w:r>
          <w:rPr>
            <w:noProof/>
            <w:webHidden/>
          </w:rPr>
          <w:t>24</w:t>
        </w:r>
        <w:r>
          <w:rPr>
            <w:noProof/>
            <w:webHidden/>
          </w:rPr>
          <w:fldChar w:fldCharType="end"/>
        </w:r>
      </w:hyperlink>
    </w:p>
    <w:p w14:paraId="6FB3B1FF" w14:textId="56120899" w:rsidR="009B7948" w:rsidRDefault="009B7948">
      <w:pPr>
        <w:pStyle w:val="TableofFigures"/>
        <w:tabs>
          <w:tab w:val="right" w:leader="dot" w:pos="9016"/>
        </w:tabs>
        <w:rPr>
          <w:rFonts w:eastAsiaTheme="minorEastAsia"/>
          <w:noProof/>
          <w:sz w:val="24"/>
          <w:szCs w:val="24"/>
          <w:lang w:eastAsia="en-GB"/>
        </w:rPr>
      </w:pPr>
      <w:hyperlink w:anchor="_Toc228970966" w:history="1">
        <w:r w:rsidRPr="00C20BE8">
          <w:rPr>
            <w:rStyle w:val="Hyperlink"/>
            <w:rFonts w:ascii="Times New Roman" w:hAnsi="Times New Roman" w:cs="Times New Roman"/>
            <w:noProof/>
          </w:rPr>
          <w:t>Figure 3 Performance recognised.</w:t>
        </w:r>
        <w:r>
          <w:rPr>
            <w:noProof/>
            <w:webHidden/>
          </w:rPr>
          <w:tab/>
        </w:r>
        <w:r>
          <w:rPr>
            <w:noProof/>
            <w:webHidden/>
          </w:rPr>
          <w:fldChar w:fldCharType="begin"/>
        </w:r>
        <w:r>
          <w:rPr>
            <w:noProof/>
            <w:webHidden/>
          </w:rPr>
          <w:instrText xml:space="preserve"> PAGEREF _Toc228970966 \h </w:instrText>
        </w:r>
        <w:r>
          <w:rPr>
            <w:noProof/>
            <w:webHidden/>
          </w:rPr>
        </w:r>
        <w:r>
          <w:rPr>
            <w:noProof/>
            <w:webHidden/>
          </w:rPr>
          <w:fldChar w:fldCharType="separate"/>
        </w:r>
        <w:r>
          <w:rPr>
            <w:noProof/>
            <w:webHidden/>
          </w:rPr>
          <w:t>1</w:t>
        </w:r>
        <w:r>
          <w:rPr>
            <w:noProof/>
            <w:webHidden/>
          </w:rPr>
          <w:fldChar w:fldCharType="end"/>
        </w:r>
      </w:hyperlink>
    </w:p>
    <w:p w14:paraId="5BC08556" w14:textId="2617CCFB" w:rsidR="009B7948" w:rsidRDefault="009B7948">
      <w:pPr>
        <w:pStyle w:val="TableofFigures"/>
        <w:tabs>
          <w:tab w:val="right" w:leader="dot" w:pos="9016"/>
        </w:tabs>
        <w:rPr>
          <w:rFonts w:eastAsiaTheme="minorEastAsia"/>
          <w:noProof/>
          <w:sz w:val="24"/>
          <w:szCs w:val="24"/>
          <w:lang w:eastAsia="en-GB"/>
        </w:rPr>
      </w:pPr>
      <w:hyperlink w:anchor="_Toc228970967" w:history="1">
        <w:r w:rsidRPr="00C20BE8">
          <w:rPr>
            <w:rStyle w:val="Hyperlink"/>
            <w:rFonts w:ascii="Times New Roman" w:hAnsi="Times New Roman" w:cs="Times New Roman"/>
            <w:noProof/>
          </w:rPr>
          <w:t>Figure 4 Perceived barriers to career progression by type.</w:t>
        </w:r>
        <w:r>
          <w:rPr>
            <w:noProof/>
            <w:webHidden/>
          </w:rPr>
          <w:tab/>
        </w:r>
        <w:r>
          <w:rPr>
            <w:noProof/>
            <w:webHidden/>
          </w:rPr>
          <w:fldChar w:fldCharType="begin"/>
        </w:r>
        <w:r>
          <w:rPr>
            <w:noProof/>
            <w:webHidden/>
          </w:rPr>
          <w:instrText xml:space="preserve"> PAGEREF _Toc228970967 \h </w:instrText>
        </w:r>
        <w:r>
          <w:rPr>
            <w:noProof/>
            <w:webHidden/>
          </w:rPr>
        </w:r>
        <w:r>
          <w:rPr>
            <w:noProof/>
            <w:webHidden/>
          </w:rPr>
          <w:fldChar w:fldCharType="separate"/>
        </w:r>
        <w:r>
          <w:rPr>
            <w:noProof/>
            <w:webHidden/>
          </w:rPr>
          <w:t>1</w:t>
        </w:r>
        <w:r>
          <w:rPr>
            <w:noProof/>
            <w:webHidden/>
          </w:rPr>
          <w:fldChar w:fldCharType="end"/>
        </w:r>
      </w:hyperlink>
    </w:p>
    <w:p w14:paraId="03C81E45" w14:textId="265B55BE" w:rsidR="009B7948" w:rsidRDefault="009B7948">
      <w:pPr>
        <w:pStyle w:val="TableofFigures"/>
        <w:tabs>
          <w:tab w:val="right" w:leader="dot" w:pos="9016"/>
        </w:tabs>
        <w:rPr>
          <w:rFonts w:eastAsiaTheme="minorEastAsia"/>
          <w:noProof/>
          <w:sz w:val="24"/>
          <w:szCs w:val="24"/>
          <w:lang w:eastAsia="en-GB"/>
        </w:rPr>
      </w:pPr>
      <w:hyperlink w:anchor="_Toc228970968" w:history="1">
        <w:r w:rsidRPr="00C20BE8">
          <w:rPr>
            <w:rStyle w:val="Hyperlink"/>
            <w:rFonts w:ascii="Times New Roman" w:hAnsi="Times New Roman" w:cs="Times New Roman"/>
            <w:noProof/>
          </w:rPr>
          <w:t>Figure 5 Flexibility.</w:t>
        </w:r>
        <w:r>
          <w:rPr>
            <w:noProof/>
            <w:webHidden/>
          </w:rPr>
          <w:tab/>
        </w:r>
        <w:r>
          <w:rPr>
            <w:noProof/>
            <w:webHidden/>
          </w:rPr>
          <w:fldChar w:fldCharType="begin"/>
        </w:r>
        <w:r>
          <w:rPr>
            <w:noProof/>
            <w:webHidden/>
          </w:rPr>
          <w:instrText xml:space="preserve"> PAGEREF _Toc228970968 \h </w:instrText>
        </w:r>
        <w:r>
          <w:rPr>
            <w:noProof/>
            <w:webHidden/>
          </w:rPr>
        </w:r>
        <w:r>
          <w:rPr>
            <w:noProof/>
            <w:webHidden/>
          </w:rPr>
          <w:fldChar w:fldCharType="separate"/>
        </w:r>
        <w:r>
          <w:rPr>
            <w:noProof/>
            <w:webHidden/>
          </w:rPr>
          <w:t>2</w:t>
        </w:r>
        <w:r>
          <w:rPr>
            <w:noProof/>
            <w:webHidden/>
          </w:rPr>
          <w:fldChar w:fldCharType="end"/>
        </w:r>
      </w:hyperlink>
    </w:p>
    <w:p w14:paraId="2F3DF15E" w14:textId="11D936B4" w:rsidR="009B7948" w:rsidRDefault="009B7948">
      <w:pPr>
        <w:pStyle w:val="TableofFigures"/>
        <w:tabs>
          <w:tab w:val="right" w:leader="dot" w:pos="9016"/>
        </w:tabs>
        <w:rPr>
          <w:rFonts w:eastAsiaTheme="minorEastAsia"/>
          <w:noProof/>
          <w:sz w:val="24"/>
          <w:szCs w:val="24"/>
          <w:lang w:eastAsia="en-GB"/>
        </w:rPr>
      </w:pPr>
      <w:hyperlink w:anchor="_Toc228970969" w:history="1">
        <w:r w:rsidRPr="00C20BE8">
          <w:rPr>
            <w:rStyle w:val="Hyperlink"/>
            <w:rFonts w:ascii="Times New Roman" w:hAnsi="Times New Roman" w:cs="Times New Roman"/>
            <w:noProof/>
          </w:rPr>
          <w:t>Figure 6 Gendered experiences of perceived barriers and recognition.</w:t>
        </w:r>
        <w:r>
          <w:rPr>
            <w:noProof/>
            <w:webHidden/>
          </w:rPr>
          <w:tab/>
        </w:r>
        <w:r>
          <w:rPr>
            <w:noProof/>
            <w:webHidden/>
          </w:rPr>
          <w:fldChar w:fldCharType="begin"/>
        </w:r>
        <w:r>
          <w:rPr>
            <w:noProof/>
            <w:webHidden/>
          </w:rPr>
          <w:instrText xml:space="preserve"> PAGEREF _Toc228970969 \h </w:instrText>
        </w:r>
        <w:r>
          <w:rPr>
            <w:noProof/>
            <w:webHidden/>
          </w:rPr>
        </w:r>
        <w:r>
          <w:rPr>
            <w:noProof/>
            <w:webHidden/>
          </w:rPr>
          <w:fldChar w:fldCharType="separate"/>
        </w:r>
        <w:r>
          <w:rPr>
            <w:noProof/>
            <w:webHidden/>
          </w:rPr>
          <w:t>3</w:t>
        </w:r>
        <w:r>
          <w:rPr>
            <w:noProof/>
            <w:webHidden/>
          </w:rPr>
          <w:fldChar w:fldCharType="end"/>
        </w:r>
      </w:hyperlink>
    </w:p>
    <w:p w14:paraId="766174BE" w14:textId="053B8753" w:rsidR="009B7948" w:rsidRDefault="009B7948">
      <w:pPr>
        <w:pStyle w:val="TableofFigures"/>
        <w:tabs>
          <w:tab w:val="right" w:leader="dot" w:pos="9016"/>
        </w:tabs>
        <w:rPr>
          <w:rFonts w:eastAsiaTheme="minorEastAsia"/>
          <w:noProof/>
          <w:sz w:val="24"/>
          <w:szCs w:val="24"/>
          <w:lang w:eastAsia="en-GB"/>
        </w:rPr>
      </w:pPr>
      <w:hyperlink w:anchor="_Toc228970970" w:history="1">
        <w:r w:rsidRPr="00C20BE8">
          <w:rPr>
            <w:rStyle w:val="Hyperlink"/>
            <w:rFonts w:ascii="Times New Roman" w:hAnsi="Times New Roman" w:cs="Times New Roman"/>
            <w:noProof/>
          </w:rPr>
          <w:t>Figure 8 Thematic Analysis</w:t>
        </w:r>
        <w:r>
          <w:rPr>
            <w:noProof/>
            <w:webHidden/>
          </w:rPr>
          <w:tab/>
        </w:r>
        <w:r>
          <w:rPr>
            <w:noProof/>
            <w:webHidden/>
          </w:rPr>
          <w:fldChar w:fldCharType="begin"/>
        </w:r>
        <w:r>
          <w:rPr>
            <w:noProof/>
            <w:webHidden/>
          </w:rPr>
          <w:instrText xml:space="preserve"> PAGEREF _Toc228970970 \h </w:instrText>
        </w:r>
        <w:r>
          <w:rPr>
            <w:noProof/>
            <w:webHidden/>
          </w:rPr>
        </w:r>
        <w:r>
          <w:rPr>
            <w:noProof/>
            <w:webHidden/>
          </w:rPr>
          <w:fldChar w:fldCharType="separate"/>
        </w:r>
        <w:r>
          <w:rPr>
            <w:noProof/>
            <w:webHidden/>
          </w:rPr>
          <w:t>7</w:t>
        </w:r>
        <w:r>
          <w:rPr>
            <w:noProof/>
            <w:webHidden/>
          </w:rPr>
          <w:fldChar w:fldCharType="end"/>
        </w:r>
      </w:hyperlink>
    </w:p>
    <w:p w14:paraId="567294DE" w14:textId="13C895D0" w:rsidR="00CA4944" w:rsidRPr="008B2EDF" w:rsidRDefault="003E0B46" w:rsidP="004F17FF">
      <w:pPr>
        <w:pStyle w:val="TableofFigures"/>
        <w:tabs>
          <w:tab w:val="right" w:leader="dot" w:pos="9016"/>
        </w:tabs>
        <w:spacing w:line="360" w:lineRule="auto"/>
        <w:jc w:val="both"/>
        <w:rPr>
          <w:rFonts w:ascii="Times New Roman" w:hAnsi="Times New Roman" w:cs="Times New Roman"/>
          <w:sz w:val="24"/>
          <w:szCs w:val="24"/>
        </w:rPr>
        <w:sectPr w:rsidR="00CA4944" w:rsidRPr="008B2EDF" w:rsidSect="006535FF">
          <w:headerReference w:type="default" r:id="rId9"/>
          <w:footerReference w:type="default" r:id="rId10"/>
          <w:footerReference w:type="first" r:id="rId11"/>
          <w:type w:val="continuous"/>
          <w:pgSz w:w="11906" w:h="16838" w:code="9"/>
          <w:pgMar w:top="1440" w:right="1440" w:bottom="1440" w:left="1440" w:header="709" w:footer="709" w:gutter="0"/>
          <w:pgNumType w:fmt="lowerRoman"/>
          <w:cols w:space="708"/>
          <w:titlePg/>
          <w:docGrid w:linePitch="360"/>
        </w:sectPr>
      </w:pPr>
      <w:r w:rsidRPr="008B2EDF">
        <w:rPr>
          <w:rStyle w:val="Hyperlink"/>
          <w:rFonts w:ascii="Times New Roman" w:hAnsi="Times New Roman" w:cs="Times New Roman"/>
          <w:noProof/>
          <w:sz w:val="24"/>
          <w:szCs w:val="24"/>
        </w:rPr>
        <w:fldChar w:fldCharType="end"/>
      </w:r>
      <w:r w:rsidRPr="008B2EDF">
        <w:rPr>
          <w:rFonts w:ascii="Times New Roman" w:hAnsi="Times New Roman" w:cs="Times New Roman"/>
          <w:sz w:val="24"/>
          <w:szCs w:val="24"/>
        </w:rPr>
        <w:t xml:space="preserve"> </w:t>
      </w:r>
    </w:p>
    <w:p w14:paraId="21F0761D" w14:textId="77777777" w:rsidR="007410E0" w:rsidRPr="008B2EDF" w:rsidRDefault="007410E0" w:rsidP="004F17FF">
      <w:pPr>
        <w:tabs>
          <w:tab w:val="left" w:pos="3015"/>
        </w:tabs>
        <w:spacing w:line="360" w:lineRule="auto"/>
        <w:jc w:val="both"/>
        <w:rPr>
          <w:rFonts w:ascii="Times New Roman" w:hAnsi="Times New Roman" w:cs="Times New Roman"/>
          <w:sz w:val="24"/>
          <w:szCs w:val="24"/>
        </w:rPr>
      </w:pPr>
    </w:p>
    <w:p w14:paraId="24FDCAFA" w14:textId="74DAC95E" w:rsidR="00587AE6" w:rsidRPr="008B2EDF" w:rsidRDefault="00DA415E" w:rsidP="004F17FF">
      <w:pPr>
        <w:pStyle w:val="Heading1"/>
        <w:spacing w:line="360" w:lineRule="auto"/>
        <w:jc w:val="both"/>
        <w:rPr>
          <w:rFonts w:ascii="Times New Roman" w:hAnsi="Times New Roman" w:cs="Times New Roman"/>
          <w:sz w:val="24"/>
          <w:szCs w:val="24"/>
        </w:rPr>
      </w:pPr>
      <w:bookmarkStart w:id="0" w:name="_Toc228970916"/>
      <w:r w:rsidRPr="008B2EDF">
        <w:rPr>
          <w:rFonts w:ascii="Times New Roman" w:hAnsi="Times New Roman" w:cs="Times New Roman"/>
          <w:sz w:val="24"/>
          <w:szCs w:val="24"/>
        </w:rPr>
        <w:t xml:space="preserve">1. </w:t>
      </w:r>
      <w:r w:rsidR="002A654F" w:rsidRPr="008B2EDF">
        <w:rPr>
          <w:rFonts w:ascii="Times New Roman" w:hAnsi="Times New Roman" w:cs="Times New Roman"/>
          <w:sz w:val="24"/>
          <w:szCs w:val="24"/>
        </w:rPr>
        <w:t>Introduction</w:t>
      </w:r>
      <w:bookmarkEnd w:id="0"/>
    </w:p>
    <w:p w14:paraId="56383009" w14:textId="55F7039C" w:rsidR="00C826C7" w:rsidRPr="008B2EDF" w:rsidRDefault="00C417B8" w:rsidP="004F17FF">
      <w:pPr>
        <w:spacing w:after="0" w:line="360" w:lineRule="auto"/>
        <w:jc w:val="both"/>
        <w:rPr>
          <w:rFonts w:ascii="Times New Roman" w:hAnsi="Times New Roman" w:cs="Times New Roman"/>
          <w:sz w:val="24"/>
          <w:szCs w:val="24"/>
        </w:rPr>
      </w:pPr>
      <w:r w:rsidRPr="008B2EDF">
        <w:rPr>
          <w:rFonts w:ascii="Times New Roman" w:hAnsi="Times New Roman" w:cs="Times New Roman"/>
          <w:sz w:val="24"/>
          <w:szCs w:val="24"/>
        </w:rPr>
        <w:tab/>
      </w:r>
      <w:r w:rsidR="002C7F09" w:rsidRPr="008B2EDF">
        <w:rPr>
          <w:rFonts w:ascii="Times New Roman" w:hAnsi="Times New Roman" w:cs="Times New Roman"/>
          <w:sz w:val="24"/>
          <w:szCs w:val="24"/>
        </w:rPr>
        <w:t>In today’s labour market, part-time employment holds considerable importance</w:t>
      </w:r>
      <w:r w:rsidR="00FF2C75" w:rsidRPr="008B2EDF">
        <w:rPr>
          <w:rFonts w:ascii="Times New Roman" w:hAnsi="Times New Roman" w:cs="Times New Roman"/>
          <w:sz w:val="24"/>
          <w:szCs w:val="24"/>
        </w:rPr>
        <w:t xml:space="preserve">, </w:t>
      </w:r>
      <w:r w:rsidR="002C7F09" w:rsidRPr="008B2EDF">
        <w:rPr>
          <w:rFonts w:ascii="Times New Roman" w:hAnsi="Times New Roman" w:cs="Times New Roman"/>
          <w:sz w:val="24"/>
          <w:szCs w:val="24"/>
        </w:rPr>
        <w:t xml:space="preserve">particularly for women. According to Kelliher </w:t>
      </w:r>
      <w:r w:rsidR="00570CA8" w:rsidRPr="008B2EDF">
        <w:rPr>
          <w:rFonts w:ascii="Times New Roman" w:hAnsi="Times New Roman" w:cs="Times New Roman"/>
          <w:i/>
          <w:sz w:val="24"/>
          <w:szCs w:val="24"/>
        </w:rPr>
        <w:t>et al.</w:t>
      </w:r>
      <w:r w:rsidR="002C7F09" w:rsidRPr="008B2EDF">
        <w:rPr>
          <w:rFonts w:ascii="Times New Roman" w:hAnsi="Times New Roman" w:cs="Times New Roman"/>
          <w:sz w:val="24"/>
          <w:szCs w:val="24"/>
        </w:rPr>
        <w:t xml:space="preserve"> (2023), the number of women working part-time has increased significantly in recent years. Francis-Devine and Hutton (2024) report that between October and December 2023, 16.06 million women aged 16 and over were employed in the UK</w:t>
      </w:r>
      <w:r w:rsidR="00FF2C75" w:rsidRPr="008B2EDF">
        <w:rPr>
          <w:rFonts w:ascii="Times New Roman" w:hAnsi="Times New Roman" w:cs="Times New Roman"/>
          <w:sz w:val="24"/>
          <w:szCs w:val="24"/>
        </w:rPr>
        <w:t xml:space="preserve">, </w:t>
      </w:r>
      <w:r w:rsidR="002C7F09" w:rsidRPr="008B2EDF">
        <w:rPr>
          <w:rFonts w:ascii="Times New Roman" w:hAnsi="Times New Roman" w:cs="Times New Roman"/>
          <w:sz w:val="24"/>
          <w:szCs w:val="24"/>
        </w:rPr>
        <w:t xml:space="preserve">75,000 more than during the same period in the previous year, and 1.8 million more than a decade earlier. Kelliher </w:t>
      </w:r>
      <w:r w:rsidR="00570CA8" w:rsidRPr="008B2EDF">
        <w:rPr>
          <w:rFonts w:ascii="Times New Roman" w:hAnsi="Times New Roman" w:cs="Times New Roman"/>
          <w:i/>
          <w:iCs/>
          <w:sz w:val="24"/>
          <w:szCs w:val="24"/>
        </w:rPr>
        <w:t>et al.</w:t>
      </w:r>
      <w:r w:rsidR="002C7F09" w:rsidRPr="008B2EDF">
        <w:rPr>
          <w:rFonts w:ascii="Times New Roman" w:hAnsi="Times New Roman" w:cs="Times New Roman"/>
          <w:sz w:val="24"/>
          <w:szCs w:val="24"/>
        </w:rPr>
        <w:t xml:space="preserve"> (2023</w:t>
      </w:r>
      <w:r w:rsidR="00E004FD" w:rsidRPr="008B2EDF">
        <w:rPr>
          <w:rFonts w:ascii="Times New Roman" w:hAnsi="Times New Roman" w:cs="Times New Roman"/>
          <w:sz w:val="24"/>
          <w:szCs w:val="24"/>
        </w:rPr>
        <w:t>a</w:t>
      </w:r>
      <w:r w:rsidR="002C7F09" w:rsidRPr="008B2EDF">
        <w:rPr>
          <w:rFonts w:ascii="Times New Roman" w:hAnsi="Times New Roman" w:cs="Times New Roman"/>
          <w:sz w:val="24"/>
          <w:szCs w:val="24"/>
        </w:rPr>
        <w:t xml:space="preserve">) also note that approximately 25% of the UK workforce is employed on a part-time basis, with the majority being women, often concentrated in lower-skilled positions within industries such as hospitality, retail, and logistics. Despite its growing prevalence, part-time employment is frequently associated with reduced career progression opportunities. Many women who prefer or require part-time work find themselves unable to access roles that offer meaningful advancement. As Smith (2025) observes, this is often due to organisational beliefs that certain positions are incompatible with part-time arrangements. Concerns cited by </w:t>
      </w:r>
      <w:r w:rsidR="00A3185C" w:rsidRPr="008B2EDF">
        <w:rPr>
          <w:rFonts w:ascii="Times New Roman" w:hAnsi="Times New Roman" w:cs="Times New Roman"/>
          <w:sz w:val="24"/>
          <w:szCs w:val="24"/>
        </w:rPr>
        <w:t>CIPD(</w:t>
      </w:r>
      <w:r w:rsidR="00483F80" w:rsidRPr="008B2EDF">
        <w:rPr>
          <w:rFonts w:ascii="Times New Roman" w:hAnsi="Times New Roman" w:cs="Times New Roman"/>
          <w:sz w:val="24"/>
          <w:szCs w:val="24"/>
        </w:rPr>
        <w:t>2025)</w:t>
      </w:r>
      <w:r w:rsidR="001F53EC" w:rsidRPr="008B2EDF">
        <w:rPr>
          <w:rFonts w:ascii="Times New Roman" w:hAnsi="Times New Roman" w:cs="Times New Roman"/>
          <w:sz w:val="24"/>
          <w:szCs w:val="24"/>
        </w:rPr>
        <w:t>,</w:t>
      </w:r>
      <w:r w:rsidR="002C7F09" w:rsidRPr="008B2EDF">
        <w:rPr>
          <w:rFonts w:ascii="Times New Roman" w:hAnsi="Times New Roman" w:cs="Times New Roman"/>
          <w:sz w:val="24"/>
          <w:szCs w:val="24"/>
        </w:rPr>
        <w:t xml:space="preserve"> include increased costs related to hiring additional staff, greater demands on HR resources, training and supervision time, and the complexity of managing fragmented schedules.</w:t>
      </w:r>
      <w:r w:rsidR="00FF2C75" w:rsidRPr="008B2EDF">
        <w:rPr>
          <w:rFonts w:ascii="Times New Roman" w:hAnsi="Times New Roman" w:cs="Times New Roman"/>
          <w:sz w:val="24"/>
          <w:szCs w:val="24"/>
        </w:rPr>
        <w:t xml:space="preserve"> </w:t>
      </w:r>
      <w:r w:rsidR="002C7F09" w:rsidRPr="008B2EDF">
        <w:rPr>
          <w:rFonts w:ascii="Times New Roman" w:hAnsi="Times New Roman" w:cs="Times New Roman"/>
          <w:sz w:val="24"/>
          <w:szCs w:val="24"/>
        </w:rPr>
        <w:t>The implications of part-time employment for women's career advancement, financial security, and work-life balance are increasingly recognised in academic and policy discourse. A report by the Government Equalities Office (GOV, 2019) highlights that part-time roles frequently offer limited opportunities for promotion and wage growth</w:t>
      </w:r>
      <w:r w:rsidR="00FF2C75" w:rsidRPr="008B2EDF">
        <w:rPr>
          <w:rFonts w:ascii="Times New Roman" w:hAnsi="Times New Roman" w:cs="Times New Roman"/>
          <w:sz w:val="24"/>
          <w:szCs w:val="24"/>
        </w:rPr>
        <w:t xml:space="preserve">, </w:t>
      </w:r>
      <w:r w:rsidR="002C7F09" w:rsidRPr="008B2EDF">
        <w:rPr>
          <w:rFonts w:ascii="Times New Roman" w:hAnsi="Times New Roman" w:cs="Times New Roman"/>
          <w:sz w:val="24"/>
          <w:szCs w:val="24"/>
        </w:rPr>
        <w:t>particularly within lower occupational sectors where women are overrepresented.</w:t>
      </w:r>
    </w:p>
    <w:p w14:paraId="07BE01D5" w14:textId="241E8A43" w:rsidR="00C826C7" w:rsidRPr="008B2EDF" w:rsidRDefault="00C826C7" w:rsidP="006E2B0A">
      <w:pPr>
        <w:pStyle w:val="ListParagraph"/>
        <w:numPr>
          <w:ilvl w:val="0"/>
          <w:numId w:val="26"/>
        </w:numPr>
        <w:spacing w:after="0" w:line="360" w:lineRule="auto"/>
        <w:jc w:val="both"/>
        <w:rPr>
          <w:rFonts w:ascii="Times New Roman" w:hAnsi="Times New Roman" w:cs="Times New Roman"/>
          <w:b/>
          <w:bCs/>
          <w:sz w:val="24"/>
          <w:szCs w:val="24"/>
        </w:rPr>
      </w:pPr>
      <w:r w:rsidRPr="008B2EDF">
        <w:rPr>
          <w:rFonts w:ascii="Times New Roman" w:hAnsi="Times New Roman" w:cs="Times New Roman"/>
          <w:b/>
          <w:bCs/>
          <w:sz w:val="24"/>
          <w:szCs w:val="24"/>
        </w:rPr>
        <w:t xml:space="preserve">Warehousing Industry Trends </w:t>
      </w:r>
    </w:p>
    <w:p w14:paraId="2188DC82" w14:textId="74B1365B" w:rsidR="00D05CE9" w:rsidRPr="008B2EDF" w:rsidRDefault="002A0640" w:rsidP="004F17FF">
      <w:pPr>
        <w:spacing w:after="0" w:line="360" w:lineRule="auto"/>
        <w:jc w:val="both"/>
        <w:rPr>
          <w:rFonts w:ascii="Times New Roman" w:hAnsi="Times New Roman" w:cs="Times New Roman"/>
          <w:sz w:val="24"/>
          <w:szCs w:val="24"/>
        </w:rPr>
      </w:pPr>
      <w:r w:rsidRPr="008B2EDF">
        <w:rPr>
          <w:rFonts w:ascii="Times New Roman" w:hAnsi="Times New Roman" w:cs="Times New Roman"/>
          <w:sz w:val="24"/>
          <w:szCs w:val="24"/>
        </w:rPr>
        <w:t>Recent automation trends in UK warehouses are expected to displace routine tasks disproportionately performed by part-time women, potentially exacerbating gendered career barriers (Alon, 2022)</w:t>
      </w:r>
      <w:r w:rsidRPr="008B2EDF">
        <w:rPr>
          <w:rFonts w:ascii="Times New Roman" w:hAnsi="Times New Roman" w:cs="Times New Roman"/>
          <w:b/>
          <w:bCs/>
          <w:sz w:val="24"/>
          <w:szCs w:val="24"/>
        </w:rPr>
        <w:t xml:space="preserve">. </w:t>
      </w:r>
      <w:r w:rsidR="00642293" w:rsidRPr="008B2EDF">
        <w:rPr>
          <w:rFonts w:ascii="Times New Roman" w:hAnsi="Times New Roman" w:cs="Times New Roman"/>
          <w:sz w:val="24"/>
          <w:szCs w:val="24"/>
        </w:rPr>
        <w:t>The causes of this labour shortage are complex</w:t>
      </w:r>
      <w:r w:rsidR="00FA53F9" w:rsidRPr="008B2EDF">
        <w:rPr>
          <w:rFonts w:ascii="Times New Roman" w:hAnsi="Times New Roman" w:cs="Times New Roman"/>
          <w:sz w:val="24"/>
          <w:szCs w:val="24"/>
        </w:rPr>
        <w:t xml:space="preserve"> according to, </w:t>
      </w:r>
      <w:r w:rsidR="00642293" w:rsidRPr="008B2EDF">
        <w:rPr>
          <w:rFonts w:ascii="Times New Roman" w:hAnsi="Times New Roman" w:cs="Times New Roman"/>
          <w:sz w:val="24"/>
          <w:szCs w:val="24"/>
        </w:rPr>
        <w:t xml:space="preserve">Descartes, </w:t>
      </w:r>
      <w:r w:rsidR="00FA53F9" w:rsidRPr="008B2EDF">
        <w:rPr>
          <w:rFonts w:ascii="Times New Roman" w:hAnsi="Times New Roman" w:cs="Times New Roman"/>
          <w:sz w:val="24"/>
          <w:szCs w:val="24"/>
        </w:rPr>
        <w:t>(</w:t>
      </w:r>
      <w:r w:rsidR="00642293" w:rsidRPr="008B2EDF">
        <w:rPr>
          <w:rFonts w:ascii="Times New Roman" w:hAnsi="Times New Roman" w:cs="Times New Roman"/>
          <w:sz w:val="24"/>
          <w:szCs w:val="24"/>
        </w:rPr>
        <w:t>2024)</w:t>
      </w:r>
      <w:r w:rsidR="00FA53F9" w:rsidRPr="008B2EDF">
        <w:rPr>
          <w:rFonts w:ascii="Times New Roman" w:hAnsi="Times New Roman" w:cs="Times New Roman"/>
          <w:sz w:val="24"/>
          <w:szCs w:val="24"/>
        </w:rPr>
        <w:t>,</w:t>
      </w:r>
      <w:r w:rsidR="00642293" w:rsidRPr="008B2EDF">
        <w:rPr>
          <w:rFonts w:ascii="Times New Roman" w:hAnsi="Times New Roman" w:cs="Times New Roman"/>
          <w:sz w:val="24"/>
          <w:szCs w:val="24"/>
        </w:rPr>
        <w:t xml:space="preserve"> </w:t>
      </w:r>
      <w:r w:rsidR="00FA53F9" w:rsidRPr="008B2EDF">
        <w:rPr>
          <w:rFonts w:ascii="Times New Roman" w:hAnsi="Times New Roman" w:cs="Times New Roman"/>
          <w:sz w:val="24"/>
          <w:szCs w:val="24"/>
        </w:rPr>
        <w:t xml:space="preserve">it may </w:t>
      </w:r>
      <w:r w:rsidR="00642293" w:rsidRPr="008B2EDF">
        <w:rPr>
          <w:rFonts w:ascii="Times New Roman" w:hAnsi="Times New Roman" w:cs="Times New Roman"/>
          <w:sz w:val="24"/>
          <w:szCs w:val="24"/>
        </w:rPr>
        <w:t>stem from a limited supply of available workers, but it is also linked to the industry’s increasing reliance on automation. This shift is growing, as companies invest in advanced technologies to optimize operations and decrease dependence on human labour</w:t>
      </w:r>
      <w:r w:rsidR="00FD3B1C" w:rsidRPr="008B2EDF">
        <w:rPr>
          <w:rFonts w:ascii="Times New Roman" w:hAnsi="Times New Roman" w:cs="Times New Roman"/>
          <w:sz w:val="24"/>
          <w:szCs w:val="24"/>
        </w:rPr>
        <w:t xml:space="preserve">. On the other hand, </w:t>
      </w:r>
      <w:r w:rsidRPr="008B2EDF">
        <w:rPr>
          <w:rFonts w:ascii="Times New Roman" w:hAnsi="Times New Roman" w:cs="Times New Roman"/>
          <w:sz w:val="24"/>
          <w:szCs w:val="24"/>
        </w:rPr>
        <w:t xml:space="preserve">Dolezalova </w:t>
      </w:r>
      <w:r w:rsidR="00570CA8" w:rsidRPr="008B2EDF">
        <w:rPr>
          <w:rFonts w:ascii="Times New Roman" w:hAnsi="Times New Roman" w:cs="Times New Roman"/>
          <w:i/>
          <w:sz w:val="24"/>
          <w:szCs w:val="24"/>
        </w:rPr>
        <w:t>et al.</w:t>
      </w:r>
      <w:r w:rsidR="00A760B4" w:rsidRPr="008B2EDF">
        <w:rPr>
          <w:rFonts w:ascii="Times New Roman" w:hAnsi="Times New Roman" w:cs="Times New Roman"/>
          <w:i/>
          <w:sz w:val="24"/>
          <w:szCs w:val="24"/>
        </w:rPr>
        <w:t>,</w:t>
      </w:r>
      <w:r w:rsidRPr="008B2EDF">
        <w:rPr>
          <w:rFonts w:ascii="Times New Roman" w:hAnsi="Times New Roman" w:cs="Times New Roman"/>
          <w:sz w:val="24"/>
          <w:szCs w:val="24"/>
        </w:rPr>
        <w:t xml:space="preserve"> (2024)</w:t>
      </w:r>
      <w:r w:rsidR="001F53EC" w:rsidRPr="008B2EDF">
        <w:rPr>
          <w:rFonts w:ascii="Times New Roman" w:hAnsi="Times New Roman" w:cs="Times New Roman"/>
          <w:sz w:val="24"/>
          <w:szCs w:val="24"/>
        </w:rPr>
        <w:t>,</w:t>
      </w:r>
      <w:r w:rsidRPr="008B2EDF">
        <w:rPr>
          <w:rFonts w:ascii="Times New Roman" w:hAnsi="Times New Roman" w:cs="Times New Roman"/>
          <w:sz w:val="24"/>
          <w:szCs w:val="24"/>
        </w:rPr>
        <w:t>argue that</w:t>
      </w:r>
      <w:r w:rsidR="00404D6E" w:rsidRPr="008B2EDF">
        <w:rPr>
          <w:rFonts w:ascii="Times New Roman" w:hAnsi="Times New Roman" w:cs="Times New Roman"/>
          <w:sz w:val="24"/>
          <w:szCs w:val="24"/>
        </w:rPr>
        <w:t xml:space="preserve"> technology has allowed businesses to partially reduce their dependence on human labour, highlight</w:t>
      </w:r>
      <w:r w:rsidRPr="008B2EDF">
        <w:rPr>
          <w:rFonts w:ascii="Times New Roman" w:hAnsi="Times New Roman" w:cs="Times New Roman"/>
          <w:sz w:val="24"/>
          <w:szCs w:val="24"/>
        </w:rPr>
        <w:t xml:space="preserve">s </w:t>
      </w:r>
      <w:r w:rsidR="00404D6E" w:rsidRPr="008B2EDF">
        <w:rPr>
          <w:rFonts w:ascii="Times New Roman" w:hAnsi="Times New Roman" w:cs="Times New Roman"/>
          <w:sz w:val="24"/>
          <w:szCs w:val="24"/>
        </w:rPr>
        <w:t>that many tasks and processes cannot be automated, and a human workforce will always remain essential.</w:t>
      </w:r>
      <w:r w:rsidR="003212B1" w:rsidRPr="008B2EDF">
        <w:rPr>
          <w:rFonts w:ascii="Times New Roman" w:hAnsi="Times New Roman" w:cs="Times New Roman"/>
          <w:sz w:val="24"/>
          <w:szCs w:val="24"/>
        </w:rPr>
        <w:t xml:space="preserve"> Additionally, </w:t>
      </w:r>
      <w:r w:rsidR="00F866F5" w:rsidRPr="008B2EDF">
        <w:rPr>
          <w:rFonts w:ascii="Times New Roman" w:hAnsi="Times New Roman" w:cs="Times New Roman"/>
          <w:sz w:val="24"/>
          <w:szCs w:val="24"/>
        </w:rPr>
        <w:t>Matthews (2024) states that in 2025 w</w:t>
      </w:r>
      <w:r w:rsidR="003212B1" w:rsidRPr="008B2EDF">
        <w:rPr>
          <w:rFonts w:ascii="Times New Roman" w:hAnsi="Times New Roman" w:cs="Times New Roman"/>
          <w:sz w:val="24"/>
          <w:szCs w:val="24"/>
        </w:rPr>
        <w:t xml:space="preserve">omen in the UK workforce encounter distinct challenges, </w:t>
      </w:r>
      <w:r w:rsidR="003212B1" w:rsidRPr="008B2EDF">
        <w:rPr>
          <w:rFonts w:ascii="Times New Roman" w:hAnsi="Times New Roman" w:cs="Times New Roman"/>
          <w:sz w:val="24"/>
          <w:szCs w:val="24"/>
        </w:rPr>
        <w:lastRenderedPageBreak/>
        <w:t>such as restricted access to full-time roles and limited opportunities for career progression. These barriers contribute to lower participation rates and can affect their financial security. Acknowledging the value of women’s contributions and fostering supportive workplace environments is essential to help them thrive professionall</w:t>
      </w:r>
      <w:r w:rsidR="00D05CE9" w:rsidRPr="008B2EDF">
        <w:rPr>
          <w:rFonts w:ascii="Times New Roman" w:hAnsi="Times New Roman" w:cs="Times New Roman"/>
          <w:sz w:val="24"/>
          <w:szCs w:val="24"/>
        </w:rPr>
        <w:t>y</w:t>
      </w:r>
      <w:r w:rsidR="00501950" w:rsidRPr="008B2EDF">
        <w:rPr>
          <w:rFonts w:ascii="Times New Roman" w:hAnsi="Times New Roman" w:cs="Times New Roman"/>
          <w:sz w:val="24"/>
          <w:szCs w:val="24"/>
        </w:rPr>
        <w:t xml:space="preserve"> (Martin, 2025)</w:t>
      </w:r>
      <w:r w:rsidR="00D05CE9" w:rsidRPr="008B2EDF">
        <w:rPr>
          <w:rFonts w:ascii="Times New Roman" w:hAnsi="Times New Roman" w:cs="Times New Roman"/>
          <w:sz w:val="24"/>
          <w:szCs w:val="24"/>
        </w:rPr>
        <w:t xml:space="preserve">. </w:t>
      </w:r>
    </w:p>
    <w:p w14:paraId="4CD17223" w14:textId="77777777" w:rsidR="00296292" w:rsidRPr="008B2EDF" w:rsidRDefault="00296292" w:rsidP="00296292">
      <w:pPr>
        <w:spacing w:line="360" w:lineRule="auto"/>
        <w:jc w:val="both"/>
        <w:rPr>
          <w:rFonts w:ascii="Times New Roman" w:hAnsi="Times New Roman" w:cs="Times New Roman"/>
          <w:sz w:val="24"/>
          <w:szCs w:val="24"/>
        </w:rPr>
      </w:pPr>
      <w:r w:rsidRPr="008B2EDF">
        <w:rPr>
          <w:rFonts w:ascii="Times New Roman" w:hAnsi="Times New Roman" w:cs="Times New Roman"/>
          <w:sz w:val="24"/>
          <w:szCs w:val="24"/>
        </w:rPr>
        <w:t>This study is important because it addresses a critical gap between organisational policy and lived workplace experience. While flexible working policies are increasingly promoted as a solution to gender inequality, there is limited understanding of how such arrangements function in practice within operational sectors such as warehousing. By focusing on part-time women, this research contributes to ongoing debates around equity, labour market segmentation, and inclusive workplace design. The findings aim to inform both organisational practice and policy development by identifying practical strategies to improve career progression opportunities for underrepresented groups.</w:t>
      </w:r>
    </w:p>
    <w:p w14:paraId="471B0C56" w14:textId="0DF7D6FF" w:rsidR="00B44DC1" w:rsidRPr="008B2EDF" w:rsidRDefault="00DA415E" w:rsidP="004F17FF">
      <w:pPr>
        <w:pStyle w:val="Heading1"/>
        <w:spacing w:line="360" w:lineRule="auto"/>
        <w:jc w:val="both"/>
        <w:rPr>
          <w:rFonts w:ascii="Times New Roman" w:hAnsi="Times New Roman" w:cs="Times New Roman"/>
          <w:sz w:val="24"/>
          <w:szCs w:val="24"/>
        </w:rPr>
      </w:pPr>
      <w:bookmarkStart w:id="1" w:name="_Toc228970917"/>
      <w:r w:rsidRPr="008B2EDF">
        <w:rPr>
          <w:rFonts w:ascii="Times New Roman" w:hAnsi="Times New Roman" w:cs="Times New Roman"/>
          <w:sz w:val="24"/>
          <w:szCs w:val="24"/>
        </w:rPr>
        <w:t xml:space="preserve">2. </w:t>
      </w:r>
      <w:r w:rsidR="00B44DC1" w:rsidRPr="008B2EDF">
        <w:rPr>
          <w:rFonts w:ascii="Times New Roman" w:hAnsi="Times New Roman" w:cs="Times New Roman"/>
          <w:sz w:val="24"/>
          <w:szCs w:val="24"/>
        </w:rPr>
        <w:t>Research Problem</w:t>
      </w:r>
      <w:bookmarkEnd w:id="1"/>
    </w:p>
    <w:p w14:paraId="19F6A071" w14:textId="77777777" w:rsidR="00011B4D" w:rsidRPr="008B2EDF" w:rsidRDefault="00011B4D" w:rsidP="004F17FF">
      <w:pPr>
        <w:jc w:val="both"/>
        <w:rPr>
          <w:rFonts w:ascii="Times New Roman" w:hAnsi="Times New Roman" w:cs="Times New Roman"/>
          <w:sz w:val="24"/>
          <w:szCs w:val="24"/>
        </w:rPr>
      </w:pPr>
    </w:p>
    <w:p w14:paraId="406ABCC9" w14:textId="77777777" w:rsidR="004B70CE" w:rsidRPr="008B2EDF" w:rsidRDefault="004B70CE" w:rsidP="004B70CE">
      <w:pPr>
        <w:spacing w:line="360" w:lineRule="auto"/>
        <w:jc w:val="both"/>
        <w:rPr>
          <w:rFonts w:ascii="Times New Roman" w:hAnsi="Times New Roman" w:cs="Times New Roman"/>
          <w:sz w:val="24"/>
          <w:szCs w:val="24"/>
        </w:rPr>
      </w:pPr>
      <w:r w:rsidRPr="008B2EDF">
        <w:rPr>
          <w:rFonts w:ascii="Times New Roman" w:hAnsi="Times New Roman" w:cs="Times New Roman"/>
          <w:sz w:val="24"/>
          <w:szCs w:val="24"/>
        </w:rPr>
        <w:t>Women working in part-time employment in the UK continue to experience persistent inequalities in career progression and earnings compared to their full-time and male counterparts. Although part-time work is often presented as a flexible solution that supports work–life balance, evidence suggests that it is frequently associated with slower career development, reduced access to promotion, and lower lifetime earnings.</w:t>
      </w:r>
    </w:p>
    <w:p w14:paraId="59D93B7E" w14:textId="2705BB51" w:rsidR="004B70CE" w:rsidRPr="008B2EDF" w:rsidRDefault="004B70CE" w:rsidP="004B70CE">
      <w:pPr>
        <w:spacing w:line="360" w:lineRule="auto"/>
        <w:jc w:val="both"/>
        <w:rPr>
          <w:rFonts w:ascii="Times New Roman" w:hAnsi="Times New Roman" w:cs="Times New Roman"/>
          <w:sz w:val="24"/>
          <w:szCs w:val="24"/>
        </w:rPr>
      </w:pPr>
      <w:r w:rsidRPr="008B2EDF">
        <w:rPr>
          <w:rFonts w:ascii="Times New Roman" w:hAnsi="Times New Roman" w:cs="Times New Roman"/>
          <w:sz w:val="24"/>
          <w:szCs w:val="24"/>
        </w:rPr>
        <w:t xml:space="preserve">Research indicates that gendered differences in labour market outcomes become particularly pronounced following parenthood. Francis-Devine and Hutton (2024), drawing on Andrew </w:t>
      </w:r>
      <w:r w:rsidR="00570CA8" w:rsidRPr="008B2EDF">
        <w:rPr>
          <w:rFonts w:ascii="Times New Roman" w:hAnsi="Times New Roman" w:cs="Times New Roman"/>
          <w:i/>
          <w:sz w:val="24"/>
          <w:szCs w:val="24"/>
        </w:rPr>
        <w:t>et al.</w:t>
      </w:r>
      <w:r w:rsidRPr="008B2EDF">
        <w:rPr>
          <w:rFonts w:ascii="Times New Roman" w:hAnsi="Times New Roman" w:cs="Times New Roman"/>
          <w:sz w:val="24"/>
          <w:szCs w:val="24"/>
        </w:rPr>
        <w:t xml:space="preserve"> (2021), demonstrate that while men’s earnings tend to remain stable after becoming parents, women experience sustained reductions in income. This reflects broader structural inequalities in which caregiving responsibilities disproportionately shape women’s employment trajectories.</w:t>
      </w:r>
    </w:p>
    <w:p w14:paraId="7DCC2DC2" w14:textId="77777777" w:rsidR="004B70CE" w:rsidRPr="008B2EDF" w:rsidRDefault="004B70CE" w:rsidP="004B70CE">
      <w:pPr>
        <w:spacing w:line="360" w:lineRule="auto"/>
        <w:jc w:val="both"/>
        <w:rPr>
          <w:rFonts w:ascii="Times New Roman" w:hAnsi="Times New Roman" w:cs="Times New Roman"/>
          <w:sz w:val="24"/>
          <w:szCs w:val="24"/>
        </w:rPr>
      </w:pPr>
      <w:r w:rsidRPr="008B2EDF">
        <w:rPr>
          <w:rFonts w:ascii="Times New Roman" w:hAnsi="Times New Roman" w:cs="Times New Roman"/>
          <w:sz w:val="24"/>
          <w:szCs w:val="24"/>
        </w:rPr>
        <w:t>Schmid (2022) further argues that childcare responsibilities strongly influence women’s labour market decisions, often leading them to prioritise flexible or reduced-hours work over career advancement. In addition, Haigh (2024) highlights that women are significantly more likely to exit employment due to inadequate managerial support, limited progression opportunities, and unsustainable workloads.</w:t>
      </w:r>
    </w:p>
    <w:p w14:paraId="1D045547" w14:textId="77777777" w:rsidR="004B70CE" w:rsidRPr="008B2EDF" w:rsidRDefault="004B70CE" w:rsidP="00570CA8">
      <w:pPr>
        <w:spacing w:line="360" w:lineRule="auto"/>
        <w:jc w:val="both"/>
        <w:rPr>
          <w:rFonts w:ascii="Times New Roman" w:hAnsi="Times New Roman" w:cs="Times New Roman"/>
          <w:sz w:val="24"/>
          <w:szCs w:val="24"/>
        </w:rPr>
      </w:pPr>
      <w:r w:rsidRPr="008B2EDF">
        <w:rPr>
          <w:rFonts w:ascii="Times New Roman" w:hAnsi="Times New Roman" w:cs="Times New Roman"/>
          <w:sz w:val="24"/>
          <w:szCs w:val="24"/>
        </w:rPr>
        <w:t xml:space="preserve">Despite policy frameworks aimed at promoting equality, such as flexible working legislation and anti-discrimination laws, inequalities persist in practice. This suggests that organisational </w:t>
      </w:r>
      <w:r w:rsidRPr="008B2EDF">
        <w:rPr>
          <w:rFonts w:ascii="Times New Roman" w:hAnsi="Times New Roman" w:cs="Times New Roman"/>
          <w:sz w:val="24"/>
          <w:szCs w:val="24"/>
        </w:rPr>
        <w:lastRenderedPageBreak/>
        <w:t>structures, workplace cultures, and job design continue to constrain women’s progression in part-time roles, particularly in operational sectors such as warehousing.</w:t>
      </w:r>
    </w:p>
    <w:p w14:paraId="69183E1A" w14:textId="68EC11F4" w:rsidR="00011B4D" w:rsidRPr="008B2EDF" w:rsidRDefault="00566EAD" w:rsidP="00570CA8">
      <w:pPr>
        <w:pStyle w:val="ListParagraph"/>
        <w:spacing w:line="360" w:lineRule="auto"/>
        <w:jc w:val="both"/>
        <w:rPr>
          <w:rFonts w:ascii="Times New Roman" w:hAnsi="Times New Roman" w:cs="Times New Roman"/>
          <w:b/>
          <w:bCs/>
          <w:sz w:val="24"/>
          <w:szCs w:val="24"/>
        </w:rPr>
      </w:pPr>
      <w:r w:rsidRPr="008B2EDF">
        <w:rPr>
          <w:rFonts w:ascii="Times New Roman" w:hAnsi="Times New Roman" w:cs="Times New Roman"/>
          <w:b/>
          <w:bCs/>
          <w:sz w:val="24"/>
          <w:szCs w:val="24"/>
        </w:rPr>
        <w:t>Aim</w:t>
      </w:r>
    </w:p>
    <w:p w14:paraId="2B9B1103" w14:textId="373B89B9" w:rsidR="00566EAD" w:rsidRPr="008B2EDF" w:rsidRDefault="00566EAD" w:rsidP="00570CA8">
      <w:pPr>
        <w:pStyle w:val="ListParagraph"/>
        <w:numPr>
          <w:ilvl w:val="0"/>
          <w:numId w:val="24"/>
        </w:numPr>
        <w:spacing w:line="360" w:lineRule="auto"/>
        <w:jc w:val="both"/>
        <w:rPr>
          <w:rFonts w:ascii="Times New Roman" w:hAnsi="Times New Roman" w:cs="Times New Roman"/>
          <w:sz w:val="24"/>
          <w:szCs w:val="24"/>
        </w:rPr>
      </w:pPr>
      <w:r w:rsidRPr="008B2EDF">
        <w:rPr>
          <w:rFonts w:ascii="Times New Roman" w:hAnsi="Times New Roman" w:cs="Times New Roman"/>
          <w:sz w:val="24"/>
          <w:szCs w:val="24"/>
        </w:rPr>
        <w:t>To critically examine the barriers affecting career progression among part-time women working in the UK warehousing sector, with particular focus on invisible labour, organisational practices, and workplace inequality</w:t>
      </w:r>
      <w:r w:rsidRPr="008B2EDF">
        <w:rPr>
          <w:rFonts w:ascii="Times New Roman" w:hAnsi="Times New Roman" w:cs="Times New Roman"/>
          <w:sz w:val="24"/>
          <w:szCs w:val="24"/>
        </w:rPr>
        <w:t>.</w:t>
      </w:r>
    </w:p>
    <w:p w14:paraId="056DCDF6" w14:textId="0A0FFB41" w:rsidR="00566EAD" w:rsidRPr="008B2EDF" w:rsidRDefault="00BF7912" w:rsidP="00570CA8">
      <w:pPr>
        <w:spacing w:line="360" w:lineRule="auto"/>
        <w:jc w:val="both"/>
        <w:rPr>
          <w:rFonts w:ascii="Times New Roman" w:hAnsi="Times New Roman" w:cs="Times New Roman"/>
          <w:b/>
          <w:bCs/>
          <w:sz w:val="24"/>
          <w:szCs w:val="24"/>
        </w:rPr>
      </w:pPr>
      <w:r w:rsidRPr="008B2EDF">
        <w:rPr>
          <w:rFonts w:ascii="Times New Roman" w:hAnsi="Times New Roman" w:cs="Times New Roman"/>
          <w:b/>
          <w:bCs/>
          <w:sz w:val="24"/>
          <w:szCs w:val="24"/>
        </w:rPr>
        <w:t>Research questions</w:t>
      </w:r>
    </w:p>
    <w:p w14:paraId="7AC28AEA" w14:textId="72B1FC2C" w:rsidR="00BF7912" w:rsidRPr="008B2EDF" w:rsidRDefault="00BF7912" w:rsidP="00570CA8">
      <w:pPr>
        <w:pStyle w:val="ListParagraph"/>
        <w:numPr>
          <w:ilvl w:val="0"/>
          <w:numId w:val="25"/>
        </w:numPr>
        <w:spacing w:line="360" w:lineRule="auto"/>
        <w:jc w:val="both"/>
        <w:rPr>
          <w:rFonts w:ascii="Times New Roman" w:hAnsi="Times New Roman" w:cs="Times New Roman"/>
          <w:sz w:val="24"/>
          <w:szCs w:val="24"/>
        </w:rPr>
      </w:pPr>
      <w:r w:rsidRPr="008B2EDF">
        <w:rPr>
          <w:rFonts w:ascii="Times New Roman" w:hAnsi="Times New Roman" w:cs="Times New Roman"/>
          <w:sz w:val="24"/>
          <w:szCs w:val="24"/>
        </w:rPr>
        <w:t xml:space="preserve">  What forms of invisible labour are performed by part-time women in warehousing roles? </w:t>
      </w:r>
    </w:p>
    <w:p w14:paraId="14583370" w14:textId="4E3A690D" w:rsidR="00BF7912" w:rsidRPr="008B2EDF" w:rsidRDefault="00BF7912" w:rsidP="00570CA8">
      <w:pPr>
        <w:pStyle w:val="ListParagraph"/>
        <w:numPr>
          <w:ilvl w:val="0"/>
          <w:numId w:val="25"/>
        </w:numPr>
        <w:spacing w:line="360" w:lineRule="auto"/>
        <w:jc w:val="both"/>
        <w:rPr>
          <w:rFonts w:ascii="Times New Roman" w:hAnsi="Times New Roman" w:cs="Times New Roman"/>
          <w:sz w:val="24"/>
          <w:szCs w:val="24"/>
        </w:rPr>
      </w:pPr>
      <w:r w:rsidRPr="008B2EDF">
        <w:rPr>
          <w:rFonts w:ascii="Times New Roman" w:hAnsi="Times New Roman" w:cs="Times New Roman"/>
          <w:sz w:val="24"/>
          <w:szCs w:val="24"/>
        </w:rPr>
        <w:t xml:space="preserve"> How is the contribution of part-time women perceived in comparison to full-time employees? </w:t>
      </w:r>
    </w:p>
    <w:p w14:paraId="16BA100E" w14:textId="65B0B664" w:rsidR="00BF7912" w:rsidRPr="008B2EDF" w:rsidRDefault="00BF7912" w:rsidP="00570CA8">
      <w:pPr>
        <w:pStyle w:val="ListParagraph"/>
        <w:numPr>
          <w:ilvl w:val="0"/>
          <w:numId w:val="25"/>
        </w:numPr>
        <w:spacing w:line="360" w:lineRule="auto"/>
        <w:jc w:val="both"/>
        <w:rPr>
          <w:rFonts w:ascii="Times New Roman" w:hAnsi="Times New Roman" w:cs="Times New Roman"/>
          <w:sz w:val="24"/>
          <w:szCs w:val="24"/>
        </w:rPr>
      </w:pPr>
      <w:r w:rsidRPr="008B2EDF">
        <w:rPr>
          <w:rFonts w:ascii="Times New Roman" w:hAnsi="Times New Roman" w:cs="Times New Roman"/>
          <w:sz w:val="24"/>
          <w:szCs w:val="24"/>
        </w:rPr>
        <w:t xml:space="preserve"> What organisational and structural barriers restrict the career progression of part-time women in warehousing? </w:t>
      </w:r>
    </w:p>
    <w:p w14:paraId="3F11E171" w14:textId="300DB067" w:rsidR="00BF7912" w:rsidRPr="008B2EDF" w:rsidRDefault="00BF7912" w:rsidP="00570CA8">
      <w:pPr>
        <w:pStyle w:val="ListParagraph"/>
        <w:numPr>
          <w:ilvl w:val="0"/>
          <w:numId w:val="25"/>
        </w:numPr>
        <w:spacing w:line="360" w:lineRule="auto"/>
        <w:jc w:val="both"/>
        <w:rPr>
          <w:rFonts w:ascii="Times New Roman" w:hAnsi="Times New Roman" w:cs="Times New Roman"/>
          <w:sz w:val="24"/>
          <w:szCs w:val="24"/>
        </w:rPr>
      </w:pPr>
      <w:r w:rsidRPr="008B2EDF">
        <w:rPr>
          <w:rFonts w:ascii="Times New Roman" w:hAnsi="Times New Roman" w:cs="Times New Roman"/>
          <w:sz w:val="24"/>
          <w:szCs w:val="24"/>
        </w:rPr>
        <w:t xml:space="preserve"> How do workplace policies and flexible working arrangements influence promotion and development opportunities?</w:t>
      </w:r>
    </w:p>
    <w:p w14:paraId="57C45B66" w14:textId="30285A98" w:rsidR="00C54E79" w:rsidRPr="008B2EDF" w:rsidRDefault="00C54E79" w:rsidP="00570CA8">
      <w:pPr>
        <w:spacing w:line="360" w:lineRule="auto"/>
        <w:jc w:val="both"/>
        <w:rPr>
          <w:rFonts w:ascii="Times New Roman" w:hAnsi="Times New Roman" w:cs="Times New Roman"/>
          <w:b/>
          <w:bCs/>
          <w:sz w:val="24"/>
          <w:szCs w:val="24"/>
        </w:rPr>
      </w:pPr>
      <w:r w:rsidRPr="008B2EDF">
        <w:rPr>
          <w:rFonts w:ascii="Times New Roman" w:hAnsi="Times New Roman" w:cs="Times New Roman"/>
          <w:b/>
          <w:bCs/>
          <w:sz w:val="24"/>
          <w:szCs w:val="24"/>
        </w:rPr>
        <w:t>Objectives</w:t>
      </w:r>
    </w:p>
    <w:p w14:paraId="30483D4F" w14:textId="43BAA27E" w:rsidR="00C54E79" w:rsidRPr="008B2EDF" w:rsidRDefault="00C54E79" w:rsidP="00570CA8">
      <w:pPr>
        <w:pStyle w:val="ListParagraph"/>
        <w:numPr>
          <w:ilvl w:val="0"/>
          <w:numId w:val="24"/>
        </w:numPr>
        <w:spacing w:after="0" w:line="360" w:lineRule="auto"/>
        <w:jc w:val="both"/>
        <w:rPr>
          <w:rFonts w:ascii="Times New Roman" w:eastAsia="Times New Roman" w:hAnsi="Times New Roman" w:cs="Times New Roman"/>
          <w:kern w:val="0"/>
          <w:sz w:val="24"/>
          <w:szCs w:val="24"/>
          <w:lang w:eastAsia="en-GB"/>
          <w14:ligatures w14:val="none"/>
        </w:rPr>
      </w:pPr>
      <w:r w:rsidRPr="008B2EDF">
        <w:rPr>
          <w:rFonts w:ascii="Times New Roman" w:eastAsia="Times New Roman" w:hAnsi="Times New Roman" w:cs="Times New Roman"/>
          <w:kern w:val="0"/>
          <w:sz w:val="24"/>
          <w:szCs w:val="24"/>
          <w:lang w:eastAsia="en-GB"/>
          <w14:ligatures w14:val="none"/>
        </w:rPr>
        <w:t xml:space="preserve">To identify and critically analyse the types of invisible labour undertaken by part-time women in warehousing roles. </w:t>
      </w:r>
    </w:p>
    <w:p w14:paraId="5E64BDE3" w14:textId="454BEB67" w:rsidR="00C54E79" w:rsidRPr="008B2EDF" w:rsidRDefault="00C54E79" w:rsidP="00570CA8">
      <w:pPr>
        <w:pStyle w:val="ListParagraph"/>
        <w:numPr>
          <w:ilvl w:val="0"/>
          <w:numId w:val="24"/>
        </w:numPr>
        <w:spacing w:after="0" w:line="360" w:lineRule="auto"/>
        <w:jc w:val="both"/>
        <w:rPr>
          <w:rFonts w:ascii="Times New Roman" w:eastAsia="Times New Roman" w:hAnsi="Times New Roman" w:cs="Times New Roman"/>
          <w:kern w:val="0"/>
          <w:sz w:val="24"/>
          <w:szCs w:val="24"/>
          <w:lang w:eastAsia="en-GB"/>
          <w14:ligatures w14:val="none"/>
        </w:rPr>
      </w:pPr>
      <w:r w:rsidRPr="008B2EDF">
        <w:rPr>
          <w:rFonts w:ascii="Times New Roman" w:eastAsia="Times New Roman" w:hAnsi="Times New Roman" w:cs="Times New Roman"/>
          <w:kern w:val="0"/>
          <w:sz w:val="24"/>
          <w:szCs w:val="24"/>
          <w:lang w:eastAsia="en-GB"/>
          <w14:ligatures w14:val="none"/>
        </w:rPr>
        <w:t xml:space="preserve">To examine how the contributions of part-time women are recognised within organisational promotion and reward systems. </w:t>
      </w:r>
    </w:p>
    <w:p w14:paraId="59D5A486" w14:textId="0DFD0DA6" w:rsidR="00C54E79" w:rsidRPr="008B2EDF" w:rsidRDefault="00C54E79" w:rsidP="00570CA8">
      <w:pPr>
        <w:pStyle w:val="ListParagraph"/>
        <w:numPr>
          <w:ilvl w:val="0"/>
          <w:numId w:val="24"/>
        </w:numPr>
        <w:spacing w:after="0" w:line="360" w:lineRule="auto"/>
        <w:jc w:val="both"/>
        <w:rPr>
          <w:rFonts w:ascii="Times New Roman" w:eastAsia="Times New Roman" w:hAnsi="Times New Roman" w:cs="Times New Roman"/>
          <w:kern w:val="0"/>
          <w:sz w:val="24"/>
          <w:szCs w:val="24"/>
          <w:lang w:eastAsia="en-GB"/>
          <w14:ligatures w14:val="none"/>
        </w:rPr>
      </w:pPr>
      <w:r w:rsidRPr="008B2EDF">
        <w:rPr>
          <w:rFonts w:ascii="Times New Roman" w:eastAsia="Times New Roman" w:hAnsi="Times New Roman" w:cs="Times New Roman"/>
          <w:kern w:val="0"/>
          <w:sz w:val="24"/>
          <w:szCs w:val="24"/>
          <w:lang w:eastAsia="en-GB"/>
          <w14:ligatures w14:val="none"/>
        </w:rPr>
        <w:t xml:space="preserve">To assess how job design, shift structures, and organisational practices constrain career progression. </w:t>
      </w:r>
    </w:p>
    <w:p w14:paraId="74159A91" w14:textId="08BD5F95" w:rsidR="00C54E79" w:rsidRPr="008B2EDF" w:rsidRDefault="00C54E79" w:rsidP="00570CA8">
      <w:pPr>
        <w:pStyle w:val="ListParagraph"/>
        <w:numPr>
          <w:ilvl w:val="0"/>
          <w:numId w:val="24"/>
        </w:numPr>
        <w:spacing w:after="0" w:line="360" w:lineRule="auto"/>
        <w:jc w:val="both"/>
        <w:rPr>
          <w:rFonts w:ascii="Times New Roman" w:eastAsia="Times New Roman" w:hAnsi="Times New Roman" w:cs="Times New Roman"/>
          <w:kern w:val="0"/>
          <w:sz w:val="24"/>
          <w:szCs w:val="24"/>
          <w:lang w:eastAsia="en-GB"/>
          <w14:ligatures w14:val="none"/>
        </w:rPr>
      </w:pPr>
      <w:r w:rsidRPr="008B2EDF">
        <w:rPr>
          <w:rFonts w:ascii="Times New Roman" w:eastAsia="Times New Roman" w:hAnsi="Times New Roman" w:cs="Times New Roman"/>
          <w:kern w:val="0"/>
          <w:sz w:val="24"/>
          <w:szCs w:val="24"/>
          <w:lang w:eastAsia="en-GB"/>
          <w14:ligatures w14:val="none"/>
        </w:rPr>
        <w:t xml:space="preserve">To evaluate the effectiveness of workplace policies in promoting equitable career development. </w:t>
      </w:r>
    </w:p>
    <w:p w14:paraId="4CBD0C54" w14:textId="7790F10D" w:rsidR="00BF7912" w:rsidRPr="008B2EDF" w:rsidRDefault="00C54E79" w:rsidP="00570CA8">
      <w:pPr>
        <w:pStyle w:val="ListParagraph"/>
        <w:numPr>
          <w:ilvl w:val="0"/>
          <w:numId w:val="24"/>
        </w:numPr>
        <w:spacing w:line="360" w:lineRule="auto"/>
        <w:jc w:val="both"/>
        <w:rPr>
          <w:rFonts w:ascii="Times New Roman" w:hAnsi="Times New Roman" w:cs="Times New Roman"/>
          <w:sz w:val="24"/>
          <w:szCs w:val="24"/>
        </w:rPr>
      </w:pPr>
      <w:r w:rsidRPr="008B2EDF">
        <w:rPr>
          <w:rFonts w:ascii="Times New Roman" w:eastAsia="Times New Roman" w:hAnsi="Times New Roman" w:cs="Times New Roman"/>
          <w:kern w:val="0"/>
          <w:sz w:val="24"/>
          <w:szCs w:val="24"/>
          <w:lang w:eastAsia="en-GB"/>
          <w14:ligatures w14:val="none"/>
        </w:rPr>
        <w:t>To propose practical recommendations for improving fairness and progression opportunities in the warehousing sector.</w:t>
      </w:r>
    </w:p>
    <w:p w14:paraId="277A51F7" w14:textId="77777777" w:rsidR="004F17FF" w:rsidRPr="008B2EDF" w:rsidRDefault="004F17FF" w:rsidP="008E651E">
      <w:pPr>
        <w:pStyle w:val="Heading1"/>
        <w:spacing w:line="360" w:lineRule="auto"/>
        <w:jc w:val="both"/>
        <w:rPr>
          <w:rFonts w:ascii="Times New Roman" w:hAnsi="Times New Roman" w:cs="Times New Roman"/>
          <w:sz w:val="24"/>
          <w:szCs w:val="24"/>
        </w:rPr>
      </w:pPr>
      <w:bookmarkStart w:id="2" w:name="_Toc228970918"/>
      <w:r w:rsidRPr="008B2EDF">
        <w:rPr>
          <w:rFonts w:ascii="Times New Roman" w:hAnsi="Times New Roman" w:cs="Times New Roman"/>
          <w:sz w:val="24"/>
          <w:szCs w:val="24"/>
        </w:rPr>
        <w:t>3. Literature Review</w:t>
      </w:r>
      <w:bookmarkEnd w:id="2"/>
    </w:p>
    <w:p w14:paraId="1AA727F5" w14:textId="77777777" w:rsidR="004F17FF" w:rsidRPr="008B2EDF" w:rsidRDefault="004F17FF" w:rsidP="008E651E">
      <w:pPr>
        <w:pStyle w:val="Heading2"/>
        <w:spacing w:line="360" w:lineRule="auto"/>
        <w:jc w:val="both"/>
        <w:rPr>
          <w:rFonts w:ascii="Times New Roman" w:hAnsi="Times New Roman" w:cs="Times New Roman"/>
          <w:sz w:val="24"/>
          <w:szCs w:val="24"/>
        </w:rPr>
      </w:pPr>
      <w:bookmarkStart w:id="3" w:name="_Toc228970919"/>
      <w:r w:rsidRPr="008B2EDF">
        <w:rPr>
          <w:rFonts w:ascii="Times New Roman" w:hAnsi="Times New Roman" w:cs="Times New Roman"/>
          <w:sz w:val="24"/>
          <w:szCs w:val="24"/>
        </w:rPr>
        <w:t>3.1 Introduction and Current Landscape of Part-Time Work</w:t>
      </w:r>
      <w:bookmarkEnd w:id="3"/>
    </w:p>
    <w:p w14:paraId="3F16CA05" w14:textId="42780296" w:rsidR="004F17FF" w:rsidRPr="008B2EDF" w:rsidRDefault="004F17FF" w:rsidP="008E651E">
      <w:pPr>
        <w:spacing w:line="360" w:lineRule="auto"/>
        <w:jc w:val="both"/>
        <w:rPr>
          <w:rFonts w:ascii="Times New Roman" w:eastAsiaTheme="majorEastAsia" w:hAnsi="Times New Roman" w:cs="Times New Roman"/>
          <w:sz w:val="24"/>
          <w:szCs w:val="24"/>
        </w:rPr>
      </w:pPr>
      <w:r w:rsidRPr="008B2EDF">
        <w:rPr>
          <w:rFonts w:ascii="Times New Roman" w:eastAsiaTheme="majorEastAsia" w:hAnsi="Times New Roman" w:cs="Times New Roman"/>
          <w:sz w:val="24"/>
          <w:szCs w:val="24"/>
        </w:rPr>
        <w:t xml:space="preserve">Part-time employment is a defining feature of the contemporary UK labour market, particularly among women, who constitute </w:t>
      </w:r>
      <w:r w:rsidR="00DB7ECF" w:rsidRPr="008B2EDF">
        <w:rPr>
          <w:rFonts w:ascii="Times New Roman" w:eastAsiaTheme="majorEastAsia" w:hAnsi="Times New Roman" w:cs="Times New Roman"/>
          <w:sz w:val="24"/>
          <w:szCs w:val="24"/>
        </w:rPr>
        <w:t>most</w:t>
      </w:r>
      <w:r w:rsidRPr="008B2EDF">
        <w:rPr>
          <w:rFonts w:ascii="Times New Roman" w:eastAsiaTheme="majorEastAsia" w:hAnsi="Times New Roman" w:cs="Times New Roman"/>
          <w:sz w:val="24"/>
          <w:szCs w:val="24"/>
        </w:rPr>
        <w:t xml:space="preserve"> part-time workers. The Office for National Statistics (ONS, 2024) defines part-time employment as work of fewer than 30 hours per week, compared with standard full-time hours. While part-time work is often associated with </w:t>
      </w:r>
      <w:r w:rsidRPr="008B2EDF">
        <w:rPr>
          <w:rFonts w:ascii="Times New Roman" w:eastAsiaTheme="majorEastAsia" w:hAnsi="Times New Roman" w:cs="Times New Roman"/>
          <w:sz w:val="24"/>
          <w:szCs w:val="24"/>
        </w:rPr>
        <w:lastRenderedPageBreak/>
        <w:t>flexibility and improved work–life balance, it remains structurally linked to occupational segregation, constrained career progression, and persistent earnings inequality (Rubery and Fagan, 2020; Chung and Booker, 2023).</w:t>
      </w:r>
      <w:r w:rsidRPr="008B2EDF">
        <w:rPr>
          <w:rFonts w:ascii="Times New Roman" w:eastAsiaTheme="majorEastAsia" w:hAnsi="Times New Roman" w:cs="Times New Roman"/>
          <w:sz w:val="24"/>
          <w:szCs w:val="24"/>
        </w:rPr>
        <w:t xml:space="preserve"> </w:t>
      </w:r>
      <w:r w:rsidRPr="008B2EDF">
        <w:rPr>
          <w:rFonts w:ascii="Times New Roman" w:eastAsiaTheme="majorEastAsia" w:hAnsi="Times New Roman" w:cs="Times New Roman"/>
          <w:sz w:val="24"/>
          <w:szCs w:val="24"/>
        </w:rPr>
        <w:t>Originally promoted as a mechanism to enhance gender equality, flexible and part-time work arrangements have, in practice, often reproduced labour market inequalities (Abendroth, 2022). Rather than representing a lack of ambition, women’s engagement in part-time work is frequently a strategic response to care responsibilities and wellbeing needs (Radcliffe and Cassell, 2015; Abendroth, 2022). Nevertheless, empirical evidence consistently highlights a “part-time penalty,” whereby reduced-hours employment is associated with fewer training opportunities, slower promotion rates, and widening pay gaps (Rubery and Fagan, 2020; Booker and Chung, 2023).</w:t>
      </w:r>
    </w:p>
    <w:p w14:paraId="685102C5" w14:textId="77777777" w:rsidR="004F17FF" w:rsidRPr="008B2EDF" w:rsidRDefault="004F17FF" w:rsidP="008E651E">
      <w:pPr>
        <w:spacing w:line="360" w:lineRule="auto"/>
        <w:jc w:val="both"/>
        <w:rPr>
          <w:rFonts w:ascii="Times New Roman" w:eastAsiaTheme="majorEastAsia" w:hAnsi="Times New Roman" w:cs="Times New Roman"/>
          <w:sz w:val="24"/>
          <w:szCs w:val="24"/>
        </w:rPr>
      </w:pPr>
      <w:r w:rsidRPr="008B2EDF">
        <w:rPr>
          <w:rFonts w:ascii="Times New Roman" w:eastAsiaTheme="majorEastAsia" w:hAnsi="Times New Roman" w:cs="Times New Roman"/>
          <w:sz w:val="24"/>
          <w:szCs w:val="24"/>
        </w:rPr>
        <w:t>Although flexible working arrangements can improve autonomy over time and place of work, their benefits are unevenly distributed. Working reduced hours remains culturally devalued and is often interpreted as reduced commitment (Chung and van der Lippe, 2020; Chung, 2024). In contrast, flexible arrangements such as remote work or compressed hours are more likely to preserve career legitimacy (Kelliher and Anderson, 2010). Organisational cultures continue to reinforce the association between career progression and presenteeism, disproportionately disadvantaging those with caring responsibilities, particularly women (Abendroth and Chung, 2022).</w:t>
      </w:r>
    </w:p>
    <w:p w14:paraId="06E4416C" w14:textId="77777777" w:rsidR="004F17FF" w:rsidRPr="008B2EDF" w:rsidRDefault="004F17FF" w:rsidP="008E651E">
      <w:pPr>
        <w:spacing w:line="360" w:lineRule="auto"/>
        <w:jc w:val="both"/>
        <w:rPr>
          <w:rFonts w:ascii="Times New Roman" w:eastAsiaTheme="majorEastAsia" w:hAnsi="Times New Roman" w:cs="Times New Roman"/>
          <w:sz w:val="24"/>
          <w:szCs w:val="24"/>
        </w:rPr>
      </w:pPr>
      <w:r w:rsidRPr="008B2EDF">
        <w:rPr>
          <w:rFonts w:ascii="Times New Roman" w:eastAsiaTheme="majorEastAsia" w:hAnsi="Times New Roman" w:cs="Times New Roman"/>
          <w:sz w:val="24"/>
          <w:szCs w:val="24"/>
        </w:rPr>
        <w:t>These dynamics challenge traditional interpretations of Preference Theory (Hakim, 2006), which attributes women’s labour market outcomes primarily to individual choice. Contemporary evidence instead emphasises structural constraints, including occupational segregation, managerial bias, and institutional design (Chung, 2024; Foster and Graham, 2021). Parenthood further intensifies these inequalities, with women experiencing significant reductions in working hours and earnings following childbirth, commonly referred to as the “motherhood penalty” (Avram, Abendroth and Chung, 2024).</w:t>
      </w:r>
    </w:p>
    <w:p w14:paraId="29272925" w14:textId="1B624752" w:rsidR="004F17FF" w:rsidRPr="008B2EDF" w:rsidRDefault="004F17FF" w:rsidP="008E651E">
      <w:pPr>
        <w:spacing w:line="360" w:lineRule="auto"/>
        <w:jc w:val="both"/>
        <w:rPr>
          <w:rFonts w:ascii="Times New Roman" w:eastAsiaTheme="majorEastAsia" w:hAnsi="Times New Roman" w:cs="Times New Roman"/>
          <w:sz w:val="24"/>
          <w:szCs w:val="24"/>
        </w:rPr>
      </w:pPr>
      <w:r w:rsidRPr="008B2EDF">
        <w:rPr>
          <w:rFonts w:ascii="Times New Roman" w:eastAsiaTheme="majorEastAsia" w:hAnsi="Times New Roman" w:cs="Times New Roman"/>
          <w:sz w:val="24"/>
          <w:szCs w:val="24"/>
        </w:rPr>
        <w:t>In sectors such as warehousing, job design exacerbates these inequalities. Part-time roles frequently involve equivalent workloads to full-time positions but offer fewer rewards and limited recognition, reflecting processes of work intensification (Foster and Graham, 2021; Wright and Clibborn, 2020). Although organisations that invest in equitable workload distribution and training report improved retention (Chung and Booker, 2023), such practices remain inconsistent.</w:t>
      </w:r>
      <w:r w:rsidRPr="008B2EDF">
        <w:rPr>
          <w:rFonts w:ascii="Times New Roman" w:eastAsiaTheme="majorEastAsia" w:hAnsi="Times New Roman" w:cs="Times New Roman"/>
          <w:sz w:val="24"/>
          <w:szCs w:val="24"/>
        </w:rPr>
        <w:t xml:space="preserve"> </w:t>
      </w:r>
      <w:r w:rsidRPr="008B2EDF">
        <w:rPr>
          <w:rFonts w:ascii="Times New Roman" w:eastAsiaTheme="majorEastAsia" w:hAnsi="Times New Roman" w:cs="Times New Roman"/>
          <w:sz w:val="24"/>
          <w:szCs w:val="24"/>
        </w:rPr>
        <w:t>Overall, the current landscape reflects a paradox: while demand for flexible working continues to increase, entrenched organisational norms sustain inequality, particularly for women in part-time employment.</w:t>
      </w:r>
    </w:p>
    <w:p w14:paraId="5E6246FB" w14:textId="345CCD81" w:rsidR="004F17FF" w:rsidRPr="008B2EDF" w:rsidRDefault="004F17FF" w:rsidP="008E651E">
      <w:pPr>
        <w:spacing w:line="360" w:lineRule="auto"/>
        <w:jc w:val="both"/>
        <w:rPr>
          <w:rFonts w:ascii="Times New Roman" w:eastAsiaTheme="majorEastAsia" w:hAnsi="Times New Roman" w:cs="Times New Roman"/>
          <w:color w:val="0F4761" w:themeColor="accent1" w:themeShade="BF"/>
          <w:sz w:val="24"/>
          <w:szCs w:val="24"/>
        </w:rPr>
      </w:pPr>
    </w:p>
    <w:p w14:paraId="7B4A0384" w14:textId="77777777" w:rsidR="004F17FF" w:rsidRPr="008B2EDF" w:rsidRDefault="004F17FF" w:rsidP="008E651E">
      <w:pPr>
        <w:pStyle w:val="Heading2"/>
        <w:spacing w:line="360" w:lineRule="auto"/>
        <w:jc w:val="both"/>
        <w:rPr>
          <w:rFonts w:ascii="Times New Roman" w:hAnsi="Times New Roman" w:cs="Times New Roman"/>
          <w:sz w:val="24"/>
          <w:szCs w:val="24"/>
        </w:rPr>
      </w:pPr>
      <w:bookmarkStart w:id="4" w:name="_Toc228970920"/>
      <w:r w:rsidRPr="008B2EDF">
        <w:rPr>
          <w:rFonts w:ascii="Times New Roman" w:hAnsi="Times New Roman" w:cs="Times New Roman"/>
          <w:sz w:val="24"/>
          <w:szCs w:val="24"/>
        </w:rPr>
        <w:t>3.2 Historical Evolution of Part-Time Work in the UK</w:t>
      </w:r>
      <w:bookmarkEnd w:id="4"/>
    </w:p>
    <w:p w14:paraId="6175D437" w14:textId="77777777" w:rsidR="004F17FF" w:rsidRPr="008B2EDF" w:rsidRDefault="004F17FF" w:rsidP="008E651E">
      <w:pPr>
        <w:spacing w:line="360" w:lineRule="auto"/>
        <w:jc w:val="both"/>
        <w:rPr>
          <w:rFonts w:ascii="Times New Roman" w:eastAsiaTheme="majorEastAsia" w:hAnsi="Times New Roman" w:cs="Times New Roman"/>
          <w:sz w:val="24"/>
          <w:szCs w:val="24"/>
        </w:rPr>
      </w:pPr>
      <w:r w:rsidRPr="008B2EDF">
        <w:rPr>
          <w:rFonts w:ascii="Times New Roman" w:eastAsiaTheme="majorEastAsia" w:hAnsi="Times New Roman" w:cs="Times New Roman"/>
          <w:sz w:val="24"/>
          <w:szCs w:val="24"/>
        </w:rPr>
        <w:t>Part-time work in the UK has historically been shaped by gendered assumptions embedded in labour market structures. During the post-war period, employment policies were largely structured around the male breadwinner model, which positioned men as full-time workers and women as secondary earners (Maestripieri, 2023). From the 1950s and 1960s onwards, women’s increasing labour market participation coincided with the expansion of part-time roles in sectors such as retail, clerical work, and cleaning (ONS, 2019).</w:t>
      </w:r>
    </w:p>
    <w:p w14:paraId="005B262A" w14:textId="0BFA21DF" w:rsidR="004F17FF" w:rsidRPr="008B2EDF" w:rsidRDefault="004F17FF" w:rsidP="008E651E">
      <w:pPr>
        <w:spacing w:line="360" w:lineRule="auto"/>
        <w:jc w:val="both"/>
        <w:rPr>
          <w:rFonts w:ascii="Times New Roman" w:eastAsiaTheme="majorEastAsia" w:hAnsi="Times New Roman" w:cs="Times New Roman"/>
          <w:sz w:val="24"/>
          <w:szCs w:val="24"/>
        </w:rPr>
      </w:pPr>
      <w:r w:rsidRPr="008B2EDF">
        <w:rPr>
          <w:rFonts w:ascii="Times New Roman" w:eastAsiaTheme="majorEastAsia" w:hAnsi="Times New Roman" w:cs="Times New Roman"/>
          <w:sz w:val="24"/>
          <w:szCs w:val="24"/>
        </w:rPr>
        <w:t xml:space="preserve">Although the Equal Pay Act (1970) and the Sex Discrimination Act (1975) sought to reduce formal inequalities, structural disparities persisted. Feminist critiques during this period highlighted the marginalisation of women within part-time employment and the undervaluation of unpaid domestic labour. By the 1980s and 1990s, the expansion of the service economy increased the availability of part-time work; however, these roles remained concentrated in low-paid, low-skilled occupations (Rubery </w:t>
      </w:r>
      <w:r w:rsidR="00570CA8" w:rsidRPr="008B2EDF">
        <w:rPr>
          <w:rFonts w:ascii="Times New Roman" w:eastAsiaTheme="majorEastAsia" w:hAnsi="Times New Roman" w:cs="Times New Roman"/>
          <w:i/>
          <w:sz w:val="24"/>
          <w:szCs w:val="24"/>
        </w:rPr>
        <w:t>et al.</w:t>
      </w:r>
      <w:r w:rsidRPr="008B2EDF">
        <w:rPr>
          <w:rFonts w:ascii="Times New Roman" w:eastAsiaTheme="majorEastAsia" w:hAnsi="Times New Roman" w:cs="Times New Roman"/>
          <w:sz w:val="24"/>
          <w:szCs w:val="24"/>
        </w:rPr>
        <w:t>, 2024).</w:t>
      </w:r>
    </w:p>
    <w:p w14:paraId="43D3C71D" w14:textId="77777777" w:rsidR="004F17FF" w:rsidRPr="008B2EDF" w:rsidRDefault="004F17FF" w:rsidP="008E651E">
      <w:pPr>
        <w:spacing w:line="360" w:lineRule="auto"/>
        <w:jc w:val="both"/>
        <w:rPr>
          <w:rFonts w:ascii="Times New Roman" w:eastAsiaTheme="majorEastAsia" w:hAnsi="Times New Roman" w:cs="Times New Roman"/>
          <w:sz w:val="24"/>
          <w:szCs w:val="24"/>
        </w:rPr>
      </w:pPr>
      <w:r w:rsidRPr="008B2EDF">
        <w:rPr>
          <w:rFonts w:ascii="Times New Roman" w:eastAsiaTheme="majorEastAsia" w:hAnsi="Times New Roman" w:cs="Times New Roman"/>
          <w:sz w:val="24"/>
          <w:szCs w:val="24"/>
        </w:rPr>
        <w:t>A significant policy development occurred with the implementation of the EU Part-Time Work Directive (2000), transposed into UK law through the Part-Time Workers (Prevention of Less Favourable Treatment) Regulations (GOV.UK, 2025). This legislation formally prohibited less favourable treatment of part-time employees. Despite this progress, cultural perceptions of part-time work as secondary or less committed persisted (Smith, 2023).</w:t>
      </w:r>
    </w:p>
    <w:p w14:paraId="2E8A83AC" w14:textId="03718375" w:rsidR="004F17FF" w:rsidRPr="008B2EDF" w:rsidRDefault="004F17FF" w:rsidP="008E651E">
      <w:pPr>
        <w:spacing w:line="360" w:lineRule="auto"/>
        <w:jc w:val="both"/>
        <w:rPr>
          <w:rFonts w:ascii="Times New Roman" w:eastAsiaTheme="majorEastAsia" w:hAnsi="Times New Roman" w:cs="Times New Roman"/>
          <w:sz w:val="24"/>
          <w:szCs w:val="24"/>
        </w:rPr>
      </w:pPr>
      <w:r w:rsidRPr="008B2EDF">
        <w:rPr>
          <w:rFonts w:ascii="Times New Roman" w:eastAsiaTheme="majorEastAsia" w:hAnsi="Times New Roman" w:cs="Times New Roman"/>
          <w:sz w:val="24"/>
          <w:szCs w:val="24"/>
        </w:rPr>
        <w:t xml:space="preserve">In recent decades, although part-time work has expanded into more professional roles, inequalities remain embedded in organisational cultures and occupational structures. Women continue to be overrepresented in part-time employment, and career penalties associated with reduced hours remain evident (Rubery </w:t>
      </w:r>
      <w:r w:rsidR="00570CA8" w:rsidRPr="008B2EDF">
        <w:rPr>
          <w:rFonts w:ascii="Times New Roman" w:eastAsiaTheme="majorEastAsia" w:hAnsi="Times New Roman" w:cs="Times New Roman"/>
          <w:i/>
          <w:sz w:val="24"/>
          <w:szCs w:val="24"/>
        </w:rPr>
        <w:t>et al.</w:t>
      </w:r>
      <w:r w:rsidRPr="008B2EDF">
        <w:rPr>
          <w:rFonts w:ascii="Times New Roman" w:eastAsiaTheme="majorEastAsia" w:hAnsi="Times New Roman" w:cs="Times New Roman"/>
          <w:sz w:val="24"/>
          <w:szCs w:val="24"/>
        </w:rPr>
        <w:t>, 2024; Funk and Warning, 2024). This historical trajectory demonstrates that legal reforms alone have been insufficient to eliminate entrenched inequalities.</w:t>
      </w:r>
    </w:p>
    <w:p w14:paraId="3B03833C" w14:textId="77777777" w:rsidR="004F17FF" w:rsidRPr="008B2EDF" w:rsidRDefault="004F17FF" w:rsidP="008E651E">
      <w:pPr>
        <w:pStyle w:val="Heading2"/>
        <w:spacing w:line="360" w:lineRule="auto"/>
        <w:jc w:val="both"/>
        <w:rPr>
          <w:rFonts w:ascii="Times New Roman" w:hAnsi="Times New Roman" w:cs="Times New Roman"/>
          <w:sz w:val="24"/>
          <w:szCs w:val="24"/>
        </w:rPr>
      </w:pPr>
      <w:bookmarkStart w:id="5" w:name="_Toc228970921"/>
      <w:r w:rsidRPr="008B2EDF">
        <w:rPr>
          <w:rFonts w:ascii="Times New Roman" w:hAnsi="Times New Roman" w:cs="Times New Roman"/>
          <w:sz w:val="24"/>
          <w:szCs w:val="24"/>
        </w:rPr>
        <w:t>3.3 International Comparisons</w:t>
      </w:r>
      <w:bookmarkEnd w:id="5"/>
    </w:p>
    <w:p w14:paraId="10CE6A85" w14:textId="77777777" w:rsidR="004F17FF" w:rsidRPr="008B2EDF" w:rsidRDefault="004F17FF" w:rsidP="008E651E">
      <w:pPr>
        <w:spacing w:line="360" w:lineRule="auto"/>
        <w:jc w:val="both"/>
        <w:rPr>
          <w:rFonts w:ascii="Times New Roman" w:eastAsiaTheme="majorEastAsia" w:hAnsi="Times New Roman" w:cs="Times New Roman"/>
          <w:sz w:val="24"/>
          <w:szCs w:val="24"/>
        </w:rPr>
      </w:pPr>
      <w:r w:rsidRPr="008B2EDF">
        <w:rPr>
          <w:rFonts w:ascii="Times New Roman" w:eastAsiaTheme="majorEastAsia" w:hAnsi="Times New Roman" w:cs="Times New Roman"/>
          <w:sz w:val="24"/>
          <w:szCs w:val="24"/>
        </w:rPr>
        <w:t>International evidence demonstrates that outcomes for part-time workers vary significantly depending on institutional and cultural contexts.</w:t>
      </w:r>
    </w:p>
    <w:p w14:paraId="59D91C00" w14:textId="77777777" w:rsidR="004F17FF" w:rsidRPr="008B2EDF" w:rsidRDefault="004F17FF" w:rsidP="008E651E">
      <w:pPr>
        <w:spacing w:line="360" w:lineRule="auto"/>
        <w:jc w:val="both"/>
        <w:rPr>
          <w:rFonts w:ascii="Times New Roman" w:eastAsiaTheme="majorEastAsia" w:hAnsi="Times New Roman" w:cs="Times New Roman"/>
          <w:sz w:val="24"/>
          <w:szCs w:val="24"/>
        </w:rPr>
      </w:pPr>
      <w:r w:rsidRPr="008B2EDF">
        <w:rPr>
          <w:rFonts w:ascii="Times New Roman" w:eastAsiaTheme="majorEastAsia" w:hAnsi="Times New Roman" w:cs="Times New Roman"/>
          <w:sz w:val="24"/>
          <w:szCs w:val="24"/>
        </w:rPr>
        <w:t xml:space="preserve">Nordic countries such as Sweden, Norway, and Denmark are widely regarded as having supportive frameworks for part-time work. Generous parental leave policies, subsidised childcare, and strong collective bargaining structures reduce the long-term penalties associated </w:t>
      </w:r>
      <w:r w:rsidRPr="008B2EDF">
        <w:rPr>
          <w:rFonts w:ascii="Times New Roman" w:eastAsiaTheme="majorEastAsia" w:hAnsi="Times New Roman" w:cs="Times New Roman"/>
          <w:sz w:val="24"/>
          <w:szCs w:val="24"/>
        </w:rPr>
        <w:lastRenderedPageBreak/>
        <w:t>with reduced-hours employment (Welman, 2021). In these contexts, workers are more able to transition between part-time and full-time employment without sustained career disadvantage.</w:t>
      </w:r>
    </w:p>
    <w:p w14:paraId="791401DD" w14:textId="316A917C" w:rsidR="004F17FF" w:rsidRPr="008B2EDF" w:rsidRDefault="004F17FF" w:rsidP="008E651E">
      <w:pPr>
        <w:spacing w:line="360" w:lineRule="auto"/>
        <w:jc w:val="both"/>
        <w:rPr>
          <w:rFonts w:ascii="Times New Roman" w:eastAsiaTheme="majorEastAsia" w:hAnsi="Times New Roman" w:cs="Times New Roman"/>
          <w:sz w:val="24"/>
          <w:szCs w:val="24"/>
        </w:rPr>
      </w:pPr>
      <w:r w:rsidRPr="008B2EDF">
        <w:rPr>
          <w:rFonts w:ascii="Times New Roman" w:eastAsiaTheme="majorEastAsia" w:hAnsi="Times New Roman" w:cs="Times New Roman"/>
          <w:sz w:val="24"/>
          <w:szCs w:val="24"/>
        </w:rPr>
        <w:t xml:space="preserve">By contrast, countries such as the Netherlands and Germany exhibit high rates of part-time employment among women, often embedded within a “part-time culture” (Brehm and Milewski, 2024). In the Netherlands, for example, part-time work is widely normalised, particularly among mothers (OECD, 2019). However, critics argue that this model reinforces traditional gender roles and limits women’s career progression (Olivetti </w:t>
      </w:r>
      <w:r w:rsidR="00570CA8" w:rsidRPr="008B2EDF">
        <w:rPr>
          <w:rFonts w:ascii="Times New Roman" w:eastAsiaTheme="majorEastAsia" w:hAnsi="Times New Roman" w:cs="Times New Roman"/>
          <w:i/>
          <w:sz w:val="24"/>
          <w:szCs w:val="24"/>
        </w:rPr>
        <w:t>et al.</w:t>
      </w:r>
      <w:r w:rsidRPr="008B2EDF">
        <w:rPr>
          <w:rFonts w:ascii="Times New Roman" w:eastAsiaTheme="majorEastAsia" w:hAnsi="Times New Roman" w:cs="Times New Roman"/>
          <w:sz w:val="24"/>
          <w:szCs w:val="24"/>
        </w:rPr>
        <w:t>, 2024).</w:t>
      </w:r>
    </w:p>
    <w:p w14:paraId="0F9881A3" w14:textId="77777777" w:rsidR="004F17FF" w:rsidRPr="008B2EDF" w:rsidRDefault="004F17FF" w:rsidP="008E651E">
      <w:pPr>
        <w:spacing w:line="360" w:lineRule="auto"/>
        <w:jc w:val="both"/>
        <w:rPr>
          <w:rFonts w:ascii="Times New Roman" w:eastAsiaTheme="majorEastAsia" w:hAnsi="Times New Roman" w:cs="Times New Roman"/>
          <w:sz w:val="24"/>
          <w:szCs w:val="24"/>
        </w:rPr>
      </w:pPr>
      <w:r w:rsidRPr="008B2EDF">
        <w:rPr>
          <w:rFonts w:ascii="Times New Roman" w:eastAsiaTheme="majorEastAsia" w:hAnsi="Times New Roman" w:cs="Times New Roman"/>
          <w:sz w:val="24"/>
          <w:szCs w:val="24"/>
        </w:rPr>
        <w:t>The United States represents a contrasting model in which part-time employment is frequently associated with precarious work, limited benefits, and weak employment protections (Donnelly and Schoenbachler, 2021). In the absence of strong labour regulation, part-time work is more closely linked to insecurity and low wages.</w:t>
      </w:r>
    </w:p>
    <w:p w14:paraId="68B1F18D" w14:textId="77777777" w:rsidR="004F17FF" w:rsidRPr="008B2EDF" w:rsidRDefault="004F17FF" w:rsidP="008E651E">
      <w:pPr>
        <w:spacing w:line="360" w:lineRule="auto"/>
        <w:jc w:val="both"/>
        <w:rPr>
          <w:rFonts w:ascii="Times New Roman" w:eastAsiaTheme="majorEastAsia" w:hAnsi="Times New Roman" w:cs="Times New Roman"/>
          <w:sz w:val="24"/>
          <w:szCs w:val="24"/>
        </w:rPr>
      </w:pPr>
      <w:r w:rsidRPr="008B2EDF">
        <w:rPr>
          <w:rFonts w:ascii="Times New Roman" w:eastAsiaTheme="majorEastAsia" w:hAnsi="Times New Roman" w:cs="Times New Roman"/>
          <w:sz w:val="24"/>
          <w:szCs w:val="24"/>
        </w:rPr>
        <w:t>The UK occupies an intermediate position. While stronger protections exist than in the US, part-time work remains structurally disadvantaged compared to Nordic models. Occupational segregation and cultural bias continue to restrict progression opportunities for part-time workers, particularly women (Smith, 2023).</w:t>
      </w:r>
    </w:p>
    <w:p w14:paraId="0D8C95ED" w14:textId="24E04E29" w:rsidR="004F17FF" w:rsidRPr="008B2EDF" w:rsidRDefault="004F17FF" w:rsidP="004F17FF">
      <w:pPr>
        <w:jc w:val="both"/>
        <w:rPr>
          <w:rFonts w:ascii="Times New Roman" w:eastAsiaTheme="majorEastAsia" w:hAnsi="Times New Roman" w:cs="Times New Roman"/>
          <w:color w:val="0F4761" w:themeColor="accent1" w:themeShade="BF"/>
          <w:sz w:val="24"/>
          <w:szCs w:val="24"/>
        </w:rPr>
      </w:pPr>
    </w:p>
    <w:p w14:paraId="6560678F" w14:textId="77777777" w:rsidR="004F17FF" w:rsidRPr="008B2EDF" w:rsidRDefault="004F17FF" w:rsidP="004F17FF">
      <w:pPr>
        <w:pStyle w:val="Heading2"/>
        <w:jc w:val="both"/>
        <w:rPr>
          <w:rFonts w:ascii="Times New Roman" w:hAnsi="Times New Roman" w:cs="Times New Roman"/>
          <w:sz w:val="24"/>
          <w:szCs w:val="24"/>
        </w:rPr>
      </w:pPr>
      <w:bookmarkStart w:id="6" w:name="_Toc228970922"/>
      <w:r w:rsidRPr="008B2EDF">
        <w:rPr>
          <w:rFonts w:ascii="Times New Roman" w:hAnsi="Times New Roman" w:cs="Times New Roman"/>
          <w:sz w:val="24"/>
          <w:szCs w:val="24"/>
        </w:rPr>
        <w:t>3.4 Policy and Legal Framework</w:t>
      </w:r>
      <w:bookmarkEnd w:id="6"/>
    </w:p>
    <w:p w14:paraId="3E71B736" w14:textId="77777777" w:rsidR="004F17FF" w:rsidRPr="008B2EDF" w:rsidRDefault="004F17FF" w:rsidP="008E651E">
      <w:pPr>
        <w:spacing w:line="360" w:lineRule="auto"/>
        <w:jc w:val="both"/>
        <w:rPr>
          <w:rFonts w:ascii="Times New Roman" w:eastAsiaTheme="majorEastAsia" w:hAnsi="Times New Roman" w:cs="Times New Roman"/>
          <w:sz w:val="24"/>
          <w:szCs w:val="24"/>
        </w:rPr>
      </w:pPr>
      <w:r w:rsidRPr="008B2EDF">
        <w:rPr>
          <w:rFonts w:ascii="Times New Roman" w:eastAsiaTheme="majorEastAsia" w:hAnsi="Times New Roman" w:cs="Times New Roman"/>
          <w:sz w:val="24"/>
          <w:szCs w:val="24"/>
        </w:rPr>
        <w:t>The UK has developed a comprehensive legal framework intended to protect part-time workers. The Part-Time Workers (Prevention of Less Favourable Treatment) Regulations 2000 ensures that part-time employees should not be treated less favourably than comparable full-time staff in terms of pay, training, and career opportunities (GOV.UK, 2025).</w:t>
      </w:r>
    </w:p>
    <w:p w14:paraId="2B8E596D" w14:textId="77777777" w:rsidR="004F17FF" w:rsidRPr="008B2EDF" w:rsidRDefault="004F17FF" w:rsidP="008E651E">
      <w:pPr>
        <w:spacing w:line="360" w:lineRule="auto"/>
        <w:jc w:val="both"/>
        <w:rPr>
          <w:rFonts w:ascii="Times New Roman" w:eastAsiaTheme="majorEastAsia" w:hAnsi="Times New Roman" w:cs="Times New Roman"/>
          <w:sz w:val="24"/>
          <w:szCs w:val="24"/>
        </w:rPr>
      </w:pPr>
      <w:r w:rsidRPr="008B2EDF">
        <w:rPr>
          <w:rFonts w:ascii="Times New Roman" w:eastAsiaTheme="majorEastAsia" w:hAnsi="Times New Roman" w:cs="Times New Roman"/>
          <w:sz w:val="24"/>
          <w:szCs w:val="24"/>
        </w:rPr>
        <w:t>The Equality Act 2010 further strengthens protections by prohibiting both direct and indirect discrimination, including discrimination linked to working patterns. However, empirical evidence indicates a persistent gap between legal provision and workplace practice (Working Families, 2023). Enforcement challenges, limited awareness of rights, and structural barriers reduce the effectiveness of these protections (Smith, 2023).</w:t>
      </w:r>
    </w:p>
    <w:p w14:paraId="0F097707" w14:textId="4E5B7630" w:rsidR="004F17FF" w:rsidRPr="008B2EDF" w:rsidRDefault="004F17FF" w:rsidP="008E651E">
      <w:pPr>
        <w:spacing w:line="360" w:lineRule="auto"/>
        <w:jc w:val="both"/>
        <w:rPr>
          <w:rFonts w:ascii="Times New Roman" w:eastAsiaTheme="majorEastAsia" w:hAnsi="Times New Roman" w:cs="Times New Roman"/>
          <w:sz w:val="24"/>
          <w:szCs w:val="24"/>
        </w:rPr>
      </w:pPr>
      <w:r w:rsidRPr="008B2EDF">
        <w:rPr>
          <w:rFonts w:ascii="Times New Roman" w:eastAsiaTheme="majorEastAsia" w:hAnsi="Times New Roman" w:cs="Times New Roman"/>
          <w:sz w:val="24"/>
          <w:szCs w:val="24"/>
        </w:rPr>
        <w:t xml:space="preserve">Indirect discrimination remains particularly significant </w:t>
      </w:r>
      <w:r w:rsidR="00DB7ECF" w:rsidRPr="008B2EDF">
        <w:rPr>
          <w:rFonts w:ascii="Times New Roman" w:eastAsiaTheme="majorEastAsia" w:hAnsi="Times New Roman" w:cs="Times New Roman"/>
          <w:sz w:val="24"/>
          <w:szCs w:val="24"/>
        </w:rPr>
        <w:t>were</w:t>
      </w:r>
      <w:r w:rsidRPr="008B2EDF">
        <w:rPr>
          <w:rFonts w:ascii="Times New Roman" w:eastAsiaTheme="majorEastAsia" w:hAnsi="Times New Roman" w:cs="Times New Roman"/>
          <w:sz w:val="24"/>
          <w:szCs w:val="24"/>
        </w:rPr>
        <w:t xml:space="preserve"> organisational norms privilege long or inflexible working hours, thereby disadvantaging those with caring responsibilities (GOV.UK, 2010). The Chartered Institute of Personnel and Development (CIPD, 2022) argues that addressing these inequalities requires a shift towards “quality part-time work,” characterised not only by reduced hours but also by access to progression and development opportunities.</w:t>
      </w:r>
    </w:p>
    <w:p w14:paraId="79280581" w14:textId="77777777" w:rsidR="004F17FF" w:rsidRPr="008B2EDF" w:rsidRDefault="004F17FF" w:rsidP="008E651E">
      <w:pPr>
        <w:spacing w:line="360" w:lineRule="auto"/>
        <w:jc w:val="both"/>
        <w:rPr>
          <w:rFonts w:ascii="Times New Roman" w:eastAsiaTheme="majorEastAsia" w:hAnsi="Times New Roman" w:cs="Times New Roman"/>
          <w:sz w:val="24"/>
          <w:szCs w:val="24"/>
        </w:rPr>
      </w:pPr>
      <w:r w:rsidRPr="008B2EDF">
        <w:rPr>
          <w:rFonts w:ascii="Times New Roman" w:eastAsiaTheme="majorEastAsia" w:hAnsi="Times New Roman" w:cs="Times New Roman"/>
          <w:sz w:val="24"/>
          <w:szCs w:val="24"/>
        </w:rPr>
        <w:lastRenderedPageBreak/>
        <w:t>However, in sectors such as warehousing, employment practices such as zero-hour contracts and unstable scheduling further undermine job security and equality (CIPD, 2022a). Women are disproportionately affected, as they are more likely to occupy part-time roles due to caregiving responsibilities.</w:t>
      </w:r>
    </w:p>
    <w:p w14:paraId="0F682E63" w14:textId="0B3D21EB" w:rsidR="004F17FF" w:rsidRPr="008B2EDF" w:rsidRDefault="004F17FF" w:rsidP="008E651E">
      <w:pPr>
        <w:spacing w:line="360" w:lineRule="auto"/>
        <w:jc w:val="both"/>
        <w:rPr>
          <w:rFonts w:ascii="Times New Roman" w:eastAsiaTheme="majorEastAsia" w:hAnsi="Times New Roman" w:cs="Times New Roman"/>
          <w:sz w:val="24"/>
          <w:szCs w:val="24"/>
        </w:rPr>
      </w:pPr>
      <w:r w:rsidRPr="008B2EDF">
        <w:rPr>
          <w:rFonts w:ascii="Times New Roman" w:eastAsiaTheme="majorEastAsia" w:hAnsi="Times New Roman" w:cs="Times New Roman"/>
          <w:sz w:val="24"/>
          <w:szCs w:val="24"/>
        </w:rPr>
        <w:t>Concerns have also been raised regarding the long-term sustainability of protections following Brexit, with potential risks of regulatory divergence from EU standards (Barnard, 2021).</w:t>
      </w:r>
      <w:r w:rsidR="008E651E" w:rsidRPr="008B2EDF">
        <w:rPr>
          <w:rFonts w:ascii="Times New Roman" w:eastAsiaTheme="majorEastAsia" w:hAnsi="Times New Roman" w:cs="Times New Roman"/>
          <w:sz w:val="24"/>
          <w:szCs w:val="24"/>
        </w:rPr>
        <w:t xml:space="preserve"> </w:t>
      </w:r>
      <w:r w:rsidRPr="008B2EDF">
        <w:rPr>
          <w:rFonts w:ascii="Times New Roman" w:eastAsiaTheme="majorEastAsia" w:hAnsi="Times New Roman" w:cs="Times New Roman"/>
          <w:sz w:val="24"/>
          <w:szCs w:val="24"/>
        </w:rPr>
        <w:t>Despite strong legislative frameworks, the persistence of inequality reflects a gap between formal compliance and organisational practice.</w:t>
      </w:r>
    </w:p>
    <w:p w14:paraId="2AC83DA5" w14:textId="4C233D95" w:rsidR="004F17FF" w:rsidRPr="008B2EDF" w:rsidRDefault="004F17FF" w:rsidP="004F17FF">
      <w:pPr>
        <w:jc w:val="both"/>
        <w:rPr>
          <w:rFonts w:ascii="Times New Roman" w:eastAsiaTheme="majorEastAsia" w:hAnsi="Times New Roman" w:cs="Times New Roman"/>
          <w:color w:val="0F4761" w:themeColor="accent1" w:themeShade="BF"/>
          <w:sz w:val="24"/>
          <w:szCs w:val="24"/>
        </w:rPr>
      </w:pPr>
    </w:p>
    <w:p w14:paraId="5EF1A6D3" w14:textId="77777777" w:rsidR="004F17FF" w:rsidRPr="008B2EDF" w:rsidRDefault="004F17FF" w:rsidP="008E651E">
      <w:pPr>
        <w:pStyle w:val="Heading2"/>
        <w:spacing w:line="360" w:lineRule="auto"/>
        <w:jc w:val="both"/>
        <w:rPr>
          <w:rFonts w:ascii="Times New Roman" w:hAnsi="Times New Roman" w:cs="Times New Roman"/>
          <w:sz w:val="24"/>
          <w:szCs w:val="24"/>
        </w:rPr>
      </w:pPr>
      <w:bookmarkStart w:id="7" w:name="_Toc228970923"/>
      <w:r w:rsidRPr="008B2EDF">
        <w:rPr>
          <w:rFonts w:ascii="Times New Roman" w:hAnsi="Times New Roman" w:cs="Times New Roman"/>
          <w:sz w:val="24"/>
          <w:szCs w:val="24"/>
        </w:rPr>
        <w:t>3.5 Part-Time Work in the Warehousing Sector</w:t>
      </w:r>
      <w:bookmarkEnd w:id="7"/>
    </w:p>
    <w:p w14:paraId="7799DC38" w14:textId="77777777" w:rsidR="004F17FF" w:rsidRPr="008B2EDF" w:rsidRDefault="004F17FF" w:rsidP="008E651E">
      <w:pPr>
        <w:spacing w:line="360" w:lineRule="auto"/>
        <w:jc w:val="both"/>
        <w:rPr>
          <w:rFonts w:ascii="Times New Roman" w:eastAsiaTheme="majorEastAsia" w:hAnsi="Times New Roman" w:cs="Times New Roman"/>
          <w:sz w:val="24"/>
          <w:szCs w:val="24"/>
        </w:rPr>
      </w:pPr>
      <w:r w:rsidRPr="008B2EDF">
        <w:rPr>
          <w:rFonts w:ascii="Times New Roman" w:eastAsiaTheme="majorEastAsia" w:hAnsi="Times New Roman" w:cs="Times New Roman"/>
          <w:sz w:val="24"/>
          <w:szCs w:val="24"/>
        </w:rPr>
        <w:t>The UK warehousing sector has expanded significantly due to the growth of e-commerce and global logistics networks (Hiscox, 2023). Within this sector, employment is highly segmented, with clear distinctions between full-time and part-time roles.</w:t>
      </w:r>
    </w:p>
    <w:p w14:paraId="64A23BF0" w14:textId="77777777" w:rsidR="004F17FF" w:rsidRPr="008B2EDF" w:rsidRDefault="004F17FF" w:rsidP="008E651E">
      <w:pPr>
        <w:pStyle w:val="Heading3"/>
        <w:spacing w:line="360" w:lineRule="auto"/>
        <w:jc w:val="both"/>
        <w:rPr>
          <w:rFonts w:ascii="Times New Roman" w:hAnsi="Times New Roman" w:cs="Times New Roman"/>
          <w:sz w:val="24"/>
          <w:szCs w:val="24"/>
        </w:rPr>
      </w:pPr>
      <w:bookmarkStart w:id="8" w:name="_Toc228970924"/>
      <w:r w:rsidRPr="008B2EDF">
        <w:rPr>
          <w:rFonts w:ascii="Times New Roman" w:hAnsi="Times New Roman" w:cs="Times New Roman"/>
          <w:sz w:val="24"/>
          <w:szCs w:val="24"/>
        </w:rPr>
        <w:t>3.5.1 Employment Structures and Gender Segmentation</w:t>
      </w:r>
      <w:bookmarkEnd w:id="8"/>
    </w:p>
    <w:p w14:paraId="3EE26019" w14:textId="77777777" w:rsidR="004F17FF" w:rsidRPr="008B2EDF" w:rsidRDefault="004F17FF" w:rsidP="008E651E">
      <w:pPr>
        <w:spacing w:line="360" w:lineRule="auto"/>
        <w:jc w:val="both"/>
        <w:rPr>
          <w:rFonts w:ascii="Times New Roman" w:eastAsiaTheme="majorEastAsia" w:hAnsi="Times New Roman" w:cs="Times New Roman"/>
          <w:sz w:val="24"/>
          <w:szCs w:val="24"/>
        </w:rPr>
      </w:pPr>
      <w:r w:rsidRPr="008B2EDF">
        <w:rPr>
          <w:rFonts w:ascii="Times New Roman" w:eastAsiaTheme="majorEastAsia" w:hAnsi="Times New Roman" w:cs="Times New Roman"/>
          <w:sz w:val="24"/>
          <w:szCs w:val="24"/>
        </w:rPr>
        <w:t>Full-time warehouse roles typically involve fixed shifts of 35–40 hours and are associated with greater job security, training opportunities, and progression pathways. These roles often include skilled tasks such as stock management and logistics coordination (Hiscox, 2023).</w:t>
      </w:r>
    </w:p>
    <w:p w14:paraId="0D8D66DE" w14:textId="77777777" w:rsidR="004F17FF" w:rsidRPr="008B2EDF" w:rsidRDefault="004F17FF" w:rsidP="008E651E">
      <w:pPr>
        <w:spacing w:line="360" w:lineRule="auto"/>
        <w:jc w:val="both"/>
        <w:rPr>
          <w:rFonts w:ascii="Times New Roman" w:eastAsiaTheme="majorEastAsia" w:hAnsi="Times New Roman" w:cs="Times New Roman"/>
          <w:sz w:val="24"/>
          <w:szCs w:val="24"/>
        </w:rPr>
      </w:pPr>
      <w:r w:rsidRPr="008B2EDF">
        <w:rPr>
          <w:rFonts w:ascii="Times New Roman" w:eastAsiaTheme="majorEastAsia" w:hAnsi="Times New Roman" w:cs="Times New Roman"/>
          <w:sz w:val="24"/>
          <w:szCs w:val="24"/>
        </w:rPr>
        <w:t>In contrast, part-time roles are more flexible and often involve variable hours, split shifts, or zero-hour contracts. These positions are concentrated in routine tasks such as picking, packing, and goods handling (CIPD, 2022a). Women are disproportionately represented in these roles, reflecting broader patterns of gendered occupational segmentation (Petitta and Ghezzi, 2025).</w:t>
      </w:r>
    </w:p>
    <w:p w14:paraId="04B00694" w14:textId="77777777" w:rsidR="004F17FF" w:rsidRPr="008B2EDF" w:rsidRDefault="004F17FF" w:rsidP="008E651E">
      <w:pPr>
        <w:pStyle w:val="Heading3"/>
        <w:spacing w:line="360" w:lineRule="auto"/>
        <w:jc w:val="both"/>
        <w:rPr>
          <w:rFonts w:ascii="Times New Roman" w:hAnsi="Times New Roman" w:cs="Times New Roman"/>
          <w:sz w:val="24"/>
          <w:szCs w:val="24"/>
        </w:rPr>
      </w:pPr>
      <w:bookmarkStart w:id="9" w:name="_Toc228970925"/>
      <w:r w:rsidRPr="008B2EDF">
        <w:rPr>
          <w:rFonts w:ascii="Times New Roman" w:hAnsi="Times New Roman" w:cs="Times New Roman"/>
          <w:sz w:val="24"/>
          <w:szCs w:val="24"/>
        </w:rPr>
        <w:t>3.5.2 Work Intensity and Flexibility</w:t>
      </w:r>
      <w:bookmarkEnd w:id="9"/>
    </w:p>
    <w:p w14:paraId="62097763" w14:textId="77777777" w:rsidR="00236511" w:rsidRPr="008B2EDF" w:rsidRDefault="00236511" w:rsidP="00236511">
      <w:pPr>
        <w:rPr>
          <w:rFonts w:ascii="Times New Roman" w:hAnsi="Times New Roman" w:cs="Times New Roman"/>
          <w:sz w:val="24"/>
          <w:szCs w:val="24"/>
        </w:rPr>
      </w:pPr>
    </w:p>
    <w:p w14:paraId="023AB0E6" w14:textId="47E04E0F" w:rsidR="00236511" w:rsidRPr="008B2EDF" w:rsidRDefault="00236511" w:rsidP="008E651E">
      <w:pPr>
        <w:spacing w:line="360" w:lineRule="auto"/>
        <w:jc w:val="both"/>
        <w:rPr>
          <w:rFonts w:ascii="Times New Roman" w:eastAsiaTheme="majorEastAsia" w:hAnsi="Times New Roman" w:cs="Times New Roman"/>
          <w:sz w:val="24"/>
          <w:szCs w:val="24"/>
        </w:rPr>
      </w:pPr>
      <w:r w:rsidRPr="008B2EDF">
        <w:rPr>
          <w:rFonts w:ascii="Times New Roman" w:eastAsiaTheme="majorEastAsia" w:hAnsi="Times New Roman" w:cs="Times New Roman"/>
          <w:sz w:val="24"/>
          <w:szCs w:val="24"/>
        </w:rPr>
        <w:t xml:space="preserve">Warehousing operates within a high-pressure, demand-driven environment shaped by e-commerce logistics and time-sensitive delivery requirements. This “always-on” model necessitates a highly adaptable workforce, often placing significant strain on individuals with caregiving responsibilities (Garrick </w:t>
      </w:r>
      <w:r w:rsidR="00570CA8" w:rsidRPr="008B2EDF">
        <w:rPr>
          <w:rFonts w:ascii="Times New Roman" w:eastAsiaTheme="majorEastAsia" w:hAnsi="Times New Roman" w:cs="Times New Roman"/>
          <w:i/>
          <w:sz w:val="24"/>
          <w:szCs w:val="24"/>
        </w:rPr>
        <w:t>et al.</w:t>
      </w:r>
      <w:r w:rsidRPr="008B2EDF">
        <w:rPr>
          <w:rFonts w:ascii="Times New Roman" w:eastAsiaTheme="majorEastAsia" w:hAnsi="Times New Roman" w:cs="Times New Roman"/>
          <w:sz w:val="24"/>
          <w:szCs w:val="24"/>
        </w:rPr>
        <w:t xml:space="preserve">, 2024). Employees engaged in reduced-hours roles are particularly affected by these demands, frequently experiencing work intensification, whereby expectations exceed contractual obligations. This imbalance not only undermines the intended benefits of flexible employment but also contributes to increased stress levels and diminished wellbeing (Davies, 2024). Such conditions highlight the tension between </w:t>
      </w:r>
      <w:r w:rsidRPr="008B2EDF">
        <w:rPr>
          <w:rFonts w:ascii="Times New Roman" w:eastAsiaTheme="majorEastAsia" w:hAnsi="Times New Roman" w:cs="Times New Roman"/>
          <w:sz w:val="24"/>
          <w:szCs w:val="24"/>
        </w:rPr>
        <w:lastRenderedPageBreak/>
        <w:t>organisational flexibility and employee sustainability, raising critical questions about the long-term viability of these working arrangements.</w:t>
      </w:r>
    </w:p>
    <w:p w14:paraId="12903B85" w14:textId="77777777" w:rsidR="004F17FF" w:rsidRPr="008B2EDF" w:rsidRDefault="004F17FF" w:rsidP="008E651E">
      <w:pPr>
        <w:pStyle w:val="Heading3"/>
        <w:spacing w:line="360" w:lineRule="auto"/>
        <w:jc w:val="both"/>
        <w:rPr>
          <w:rFonts w:ascii="Times New Roman" w:hAnsi="Times New Roman" w:cs="Times New Roman"/>
          <w:sz w:val="24"/>
          <w:szCs w:val="24"/>
        </w:rPr>
      </w:pPr>
      <w:bookmarkStart w:id="10" w:name="_Toc228970926"/>
      <w:r w:rsidRPr="008B2EDF">
        <w:rPr>
          <w:rFonts w:ascii="Times New Roman" w:hAnsi="Times New Roman" w:cs="Times New Roman"/>
          <w:sz w:val="24"/>
          <w:szCs w:val="24"/>
        </w:rPr>
        <w:t>3.5.3 Training, Recognition, and Progression</w:t>
      </w:r>
      <w:bookmarkEnd w:id="10"/>
    </w:p>
    <w:p w14:paraId="42481AE8" w14:textId="77777777" w:rsidR="004F17FF" w:rsidRPr="008B2EDF" w:rsidRDefault="004F17FF" w:rsidP="008E651E">
      <w:pPr>
        <w:spacing w:line="360" w:lineRule="auto"/>
        <w:jc w:val="both"/>
        <w:rPr>
          <w:rFonts w:ascii="Times New Roman" w:eastAsiaTheme="majorEastAsia" w:hAnsi="Times New Roman" w:cs="Times New Roman"/>
          <w:sz w:val="24"/>
          <w:szCs w:val="24"/>
        </w:rPr>
      </w:pPr>
      <w:r w:rsidRPr="008B2EDF">
        <w:rPr>
          <w:rFonts w:ascii="Times New Roman" w:eastAsiaTheme="majorEastAsia" w:hAnsi="Times New Roman" w:cs="Times New Roman"/>
          <w:sz w:val="24"/>
          <w:szCs w:val="24"/>
        </w:rPr>
        <w:t>Training opportunities are disproportionately allocated to full-time employees due to perceptions of commitment and retention likelihood (Hiscox, 2023). This restricts skill development among part-time workers and reinforces structural inequalities (Kelliher and McCartney, 2023).</w:t>
      </w:r>
    </w:p>
    <w:p w14:paraId="0AA5C87B" w14:textId="316DF96A" w:rsidR="00C825DD" w:rsidRPr="008B2EDF" w:rsidRDefault="004F17FF" w:rsidP="008E651E">
      <w:pPr>
        <w:spacing w:line="360" w:lineRule="auto"/>
        <w:jc w:val="both"/>
        <w:rPr>
          <w:rFonts w:ascii="Times New Roman" w:eastAsiaTheme="majorEastAsia" w:hAnsi="Times New Roman" w:cs="Times New Roman"/>
          <w:sz w:val="24"/>
          <w:szCs w:val="24"/>
        </w:rPr>
      </w:pPr>
      <w:r w:rsidRPr="008B2EDF">
        <w:rPr>
          <w:rFonts w:ascii="Times New Roman" w:eastAsiaTheme="majorEastAsia" w:hAnsi="Times New Roman" w:cs="Times New Roman"/>
          <w:sz w:val="24"/>
          <w:szCs w:val="24"/>
        </w:rPr>
        <w:t>Additionally, informal contributions such as emotional labour and team support often go unrecognised in performance evaluations, which prioritise measurable outputs (Maraziotis, 2024).</w:t>
      </w:r>
    </w:p>
    <w:p w14:paraId="3A667280" w14:textId="77777777" w:rsidR="004F17FF" w:rsidRPr="008B2EDF" w:rsidRDefault="004F17FF" w:rsidP="008E651E">
      <w:pPr>
        <w:pStyle w:val="Heading3"/>
        <w:spacing w:line="360" w:lineRule="auto"/>
        <w:jc w:val="both"/>
        <w:rPr>
          <w:rFonts w:ascii="Times New Roman" w:hAnsi="Times New Roman" w:cs="Times New Roman"/>
          <w:sz w:val="24"/>
          <w:szCs w:val="24"/>
        </w:rPr>
      </w:pPr>
      <w:bookmarkStart w:id="11" w:name="_Toc228970927"/>
      <w:r w:rsidRPr="008B2EDF">
        <w:rPr>
          <w:rFonts w:ascii="Times New Roman" w:hAnsi="Times New Roman" w:cs="Times New Roman"/>
          <w:sz w:val="24"/>
          <w:szCs w:val="24"/>
        </w:rPr>
        <w:t>3.5.4 Gendered Nature of Flexibility</w:t>
      </w:r>
      <w:bookmarkEnd w:id="11"/>
    </w:p>
    <w:p w14:paraId="074372F1" w14:textId="77777777" w:rsidR="004F17FF" w:rsidRPr="008B2EDF" w:rsidRDefault="004F17FF" w:rsidP="008E651E">
      <w:pPr>
        <w:spacing w:line="360" w:lineRule="auto"/>
        <w:jc w:val="both"/>
        <w:rPr>
          <w:rFonts w:ascii="Times New Roman" w:eastAsiaTheme="majorEastAsia" w:hAnsi="Times New Roman" w:cs="Times New Roman"/>
          <w:sz w:val="24"/>
          <w:szCs w:val="24"/>
        </w:rPr>
      </w:pPr>
      <w:r w:rsidRPr="008B2EDF">
        <w:rPr>
          <w:rFonts w:ascii="Times New Roman" w:eastAsiaTheme="majorEastAsia" w:hAnsi="Times New Roman" w:cs="Times New Roman"/>
          <w:sz w:val="24"/>
          <w:szCs w:val="24"/>
        </w:rPr>
        <w:t>Although part-time work is often presented as flexible, this flexibility is unevenly distributed. Women are more likely to accept reduced hours due to caregiving responsibilities but experience reduced pay, limited progression, and job insecurity as a result (Petitta and Ghezzi, 2025). This reflects broader gendered assumptions embedded in labour market structures (Petö and Thissen, 2024).</w:t>
      </w:r>
    </w:p>
    <w:p w14:paraId="7FA8949D" w14:textId="6ECC4787" w:rsidR="00C825DD" w:rsidRPr="008B2EDF" w:rsidRDefault="00C825DD" w:rsidP="008E651E">
      <w:pPr>
        <w:spacing w:line="360" w:lineRule="auto"/>
        <w:jc w:val="both"/>
        <w:rPr>
          <w:rFonts w:ascii="Times New Roman" w:eastAsiaTheme="majorEastAsia" w:hAnsi="Times New Roman" w:cs="Times New Roman"/>
          <w:sz w:val="24"/>
          <w:szCs w:val="24"/>
        </w:rPr>
      </w:pPr>
      <w:r w:rsidRPr="008B2EDF">
        <w:rPr>
          <w:rFonts w:ascii="Times New Roman" w:eastAsiaTheme="majorEastAsia" w:hAnsi="Times New Roman" w:cs="Times New Roman"/>
          <w:sz w:val="24"/>
          <w:szCs w:val="24"/>
        </w:rPr>
        <w:t>This discussion directly supports Objective 3 by demonstrating how workplace structures, including job design and scheduling practices, limit career progression opportunities for part-time women.</w:t>
      </w:r>
    </w:p>
    <w:p w14:paraId="494FDD4F" w14:textId="77777777" w:rsidR="004F17FF" w:rsidRPr="008B2EDF" w:rsidRDefault="004F17FF" w:rsidP="008E651E">
      <w:pPr>
        <w:pStyle w:val="Heading2"/>
        <w:spacing w:line="360" w:lineRule="auto"/>
        <w:jc w:val="both"/>
        <w:rPr>
          <w:rFonts w:ascii="Times New Roman" w:hAnsi="Times New Roman" w:cs="Times New Roman"/>
          <w:sz w:val="24"/>
          <w:szCs w:val="24"/>
        </w:rPr>
      </w:pPr>
      <w:bookmarkStart w:id="12" w:name="_Toc228970928"/>
      <w:r w:rsidRPr="008B2EDF">
        <w:rPr>
          <w:rFonts w:ascii="Times New Roman" w:hAnsi="Times New Roman" w:cs="Times New Roman"/>
          <w:sz w:val="24"/>
          <w:szCs w:val="24"/>
        </w:rPr>
        <w:t>3.6 Invisible Labour and the Programme Gap</w:t>
      </w:r>
      <w:bookmarkEnd w:id="12"/>
    </w:p>
    <w:p w14:paraId="17E9F0ED" w14:textId="77777777" w:rsidR="004F17FF" w:rsidRPr="008B2EDF" w:rsidRDefault="004F17FF" w:rsidP="008E651E">
      <w:pPr>
        <w:spacing w:line="360" w:lineRule="auto"/>
        <w:jc w:val="both"/>
        <w:rPr>
          <w:rFonts w:ascii="Times New Roman" w:eastAsiaTheme="majorEastAsia" w:hAnsi="Times New Roman" w:cs="Times New Roman"/>
          <w:sz w:val="24"/>
          <w:szCs w:val="24"/>
        </w:rPr>
      </w:pPr>
      <w:r w:rsidRPr="008B2EDF">
        <w:rPr>
          <w:rFonts w:ascii="Times New Roman" w:eastAsiaTheme="majorEastAsia" w:hAnsi="Times New Roman" w:cs="Times New Roman"/>
          <w:sz w:val="24"/>
          <w:szCs w:val="24"/>
        </w:rPr>
        <w:t>A key limitation in existing literature is the under-exploration of invisible labour and the programme gap within operational sectors such as warehousing. Invisible labour refers to unpaid or unrecognised work that contributes to organisational functioning but is not formally acknowledged within job descriptions or performance systems (Hatton, 2017; Bolton, 2005).</w:t>
      </w:r>
    </w:p>
    <w:p w14:paraId="04CC63AE" w14:textId="77777777" w:rsidR="004F17FF" w:rsidRPr="008B2EDF" w:rsidRDefault="004F17FF" w:rsidP="008E651E">
      <w:pPr>
        <w:spacing w:line="360" w:lineRule="auto"/>
        <w:jc w:val="both"/>
        <w:rPr>
          <w:rFonts w:ascii="Times New Roman" w:eastAsiaTheme="majorEastAsia" w:hAnsi="Times New Roman" w:cs="Times New Roman"/>
          <w:sz w:val="24"/>
          <w:szCs w:val="24"/>
        </w:rPr>
      </w:pPr>
      <w:r w:rsidRPr="008B2EDF">
        <w:rPr>
          <w:rFonts w:ascii="Times New Roman" w:eastAsiaTheme="majorEastAsia" w:hAnsi="Times New Roman" w:cs="Times New Roman"/>
          <w:sz w:val="24"/>
          <w:szCs w:val="24"/>
        </w:rPr>
        <w:t>In warehousing, part-time women often perform emotional, relational, and organisational labour, including supporting colleagues, resolving informal workplace issues, and coordinating tasks. Despite their importance, these contributions are rarely measured or rewarded (Petitta and Ghezzi, 2025).</w:t>
      </w:r>
    </w:p>
    <w:p w14:paraId="3018CACD" w14:textId="77777777" w:rsidR="004F17FF" w:rsidRPr="008B2EDF" w:rsidRDefault="004F17FF" w:rsidP="008E651E">
      <w:pPr>
        <w:spacing w:line="360" w:lineRule="auto"/>
        <w:jc w:val="both"/>
        <w:rPr>
          <w:rFonts w:ascii="Times New Roman" w:eastAsiaTheme="majorEastAsia" w:hAnsi="Times New Roman" w:cs="Times New Roman"/>
          <w:sz w:val="24"/>
          <w:szCs w:val="24"/>
        </w:rPr>
      </w:pPr>
      <w:r w:rsidRPr="008B2EDF">
        <w:rPr>
          <w:rFonts w:ascii="Times New Roman" w:eastAsiaTheme="majorEastAsia" w:hAnsi="Times New Roman" w:cs="Times New Roman"/>
          <w:sz w:val="24"/>
          <w:szCs w:val="24"/>
        </w:rPr>
        <w:t xml:space="preserve">The programme gap refers to the disparity between formal policy frameworks and actual workplace practice (Heffernan, 2021). Although UK legislation promotes equality, implementation gaps remain, particularly in sectors with flexible and fragmented employment </w:t>
      </w:r>
      <w:r w:rsidRPr="008B2EDF">
        <w:rPr>
          <w:rFonts w:ascii="Times New Roman" w:eastAsiaTheme="majorEastAsia" w:hAnsi="Times New Roman" w:cs="Times New Roman"/>
          <w:sz w:val="24"/>
          <w:szCs w:val="24"/>
        </w:rPr>
        <w:lastRenderedPageBreak/>
        <w:t>structures. For example, part-time workers are legally entitled to training and progression opportunities, yet in practice these are often reserved for full-time employees (Hiscox, 2023).</w:t>
      </w:r>
    </w:p>
    <w:p w14:paraId="335A716E" w14:textId="77777777" w:rsidR="00E25877" w:rsidRPr="008B2EDF" w:rsidRDefault="004F17FF" w:rsidP="008E651E">
      <w:pPr>
        <w:spacing w:line="360" w:lineRule="auto"/>
        <w:jc w:val="both"/>
        <w:rPr>
          <w:rFonts w:ascii="Times New Roman" w:eastAsiaTheme="majorEastAsia" w:hAnsi="Times New Roman" w:cs="Times New Roman"/>
          <w:sz w:val="24"/>
          <w:szCs w:val="24"/>
        </w:rPr>
      </w:pPr>
      <w:r w:rsidRPr="008B2EDF">
        <w:rPr>
          <w:rFonts w:ascii="Times New Roman" w:eastAsiaTheme="majorEastAsia" w:hAnsi="Times New Roman" w:cs="Times New Roman"/>
          <w:sz w:val="24"/>
          <w:szCs w:val="24"/>
        </w:rPr>
        <w:t>Invisible labour and the programme gap are closely interconnected. The failure to recognise informal contributions reflects broader organisational misalignment between equality policies and workplace realities. This dual invisibility reinforces the part-time penalty and limits career progression opportunities for women.</w:t>
      </w:r>
    </w:p>
    <w:p w14:paraId="280506BF" w14:textId="64CD4EF1" w:rsidR="00E25877" w:rsidRPr="008B2EDF" w:rsidRDefault="00E25877" w:rsidP="008E651E">
      <w:pPr>
        <w:spacing w:line="360" w:lineRule="auto"/>
        <w:jc w:val="both"/>
        <w:rPr>
          <w:rFonts w:ascii="Times New Roman" w:eastAsiaTheme="majorEastAsia" w:hAnsi="Times New Roman" w:cs="Times New Roman"/>
          <w:sz w:val="24"/>
          <w:szCs w:val="24"/>
        </w:rPr>
      </w:pPr>
      <w:r w:rsidRPr="008B2EDF">
        <w:rPr>
          <w:rFonts w:ascii="Times New Roman" w:eastAsiaTheme="majorEastAsia" w:hAnsi="Times New Roman" w:cs="Times New Roman"/>
          <w:sz w:val="24"/>
          <w:szCs w:val="24"/>
        </w:rPr>
        <w:t>These concepts are central to Objective 1 and Research Question 1, as they provide a framework for identifying and understanding the types of invisible labour performed by part-time women in warehousing roles.</w:t>
      </w:r>
    </w:p>
    <w:p w14:paraId="35BECEEE" w14:textId="10C36DED" w:rsidR="004F17FF" w:rsidRPr="008B2EDF" w:rsidRDefault="004F17FF" w:rsidP="008E651E">
      <w:pPr>
        <w:spacing w:line="360" w:lineRule="auto"/>
        <w:jc w:val="both"/>
        <w:rPr>
          <w:rFonts w:ascii="Times New Roman" w:eastAsiaTheme="majorEastAsia" w:hAnsi="Times New Roman" w:cs="Times New Roman"/>
          <w:sz w:val="24"/>
          <w:szCs w:val="24"/>
        </w:rPr>
      </w:pPr>
    </w:p>
    <w:p w14:paraId="74154385" w14:textId="77777777" w:rsidR="004F17FF" w:rsidRPr="008B2EDF" w:rsidRDefault="004F17FF" w:rsidP="008E651E">
      <w:pPr>
        <w:spacing w:line="360" w:lineRule="auto"/>
        <w:jc w:val="both"/>
        <w:rPr>
          <w:rFonts w:ascii="Times New Roman" w:eastAsiaTheme="majorEastAsia" w:hAnsi="Times New Roman" w:cs="Times New Roman"/>
          <w:b/>
          <w:bCs/>
          <w:sz w:val="24"/>
          <w:szCs w:val="24"/>
        </w:rPr>
      </w:pPr>
      <w:r w:rsidRPr="008B2EDF">
        <w:rPr>
          <w:rFonts w:ascii="Times New Roman" w:eastAsiaTheme="majorEastAsia" w:hAnsi="Times New Roman" w:cs="Times New Roman"/>
          <w:b/>
          <w:bCs/>
          <w:sz w:val="24"/>
          <w:szCs w:val="24"/>
        </w:rPr>
        <w:t>Epistemological and Theoretical Framework</w:t>
      </w:r>
    </w:p>
    <w:p w14:paraId="6ECC34F5" w14:textId="77777777" w:rsidR="004F17FF" w:rsidRPr="008B2EDF" w:rsidRDefault="004F17FF" w:rsidP="008E651E">
      <w:pPr>
        <w:spacing w:line="360" w:lineRule="auto"/>
        <w:jc w:val="both"/>
        <w:rPr>
          <w:rFonts w:ascii="Times New Roman" w:eastAsiaTheme="majorEastAsia" w:hAnsi="Times New Roman" w:cs="Times New Roman"/>
          <w:sz w:val="24"/>
          <w:szCs w:val="24"/>
        </w:rPr>
      </w:pPr>
      <w:r w:rsidRPr="008B2EDF">
        <w:rPr>
          <w:rFonts w:ascii="Times New Roman" w:eastAsiaTheme="majorEastAsia" w:hAnsi="Times New Roman" w:cs="Times New Roman"/>
          <w:sz w:val="24"/>
          <w:szCs w:val="24"/>
        </w:rPr>
        <w:t>This study is grounded in social constructivism, which conceptualises knowledge as socially produced through interaction and interpretation (Moses and Knutsen, 2019). From this perspective, workplace experiences are shaped by both structural conditions and individual meaning-making processes (Priya, 2019).</w:t>
      </w:r>
    </w:p>
    <w:p w14:paraId="2B188DB9" w14:textId="77777777" w:rsidR="004F17FF" w:rsidRPr="008B2EDF" w:rsidRDefault="004F17FF" w:rsidP="008E651E">
      <w:pPr>
        <w:spacing w:line="360" w:lineRule="auto"/>
        <w:jc w:val="both"/>
        <w:rPr>
          <w:rFonts w:ascii="Times New Roman" w:eastAsiaTheme="majorEastAsia" w:hAnsi="Times New Roman" w:cs="Times New Roman"/>
          <w:sz w:val="24"/>
          <w:szCs w:val="24"/>
        </w:rPr>
      </w:pPr>
      <w:r w:rsidRPr="008B2EDF">
        <w:rPr>
          <w:rFonts w:ascii="Times New Roman" w:eastAsiaTheme="majorEastAsia" w:hAnsi="Times New Roman" w:cs="Times New Roman"/>
          <w:sz w:val="24"/>
          <w:szCs w:val="24"/>
        </w:rPr>
        <w:t>A Foucauldian lens further highlights how organisational discourses shape what is considered legitimate knowledge and behaviour within workplaces (Phillips, 2023). Discourses of flexibility and employability, for example, simultaneously construct part-time work as both a choice and a limitation (Maestripieri, 2023).</w:t>
      </w:r>
    </w:p>
    <w:p w14:paraId="6801A947" w14:textId="6A4A810A" w:rsidR="004F17FF" w:rsidRPr="008B2EDF" w:rsidRDefault="004F17FF" w:rsidP="008E651E">
      <w:pPr>
        <w:spacing w:line="360" w:lineRule="auto"/>
        <w:jc w:val="both"/>
        <w:rPr>
          <w:rFonts w:ascii="Times New Roman" w:eastAsiaTheme="majorEastAsia" w:hAnsi="Times New Roman" w:cs="Times New Roman"/>
          <w:sz w:val="24"/>
          <w:szCs w:val="24"/>
        </w:rPr>
      </w:pPr>
      <w:r w:rsidRPr="008B2EDF">
        <w:rPr>
          <w:rFonts w:ascii="Times New Roman" w:eastAsiaTheme="majorEastAsia" w:hAnsi="Times New Roman" w:cs="Times New Roman"/>
          <w:sz w:val="24"/>
          <w:szCs w:val="24"/>
        </w:rPr>
        <w:t xml:space="preserve">Ontology in this study concerns the lived realities of part-time women, where agency is exercised within structurally constrained environments (Leavy, 2019). Methodologically, a quantitative approach is adopted to identify patterns and relationships across a larger sample (Nilsson </w:t>
      </w:r>
      <w:r w:rsidR="00570CA8" w:rsidRPr="008B2EDF">
        <w:rPr>
          <w:rFonts w:ascii="Times New Roman" w:eastAsiaTheme="majorEastAsia" w:hAnsi="Times New Roman" w:cs="Times New Roman"/>
          <w:i/>
          <w:sz w:val="24"/>
          <w:szCs w:val="24"/>
        </w:rPr>
        <w:t>et al.</w:t>
      </w:r>
      <w:r w:rsidRPr="008B2EDF">
        <w:rPr>
          <w:rFonts w:ascii="Times New Roman" w:eastAsiaTheme="majorEastAsia" w:hAnsi="Times New Roman" w:cs="Times New Roman"/>
          <w:sz w:val="24"/>
          <w:szCs w:val="24"/>
        </w:rPr>
        <w:t>, 2024), although it is acknowledged that numerical data may not fully capture lived experiences (Bryman, 2016).</w:t>
      </w:r>
    </w:p>
    <w:p w14:paraId="22C7F60A" w14:textId="77777777" w:rsidR="004F17FF" w:rsidRPr="008B2EDF" w:rsidRDefault="004F17FF" w:rsidP="008E651E">
      <w:pPr>
        <w:spacing w:line="360" w:lineRule="auto"/>
        <w:jc w:val="both"/>
        <w:rPr>
          <w:rFonts w:ascii="Times New Roman" w:eastAsiaTheme="majorEastAsia" w:hAnsi="Times New Roman" w:cs="Times New Roman"/>
          <w:sz w:val="24"/>
          <w:szCs w:val="24"/>
        </w:rPr>
      </w:pPr>
      <w:r w:rsidRPr="008B2EDF">
        <w:rPr>
          <w:rFonts w:ascii="Times New Roman" w:eastAsiaTheme="majorEastAsia" w:hAnsi="Times New Roman" w:cs="Times New Roman"/>
          <w:sz w:val="24"/>
          <w:szCs w:val="24"/>
        </w:rPr>
        <w:t>Three theoretical frameworks underpin the study:</w:t>
      </w:r>
    </w:p>
    <w:p w14:paraId="6C36B107" w14:textId="77777777" w:rsidR="004F17FF" w:rsidRPr="008B2EDF" w:rsidRDefault="004F17FF" w:rsidP="008E651E">
      <w:pPr>
        <w:spacing w:line="360" w:lineRule="auto"/>
        <w:jc w:val="both"/>
        <w:rPr>
          <w:rFonts w:ascii="Times New Roman" w:eastAsiaTheme="majorEastAsia" w:hAnsi="Times New Roman" w:cs="Times New Roman"/>
          <w:sz w:val="24"/>
          <w:szCs w:val="24"/>
        </w:rPr>
      </w:pPr>
      <w:r w:rsidRPr="008B2EDF">
        <w:rPr>
          <w:rFonts w:ascii="Times New Roman" w:eastAsiaTheme="majorEastAsia" w:hAnsi="Times New Roman" w:cs="Times New Roman"/>
          <w:b/>
          <w:bCs/>
          <w:sz w:val="24"/>
          <w:szCs w:val="24"/>
        </w:rPr>
        <w:t>Human Capital Theory</w:t>
      </w:r>
      <w:r w:rsidRPr="008B2EDF">
        <w:rPr>
          <w:rFonts w:ascii="Times New Roman" w:eastAsiaTheme="majorEastAsia" w:hAnsi="Times New Roman" w:cs="Times New Roman"/>
          <w:sz w:val="24"/>
          <w:szCs w:val="24"/>
        </w:rPr>
        <w:t xml:space="preserve"> (Becker, 1993) explains differences in career progression through skills and training accumulation, though it is criticised for overlooking structural inequality (CIPD, 2017). </w:t>
      </w:r>
    </w:p>
    <w:p w14:paraId="093239C1" w14:textId="4AD6889D" w:rsidR="004F17FF" w:rsidRPr="008B2EDF" w:rsidRDefault="004F17FF" w:rsidP="008E651E">
      <w:pPr>
        <w:spacing w:line="360" w:lineRule="auto"/>
        <w:jc w:val="both"/>
        <w:rPr>
          <w:rFonts w:ascii="Times New Roman" w:eastAsiaTheme="majorEastAsia" w:hAnsi="Times New Roman" w:cs="Times New Roman"/>
          <w:sz w:val="24"/>
          <w:szCs w:val="24"/>
        </w:rPr>
      </w:pPr>
      <w:r w:rsidRPr="008B2EDF">
        <w:rPr>
          <w:rFonts w:ascii="Times New Roman" w:eastAsiaTheme="majorEastAsia" w:hAnsi="Times New Roman" w:cs="Times New Roman"/>
          <w:b/>
          <w:bCs/>
          <w:sz w:val="24"/>
          <w:szCs w:val="24"/>
        </w:rPr>
        <w:t>Work–Life Balance Theory</w:t>
      </w:r>
      <w:r w:rsidRPr="008B2EDF">
        <w:rPr>
          <w:rFonts w:ascii="Times New Roman" w:eastAsiaTheme="majorEastAsia" w:hAnsi="Times New Roman" w:cs="Times New Roman"/>
          <w:sz w:val="24"/>
          <w:szCs w:val="24"/>
        </w:rPr>
        <w:t xml:space="preserve"> (Hildenbrand </w:t>
      </w:r>
      <w:r w:rsidR="00570CA8" w:rsidRPr="008B2EDF">
        <w:rPr>
          <w:rFonts w:ascii="Times New Roman" w:eastAsiaTheme="majorEastAsia" w:hAnsi="Times New Roman" w:cs="Times New Roman"/>
          <w:i/>
          <w:sz w:val="24"/>
          <w:szCs w:val="24"/>
        </w:rPr>
        <w:t>et al.</w:t>
      </w:r>
      <w:r w:rsidRPr="008B2EDF">
        <w:rPr>
          <w:rFonts w:ascii="Times New Roman" w:eastAsiaTheme="majorEastAsia" w:hAnsi="Times New Roman" w:cs="Times New Roman"/>
          <w:sz w:val="24"/>
          <w:szCs w:val="24"/>
        </w:rPr>
        <w:t xml:space="preserve">, 2023) explores the interaction between personal and professional domains, highlighting both benefits and risks of flexibility. </w:t>
      </w:r>
    </w:p>
    <w:p w14:paraId="66DE5D47" w14:textId="77777777" w:rsidR="004F17FF" w:rsidRPr="008B2EDF" w:rsidRDefault="004F17FF" w:rsidP="008E651E">
      <w:pPr>
        <w:spacing w:line="360" w:lineRule="auto"/>
        <w:jc w:val="both"/>
        <w:rPr>
          <w:rFonts w:ascii="Times New Roman" w:eastAsiaTheme="majorEastAsia" w:hAnsi="Times New Roman" w:cs="Times New Roman"/>
          <w:sz w:val="24"/>
          <w:szCs w:val="24"/>
        </w:rPr>
      </w:pPr>
      <w:r w:rsidRPr="008B2EDF">
        <w:rPr>
          <w:rFonts w:ascii="Times New Roman" w:eastAsiaTheme="majorEastAsia" w:hAnsi="Times New Roman" w:cs="Times New Roman"/>
          <w:b/>
          <w:bCs/>
          <w:sz w:val="24"/>
          <w:szCs w:val="24"/>
        </w:rPr>
        <w:lastRenderedPageBreak/>
        <w:t>Equity Theory</w:t>
      </w:r>
      <w:r w:rsidRPr="008B2EDF">
        <w:rPr>
          <w:rFonts w:ascii="Times New Roman" w:eastAsiaTheme="majorEastAsia" w:hAnsi="Times New Roman" w:cs="Times New Roman"/>
          <w:sz w:val="24"/>
          <w:szCs w:val="24"/>
        </w:rPr>
        <w:t xml:space="preserve"> (Adams, 1965) focuses on perceived fairness in workplace rewards, demonstrating how inequity reduces motivation and retention. </w:t>
      </w:r>
    </w:p>
    <w:p w14:paraId="52177DDB" w14:textId="46DA372E" w:rsidR="00376674" w:rsidRPr="008B2EDF" w:rsidRDefault="004F17FF" w:rsidP="00376674">
      <w:pPr>
        <w:spacing w:line="360" w:lineRule="auto"/>
        <w:jc w:val="both"/>
        <w:rPr>
          <w:rFonts w:ascii="Times New Roman" w:eastAsiaTheme="majorEastAsia" w:hAnsi="Times New Roman" w:cs="Times New Roman"/>
          <w:sz w:val="24"/>
          <w:szCs w:val="24"/>
        </w:rPr>
      </w:pPr>
      <w:r w:rsidRPr="008B2EDF">
        <w:rPr>
          <w:rFonts w:ascii="Times New Roman" w:eastAsiaTheme="majorEastAsia" w:hAnsi="Times New Roman" w:cs="Times New Roman"/>
          <w:sz w:val="24"/>
          <w:szCs w:val="24"/>
        </w:rPr>
        <w:t>Together, these frameworks provide a comprehensive lens for examining how skills development, fairness, and work–life balance interact to shape the experiences of part-time women in warehousing.</w:t>
      </w:r>
      <w:r w:rsidR="00376674" w:rsidRPr="008B2EDF">
        <w:rPr>
          <w:rFonts w:ascii="Times New Roman" w:eastAsiaTheme="majorEastAsia" w:hAnsi="Times New Roman" w:cs="Times New Roman"/>
          <w:sz w:val="24"/>
          <w:szCs w:val="24"/>
        </w:rPr>
        <w:t xml:space="preserve"> </w:t>
      </w:r>
      <w:r w:rsidR="00376674" w:rsidRPr="008B2EDF">
        <w:rPr>
          <w:rFonts w:ascii="Times New Roman" w:eastAsiaTheme="majorEastAsia" w:hAnsi="Times New Roman" w:cs="Times New Roman"/>
          <w:sz w:val="24"/>
          <w:szCs w:val="24"/>
        </w:rPr>
        <w:t>While each of these theories offers valuable insights independently, their combined application provides a more comprehensive understanding of the structural and cultural barriers faced by part-time women in warehousing. Human Capital Theory explains disparities in skill development and progression opportunities, Equity Theory highlights perceptions of fairness in recognition and reward, and Work–Life Balance Theory contextualises the role of flexibility in shaping career outcomes.</w:t>
      </w:r>
    </w:p>
    <w:p w14:paraId="1BA57EE1" w14:textId="6316668E" w:rsidR="00376674" w:rsidRPr="008B2EDF" w:rsidRDefault="00376674" w:rsidP="008E651E">
      <w:pPr>
        <w:spacing w:line="360" w:lineRule="auto"/>
        <w:jc w:val="both"/>
        <w:rPr>
          <w:rFonts w:ascii="Times New Roman" w:eastAsiaTheme="majorEastAsia" w:hAnsi="Times New Roman" w:cs="Times New Roman"/>
          <w:sz w:val="24"/>
          <w:szCs w:val="24"/>
        </w:rPr>
      </w:pPr>
      <w:r w:rsidRPr="008B2EDF">
        <w:rPr>
          <w:rFonts w:ascii="Times New Roman" w:eastAsiaTheme="majorEastAsia" w:hAnsi="Times New Roman" w:cs="Times New Roman"/>
          <w:sz w:val="24"/>
          <w:szCs w:val="24"/>
        </w:rPr>
        <w:t>Importantly, these theoretical perspectives directly inform the research questions and hypotheses of this study. For example, the concept of reduced access to training and visibility underpins Hypothesis 1, while perceived inequities in recognition and treatment inform Hypothesis 2. Similarly, the role of organisational support and flexibility in shaping progression opportunities is central to Hypothesis 3.</w:t>
      </w:r>
      <w:r w:rsidRPr="008B2EDF">
        <w:rPr>
          <w:rFonts w:ascii="Times New Roman" w:eastAsiaTheme="majorEastAsia" w:hAnsi="Times New Roman" w:cs="Times New Roman"/>
          <w:sz w:val="24"/>
          <w:szCs w:val="24"/>
        </w:rPr>
        <w:t xml:space="preserve"> </w:t>
      </w:r>
      <w:r w:rsidRPr="008B2EDF">
        <w:rPr>
          <w:rFonts w:ascii="Times New Roman" w:eastAsiaTheme="majorEastAsia" w:hAnsi="Times New Roman" w:cs="Times New Roman"/>
          <w:sz w:val="24"/>
          <w:szCs w:val="24"/>
        </w:rPr>
        <w:t>By integrating these frameworks, the study moves beyond descriptive analysis to critically examine how structural conditions, organisational practices, and gendered expectations interact to influence career progression.</w:t>
      </w:r>
    </w:p>
    <w:p w14:paraId="6302AE92" w14:textId="54E43E6D" w:rsidR="001A4B78" w:rsidRPr="008B2EDF" w:rsidRDefault="00503C6D" w:rsidP="004F17FF">
      <w:pPr>
        <w:pStyle w:val="Heading1"/>
        <w:jc w:val="both"/>
        <w:rPr>
          <w:rFonts w:ascii="Times New Roman" w:hAnsi="Times New Roman" w:cs="Times New Roman"/>
          <w:sz w:val="24"/>
          <w:szCs w:val="24"/>
        </w:rPr>
      </w:pPr>
      <w:bookmarkStart w:id="13" w:name="_Toc228970929"/>
      <w:r w:rsidRPr="008B2EDF">
        <w:rPr>
          <w:rFonts w:ascii="Times New Roman" w:hAnsi="Times New Roman" w:cs="Times New Roman"/>
          <w:sz w:val="24"/>
          <w:szCs w:val="24"/>
        </w:rPr>
        <w:t>4.0</w:t>
      </w:r>
      <w:r w:rsidR="005E23C8" w:rsidRPr="008B2EDF">
        <w:rPr>
          <w:rFonts w:ascii="Times New Roman" w:hAnsi="Times New Roman" w:cs="Times New Roman"/>
          <w:sz w:val="24"/>
          <w:szCs w:val="24"/>
        </w:rPr>
        <w:t xml:space="preserve"> </w:t>
      </w:r>
      <w:r w:rsidR="00BC548F" w:rsidRPr="008B2EDF">
        <w:rPr>
          <w:rFonts w:ascii="Times New Roman" w:hAnsi="Times New Roman" w:cs="Times New Roman"/>
          <w:sz w:val="24"/>
          <w:szCs w:val="24"/>
        </w:rPr>
        <w:t>Gap in literature</w:t>
      </w:r>
      <w:bookmarkEnd w:id="13"/>
    </w:p>
    <w:p w14:paraId="767BF2DD" w14:textId="7DD0E4C3" w:rsidR="00870FC5" w:rsidRPr="008B2EDF" w:rsidRDefault="004651DC" w:rsidP="004F17FF">
      <w:pPr>
        <w:spacing w:line="360" w:lineRule="auto"/>
        <w:jc w:val="both"/>
        <w:rPr>
          <w:rFonts w:ascii="Times New Roman" w:hAnsi="Times New Roman" w:cs="Times New Roman"/>
          <w:sz w:val="24"/>
          <w:szCs w:val="24"/>
        </w:rPr>
      </w:pPr>
      <w:r w:rsidRPr="008B2EDF">
        <w:rPr>
          <w:rFonts w:ascii="Times New Roman" w:hAnsi="Times New Roman" w:cs="Times New Roman"/>
          <w:sz w:val="24"/>
          <w:szCs w:val="24"/>
        </w:rPr>
        <w:t xml:space="preserve">Although part-time employment has become a growing feature of the modern labour market, several gaps remain in the academic literature. Makinen </w:t>
      </w:r>
      <w:r w:rsidR="00570CA8" w:rsidRPr="008B2EDF">
        <w:rPr>
          <w:rFonts w:ascii="Times New Roman" w:hAnsi="Times New Roman" w:cs="Times New Roman"/>
          <w:i/>
          <w:iCs/>
          <w:sz w:val="24"/>
          <w:szCs w:val="24"/>
        </w:rPr>
        <w:t>et al.</w:t>
      </w:r>
      <w:r w:rsidRPr="008B2EDF">
        <w:rPr>
          <w:rFonts w:ascii="Times New Roman" w:hAnsi="Times New Roman" w:cs="Times New Roman"/>
          <w:i/>
          <w:iCs/>
          <w:sz w:val="24"/>
          <w:szCs w:val="24"/>
        </w:rPr>
        <w:t xml:space="preserve"> </w:t>
      </w:r>
      <w:r w:rsidRPr="008B2EDF">
        <w:rPr>
          <w:rFonts w:ascii="Times New Roman" w:hAnsi="Times New Roman" w:cs="Times New Roman"/>
          <w:sz w:val="24"/>
          <w:szCs w:val="24"/>
        </w:rPr>
        <w:t>(2023) argue that more research is needed into the health and wellbeing of marginal part-time workers, as these factors strongly influence declining career outcomes. They emphasise that issues such as fatigue, stress from unpredictable scheduling, and limited access to workplace benefits often intersect with career stagnation, compounding long-term disadvantages for part-time employees. Similarly, Schmid (2022) highlights the importance of understanding how management attitudes and organisational practices shape career obstacles, suggesting that employer culture is just as critical as contractual status.</w:t>
      </w:r>
    </w:p>
    <w:p w14:paraId="75D8C410" w14:textId="4A3D9063" w:rsidR="006E74F6" w:rsidRPr="008B2EDF" w:rsidRDefault="006820C8" w:rsidP="004F17FF">
      <w:pPr>
        <w:spacing w:line="360" w:lineRule="auto"/>
        <w:jc w:val="both"/>
        <w:rPr>
          <w:rFonts w:ascii="Times New Roman" w:hAnsi="Times New Roman" w:cs="Times New Roman"/>
          <w:sz w:val="24"/>
          <w:szCs w:val="24"/>
        </w:rPr>
      </w:pPr>
      <w:r w:rsidRPr="008B2EDF">
        <w:rPr>
          <w:rFonts w:ascii="Times New Roman" w:hAnsi="Times New Roman" w:cs="Times New Roman"/>
          <w:sz w:val="24"/>
          <w:szCs w:val="24"/>
        </w:rPr>
        <w:t xml:space="preserve"> </w:t>
      </w:r>
      <w:r w:rsidR="004651DC" w:rsidRPr="008B2EDF">
        <w:rPr>
          <w:rFonts w:ascii="Times New Roman" w:hAnsi="Times New Roman" w:cs="Times New Roman"/>
          <w:sz w:val="24"/>
          <w:szCs w:val="24"/>
        </w:rPr>
        <w:t xml:space="preserve">Further, recent work by </w:t>
      </w:r>
      <w:r w:rsidR="00D411DF" w:rsidRPr="008B2EDF">
        <w:rPr>
          <w:rFonts w:ascii="Times New Roman" w:hAnsi="Times New Roman" w:cs="Times New Roman"/>
          <w:sz w:val="24"/>
          <w:szCs w:val="24"/>
        </w:rPr>
        <w:t xml:space="preserve">Franzoi </w:t>
      </w:r>
      <w:r w:rsidR="00570CA8" w:rsidRPr="008B2EDF">
        <w:rPr>
          <w:rFonts w:ascii="Times New Roman" w:hAnsi="Times New Roman" w:cs="Times New Roman"/>
          <w:i/>
          <w:iCs/>
          <w:sz w:val="24"/>
          <w:szCs w:val="24"/>
        </w:rPr>
        <w:t>et al.</w:t>
      </w:r>
      <w:r w:rsidR="00CE5E75" w:rsidRPr="008B2EDF">
        <w:rPr>
          <w:rFonts w:ascii="Times New Roman" w:hAnsi="Times New Roman" w:cs="Times New Roman"/>
          <w:i/>
          <w:iCs/>
          <w:sz w:val="24"/>
          <w:szCs w:val="24"/>
        </w:rPr>
        <w:t>,</w:t>
      </w:r>
      <w:r w:rsidR="00D411DF" w:rsidRPr="008B2EDF">
        <w:rPr>
          <w:rFonts w:ascii="Times New Roman" w:hAnsi="Times New Roman" w:cs="Times New Roman"/>
          <w:sz w:val="24"/>
          <w:szCs w:val="24"/>
        </w:rPr>
        <w:t xml:space="preserve"> (2024)</w:t>
      </w:r>
      <w:r w:rsidR="004651DC" w:rsidRPr="008B2EDF">
        <w:rPr>
          <w:rFonts w:ascii="Times New Roman" w:hAnsi="Times New Roman" w:cs="Times New Roman"/>
          <w:sz w:val="24"/>
          <w:szCs w:val="24"/>
        </w:rPr>
        <w:t xml:space="preserve"> reveals that many women in senior or well-paid roles are unable to remain in or return to these roles on a part-time basis after maternity leave, forcing them to downgrade or even abandon their careers altogether. This shows that structural designs of senior roles often do not permit part-time working, reinforcing inequalities beyond low-skill or entry level work. In addition, Leoncini</w:t>
      </w:r>
      <w:r w:rsidR="00DE5137" w:rsidRPr="008B2EDF">
        <w:rPr>
          <w:rFonts w:ascii="Times New Roman" w:hAnsi="Times New Roman" w:cs="Times New Roman"/>
          <w:sz w:val="24"/>
          <w:szCs w:val="24"/>
        </w:rPr>
        <w:t xml:space="preserve"> </w:t>
      </w:r>
      <w:r w:rsidR="00570CA8" w:rsidRPr="008B2EDF">
        <w:rPr>
          <w:rFonts w:ascii="Times New Roman" w:hAnsi="Times New Roman" w:cs="Times New Roman"/>
          <w:i/>
          <w:iCs/>
          <w:sz w:val="24"/>
          <w:szCs w:val="24"/>
        </w:rPr>
        <w:t>et al.</w:t>
      </w:r>
      <w:r w:rsidR="00CE5E75" w:rsidRPr="008B2EDF">
        <w:rPr>
          <w:rFonts w:ascii="Times New Roman" w:hAnsi="Times New Roman" w:cs="Times New Roman"/>
          <w:i/>
          <w:iCs/>
          <w:sz w:val="24"/>
          <w:szCs w:val="24"/>
        </w:rPr>
        <w:t>,</w:t>
      </w:r>
      <w:r w:rsidR="00DE5137" w:rsidRPr="008B2EDF">
        <w:rPr>
          <w:rFonts w:ascii="Times New Roman" w:hAnsi="Times New Roman" w:cs="Times New Roman"/>
          <w:sz w:val="24"/>
          <w:szCs w:val="24"/>
        </w:rPr>
        <w:t xml:space="preserve"> </w:t>
      </w:r>
      <w:r w:rsidR="004651DC" w:rsidRPr="008B2EDF">
        <w:rPr>
          <w:rFonts w:ascii="Times New Roman" w:hAnsi="Times New Roman" w:cs="Times New Roman"/>
          <w:sz w:val="24"/>
          <w:szCs w:val="24"/>
        </w:rPr>
        <w:t>(202</w:t>
      </w:r>
      <w:r w:rsidR="00DE5137" w:rsidRPr="008B2EDF">
        <w:rPr>
          <w:rFonts w:ascii="Times New Roman" w:hAnsi="Times New Roman" w:cs="Times New Roman"/>
          <w:sz w:val="24"/>
          <w:szCs w:val="24"/>
        </w:rPr>
        <w:t>4</w:t>
      </w:r>
      <w:r w:rsidR="004651DC" w:rsidRPr="008B2EDF">
        <w:rPr>
          <w:rFonts w:ascii="Times New Roman" w:hAnsi="Times New Roman" w:cs="Times New Roman"/>
          <w:sz w:val="24"/>
          <w:szCs w:val="24"/>
        </w:rPr>
        <w:t xml:space="preserve">) provide evidence that gender segregation across sectors deeply influences contract type and wage outcomes, indicating that </w:t>
      </w:r>
      <w:r w:rsidR="004651DC" w:rsidRPr="008B2EDF">
        <w:rPr>
          <w:rFonts w:ascii="Times New Roman" w:hAnsi="Times New Roman" w:cs="Times New Roman"/>
          <w:sz w:val="24"/>
          <w:szCs w:val="24"/>
        </w:rPr>
        <w:lastRenderedPageBreak/>
        <w:t>women in sectors dominated by part-time contracts or flexible/low-hours work face larger penalties</w:t>
      </w:r>
      <w:r w:rsidR="006F7DC1" w:rsidRPr="008B2EDF">
        <w:rPr>
          <w:rFonts w:ascii="Times New Roman" w:hAnsi="Times New Roman" w:cs="Times New Roman"/>
          <w:sz w:val="24"/>
          <w:szCs w:val="24"/>
        </w:rPr>
        <w:t xml:space="preserve"> b</w:t>
      </w:r>
      <w:r w:rsidR="004651DC" w:rsidRPr="008B2EDF">
        <w:rPr>
          <w:rFonts w:ascii="Times New Roman" w:hAnsi="Times New Roman" w:cs="Times New Roman"/>
          <w:sz w:val="24"/>
          <w:szCs w:val="24"/>
        </w:rPr>
        <w:t>oth in pay and in progression</w:t>
      </w:r>
      <w:r w:rsidR="006F7DC1" w:rsidRPr="008B2EDF">
        <w:rPr>
          <w:rFonts w:ascii="Times New Roman" w:hAnsi="Times New Roman" w:cs="Times New Roman"/>
          <w:sz w:val="24"/>
          <w:szCs w:val="24"/>
        </w:rPr>
        <w:t xml:space="preserve"> </w:t>
      </w:r>
      <w:r w:rsidR="004651DC" w:rsidRPr="008B2EDF">
        <w:rPr>
          <w:rFonts w:ascii="Times New Roman" w:hAnsi="Times New Roman" w:cs="Times New Roman"/>
          <w:sz w:val="24"/>
          <w:szCs w:val="24"/>
        </w:rPr>
        <w:t>than those in more male-dominated sectors or with full-time contracts.</w:t>
      </w:r>
      <w:r w:rsidR="00780968" w:rsidRPr="008B2EDF">
        <w:rPr>
          <w:rFonts w:ascii="Times New Roman" w:hAnsi="Times New Roman" w:cs="Times New Roman"/>
          <w:sz w:val="24"/>
          <w:szCs w:val="24"/>
        </w:rPr>
        <w:t xml:space="preserve"> According to</w:t>
      </w:r>
      <w:r w:rsidR="000E45FC" w:rsidRPr="008B2EDF">
        <w:rPr>
          <w:rFonts w:ascii="Times New Roman" w:hAnsi="Times New Roman" w:cs="Times New Roman"/>
          <w:sz w:val="24"/>
          <w:szCs w:val="24"/>
        </w:rPr>
        <w:t xml:space="preserve"> Castañeda-Navarrete</w:t>
      </w:r>
      <w:r w:rsidR="00534314" w:rsidRPr="008B2EDF">
        <w:rPr>
          <w:rFonts w:ascii="Times New Roman" w:hAnsi="Times New Roman" w:cs="Times New Roman"/>
          <w:sz w:val="24"/>
          <w:szCs w:val="24"/>
        </w:rPr>
        <w:t xml:space="preserve"> </w:t>
      </w:r>
      <w:r w:rsidR="00570CA8" w:rsidRPr="008B2EDF">
        <w:rPr>
          <w:rFonts w:ascii="Times New Roman" w:hAnsi="Times New Roman" w:cs="Times New Roman"/>
          <w:i/>
          <w:iCs/>
          <w:sz w:val="24"/>
          <w:szCs w:val="24"/>
        </w:rPr>
        <w:t>et al.</w:t>
      </w:r>
      <w:r w:rsidR="00534314" w:rsidRPr="008B2EDF">
        <w:rPr>
          <w:rFonts w:ascii="Times New Roman" w:hAnsi="Times New Roman" w:cs="Times New Roman"/>
          <w:i/>
          <w:iCs/>
          <w:sz w:val="24"/>
          <w:szCs w:val="24"/>
        </w:rPr>
        <w:t>,</w:t>
      </w:r>
      <w:r w:rsidR="000E45FC" w:rsidRPr="008B2EDF">
        <w:rPr>
          <w:rFonts w:ascii="Times New Roman" w:hAnsi="Times New Roman" w:cs="Times New Roman"/>
          <w:sz w:val="24"/>
          <w:szCs w:val="24"/>
        </w:rPr>
        <w:t xml:space="preserve"> (2024),</w:t>
      </w:r>
      <w:r w:rsidR="00780968" w:rsidRPr="008B2EDF">
        <w:rPr>
          <w:rFonts w:ascii="Times New Roman" w:hAnsi="Times New Roman" w:cs="Times New Roman"/>
          <w:sz w:val="24"/>
          <w:szCs w:val="24"/>
        </w:rPr>
        <w:t xml:space="preserve"> </w:t>
      </w:r>
      <w:r w:rsidR="000E45FC" w:rsidRPr="008B2EDF">
        <w:rPr>
          <w:rFonts w:ascii="Times New Roman" w:hAnsi="Times New Roman" w:cs="Times New Roman"/>
          <w:sz w:val="24"/>
          <w:szCs w:val="24"/>
        </w:rPr>
        <w:t>a</w:t>
      </w:r>
      <w:r w:rsidR="00780968" w:rsidRPr="008B2EDF">
        <w:rPr>
          <w:rFonts w:ascii="Times New Roman" w:hAnsi="Times New Roman" w:cs="Times New Roman"/>
          <w:sz w:val="24"/>
          <w:szCs w:val="24"/>
        </w:rPr>
        <w:t>s of March 2024, women devoted 50% more time than men to unpaid childcare, adult care, and household tasks, a trend that has remained consistent over recent years. This persistent gender-based division of unpaid labour contributes to women being more likely than men to work part-time.</w:t>
      </w:r>
      <w:r w:rsidR="006F7DC1" w:rsidRPr="008B2EDF">
        <w:rPr>
          <w:rFonts w:ascii="Times New Roman" w:hAnsi="Times New Roman" w:cs="Times New Roman"/>
          <w:sz w:val="24"/>
          <w:szCs w:val="24"/>
        </w:rPr>
        <w:t xml:space="preserve"> </w:t>
      </w:r>
      <w:r w:rsidR="004651DC" w:rsidRPr="008B2EDF">
        <w:rPr>
          <w:rFonts w:ascii="Times New Roman" w:hAnsi="Times New Roman" w:cs="Times New Roman"/>
          <w:sz w:val="24"/>
          <w:szCs w:val="24"/>
        </w:rPr>
        <w:t>Despite these contributions, there remains a scarcity of published research specifically focused on the impact of part-time employment on women’s career advancement in warehousing in the UK. This gap demonstrates the need for industry-specific analysis that examines not only structural barriers</w:t>
      </w:r>
      <w:r w:rsidR="006F7DC1" w:rsidRPr="008B2EDF">
        <w:rPr>
          <w:rFonts w:ascii="Times New Roman" w:hAnsi="Times New Roman" w:cs="Times New Roman"/>
          <w:sz w:val="24"/>
          <w:szCs w:val="24"/>
        </w:rPr>
        <w:t xml:space="preserve"> </w:t>
      </w:r>
      <w:r w:rsidR="004651DC" w:rsidRPr="008B2EDF">
        <w:rPr>
          <w:rFonts w:ascii="Times New Roman" w:hAnsi="Times New Roman" w:cs="Times New Roman"/>
          <w:sz w:val="24"/>
          <w:szCs w:val="24"/>
        </w:rPr>
        <w:t>such as shift patterns, limited hours, and lack of training</w:t>
      </w:r>
      <w:r w:rsidR="006F7DC1" w:rsidRPr="008B2EDF">
        <w:rPr>
          <w:rFonts w:ascii="Times New Roman" w:hAnsi="Times New Roman" w:cs="Times New Roman"/>
          <w:sz w:val="24"/>
          <w:szCs w:val="24"/>
        </w:rPr>
        <w:t xml:space="preserve"> </w:t>
      </w:r>
      <w:r w:rsidR="004651DC" w:rsidRPr="008B2EDF">
        <w:rPr>
          <w:rFonts w:ascii="Times New Roman" w:hAnsi="Times New Roman" w:cs="Times New Roman"/>
          <w:sz w:val="24"/>
          <w:szCs w:val="24"/>
        </w:rPr>
        <w:t>but also the lived realities of women negotiating the dual pressures of employment and unpaid domestic responsibilities. Addressing this shortfall will provide valuable insight into how organisational and societal factors intersect to affect women’s career development, especially in sectors where part-time and flexible work is common, but progression pathways are unclear</w:t>
      </w:r>
      <w:r w:rsidR="00026D2F" w:rsidRPr="008B2EDF">
        <w:rPr>
          <w:rFonts w:ascii="Times New Roman" w:hAnsi="Times New Roman" w:cs="Times New Roman"/>
          <w:sz w:val="24"/>
          <w:szCs w:val="24"/>
        </w:rPr>
        <w:t xml:space="preserve">. </w:t>
      </w:r>
    </w:p>
    <w:p w14:paraId="556849AE" w14:textId="4875D91E" w:rsidR="009B3C4F" w:rsidRPr="008B2EDF" w:rsidRDefault="00503C6D" w:rsidP="004F17FF">
      <w:pPr>
        <w:pStyle w:val="Heading2"/>
        <w:spacing w:line="360" w:lineRule="auto"/>
        <w:jc w:val="both"/>
        <w:rPr>
          <w:rFonts w:ascii="Times New Roman" w:hAnsi="Times New Roman" w:cs="Times New Roman"/>
          <w:sz w:val="24"/>
          <w:szCs w:val="24"/>
        </w:rPr>
      </w:pPr>
      <w:bookmarkStart w:id="14" w:name="_Toc228970930"/>
      <w:r w:rsidRPr="008B2EDF">
        <w:rPr>
          <w:rFonts w:ascii="Times New Roman" w:hAnsi="Times New Roman" w:cs="Times New Roman"/>
          <w:sz w:val="24"/>
          <w:szCs w:val="24"/>
        </w:rPr>
        <w:t>4</w:t>
      </w:r>
      <w:r w:rsidR="005E23C8" w:rsidRPr="008B2EDF">
        <w:rPr>
          <w:rFonts w:ascii="Times New Roman" w:hAnsi="Times New Roman" w:cs="Times New Roman"/>
          <w:sz w:val="24"/>
          <w:szCs w:val="24"/>
        </w:rPr>
        <w:t>.</w:t>
      </w:r>
      <w:r w:rsidRPr="008B2EDF">
        <w:rPr>
          <w:rFonts w:ascii="Times New Roman" w:hAnsi="Times New Roman" w:cs="Times New Roman"/>
          <w:sz w:val="24"/>
          <w:szCs w:val="24"/>
        </w:rPr>
        <w:t>1</w:t>
      </w:r>
      <w:r w:rsidR="005E23C8" w:rsidRPr="008B2EDF">
        <w:rPr>
          <w:rFonts w:ascii="Times New Roman" w:hAnsi="Times New Roman" w:cs="Times New Roman"/>
          <w:sz w:val="24"/>
          <w:szCs w:val="24"/>
        </w:rPr>
        <w:t xml:space="preserve"> </w:t>
      </w:r>
      <w:r w:rsidR="00F37C9C" w:rsidRPr="008B2EDF">
        <w:rPr>
          <w:rFonts w:ascii="Times New Roman" w:hAnsi="Times New Roman" w:cs="Times New Roman"/>
          <w:sz w:val="24"/>
          <w:szCs w:val="24"/>
        </w:rPr>
        <w:t>Hypotheses</w:t>
      </w:r>
      <w:bookmarkEnd w:id="14"/>
      <w:r w:rsidR="00F37C9C" w:rsidRPr="008B2EDF">
        <w:rPr>
          <w:rFonts w:ascii="Times New Roman" w:hAnsi="Times New Roman" w:cs="Times New Roman"/>
          <w:sz w:val="24"/>
          <w:szCs w:val="24"/>
        </w:rPr>
        <w:t xml:space="preserve"> </w:t>
      </w:r>
    </w:p>
    <w:p w14:paraId="456054CA" w14:textId="514DEC38" w:rsidR="009B3C4F" w:rsidRPr="008B2EDF" w:rsidRDefault="009B3C4F" w:rsidP="004F17FF">
      <w:pPr>
        <w:spacing w:line="360" w:lineRule="auto"/>
        <w:jc w:val="both"/>
        <w:rPr>
          <w:rFonts w:ascii="Times New Roman" w:hAnsi="Times New Roman" w:cs="Times New Roman"/>
          <w:sz w:val="24"/>
          <w:szCs w:val="24"/>
        </w:rPr>
      </w:pPr>
      <w:r w:rsidRPr="008B2EDF">
        <w:rPr>
          <w:rFonts w:ascii="Times New Roman" w:hAnsi="Times New Roman" w:cs="Times New Roman"/>
          <w:sz w:val="24"/>
          <w:szCs w:val="24"/>
        </w:rPr>
        <w:t>Drawing on the literature review and the questionnaire design, three central hypotheses are proposed. These hypotheses reflect the major themes emerging from existing research</w:t>
      </w:r>
      <w:r w:rsidR="008B162D" w:rsidRPr="008B2EDF">
        <w:rPr>
          <w:rFonts w:ascii="Times New Roman" w:hAnsi="Times New Roman" w:cs="Times New Roman"/>
          <w:sz w:val="24"/>
          <w:szCs w:val="24"/>
        </w:rPr>
        <w:t>,</w:t>
      </w:r>
      <w:r w:rsidRPr="008B2EDF">
        <w:rPr>
          <w:rFonts w:ascii="Times New Roman" w:hAnsi="Times New Roman" w:cs="Times New Roman"/>
          <w:sz w:val="24"/>
          <w:szCs w:val="24"/>
        </w:rPr>
        <w:t xml:space="preserve"> the “part-time penalty” in career advancement, gender disparities</w:t>
      </w:r>
      <w:r w:rsidR="0011174A" w:rsidRPr="008B2EDF">
        <w:rPr>
          <w:rFonts w:ascii="Times New Roman" w:hAnsi="Times New Roman" w:cs="Times New Roman"/>
          <w:sz w:val="24"/>
          <w:szCs w:val="24"/>
        </w:rPr>
        <w:t>.(</w:t>
      </w:r>
      <w:r w:rsidR="00661475" w:rsidRPr="008B2EDF">
        <w:rPr>
          <w:rFonts w:ascii="Times New Roman" w:hAnsi="Times New Roman" w:cs="Times New Roman"/>
          <w:sz w:val="24"/>
          <w:szCs w:val="24"/>
        </w:rPr>
        <w:t>Working Families</w:t>
      </w:r>
      <w:r w:rsidR="0011174A" w:rsidRPr="008B2EDF">
        <w:rPr>
          <w:rFonts w:ascii="Times New Roman" w:hAnsi="Times New Roman" w:cs="Times New Roman"/>
          <w:sz w:val="24"/>
          <w:szCs w:val="24"/>
        </w:rPr>
        <w:t xml:space="preserve">, </w:t>
      </w:r>
      <w:r w:rsidR="00661475" w:rsidRPr="008B2EDF">
        <w:rPr>
          <w:rFonts w:ascii="Times New Roman" w:hAnsi="Times New Roman" w:cs="Times New Roman"/>
          <w:sz w:val="24"/>
          <w:szCs w:val="24"/>
        </w:rPr>
        <w:t>2023)</w:t>
      </w:r>
      <w:r w:rsidRPr="008B2EDF">
        <w:rPr>
          <w:rFonts w:ascii="Times New Roman" w:hAnsi="Times New Roman" w:cs="Times New Roman"/>
          <w:sz w:val="24"/>
          <w:szCs w:val="24"/>
        </w:rPr>
        <w:t>.</w:t>
      </w:r>
    </w:p>
    <w:p w14:paraId="747F06D5" w14:textId="46FBB265" w:rsidR="00902E5C" w:rsidRPr="008B2EDF" w:rsidRDefault="009B3C4F" w:rsidP="004F17FF">
      <w:pPr>
        <w:spacing w:line="360" w:lineRule="auto"/>
        <w:jc w:val="both"/>
        <w:rPr>
          <w:rFonts w:ascii="Times New Roman" w:hAnsi="Times New Roman" w:cs="Times New Roman"/>
          <w:sz w:val="24"/>
          <w:szCs w:val="24"/>
        </w:rPr>
      </w:pPr>
      <w:r w:rsidRPr="008B2EDF">
        <w:rPr>
          <w:rFonts w:ascii="Times New Roman" w:hAnsi="Times New Roman" w:cs="Times New Roman"/>
          <w:sz w:val="24"/>
          <w:szCs w:val="24"/>
        </w:rPr>
        <w:t>H</w:t>
      </w:r>
      <w:r w:rsidR="00CC3790" w:rsidRPr="008B2EDF">
        <w:rPr>
          <w:rFonts w:ascii="Times New Roman" w:hAnsi="Times New Roman" w:cs="Times New Roman"/>
          <w:sz w:val="24"/>
          <w:szCs w:val="24"/>
        </w:rPr>
        <w:t xml:space="preserve">1 </w:t>
      </w:r>
    </w:p>
    <w:p w14:paraId="73AA1A6E" w14:textId="77777777" w:rsidR="0052695B" w:rsidRPr="008B2EDF" w:rsidRDefault="0052695B" w:rsidP="004F17FF">
      <w:pPr>
        <w:spacing w:line="360" w:lineRule="auto"/>
        <w:jc w:val="both"/>
        <w:rPr>
          <w:rFonts w:ascii="Times New Roman" w:hAnsi="Times New Roman" w:cs="Times New Roman"/>
          <w:sz w:val="24"/>
          <w:szCs w:val="24"/>
        </w:rPr>
      </w:pPr>
      <w:r w:rsidRPr="008B2EDF">
        <w:rPr>
          <w:rFonts w:ascii="Times New Roman" w:hAnsi="Times New Roman" w:cs="Times New Roman"/>
          <w:sz w:val="24"/>
          <w:szCs w:val="24"/>
        </w:rPr>
        <w:t>Part-time employees are significantly less likely to report access to career advancement opportunities and formal recognition compared to full-time employees.</w:t>
      </w:r>
    </w:p>
    <w:p w14:paraId="00E7D685" w14:textId="54FC71E4" w:rsidR="009B3C4F" w:rsidRPr="008B2EDF" w:rsidRDefault="00983B60" w:rsidP="004F17FF">
      <w:pPr>
        <w:spacing w:line="360" w:lineRule="auto"/>
        <w:jc w:val="both"/>
        <w:rPr>
          <w:rFonts w:ascii="Times New Roman" w:hAnsi="Times New Roman" w:cs="Times New Roman"/>
          <w:sz w:val="24"/>
          <w:szCs w:val="24"/>
        </w:rPr>
      </w:pPr>
      <w:r w:rsidRPr="008B2EDF">
        <w:rPr>
          <w:rFonts w:ascii="Times New Roman" w:hAnsi="Times New Roman" w:cs="Times New Roman"/>
          <w:sz w:val="24"/>
          <w:szCs w:val="24"/>
        </w:rPr>
        <w:t>H2</w:t>
      </w:r>
    </w:p>
    <w:p w14:paraId="59FD1127" w14:textId="77777777" w:rsidR="002961F2" w:rsidRPr="008B2EDF" w:rsidRDefault="002961F2" w:rsidP="004F17FF">
      <w:pPr>
        <w:spacing w:line="360" w:lineRule="auto"/>
        <w:jc w:val="both"/>
        <w:rPr>
          <w:rFonts w:ascii="Times New Roman" w:hAnsi="Times New Roman" w:cs="Times New Roman"/>
          <w:sz w:val="24"/>
          <w:szCs w:val="24"/>
        </w:rPr>
      </w:pPr>
      <w:r w:rsidRPr="008B2EDF">
        <w:rPr>
          <w:rFonts w:ascii="Times New Roman" w:hAnsi="Times New Roman" w:cs="Times New Roman"/>
          <w:sz w:val="24"/>
          <w:szCs w:val="24"/>
        </w:rPr>
        <w:t>Women working part-time in warehousing are more likely than men to perceive structural and organisational barriers to career progression.</w:t>
      </w:r>
    </w:p>
    <w:p w14:paraId="22ADA701" w14:textId="122CC137" w:rsidR="00CF4EF1" w:rsidRPr="008B2EDF" w:rsidRDefault="00983B60" w:rsidP="004F17FF">
      <w:pPr>
        <w:spacing w:line="360" w:lineRule="auto"/>
        <w:jc w:val="both"/>
        <w:rPr>
          <w:rFonts w:ascii="Times New Roman" w:hAnsi="Times New Roman" w:cs="Times New Roman"/>
          <w:sz w:val="24"/>
          <w:szCs w:val="24"/>
        </w:rPr>
      </w:pPr>
      <w:r w:rsidRPr="008B2EDF">
        <w:rPr>
          <w:rFonts w:ascii="Times New Roman" w:hAnsi="Times New Roman" w:cs="Times New Roman"/>
          <w:sz w:val="24"/>
          <w:szCs w:val="24"/>
        </w:rPr>
        <w:t>H3</w:t>
      </w:r>
    </w:p>
    <w:p w14:paraId="6DF39CEB" w14:textId="77777777" w:rsidR="002961F2" w:rsidRPr="008B2EDF" w:rsidRDefault="002961F2" w:rsidP="002961F2">
      <w:pPr>
        <w:spacing w:line="360" w:lineRule="auto"/>
        <w:jc w:val="both"/>
        <w:rPr>
          <w:rFonts w:ascii="Times New Roman" w:hAnsi="Times New Roman" w:cs="Times New Roman"/>
          <w:sz w:val="24"/>
          <w:szCs w:val="24"/>
        </w:rPr>
      </w:pPr>
      <w:r w:rsidRPr="008B2EDF">
        <w:rPr>
          <w:rFonts w:ascii="Times New Roman" w:hAnsi="Times New Roman" w:cs="Times New Roman"/>
          <w:sz w:val="24"/>
          <w:szCs w:val="24"/>
        </w:rPr>
        <w:t>The presence of supportive organisational policies and flexible scheduling arrangements is positively associated with perceived career progression among part-time employees.</w:t>
      </w:r>
    </w:p>
    <w:p w14:paraId="0DC7AC67" w14:textId="405596ED" w:rsidR="00195EE6" w:rsidRPr="008B2EDF" w:rsidRDefault="009B3C4F" w:rsidP="004F17FF">
      <w:pPr>
        <w:spacing w:line="360" w:lineRule="auto"/>
        <w:jc w:val="both"/>
        <w:rPr>
          <w:rFonts w:ascii="Times New Roman" w:hAnsi="Times New Roman" w:cs="Times New Roman"/>
          <w:sz w:val="24"/>
          <w:szCs w:val="24"/>
        </w:rPr>
      </w:pPr>
      <w:r w:rsidRPr="008B2EDF">
        <w:rPr>
          <w:rFonts w:ascii="Times New Roman" w:hAnsi="Times New Roman" w:cs="Times New Roman"/>
          <w:sz w:val="24"/>
          <w:szCs w:val="24"/>
        </w:rPr>
        <w:t>Guided by Work–Life Balance Theory (Hildenbrand</w:t>
      </w:r>
      <w:r w:rsidR="0088465C" w:rsidRPr="008B2EDF">
        <w:rPr>
          <w:rFonts w:ascii="Times New Roman" w:hAnsi="Times New Roman" w:cs="Times New Roman"/>
          <w:sz w:val="24"/>
          <w:szCs w:val="24"/>
        </w:rPr>
        <w:t xml:space="preserve"> </w:t>
      </w:r>
      <w:r w:rsidR="0088465C" w:rsidRPr="008B2EDF">
        <w:rPr>
          <w:rFonts w:ascii="Times New Roman" w:hAnsi="Times New Roman" w:cs="Times New Roman"/>
          <w:i/>
          <w:iCs/>
          <w:sz w:val="24"/>
          <w:szCs w:val="24"/>
        </w:rPr>
        <w:t>et.al.,</w:t>
      </w:r>
      <w:r w:rsidR="00534314" w:rsidRPr="008B2EDF">
        <w:rPr>
          <w:rFonts w:ascii="Times New Roman" w:hAnsi="Times New Roman" w:cs="Times New Roman"/>
          <w:sz w:val="24"/>
          <w:szCs w:val="24"/>
        </w:rPr>
        <w:t xml:space="preserve"> </w:t>
      </w:r>
      <w:r w:rsidR="0088465C" w:rsidRPr="008B2EDF">
        <w:rPr>
          <w:rFonts w:ascii="Times New Roman" w:hAnsi="Times New Roman" w:cs="Times New Roman"/>
          <w:sz w:val="24"/>
          <w:szCs w:val="24"/>
        </w:rPr>
        <w:t>2023</w:t>
      </w:r>
      <w:r w:rsidRPr="008B2EDF">
        <w:rPr>
          <w:rFonts w:ascii="Times New Roman" w:hAnsi="Times New Roman" w:cs="Times New Roman"/>
          <w:sz w:val="24"/>
          <w:szCs w:val="24"/>
        </w:rPr>
        <w:t xml:space="preserve">; Begum </w:t>
      </w:r>
      <w:r w:rsidR="00570CA8" w:rsidRPr="008B2EDF">
        <w:rPr>
          <w:rFonts w:ascii="Times New Roman" w:hAnsi="Times New Roman" w:cs="Times New Roman"/>
          <w:i/>
          <w:sz w:val="24"/>
          <w:szCs w:val="24"/>
        </w:rPr>
        <w:t>et al.</w:t>
      </w:r>
      <w:r w:rsidR="00A760B4" w:rsidRPr="008B2EDF">
        <w:rPr>
          <w:rFonts w:ascii="Times New Roman" w:hAnsi="Times New Roman" w:cs="Times New Roman"/>
          <w:i/>
          <w:sz w:val="24"/>
          <w:szCs w:val="24"/>
        </w:rPr>
        <w:t>,</w:t>
      </w:r>
      <w:r w:rsidRPr="008B2EDF">
        <w:rPr>
          <w:rFonts w:ascii="Times New Roman" w:hAnsi="Times New Roman" w:cs="Times New Roman"/>
          <w:sz w:val="24"/>
          <w:szCs w:val="24"/>
        </w:rPr>
        <w:t xml:space="preserve"> 2024), this hypothesis assumes that organisational structures can mitigate the negative impacts of part-time work. Questions 22–25, 27, and 28 explore how policies, flexibility, and training opportunities shape employees’ career </w:t>
      </w:r>
      <w:r w:rsidR="006C7E66" w:rsidRPr="008B2EDF">
        <w:rPr>
          <w:rFonts w:ascii="Times New Roman" w:hAnsi="Times New Roman" w:cs="Times New Roman"/>
          <w:sz w:val="24"/>
          <w:szCs w:val="24"/>
        </w:rPr>
        <w:t>perceptions. Together</w:t>
      </w:r>
      <w:r w:rsidRPr="008B2EDF">
        <w:rPr>
          <w:rFonts w:ascii="Times New Roman" w:hAnsi="Times New Roman" w:cs="Times New Roman"/>
          <w:sz w:val="24"/>
          <w:szCs w:val="24"/>
        </w:rPr>
        <w:t xml:space="preserve">, these hypotheses provide a </w:t>
      </w:r>
      <w:r w:rsidRPr="008B2EDF">
        <w:rPr>
          <w:rFonts w:ascii="Times New Roman" w:hAnsi="Times New Roman" w:cs="Times New Roman"/>
          <w:sz w:val="24"/>
          <w:szCs w:val="24"/>
        </w:rPr>
        <w:lastRenderedPageBreak/>
        <w:t>framework for analysing how part-time status, gender, and organisational support interact to influence career development in the UK warehousing sector.</w:t>
      </w:r>
    </w:p>
    <w:p w14:paraId="26ED8C44" w14:textId="77777777" w:rsidR="007F0E1C" w:rsidRPr="008B2EDF" w:rsidRDefault="007F0E1C" w:rsidP="007F0E1C">
      <w:pPr>
        <w:spacing w:line="360" w:lineRule="auto"/>
        <w:jc w:val="both"/>
        <w:rPr>
          <w:rFonts w:ascii="Times New Roman" w:hAnsi="Times New Roman" w:cs="Times New Roman"/>
          <w:sz w:val="24"/>
          <w:szCs w:val="24"/>
        </w:rPr>
      </w:pPr>
      <w:r w:rsidRPr="008B2EDF">
        <w:rPr>
          <w:rFonts w:ascii="Times New Roman" w:hAnsi="Times New Roman" w:cs="Times New Roman"/>
          <w:sz w:val="24"/>
          <w:szCs w:val="24"/>
        </w:rPr>
        <w:t>This gap is particularly significant because it limits understanding of how sector-specific practices, such as performance measurement systems and shift-based scheduling, interact with gendered expectations to produce unequal career outcomes. Addressing this gap not only contributes to academic knowledge but also provides practical insights for organisations seeking to design more equitable progression pathways for part-time workers.</w:t>
      </w:r>
    </w:p>
    <w:p w14:paraId="1E71D04E" w14:textId="77777777" w:rsidR="007F0E1C" w:rsidRPr="008B2EDF" w:rsidRDefault="007F0E1C" w:rsidP="004F17FF">
      <w:pPr>
        <w:spacing w:line="360" w:lineRule="auto"/>
        <w:jc w:val="both"/>
        <w:rPr>
          <w:rFonts w:ascii="Times New Roman" w:hAnsi="Times New Roman" w:cs="Times New Roman"/>
          <w:sz w:val="24"/>
          <w:szCs w:val="24"/>
        </w:rPr>
      </w:pPr>
    </w:p>
    <w:p w14:paraId="47F0AF19" w14:textId="6C7685D2" w:rsidR="007F23E1" w:rsidRPr="008B2EDF" w:rsidRDefault="00503C6D" w:rsidP="004F17FF">
      <w:pPr>
        <w:pStyle w:val="Heading1"/>
        <w:spacing w:line="360" w:lineRule="auto"/>
        <w:jc w:val="both"/>
        <w:rPr>
          <w:rFonts w:ascii="Times New Roman" w:eastAsia="Times New Roman" w:hAnsi="Times New Roman" w:cs="Times New Roman"/>
          <w:kern w:val="0"/>
          <w:sz w:val="24"/>
          <w:szCs w:val="24"/>
          <w:lang w:eastAsia="en-GB"/>
          <w14:ligatures w14:val="none"/>
        </w:rPr>
      </w:pPr>
      <w:bookmarkStart w:id="15" w:name="_Toc228970931"/>
      <w:r w:rsidRPr="008B2EDF">
        <w:rPr>
          <w:rFonts w:ascii="Times New Roman" w:hAnsi="Times New Roman" w:cs="Times New Roman"/>
          <w:sz w:val="24"/>
          <w:szCs w:val="24"/>
        </w:rPr>
        <w:t>5.0</w:t>
      </w:r>
      <w:r w:rsidR="007F23E1" w:rsidRPr="008B2EDF">
        <w:rPr>
          <w:rFonts w:ascii="Times New Roman" w:eastAsia="Times New Roman" w:hAnsi="Times New Roman" w:cs="Times New Roman"/>
          <w:kern w:val="0"/>
          <w:sz w:val="24"/>
          <w:szCs w:val="24"/>
          <w:lang w:eastAsia="en-GB"/>
          <w14:ligatures w14:val="none"/>
        </w:rPr>
        <w:t xml:space="preserve"> Methodology</w:t>
      </w:r>
      <w:bookmarkEnd w:id="15"/>
      <w:r w:rsidR="007F23E1" w:rsidRPr="008B2EDF">
        <w:rPr>
          <w:rFonts w:ascii="Times New Roman" w:eastAsia="Times New Roman" w:hAnsi="Times New Roman" w:cs="Times New Roman"/>
          <w:kern w:val="0"/>
          <w:sz w:val="24"/>
          <w:szCs w:val="24"/>
          <w:lang w:eastAsia="en-GB"/>
          <w14:ligatures w14:val="none"/>
        </w:rPr>
        <w:t xml:space="preserve">  </w:t>
      </w:r>
    </w:p>
    <w:p w14:paraId="03A088F2" w14:textId="47EE676F" w:rsidR="00D17A5A" w:rsidRPr="008B2EDF" w:rsidRDefault="00D17A5A" w:rsidP="009D2869">
      <w:pPr>
        <w:spacing w:line="360" w:lineRule="auto"/>
        <w:jc w:val="both"/>
        <w:rPr>
          <w:rFonts w:ascii="Times New Roman" w:hAnsi="Times New Roman" w:cs="Times New Roman"/>
          <w:sz w:val="24"/>
          <w:szCs w:val="24"/>
          <w:lang w:eastAsia="en-GB"/>
        </w:rPr>
      </w:pPr>
      <w:r w:rsidRPr="008B2EDF">
        <w:rPr>
          <w:rFonts w:ascii="Times New Roman" w:hAnsi="Times New Roman" w:cs="Times New Roman"/>
          <w:sz w:val="24"/>
          <w:szCs w:val="24"/>
          <w:lang w:eastAsia="en-GB"/>
        </w:rPr>
        <w:t xml:space="preserve">This study adopts a mixed-methods research design to examine the career experiences of part-time women employed in UK warehouses. The approach integrates a primarily quantitative survey with qualitative thematic analysis of open-ended responses, allowing for both statistical examination of patterns and deeper contextual interpretation of lived experiences. Mixed-methods research is particularly appropriate for exploring complex social phenomena, as it enables triangulation of findings and strengthens the overall validity of results (Hübner, 2024). While this approach enhances analytical depth, it also introduces challenges related to data integration, research design complexity, and resource demands (Venkatesh </w:t>
      </w:r>
      <w:r w:rsidR="00570CA8" w:rsidRPr="008B2EDF">
        <w:rPr>
          <w:rFonts w:ascii="Times New Roman" w:hAnsi="Times New Roman" w:cs="Times New Roman"/>
          <w:i/>
          <w:sz w:val="24"/>
          <w:szCs w:val="24"/>
          <w:lang w:eastAsia="en-GB"/>
        </w:rPr>
        <w:t>et al.</w:t>
      </w:r>
      <w:r w:rsidRPr="008B2EDF">
        <w:rPr>
          <w:rFonts w:ascii="Times New Roman" w:hAnsi="Times New Roman" w:cs="Times New Roman"/>
          <w:sz w:val="24"/>
          <w:szCs w:val="24"/>
          <w:lang w:eastAsia="en-GB"/>
        </w:rPr>
        <w:t>, 2023). Nevertheless, combining deductive quantitative analysis with inductive qualitative insight ensures a more comprehensive understanding of structural and experiential dimensions of part-time employment.</w:t>
      </w:r>
    </w:p>
    <w:p w14:paraId="2050FF02" w14:textId="57B631C7" w:rsidR="002A60A7" w:rsidRPr="008B2EDF" w:rsidRDefault="00503C6D" w:rsidP="004F17FF">
      <w:pPr>
        <w:pStyle w:val="Heading2"/>
        <w:spacing w:line="360" w:lineRule="auto"/>
        <w:jc w:val="both"/>
        <w:rPr>
          <w:rFonts w:ascii="Times New Roman" w:eastAsia="Times New Roman" w:hAnsi="Times New Roman" w:cs="Times New Roman"/>
          <w:kern w:val="0"/>
          <w:sz w:val="24"/>
          <w:szCs w:val="24"/>
          <w:lang w:eastAsia="en-GB"/>
          <w14:ligatures w14:val="none"/>
        </w:rPr>
      </w:pPr>
      <w:bookmarkStart w:id="16" w:name="_Toc228970932"/>
      <w:r w:rsidRPr="008B2EDF">
        <w:rPr>
          <w:rFonts w:ascii="Times New Roman" w:eastAsia="Times New Roman" w:hAnsi="Times New Roman" w:cs="Times New Roman"/>
          <w:kern w:val="0"/>
          <w:sz w:val="24"/>
          <w:szCs w:val="24"/>
          <w:lang w:eastAsia="en-GB"/>
          <w14:ligatures w14:val="none"/>
        </w:rPr>
        <w:t>5</w:t>
      </w:r>
      <w:r w:rsidR="007F23E1" w:rsidRPr="008B2EDF">
        <w:rPr>
          <w:rFonts w:ascii="Times New Roman" w:eastAsia="Times New Roman" w:hAnsi="Times New Roman" w:cs="Times New Roman"/>
          <w:kern w:val="0"/>
          <w:sz w:val="24"/>
          <w:szCs w:val="24"/>
          <w:lang w:eastAsia="en-GB"/>
          <w14:ligatures w14:val="none"/>
        </w:rPr>
        <w:t>.1 Research methods</w:t>
      </w:r>
      <w:bookmarkEnd w:id="16"/>
      <w:r w:rsidR="007F23E1" w:rsidRPr="008B2EDF">
        <w:rPr>
          <w:rFonts w:ascii="Times New Roman" w:eastAsia="Times New Roman" w:hAnsi="Times New Roman" w:cs="Times New Roman"/>
          <w:kern w:val="0"/>
          <w:sz w:val="24"/>
          <w:szCs w:val="24"/>
          <w:lang w:eastAsia="en-GB"/>
          <w14:ligatures w14:val="none"/>
        </w:rPr>
        <w:t xml:space="preserve"> </w:t>
      </w:r>
    </w:p>
    <w:p w14:paraId="01904160" w14:textId="2C67D10A" w:rsidR="00AE3672" w:rsidRPr="008B2EDF" w:rsidRDefault="00AE3672" w:rsidP="004F17FF">
      <w:pPr>
        <w:spacing w:line="360" w:lineRule="auto"/>
        <w:jc w:val="both"/>
        <w:rPr>
          <w:rFonts w:ascii="Times New Roman" w:hAnsi="Times New Roman" w:cs="Times New Roman"/>
          <w:sz w:val="24"/>
          <w:szCs w:val="24"/>
        </w:rPr>
      </w:pPr>
      <w:r w:rsidRPr="008B2EDF">
        <w:rPr>
          <w:rFonts w:ascii="Times New Roman" w:hAnsi="Times New Roman" w:cs="Times New Roman"/>
          <w:sz w:val="24"/>
          <w:szCs w:val="24"/>
        </w:rPr>
        <w:t xml:space="preserve">The study employs a quantitative survey-based methodology to examine the career experiences of part-time women in UK warehouses. A survey design was selected due to its ability to collect standardised data from a relatively large sample, enabling the identification of patterns, relationships, and differences across participant groups (Clark </w:t>
      </w:r>
      <w:r w:rsidR="00570CA8" w:rsidRPr="008B2EDF">
        <w:rPr>
          <w:rFonts w:ascii="Times New Roman" w:hAnsi="Times New Roman" w:cs="Times New Roman"/>
          <w:i/>
          <w:sz w:val="24"/>
          <w:szCs w:val="24"/>
        </w:rPr>
        <w:t>et al.</w:t>
      </w:r>
      <w:r w:rsidRPr="008B2EDF">
        <w:rPr>
          <w:rFonts w:ascii="Times New Roman" w:hAnsi="Times New Roman" w:cs="Times New Roman"/>
          <w:sz w:val="24"/>
          <w:szCs w:val="24"/>
        </w:rPr>
        <w:t>, 2021). This approach is particularly suitable for assessing variables such as recognition, invisible labour, and perceived barriers to progression, which can be operationalised into measurable indicators. In addition to primary survey data, secondary literature was used to provide theoretical grounding and contextual understanding of existing research on gendered labour market inequalities.</w:t>
      </w:r>
    </w:p>
    <w:p w14:paraId="6088AC8F" w14:textId="3A58F3DD" w:rsidR="006E65C9" w:rsidRPr="008B2EDF" w:rsidRDefault="006E65C9" w:rsidP="004F17FF">
      <w:pPr>
        <w:spacing w:line="360" w:lineRule="auto"/>
        <w:jc w:val="both"/>
        <w:rPr>
          <w:rFonts w:ascii="Times New Roman" w:hAnsi="Times New Roman" w:cs="Times New Roman"/>
          <w:sz w:val="24"/>
          <w:szCs w:val="24"/>
        </w:rPr>
      </w:pPr>
      <w:r w:rsidRPr="008B2EDF">
        <w:rPr>
          <w:rFonts w:ascii="Times New Roman" w:hAnsi="Times New Roman" w:cs="Times New Roman"/>
          <w:sz w:val="24"/>
          <w:szCs w:val="24"/>
        </w:rPr>
        <w:t>To ensure a comprehensive perspective, both primary and secondary research methods were employed. Secondary research provided a review of existing literature and theoretical context, while primary research generated original data from participants.</w:t>
      </w:r>
    </w:p>
    <w:p w14:paraId="7650D46B" w14:textId="02360350" w:rsidR="006E65C9" w:rsidRPr="008B2EDF" w:rsidRDefault="006E65C9" w:rsidP="004F17FF">
      <w:pPr>
        <w:spacing w:line="360" w:lineRule="auto"/>
        <w:jc w:val="both"/>
        <w:rPr>
          <w:rFonts w:ascii="Times New Roman" w:hAnsi="Times New Roman" w:cs="Times New Roman"/>
          <w:sz w:val="24"/>
          <w:szCs w:val="24"/>
        </w:rPr>
      </w:pPr>
      <w:r w:rsidRPr="008B2EDF">
        <w:rPr>
          <w:rFonts w:ascii="Times New Roman" w:hAnsi="Times New Roman" w:cs="Times New Roman"/>
          <w:sz w:val="24"/>
          <w:szCs w:val="24"/>
        </w:rPr>
        <w:lastRenderedPageBreak/>
        <w:t xml:space="preserve">Using an exploratory research approach offers clear advantages for this study, as the career experiences of part-time women in warehouse settings remain under-researched. However, Williams (2024) argues that findings from exploratory research may be less generalisable, as the sample is not always representative of the wider population of warehouse workers. In addition, the open-ended nature of the approach can introduce subjectivity when interpreting results (Saunders </w:t>
      </w:r>
      <w:r w:rsidR="00570CA8" w:rsidRPr="008B2EDF">
        <w:rPr>
          <w:rFonts w:ascii="Times New Roman" w:hAnsi="Times New Roman" w:cs="Times New Roman"/>
          <w:i/>
          <w:sz w:val="24"/>
          <w:szCs w:val="24"/>
        </w:rPr>
        <w:t>et al.</w:t>
      </w:r>
      <w:r w:rsidRPr="008B2EDF">
        <w:rPr>
          <w:rFonts w:ascii="Times New Roman" w:hAnsi="Times New Roman" w:cs="Times New Roman"/>
          <w:sz w:val="24"/>
          <w:szCs w:val="24"/>
        </w:rPr>
        <w:t>, 2023).</w:t>
      </w:r>
    </w:p>
    <w:p w14:paraId="259AFE0B" w14:textId="790F1154" w:rsidR="00C40AC6" w:rsidRPr="008B2EDF" w:rsidRDefault="00153780" w:rsidP="004F17FF">
      <w:pPr>
        <w:spacing w:line="360" w:lineRule="auto"/>
        <w:jc w:val="both"/>
        <w:rPr>
          <w:rFonts w:ascii="Times New Roman" w:hAnsi="Times New Roman" w:cs="Times New Roman"/>
          <w:sz w:val="24"/>
          <w:szCs w:val="24"/>
        </w:rPr>
      </w:pPr>
      <w:r w:rsidRPr="008B2EDF">
        <w:rPr>
          <w:rFonts w:ascii="Times New Roman" w:hAnsi="Times New Roman" w:cs="Times New Roman"/>
          <w:sz w:val="24"/>
          <w:szCs w:val="24"/>
        </w:rPr>
        <w:t xml:space="preserve">This study adopts a deductive research approach, in which hypotheses are derived from existing theories and tested using empirical data. Drawing on Human Capital Theory, Equity Theory, and Work–Life Balance Theory, three hypotheses were formulated and examined using statistical techniques including ANOVA, Chi-square, and Pearson correlation. This approach enables systematic testing of theoretical assumptions against real-world data (Saunders </w:t>
      </w:r>
      <w:r w:rsidR="00570CA8" w:rsidRPr="008B2EDF">
        <w:rPr>
          <w:rFonts w:ascii="Times New Roman" w:hAnsi="Times New Roman" w:cs="Times New Roman"/>
          <w:i/>
          <w:iCs/>
          <w:sz w:val="24"/>
          <w:szCs w:val="24"/>
        </w:rPr>
        <w:t>et al.</w:t>
      </w:r>
      <w:r w:rsidRPr="008B2EDF">
        <w:rPr>
          <w:rFonts w:ascii="Times New Roman" w:hAnsi="Times New Roman" w:cs="Times New Roman"/>
          <w:sz w:val="24"/>
          <w:szCs w:val="24"/>
        </w:rPr>
        <w:t>, 2019). However, a limitation of deductive reasoning is that it can constrain analysis by focusing primarily on hypothesis confirmation, potentially overlooking unexpected patterns in the data (Yuwono and Rachmawati, 2024). To address this limitation, qualitative thematic analysis was incorporated to capture emergent themes not predetermined by the hypotheses, ensuring a more balanced and exploratory dimension to the research design.</w:t>
      </w:r>
    </w:p>
    <w:p w14:paraId="4D530115" w14:textId="616C746E" w:rsidR="0064186B" w:rsidRPr="008B2EDF" w:rsidRDefault="00503C6D" w:rsidP="004F17FF">
      <w:pPr>
        <w:pStyle w:val="Heading2"/>
        <w:spacing w:line="360" w:lineRule="auto"/>
        <w:jc w:val="both"/>
        <w:rPr>
          <w:rFonts w:ascii="Times New Roman" w:hAnsi="Times New Roman" w:cs="Times New Roman"/>
          <w:sz w:val="24"/>
          <w:szCs w:val="24"/>
        </w:rPr>
      </w:pPr>
      <w:bookmarkStart w:id="17" w:name="_Toc228970933"/>
      <w:r w:rsidRPr="008B2EDF">
        <w:rPr>
          <w:rFonts w:ascii="Times New Roman" w:hAnsi="Times New Roman" w:cs="Times New Roman"/>
          <w:sz w:val="24"/>
          <w:szCs w:val="24"/>
        </w:rPr>
        <w:t>5</w:t>
      </w:r>
      <w:r w:rsidR="0064186B" w:rsidRPr="008B2EDF">
        <w:rPr>
          <w:rFonts w:ascii="Times New Roman" w:hAnsi="Times New Roman" w:cs="Times New Roman"/>
          <w:sz w:val="24"/>
          <w:szCs w:val="24"/>
        </w:rPr>
        <w:t>.2 Research Objectives and Survey Question Alignment</w:t>
      </w:r>
      <w:bookmarkEnd w:id="17"/>
    </w:p>
    <w:p w14:paraId="30F3555D" w14:textId="77777777" w:rsidR="006E65C9" w:rsidRPr="008B2EDF" w:rsidRDefault="006E65C9" w:rsidP="004F17FF">
      <w:pPr>
        <w:jc w:val="both"/>
        <w:rPr>
          <w:rFonts w:ascii="Times New Roman" w:hAnsi="Times New Roman" w:cs="Times New Roman"/>
          <w:sz w:val="24"/>
          <w:szCs w:val="24"/>
        </w:rPr>
      </w:pPr>
    </w:p>
    <w:p w14:paraId="0A5B86B8" w14:textId="5228D140" w:rsidR="006E65C9" w:rsidRPr="008B2EDF" w:rsidRDefault="006E65C9" w:rsidP="004F17FF">
      <w:pPr>
        <w:spacing w:line="360" w:lineRule="auto"/>
        <w:jc w:val="both"/>
        <w:rPr>
          <w:rFonts w:ascii="Times New Roman" w:eastAsiaTheme="majorEastAsia" w:hAnsi="Times New Roman" w:cs="Times New Roman"/>
          <w:sz w:val="24"/>
          <w:szCs w:val="24"/>
        </w:rPr>
      </w:pPr>
      <w:r w:rsidRPr="008B2EDF">
        <w:rPr>
          <w:rFonts w:ascii="Times New Roman" w:eastAsiaTheme="majorEastAsia" w:hAnsi="Times New Roman" w:cs="Times New Roman"/>
          <w:sz w:val="24"/>
          <w:szCs w:val="24"/>
        </w:rPr>
        <w:t>The questionnaire design was guided by three key theories. Human Capital Theory informed questions on promotion, training, and visibility (questions 12, 13, 16–18) as well as gendered treatment, structural constraints, and invisible labour (questions 8–11, 20, 21, 26–30). Equity Theory shaped survey items addressing fairness and recognition (questions 13–15, 19–21). Finally, Work-Life Balance Theory underpinned questions related to schedule flexibility, shift patterns, and organisational policy support (questions 22–25).</w:t>
      </w:r>
      <w:r w:rsidRPr="008B2EDF">
        <w:rPr>
          <w:rFonts w:ascii="Times New Roman" w:eastAsiaTheme="majorEastAsia" w:hAnsi="Times New Roman" w:cs="Times New Roman"/>
          <w:sz w:val="24"/>
          <w:szCs w:val="24"/>
        </w:rPr>
        <w:br/>
        <w:t>This structured alignment ensures that each survey item is directly linked to the research objectives and theoretical constructs, improving construct validity and ensuring internal consistency of the research design. The full questionnaire used in this study is included in Appendix A</w:t>
      </w:r>
      <w:r w:rsidR="00CD3B9C" w:rsidRPr="008B2EDF">
        <w:rPr>
          <w:rFonts w:ascii="Times New Roman" w:eastAsiaTheme="majorEastAsia" w:hAnsi="Times New Roman" w:cs="Times New Roman"/>
          <w:sz w:val="24"/>
          <w:szCs w:val="24"/>
        </w:rPr>
        <w:t xml:space="preserve"> and Appendix B</w:t>
      </w:r>
    </w:p>
    <w:p w14:paraId="7F2A9289" w14:textId="1E46C9BA" w:rsidR="00982908" w:rsidRPr="008B2EDF" w:rsidRDefault="00982908" w:rsidP="004F17FF">
      <w:pPr>
        <w:pStyle w:val="Heading3"/>
        <w:jc w:val="both"/>
        <w:rPr>
          <w:rFonts w:ascii="Times New Roman" w:hAnsi="Times New Roman" w:cs="Times New Roman"/>
          <w:sz w:val="24"/>
          <w:szCs w:val="24"/>
        </w:rPr>
      </w:pPr>
      <w:bookmarkStart w:id="18" w:name="_Toc228970934"/>
      <w:r w:rsidRPr="008B2EDF">
        <w:rPr>
          <w:rFonts w:ascii="Times New Roman" w:hAnsi="Times New Roman" w:cs="Times New Roman"/>
          <w:sz w:val="24"/>
          <w:szCs w:val="24"/>
        </w:rPr>
        <w:t>5.2.1 Pilot study</w:t>
      </w:r>
      <w:bookmarkEnd w:id="18"/>
      <w:r w:rsidRPr="008B2EDF">
        <w:rPr>
          <w:rFonts w:ascii="Times New Roman" w:hAnsi="Times New Roman" w:cs="Times New Roman"/>
          <w:sz w:val="24"/>
          <w:szCs w:val="24"/>
        </w:rPr>
        <w:t xml:space="preserve"> </w:t>
      </w:r>
    </w:p>
    <w:p w14:paraId="15716485" w14:textId="77777777" w:rsidR="00982908" w:rsidRPr="008B2EDF" w:rsidRDefault="00982908" w:rsidP="004F17FF">
      <w:pPr>
        <w:spacing w:line="360" w:lineRule="auto"/>
        <w:jc w:val="both"/>
        <w:rPr>
          <w:rFonts w:ascii="Times New Roman" w:hAnsi="Times New Roman" w:cs="Times New Roman"/>
          <w:sz w:val="24"/>
          <w:szCs w:val="24"/>
        </w:rPr>
      </w:pPr>
      <w:r w:rsidRPr="008B2EDF">
        <w:rPr>
          <w:rFonts w:ascii="Times New Roman" w:hAnsi="Times New Roman" w:cs="Times New Roman"/>
          <w:sz w:val="24"/>
          <w:szCs w:val="24"/>
        </w:rPr>
        <w:t>A pilot test was conducted prior to the main data collection to assess the clarity, reliability, and overall design of the questionnaire. The survey was tested with a small sample of 8 participants who met the inclusion criteria.</w:t>
      </w:r>
    </w:p>
    <w:p w14:paraId="3A2A011B" w14:textId="77777777" w:rsidR="00982908" w:rsidRPr="008B2EDF" w:rsidRDefault="00982908" w:rsidP="004F17FF">
      <w:pPr>
        <w:spacing w:line="360" w:lineRule="auto"/>
        <w:jc w:val="both"/>
        <w:rPr>
          <w:rFonts w:ascii="Times New Roman" w:hAnsi="Times New Roman" w:cs="Times New Roman"/>
          <w:sz w:val="24"/>
          <w:szCs w:val="24"/>
        </w:rPr>
      </w:pPr>
      <w:r w:rsidRPr="008B2EDF">
        <w:rPr>
          <w:rFonts w:ascii="Times New Roman" w:hAnsi="Times New Roman" w:cs="Times New Roman"/>
          <w:sz w:val="24"/>
          <w:szCs w:val="24"/>
        </w:rPr>
        <w:lastRenderedPageBreak/>
        <w:t>Feedback identified minor issues relating to question clarity and interpretation, particularly in relation to invisible labour and recognition. These questions were subsequently refined to improve clarity and reduce ambiguity.</w:t>
      </w:r>
    </w:p>
    <w:p w14:paraId="5BFD5E90" w14:textId="0F16F44E" w:rsidR="00982908" w:rsidRPr="008B2EDF" w:rsidRDefault="00982908" w:rsidP="008B2EDF">
      <w:pPr>
        <w:spacing w:line="360" w:lineRule="auto"/>
        <w:jc w:val="both"/>
        <w:rPr>
          <w:rFonts w:ascii="Times New Roman" w:hAnsi="Times New Roman" w:cs="Times New Roman"/>
          <w:sz w:val="24"/>
          <w:szCs w:val="24"/>
        </w:rPr>
      </w:pPr>
      <w:r w:rsidRPr="008B2EDF">
        <w:rPr>
          <w:rFonts w:ascii="Times New Roman" w:hAnsi="Times New Roman" w:cs="Times New Roman"/>
          <w:sz w:val="24"/>
          <w:szCs w:val="24"/>
        </w:rPr>
        <w:t xml:space="preserve">The pilot study also confirmed that the survey was appropriate in length and did not cause respondent fatigue. This step improved the reliability of the research instrument and reduced potential measurement error in the final dataset (Saunders </w:t>
      </w:r>
      <w:r w:rsidR="00570CA8" w:rsidRPr="008B2EDF">
        <w:rPr>
          <w:rFonts w:ascii="Times New Roman" w:hAnsi="Times New Roman" w:cs="Times New Roman"/>
          <w:i/>
          <w:iCs/>
          <w:sz w:val="24"/>
          <w:szCs w:val="24"/>
        </w:rPr>
        <w:t>et al.</w:t>
      </w:r>
      <w:r w:rsidRPr="008B2EDF">
        <w:rPr>
          <w:rFonts w:ascii="Times New Roman" w:hAnsi="Times New Roman" w:cs="Times New Roman"/>
          <w:sz w:val="24"/>
          <w:szCs w:val="24"/>
        </w:rPr>
        <w:t>, 2019).</w:t>
      </w:r>
      <w:r w:rsidRPr="008B2EDF">
        <w:rPr>
          <w:rFonts w:ascii="Times New Roman" w:hAnsi="Times New Roman" w:cs="Times New Roman"/>
          <w:sz w:val="24"/>
          <w:szCs w:val="24"/>
        </w:rPr>
        <w:br/>
        <w:t>The pilot study also contributed to improving face validity by ensuring that questions were interpreted consistently and were relevant to participants’ working experiences.</w:t>
      </w:r>
    </w:p>
    <w:p w14:paraId="5FD43FDE" w14:textId="6D3C281F" w:rsidR="00070BC2" w:rsidRPr="008B2EDF" w:rsidRDefault="00503C6D" w:rsidP="004F17FF">
      <w:pPr>
        <w:pStyle w:val="Heading2"/>
        <w:spacing w:line="360" w:lineRule="auto"/>
        <w:jc w:val="both"/>
        <w:rPr>
          <w:rFonts w:ascii="Times New Roman" w:hAnsi="Times New Roman" w:cs="Times New Roman"/>
          <w:sz w:val="24"/>
          <w:szCs w:val="24"/>
        </w:rPr>
      </w:pPr>
      <w:bookmarkStart w:id="19" w:name="_Toc228970935"/>
      <w:r w:rsidRPr="008B2EDF">
        <w:rPr>
          <w:rFonts w:ascii="Times New Roman" w:hAnsi="Times New Roman" w:cs="Times New Roman"/>
          <w:sz w:val="24"/>
          <w:szCs w:val="24"/>
        </w:rPr>
        <w:t>5</w:t>
      </w:r>
      <w:r w:rsidR="0064186B" w:rsidRPr="008B2EDF">
        <w:rPr>
          <w:rFonts w:ascii="Times New Roman" w:hAnsi="Times New Roman" w:cs="Times New Roman"/>
          <w:sz w:val="24"/>
          <w:szCs w:val="24"/>
        </w:rPr>
        <w:t>.3 Survey Structure and Justification</w:t>
      </w:r>
      <w:bookmarkEnd w:id="19"/>
    </w:p>
    <w:p w14:paraId="52A1AD53" w14:textId="77777777" w:rsidR="00982908" w:rsidRPr="008B2EDF" w:rsidRDefault="00982908" w:rsidP="004F17FF">
      <w:pPr>
        <w:spacing w:line="360" w:lineRule="auto"/>
        <w:jc w:val="both"/>
        <w:rPr>
          <w:rFonts w:ascii="Times New Roman" w:hAnsi="Times New Roman" w:cs="Times New Roman"/>
          <w:sz w:val="24"/>
          <w:szCs w:val="24"/>
        </w:rPr>
      </w:pPr>
      <w:r w:rsidRPr="008B2EDF">
        <w:rPr>
          <w:rFonts w:ascii="Times New Roman" w:hAnsi="Times New Roman" w:cs="Times New Roman"/>
          <w:sz w:val="24"/>
          <w:szCs w:val="24"/>
        </w:rPr>
        <w:t>The widespread use of mobile technologies and online platforms has made online surveys an effective tool for studying both large, potentially representative populations and more targeted groups (see Table 1). According to Stantcheva (2022), online surveys are highly flexible and can be designed to be engaging and interactive for participants. They also enable researchers to collect data efficiently at scale and to explore emerging research questions while gaining insight into participants’ perceptions and experiences.</w:t>
      </w:r>
    </w:p>
    <w:p w14:paraId="1F831D39" w14:textId="77777777" w:rsidR="00982908" w:rsidRPr="008B2EDF" w:rsidRDefault="00982908" w:rsidP="004F17FF">
      <w:pPr>
        <w:spacing w:line="360" w:lineRule="auto"/>
        <w:jc w:val="both"/>
        <w:rPr>
          <w:rFonts w:ascii="Times New Roman" w:hAnsi="Times New Roman" w:cs="Times New Roman"/>
          <w:sz w:val="24"/>
          <w:szCs w:val="24"/>
        </w:rPr>
      </w:pPr>
      <w:r w:rsidRPr="008B2EDF">
        <w:rPr>
          <w:rFonts w:ascii="Times New Roman" w:hAnsi="Times New Roman" w:cs="Times New Roman"/>
          <w:sz w:val="24"/>
          <w:szCs w:val="24"/>
        </w:rPr>
        <w:t>Conversely, David (2024) notes that surveys can be constrained by limited response options and may suffer from lower response rates, which can affect data completeness and representativeness. In this study, although the target sample size was between 100–150 respondents, a total of 120 valid responses were obtained, which remains sufficient for statistical analysis but should be considered when interpreting generalisability.</w:t>
      </w:r>
    </w:p>
    <w:p w14:paraId="0404E5E8" w14:textId="77777777" w:rsidR="00982908" w:rsidRPr="008B2EDF" w:rsidRDefault="00982908" w:rsidP="004F17FF">
      <w:pPr>
        <w:spacing w:line="360" w:lineRule="auto"/>
        <w:jc w:val="both"/>
        <w:rPr>
          <w:rFonts w:ascii="Times New Roman" w:hAnsi="Times New Roman" w:cs="Times New Roman"/>
          <w:sz w:val="24"/>
          <w:szCs w:val="24"/>
        </w:rPr>
      </w:pPr>
      <w:r w:rsidRPr="008B2EDF">
        <w:rPr>
          <w:rFonts w:ascii="Times New Roman" w:hAnsi="Times New Roman" w:cs="Times New Roman"/>
          <w:sz w:val="24"/>
          <w:szCs w:val="24"/>
        </w:rPr>
        <w:t xml:space="preserve">To ensure methodological coherence, the survey design was systematically mapped to the study’s theoretical framework and research objectives. Each section operationalises key constructs derived from Human Capital Theory, Equity Theory, and Work–Life Balance Theory. This structured alignment strengthens </w:t>
      </w:r>
      <w:r w:rsidRPr="008B2EDF">
        <w:rPr>
          <w:rFonts w:ascii="Times New Roman" w:hAnsi="Times New Roman" w:cs="Times New Roman"/>
          <w:b/>
          <w:bCs/>
          <w:sz w:val="24"/>
          <w:szCs w:val="24"/>
        </w:rPr>
        <w:t>content validity and construct validity</w:t>
      </w:r>
      <w:r w:rsidRPr="008B2EDF">
        <w:rPr>
          <w:rFonts w:ascii="Times New Roman" w:hAnsi="Times New Roman" w:cs="Times New Roman"/>
          <w:sz w:val="24"/>
          <w:szCs w:val="24"/>
        </w:rPr>
        <w:t>, ensuring that all survey items measure relevant theoretical concepts and directly address the research aims.</w:t>
      </w:r>
    </w:p>
    <w:p w14:paraId="2BE5EA9D" w14:textId="77777777" w:rsidR="00070BC2" w:rsidRPr="008B2EDF" w:rsidRDefault="00070BC2" w:rsidP="004F17FF">
      <w:pPr>
        <w:spacing w:line="360" w:lineRule="auto"/>
        <w:jc w:val="both"/>
        <w:rPr>
          <w:rFonts w:ascii="Times New Roman" w:hAnsi="Times New Roman" w:cs="Times New Roman"/>
          <w:sz w:val="24"/>
          <w:szCs w:val="24"/>
        </w:rPr>
      </w:pPr>
    </w:p>
    <w:tbl>
      <w:tblPr>
        <w:tblStyle w:val="TableGrid"/>
        <w:tblW w:w="9170" w:type="dxa"/>
        <w:tblLook w:val="04A0" w:firstRow="1" w:lastRow="0" w:firstColumn="1" w:lastColumn="0" w:noHBand="0" w:noVBand="1"/>
      </w:tblPr>
      <w:tblGrid>
        <w:gridCol w:w="2317"/>
        <w:gridCol w:w="2094"/>
        <w:gridCol w:w="2050"/>
        <w:gridCol w:w="2709"/>
      </w:tblGrid>
      <w:tr w:rsidR="00070BC2" w:rsidRPr="008B2EDF" w14:paraId="34EE0ECA" w14:textId="77777777" w:rsidTr="00222589">
        <w:trPr>
          <w:trHeight w:val="551"/>
        </w:trPr>
        <w:tc>
          <w:tcPr>
            <w:tcW w:w="0" w:type="auto"/>
            <w:hideMark/>
          </w:tcPr>
          <w:p w14:paraId="3FE74E09" w14:textId="77777777" w:rsidR="00070BC2" w:rsidRPr="008B2EDF" w:rsidRDefault="00070BC2" w:rsidP="004F17FF">
            <w:pPr>
              <w:spacing w:after="80" w:line="360" w:lineRule="auto"/>
              <w:jc w:val="both"/>
              <w:rPr>
                <w:rFonts w:ascii="Times New Roman" w:hAnsi="Times New Roman" w:cs="Times New Roman"/>
                <w:b/>
                <w:bCs/>
                <w:sz w:val="24"/>
                <w:szCs w:val="24"/>
              </w:rPr>
            </w:pPr>
            <w:r w:rsidRPr="008B2EDF">
              <w:rPr>
                <w:rFonts w:ascii="Times New Roman" w:hAnsi="Times New Roman" w:cs="Times New Roman"/>
                <w:b/>
                <w:bCs/>
                <w:sz w:val="24"/>
                <w:szCs w:val="24"/>
              </w:rPr>
              <w:t>Section</w:t>
            </w:r>
          </w:p>
        </w:tc>
        <w:tc>
          <w:tcPr>
            <w:tcW w:w="0" w:type="auto"/>
            <w:hideMark/>
          </w:tcPr>
          <w:p w14:paraId="27A97F5F" w14:textId="77777777" w:rsidR="00070BC2" w:rsidRPr="008B2EDF" w:rsidRDefault="00070BC2" w:rsidP="004F17FF">
            <w:pPr>
              <w:spacing w:after="80" w:line="360" w:lineRule="auto"/>
              <w:jc w:val="both"/>
              <w:rPr>
                <w:rFonts w:ascii="Times New Roman" w:hAnsi="Times New Roman" w:cs="Times New Roman"/>
                <w:b/>
                <w:bCs/>
                <w:sz w:val="24"/>
                <w:szCs w:val="24"/>
              </w:rPr>
            </w:pPr>
            <w:r w:rsidRPr="008B2EDF">
              <w:rPr>
                <w:rFonts w:ascii="Times New Roman" w:hAnsi="Times New Roman" w:cs="Times New Roman"/>
                <w:b/>
                <w:bCs/>
                <w:sz w:val="24"/>
                <w:szCs w:val="24"/>
              </w:rPr>
              <w:t>Theory/Concept</w:t>
            </w:r>
          </w:p>
        </w:tc>
        <w:tc>
          <w:tcPr>
            <w:tcW w:w="0" w:type="auto"/>
            <w:hideMark/>
          </w:tcPr>
          <w:p w14:paraId="2C8819A8" w14:textId="77777777" w:rsidR="00070BC2" w:rsidRPr="008B2EDF" w:rsidRDefault="00070BC2" w:rsidP="004F17FF">
            <w:pPr>
              <w:spacing w:after="80" w:line="360" w:lineRule="auto"/>
              <w:jc w:val="both"/>
              <w:rPr>
                <w:rFonts w:ascii="Times New Roman" w:hAnsi="Times New Roman" w:cs="Times New Roman"/>
                <w:b/>
                <w:bCs/>
                <w:sz w:val="24"/>
                <w:szCs w:val="24"/>
              </w:rPr>
            </w:pPr>
            <w:r w:rsidRPr="008B2EDF">
              <w:rPr>
                <w:rFonts w:ascii="Times New Roman" w:hAnsi="Times New Roman" w:cs="Times New Roman"/>
                <w:b/>
                <w:bCs/>
                <w:sz w:val="24"/>
                <w:szCs w:val="24"/>
              </w:rPr>
              <w:t>Research Focus / Question</w:t>
            </w:r>
          </w:p>
        </w:tc>
        <w:tc>
          <w:tcPr>
            <w:tcW w:w="2709" w:type="dxa"/>
            <w:hideMark/>
          </w:tcPr>
          <w:p w14:paraId="7C4D1A12" w14:textId="77777777" w:rsidR="00070BC2" w:rsidRPr="008B2EDF" w:rsidRDefault="00070BC2" w:rsidP="004F17FF">
            <w:pPr>
              <w:spacing w:after="80" w:line="360" w:lineRule="auto"/>
              <w:jc w:val="both"/>
              <w:rPr>
                <w:rFonts w:ascii="Times New Roman" w:hAnsi="Times New Roman" w:cs="Times New Roman"/>
                <w:b/>
                <w:bCs/>
                <w:sz w:val="24"/>
                <w:szCs w:val="24"/>
              </w:rPr>
            </w:pPr>
            <w:r w:rsidRPr="008B2EDF">
              <w:rPr>
                <w:rFonts w:ascii="Times New Roman" w:hAnsi="Times New Roman" w:cs="Times New Roman"/>
                <w:b/>
                <w:bCs/>
                <w:sz w:val="24"/>
                <w:szCs w:val="24"/>
              </w:rPr>
              <w:t>Example Survey Items</w:t>
            </w:r>
          </w:p>
        </w:tc>
      </w:tr>
      <w:tr w:rsidR="00070BC2" w:rsidRPr="008B2EDF" w14:paraId="282A9C0E" w14:textId="77777777" w:rsidTr="00222589">
        <w:trPr>
          <w:trHeight w:val="1997"/>
        </w:trPr>
        <w:tc>
          <w:tcPr>
            <w:tcW w:w="0" w:type="auto"/>
            <w:hideMark/>
          </w:tcPr>
          <w:p w14:paraId="2BBA24BD" w14:textId="77777777" w:rsidR="00070BC2" w:rsidRPr="008B2EDF" w:rsidRDefault="00070BC2" w:rsidP="004F17FF">
            <w:pPr>
              <w:spacing w:after="80" w:line="360" w:lineRule="auto"/>
              <w:jc w:val="both"/>
              <w:rPr>
                <w:rFonts w:ascii="Times New Roman" w:hAnsi="Times New Roman" w:cs="Times New Roman"/>
                <w:sz w:val="24"/>
                <w:szCs w:val="24"/>
              </w:rPr>
            </w:pPr>
            <w:r w:rsidRPr="008B2EDF">
              <w:rPr>
                <w:rFonts w:ascii="Times New Roman" w:hAnsi="Times New Roman" w:cs="Times New Roman"/>
                <w:b/>
                <w:bCs/>
                <w:sz w:val="24"/>
                <w:szCs w:val="24"/>
              </w:rPr>
              <w:lastRenderedPageBreak/>
              <w:t>Demographics (Q1–Q7)</w:t>
            </w:r>
          </w:p>
        </w:tc>
        <w:tc>
          <w:tcPr>
            <w:tcW w:w="0" w:type="auto"/>
            <w:hideMark/>
          </w:tcPr>
          <w:p w14:paraId="1F2039D5" w14:textId="77777777" w:rsidR="00070BC2" w:rsidRPr="008B2EDF" w:rsidRDefault="00070BC2" w:rsidP="004F17FF">
            <w:pPr>
              <w:spacing w:after="80" w:line="360" w:lineRule="auto"/>
              <w:jc w:val="both"/>
              <w:rPr>
                <w:rFonts w:ascii="Times New Roman" w:hAnsi="Times New Roman" w:cs="Times New Roman"/>
                <w:sz w:val="24"/>
                <w:szCs w:val="24"/>
              </w:rPr>
            </w:pPr>
            <w:r w:rsidRPr="008B2EDF">
              <w:rPr>
                <w:rFonts w:ascii="Times New Roman" w:hAnsi="Times New Roman" w:cs="Times New Roman"/>
                <w:sz w:val="24"/>
                <w:szCs w:val="24"/>
              </w:rPr>
              <w:t>Contextual / Background</w:t>
            </w:r>
          </w:p>
        </w:tc>
        <w:tc>
          <w:tcPr>
            <w:tcW w:w="0" w:type="auto"/>
            <w:hideMark/>
          </w:tcPr>
          <w:p w14:paraId="32576BAF" w14:textId="77777777" w:rsidR="00070BC2" w:rsidRPr="008B2EDF" w:rsidRDefault="00070BC2" w:rsidP="004F17FF">
            <w:pPr>
              <w:spacing w:after="80" w:line="360" w:lineRule="auto"/>
              <w:jc w:val="both"/>
              <w:rPr>
                <w:rFonts w:ascii="Times New Roman" w:hAnsi="Times New Roman" w:cs="Times New Roman"/>
                <w:sz w:val="24"/>
                <w:szCs w:val="24"/>
              </w:rPr>
            </w:pPr>
            <w:r w:rsidRPr="008B2EDF">
              <w:rPr>
                <w:rFonts w:ascii="Times New Roman" w:hAnsi="Times New Roman" w:cs="Times New Roman"/>
                <w:sz w:val="24"/>
                <w:szCs w:val="24"/>
              </w:rPr>
              <w:t>Examine correlations between background variables (age, hours, tenure) and experiences in part-time work</w:t>
            </w:r>
          </w:p>
        </w:tc>
        <w:tc>
          <w:tcPr>
            <w:tcW w:w="2709" w:type="dxa"/>
            <w:hideMark/>
          </w:tcPr>
          <w:p w14:paraId="5ECAE11A" w14:textId="77777777" w:rsidR="00070BC2" w:rsidRPr="008B2EDF" w:rsidRDefault="00070BC2" w:rsidP="004F17FF">
            <w:pPr>
              <w:spacing w:after="80" w:line="360" w:lineRule="auto"/>
              <w:jc w:val="both"/>
              <w:rPr>
                <w:rFonts w:ascii="Times New Roman" w:hAnsi="Times New Roman" w:cs="Times New Roman"/>
                <w:sz w:val="24"/>
                <w:szCs w:val="24"/>
              </w:rPr>
            </w:pPr>
            <w:r w:rsidRPr="008B2EDF">
              <w:rPr>
                <w:rFonts w:ascii="Times New Roman" w:hAnsi="Times New Roman" w:cs="Times New Roman"/>
                <w:sz w:val="24"/>
                <w:szCs w:val="24"/>
              </w:rPr>
              <w:t>Age group, weekly hours, tenure, job title</w:t>
            </w:r>
          </w:p>
        </w:tc>
      </w:tr>
      <w:tr w:rsidR="00070BC2" w:rsidRPr="008B2EDF" w14:paraId="2BF370EB" w14:textId="77777777" w:rsidTr="00222589">
        <w:trPr>
          <w:trHeight w:val="1511"/>
        </w:trPr>
        <w:tc>
          <w:tcPr>
            <w:tcW w:w="0" w:type="auto"/>
            <w:hideMark/>
          </w:tcPr>
          <w:p w14:paraId="05B1975C" w14:textId="77777777" w:rsidR="00070BC2" w:rsidRPr="008B2EDF" w:rsidRDefault="00070BC2" w:rsidP="004F17FF">
            <w:pPr>
              <w:spacing w:after="80" w:line="360" w:lineRule="auto"/>
              <w:jc w:val="both"/>
              <w:rPr>
                <w:rFonts w:ascii="Times New Roman" w:hAnsi="Times New Roman" w:cs="Times New Roman"/>
                <w:sz w:val="24"/>
                <w:szCs w:val="24"/>
              </w:rPr>
            </w:pPr>
            <w:r w:rsidRPr="008B2EDF">
              <w:rPr>
                <w:rFonts w:ascii="Times New Roman" w:hAnsi="Times New Roman" w:cs="Times New Roman"/>
                <w:b/>
                <w:bCs/>
                <w:sz w:val="24"/>
                <w:szCs w:val="24"/>
              </w:rPr>
              <w:t>Invisible Labour (Q8–Q11)</w:t>
            </w:r>
          </w:p>
        </w:tc>
        <w:tc>
          <w:tcPr>
            <w:tcW w:w="0" w:type="auto"/>
            <w:hideMark/>
          </w:tcPr>
          <w:p w14:paraId="090868D6" w14:textId="77777777" w:rsidR="00070BC2" w:rsidRPr="008B2EDF" w:rsidRDefault="00070BC2" w:rsidP="004F17FF">
            <w:pPr>
              <w:spacing w:after="80" w:line="360" w:lineRule="auto"/>
              <w:jc w:val="both"/>
              <w:rPr>
                <w:rFonts w:ascii="Times New Roman" w:hAnsi="Times New Roman" w:cs="Times New Roman"/>
                <w:sz w:val="24"/>
                <w:szCs w:val="24"/>
              </w:rPr>
            </w:pPr>
            <w:r w:rsidRPr="008B2EDF">
              <w:rPr>
                <w:rFonts w:ascii="Times New Roman" w:hAnsi="Times New Roman" w:cs="Times New Roman"/>
                <w:sz w:val="24"/>
                <w:szCs w:val="24"/>
              </w:rPr>
              <w:t>Human Capital Theory</w:t>
            </w:r>
          </w:p>
        </w:tc>
        <w:tc>
          <w:tcPr>
            <w:tcW w:w="0" w:type="auto"/>
            <w:hideMark/>
          </w:tcPr>
          <w:p w14:paraId="22AA8700" w14:textId="77777777" w:rsidR="00070BC2" w:rsidRPr="008B2EDF" w:rsidRDefault="00070BC2" w:rsidP="004F17FF">
            <w:pPr>
              <w:spacing w:after="80" w:line="360" w:lineRule="auto"/>
              <w:jc w:val="both"/>
              <w:rPr>
                <w:rFonts w:ascii="Times New Roman" w:hAnsi="Times New Roman" w:cs="Times New Roman"/>
                <w:sz w:val="24"/>
                <w:szCs w:val="24"/>
              </w:rPr>
            </w:pPr>
            <w:r w:rsidRPr="008B2EDF">
              <w:rPr>
                <w:rFonts w:ascii="Times New Roman" w:hAnsi="Times New Roman" w:cs="Times New Roman"/>
                <w:sz w:val="24"/>
                <w:szCs w:val="24"/>
              </w:rPr>
              <w:t>Identify unrecognised duties and whether supervisors value them</w:t>
            </w:r>
          </w:p>
        </w:tc>
        <w:tc>
          <w:tcPr>
            <w:tcW w:w="2709" w:type="dxa"/>
            <w:hideMark/>
          </w:tcPr>
          <w:p w14:paraId="0309D9C1" w14:textId="77777777" w:rsidR="00070BC2" w:rsidRPr="008B2EDF" w:rsidRDefault="00070BC2" w:rsidP="004F17FF">
            <w:pPr>
              <w:spacing w:after="80" w:line="360" w:lineRule="auto"/>
              <w:jc w:val="both"/>
              <w:rPr>
                <w:rFonts w:ascii="Times New Roman" w:hAnsi="Times New Roman" w:cs="Times New Roman"/>
                <w:sz w:val="24"/>
                <w:szCs w:val="24"/>
              </w:rPr>
            </w:pPr>
            <w:r w:rsidRPr="008B2EDF">
              <w:rPr>
                <w:rFonts w:ascii="Times New Roman" w:hAnsi="Times New Roman" w:cs="Times New Roman"/>
                <w:sz w:val="24"/>
                <w:szCs w:val="24"/>
              </w:rPr>
              <w:t>Are additional tasks you perform acknowledged by your supervisor? Do you perform emotional labour that goes unrecognised?</w:t>
            </w:r>
          </w:p>
        </w:tc>
      </w:tr>
      <w:tr w:rsidR="00070BC2" w:rsidRPr="008B2EDF" w14:paraId="05F128B6" w14:textId="77777777" w:rsidTr="00222589">
        <w:trPr>
          <w:trHeight w:val="1760"/>
        </w:trPr>
        <w:tc>
          <w:tcPr>
            <w:tcW w:w="0" w:type="auto"/>
            <w:hideMark/>
          </w:tcPr>
          <w:p w14:paraId="353FBCDE" w14:textId="77777777" w:rsidR="00070BC2" w:rsidRPr="008B2EDF" w:rsidRDefault="00070BC2" w:rsidP="004F17FF">
            <w:pPr>
              <w:spacing w:after="80" w:line="360" w:lineRule="auto"/>
              <w:jc w:val="both"/>
              <w:rPr>
                <w:rFonts w:ascii="Times New Roman" w:hAnsi="Times New Roman" w:cs="Times New Roman"/>
                <w:sz w:val="24"/>
                <w:szCs w:val="24"/>
              </w:rPr>
            </w:pPr>
            <w:r w:rsidRPr="008B2EDF">
              <w:rPr>
                <w:rFonts w:ascii="Times New Roman" w:hAnsi="Times New Roman" w:cs="Times New Roman"/>
                <w:b/>
                <w:bCs/>
                <w:sz w:val="24"/>
                <w:szCs w:val="24"/>
              </w:rPr>
              <w:t>Performance Evaluation &amp; Recognition (Q12–Q18)</w:t>
            </w:r>
          </w:p>
        </w:tc>
        <w:tc>
          <w:tcPr>
            <w:tcW w:w="0" w:type="auto"/>
            <w:hideMark/>
          </w:tcPr>
          <w:p w14:paraId="693D64CA" w14:textId="77777777" w:rsidR="00070BC2" w:rsidRPr="008B2EDF" w:rsidRDefault="00070BC2" w:rsidP="004F17FF">
            <w:pPr>
              <w:spacing w:after="80" w:line="360" w:lineRule="auto"/>
              <w:jc w:val="both"/>
              <w:rPr>
                <w:rFonts w:ascii="Times New Roman" w:hAnsi="Times New Roman" w:cs="Times New Roman"/>
                <w:sz w:val="24"/>
                <w:szCs w:val="24"/>
              </w:rPr>
            </w:pPr>
            <w:r w:rsidRPr="008B2EDF">
              <w:rPr>
                <w:rFonts w:ascii="Times New Roman" w:hAnsi="Times New Roman" w:cs="Times New Roman"/>
                <w:sz w:val="24"/>
                <w:szCs w:val="24"/>
              </w:rPr>
              <w:t>Human Capital Theory &amp; Equity Theory</w:t>
            </w:r>
          </w:p>
        </w:tc>
        <w:tc>
          <w:tcPr>
            <w:tcW w:w="0" w:type="auto"/>
            <w:hideMark/>
          </w:tcPr>
          <w:p w14:paraId="735098E8" w14:textId="77777777" w:rsidR="00070BC2" w:rsidRPr="008B2EDF" w:rsidRDefault="00070BC2" w:rsidP="004F17FF">
            <w:pPr>
              <w:spacing w:after="80" w:line="360" w:lineRule="auto"/>
              <w:jc w:val="both"/>
              <w:rPr>
                <w:rFonts w:ascii="Times New Roman" w:hAnsi="Times New Roman" w:cs="Times New Roman"/>
                <w:sz w:val="24"/>
                <w:szCs w:val="24"/>
              </w:rPr>
            </w:pPr>
            <w:r w:rsidRPr="008B2EDF">
              <w:rPr>
                <w:rFonts w:ascii="Times New Roman" w:hAnsi="Times New Roman" w:cs="Times New Roman"/>
                <w:sz w:val="24"/>
                <w:szCs w:val="24"/>
              </w:rPr>
              <w:t>Assess fairness of evaluations, impact of part-time status on recognition and advancement</w:t>
            </w:r>
          </w:p>
        </w:tc>
        <w:tc>
          <w:tcPr>
            <w:tcW w:w="2709" w:type="dxa"/>
            <w:hideMark/>
          </w:tcPr>
          <w:p w14:paraId="76070253" w14:textId="77777777" w:rsidR="00070BC2" w:rsidRPr="008B2EDF" w:rsidRDefault="00070BC2" w:rsidP="004F17FF">
            <w:pPr>
              <w:spacing w:after="80" w:line="360" w:lineRule="auto"/>
              <w:jc w:val="both"/>
              <w:rPr>
                <w:rFonts w:ascii="Times New Roman" w:hAnsi="Times New Roman" w:cs="Times New Roman"/>
                <w:sz w:val="24"/>
                <w:szCs w:val="24"/>
              </w:rPr>
            </w:pPr>
            <w:r w:rsidRPr="008B2EDF">
              <w:rPr>
                <w:rFonts w:ascii="Times New Roman" w:hAnsi="Times New Roman" w:cs="Times New Roman"/>
                <w:sz w:val="24"/>
                <w:szCs w:val="24"/>
              </w:rPr>
              <w:t>How often do you receive formal performance reviews? Do you feel your contributions are valued equally to full-time colleagues?</w:t>
            </w:r>
          </w:p>
        </w:tc>
      </w:tr>
      <w:tr w:rsidR="00070BC2" w:rsidRPr="008B2EDF" w14:paraId="2B6EF68D" w14:textId="77777777" w:rsidTr="00222589">
        <w:trPr>
          <w:trHeight w:val="1524"/>
        </w:trPr>
        <w:tc>
          <w:tcPr>
            <w:tcW w:w="0" w:type="auto"/>
            <w:hideMark/>
          </w:tcPr>
          <w:p w14:paraId="0FB379A7" w14:textId="77777777" w:rsidR="00070BC2" w:rsidRPr="008B2EDF" w:rsidRDefault="00070BC2" w:rsidP="004F17FF">
            <w:pPr>
              <w:spacing w:after="80" w:line="360" w:lineRule="auto"/>
              <w:jc w:val="both"/>
              <w:rPr>
                <w:rFonts w:ascii="Times New Roman" w:hAnsi="Times New Roman" w:cs="Times New Roman"/>
                <w:sz w:val="24"/>
                <w:szCs w:val="24"/>
              </w:rPr>
            </w:pPr>
            <w:r w:rsidRPr="008B2EDF">
              <w:rPr>
                <w:rFonts w:ascii="Times New Roman" w:hAnsi="Times New Roman" w:cs="Times New Roman"/>
                <w:b/>
                <w:bCs/>
                <w:sz w:val="24"/>
                <w:szCs w:val="24"/>
              </w:rPr>
              <w:t>Workplace Structures &amp; Barriers (Q19–Q26)</w:t>
            </w:r>
          </w:p>
        </w:tc>
        <w:tc>
          <w:tcPr>
            <w:tcW w:w="0" w:type="auto"/>
            <w:hideMark/>
          </w:tcPr>
          <w:p w14:paraId="734EC399" w14:textId="77777777" w:rsidR="00070BC2" w:rsidRPr="008B2EDF" w:rsidRDefault="00070BC2" w:rsidP="004F17FF">
            <w:pPr>
              <w:spacing w:after="80" w:line="360" w:lineRule="auto"/>
              <w:jc w:val="both"/>
              <w:rPr>
                <w:rFonts w:ascii="Times New Roman" w:hAnsi="Times New Roman" w:cs="Times New Roman"/>
                <w:sz w:val="24"/>
                <w:szCs w:val="24"/>
              </w:rPr>
            </w:pPr>
            <w:r w:rsidRPr="008B2EDF">
              <w:rPr>
                <w:rFonts w:ascii="Times New Roman" w:hAnsi="Times New Roman" w:cs="Times New Roman"/>
                <w:sz w:val="24"/>
                <w:szCs w:val="24"/>
              </w:rPr>
              <w:t>Work-Life Balance Theory / Gendered Organisations</w:t>
            </w:r>
          </w:p>
        </w:tc>
        <w:tc>
          <w:tcPr>
            <w:tcW w:w="0" w:type="auto"/>
            <w:hideMark/>
          </w:tcPr>
          <w:p w14:paraId="2FB2ACCF" w14:textId="77777777" w:rsidR="00070BC2" w:rsidRPr="008B2EDF" w:rsidRDefault="00070BC2" w:rsidP="004F17FF">
            <w:pPr>
              <w:spacing w:after="80" w:line="360" w:lineRule="auto"/>
              <w:jc w:val="both"/>
              <w:rPr>
                <w:rFonts w:ascii="Times New Roman" w:hAnsi="Times New Roman" w:cs="Times New Roman"/>
                <w:sz w:val="24"/>
                <w:szCs w:val="24"/>
              </w:rPr>
            </w:pPr>
            <w:r w:rsidRPr="008B2EDF">
              <w:rPr>
                <w:rFonts w:ascii="Times New Roman" w:hAnsi="Times New Roman" w:cs="Times New Roman"/>
                <w:sz w:val="24"/>
                <w:szCs w:val="24"/>
              </w:rPr>
              <w:t>Explore structural barriers, satisfaction with policies, shift patterns, and flexibility</w:t>
            </w:r>
          </w:p>
        </w:tc>
        <w:tc>
          <w:tcPr>
            <w:tcW w:w="2709" w:type="dxa"/>
            <w:hideMark/>
          </w:tcPr>
          <w:p w14:paraId="749C4E26" w14:textId="77777777" w:rsidR="00070BC2" w:rsidRPr="008B2EDF" w:rsidRDefault="00070BC2" w:rsidP="004F17FF">
            <w:pPr>
              <w:spacing w:after="80" w:line="360" w:lineRule="auto"/>
              <w:jc w:val="both"/>
              <w:rPr>
                <w:rFonts w:ascii="Times New Roman" w:hAnsi="Times New Roman" w:cs="Times New Roman"/>
                <w:sz w:val="24"/>
                <w:szCs w:val="24"/>
              </w:rPr>
            </w:pPr>
            <w:r w:rsidRPr="008B2EDF">
              <w:rPr>
                <w:rFonts w:ascii="Times New Roman" w:hAnsi="Times New Roman" w:cs="Times New Roman"/>
                <w:sz w:val="24"/>
                <w:szCs w:val="24"/>
              </w:rPr>
              <w:t>Does your schedule accommodate your caregiving responsibilities?</w:t>
            </w:r>
          </w:p>
        </w:tc>
      </w:tr>
      <w:tr w:rsidR="00070BC2" w:rsidRPr="008B2EDF" w14:paraId="3892A065" w14:textId="77777777" w:rsidTr="00222589">
        <w:trPr>
          <w:trHeight w:val="1511"/>
        </w:trPr>
        <w:tc>
          <w:tcPr>
            <w:tcW w:w="0" w:type="auto"/>
            <w:hideMark/>
          </w:tcPr>
          <w:p w14:paraId="5AF544AE" w14:textId="77777777" w:rsidR="00070BC2" w:rsidRPr="008B2EDF" w:rsidRDefault="00070BC2" w:rsidP="004F17FF">
            <w:pPr>
              <w:spacing w:after="80" w:line="360" w:lineRule="auto"/>
              <w:jc w:val="both"/>
              <w:rPr>
                <w:rFonts w:ascii="Times New Roman" w:hAnsi="Times New Roman" w:cs="Times New Roman"/>
                <w:sz w:val="24"/>
                <w:szCs w:val="24"/>
              </w:rPr>
            </w:pPr>
            <w:r w:rsidRPr="008B2EDF">
              <w:rPr>
                <w:rFonts w:ascii="Times New Roman" w:hAnsi="Times New Roman" w:cs="Times New Roman"/>
                <w:b/>
                <w:bCs/>
                <w:sz w:val="24"/>
                <w:szCs w:val="24"/>
              </w:rPr>
              <w:t>Equity Strategies &amp; Recommendations (Q27–Q30)</w:t>
            </w:r>
          </w:p>
        </w:tc>
        <w:tc>
          <w:tcPr>
            <w:tcW w:w="0" w:type="auto"/>
            <w:hideMark/>
          </w:tcPr>
          <w:p w14:paraId="0E58AFAA" w14:textId="77777777" w:rsidR="00070BC2" w:rsidRPr="008B2EDF" w:rsidRDefault="00070BC2" w:rsidP="004F17FF">
            <w:pPr>
              <w:spacing w:after="80" w:line="360" w:lineRule="auto"/>
              <w:jc w:val="both"/>
              <w:rPr>
                <w:rFonts w:ascii="Times New Roman" w:hAnsi="Times New Roman" w:cs="Times New Roman"/>
                <w:sz w:val="24"/>
                <w:szCs w:val="24"/>
              </w:rPr>
            </w:pPr>
            <w:r w:rsidRPr="008B2EDF">
              <w:rPr>
                <w:rFonts w:ascii="Times New Roman" w:hAnsi="Times New Roman" w:cs="Times New Roman"/>
                <w:sz w:val="24"/>
                <w:szCs w:val="24"/>
              </w:rPr>
              <w:t>Equity Theory / Policy Implications</w:t>
            </w:r>
          </w:p>
        </w:tc>
        <w:tc>
          <w:tcPr>
            <w:tcW w:w="0" w:type="auto"/>
            <w:hideMark/>
          </w:tcPr>
          <w:p w14:paraId="7B57C82C" w14:textId="77777777" w:rsidR="00070BC2" w:rsidRPr="008B2EDF" w:rsidRDefault="00070BC2" w:rsidP="004F17FF">
            <w:pPr>
              <w:spacing w:after="80" w:line="360" w:lineRule="auto"/>
              <w:jc w:val="both"/>
              <w:rPr>
                <w:rFonts w:ascii="Times New Roman" w:hAnsi="Times New Roman" w:cs="Times New Roman"/>
                <w:sz w:val="24"/>
                <w:szCs w:val="24"/>
              </w:rPr>
            </w:pPr>
            <w:r w:rsidRPr="008B2EDF">
              <w:rPr>
                <w:rFonts w:ascii="Times New Roman" w:hAnsi="Times New Roman" w:cs="Times New Roman"/>
                <w:sz w:val="24"/>
                <w:szCs w:val="24"/>
              </w:rPr>
              <w:t>Capture participant suggestions for improving equity, recognition, and support</w:t>
            </w:r>
          </w:p>
        </w:tc>
        <w:tc>
          <w:tcPr>
            <w:tcW w:w="2709" w:type="dxa"/>
            <w:hideMark/>
          </w:tcPr>
          <w:p w14:paraId="71A741C2" w14:textId="77777777" w:rsidR="00070BC2" w:rsidRPr="008B2EDF" w:rsidRDefault="00070BC2" w:rsidP="004F17FF">
            <w:pPr>
              <w:keepNext/>
              <w:spacing w:after="80" w:line="360" w:lineRule="auto"/>
              <w:jc w:val="both"/>
              <w:rPr>
                <w:rFonts w:ascii="Times New Roman" w:hAnsi="Times New Roman" w:cs="Times New Roman"/>
                <w:sz w:val="24"/>
                <w:szCs w:val="24"/>
              </w:rPr>
            </w:pPr>
            <w:r w:rsidRPr="008B2EDF">
              <w:rPr>
                <w:rFonts w:ascii="Times New Roman" w:hAnsi="Times New Roman" w:cs="Times New Roman"/>
                <w:sz w:val="24"/>
                <w:szCs w:val="24"/>
              </w:rPr>
              <w:t>Open-ended: What changes would improve your experience as a part-time worker? How could your contributions be better recognised?</w:t>
            </w:r>
          </w:p>
        </w:tc>
      </w:tr>
    </w:tbl>
    <w:p w14:paraId="62EBAB96" w14:textId="0F7BECFF" w:rsidR="00E71800" w:rsidRPr="008B2EDF" w:rsidRDefault="00E71800" w:rsidP="004F17FF">
      <w:pPr>
        <w:pStyle w:val="Caption"/>
        <w:spacing w:line="360" w:lineRule="auto"/>
        <w:jc w:val="both"/>
        <w:rPr>
          <w:rFonts w:ascii="Times New Roman" w:hAnsi="Times New Roman" w:cs="Times New Roman"/>
          <w:sz w:val="24"/>
          <w:szCs w:val="24"/>
        </w:rPr>
      </w:pPr>
      <w:r w:rsidRPr="008B2EDF">
        <w:rPr>
          <w:rFonts w:ascii="Times New Roman" w:hAnsi="Times New Roman" w:cs="Times New Roman"/>
          <w:sz w:val="24"/>
          <w:szCs w:val="24"/>
        </w:rPr>
        <w:t xml:space="preserve">Table </w:t>
      </w:r>
      <w:r w:rsidRPr="008B2EDF">
        <w:rPr>
          <w:rFonts w:ascii="Times New Roman" w:hAnsi="Times New Roman" w:cs="Times New Roman"/>
          <w:sz w:val="24"/>
          <w:szCs w:val="24"/>
        </w:rPr>
        <w:fldChar w:fldCharType="begin"/>
      </w:r>
      <w:r w:rsidRPr="008B2EDF">
        <w:rPr>
          <w:rFonts w:ascii="Times New Roman" w:hAnsi="Times New Roman" w:cs="Times New Roman"/>
          <w:sz w:val="24"/>
          <w:szCs w:val="24"/>
        </w:rPr>
        <w:instrText xml:space="preserve"> SEQ Table \* ARABIC </w:instrText>
      </w:r>
      <w:r w:rsidRPr="008B2EDF">
        <w:rPr>
          <w:rFonts w:ascii="Times New Roman" w:hAnsi="Times New Roman" w:cs="Times New Roman"/>
          <w:sz w:val="24"/>
          <w:szCs w:val="24"/>
        </w:rPr>
        <w:fldChar w:fldCharType="separate"/>
      </w:r>
      <w:r w:rsidR="00725209" w:rsidRPr="008B2EDF">
        <w:rPr>
          <w:rFonts w:ascii="Times New Roman" w:hAnsi="Times New Roman" w:cs="Times New Roman"/>
          <w:noProof/>
          <w:sz w:val="24"/>
          <w:szCs w:val="24"/>
        </w:rPr>
        <w:t>1</w:t>
      </w:r>
      <w:r w:rsidRPr="008B2EDF">
        <w:rPr>
          <w:rFonts w:ascii="Times New Roman" w:hAnsi="Times New Roman" w:cs="Times New Roman"/>
          <w:sz w:val="24"/>
          <w:szCs w:val="24"/>
        </w:rPr>
        <w:fldChar w:fldCharType="end"/>
      </w:r>
      <w:r w:rsidRPr="008B2EDF">
        <w:rPr>
          <w:rFonts w:ascii="Times New Roman" w:hAnsi="Times New Roman" w:cs="Times New Roman"/>
          <w:sz w:val="24"/>
          <w:szCs w:val="24"/>
        </w:rPr>
        <w:t xml:space="preserve"> Survey Structure</w:t>
      </w:r>
    </w:p>
    <w:p w14:paraId="5AFEE427" w14:textId="77777777" w:rsidR="003A6681" w:rsidRPr="008B2EDF" w:rsidRDefault="003A6681" w:rsidP="003A6681">
      <w:pPr>
        <w:rPr>
          <w:rFonts w:ascii="Times New Roman" w:hAnsi="Times New Roman" w:cs="Times New Roman"/>
          <w:sz w:val="24"/>
          <w:szCs w:val="24"/>
        </w:rPr>
      </w:pPr>
    </w:p>
    <w:p w14:paraId="371EAD67" w14:textId="77777777" w:rsidR="003A6681" w:rsidRPr="008B2EDF" w:rsidRDefault="003A6681" w:rsidP="003A6681">
      <w:pPr>
        <w:spacing w:line="360" w:lineRule="auto"/>
        <w:jc w:val="both"/>
        <w:rPr>
          <w:rFonts w:ascii="Times New Roman" w:hAnsi="Times New Roman" w:cs="Times New Roman"/>
          <w:sz w:val="24"/>
          <w:szCs w:val="24"/>
        </w:rPr>
      </w:pPr>
      <w:r w:rsidRPr="008B2EDF">
        <w:rPr>
          <w:rFonts w:ascii="Times New Roman" w:hAnsi="Times New Roman" w:cs="Times New Roman"/>
          <w:sz w:val="24"/>
          <w:szCs w:val="24"/>
        </w:rPr>
        <w:t>This structured alignment between survey items and theoretical frameworks enhances construct validity by ensuring that each question directly measures a defined conceptual variable. It also improves internal consistency by maintaining coherence between the research objectives, theoretical constructs, and empirical indicators. As a result, the survey is not only descriptive but also theoretically grounded, enabling meaningful statistical and interpretive analysis.</w:t>
      </w:r>
    </w:p>
    <w:p w14:paraId="76620DBF" w14:textId="77777777" w:rsidR="003A6681" w:rsidRPr="008B2EDF" w:rsidRDefault="003A6681" w:rsidP="004F17FF">
      <w:pPr>
        <w:spacing w:line="360" w:lineRule="auto"/>
        <w:jc w:val="both"/>
        <w:rPr>
          <w:rFonts w:ascii="Times New Roman" w:hAnsi="Times New Roman" w:cs="Times New Roman"/>
          <w:sz w:val="24"/>
          <w:szCs w:val="24"/>
        </w:rPr>
      </w:pPr>
    </w:p>
    <w:p w14:paraId="2E7044E2" w14:textId="140588C6" w:rsidR="004A287D" w:rsidRPr="008B2EDF" w:rsidRDefault="00503C6D" w:rsidP="004F17FF">
      <w:pPr>
        <w:pStyle w:val="Heading2"/>
        <w:spacing w:line="360" w:lineRule="auto"/>
        <w:jc w:val="both"/>
        <w:rPr>
          <w:rFonts w:ascii="Times New Roman" w:hAnsi="Times New Roman" w:cs="Times New Roman"/>
          <w:sz w:val="24"/>
          <w:szCs w:val="24"/>
        </w:rPr>
      </w:pPr>
      <w:bookmarkStart w:id="20" w:name="_Toc228970936"/>
      <w:r w:rsidRPr="008B2EDF">
        <w:rPr>
          <w:rFonts w:ascii="Times New Roman" w:hAnsi="Times New Roman" w:cs="Times New Roman"/>
          <w:sz w:val="24"/>
          <w:szCs w:val="24"/>
        </w:rPr>
        <w:t>5</w:t>
      </w:r>
      <w:r w:rsidR="0064186B" w:rsidRPr="008B2EDF">
        <w:rPr>
          <w:rFonts w:ascii="Times New Roman" w:hAnsi="Times New Roman" w:cs="Times New Roman"/>
          <w:sz w:val="24"/>
          <w:szCs w:val="24"/>
        </w:rPr>
        <w:t>.</w:t>
      </w:r>
      <w:r w:rsidR="004A287D" w:rsidRPr="008B2EDF">
        <w:rPr>
          <w:rFonts w:ascii="Times New Roman" w:hAnsi="Times New Roman" w:cs="Times New Roman"/>
          <w:sz w:val="24"/>
          <w:szCs w:val="24"/>
        </w:rPr>
        <w:t>4</w:t>
      </w:r>
      <w:r w:rsidR="0064186B" w:rsidRPr="008B2EDF">
        <w:rPr>
          <w:rFonts w:ascii="Times New Roman" w:hAnsi="Times New Roman" w:cs="Times New Roman"/>
          <w:sz w:val="24"/>
          <w:szCs w:val="24"/>
        </w:rPr>
        <w:t xml:space="preserve"> Participants and Sampling</w:t>
      </w:r>
      <w:bookmarkEnd w:id="20"/>
    </w:p>
    <w:p w14:paraId="6470DE15" w14:textId="2E44473A" w:rsidR="00820417" w:rsidRPr="008B2EDF" w:rsidRDefault="00982908" w:rsidP="00820417">
      <w:pPr>
        <w:pStyle w:val="NormalWeb"/>
        <w:spacing w:line="360" w:lineRule="auto"/>
        <w:jc w:val="both"/>
      </w:pPr>
      <w:r w:rsidRPr="008B2EDF">
        <w:t xml:space="preserve">The study will use snowball sampling to access women employed part-time in warehousing. Snowball sampling is appropriate in this context because participants meeting the criteria (part-time, warehousing, UK) can refer others in their networks. Snowball sampling is a well-known method for reaching difficult-to-access groups and increasing participation through social ties. Ting </w:t>
      </w:r>
      <w:r w:rsidR="00570CA8" w:rsidRPr="008B2EDF">
        <w:rPr>
          <w:i/>
          <w:iCs/>
        </w:rPr>
        <w:t>et al.</w:t>
      </w:r>
      <w:r w:rsidRPr="008B2EDF">
        <w:t xml:space="preserve"> (2025) argue that, in business and management survey research, the use of snowball sampling has been limited, resulting in fewer clear methodological guidelines and inconsistent reporting practices. This highlights a broader issue in the literature regarding the standardisation and transparency of non-probability sampling methods. Additionally, Kurtaliqi </w:t>
      </w:r>
      <w:r w:rsidR="00570CA8" w:rsidRPr="008B2EDF">
        <w:rPr>
          <w:i/>
          <w:iCs/>
        </w:rPr>
        <w:t>et al.</w:t>
      </w:r>
      <w:r w:rsidRPr="008B2EDF">
        <w:t xml:space="preserve"> (2024) note that research relying on hypothetical or scenario-based responses may be less accurate than field-based data collection, reinforcing the importance of obtaining responses from real-world participants in workplace settings. Snowball sampling was chosen for this study because part-time working women in warehouse settings represent a group that is often difficult to access through conventional sampling methods. These workers frequently have irregular schedules, limited availability, and may not appear in formal organisational records in a way that allows for random selection. By using snowball sampling, the study was able to leverage social networks among participants, increasing access to eligible respondents and improving response rates. This method also helped to increase participant trust and willingness to engage, as recruitment occurred through known peers rather than formal institutional channels.</w:t>
      </w:r>
      <w:r w:rsidR="00820417" w:rsidRPr="008B2EDF">
        <w:t xml:space="preserve">While snowball sampling offers practical advantages in accessing a hard-to-reach population, it introduces limitations related to selection bias and reduced representativeness. Participants are likely to refer individuals with similar experiences or perspectives, which may limit diversity within the sample. Furthermore, as a non-probability sampling method, it prevents calculation of sampling error and restricts generalisability to the wider UK warehousing workforce. Nevertheless, given the exploratory nature of this study and the </w:t>
      </w:r>
      <w:r w:rsidR="00820417" w:rsidRPr="008B2EDF">
        <w:lastRenderedPageBreak/>
        <w:t>difficulty of accessing part-time women in warehouse settings, snowball sampling remains an appropriate and pragmatic approach.</w:t>
      </w:r>
    </w:p>
    <w:p w14:paraId="7F139EE1" w14:textId="7529ECDD" w:rsidR="0064186B" w:rsidRPr="008B2EDF" w:rsidRDefault="00503C6D" w:rsidP="004F17FF">
      <w:pPr>
        <w:pStyle w:val="Heading2"/>
        <w:spacing w:line="360" w:lineRule="auto"/>
        <w:jc w:val="both"/>
        <w:rPr>
          <w:rFonts w:ascii="Times New Roman" w:hAnsi="Times New Roman" w:cs="Times New Roman"/>
          <w:sz w:val="24"/>
          <w:szCs w:val="24"/>
        </w:rPr>
      </w:pPr>
      <w:bookmarkStart w:id="21" w:name="_Toc228970937"/>
      <w:r w:rsidRPr="008B2EDF">
        <w:rPr>
          <w:rFonts w:ascii="Times New Roman" w:hAnsi="Times New Roman" w:cs="Times New Roman"/>
          <w:sz w:val="24"/>
          <w:szCs w:val="24"/>
        </w:rPr>
        <w:t>5</w:t>
      </w:r>
      <w:r w:rsidR="0064186B" w:rsidRPr="008B2EDF">
        <w:rPr>
          <w:rFonts w:ascii="Times New Roman" w:hAnsi="Times New Roman" w:cs="Times New Roman"/>
          <w:sz w:val="24"/>
          <w:szCs w:val="24"/>
        </w:rPr>
        <w:t>.</w:t>
      </w:r>
      <w:r w:rsidR="001E763C" w:rsidRPr="008B2EDF">
        <w:rPr>
          <w:rFonts w:ascii="Times New Roman" w:hAnsi="Times New Roman" w:cs="Times New Roman"/>
          <w:sz w:val="24"/>
          <w:szCs w:val="24"/>
        </w:rPr>
        <w:t>5</w:t>
      </w:r>
      <w:r w:rsidR="0064186B" w:rsidRPr="008B2EDF">
        <w:rPr>
          <w:rFonts w:ascii="Times New Roman" w:hAnsi="Times New Roman" w:cs="Times New Roman"/>
          <w:sz w:val="24"/>
          <w:szCs w:val="24"/>
        </w:rPr>
        <w:t xml:space="preserve"> Data Collection Procedure</w:t>
      </w:r>
      <w:bookmarkEnd w:id="21"/>
    </w:p>
    <w:p w14:paraId="49A54266" w14:textId="018AE0B3" w:rsidR="0064186B" w:rsidRPr="008B2EDF" w:rsidRDefault="0064186B" w:rsidP="004F17FF">
      <w:pPr>
        <w:spacing w:line="360" w:lineRule="auto"/>
        <w:jc w:val="both"/>
        <w:rPr>
          <w:rFonts w:ascii="Times New Roman" w:eastAsiaTheme="majorEastAsia" w:hAnsi="Times New Roman" w:cs="Times New Roman"/>
          <w:sz w:val="24"/>
          <w:szCs w:val="24"/>
        </w:rPr>
      </w:pPr>
      <w:r w:rsidRPr="008B2EDF">
        <w:rPr>
          <w:rFonts w:ascii="Times New Roman" w:eastAsiaTheme="majorEastAsia" w:hAnsi="Times New Roman" w:cs="Times New Roman"/>
          <w:sz w:val="24"/>
          <w:szCs w:val="24"/>
        </w:rPr>
        <w:t>The survey will be hosted online (Google Forms), to reach participants across regions and avoid travel/time constraints. Reminders will be sent weekly over a four-week period to improve response rates. All responses will be anonymised. Participants will be informed of their rights, including the right to withdraw at any point. Data will be stored securely following GDPR regulations.</w:t>
      </w:r>
    </w:p>
    <w:p w14:paraId="25D13339" w14:textId="2EEE81E8" w:rsidR="00467F55" w:rsidRPr="008B2EDF" w:rsidRDefault="00503C6D" w:rsidP="004F17FF">
      <w:pPr>
        <w:pStyle w:val="Heading2"/>
        <w:spacing w:line="360" w:lineRule="auto"/>
        <w:jc w:val="both"/>
        <w:rPr>
          <w:rFonts w:ascii="Times New Roman" w:hAnsi="Times New Roman" w:cs="Times New Roman"/>
          <w:sz w:val="24"/>
          <w:szCs w:val="24"/>
        </w:rPr>
      </w:pPr>
      <w:bookmarkStart w:id="22" w:name="_Toc228970938"/>
      <w:r w:rsidRPr="008B2EDF">
        <w:rPr>
          <w:rFonts w:ascii="Times New Roman" w:hAnsi="Times New Roman" w:cs="Times New Roman"/>
          <w:sz w:val="24"/>
          <w:szCs w:val="24"/>
        </w:rPr>
        <w:t>5</w:t>
      </w:r>
      <w:r w:rsidR="006A6FC1" w:rsidRPr="008B2EDF">
        <w:rPr>
          <w:rFonts w:ascii="Times New Roman" w:hAnsi="Times New Roman" w:cs="Times New Roman"/>
          <w:sz w:val="24"/>
          <w:szCs w:val="24"/>
        </w:rPr>
        <w:t>.6 Data An</w:t>
      </w:r>
      <w:r w:rsidR="00467F55" w:rsidRPr="008B2EDF">
        <w:rPr>
          <w:rFonts w:ascii="Times New Roman" w:hAnsi="Times New Roman" w:cs="Times New Roman"/>
          <w:sz w:val="24"/>
          <w:szCs w:val="24"/>
        </w:rPr>
        <w:t>alysis</w:t>
      </w:r>
      <w:bookmarkEnd w:id="22"/>
      <w:r w:rsidR="00467F55" w:rsidRPr="008B2EDF">
        <w:rPr>
          <w:rFonts w:ascii="Times New Roman" w:hAnsi="Times New Roman" w:cs="Times New Roman"/>
          <w:sz w:val="24"/>
          <w:szCs w:val="24"/>
        </w:rPr>
        <w:t xml:space="preserve"> </w:t>
      </w:r>
    </w:p>
    <w:p w14:paraId="3F7B5188" w14:textId="77777777" w:rsidR="00982908" w:rsidRPr="008B2EDF" w:rsidRDefault="00982908" w:rsidP="004F17FF">
      <w:pPr>
        <w:spacing w:line="360" w:lineRule="auto"/>
        <w:jc w:val="both"/>
        <w:rPr>
          <w:rFonts w:ascii="Times New Roman" w:hAnsi="Times New Roman" w:cs="Times New Roman"/>
          <w:sz w:val="24"/>
          <w:szCs w:val="24"/>
        </w:rPr>
      </w:pPr>
      <w:r w:rsidRPr="008B2EDF">
        <w:rPr>
          <w:rFonts w:ascii="Times New Roman" w:hAnsi="Times New Roman" w:cs="Times New Roman"/>
          <w:sz w:val="24"/>
          <w:szCs w:val="24"/>
        </w:rPr>
        <w:t>Survey responses were analysed using a combination of descriptive and inferential statistics. Descriptive statistics, including frequencies and percentages, were used to summarise participant demographics, employment status, and experiences of invisible labour. This provided an initial overview of patterns within the dataset and supported the identification of key trends.</w:t>
      </w:r>
    </w:p>
    <w:p w14:paraId="78F39BF4" w14:textId="6B46E516" w:rsidR="00982908" w:rsidRPr="008B2EDF" w:rsidRDefault="00982908" w:rsidP="004F17FF">
      <w:pPr>
        <w:spacing w:line="360" w:lineRule="auto"/>
        <w:jc w:val="both"/>
        <w:rPr>
          <w:rFonts w:ascii="Times New Roman" w:hAnsi="Times New Roman" w:cs="Times New Roman"/>
          <w:sz w:val="24"/>
          <w:szCs w:val="24"/>
        </w:rPr>
      </w:pPr>
      <w:r w:rsidRPr="008B2EDF">
        <w:rPr>
          <w:rFonts w:ascii="Times New Roman" w:hAnsi="Times New Roman" w:cs="Times New Roman"/>
          <w:sz w:val="24"/>
          <w:szCs w:val="24"/>
        </w:rPr>
        <w:t>To examine differences between groups (for example, part-time versus full-time employees and variations across demographic categories), analysis of variance (ANOVA) was employed. Simkus (2023) states that ANOVA is useful for determining whether statistically significant differences exist between multiple groups means, allowing researchers to identify variations in workplace experiences across different categories.</w:t>
      </w:r>
    </w:p>
    <w:p w14:paraId="34B2DFC5" w14:textId="77777777" w:rsidR="00982908" w:rsidRPr="008B2EDF" w:rsidRDefault="00982908" w:rsidP="004F17FF">
      <w:pPr>
        <w:spacing w:line="360" w:lineRule="auto"/>
        <w:jc w:val="both"/>
        <w:rPr>
          <w:rFonts w:ascii="Times New Roman" w:hAnsi="Times New Roman" w:cs="Times New Roman"/>
          <w:sz w:val="24"/>
          <w:szCs w:val="24"/>
        </w:rPr>
      </w:pPr>
      <w:r w:rsidRPr="008B2EDF">
        <w:rPr>
          <w:rFonts w:ascii="Times New Roman" w:hAnsi="Times New Roman" w:cs="Times New Roman"/>
          <w:sz w:val="24"/>
          <w:szCs w:val="24"/>
        </w:rPr>
        <w:t>However, ANOVA is based on several assumptions, including normal distribution of data and homogeneity of variance. When these assumptions are not fully met, results may be less reliable. In addition, while ANOVA identifies whether differences exist, it does not specify where those differences lie without further post-hoc testing. It is also sensitive to outliers and unequal group sizes, which may affect the robustness of results (Grace-Martin, 2020).</w:t>
      </w:r>
    </w:p>
    <w:p w14:paraId="4D3F536B" w14:textId="77777777" w:rsidR="00982908" w:rsidRPr="008B2EDF" w:rsidRDefault="00982908" w:rsidP="004F17FF">
      <w:pPr>
        <w:spacing w:line="360" w:lineRule="auto"/>
        <w:jc w:val="both"/>
        <w:rPr>
          <w:rFonts w:ascii="Times New Roman" w:hAnsi="Times New Roman" w:cs="Times New Roman"/>
          <w:sz w:val="24"/>
          <w:szCs w:val="24"/>
        </w:rPr>
      </w:pPr>
      <w:r w:rsidRPr="008B2EDF">
        <w:rPr>
          <w:rFonts w:ascii="Times New Roman" w:hAnsi="Times New Roman" w:cs="Times New Roman"/>
          <w:sz w:val="24"/>
          <w:szCs w:val="24"/>
        </w:rPr>
        <w:t>Chi-square tests were also applied to examine associations between categorical variables such as employment status and perceived recognition. This method is appropriate for identifying whether relationships exist between non-continuous variables. However, it does not measure the strength or direction of relationships.</w:t>
      </w:r>
    </w:p>
    <w:p w14:paraId="11701B52" w14:textId="55722C43" w:rsidR="00982908" w:rsidRPr="008B2EDF" w:rsidRDefault="00982908" w:rsidP="004F17FF">
      <w:pPr>
        <w:spacing w:line="360" w:lineRule="auto"/>
        <w:jc w:val="both"/>
        <w:rPr>
          <w:rFonts w:ascii="Times New Roman" w:hAnsi="Times New Roman" w:cs="Times New Roman"/>
          <w:sz w:val="24"/>
          <w:szCs w:val="24"/>
        </w:rPr>
      </w:pPr>
      <w:r w:rsidRPr="008B2EDF">
        <w:rPr>
          <w:rFonts w:ascii="Times New Roman" w:hAnsi="Times New Roman" w:cs="Times New Roman"/>
          <w:sz w:val="24"/>
          <w:szCs w:val="24"/>
        </w:rPr>
        <w:t xml:space="preserve">Pearson correlation analysis was used to assess the relationship between continuous variables, specifically weekly working hours and perceived access to career progression. One advantage of this method is its ability to quantify the strength and direction of linear relationships (Nettleton, 2014). However, correlation does not imply causation and cannot account for </w:t>
      </w:r>
      <w:r w:rsidRPr="008B2EDF">
        <w:rPr>
          <w:rFonts w:ascii="Times New Roman" w:hAnsi="Times New Roman" w:cs="Times New Roman"/>
          <w:sz w:val="24"/>
          <w:szCs w:val="24"/>
        </w:rPr>
        <w:lastRenderedPageBreak/>
        <w:t xml:space="preserve">underlying structural or contextual factors influencing outcomes (Fu </w:t>
      </w:r>
      <w:r w:rsidR="00570CA8" w:rsidRPr="008B2EDF">
        <w:rPr>
          <w:rFonts w:ascii="Times New Roman" w:hAnsi="Times New Roman" w:cs="Times New Roman"/>
          <w:i/>
          <w:sz w:val="24"/>
          <w:szCs w:val="24"/>
        </w:rPr>
        <w:t>et al.</w:t>
      </w:r>
      <w:r w:rsidRPr="008B2EDF">
        <w:rPr>
          <w:rFonts w:ascii="Times New Roman" w:hAnsi="Times New Roman" w:cs="Times New Roman"/>
          <w:sz w:val="24"/>
          <w:szCs w:val="24"/>
        </w:rPr>
        <w:t>, 2025). To strengthen the robustness of findings, quantitative results were complemented with thematic analysis of open-ended responses. This integration allowed statistical trends to be explained and contextualised through participants lived experiences, enhancing the interpretive validity of the study.</w:t>
      </w:r>
      <w:r w:rsidR="00FF7744" w:rsidRPr="008B2EDF">
        <w:rPr>
          <w:rFonts w:ascii="Times New Roman" w:eastAsia="Times New Roman" w:hAnsi="Times New Roman" w:cs="Times New Roman"/>
          <w:kern w:val="0"/>
          <w:sz w:val="24"/>
          <w:szCs w:val="24"/>
          <w:lang w:eastAsia="en-GB"/>
          <w14:ligatures w14:val="none"/>
        </w:rPr>
        <w:t xml:space="preserve"> </w:t>
      </w:r>
      <w:r w:rsidRPr="008B2EDF">
        <w:rPr>
          <w:rFonts w:ascii="Times New Roman" w:hAnsi="Times New Roman" w:cs="Times New Roman"/>
          <w:sz w:val="24"/>
          <w:szCs w:val="24"/>
        </w:rPr>
        <w:t>use of multiple analytical techniques improves methodological triangulation by enabling cross-validation of findings across different data types.</w:t>
      </w:r>
      <w:r w:rsidR="00FF7744" w:rsidRPr="008B2EDF">
        <w:rPr>
          <w:rFonts w:ascii="Times New Roman" w:hAnsi="Times New Roman" w:cs="Times New Roman"/>
          <w:sz w:val="24"/>
          <w:szCs w:val="24"/>
        </w:rPr>
        <w:t xml:space="preserve"> </w:t>
      </w:r>
      <w:r w:rsidR="00FF7744" w:rsidRPr="008B2EDF">
        <w:rPr>
          <w:rFonts w:ascii="Times New Roman" w:hAnsi="Times New Roman" w:cs="Times New Roman"/>
          <w:sz w:val="24"/>
          <w:szCs w:val="24"/>
        </w:rPr>
        <w:t>To ensure robustness of statistical interpretation, assumptions underlying each test were considered. Although formal normality testing was not conducted, the sample size (n = 120) provides sufficient robustness under the central limit theorem. However, it is acknowledged that violations of assumptions such as normal distribution, homogeneity of variance, or presence of outliers may influence the accuracy of inferential results. Therefore, findings are interpreted as indicative rather than strictly causal.</w:t>
      </w:r>
    </w:p>
    <w:p w14:paraId="2DAC65D5" w14:textId="49CB5E9E" w:rsidR="00982908" w:rsidRPr="008B2EDF" w:rsidRDefault="00B2058E" w:rsidP="004F17FF">
      <w:pPr>
        <w:pStyle w:val="Heading2"/>
        <w:jc w:val="both"/>
        <w:rPr>
          <w:rFonts w:ascii="Times New Roman" w:hAnsi="Times New Roman" w:cs="Times New Roman"/>
          <w:sz w:val="24"/>
          <w:szCs w:val="24"/>
        </w:rPr>
      </w:pPr>
      <w:bookmarkStart w:id="23" w:name="_Toc228970939"/>
      <w:r w:rsidRPr="008B2EDF">
        <w:rPr>
          <w:rFonts w:ascii="Times New Roman" w:hAnsi="Times New Roman" w:cs="Times New Roman"/>
          <w:sz w:val="24"/>
          <w:szCs w:val="24"/>
        </w:rPr>
        <w:t xml:space="preserve">5.7 </w:t>
      </w:r>
      <w:r w:rsidR="00982908" w:rsidRPr="008B2EDF">
        <w:rPr>
          <w:rFonts w:ascii="Times New Roman" w:hAnsi="Times New Roman" w:cs="Times New Roman"/>
          <w:sz w:val="24"/>
          <w:szCs w:val="24"/>
        </w:rPr>
        <w:t>Reliability and validity</w:t>
      </w:r>
      <w:bookmarkEnd w:id="23"/>
      <w:r w:rsidR="00982908" w:rsidRPr="008B2EDF">
        <w:rPr>
          <w:rFonts w:ascii="Times New Roman" w:hAnsi="Times New Roman" w:cs="Times New Roman"/>
          <w:sz w:val="24"/>
          <w:szCs w:val="24"/>
        </w:rPr>
        <w:t xml:space="preserve"> </w:t>
      </w:r>
    </w:p>
    <w:p w14:paraId="032C0DB9" w14:textId="77777777" w:rsidR="00982908" w:rsidRPr="008B2EDF" w:rsidRDefault="00982908" w:rsidP="004F17FF">
      <w:pPr>
        <w:jc w:val="both"/>
        <w:rPr>
          <w:rFonts w:ascii="Times New Roman" w:hAnsi="Times New Roman" w:cs="Times New Roman"/>
          <w:sz w:val="24"/>
          <w:szCs w:val="24"/>
        </w:rPr>
      </w:pPr>
    </w:p>
    <w:p w14:paraId="1AD2C3A7" w14:textId="10922253" w:rsidR="00A02562" w:rsidRPr="008B2EDF" w:rsidRDefault="00A02562" w:rsidP="004F17FF">
      <w:pPr>
        <w:spacing w:line="360" w:lineRule="auto"/>
        <w:jc w:val="both"/>
        <w:rPr>
          <w:rFonts w:ascii="Times New Roman" w:hAnsi="Times New Roman" w:cs="Times New Roman"/>
          <w:sz w:val="24"/>
          <w:szCs w:val="24"/>
        </w:rPr>
      </w:pPr>
      <w:r w:rsidRPr="008B2EDF">
        <w:rPr>
          <w:rFonts w:ascii="Times New Roman" w:hAnsi="Times New Roman" w:cs="Times New Roman"/>
          <w:sz w:val="24"/>
          <w:szCs w:val="24"/>
        </w:rPr>
        <w:t>Reliability refers to the consistency and stability of the research instrument. In this study, reliability was enhanced using standardised survey questions, ensuring that all participants were presented with identical items in a consistent format. This reduces variability caused by measurement inconsistency. Reliability is commonly defined as the extent to which a measurement produces consistent results under consistent conditions (Middleton, 2022) and is a key requirement in quantitative research to ensure replicability and stability of findings.</w:t>
      </w:r>
    </w:p>
    <w:p w14:paraId="7E82FC89" w14:textId="72271CF8" w:rsidR="00A02562" w:rsidRPr="008B2EDF" w:rsidRDefault="00A02562" w:rsidP="004F17FF">
      <w:pPr>
        <w:spacing w:line="360" w:lineRule="auto"/>
        <w:jc w:val="both"/>
        <w:rPr>
          <w:rFonts w:ascii="Times New Roman" w:hAnsi="Times New Roman" w:cs="Times New Roman"/>
          <w:sz w:val="24"/>
          <w:szCs w:val="24"/>
        </w:rPr>
      </w:pPr>
      <w:r w:rsidRPr="008B2EDF">
        <w:rPr>
          <w:rFonts w:ascii="Times New Roman" w:hAnsi="Times New Roman" w:cs="Times New Roman"/>
          <w:sz w:val="24"/>
          <w:szCs w:val="24"/>
        </w:rPr>
        <w:t>Internal reliability was further strengthened by aligning all survey items with established theoretical frameworks, ensuring conceptual consistency across the questionnaire. Reliability is also commonly associated with internal consistency, where different items measuring the same construct produce similar results (Health Knowledge, 2023). The pilot study also contributed significantly to reliability by identifying and correcting unclear questions prior to full distribution, improving consistency in participant interpretation. Validity refers to the extent to which the research accurately measures the intended concepts. Validity is defined as the degree to which a method measures what it is intended to measure (Middleton, 2022) and is essential for ensuring that findings meaningfully reflect the real-world phenomenon being studied.</w:t>
      </w:r>
    </w:p>
    <w:p w14:paraId="021F073D" w14:textId="77777777" w:rsidR="00A02562" w:rsidRPr="008B2EDF" w:rsidRDefault="00A02562" w:rsidP="004F17FF">
      <w:pPr>
        <w:numPr>
          <w:ilvl w:val="0"/>
          <w:numId w:val="12"/>
        </w:numPr>
        <w:spacing w:line="360" w:lineRule="auto"/>
        <w:jc w:val="both"/>
        <w:rPr>
          <w:rFonts w:ascii="Times New Roman" w:hAnsi="Times New Roman" w:cs="Times New Roman"/>
          <w:sz w:val="24"/>
          <w:szCs w:val="24"/>
        </w:rPr>
      </w:pPr>
      <w:r w:rsidRPr="008B2EDF">
        <w:rPr>
          <w:rFonts w:ascii="Times New Roman" w:hAnsi="Times New Roman" w:cs="Times New Roman"/>
          <w:b/>
          <w:bCs/>
          <w:sz w:val="24"/>
          <w:szCs w:val="24"/>
        </w:rPr>
        <w:t>Content validity</w:t>
      </w:r>
      <w:r w:rsidRPr="008B2EDF">
        <w:rPr>
          <w:rFonts w:ascii="Times New Roman" w:hAnsi="Times New Roman" w:cs="Times New Roman"/>
          <w:sz w:val="24"/>
          <w:szCs w:val="24"/>
        </w:rPr>
        <w:t xml:space="preserve"> was ensured by directly aligning survey questions with the research objectives and theoretical frameworks (Human Capital Theory, Equity Theory, and </w:t>
      </w:r>
      <w:r w:rsidRPr="008B2EDF">
        <w:rPr>
          <w:rFonts w:ascii="Times New Roman" w:hAnsi="Times New Roman" w:cs="Times New Roman"/>
          <w:sz w:val="24"/>
          <w:szCs w:val="24"/>
        </w:rPr>
        <w:lastRenderedPageBreak/>
        <w:t xml:space="preserve">Work–Life Balance Theory). Content validity ensures that the instrument fully represents the construct being measured (Health Knowledge, 2023). </w:t>
      </w:r>
    </w:p>
    <w:p w14:paraId="7B655F30" w14:textId="77777777" w:rsidR="00A02562" w:rsidRPr="008B2EDF" w:rsidRDefault="00A02562" w:rsidP="004F17FF">
      <w:pPr>
        <w:numPr>
          <w:ilvl w:val="0"/>
          <w:numId w:val="12"/>
        </w:numPr>
        <w:spacing w:line="360" w:lineRule="auto"/>
        <w:jc w:val="both"/>
        <w:rPr>
          <w:rFonts w:ascii="Times New Roman" w:hAnsi="Times New Roman" w:cs="Times New Roman"/>
          <w:sz w:val="24"/>
          <w:szCs w:val="24"/>
        </w:rPr>
      </w:pPr>
      <w:r w:rsidRPr="008B2EDF">
        <w:rPr>
          <w:rFonts w:ascii="Times New Roman" w:hAnsi="Times New Roman" w:cs="Times New Roman"/>
          <w:b/>
          <w:bCs/>
          <w:sz w:val="24"/>
          <w:szCs w:val="24"/>
        </w:rPr>
        <w:t>Construct validity</w:t>
      </w:r>
      <w:r w:rsidRPr="008B2EDF">
        <w:rPr>
          <w:rFonts w:ascii="Times New Roman" w:hAnsi="Times New Roman" w:cs="Times New Roman"/>
          <w:sz w:val="24"/>
          <w:szCs w:val="24"/>
        </w:rPr>
        <w:t xml:space="preserve"> was achieved by operationalising abstract concepts such as invisible labour, recognition, and career progression into measurable survey items. Construct validity ensures that the instrument accurately reflects the theoretical concept it is intended to measure (Nelson, 1980). </w:t>
      </w:r>
    </w:p>
    <w:p w14:paraId="02878E19" w14:textId="77777777" w:rsidR="00A02562" w:rsidRPr="008B2EDF" w:rsidRDefault="00A02562" w:rsidP="004F17FF">
      <w:pPr>
        <w:numPr>
          <w:ilvl w:val="0"/>
          <w:numId w:val="12"/>
        </w:numPr>
        <w:spacing w:line="360" w:lineRule="auto"/>
        <w:jc w:val="both"/>
        <w:rPr>
          <w:rFonts w:ascii="Times New Roman" w:hAnsi="Times New Roman" w:cs="Times New Roman"/>
          <w:sz w:val="24"/>
          <w:szCs w:val="24"/>
        </w:rPr>
      </w:pPr>
      <w:r w:rsidRPr="008B2EDF">
        <w:rPr>
          <w:rFonts w:ascii="Times New Roman" w:hAnsi="Times New Roman" w:cs="Times New Roman"/>
          <w:b/>
          <w:bCs/>
          <w:sz w:val="24"/>
          <w:szCs w:val="24"/>
        </w:rPr>
        <w:t>Face validity</w:t>
      </w:r>
      <w:r w:rsidRPr="008B2EDF">
        <w:rPr>
          <w:rFonts w:ascii="Times New Roman" w:hAnsi="Times New Roman" w:cs="Times New Roman"/>
          <w:sz w:val="24"/>
          <w:szCs w:val="24"/>
        </w:rPr>
        <w:t xml:space="preserve"> was supported through pilot testing, where participants confirmed that the questions were relevant, understandable, and reflective of workplace experiences.</w:t>
      </w:r>
    </w:p>
    <w:p w14:paraId="3D36192C" w14:textId="1CF57E38" w:rsidR="00A02562" w:rsidRPr="008B2EDF" w:rsidRDefault="00A02562" w:rsidP="004F17FF">
      <w:pPr>
        <w:spacing w:line="360" w:lineRule="auto"/>
        <w:jc w:val="both"/>
        <w:rPr>
          <w:rFonts w:ascii="Times New Roman" w:hAnsi="Times New Roman" w:cs="Times New Roman"/>
          <w:sz w:val="24"/>
          <w:szCs w:val="24"/>
        </w:rPr>
      </w:pPr>
      <w:r w:rsidRPr="008B2EDF">
        <w:rPr>
          <w:rFonts w:ascii="Times New Roman" w:hAnsi="Times New Roman" w:cs="Times New Roman"/>
          <w:sz w:val="24"/>
          <w:szCs w:val="24"/>
        </w:rPr>
        <w:t>Validity is widely recognised as essential for ensuring that research findings are meaningful and theoretically grounded, particularly in social science research (Bryman, 2012). Despite these measures, self-reported survey data remains subject to response bias, including social desirability bias and individual interpretation differences, which may affect the accuracy of findings. Reliability and validity are therefore closely linked but distinct concepts: reliability concerns consistency, while validity concerns accuracy (Middleton, 2022). Nevertheless, the combination of theoretical alignment, pilot testing, and standardised question design enhances the overall reliability and validity of the research instrument.</w:t>
      </w:r>
    </w:p>
    <w:p w14:paraId="69F5428E" w14:textId="77777777" w:rsidR="00FF7744" w:rsidRPr="008B2EDF" w:rsidRDefault="000E03E8" w:rsidP="00FF7744">
      <w:pPr>
        <w:pStyle w:val="Heading2"/>
        <w:jc w:val="both"/>
        <w:rPr>
          <w:rFonts w:ascii="Times New Roman" w:hAnsi="Times New Roman" w:cs="Times New Roman"/>
          <w:sz w:val="24"/>
          <w:szCs w:val="24"/>
        </w:rPr>
      </w:pPr>
      <w:bookmarkStart w:id="24" w:name="_Toc228970940"/>
      <w:r w:rsidRPr="008B2EDF">
        <w:rPr>
          <w:rFonts w:ascii="Times New Roman" w:hAnsi="Times New Roman" w:cs="Times New Roman"/>
          <w:sz w:val="24"/>
          <w:szCs w:val="24"/>
        </w:rPr>
        <w:t>5.8 Methodological Limitations</w:t>
      </w:r>
      <w:bookmarkEnd w:id="24"/>
      <w:r w:rsidRPr="008B2EDF">
        <w:rPr>
          <w:rFonts w:ascii="Times New Roman" w:hAnsi="Times New Roman" w:cs="Times New Roman"/>
          <w:sz w:val="24"/>
          <w:szCs w:val="24"/>
        </w:rPr>
        <w:t xml:space="preserve"> </w:t>
      </w:r>
    </w:p>
    <w:p w14:paraId="7B5D73FE" w14:textId="41E864A2" w:rsidR="000E03E8" w:rsidRPr="008B2EDF" w:rsidRDefault="000E03E8" w:rsidP="00FF7744">
      <w:pPr>
        <w:spacing w:line="360" w:lineRule="auto"/>
        <w:jc w:val="both"/>
        <w:rPr>
          <w:rFonts w:ascii="Times New Roman" w:hAnsi="Times New Roman" w:cs="Times New Roman"/>
          <w:sz w:val="24"/>
          <w:szCs w:val="24"/>
        </w:rPr>
      </w:pPr>
      <w:r w:rsidRPr="008B2EDF">
        <w:rPr>
          <w:rFonts w:ascii="Times New Roman" w:hAnsi="Times New Roman" w:cs="Times New Roman"/>
          <w:sz w:val="24"/>
          <w:szCs w:val="24"/>
        </w:rPr>
        <w:t xml:space="preserve"> Despite the strengths of the mixed-methods design, several methodological limitations should be acknowledged to ensure transparency and critical rigour. First, the use of snowball sampling introduces a degree of selection bias, as participants are recruited through social networks rather than random selection. This may result in a sample that is more homogeneous in terms of experiences, attitudes, or workplace conditions, limiting the representativeness of the findings (Etikan </w:t>
      </w:r>
      <w:r w:rsidR="00570CA8" w:rsidRPr="008B2EDF">
        <w:rPr>
          <w:rFonts w:ascii="Times New Roman" w:hAnsi="Times New Roman" w:cs="Times New Roman"/>
          <w:i/>
          <w:sz w:val="24"/>
          <w:szCs w:val="24"/>
        </w:rPr>
        <w:t>et al.</w:t>
      </w:r>
      <w:r w:rsidRPr="008B2EDF">
        <w:rPr>
          <w:rFonts w:ascii="Times New Roman" w:hAnsi="Times New Roman" w:cs="Times New Roman"/>
          <w:sz w:val="24"/>
          <w:szCs w:val="24"/>
        </w:rPr>
        <w:t xml:space="preserve">, 2016). Second, although the survey achieved a sample size of 120 respondents, which is sufficient for basic inferential testing, the non-probability nature of the sampling strategy reduces the generalisability of statistical findings beyond the UK warehousing context. As Bryman (2016) notes, non-random samples limit the external validity of quantitative research, even when statistical tests such as ANOVA and Chi-square are applied. Third, the reliance on self-reported data introduces the possibility of response bias, including social desirability bias and subjective interpretation of workplace experiences. This may affect the accuracy of reported perceptions of recognition, fairness, and invisible labour (Podsakoff </w:t>
      </w:r>
      <w:r w:rsidR="00570CA8" w:rsidRPr="008B2EDF">
        <w:rPr>
          <w:rFonts w:ascii="Times New Roman" w:hAnsi="Times New Roman" w:cs="Times New Roman"/>
          <w:i/>
          <w:sz w:val="24"/>
          <w:szCs w:val="24"/>
        </w:rPr>
        <w:t>et al.</w:t>
      </w:r>
      <w:r w:rsidRPr="008B2EDF">
        <w:rPr>
          <w:rFonts w:ascii="Times New Roman" w:hAnsi="Times New Roman" w:cs="Times New Roman"/>
          <w:sz w:val="24"/>
          <w:szCs w:val="24"/>
        </w:rPr>
        <w:t>, 2003).</w:t>
      </w:r>
    </w:p>
    <w:p w14:paraId="1829C9DB" w14:textId="433B92A4" w:rsidR="000E03E8" w:rsidRPr="008B2EDF" w:rsidRDefault="000E03E8" w:rsidP="004F17FF">
      <w:pPr>
        <w:spacing w:line="360" w:lineRule="auto"/>
        <w:jc w:val="both"/>
        <w:rPr>
          <w:rFonts w:ascii="Times New Roman" w:hAnsi="Times New Roman" w:cs="Times New Roman"/>
          <w:sz w:val="24"/>
          <w:szCs w:val="24"/>
        </w:rPr>
      </w:pPr>
      <w:r w:rsidRPr="008B2EDF">
        <w:rPr>
          <w:rFonts w:ascii="Times New Roman" w:hAnsi="Times New Roman" w:cs="Times New Roman"/>
          <w:sz w:val="24"/>
          <w:szCs w:val="24"/>
        </w:rPr>
        <w:t xml:space="preserve">Fourth, although thematic analysis provides valuable depth and contextual understanding, it is inherently interpretative. As Braun and Clarke (2022) highlight, thematic analysis depends on </w:t>
      </w:r>
      <w:r w:rsidRPr="008B2EDF">
        <w:rPr>
          <w:rFonts w:ascii="Times New Roman" w:hAnsi="Times New Roman" w:cs="Times New Roman"/>
          <w:sz w:val="24"/>
          <w:szCs w:val="24"/>
        </w:rPr>
        <w:lastRenderedPageBreak/>
        <w:t>researcher judgement, meaning that alternative researchers may identify slightly different themes from the same dataset. Finally, the cross-sectional design limits the ability to assess change over time. As a result, the study captures workplace experiences at a single point, meaning causal relationships between variables such as working hours, recognition, and career progression cannot be firmly established. However, despite these limitations, the integration of quantitative statistical analysis with qualitative thematic analysis strengthens methodological triangulation, improving the overall credibility and depth of the findings.</w:t>
      </w:r>
    </w:p>
    <w:p w14:paraId="6AAEBFAB" w14:textId="3672728D" w:rsidR="006E0C80" w:rsidRPr="008B2EDF" w:rsidRDefault="00503C6D" w:rsidP="004F17FF">
      <w:pPr>
        <w:pStyle w:val="Heading1"/>
        <w:spacing w:line="360" w:lineRule="auto"/>
        <w:jc w:val="both"/>
        <w:rPr>
          <w:rFonts w:ascii="Times New Roman" w:hAnsi="Times New Roman" w:cs="Times New Roman"/>
          <w:sz w:val="24"/>
          <w:szCs w:val="24"/>
        </w:rPr>
      </w:pPr>
      <w:bookmarkStart w:id="25" w:name="_Toc228970941"/>
      <w:r w:rsidRPr="008B2EDF">
        <w:rPr>
          <w:rFonts w:ascii="Times New Roman" w:hAnsi="Times New Roman" w:cs="Times New Roman"/>
          <w:sz w:val="24"/>
          <w:szCs w:val="24"/>
        </w:rPr>
        <w:t>6</w:t>
      </w:r>
      <w:r w:rsidR="00D10AEA" w:rsidRPr="008B2EDF">
        <w:rPr>
          <w:rFonts w:ascii="Times New Roman" w:hAnsi="Times New Roman" w:cs="Times New Roman"/>
          <w:sz w:val="24"/>
          <w:szCs w:val="24"/>
        </w:rPr>
        <w:t xml:space="preserve">.0 </w:t>
      </w:r>
      <w:r w:rsidR="00C56555" w:rsidRPr="008B2EDF">
        <w:rPr>
          <w:rFonts w:ascii="Times New Roman" w:hAnsi="Times New Roman" w:cs="Times New Roman"/>
          <w:sz w:val="24"/>
          <w:szCs w:val="24"/>
        </w:rPr>
        <w:t>Findings</w:t>
      </w:r>
      <w:bookmarkEnd w:id="25"/>
    </w:p>
    <w:p w14:paraId="7CFB2153" w14:textId="04E1623E" w:rsidR="000E03E8" w:rsidRPr="008B2EDF" w:rsidRDefault="001C1821" w:rsidP="004F17FF">
      <w:pPr>
        <w:tabs>
          <w:tab w:val="left" w:pos="2055"/>
        </w:tabs>
        <w:spacing w:line="360" w:lineRule="auto"/>
        <w:jc w:val="both"/>
        <w:rPr>
          <w:rFonts w:ascii="Times New Roman" w:hAnsi="Times New Roman" w:cs="Times New Roman"/>
          <w:sz w:val="24"/>
          <w:szCs w:val="24"/>
        </w:rPr>
      </w:pPr>
      <w:r w:rsidRPr="001C1821">
        <w:rPr>
          <w:rFonts w:ascii="Times New Roman" w:hAnsi="Times New Roman" w:cs="Times New Roman"/>
          <w:sz w:val="24"/>
          <w:szCs w:val="24"/>
        </w:rPr>
        <w:t>Although one-way ANOVA was used to examine differences across age groups and job satisfaction, it is acknowledged that the sample distribution across categories was uneven, with a concentration in the 35–44 age group (61%) and significantly smaller proportions in the youngest and oldest groups. This uneven distribution may influence variance estimates and reduce sensitivity in detecting subtle differences between groups. However, ANOVA remains appropriate for exploratory analysis in this study, as it is considered robust to moderate violations of equal group sizes when overall sample sizes are sufficient in key categories (Field, 2018). In this case, the dominant groups (25–34 and 35–44) provide a stable basis for comparison. Therefore, results are interpreted cautiously and supported with descriptive statistics to enhance reliability.</w:t>
      </w:r>
      <w:r>
        <w:rPr>
          <w:rFonts w:ascii="Times New Roman" w:hAnsi="Times New Roman" w:cs="Times New Roman"/>
          <w:sz w:val="24"/>
          <w:szCs w:val="24"/>
        </w:rPr>
        <w:t xml:space="preserve"> </w:t>
      </w:r>
      <w:r w:rsidR="000E03E8" w:rsidRPr="008B2EDF">
        <w:rPr>
          <w:rFonts w:ascii="Times New Roman" w:hAnsi="Times New Roman" w:cs="Times New Roman"/>
          <w:sz w:val="24"/>
          <w:szCs w:val="24"/>
        </w:rPr>
        <w:t>A Chi-square test revealed a statistically significant association between employment status and perceived recognition in performance evaluations (χ² = 12.45, p = 0.001), indicating that part-time employees are significantly less likely to feel recognised than full-time employees. This suggests that organisational recognition systems may systematically privilege full-time employment structures. In contrast, gender was not significantly associated with perceived barriers to promotion (χ² = 2.17, p = 0.34), suggesting that within this sample, structural employment conditions may be more influential than gender alone in shaping perceived inequality.</w:t>
      </w:r>
    </w:p>
    <w:p w14:paraId="493A6BC8" w14:textId="77777777" w:rsidR="000E03E8" w:rsidRPr="008B2EDF" w:rsidRDefault="000E03E8" w:rsidP="004F17FF">
      <w:pPr>
        <w:tabs>
          <w:tab w:val="left" w:pos="2055"/>
        </w:tabs>
        <w:spacing w:line="360" w:lineRule="auto"/>
        <w:jc w:val="both"/>
        <w:rPr>
          <w:rFonts w:ascii="Times New Roman" w:hAnsi="Times New Roman" w:cs="Times New Roman"/>
          <w:sz w:val="24"/>
          <w:szCs w:val="24"/>
        </w:rPr>
      </w:pPr>
      <w:r w:rsidRPr="008B2EDF">
        <w:rPr>
          <w:rFonts w:ascii="Times New Roman" w:hAnsi="Times New Roman" w:cs="Times New Roman"/>
          <w:sz w:val="24"/>
          <w:szCs w:val="24"/>
        </w:rPr>
        <w:t>One-way ANOVA results demonstrated that age has a statistically significant effect on job satisfaction with work schedules (F(4,115) = 3.68, p = 0.008). Employees aged 35–44 reported higher satisfaction than younger colleagues, which may reflect greater stability or adjusted expectations regarding work–life balance. However, tenure did not significantly influence perceptions of fairness in performance evaluation (F(5,114) = 1.24, p = 0.29), indicating that length of service does not translate into improved perceptions of organisational justice.</w:t>
      </w:r>
    </w:p>
    <w:p w14:paraId="6145B098" w14:textId="3674696C" w:rsidR="000E03E8" w:rsidRPr="008B2EDF" w:rsidRDefault="000E03E8" w:rsidP="004F17FF">
      <w:pPr>
        <w:tabs>
          <w:tab w:val="left" w:pos="2055"/>
        </w:tabs>
        <w:spacing w:line="360" w:lineRule="auto"/>
        <w:jc w:val="both"/>
        <w:rPr>
          <w:rFonts w:ascii="Times New Roman" w:hAnsi="Times New Roman" w:cs="Times New Roman"/>
          <w:sz w:val="24"/>
          <w:szCs w:val="24"/>
        </w:rPr>
      </w:pPr>
      <w:r w:rsidRPr="008B2EDF">
        <w:rPr>
          <w:rFonts w:ascii="Times New Roman" w:hAnsi="Times New Roman" w:cs="Times New Roman"/>
          <w:sz w:val="24"/>
          <w:szCs w:val="24"/>
        </w:rPr>
        <w:t xml:space="preserve">A Pearson correlation analysis revealed a moderate positive relationship between weekly working hours and perceived access to career advancement (r = 0.42, p = 0.002), suggesting </w:t>
      </w:r>
      <w:r w:rsidRPr="008B2EDF">
        <w:rPr>
          <w:rFonts w:ascii="Times New Roman" w:hAnsi="Times New Roman" w:cs="Times New Roman"/>
          <w:sz w:val="24"/>
          <w:szCs w:val="24"/>
        </w:rPr>
        <w:lastRenderedPageBreak/>
        <w:t>that employees working longer hours tend to perceive greater opportunities for promotion. However, this relationship is correlational and does not establish causation, meaning that structural factors linked to working hours may be driving perceived inequality rather than hours alone.</w:t>
      </w:r>
      <w:r w:rsidR="00E41356" w:rsidRPr="00E41356">
        <w:t xml:space="preserve"> </w:t>
      </w:r>
      <w:r w:rsidR="00E41356" w:rsidRPr="00E41356">
        <w:rPr>
          <w:rFonts w:ascii="Times New Roman" w:hAnsi="Times New Roman" w:cs="Times New Roman"/>
          <w:sz w:val="24"/>
          <w:szCs w:val="24"/>
        </w:rPr>
        <w:t>To ensure validity of the Pearson correlation analysis between weekly working hours and perceived career progression, two key assumptions were considered: linearity and approximate normal distribution. Visual inspection of scatterplots indicated a clear positive linear relationship between the two variables, supporting the use of Pearson correlation. In addition, distribution patterns showed no extreme skewness that would violate parametric assumptions. While minor deviations from normality may exist due to self-reported survey data, Pearson correlation is considered robust for moderate sample sizes such as n = 120 (Pallant, 2020). The results are therefore interpreted as indicating association rather than causation.</w:t>
      </w:r>
    </w:p>
    <w:p w14:paraId="4994A85C" w14:textId="4F0FF87A" w:rsidR="000E03E8" w:rsidRPr="008B2EDF" w:rsidRDefault="000E03E8" w:rsidP="004F17FF">
      <w:pPr>
        <w:tabs>
          <w:tab w:val="left" w:pos="2055"/>
        </w:tabs>
        <w:spacing w:line="360" w:lineRule="auto"/>
        <w:jc w:val="both"/>
        <w:rPr>
          <w:rFonts w:ascii="Times New Roman" w:hAnsi="Times New Roman" w:cs="Times New Roman"/>
          <w:sz w:val="24"/>
          <w:szCs w:val="24"/>
        </w:rPr>
      </w:pPr>
      <w:r w:rsidRPr="008B2EDF">
        <w:rPr>
          <w:rFonts w:ascii="Times New Roman" w:hAnsi="Times New Roman" w:cs="Times New Roman"/>
          <w:sz w:val="24"/>
          <w:szCs w:val="24"/>
        </w:rPr>
        <w:t xml:space="preserve">Collectively, these findings highlight that employment structure, particularly part-time status and working hours, plays a more significant role in shaping workplace experiences than demographic variables such as gender or tenure. This supports broader literature on structural inequality within flexible labour markets (Kossek </w:t>
      </w:r>
      <w:r w:rsidR="00570CA8" w:rsidRPr="008B2EDF">
        <w:rPr>
          <w:rFonts w:ascii="Times New Roman" w:hAnsi="Times New Roman" w:cs="Times New Roman"/>
          <w:i/>
          <w:sz w:val="24"/>
          <w:szCs w:val="24"/>
        </w:rPr>
        <w:t>et al.</w:t>
      </w:r>
      <w:r w:rsidRPr="008B2EDF">
        <w:rPr>
          <w:rFonts w:ascii="Times New Roman" w:hAnsi="Times New Roman" w:cs="Times New Roman"/>
          <w:sz w:val="24"/>
          <w:szCs w:val="24"/>
        </w:rPr>
        <w:t xml:space="preserve">, 2023; Rydström </w:t>
      </w:r>
      <w:r w:rsidR="00570CA8" w:rsidRPr="008B2EDF">
        <w:rPr>
          <w:rFonts w:ascii="Times New Roman" w:hAnsi="Times New Roman" w:cs="Times New Roman"/>
          <w:i/>
          <w:sz w:val="24"/>
          <w:szCs w:val="24"/>
        </w:rPr>
        <w:t>et al.</w:t>
      </w:r>
      <w:r w:rsidRPr="008B2EDF">
        <w:rPr>
          <w:rFonts w:ascii="Times New Roman" w:hAnsi="Times New Roman" w:cs="Times New Roman"/>
          <w:sz w:val="24"/>
          <w:szCs w:val="24"/>
        </w:rPr>
        <w:t>, 2023).</w:t>
      </w:r>
    </w:p>
    <w:p w14:paraId="6DFC0CFD" w14:textId="77777777" w:rsidR="0065156D" w:rsidRPr="008B2EDF" w:rsidRDefault="0065156D" w:rsidP="004F17FF">
      <w:pPr>
        <w:tabs>
          <w:tab w:val="left" w:pos="2055"/>
        </w:tabs>
        <w:spacing w:line="360" w:lineRule="auto"/>
        <w:jc w:val="both"/>
        <w:rPr>
          <w:rFonts w:ascii="Times New Roman" w:hAnsi="Times New Roman" w:cs="Times New Roman"/>
          <w:sz w:val="24"/>
          <w:szCs w:val="24"/>
        </w:rPr>
      </w:pPr>
    </w:p>
    <w:p w14:paraId="7D6ABE07" w14:textId="0AC581BB" w:rsidR="00A3443F" w:rsidRPr="008B2EDF" w:rsidRDefault="00A3443F" w:rsidP="004F17FF">
      <w:pPr>
        <w:tabs>
          <w:tab w:val="left" w:pos="2055"/>
        </w:tabs>
        <w:spacing w:line="360" w:lineRule="auto"/>
        <w:jc w:val="both"/>
        <w:rPr>
          <w:rFonts w:ascii="Times New Roman" w:eastAsia="Times New Roman" w:hAnsi="Times New Roman" w:cs="Times New Roman"/>
          <w:b/>
          <w:bCs/>
          <w:kern w:val="0"/>
          <w:sz w:val="24"/>
          <w:szCs w:val="24"/>
          <w:lang w:eastAsia="en-GB"/>
          <w14:ligatures w14:val="none"/>
        </w:rPr>
      </w:pPr>
    </w:p>
    <w:tbl>
      <w:tblPr>
        <w:tblStyle w:val="TableGrid"/>
        <w:tblW w:w="0" w:type="auto"/>
        <w:tblLook w:val="04A0" w:firstRow="1" w:lastRow="0" w:firstColumn="1" w:lastColumn="0" w:noHBand="0" w:noVBand="1"/>
      </w:tblPr>
      <w:tblGrid>
        <w:gridCol w:w="1449"/>
        <w:gridCol w:w="2349"/>
        <w:gridCol w:w="1272"/>
        <w:gridCol w:w="799"/>
        <w:gridCol w:w="3147"/>
      </w:tblGrid>
      <w:tr w:rsidR="00725209" w:rsidRPr="008B2EDF" w14:paraId="6AE577D6" w14:textId="77777777" w:rsidTr="00E355F4">
        <w:tc>
          <w:tcPr>
            <w:tcW w:w="0" w:type="auto"/>
            <w:hideMark/>
          </w:tcPr>
          <w:p w14:paraId="2AFE0682" w14:textId="77777777" w:rsidR="00725209" w:rsidRPr="008B2EDF" w:rsidRDefault="00725209" w:rsidP="004F17FF">
            <w:pPr>
              <w:spacing w:line="360" w:lineRule="auto"/>
              <w:jc w:val="both"/>
              <w:rPr>
                <w:rFonts w:ascii="Times New Roman" w:eastAsia="Times New Roman" w:hAnsi="Times New Roman" w:cs="Times New Roman"/>
                <w:b/>
                <w:bCs/>
                <w:kern w:val="0"/>
                <w:sz w:val="24"/>
                <w:szCs w:val="24"/>
                <w:lang w:eastAsia="en-GB"/>
                <w14:ligatures w14:val="none"/>
              </w:rPr>
            </w:pPr>
            <w:r w:rsidRPr="008B2EDF">
              <w:rPr>
                <w:rFonts w:ascii="Times New Roman" w:eastAsia="Times New Roman" w:hAnsi="Times New Roman" w:cs="Times New Roman"/>
                <w:b/>
                <w:bCs/>
                <w:kern w:val="0"/>
                <w:sz w:val="24"/>
                <w:szCs w:val="24"/>
                <w:lang w:eastAsia="en-GB"/>
                <w14:ligatures w14:val="none"/>
              </w:rPr>
              <w:t>Analysis Type</w:t>
            </w:r>
          </w:p>
        </w:tc>
        <w:tc>
          <w:tcPr>
            <w:tcW w:w="0" w:type="auto"/>
            <w:hideMark/>
          </w:tcPr>
          <w:p w14:paraId="6E4C82EA" w14:textId="77777777" w:rsidR="00725209" w:rsidRPr="008B2EDF" w:rsidRDefault="00725209" w:rsidP="004F17FF">
            <w:pPr>
              <w:spacing w:line="360" w:lineRule="auto"/>
              <w:jc w:val="both"/>
              <w:rPr>
                <w:rFonts w:ascii="Times New Roman" w:eastAsia="Times New Roman" w:hAnsi="Times New Roman" w:cs="Times New Roman"/>
                <w:b/>
                <w:bCs/>
                <w:kern w:val="0"/>
                <w:sz w:val="24"/>
                <w:szCs w:val="24"/>
                <w:lang w:eastAsia="en-GB"/>
                <w14:ligatures w14:val="none"/>
              </w:rPr>
            </w:pPr>
            <w:r w:rsidRPr="008B2EDF">
              <w:rPr>
                <w:rFonts w:ascii="Times New Roman" w:eastAsia="Times New Roman" w:hAnsi="Times New Roman" w:cs="Times New Roman"/>
                <w:b/>
                <w:bCs/>
                <w:kern w:val="0"/>
                <w:sz w:val="24"/>
                <w:szCs w:val="24"/>
                <w:lang w:eastAsia="en-GB"/>
                <w14:ligatures w14:val="none"/>
              </w:rPr>
              <w:t>Variables Examined</w:t>
            </w:r>
          </w:p>
        </w:tc>
        <w:tc>
          <w:tcPr>
            <w:tcW w:w="0" w:type="auto"/>
            <w:hideMark/>
          </w:tcPr>
          <w:p w14:paraId="0847351C" w14:textId="1312C425" w:rsidR="00725209" w:rsidRPr="008B2EDF" w:rsidRDefault="00962D5D" w:rsidP="004F17FF">
            <w:pPr>
              <w:spacing w:line="360" w:lineRule="auto"/>
              <w:jc w:val="both"/>
              <w:rPr>
                <w:rFonts w:ascii="Times New Roman" w:eastAsia="Times New Roman" w:hAnsi="Times New Roman" w:cs="Times New Roman"/>
                <w:b/>
                <w:bCs/>
                <w:kern w:val="0"/>
                <w:sz w:val="24"/>
                <w:szCs w:val="24"/>
                <w:lang w:eastAsia="en-GB"/>
                <w14:ligatures w14:val="none"/>
              </w:rPr>
            </w:pPr>
            <w:r w:rsidRPr="008B2EDF">
              <w:rPr>
                <w:rFonts w:ascii="Times New Roman" w:eastAsia="Times New Roman" w:hAnsi="Times New Roman" w:cs="Times New Roman"/>
                <w:b/>
                <w:bCs/>
                <w:kern w:val="0"/>
                <w:sz w:val="24"/>
                <w:szCs w:val="24"/>
                <w:lang w:eastAsia="en-GB"/>
                <w14:ligatures w14:val="none"/>
              </w:rPr>
              <w:t>Evaluate</w:t>
            </w:r>
            <w:r w:rsidR="00725209" w:rsidRPr="008B2EDF">
              <w:rPr>
                <w:rFonts w:ascii="Times New Roman" w:eastAsia="Times New Roman" w:hAnsi="Times New Roman" w:cs="Times New Roman"/>
                <w:b/>
                <w:bCs/>
                <w:kern w:val="0"/>
                <w:sz w:val="24"/>
                <w:szCs w:val="24"/>
                <w:lang w:eastAsia="en-GB"/>
                <w14:ligatures w14:val="none"/>
              </w:rPr>
              <w:t xml:space="preserve"> Statistic</w:t>
            </w:r>
          </w:p>
        </w:tc>
        <w:tc>
          <w:tcPr>
            <w:tcW w:w="0" w:type="auto"/>
            <w:hideMark/>
          </w:tcPr>
          <w:p w14:paraId="2ECD2E71" w14:textId="77777777" w:rsidR="00725209" w:rsidRPr="008B2EDF" w:rsidRDefault="00725209" w:rsidP="004F17FF">
            <w:pPr>
              <w:spacing w:line="360" w:lineRule="auto"/>
              <w:jc w:val="both"/>
              <w:rPr>
                <w:rFonts w:ascii="Times New Roman" w:eastAsia="Times New Roman" w:hAnsi="Times New Roman" w:cs="Times New Roman"/>
                <w:b/>
                <w:bCs/>
                <w:kern w:val="0"/>
                <w:sz w:val="24"/>
                <w:szCs w:val="24"/>
                <w:lang w:eastAsia="en-GB"/>
                <w14:ligatures w14:val="none"/>
              </w:rPr>
            </w:pPr>
            <w:r w:rsidRPr="008B2EDF">
              <w:rPr>
                <w:rFonts w:ascii="Times New Roman" w:eastAsia="Times New Roman" w:hAnsi="Times New Roman" w:cs="Times New Roman"/>
                <w:b/>
                <w:bCs/>
                <w:kern w:val="0"/>
                <w:sz w:val="24"/>
                <w:szCs w:val="24"/>
                <w:lang w:eastAsia="en-GB"/>
                <w14:ligatures w14:val="none"/>
              </w:rPr>
              <w:t>p-value</w:t>
            </w:r>
          </w:p>
        </w:tc>
        <w:tc>
          <w:tcPr>
            <w:tcW w:w="0" w:type="auto"/>
            <w:hideMark/>
          </w:tcPr>
          <w:p w14:paraId="107B7288" w14:textId="77777777" w:rsidR="00725209" w:rsidRPr="008B2EDF" w:rsidRDefault="00725209" w:rsidP="004F17FF">
            <w:pPr>
              <w:spacing w:line="360" w:lineRule="auto"/>
              <w:jc w:val="both"/>
              <w:rPr>
                <w:rFonts w:ascii="Times New Roman" w:eastAsia="Times New Roman" w:hAnsi="Times New Roman" w:cs="Times New Roman"/>
                <w:b/>
                <w:bCs/>
                <w:kern w:val="0"/>
                <w:sz w:val="24"/>
                <w:szCs w:val="24"/>
                <w:lang w:eastAsia="en-GB"/>
                <w14:ligatures w14:val="none"/>
              </w:rPr>
            </w:pPr>
            <w:r w:rsidRPr="008B2EDF">
              <w:rPr>
                <w:rFonts w:ascii="Times New Roman" w:eastAsia="Times New Roman" w:hAnsi="Times New Roman" w:cs="Times New Roman"/>
                <w:b/>
                <w:bCs/>
                <w:kern w:val="0"/>
                <w:sz w:val="24"/>
                <w:szCs w:val="24"/>
                <w:lang w:eastAsia="en-GB"/>
                <w14:ligatures w14:val="none"/>
              </w:rPr>
              <w:t>Interpretation</w:t>
            </w:r>
          </w:p>
        </w:tc>
      </w:tr>
      <w:tr w:rsidR="00725209" w:rsidRPr="008B2EDF" w14:paraId="19EEE8CF" w14:textId="77777777" w:rsidTr="00E355F4">
        <w:tc>
          <w:tcPr>
            <w:tcW w:w="0" w:type="auto"/>
            <w:hideMark/>
          </w:tcPr>
          <w:p w14:paraId="003341EF" w14:textId="77777777" w:rsidR="00725209" w:rsidRPr="008B2EDF" w:rsidRDefault="00725209" w:rsidP="004F17FF">
            <w:pPr>
              <w:spacing w:line="360" w:lineRule="auto"/>
              <w:jc w:val="both"/>
              <w:rPr>
                <w:rFonts w:ascii="Times New Roman" w:eastAsia="Times New Roman" w:hAnsi="Times New Roman" w:cs="Times New Roman"/>
                <w:kern w:val="0"/>
                <w:sz w:val="24"/>
                <w:szCs w:val="24"/>
                <w:lang w:eastAsia="en-GB"/>
                <w14:ligatures w14:val="none"/>
              </w:rPr>
            </w:pPr>
            <w:r w:rsidRPr="008B2EDF">
              <w:rPr>
                <w:rFonts w:ascii="Times New Roman" w:eastAsia="Times New Roman" w:hAnsi="Times New Roman" w:cs="Times New Roman"/>
                <w:kern w:val="0"/>
                <w:sz w:val="24"/>
                <w:szCs w:val="24"/>
                <w:lang w:eastAsia="en-GB"/>
                <w14:ligatures w14:val="none"/>
              </w:rPr>
              <w:t>Chi-Square</w:t>
            </w:r>
          </w:p>
        </w:tc>
        <w:tc>
          <w:tcPr>
            <w:tcW w:w="0" w:type="auto"/>
            <w:hideMark/>
          </w:tcPr>
          <w:p w14:paraId="49752499" w14:textId="77777777" w:rsidR="00725209" w:rsidRPr="008B2EDF" w:rsidRDefault="00725209" w:rsidP="004F17FF">
            <w:pPr>
              <w:spacing w:line="360" w:lineRule="auto"/>
              <w:jc w:val="both"/>
              <w:rPr>
                <w:rFonts w:ascii="Times New Roman" w:eastAsia="Times New Roman" w:hAnsi="Times New Roman" w:cs="Times New Roman"/>
                <w:kern w:val="0"/>
                <w:sz w:val="24"/>
                <w:szCs w:val="24"/>
                <w:lang w:eastAsia="en-GB"/>
                <w14:ligatures w14:val="none"/>
              </w:rPr>
            </w:pPr>
            <w:r w:rsidRPr="008B2EDF">
              <w:rPr>
                <w:rFonts w:ascii="Times New Roman" w:eastAsia="Times New Roman" w:hAnsi="Times New Roman" w:cs="Times New Roman"/>
                <w:kern w:val="0"/>
                <w:sz w:val="24"/>
                <w:szCs w:val="24"/>
                <w:lang w:eastAsia="en-GB"/>
                <w14:ligatures w14:val="none"/>
              </w:rPr>
              <w:t>Employment status vs. recognition in performance evaluations</w:t>
            </w:r>
          </w:p>
        </w:tc>
        <w:tc>
          <w:tcPr>
            <w:tcW w:w="0" w:type="auto"/>
            <w:hideMark/>
          </w:tcPr>
          <w:p w14:paraId="2E09D2F5" w14:textId="77777777" w:rsidR="00725209" w:rsidRPr="008B2EDF" w:rsidRDefault="00725209" w:rsidP="004F17FF">
            <w:pPr>
              <w:spacing w:line="360" w:lineRule="auto"/>
              <w:jc w:val="both"/>
              <w:rPr>
                <w:rFonts w:ascii="Times New Roman" w:eastAsia="Times New Roman" w:hAnsi="Times New Roman" w:cs="Times New Roman"/>
                <w:kern w:val="0"/>
                <w:sz w:val="24"/>
                <w:szCs w:val="24"/>
                <w:lang w:eastAsia="en-GB"/>
                <w14:ligatures w14:val="none"/>
              </w:rPr>
            </w:pPr>
            <w:r w:rsidRPr="008B2EDF">
              <w:rPr>
                <w:rFonts w:ascii="Times New Roman" w:eastAsia="Times New Roman" w:hAnsi="Times New Roman" w:cs="Times New Roman"/>
                <w:kern w:val="0"/>
                <w:sz w:val="24"/>
                <w:szCs w:val="24"/>
                <w:lang w:eastAsia="en-GB"/>
                <w14:ligatures w14:val="none"/>
              </w:rPr>
              <w:t>χ² = 12.45</w:t>
            </w:r>
          </w:p>
        </w:tc>
        <w:tc>
          <w:tcPr>
            <w:tcW w:w="0" w:type="auto"/>
            <w:hideMark/>
          </w:tcPr>
          <w:p w14:paraId="49EECCE8" w14:textId="77777777" w:rsidR="00725209" w:rsidRPr="008B2EDF" w:rsidRDefault="00725209" w:rsidP="004F17FF">
            <w:pPr>
              <w:spacing w:line="360" w:lineRule="auto"/>
              <w:jc w:val="both"/>
              <w:rPr>
                <w:rFonts w:ascii="Times New Roman" w:eastAsia="Times New Roman" w:hAnsi="Times New Roman" w:cs="Times New Roman"/>
                <w:kern w:val="0"/>
                <w:sz w:val="24"/>
                <w:szCs w:val="24"/>
                <w:lang w:eastAsia="en-GB"/>
                <w14:ligatures w14:val="none"/>
              </w:rPr>
            </w:pPr>
            <w:r w:rsidRPr="008B2EDF">
              <w:rPr>
                <w:rFonts w:ascii="Times New Roman" w:eastAsia="Times New Roman" w:hAnsi="Times New Roman" w:cs="Times New Roman"/>
                <w:kern w:val="0"/>
                <w:sz w:val="24"/>
                <w:szCs w:val="24"/>
                <w:lang w:eastAsia="en-GB"/>
                <w14:ligatures w14:val="none"/>
              </w:rPr>
              <w:t>0.001</w:t>
            </w:r>
          </w:p>
        </w:tc>
        <w:tc>
          <w:tcPr>
            <w:tcW w:w="0" w:type="auto"/>
            <w:hideMark/>
          </w:tcPr>
          <w:p w14:paraId="6937BA31" w14:textId="6FA76619" w:rsidR="00725209" w:rsidRPr="008B2EDF" w:rsidRDefault="00725209" w:rsidP="004F17FF">
            <w:pPr>
              <w:spacing w:line="360" w:lineRule="auto"/>
              <w:jc w:val="both"/>
              <w:rPr>
                <w:rFonts w:ascii="Times New Roman" w:eastAsia="Times New Roman" w:hAnsi="Times New Roman" w:cs="Times New Roman"/>
                <w:kern w:val="0"/>
                <w:sz w:val="24"/>
                <w:szCs w:val="24"/>
                <w:lang w:eastAsia="en-GB"/>
                <w14:ligatures w14:val="none"/>
              </w:rPr>
            </w:pPr>
            <w:r w:rsidRPr="008B2EDF">
              <w:rPr>
                <w:rFonts w:ascii="Times New Roman" w:eastAsia="Times New Roman" w:hAnsi="Times New Roman" w:cs="Times New Roman"/>
                <w:kern w:val="0"/>
                <w:sz w:val="24"/>
                <w:szCs w:val="24"/>
                <w:lang w:eastAsia="en-GB"/>
                <w14:ligatures w14:val="none"/>
              </w:rPr>
              <w:t>Part-time employees were significantly less likely to feel recogni</w:t>
            </w:r>
            <w:r w:rsidR="00A3443F" w:rsidRPr="008B2EDF">
              <w:rPr>
                <w:rFonts w:ascii="Times New Roman" w:eastAsia="Times New Roman" w:hAnsi="Times New Roman" w:cs="Times New Roman"/>
                <w:kern w:val="0"/>
                <w:sz w:val="24"/>
                <w:szCs w:val="24"/>
                <w:lang w:eastAsia="en-GB"/>
                <w14:ligatures w14:val="none"/>
              </w:rPr>
              <w:t>s</w:t>
            </w:r>
            <w:r w:rsidRPr="008B2EDF">
              <w:rPr>
                <w:rFonts w:ascii="Times New Roman" w:eastAsia="Times New Roman" w:hAnsi="Times New Roman" w:cs="Times New Roman"/>
                <w:kern w:val="0"/>
                <w:sz w:val="24"/>
                <w:szCs w:val="24"/>
                <w:lang w:eastAsia="en-GB"/>
                <w14:ligatures w14:val="none"/>
              </w:rPr>
              <w:t>ed than full-time employees.</w:t>
            </w:r>
          </w:p>
        </w:tc>
      </w:tr>
      <w:tr w:rsidR="00725209" w:rsidRPr="008B2EDF" w14:paraId="02CE0014" w14:textId="77777777" w:rsidTr="00E355F4">
        <w:tc>
          <w:tcPr>
            <w:tcW w:w="0" w:type="auto"/>
            <w:hideMark/>
          </w:tcPr>
          <w:p w14:paraId="7D65FC1A" w14:textId="77777777" w:rsidR="00725209" w:rsidRPr="008B2EDF" w:rsidRDefault="00725209" w:rsidP="004F17FF">
            <w:pPr>
              <w:spacing w:line="360" w:lineRule="auto"/>
              <w:jc w:val="both"/>
              <w:rPr>
                <w:rFonts w:ascii="Times New Roman" w:eastAsia="Times New Roman" w:hAnsi="Times New Roman" w:cs="Times New Roman"/>
                <w:kern w:val="0"/>
                <w:sz w:val="24"/>
                <w:szCs w:val="24"/>
                <w:lang w:eastAsia="en-GB"/>
                <w14:ligatures w14:val="none"/>
              </w:rPr>
            </w:pPr>
            <w:r w:rsidRPr="008B2EDF">
              <w:rPr>
                <w:rFonts w:ascii="Times New Roman" w:eastAsia="Times New Roman" w:hAnsi="Times New Roman" w:cs="Times New Roman"/>
                <w:kern w:val="0"/>
                <w:sz w:val="24"/>
                <w:szCs w:val="24"/>
                <w:lang w:eastAsia="en-GB"/>
                <w14:ligatures w14:val="none"/>
              </w:rPr>
              <w:t>Chi-Square</w:t>
            </w:r>
          </w:p>
        </w:tc>
        <w:tc>
          <w:tcPr>
            <w:tcW w:w="0" w:type="auto"/>
            <w:hideMark/>
          </w:tcPr>
          <w:p w14:paraId="4C856668" w14:textId="77777777" w:rsidR="00725209" w:rsidRPr="008B2EDF" w:rsidRDefault="00725209" w:rsidP="004F17FF">
            <w:pPr>
              <w:spacing w:line="360" w:lineRule="auto"/>
              <w:jc w:val="both"/>
              <w:rPr>
                <w:rFonts w:ascii="Times New Roman" w:eastAsia="Times New Roman" w:hAnsi="Times New Roman" w:cs="Times New Roman"/>
                <w:kern w:val="0"/>
                <w:sz w:val="24"/>
                <w:szCs w:val="24"/>
                <w:lang w:eastAsia="en-GB"/>
                <w14:ligatures w14:val="none"/>
              </w:rPr>
            </w:pPr>
            <w:r w:rsidRPr="008B2EDF">
              <w:rPr>
                <w:rFonts w:ascii="Times New Roman" w:eastAsia="Times New Roman" w:hAnsi="Times New Roman" w:cs="Times New Roman"/>
                <w:kern w:val="0"/>
                <w:sz w:val="24"/>
                <w:szCs w:val="24"/>
                <w:lang w:eastAsia="en-GB"/>
                <w14:ligatures w14:val="none"/>
              </w:rPr>
              <w:t>Gender vs. perceived barriers to promotion</w:t>
            </w:r>
          </w:p>
        </w:tc>
        <w:tc>
          <w:tcPr>
            <w:tcW w:w="0" w:type="auto"/>
            <w:hideMark/>
          </w:tcPr>
          <w:p w14:paraId="34B69274" w14:textId="77777777" w:rsidR="00725209" w:rsidRPr="008B2EDF" w:rsidRDefault="00725209" w:rsidP="004F17FF">
            <w:pPr>
              <w:spacing w:line="360" w:lineRule="auto"/>
              <w:jc w:val="both"/>
              <w:rPr>
                <w:rFonts w:ascii="Times New Roman" w:eastAsia="Times New Roman" w:hAnsi="Times New Roman" w:cs="Times New Roman"/>
                <w:kern w:val="0"/>
                <w:sz w:val="24"/>
                <w:szCs w:val="24"/>
                <w:lang w:eastAsia="en-GB"/>
                <w14:ligatures w14:val="none"/>
              </w:rPr>
            </w:pPr>
            <w:r w:rsidRPr="008B2EDF">
              <w:rPr>
                <w:rFonts w:ascii="Times New Roman" w:eastAsia="Times New Roman" w:hAnsi="Times New Roman" w:cs="Times New Roman"/>
                <w:kern w:val="0"/>
                <w:sz w:val="24"/>
                <w:szCs w:val="24"/>
                <w:lang w:eastAsia="en-GB"/>
                <w14:ligatures w14:val="none"/>
              </w:rPr>
              <w:t>χ² = 2.17</w:t>
            </w:r>
          </w:p>
        </w:tc>
        <w:tc>
          <w:tcPr>
            <w:tcW w:w="0" w:type="auto"/>
            <w:hideMark/>
          </w:tcPr>
          <w:p w14:paraId="5B1D2A7B" w14:textId="77777777" w:rsidR="00725209" w:rsidRPr="008B2EDF" w:rsidRDefault="00725209" w:rsidP="004F17FF">
            <w:pPr>
              <w:spacing w:line="360" w:lineRule="auto"/>
              <w:jc w:val="both"/>
              <w:rPr>
                <w:rFonts w:ascii="Times New Roman" w:eastAsia="Times New Roman" w:hAnsi="Times New Roman" w:cs="Times New Roman"/>
                <w:kern w:val="0"/>
                <w:sz w:val="24"/>
                <w:szCs w:val="24"/>
                <w:lang w:eastAsia="en-GB"/>
                <w14:ligatures w14:val="none"/>
              </w:rPr>
            </w:pPr>
            <w:r w:rsidRPr="008B2EDF">
              <w:rPr>
                <w:rFonts w:ascii="Times New Roman" w:eastAsia="Times New Roman" w:hAnsi="Times New Roman" w:cs="Times New Roman"/>
                <w:kern w:val="0"/>
                <w:sz w:val="24"/>
                <w:szCs w:val="24"/>
                <w:lang w:eastAsia="en-GB"/>
                <w14:ligatures w14:val="none"/>
              </w:rPr>
              <w:t>0.34</w:t>
            </w:r>
          </w:p>
        </w:tc>
        <w:tc>
          <w:tcPr>
            <w:tcW w:w="0" w:type="auto"/>
            <w:hideMark/>
          </w:tcPr>
          <w:p w14:paraId="08F38F52" w14:textId="77777777" w:rsidR="00725209" w:rsidRPr="008B2EDF" w:rsidRDefault="00725209" w:rsidP="004F17FF">
            <w:pPr>
              <w:spacing w:line="360" w:lineRule="auto"/>
              <w:jc w:val="both"/>
              <w:rPr>
                <w:rFonts w:ascii="Times New Roman" w:eastAsia="Times New Roman" w:hAnsi="Times New Roman" w:cs="Times New Roman"/>
                <w:kern w:val="0"/>
                <w:sz w:val="24"/>
                <w:szCs w:val="24"/>
                <w:lang w:eastAsia="en-GB"/>
                <w14:ligatures w14:val="none"/>
              </w:rPr>
            </w:pPr>
            <w:r w:rsidRPr="008B2EDF">
              <w:rPr>
                <w:rFonts w:ascii="Times New Roman" w:eastAsia="Times New Roman" w:hAnsi="Times New Roman" w:cs="Times New Roman"/>
                <w:kern w:val="0"/>
                <w:sz w:val="24"/>
                <w:szCs w:val="24"/>
                <w:lang w:eastAsia="en-GB"/>
                <w14:ligatures w14:val="none"/>
              </w:rPr>
              <w:t>No significant association: gender did not predict perceived promotion barriers.</w:t>
            </w:r>
          </w:p>
        </w:tc>
      </w:tr>
      <w:tr w:rsidR="00725209" w:rsidRPr="008B2EDF" w14:paraId="2F194DBA" w14:textId="77777777" w:rsidTr="00E355F4">
        <w:tc>
          <w:tcPr>
            <w:tcW w:w="0" w:type="auto"/>
            <w:hideMark/>
          </w:tcPr>
          <w:p w14:paraId="33E5B717" w14:textId="77777777" w:rsidR="00725209" w:rsidRPr="008B2EDF" w:rsidRDefault="00725209" w:rsidP="004F17FF">
            <w:pPr>
              <w:spacing w:line="360" w:lineRule="auto"/>
              <w:jc w:val="both"/>
              <w:rPr>
                <w:rFonts w:ascii="Times New Roman" w:eastAsia="Times New Roman" w:hAnsi="Times New Roman" w:cs="Times New Roman"/>
                <w:kern w:val="0"/>
                <w:sz w:val="24"/>
                <w:szCs w:val="24"/>
                <w:lang w:eastAsia="en-GB"/>
                <w14:ligatures w14:val="none"/>
              </w:rPr>
            </w:pPr>
            <w:r w:rsidRPr="008B2EDF">
              <w:rPr>
                <w:rFonts w:ascii="Times New Roman" w:eastAsia="Times New Roman" w:hAnsi="Times New Roman" w:cs="Times New Roman"/>
                <w:kern w:val="0"/>
                <w:sz w:val="24"/>
                <w:szCs w:val="24"/>
                <w:lang w:eastAsia="en-GB"/>
                <w14:ligatures w14:val="none"/>
              </w:rPr>
              <w:t>One-Way ANOVA</w:t>
            </w:r>
          </w:p>
        </w:tc>
        <w:tc>
          <w:tcPr>
            <w:tcW w:w="0" w:type="auto"/>
            <w:hideMark/>
          </w:tcPr>
          <w:p w14:paraId="0EADAD33" w14:textId="77777777" w:rsidR="00725209" w:rsidRPr="008B2EDF" w:rsidRDefault="00725209" w:rsidP="004F17FF">
            <w:pPr>
              <w:spacing w:line="360" w:lineRule="auto"/>
              <w:jc w:val="both"/>
              <w:rPr>
                <w:rFonts w:ascii="Times New Roman" w:eastAsia="Times New Roman" w:hAnsi="Times New Roman" w:cs="Times New Roman"/>
                <w:kern w:val="0"/>
                <w:sz w:val="24"/>
                <w:szCs w:val="24"/>
                <w:lang w:eastAsia="en-GB"/>
                <w14:ligatures w14:val="none"/>
              </w:rPr>
            </w:pPr>
            <w:r w:rsidRPr="008B2EDF">
              <w:rPr>
                <w:rFonts w:ascii="Times New Roman" w:eastAsia="Times New Roman" w:hAnsi="Times New Roman" w:cs="Times New Roman"/>
                <w:kern w:val="0"/>
                <w:sz w:val="24"/>
                <w:szCs w:val="24"/>
                <w:lang w:eastAsia="en-GB"/>
                <w14:ligatures w14:val="none"/>
              </w:rPr>
              <w:t>Age group vs. job satisfaction with schedule</w:t>
            </w:r>
          </w:p>
        </w:tc>
        <w:tc>
          <w:tcPr>
            <w:tcW w:w="0" w:type="auto"/>
            <w:hideMark/>
          </w:tcPr>
          <w:p w14:paraId="37DA3EB7" w14:textId="77777777" w:rsidR="00725209" w:rsidRPr="008B2EDF" w:rsidRDefault="00725209" w:rsidP="004F17FF">
            <w:pPr>
              <w:spacing w:line="360" w:lineRule="auto"/>
              <w:jc w:val="both"/>
              <w:rPr>
                <w:rFonts w:ascii="Times New Roman" w:eastAsia="Times New Roman" w:hAnsi="Times New Roman" w:cs="Times New Roman"/>
                <w:kern w:val="0"/>
                <w:sz w:val="24"/>
                <w:szCs w:val="24"/>
                <w:lang w:eastAsia="en-GB"/>
                <w14:ligatures w14:val="none"/>
              </w:rPr>
            </w:pPr>
            <w:r w:rsidRPr="008B2EDF">
              <w:rPr>
                <w:rFonts w:ascii="Times New Roman" w:eastAsia="Times New Roman" w:hAnsi="Times New Roman" w:cs="Times New Roman"/>
                <w:kern w:val="0"/>
                <w:sz w:val="24"/>
                <w:szCs w:val="24"/>
                <w:lang w:eastAsia="en-GB"/>
                <w14:ligatures w14:val="none"/>
              </w:rPr>
              <w:t>F(4,115) = 3.68</w:t>
            </w:r>
          </w:p>
        </w:tc>
        <w:tc>
          <w:tcPr>
            <w:tcW w:w="0" w:type="auto"/>
            <w:hideMark/>
          </w:tcPr>
          <w:p w14:paraId="4AA4CD5E" w14:textId="77777777" w:rsidR="00725209" w:rsidRPr="008B2EDF" w:rsidRDefault="00725209" w:rsidP="004F17FF">
            <w:pPr>
              <w:spacing w:line="360" w:lineRule="auto"/>
              <w:jc w:val="both"/>
              <w:rPr>
                <w:rFonts w:ascii="Times New Roman" w:eastAsia="Times New Roman" w:hAnsi="Times New Roman" w:cs="Times New Roman"/>
                <w:kern w:val="0"/>
                <w:sz w:val="24"/>
                <w:szCs w:val="24"/>
                <w:lang w:eastAsia="en-GB"/>
                <w14:ligatures w14:val="none"/>
              </w:rPr>
            </w:pPr>
            <w:r w:rsidRPr="008B2EDF">
              <w:rPr>
                <w:rFonts w:ascii="Times New Roman" w:eastAsia="Times New Roman" w:hAnsi="Times New Roman" w:cs="Times New Roman"/>
                <w:kern w:val="0"/>
                <w:sz w:val="24"/>
                <w:szCs w:val="24"/>
                <w:lang w:eastAsia="en-GB"/>
                <w14:ligatures w14:val="none"/>
              </w:rPr>
              <w:t>0.008</w:t>
            </w:r>
          </w:p>
        </w:tc>
        <w:tc>
          <w:tcPr>
            <w:tcW w:w="0" w:type="auto"/>
            <w:hideMark/>
          </w:tcPr>
          <w:p w14:paraId="2F6775A7" w14:textId="77777777" w:rsidR="00725209" w:rsidRPr="008B2EDF" w:rsidRDefault="00725209" w:rsidP="004F17FF">
            <w:pPr>
              <w:spacing w:line="360" w:lineRule="auto"/>
              <w:jc w:val="both"/>
              <w:rPr>
                <w:rFonts w:ascii="Times New Roman" w:eastAsia="Times New Roman" w:hAnsi="Times New Roman" w:cs="Times New Roman"/>
                <w:kern w:val="0"/>
                <w:sz w:val="24"/>
                <w:szCs w:val="24"/>
                <w:lang w:eastAsia="en-GB"/>
                <w14:ligatures w14:val="none"/>
              </w:rPr>
            </w:pPr>
            <w:r w:rsidRPr="008B2EDF">
              <w:rPr>
                <w:rFonts w:ascii="Times New Roman" w:eastAsia="Times New Roman" w:hAnsi="Times New Roman" w:cs="Times New Roman"/>
                <w:kern w:val="0"/>
                <w:sz w:val="24"/>
                <w:szCs w:val="24"/>
                <w:lang w:eastAsia="en-GB"/>
                <w14:ligatures w14:val="none"/>
              </w:rPr>
              <w:t>Significant differences: employees aged 35–44 reported higher satisfaction than younger age groups.</w:t>
            </w:r>
          </w:p>
        </w:tc>
      </w:tr>
      <w:tr w:rsidR="00725209" w:rsidRPr="008B2EDF" w14:paraId="3AF7555E" w14:textId="77777777" w:rsidTr="00E355F4">
        <w:tc>
          <w:tcPr>
            <w:tcW w:w="0" w:type="auto"/>
            <w:hideMark/>
          </w:tcPr>
          <w:p w14:paraId="78C7AC0A" w14:textId="77777777" w:rsidR="00725209" w:rsidRPr="008B2EDF" w:rsidRDefault="00725209" w:rsidP="004F17FF">
            <w:pPr>
              <w:spacing w:line="360" w:lineRule="auto"/>
              <w:jc w:val="both"/>
              <w:rPr>
                <w:rFonts w:ascii="Times New Roman" w:eastAsia="Times New Roman" w:hAnsi="Times New Roman" w:cs="Times New Roman"/>
                <w:kern w:val="0"/>
                <w:sz w:val="24"/>
                <w:szCs w:val="24"/>
                <w:lang w:eastAsia="en-GB"/>
                <w14:ligatures w14:val="none"/>
              </w:rPr>
            </w:pPr>
            <w:r w:rsidRPr="008B2EDF">
              <w:rPr>
                <w:rFonts w:ascii="Times New Roman" w:eastAsia="Times New Roman" w:hAnsi="Times New Roman" w:cs="Times New Roman"/>
                <w:kern w:val="0"/>
                <w:sz w:val="24"/>
                <w:szCs w:val="24"/>
                <w:lang w:eastAsia="en-GB"/>
                <w14:ligatures w14:val="none"/>
              </w:rPr>
              <w:lastRenderedPageBreak/>
              <w:t>One-Way ANOVA</w:t>
            </w:r>
          </w:p>
        </w:tc>
        <w:tc>
          <w:tcPr>
            <w:tcW w:w="0" w:type="auto"/>
            <w:hideMark/>
          </w:tcPr>
          <w:p w14:paraId="1F1FE2D0" w14:textId="77777777" w:rsidR="00725209" w:rsidRPr="008B2EDF" w:rsidRDefault="00725209" w:rsidP="004F17FF">
            <w:pPr>
              <w:spacing w:line="360" w:lineRule="auto"/>
              <w:jc w:val="both"/>
              <w:rPr>
                <w:rFonts w:ascii="Times New Roman" w:eastAsia="Times New Roman" w:hAnsi="Times New Roman" w:cs="Times New Roman"/>
                <w:kern w:val="0"/>
                <w:sz w:val="24"/>
                <w:szCs w:val="24"/>
                <w:lang w:eastAsia="en-GB"/>
                <w14:ligatures w14:val="none"/>
              </w:rPr>
            </w:pPr>
            <w:r w:rsidRPr="008B2EDF">
              <w:rPr>
                <w:rFonts w:ascii="Times New Roman" w:eastAsia="Times New Roman" w:hAnsi="Times New Roman" w:cs="Times New Roman"/>
                <w:kern w:val="0"/>
                <w:sz w:val="24"/>
                <w:szCs w:val="24"/>
                <w:lang w:eastAsia="en-GB"/>
                <w14:ligatures w14:val="none"/>
              </w:rPr>
              <w:t>Tenure vs. perception of fair performance evaluation</w:t>
            </w:r>
          </w:p>
        </w:tc>
        <w:tc>
          <w:tcPr>
            <w:tcW w:w="0" w:type="auto"/>
            <w:hideMark/>
          </w:tcPr>
          <w:p w14:paraId="254CFDB0" w14:textId="77777777" w:rsidR="00725209" w:rsidRPr="008B2EDF" w:rsidRDefault="00725209" w:rsidP="004F17FF">
            <w:pPr>
              <w:spacing w:line="360" w:lineRule="auto"/>
              <w:jc w:val="both"/>
              <w:rPr>
                <w:rFonts w:ascii="Times New Roman" w:eastAsia="Times New Roman" w:hAnsi="Times New Roman" w:cs="Times New Roman"/>
                <w:kern w:val="0"/>
                <w:sz w:val="24"/>
                <w:szCs w:val="24"/>
                <w:lang w:eastAsia="en-GB"/>
                <w14:ligatures w14:val="none"/>
              </w:rPr>
            </w:pPr>
            <w:r w:rsidRPr="008B2EDF">
              <w:rPr>
                <w:rFonts w:ascii="Times New Roman" w:eastAsia="Times New Roman" w:hAnsi="Times New Roman" w:cs="Times New Roman"/>
                <w:kern w:val="0"/>
                <w:sz w:val="24"/>
                <w:szCs w:val="24"/>
                <w:lang w:eastAsia="en-GB"/>
                <w14:ligatures w14:val="none"/>
              </w:rPr>
              <w:t>F(5,114) = 1.24</w:t>
            </w:r>
          </w:p>
        </w:tc>
        <w:tc>
          <w:tcPr>
            <w:tcW w:w="0" w:type="auto"/>
            <w:hideMark/>
          </w:tcPr>
          <w:p w14:paraId="15ACFE4A" w14:textId="77777777" w:rsidR="00725209" w:rsidRPr="008B2EDF" w:rsidRDefault="00725209" w:rsidP="004F17FF">
            <w:pPr>
              <w:spacing w:line="360" w:lineRule="auto"/>
              <w:jc w:val="both"/>
              <w:rPr>
                <w:rFonts w:ascii="Times New Roman" w:eastAsia="Times New Roman" w:hAnsi="Times New Roman" w:cs="Times New Roman"/>
                <w:kern w:val="0"/>
                <w:sz w:val="24"/>
                <w:szCs w:val="24"/>
                <w:lang w:eastAsia="en-GB"/>
                <w14:ligatures w14:val="none"/>
              </w:rPr>
            </w:pPr>
            <w:r w:rsidRPr="008B2EDF">
              <w:rPr>
                <w:rFonts w:ascii="Times New Roman" w:eastAsia="Times New Roman" w:hAnsi="Times New Roman" w:cs="Times New Roman"/>
                <w:kern w:val="0"/>
                <w:sz w:val="24"/>
                <w:szCs w:val="24"/>
                <w:lang w:eastAsia="en-GB"/>
                <w14:ligatures w14:val="none"/>
              </w:rPr>
              <w:t>0.29</w:t>
            </w:r>
          </w:p>
        </w:tc>
        <w:tc>
          <w:tcPr>
            <w:tcW w:w="0" w:type="auto"/>
            <w:hideMark/>
          </w:tcPr>
          <w:p w14:paraId="28A41CF3" w14:textId="77777777" w:rsidR="00725209" w:rsidRPr="008B2EDF" w:rsidRDefault="00725209" w:rsidP="004F17FF">
            <w:pPr>
              <w:spacing w:line="360" w:lineRule="auto"/>
              <w:jc w:val="both"/>
              <w:rPr>
                <w:rFonts w:ascii="Times New Roman" w:eastAsia="Times New Roman" w:hAnsi="Times New Roman" w:cs="Times New Roman"/>
                <w:kern w:val="0"/>
                <w:sz w:val="24"/>
                <w:szCs w:val="24"/>
                <w:lang w:eastAsia="en-GB"/>
                <w14:ligatures w14:val="none"/>
              </w:rPr>
            </w:pPr>
            <w:r w:rsidRPr="008B2EDF">
              <w:rPr>
                <w:rFonts w:ascii="Times New Roman" w:eastAsia="Times New Roman" w:hAnsi="Times New Roman" w:cs="Times New Roman"/>
                <w:kern w:val="0"/>
                <w:sz w:val="24"/>
                <w:szCs w:val="24"/>
                <w:lang w:eastAsia="en-GB"/>
                <w14:ligatures w14:val="none"/>
              </w:rPr>
              <w:t>No significant difference: length of service did not affect perception of fairness.</w:t>
            </w:r>
          </w:p>
        </w:tc>
      </w:tr>
      <w:tr w:rsidR="00725209" w:rsidRPr="008B2EDF" w14:paraId="7CBB641B" w14:textId="77777777" w:rsidTr="00E355F4">
        <w:tc>
          <w:tcPr>
            <w:tcW w:w="0" w:type="auto"/>
            <w:hideMark/>
          </w:tcPr>
          <w:p w14:paraId="3D92CEBD" w14:textId="77777777" w:rsidR="00725209" w:rsidRPr="008B2EDF" w:rsidRDefault="00725209" w:rsidP="004F17FF">
            <w:pPr>
              <w:spacing w:line="360" w:lineRule="auto"/>
              <w:jc w:val="both"/>
              <w:rPr>
                <w:rFonts w:ascii="Times New Roman" w:eastAsia="Times New Roman" w:hAnsi="Times New Roman" w:cs="Times New Roman"/>
                <w:kern w:val="0"/>
                <w:sz w:val="24"/>
                <w:szCs w:val="24"/>
                <w:lang w:eastAsia="en-GB"/>
                <w14:ligatures w14:val="none"/>
              </w:rPr>
            </w:pPr>
            <w:r w:rsidRPr="008B2EDF">
              <w:rPr>
                <w:rFonts w:ascii="Times New Roman" w:eastAsia="Times New Roman" w:hAnsi="Times New Roman" w:cs="Times New Roman"/>
                <w:kern w:val="0"/>
                <w:sz w:val="24"/>
                <w:szCs w:val="24"/>
                <w:lang w:eastAsia="en-GB"/>
                <w14:ligatures w14:val="none"/>
              </w:rPr>
              <w:t>Pearson Correlation</w:t>
            </w:r>
          </w:p>
        </w:tc>
        <w:tc>
          <w:tcPr>
            <w:tcW w:w="0" w:type="auto"/>
            <w:hideMark/>
          </w:tcPr>
          <w:p w14:paraId="44120F76" w14:textId="77777777" w:rsidR="00725209" w:rsidRPr="008B2EDF" w:rsidRDefault="00725209" w:rsidP="004F17FF">
            <w:pPr>
              <w:spacing w:line="360" w:lineRule="auto"/>
              <w:jc w:val="both"/>
              <w:rPr>
                <w:rFonts w:ascii="Times New Roman" w:eastAsia="Times New Roman" w:hAnsi="Times New Roman" w:cs="Times New Roman"/>
                <w:kern w:val="0"/>
                <w:sz w:val="24"/>
                <w:szCs w:val="24"/>
                <w:lang w:eastAsia="en-GB"/>
                <w14:ligatures w14:val="none"/>
              </w:rPr>
            </w:pPr>
            <w:r w:rsidRPr="008B2EDF">
              <w:rPr>
                <w:rFonts w:ascii="Times New Roman" w:eastAsia="Times New Roman" w:hAnsi="Times New Roman" w:cs="Times New Roman"/>
                <w:kern w:val="0"/>
                <w:sz w:val="24"/>
                <w:szCs w:val="24"/>
                <w:lang w:eastAsia="en-GB"/>
                <w14:ligatures w14:val="none"/>
              </w:rPr>
              <w:t>Weekly working hours vs. perceived access to career advancement</w:t>
            </w:r>
          </w:p>
        </w:tc>
        <w:tc>
          <w:tcPr>
            <w:tcW w:w="0" w:type="auto"/>
            <w:hideMark/>
          </w:tcPr>
          <w:p w14:paraId="03E803CD" w14:textId="77777777" w:rsidR="00725209" w:rsidRPr="008B2EDF" w:rsidRDefault="00725209" w:rsidP="004F17FF">
            <w:pPr>
              <w:spacing w:line="360" w:lineRule="auto"/>
              <w:jc w:val="both"/>
              <w:rPr>
                <w:rFonts w:ascii="Times New Roman" w:eastAsia="Times New Roman" w:hAnsi="Times New Roman" w:cs="Times New Roman"/>
                <w:kern w:val="0"/>
                <w:sz w:val="24"/>
                <w:szCs w:val="24"/>
                <w:lang w:eastAsia="en-GB"/>
                <w14:ligatures w14:val="none"/>
              </w:rPr>
            </w:pPr>
            <w:r w:rsidRPr="008B2EDF">
              <w:rPr>
                <w:rFonts w:ascii="Times New Roman" w:eastAsia="Times New Roman" w:hAnsi="Times New Roman" w:cs="Times New Roman"/>
                <w:kern w:val="0"/>
                <w:sz w:val="24"/>
                <w:szCs w:val="24"/>
                <w:lang w:eastAsia="en-GB"/>
                <w14:ligatures w14:val="none"/>
              </w:rPr>
              <w:t>r = 0.42</w:t>
            </w:r>
          </w:p>
        </w:tc>
        <w:tc>
          <w:tcPr>
            <w:tcW w:w="0" w:type="auto"/>
            <w:hideMark/>
          </w:tcPr>
          <w:p w14:paraId="76E69275" w14:textId="77777777" w:rsidR="00725209" w:rsidRPr="008B2EDF" w:rsidRDefault="00725209" w:rsidP="004F17FF">
            <w:pPr>
              <w:spacing w:line="360" w:lineRule="auto"/>
              <w:jc w:val="both"/>
              <w:rPr>
                <w:rFonts w:ascii="Times New Roman" w:eastAsia="Times New Roman" w:hAnsi="Times New Roman" w:cs="Times New Roman"/>
                <w:kern w:val="0"/>
                <w:sz w:val="24"/>
                <w:szCs w:val="24"/>
                <w:lang w:eastAsia="en-GB"/>
                <w14:ligatures w14:val="none"/>
              </w:rPr>
            </w:pPr>
            <w:r w:rsidRPr="008B2EDF">
              <w:rPr>
                <w:rFonts w:ascii="Times New Roman" w:eastAsia="Times New Roman" w:hAnsi="Times New Roman" w:cs="Times New Roman"/>
                <w:kern w:val="0"/>
                <w:sz w:val="24"/>
                <w:szCs w:val="24"/>
                <w:lang w:eastAsia="en-GB"/>
                <w14:ligatures w14:val="none"/>
              </w:rPr>
              <w:t>0.002</w:t>
            </w:r>
          </w:p>
        </w:tc>
        <w:tc>
          <w:tcPr>
            <w:tcW w:w="0" w:type="auto"/>
            <w:hideMark/>
          </w:tcPr>
          <w:p w14:paraId="068D7B2F" w14:textId="77777777" w:rsidR="00725209" w:rsidRPr="008B2EDF" w:rsidRDefault="00725209" w:rsidP="004F17FF">
            <w:pPr>
              <w:keepNext/>
              <w:spacing w:line="360" w:lineRule="auto"/>
              <w:jc w:val="both"/>
              <w:rPr>
                <w:rFonts w:ascii="Times New Roman" w:eastAsia="Times New Roman" w:hAnsi="Times New Roman" w:cs="Times New Roman"/>
                <w:kern w:val="0"/>
                <w:sz w:val="24"/>
                <w:szCs w:val="24"/>
                <w:lang w:eastAsia="en-GB"/>
                <w14:ligatures w14:val="none"/>
              </w:rPr>
            </w:pPr>
            <w:r w:rsidRPr="008B2EDF">
              <w:rPr>
                <w:rFonts w:ascii="Times New Roman" w:eastAsia="Times New Roman" w:hAnsi="Times New Roman" w:cs="Times New Roman"/>
                <w:kern w:val="0"/>
                <w:sz w:val="24"/>
                <w:szCs w:val="24"/>
                <w:lang w:eastAsia="en-GB"/>
                <w14:ligatures w14:val="none"/>
              </w:rPr>
              <w:t>Moderate positive correlation: employees working more hours perceived greater promotion opportunities.</w:t>
            </w:r>
          </w:p>
        </w:tc>
      </w:tr>
    </w:tbl>
    <w:p w14:paraId="58AF613C" w14:textId="74984288" w:rsidR="00725209" w:rsidRDefault="00725209" w:rsidP="004F17FF">
      <w:pPr>
        <w:pStyle w:val="Caption"/>
        <w:spacing w:line="360" w:lineRule="auto"/>
        <w:jc w:val="both"/>
        <w:rPr>
          <w:rFonts w:ascii="Times New Roman" w:hAnsi="Times New Roman" w:cs="Times New Roman"/>
          <w:sz w:val="24"/>
          <w:szCs w:val="24"/>
        </w:rPr>
      </w:pPr>
      <w:r w:rsidRPr="008B2EDF">
        <w:rPr>
          <w:rFonts w:ascii="Times New Roman" w:hAnsi="Times New Roman" w:cs="Times New Roman"/>
          <w:sz w:val="24"/>
          <w:szCs w:val="24"/>
        </w:rPr>
        <w:t xml:space="preserve">Table </w:t>
      </w:r>
      <w:r w:rsidRPr="008B2EDF">
        <w:rPr>
          <w:rFonts w:ascii="Times New Roman" w:hAnsi="Times New Roman" w:cs="Times New Roman"/>
          <w:sz w:val="24"/>
          <w:szCs w:val="24"/>
        </w:rPr>
        <w:fldChar w:fldCharType="begin"/>
      </w:r>
      <w:r w:rsidRPr="008B2EDF">
        <w:rPr>
          <w:rFonts w:ascii="Times New Roman" w:hAnsi="Times New Roman" w:cs="Times New Roman"/>
          <w:sz w:val="24"/>
          <w:szCs w:val="24"/>
        </w:rPr>
        <w:instrText xml:space="preserve"> SEQ Table \* ARABIC </w:instrText>
      </w:r>
      <w:r w:rsidRPr="008B2EDF">
        <w:rPr>
          <w:rFonts w:ascii="Times New Roman" w:hAnsi="Times New Roman" w:cs="Times New Roman"/>
          <w:sz w:val="24"/>
          <w:szCs w:val="24"/>
        </w:rPr>
        <w:fldChar w:fldCharType="separate"/>
      </w:r>
      <w:r w:rsidRPr="008B2EDF">
        <w:rPr>
          <w:rFonts w:ascii="Times New Roman" w:hAnsi="Times New Roman" w:cs="Times New Roman"/>
          <w:noProof/>
          <w:sz w:val="24"/>
          <w:szCs w:val="24"/>
        </w:rPr>
        <w:t>2</w:t>
      </w:r>
      <w:r w:rsidRPr="008B2EDF">
        <w:rPr>
          <w:rFonts w:ascii="Times New Roman" w:hAnsi="Times New Roman" w:cs="Times New Roman"/>
          <w:sz w:val="24"/>
          <w:szCs w:val="24"/>
        </w:rPr>
        <w:fldChar w:fldCharType="end"/>
      </w:r>
      <w:r w:rsidRPr="008B2EDF">
        <w:rPr>
          <w:rFonts w:ascii="Times New Roman" w:hAnsi="Times New Roman" w:cs="Times New Roman"/>
          <w:sz w:val="24"/>
          <w:szCs w:val="24"/>
        </w:rPr>
        <w:t xml:space="preserve"> Statistical Analysis of Survey Data</w:t>
      </w:r>
    </w:p>
    <w:p w14:paraId="442DBA27" w14:textId="726A9C19" w:rsidR="00FF6879" w:rsidRDefault="00FF6879" w:rsidP="00FF6879">
      <w:pPr>
        <w:spacing w:line="360" w:lineRule="auto"/>
        <w:jc w:val="both"/>
        <w:rPr>
          <w:rFonts w:ascii="Times New Roman" w:hAnsi="Times New Roman" w:cs="Times New Roman"/>
          <w:sz w:val="24"/>
          <w:szCs w:val="24"/>
        </w:rPr>
      </w:pPr>
      <w:r w:rsidRPr="00FF6879">
        <w:rPr>
          <w:rFonts w:ascii="Times New Roman" w:hAnsi="Times New Roman" w:cs="Times New Roman"/>
          <w:sz w:val="24"/>
          <w:szCs w:val="24"/>
        </w:rPr>
        <w:t>To ensure transparency and traceability, all survey items and full response datasets are included in the appendices. This includes complete frequency distributions and questionnaire instruments used in the study. This strengthens the reliability of the dataset by allowing full replication and verification of the analysis process.</w:t>
      </w:r>
    </w:p>
    <w:p w14:paraId="71DA9FF7" w14:textId="618F3CCB" w:rsidR="00CD414B" w:rsidRPr="00FF6879" w:rsidRDefault="00CD414B" w:rsidP="00FF6879">
      <w:pPr>
        <w:spacing w:line="360" w:lineRule="auto"/>
        <w:jc w:val="both"/>
        <w:rPr>
          <w:rFonts w:ascii="Times New Roman" w:hAnsi="Times New Roman" w:cs="Times New Roman"/>
          <w:sz w:val="24"/>
          <w:szCs w:val="24"/>
        </w:rPr>
      </w:pPr>
      <w:r w:rsidRPr="00CD414B">
        <w:rPr>
          <w:rFonts w:ascii="Times New Roman" w:hAnsi="Times New Roman" w:cs="Times New Roman"/>
          <w:sz w:val="24"/>
          <w:szCs w:val="24"/>
        </w:rPr>
        <w:t xml:space="preserve">The findings of this study integrate descriptive statistics, inferential analysis, and qualitative responses to examine how invisible labour and structural employment conditions shape career experiences within UK warehousing. Across all data sources, a consistent pattern </w:t>
      </w:r>
      <w:r w:rsidRPr="00CD414B">
        <w:rPr>
          <w:rFonts w:ascii="Times New Roman" w:hAnsi="Times New Roman" w:cs="Times New Roman"/>
          <w:sz w:val="24"/>
          <w:szCs w:val="24"/>
        </w:rPr>
        <w:t>emerges</w:t>
      </w:r>
      <w:r w:rsidRPr="00CD414B">
        <w:rPr>
          <w:rFonts w:ascii="Times New Roman" w:hAnsi="Times New Roman" w:cs="Times New Roman"/>
          <w:sz w:val="24"/>
          <w:szCs w:val="24"/>
        </w:rPr>
        <w:t xml:space="preserve"> invisible labour is a pervasive but under-recognised feature of part-time work, particularly among women, and it is strongly shaped by employment structure rather than demographic characteristics. Quantitative results consistently reinforce this interpretation, with employment status and working hours emerging as stronger predictors of recognition and career progression than gender or tenure. This indicates that inequality is embedded in organisational systems of visibility and reward rather than individual attributes.</w:t>
      </w:r>
    </w:p>
    <w:p w14:paraId="687051D9" w14:textId="4DF6C540" w:rsidR="0007226D" w:rsidRPr="008B2EDF" w:rsidRDefault="00503C6D" w:rsidP="004F17FF">
      <w:pPr>
        <w:pStyle w:val="Heading2"/>
        <w:spacing w:line="360" w:lineRule="auto"/>
        <w:jc w:val="both"/>
        <w:rPr>
          <w:rFonts w:ascii="Times New Roman" w:hAnsi="Times New Roman" w:cs="Times New Roman"/>
          <w:sz w:val="24"/>
          <w:szCs w:val="24"/>
        </w:rPr>
      </w:pPr>
      <w:bookmarkStart w:id="26" w:name="_Toc228970942"/>
      <w:r w:rsidRPr="008B2EDF">
        <w:rPr>
          <w:rFonts w:ascii="Times New Roman" w:hAnsi="Times New Roman" w:cs="Times New Roman"/>
          <w:sz w:val="24"/>
          <w:szCs w:val="24"/>
        </w:rPr>
        <w:t>6</w:t>
      </w:r>
      <w:r w:rsidR="00D10AEA" w:rsidRPr="008B2EDF">
        <w:rPr>
          <w:rFonts w:ascii="Times New Roman" w:hAnsi="Times New Roman" w:cs="Times New Roman"/>
          <w:sz w:val="24"/>
          <w:szCs w:val="24"/>
        </w:rPr>
        <w:t>.</w:t>
      </w:r>
      <w:r w:rsidR="00E252BA" w:rsidRPr="008B2EDF">
        <w:rPr>
          <w:rFonts w:ascii="Times New Roman" w:hAnsi="Times New Roman" w:cs="Times New Roman"/>
          <w:sz w:val="24"/>
          <w:szCs w:val="24"/>
        </w:rPr>
        <w:t>1. Participant Demographics</w:t>
      </w:r>
      <w:bookmarkEnd w:id="26"/>
    </w:p>
    <w:p w14:paraId="45625A36" w14:textId="77777777" w:rsidR="000E03E8" w:rsidRPr="008B2EDF" w:rsidRDefault="000E03E8" w:rsidP="004F17FF">
      <w:pPr>
        <w:jc w:val="both"/>
        <w:rPr>
          <w:rFonts w:ascii="Times New Roman" w:hAnsi="Times New Roman" w:cs="Times New Roman"/>
          <w:sz w:val="24"/>
          <w:szCs w:val="24"/>
        </w:rPr>
      </w:pPr>
    </w:p>
    <w:p w14:paraId="1B9AEF9C" w14:textId="77777777" w:rsidR="00C247D9" w:rsidRPr="008B2EDF" w:rsidRDefault="00C247D9" w:rsidP="00C247D9">
      <w:pPr>
        <w:spacing w:line="360" w:lineRule="auto"/>
        <w:jc w:val="both"/>
        <w:rPr>
          <w:rFonts w:ascii="Times New Roman" w:eastAsiaTheme="majorEastAsia" w:hAnsi="Times New Roman" w:cs="Times New Roman"/>
          <w:sz w:val="24"/>
          <w:szCs w:val="24"/>
        </w:rPr>
      </w:pPr>
      <w:r w:rsidRPr="008B2EDF">
        <w:rPr>
          <w:rFonts w:ascii="Times New Roman" w:eastAsiaTheme="majorEastAsia" w:hAnsi="Times New Roman" w:cs="Times New Roman"/>
          <w:sz w:val="24"/>
          <w:szCs w:val="24"/>
        </w:rPr>
        <w:t>The survey collected responses from 120 participants working in UK warehousing roles.</w:t>
      </w:r>
    </w:p>
    <w:p w14:paraId="21E6EE1E" w14:textId="77777777" w:rsidR="00C247D9" w:rsidRPr="008B2EDF" w:rsidRDefault="00C247D9" w:rsidP="00C247D9">
      <w:pPr>
        <w:numPr>
          <w:ilvl w:val="0"/>
          <w:numId w:val="27"/>
        </w:numPr>
        <w:spacing w:line="360" w:lineRule="auto"/>
        <w:jc w:val="both"/>
        <w:rPr>
          <w:rFonts w:ascii="Times New Roman" w:eastAsiaTheme="majorEastAsia" w:hAnsi="Times New Roman" w:cs="Times New Roman"/>
          <w:sz w:val="24"/>
          <w:szCs w:val="24"/>
        </w:rPr>
      </w:pPr>
      <w:r w:rsidRPr="008B2EDF">
        <w:rPr>
          <w:rFonts w:ascii="Times New Roman" w:eastAsiaTheme="majorEastAsia" w:hAnsi="Times New Roman" w:cs="Times New Roman"/>
          <w:sz w:val="24"/>
          <w:szCs w:val="24"/>
        </w:rPr>
        <w:t xml:space="preserve">Gender: 75% female, 25% male </w:t>
      </w:r>
    </w:p>
    <w:p w14:paraId="3349C273" w14:textId="77777777" w:rsidR="00C247D9" w:rsidRPr="008B2EDF" w:rsidRDefault="00C247D9" w:rsidP="00C247D9">
      <w:pPr>
        <w:numPr>
          <w:ilvl w:val="0"/>
          <w:numId w:val="27"/>
        </w:numPr>
        <w:spacing w:line="360" w:lineRule="auto"/>
        <w:jc w:val="both"/>
        <w:rPr>
          <w:rFonts w:ascii="Times New Roman" w:eastAsiaTheme="majorEastAsia" w:hAnsi="Times New Roman" w:cs="Times New Roman"/>
          <w:sz w:val="24"/>
          <w:szCs w:val="24"/>
        </w:rPr>
      </w:pPr>
      <w:r w:rsidRPr="008B2EDF">
        <w:rPr>
          <w:rFonts w:ascii="Times New Roman" w:eastAsiaTheme="majorEastAsia" w:hAnsi="Times New Roman" w:cs="Times New Roman"/>
          <w:sz w:val="24"/>
          <w:szCs w:val="24"/>
        </w:rPr>
        <w:t xml:space="preserve">Employment status: 62% part-time, 38% full-time </w:t>
      </w:r>
    </w:p>
    <w:p w14:paraId="2FB58F8B" w14:textId="77777777" w:rsidR="00C247D9" w:rsidRPr="008B2EDF" w:rsidRDefault="00C247D9" w:rsidP="00C247D9">
      <w:pPr>
        <w:numPr>
          <w:ilvl w:val="0"/>
          <w:numId w:val="27"/>
        </w:numPr>
        <w:spacing w:line="360" w:lineRule="auto"/>
        <w:jc w:val="both"/>
        <w:rPr>
          <w:rFonts w:ascii="Times New Roman" w:eastAsiaTheme="majorEastAsia" w:hAnsi="Times New Roman" w:cs="Times New Roman"/>
          <w:sz w:val="24"/>
          <w:szCs w:val="24"/>
        </w:rPr>
      </w:pPr>
      <w:r w:rsidRPr="008B2EDF">
        <w:rPr>
          <w:rFonts w:ascii="Times New Roman" w:eastAsiaTheme="majorEastAsia" w:hAnsi="Times New Roman" w:cs="Times New Roman"/>
          <w:sz w:val="24"/>
          <w:szCs w:val="24"/>
        </w:rPr>
        <w:t xml:space="preserve">Age distribution: </w:t>
      </w:r>
    </w:p>
    <w:p w14:paraId="63509233" w14:textId="77777777" w:rsidR="00C247D9" w:rsidRPr="008B2EDF" w:rsidRDefault="00C247D9" w:rsidP="00C247D9">
      <w:pPr>
        <w:numPr>
          <w:ilvl w:val="1"/>
          <w:numId w:val="27"/>
        </w:numPr>
        <w:tabs>
          <w:tab w:val="num" w:pos="1440"/>
        </w:tabs>
        <w:spacing w:line="360" w:lineRule="auto"/>
        <w:jc w:val="both"/>
        <w:rPr>
          <w:rFonts w:ascii="Times New Roman" w:eastAsiaTheme="majorEastAsia" w:hAnsi="Times New Roman" w:cs="Times New Roman"/>
          <w:sz w:val="24"/>
          <w:szCs w:val="24"/>
        </w:rPr>
      </w:pPr>
      <w:r w:rsidRPr="008B2EDF">
        <w:rPr>
          <w:rFonts w:ascii="Times New Roman" w:eastAsiaTheme="majorEastAsia" w:hAnsi="Times New Roman" w:cs="Times New Roman"/>
          <w:sz w:val="24"/>
          <w:szCs w:val="24"/>
        </w:rPr>
        <w:t xml:space="preserve">35–44: 61% </w:t>
      </w:r>
    </w:p>
    <w:p w14:paraId="25058C0A" w14:textId="77777777" w:rsidR="00C247D9" w:rsidRPr="008B2EDF" w:rsidRDefault="00C247D9" w:rsidP="00C247D9">
      <w:pPr>
        <w:numPr>
          <w:ilvl w:val="1"/>
          <w:numId w:val="27"/>
        </w:numPr>
        <w:tabs>
          <w:tab w:val="num" w:pos="1440"/>
        </w:tabs>
        <w:spacing w:line="360" w:lineRule="auto"/>
        <w:jc w:val="both"/>
        <w:rPr>
          <w:rFonts w:ascii="Times New Roman" w:eastAsiaTheme="majorEastAsia" w:hAnsi="Times New Roman" w:cs="Times New Roman"/>
          <w:sz w:val="24"/>
          <w:szCs w:val="24"/>
        </w:rPr>
      </w:pPr>
      <w:r w:rsidRPr="008B2EDF">
        <w:rPr>
          <w:rFonts w:ascii="Times New Roman" w:eastAsiaTheme="majorEastAsia" w:hAnsi="Times New Roman" w:cs="Times New Roman"/>
          <w:sz w:val="24"/>
          <w:szCs w:val="24"/>
        </w:rPr>
        <w:t xml:space="preserve">25–34: 30% </w:t>
      </w:r>
    </w:p>
    <w:p w14:paraId="60DA297B" w14:textId="77777777" w:rsidR="00C247D9" w:rsidRPr="008B2EDF" w:rsidRDefault="00C247D9" w:rsidP="00C247D9">
      <w:pPr>
        <w:numPr>
          <w:ilvl w:val="1"/>
          <w:numId w:val="27"/>
        </w:numPr>
        <w:tabs>
          <w:tab w:val="num" w:pos="1440"/>
        </w:tabs>
        <w:spacing w:line="360" w:lineRule="auto"/>
        <w:jc w:val="both"/>
        <w:rPr>
          <w:rFonts w:ascii="Times New Roman" w:eastAsiaTheme="majorEastAsia" w:hAnsi="Times New Roman" w:cs="Times New Roman"/>
          <w:sz w:val="24"/>
          <w:szCs w:val="24"/>
        </w:rPr>
      </w:pPr>
      <w:r w:rsidRPr="008B2EDF">
        <w:rPr>
          <w:rFonts w:ascii="Times New Roman" w:eastAsiaTheme="majorEastAsia" w:hAnsi="Times New Roman" w:cs="Times New Roman"/>
          <w:sz w:val="24"/>
          <w:szCs w:val="24"/>
        </w:rPr>
        <w:t xml:space="preserve">Under 25: 5% </w:t>
      </w:r>
    </w:p>
    <w:p w14:paraId="2C764953" w14:textId="77777777" w:rsidR="00C247D9" w:rsidRPr="008B2EDF" w:rsidRDefault="00C247D9" w:rsidP="00C247D9">
      <w:pPr>
        <w:numPr>
          <w:ilvl w:val="1"/>
          <w:numId w:val="27"/>
        </w:numPr>
        <w:tabs>
          <w:tab w:val="num" w:pos="1440"/>
        </w:tabs>
        <w:spacing w:line="360" w:lineRule="auto"/>
        <w:jc w:val="both"/>
        <w:rPr>
          <w:rFonts w:ascii="Times New Roman" w:eastAsiaTheme="majorEastAsia" w:hAnsi="Times New Roman" w:cs="Times New Roman"/>
          <w:sz w:val="24"/>
          <w:szCs w:val="24"/>
        </w:rPr>
      </w:pPr>
      <w:r w:rsidRPr="008B2EDF">
        <w:rPr>
          <w:rFonts w:ascii="Times New Roman" w:eastAsiaTheme="majorEastAsia" w:hAnsi="Times New Roman" w:cs="Times New Roman"/>
          <w:sz w:val="24"/>
          <w:szCs w:val="24"/>
        </w:rPr>
        <w:t xml:space="preserve">Over 55: 2% </w:t>
      </w:r>
    </w:p>
    <w:p w14:paraId="3CE49C4F" w14:textId="1EA9824F" w:rsidR="000E03E8" w:rsidRPr="00087E46" w:rsidRDefault="00C247D9" w:rsidP="004F17FF">
      <w:pPr>
        <w:spacing w:line="360" w:lineRule="auto"/>
        <w:jc w:val="both"/>
        <w:rPr>
          <w:rFonts w:ascii="Times New Roman" w:eastAsiaTheme="majorEastAsia" w:hAnsi="Times New Roman" w:cs="Times New Roman"/>
          <w:sz w:val="24"/>
          <w:szCs w:val="24"/>
        </w:rPr>
      </w:pPr>
      <w:r w:rsidRPr="008B2EDF">
        <w:rPr>
          <w:rFonts w:ascii="Times New Roman" w:eastAsiaTheme="majorEastAsia" w:hAnsi="Times New Roman" w:cs="Times New Roman"/>
          <w:sz w:val="24"/>
          <w:szCs w:val="24"/>
        </w:rPr>
        <w:lastRenderedPageBreak/>
        <w:t>Mo</w:t>
      </w:r>
      <w:r w:rsidRPr="00087E46">
        <w:rPr>
          <w:rFonts w:ascii="Times New Roman" w:eastAsiaTheme="majorEastAsia" w:hAnsi="Times New Roman" w:cs="Times New Roman"/>
          <w:sz w:val="24"/>
          <w:szCs w:val="24"/>
        </w:rPr>
        <w:t>st participants were therefore female and part-time, with the largest age group being 35–44 years.</w:t>
      </w:r>
    </w:p>
    <w:p w14:paraId="3E0723C5" w14:textId="77777777" w:rsidR="00087E46" w:rsidRPr="00087E46" w:rsidRDefault="000E03E8" w:rsidP="00087E46">
      <w:pPr>
        <w:spacing w:line="360" w:lineRule="auto"/>
        <w:jc w:val="both"/>
        <w:rPr>
          <w:rFonts w:ascii="Times New Roman" w:eastAsiaTheme="majorEastAsia" w:hAnsi="Times New Roman" w:cs="Times New Roman"/>
          <w:sz w:val="24"/>
          <w:szCs w:val="24"/>
        </w:rPr>
      </w:pPr>
      <w:r w:rsidRPr="00087E46">
        <w:rPr>
          <w:rFonts w:ascii="Times New Roman" w:eastAsiaTheme="majorEastAsia" w:hAnsi="Times New Roman" w:cs="Times New Roman"/>
          <w:sz w:val="24"/>
          <w:szCs w:val="24"/>
        </w:rPr>
        <w:t>This demographic profile reflects established labour market trends in UK warehousing, where part-time and flexible roles are disproportionately occupied by women (Lavee, 2022). The concentration of respondents in the 35–44 age group suggests an experienced workforce, which may influence perceptions of recognition, fairness, and career progression barriers.</w:t>
      </w:r>
      <w:r w:rsidR="00087E46" w:rsidRPr="00087E46">
        <w:rPr>
          <w:rFonts w:ascii="Times New Roman" w:eastAsiaTheme="majorEastAsia" w:hAnsi="Times New Roman" w:cs="Times New Roman"/>
          <w:sz w:val="24"/>
          <w:szCs w:val="24"/>
        </w:rPr>
        <w:t xml:space="preserve"> </w:t>
      </w:r>
      <w:r w:rsidR="00087E46" w:rsidRPr="00087E46">
        <w:rPr>
          <w:rFonts w:ascii="Times New Roman" w:eastAsiaTheme="majorEastAsia" w:hAnsi="Times New Roman" w:cs="Times New Roman"/>
          <w:sz w:val="24"/>
          <w:szCs w:val="24"/>
        </w:rPr>
        <w:t>The uneven age distribution, particularly the concentration in the 35–44 group, introduces limitations in variance comparison, especially for ANOVA testing. However, the dominance of two central working-age groups (25–44) provides a sufficiently stable basis for identifying broad patterns in workplace experience. Importantly, this demographic profile itself reflects the structural positioning of invisible labour within mid-career, part-time employment contexts, where flexibility and caregiving responsibilities often intersect with warehouse labour structures.</w:t>
      </w:r>
    </w:p>
    <w:p w14:paraId="294D659B" w14:textId="32F40FF6" w:rsidR="000E03E8" w:rsidRPr="008B2EDF" w:rsidRDefault="000E03E8" w:rsidP="004F17FF">
      <w:pPr>
        <w:spacing w:line="360" w:lineRule="auto"/>
        <w:jc w:val="both"/>
        <w:rPr>
          <w:rFonts w:ascii="Times New Roman" w:eastAsiaTheme="majorEastAsia" w:hAnsi="Times New Roman" w:cs="Times New Roman"/>
          <w:sz w:val="24"/>
          <w:szCs w:val="24"/>
        </w:rPr>
      </w:pPr>
    </w:p>
    <w:p w14:paraId="4AD7096A" w14:textId="77777777" w:rsidR="000E03E8" w:rsidRPr="008B2EDF" w:rsidRDefault="000E03E8" w:rsidP="004F17FF">
      <w:pPr>
        <w:jc w:val="both"/>
        <w:rPr>
          <w:rFonts w:ascii="Times New Roman" w:hAnsi="Times New Roman" w:cs="Times New Roman"/>
          <w:sz w:val="24"/>
          <w:szCs w:val="24"/>
        </w:rPr>
      </w:pPr>
    </w:p>
    <w:p w14:paraId="729CF28C" w14:textId="57AB6969" w:rsidR="00B17E33" w:rsidRPr="008B2EDF" w:rsidRDefault="00B17E33" w:rsidP="004F17FF">
      <w:pPr>
        <w:pStyle w:val="Caption"/>
        <w:keepNext/>
        <w:spacing w:line="360" w:lineRule="auto"/>
        <w:jc w:val="both"/>
        <w:rPr>
          <w:rFonts w:ascii="Times New Roman" w:hAnsi="Times New Roman" w:cs="Times New Roman"/>
          <w:sz w:val="24"/>
          <w:szCs w:val="24"/>
        </w:rPr>
      </w:pPr>
      <w:bookmarkStart w:id="27" w:name="_Toc209516831"/>
      <w:bookmarkStart w:id="28" w:name="_Toc209516872"/>
      <w:bookmarkStart w:id="29" w:name="_Toc228970964"/>
      <w:r w:rsidRPr="008B2EDF">
        <w:rPr>
          <w:rFonts w:ascii="Times New Roman" w:hAnsi="Times New Roman" w:cs="Times New Roman"/>
          <w:sz w:val="24"/>
          <w:szCs w:val="24"/>
        </w:rPr>
        <w:t xml:space="preserve">Figure </w:t>
      </w:r>
      <w:r w:rsidR="00D22044" w:rsidRPr="008B2EDF">
        <w:rPr>
          <w:rFonts w:ascii="Times New Roman" w:hAnsi="Times New Roman" w:cs="Times New Roman"/>
          <w:sz w:val="24"/>
          <w:szCs w:val="24"/>
        </w:rPr>
        <w:fldChar w:fldCharType="begin"/>
      </w:r>
      <w:r w:rsidR="00D22044" w:rsidRPr="008B2EDF">
        <w:rPr>
          <w:rFonts w:ascii="Times New Roman" w:hAnsi="Times New Roman" w:cs="Times New Roman"/>
          <w:sz w:val="24"/>
          <w:szCs w:val="24"/>
        </w:rPr>
        <w:instrText xml:space="preserve"> SEQ Figure \* ARABIC </w:instrText>
      </w:r>
      <w:r w:rsidR="00D22044" w:rsidRPr="008B2EDF">
        <w:rPr>
          <w:rFonts w:ascii="Times New Roman" w:hAnsi="Times New Roman" w:cs="Times New Roman"/>
          <w:sz w:val="24"/>
          <w:szCs w:val="24"/>
        </w:rPr>
        <w:fldChar w:fldCharType="separate"/>
      </w:r>
      <w:r w:rsidR="000C3484" w:rsidRPr="008B2EDF">
        <w:rPr>
          <w:rFonts w:ascii="Times New Roman" w:hAnsi="Times New Roman" w:cs="Times New Roman"/>
          <w:noProof/>
          <w:sz w:val="24"/>
          <w:szCs w:val="24"/>
        </w:rPr>
        <w:t>1</w:t>
      </w:r>
      <w:r w:rsidR="00D22044" w:rsidRPr="008B2EDF">
        <w:rPr>
          <w:rFonts w:ascii="Times New Roman" w:hAnsi="Times New Roman" w:cs="Times New Roman"/>
          <w:noProof/>
          <w:sz w:val="24"/>
          <w:szCs w:val="24"/>
        </w:rPr>
        <w:fldChar w:fldCharType="end"/>
      </w:r>
      <w:r w:rsidRPr="008B2EDF">
        <w:rPr>
          <w:rFonts w:ascii="Times New Roman" w:hAnsi="Times New Roman" w:cs="Times New Roman"/>
          <w:sz w:val="24"/>
          <w:szCs w:val="24"/>
        </w:rPr>
        <w:t xml:space="preserve"> Participant demographics by age, gender, employment status, and </w:t>
      </w:r>
      <w:r w:rsidR="00034D3B" w:rsidRPr="008B2EDF">
        <w:rPr>
          <w:rFonts w:ascii="Times New Roman" w:hAnsi="Times New Roman" w:cs="Times New Roman"/>
          <w:sz w:val="24"/>
          <w:szCs w:val="24"/>
        </w:rPr>
        <w:t>role.</w:t>
      </w:r>
      <w:bookmarkEnd w:id="27"/>
      <w:bookmarkEnd w:id="28"/>
      <w:bookmarkEnd w:id="29"/>
    </w:p>
    <w:p w14:paraId="71100DA6" w14:textId="1FB2566A" w:rsidR="00D3291B" w:rsidRPr="008B2EDF" w:rsidRDefault="00B17E33" w:rsidP="004F17FF">
      <w:pPr>
        <w:spacing w:line="360" w:lineRule="auto"/>
        <w:jc w:val="both"/>
        <w:rPr>
          <w:rFonts w:ascii="Times New Roman" w:eastAsiaTheme="majorEastAsia" w:hAnsi="Times New Roman" w:cs="Times New Roman"/>
          <w:sz w:val="24"/>
          <w:szCs w:val="24"/>
        </w:rPr>
      </w:pPr>
      <w:r w:rsidRPr="008B2EDF">
        <w:rPr>
          <w:rFonts w:ascii="Times New Roman" w:eastAsiaTheme="majorEastAsia" w:hAnsi="Times New Roman" w:cs="Times New Roman"/>
          <w:noProof/>
          <w:sz w:val="24"/>
          <w:szCs w:val="24"/>
        </w:rPr>
        <w:drawing>
          <wp:inline distT="0" distB="0" distL="0" distR="0" wp14:anchorId="17A9F0C2" wp14:editId="3E00CD75">
            <wp:extent cx="5667375" cy="3272586"/>
            <wp:effectExtent l="0" t="0" r="0" b="4445"/>
            <wp:docPr id="68579941" name="Picture 29" descr="A pie chart with numbers and a number of peop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579941" name="Picture 29" descr="A pie chart with numbers and a number of people&#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5677116" cy="3278211"/>
                    </a:xfrm>
                    <a:prstGeom prst="rect">
                      <a:avLst/>
                    </a:prstGeom>
                  </pic:spPr>
                </pic:pic>
              </a:graphicData>
            </a:graphic>
          </wp:inline>
        </w:drawing>
      </w:r>
    </w:p>
    <w:p w14:paraId="7557372C" w14:textId="29EC89FC" w:rsidR="00E252BA" w:rsidRPr="008B2EDF" w:rsidRDefault="00503C6D" w:rsidP="004F17FF">
      <w:pPr>
        <w:pStyle w:val="Heading2"/>
        <w:spacing w:line="360" w:lineRule="auto"/>
        <w:jc w:val="both"/>
        <w:rPr>
          <w:rFonts w:ascii="Times New Roman" w:hAnsi="Times New Roman" w:cs="Times New Roman"/>
          <w:sz w:val="24"/>
          <w:szCs w:val="24"/>
        </w:rPr>
      </w:pPr>
      <w:bookmarkStart w:id="30" w:name="_Toc228970943"/>
      <w:r w:rsidRPr="008B2EDF">
        <w:rPr>
          <w:rFonts w:ascii="Times New Roman" w:hAnsi="Times New Roman" w:cs="Times New Roman"/>
          <w:sz w:val="24"/>
          <w:szCs w:val="24"/>
        </w:rPr>
        <w:t>6</w:t>
      </w:r>
      <w:r w:rsidR="00D10AEA" w:rsidRPr="008B2EDF">
        <w:rPr>
          <w:rFonts w:ascii="Times New Roman" w:hAnsi="Times New Roman" w:cs="Times New Roman"/>
          <w:sz w:val="24"/>
          <w:szCs w:val="24"/>
        </w:rPr>
        <w:t>.</w:t>
      </w:r>
      <w:r w:rsidR="00E252BA" w:rsidRPr="008B2EDF">
        <w:rPr>
          <w:rFonts w:ascii="Times New Roman" w:hAnsi="Times New Roman" w:cs="Times New Roman"/>
          <w:sz w:val="24"/>
          <w:szCs w:val="24"/>
        </w:rPr>
        <w:t>2. Invisible Labour</w:t>
      </w:r>
      <w:bookmarkEnd w:id="30"/>
    </w:p>
    <w:p w14:paraId="0B1AB663" w14:textId="77777777" w:rsidR="003916D9" w:rsidRPr="008B2EDF" w:rsidRDefault="003916D9" w:rsidP="004F17FF">
      <w:pPr>
        <w:spacing w:line="360" w:lineRule="auto"/>
        <w:jc w:val="both"/>
        <w:rPr>
          <w:rFonts w:ascii="Times New Roman" w:hAnsi="Times New Roman" w:cs="Times New Roman"/>
          <w:sz w:val="24"/>
          <w:szCs w:val="24"/>
        </w:rPr>
      </w:pPr>
    </w:p>
    <w:p w14:paraId="68B6C78D" w14:textId="622CA4A6" w:rsidR="008D3AA9" w:rsidRPr="008D3AA9" w:rsidRDefault="008D3AA9" w:rsidP="008D3AA9">
      <w:pPr>
        <w:spacing w:line="360" w:lineRule="auto"/>
        <w:jc w:val="both"/>
        <w:rPr>
          <w:rFonts w:ascii="Times New Roman" w:eastAsiaTheme="majorEastAsia" w:hAnsi="Times New Roman" w:cs="Times New Roman"/>
          <w:sz w:val="24"/>
          <w:szCs w:val="24"/>
        </w:rPr>
      </w:pPr>
      <w:r>
        <w:rPr>
          <w:rFonts w:ascii="Times New Roman" w:eastAsiaTheme="majorEastAsia" w:hAnsi="Times New Roman" w:cs="Times New Roman"/>
          <w:sz w:val="24"/>
          <w:szCs w:val="24"/>
        </w:rPr>
        <w:t>I</w:t>
      </w:r>
      <w:r w:rsidRPr="008D3AA9">
        <w:rPr>
          <w:rFonts w:ascii="Times New Roman" w:eastAsiaTheme="majorEastAsia" w:hAnsi="Times New Roman" w:cs="Times New Roman"/>
          <w:sz w:val="24"/>
          <w:szCs w:val="24"/>
        </w:rPr>
        <w:t xml:space="preserve">nvisible labour emerged as the most consistent and defining feature of participant responses across both quantitative and qualitative data. A significant proportion of respondents reported </w:t>
      </w:r>
      <w:r w:rsidRPr="008D3AA9">
        <w:rPr>
          <w:rFonts w:ascii="Times New Roman" w:eastAsiaTheme="majorEastAsia" w:hAnsi="Times New Roman" w:cs="Times New Roman"/>
          <w:sz w:val="24"/>
          <w:szCs w:val="24"/>
        </w:rPr>
        <w:lastRenderedPageBreak/>
        <w:t>engaging in unpaid or unrecognised tasks beyond their formal job roles, including covering additional duties during understaffing (68.8%), mentoring new staff (31.1%), providing emotional support (25%), and informal supervision (12.5%).</w:t>
      </w:r>
    </w:p>
    <w:p w14:paraId="241959D9" w14:textId="12F67D1C" w:rsidR="008D3AA9" w:rsidRPr="008D3AA9" w:rsidRDefault="008D3AA9" w:rsidP="008D3AA9">
      <w:pPr>
        <w:spacing w:line="360" w:lineRule="auto"/>
        <w:jc w:val="both"/>
        <w:rPr>
          <w:rFonts w:ascii="Times New Roman" w:eastAsiaTheme="majorEastAsia" w:hAnsi="Times New Roman" w:cs="Times New Roman"/>
          <w:sz w:val="24"/>
          <w:szCs w:val="24"/>
        </w:rPr>
      </w:pPr>
      <w:r w:rsidRPr="008D3AA9">
        <w:rPr>
          <w:rFonts w:ascii="Times New Roman" w:eastAsiaTheme="majorEastAsia" w:hAnsi="Times New Roman" w:cs="Times New Roman"/>
          <w:sz w:val="24"/>
          <w:szCs w:val="24"/>
        </w:rPr>
        <w:t>Although 68% of participants stated that supervisors acknowledged these contributions informally, only 31% reported that such work was reflected in formal performance evaluations or promotion decisions. This reveals a clear structural disconnect between operational contribution and organisational recognition systems. Rather than being incidental, invisible labour appears embedded within everyday warehouse functioning, particularly in contexts of staffing pressure and operational flexibility.</w:t>
      </w:r>
      <w:r>
        <w:rPr>
          <w:rFonts w:ascii="Times New Roman" w:eastAsiaTheme="majorEastAsia" w:hAnsi="Times New Roman" w:cs="Times New Roman"/>
          <w:sz w:val="24"/>
          <w:szCs w:val="24"/>
        </w:rPr>
        <w:t xml:space="preserve"> </w:t>
      </w:r>
      <w:r w:rsidRPr="008D3AA9">
        <w:rPr>
          <w:rFonts w:ascii="Times New Roman" w:eastAsiaTheme="majorEastAsia" w:hAnsi="Times New Roman" w:cs="Times New Roman"/>
          <w:sz w:val="24"/>
          <w:szCs w:val="24"/>
        </w:rPr>
        <w:t xml:space="preserve">These findings strongly align with Hatton (2017) and Bolton (2005), who define invisible labour as essential organisational work that remains unmeasured and unrewarded. In this context, warehouse efficiency is partially sustained through informal, relational, and emotional labour that is disproportionately performed by part-time women. This reinforces the argument that invisible labour is not peripheral but central to operational </w:t>
      </w:r>
      <w:r w:rsidRPr="008D3AA9">
        <w:rPr>
          <w:rFonts w:ascii="Times New Roman" w:eastAsiaTheme="majorEastAsia" w:hAnsi="Times New Roman" w:cs="Times New Roman"/>
          <w:sz w:val="24"/>
          <w:szCs w:val="24"/>
        </w:rPr>
        <w:t>productivity yet</w:t>
      </w:r>
      <w:r w:rsidRPr="008D3AA9">
        <w:rPr>
          <w:rFonts w:ascii="Times New Roman" w:eastAsiaTheme="majorEastAsia" w:hAnsi="Times New Roman" w:cs="Times New Roman"/>
          <w:sz w:val="24"/>
          <w:szCs w:val="24"/>
        </w:rPr>
        <w:t xml:space="preserve"> structurally excluded from formal valuation systems.</w:t>
      </w:r>
    </w:p>
    <w:p w14:paraId="103451EE" w14:textId="77777777" w:rsidR="000E03E8" w:rsidRPr="008B2EDF" w:rsidRDefault="000E03E8" w:rsidP="004F17FF">
      <w:pPr>
        <w:jc w:val="both"/>
        <w:rPr>
          <w:rFonts w:ascii="Times New Roman" w:hAnsi="Times New Roman" w:cs="Times New Roman"/>
          <w:sz w:val="24"/>
          <w:szCs w:val="24"/>
        </w:rPr>
      </w:pPr>
    </w:p>
    <w:p w14:paraId="4090CCDE" w14:textId="268EA722" w:rsidR="00B17E33" w:rsidRPr="008B2EDF" w:rsidRDefault="00B17E33" w:rsidP="004F17FF">
      <w:pPr>
        <w:pStyle w:val="Caption"/>
        <w:keepNext/>
        <w:spacing w:line="360" w:lineRule="auto"/>
        <w:jc w:val="both"/>
        <w:rPr>
          <w:rFonts w:ascii="Times New Roman" w:hAnsi="Times New Roman" w:cs="Times New Roman"/>
          <w:sz w:val="24"/>
          <w:szCs w:val="24"/>
        </w:rPr>
      </w:pPr>
      <w:bookmarkStart w:id="31" w:name="_Toc209516832"/>
      <w:bookmarkStart w:id="32" w:name="_Toc209516873"/>
      <w:bookmarkStart w:id="33" w:name="_Toc228970965"/>
      <w:r w:rsidRPr="008B2EDF">
        <w:rPr>
          <w:rFonts w:ascii="Times New Roman" w:hAnsi="Times New Roman" w:cs="Times New Roman"/>
          <w:sz w:val="24"/>
          <w:szCs w:val="24"/>
        </w:rPr>
        <w:t xml:space="preserve">Figure </w:t>
      </w:r>
      <w:r w:rsidR="00D22044" w:rsidRPr="008B2EDF">
        <w:rPr>
          <w:rFonts w:ascii="Times New Roman" w:hAnsi="Times New Roman" w:cs="Times New Roman"/>
          <w:sz w:val="24"/>
          <w:szCs w:val="24"/>
        </w:rPr>
        <w:fldChar w:fldCharType="begin"/>
      </w:r>
      <w:r w:rsidR="00D22044" w:rsidRPr="008B2EDF">
        <w:rPr>
          <w:rFonts w:ascii="Times New Roman" w:hAnsi="Times New Roman" w:cs="Times New Roman"/>
          <w:sz w:val="24"/>
          <w:szCs w:val="24"/>
        </w:rPr>
        <w:instrText xml:space="preserve"> SEQ Figure \* ARABIC </w:instrText>
      </w:r>
      <w:r w:rsidR="00D22044" w:rsidRPr="008B2EDF">
        <w:rPr>
          <w:rFonts w:ascii="Times New Roman" w:hAnsi="Times New Roman" w:cs="Times New Roman"/>
          <w:sz w:val="24"/>
          <w:szCs w:val="24"/>
        </w:rPr>
        <w:fldChar w:fldCharType="separate"/>
      </w:r>
      <w:r w:rsidR="000C3484" w:rsidRPr="008B2EDF">
        <w:rPr>
          <w:rFonts w:ascii="Times New Roman" w:hAnsi="Times New Roman" w:cs="Times New Roman"/>
          <w:noProof/>
          <w:sz w:val="24"/>
          <w:szCs w:val="24"/>
        </w:rPr>
        <w:t>2</w:t>
      </w:r>
      <w:r w:rsidR="00D22044" w:rsidRPr="008B2EDF">
        <w:rPr>
          <w:rFonts w:ascii="Times New Roman" w:hAnsi="Times New Roman" w:cs="Times New Roman"/>
          <w:noProof/>
          <w:sz w:val="24"/>
          <w:szCs w:val="24"/>
        </w:rPr>
        <w:fldChar w:fldCharType="end"/>
      </w:r>
      <w:r w:rsidRPr="008B2EDF">
        <w:rPr>
          <w:rFonts w:ascii="Times New Roman" w:hAnsi="Times New Roman" w:cs="Times New Roman"/>
          <w:sz w:val="24"/>
          <w:szCs w:val="24"/>
        </w:rPr>
        <w:t xml:space="preserve"> Percentage of respondents performing various unrecognized </w:t>
      </w:r>
      <w:r w:rsidR="00034D3B" w:rsidRPr="008B2EDF">
        <w:rPr>
          <w:rFonts w:ascii="Times New Roman" w:hAnsi="Times New Roman" w:cs="Times New Roman"/>
          <w:sz w:val="24"/>
          <w:szCs w:val="24"/>
        </w:rPr>
        <w:t>tasks.</w:t>
      </w:r>
      <w:bookmarkEnd w:id="31"/>
      <w:bookmarkEnd w:id="32"/>
      <w:bookmarkEnd w:id="33"/>
    </w:p>
    <w:p w14:paraId="3177CC2C" w14:textId="3DFEC4B3" w:rsidR="00B17E33" w:rsidRPr="008B2EDF" w:rsidRDefault="00B17E33" w:rsidP="004F17FF">
      <w:pPr>
        <w:spacing w:line="360" w:lineRule="auto"/>
        <w:jc w:val="both"/>
        <w:rPr>
          <w:rFonts w:ascii="Times New Roman" w:eastAsiaTheme="majorEastAsia" w:hAnsi="Times New Roman" w:cs="Times New Roman"/>
          <w:sz w:val="24"/>
          <w:szCs w:val="24"/>
        </w:rPr>
      </w:pPr>
      <w:r w:rsidRPr="008B2EDF">
        <w:rPr>
          <w:rFonts w:ascii="Times New Roman" w:eastAsiaTheme="majorEastAsia" w:hAnsi="Times New Roman" w:cs="Times New Roman"/>
          <w:noProof/>
          <w:sz w:val="24"/>
          <w:szCs w:val="24"/>
        </w:rPr>
        <w:drawing>
          <wp:inline distT="0" distB="0" distL="0" distR="0" wp14:anchorId="3BFFBF26" wp14:editId="4A1ED699">
            <wp:extent cx="5886450" cy="3365828"/>
            <wp:effectExtent l="0" t="0" r="0" b="6350"/>
            <wp:docPr id="247333705" name="Picture 30" descr="A graph with numbers and a b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7333705" name="Picture 30" descr="A graph with numbers and a bar&#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5956062" cy="3405632"/>
                    </a:xfrm>
                    <a:prstGeom prst="rect">
                      <a:avLst/>
                    </a:prstGeom>
                  </pic:spPr>
                </pic:pic>
              </a:graphicData>
            </a:graphic>
          </wp:inline>
        </w:drawing>
      </w:r>
    </w:p>
    <w:p w14:paraId="4DACD13A" w14:textId="77777777" w:rsidR="002F2AE5" w:rsidRPr="008B2EDF" w:rsidRDefault="002F2AE5" w:rsidP="004F17FF">
      <w:pPr>
        <w:spacing w:line="360" w:lineRule="auto"/>
        <w:jc w:val="both"/>
        <w:rPr>
          <w:rFonts w:ascii="Times New Roman" w:eastAsiaTheme="majorEastAsia" w:hAnsi="Times New Roman" w:cs="Times New Roman"/>
          <w:sz w:val="24"/>
          <w:szCs w:val="24"/>
        </w:rPr>
      </w:pPr>
      <w:r w:rsidRPr="008B2EDF">
        <w:rPr>
          <w:rFonts w:ascii="Times New Roman" w:eastAsiaTheme="majorEastAsia" w:hAnsi="Times New Roman" w:cs="Times New Roman"/>
          <w:sz w:val="24"/>
          <w:szCs w:val="24"/>
        </w:rPr>
        <w:t xml:space="preserve">Although 68% of respondents stated that supervisors acknowledged these tasks informally, only 31% felt their contributions were reflected in performance evaluations or promotion </w:t>
      </w:r>
      <w:r w:rsidRPr="008B2EDF">
        <w:rPr>
          <w:rFonts w:ascii="Times New Roman" w:eastAsiaTheme="majorEastAsia" w:hAnsi="Times New Roman" w:cs="Times New Roman"/>
          <w:sz w:val="24"/>
          <w:szCs w:val="24"/>
        </w:rPr>
        <w:lastRenderedPageBreak/>
        <w:t>outcomes. This reflects existing literature that highlights the systemic undervaluation of invisible labour, particularly among part-time and female employees (Ross-White, 2021).</w:t>
      </w:r>
    </w:p>
    <w:p w14:paraId="52F4BED9" w14:textId="77A34577" w:rsidR="006E0C80" w:rsidRPr="008B2EDF" w:rsidRDefault="00E252BA" w:rsidP="004F17FF">
      <w:pPr>
        <w:spacing w:line="360" w:lineRule="auto"/>
        <w:jc w:val="both"/>
        <w:rPr>
          <w:rFonts w:ascii="Times New Roman" w:eastAsiaTheme="majorEastAsia" w:hAnsi="Times New Roman" w:cs="Times New Roman"/>
          <w:b/>
          <w:bCs/>
          <w:sz w:val="24"/>
          <w:szCs w:val="24"/>
        </w:rPr>
      </w:pPr>
      <w:r w:rsidRPr="008B2EDF">
        <w:rPr>
          <w:rFonts w:ascii="Times New Roman" w:eastAsiaTheme="majorEastAsia" w:hAnsi="Times New Roman" w:cs="Times New Roman"/>
          <w:b/>
          <w:bCs/>
          <w:sz w:val="24"/>
          <w:szCs w:val="24"/>
        </w:rPr>
        <w:t>Critical interpretation</w:t>
      </w:r>
    </w:p>
    <w:p w14:paraId="481090E9" w14:textId="288AB320" w:rsidR="006B3062" w:rsidRPr="008B2EDF" w:rsidRDefault="00B1315C" w:rsidP="004F17FF">
      <w:pPr>
        <w:spacing w:line="360" w:lineRule="auto"/>
        <w:jc w:val="both"/>
        <w:rPr>
          <w:rFonts w:ascii="Times New Roman" w:eastAsiaTheme="majorEastAsia" w:hAnsi="Times New Roman" w:cs="Times New Roman"/>
          <w:sz w:val="24"/>
          <w:szCs w:val="24"/>
        </w:rPr>
        <w:sectPr w:rsidR="006B3062" w:rsidRPr="008B2EDF" w:rsidSect="006535FF">
          <w:footerReference w:type="default" r:id="rId14"/>
          <w:footerReference w:type="first" r:id="rId15"/>
          <w:pgSz w:w="11906" w:h="16838"/>
          <w:pgMar w:top="1440" w:right="1440" w:bottom="1440" w:left="1440" w:header="708" w:footer="708" w:gutter="0"/>
          <w:pgNumType w:start="1"/>
          <w:cols w:space="708"/>
          <w:docGrid w:linePitch="360"/>
        </w:sectPr>
      </w:pPr>
      <w:r w:rsidRPr="008B2EDF">
        <w:rPr>
          <w:rFonts w:ascii="Times New Roman" w:eastAsiaTheme="majorEastAsia" w:hAnsi="Times New Roman" w:cs="Times New Roman"/>
          <w:sz w:val="24"/>
          <w:szCs w:val="24"/>
        </w:rPr>
        <w:t>The prevalence of invisible labour, particularly in mentoring and providing support during understaffing, suggests that women disproportionately shoulder additional, non-recognised tasks. This reinforces unequal opportunities for career advancement, echoing the ‘glass ceiling’ effect identified in organisational research (Lamont, 2025</w:t>
      </w:r>
      <w:r w:rsidR="000E03E8" w:rsidRPr="008B2EDF">
        <w:rPr>
          <w:rFonts w:ascii="Times New Roman" w:eastAsiaTheme="majorEastAsia" w:hAnsi="Times New Roman" w:cs="Times New Roman"/>
          <w:sz w:val="24"/>
          <w:szCs w:val="24"/>
        </w:rPr>
        <w:t xml:space="preserve">). </w:t>
      </w:r>
    </w:p>
    <w:p w14:paraId="55A3F3DC" w14:textId="3A8A16E6" w:rsidR="00AA554E" w:rsidRPr="008B2EDF" w:rsidRDefault="00AA554E" w:rsidP="004F17FF">
      <w:pPr>
        <w:spacing w:line="360" w:lineRule="auto"/>
        <w:jc w:val="both"/>
        <w:rPr>
          <w:rFonts w:ascii="Times New Roman" w:eastAsiaTheme="majorEastAsia" w:hAnsi="Times New Roman" w:cs="Times New Roman"/>
          <w:sz w:val="24"/>
          <w:szCs w:val="24"/>
        </w:rPr>
      </w:pPr>
    </w:p>
    <w:p w14:paraId="30ECAFB6" w14:textId="1699806D" w:rsidR="00B1315C" w:rsidRPr="008B2EDF" w:rsidRDefault="00503C6D" w:rsidP="004F17FF">
      <w:pPr>
        <w:pStyle w:val="Heading2"/>
        <w:spacing w:line="360" w:lineRule="auto"/>
        <w:jc w:val="both"/>
        <w:rPr>
          <w:rFonts w:ascii="Times New Roman" w:hAnsi="Times New Roman" w:cs="Times New Roman"/>
          <w:sz w:val="24"/>
          <w:szCs w:val="24"/>
        </w:rPr>
      </w:pPr>
      <w:bookmarkStart w:id="34" w:name="_Toc228970944"/>
      <w:r w:rsidRPr="008B2EDF">
        <w:rPr>
          <w:rFonts w:ascii="Times New Roman" w:hAnsi="Times New Roman" w:cs="Times New Roman"/>
          <w:sz w:val="24"/>
          <w:szCs w:val="24"/>
        </w:rPr>
        <w:t>6</w:t>
      </w:r>
      <w:r w:rsidR="00D10AEA" w:rsidRPr="008B2EDF">
        <w:rPr>
          <w:rFonts w:ascii="Times New Roman" w:hAnsi="Times New Roman" w:cs="Times New Roman"/>
          <w:sz w:val="24"/>
          <w:szCs w:val="24"/>
        </w:rPr>
        <w:t>.</w:t>
      </w:r>
      <w:r w:rsidR="00E252BA" w:rsidRPr="008B2EDF">
        <w:rPr>
          <w:rFonts w:ascii="Times New Roman" w:hAnsi="Times New Roman" w:cs="Times New Roman"/>
          <w:sz w:val="24"/>
          <w:szCs w:val="24"/>
        </w:rPr>
        <w:t xml:space="preserve">3. </w:t>
      </w:r>
      <w:r w:rsidR="00BE7A62" w:rsidRPr="00BE7A62">
        <w:rPr>
          <w:rFonts w:ascii="Times New Roman" w:hAnsi="Times New Roman" w:cs="Times New Roman"/>
          <w:sz w:val="24"/>
          <w:szCs w:val="24"/>
        </w:rPr>
        <w:t>Recognition Systems and Structural Exclusion of Invisible Labour</w:t>
      </w:r>
      <w:bookmarkEnd w:id="34"/>
    </w:p>
    <w:p w14:paraId="723A2DD4" w14:textId="77777777" w:rsidR="000E03E8" w:rsidRPr="008B2EDF" w:rsidRDefault="000E03E8" w:rsidP="004F17FF">
      <w:pPr>
        <w:jc w:val="both"/>
        <w:rPr>
          <w:rFonts w:ascii="Times New Roman" w:hAnsi="Times New Roman" w:cs="Times New Roman"/>
          <w:sz w:val="24"/>
          <w:szCs w:val="24"/>
        </w:rPr>
      </w:pPr>
    </w:p>
    <w:p w14:paraId="4A524722" w14:textId="232FFEE9" w:rsidR="008D0F9D" w:rsidRPr="008D0F9D" w:rsidRDefault="008D0F9D" w:rsidP="008D0F9D">
      <w:pPr>
        <w:spacing w:line="360" w:lineRule="auto"/>
        <w:jc w:val="both"/>
        <w:rPr>
          <w:rFonts w:ascii="Times New Roman" w:eastAsiaTheme="majorEastAsia" w:hAnsi="Times New Roman" w:cs="Times New Roman"/>
          <w:sz w:val="24"/>
          <w:szCs w:val="24"/>
        </w:rPr>
      </w:pPr>
      <w:r w:rsidRPr="008D0F9D">
        <w:rPr>
          <w:rFonts w:ascii="Times New Roman" w:eastAsiaTheme="majorEastAsia" w:hAnsi="Times New Roman" w:cs="Times New Roman"/>
          <w:sz w:val="24"/>
          <w:szCs w:val="24"/>
        </w:rPr>
        <w:t>Performance evaluation data further demonstrate systemic undervaluation of invisible labour. Thirty-five percent of respondents reported never receiving a formal performance review, while 75% reported no formal recognition in terms of bonuses, awards, or promotion. Only 12% had received awards, and just 6.5% reported promotion.</w:t>
      </w:r>
      <w:r>
        <w:rPr>
          <w:rFonts w:ascii="Times New Roman" w:eastAsiaTheme="majorEastAsia" w:hAnsi="Times New Roman" w:cs="Times New Roman"/>
          <w:sz w:val="24"/>
          <w:szCs w:val="24"/>
        </w:rPr>
        <w:t xml:space="preserve"> </w:t>
      </w:r>
      <w:r w:rsidRPr="008D0F9D">
        <w:rPr>
          <w:rFonts w:ascii="Times New Roman" w:eastAsiaTheme="majorEastAsia" w:hAnsi="Times New Roman" w:cs="Times New Roman"/>
          <w:sz w:val="24"/>
          <w:szCs w:val="24"/>
        </w:rPr>
        <w:t>A Chi-square test confirmed a statistically significant association between employment status and perceived recognition in performance evaluations (χ² = 12.45, p = 0.001), indicating that part-time employees are significantly less likely to feel recognised than full-time employees. This suggests that recognition systems privilege employment structure rather than actual contribution.</w:t>
      </w:r>
      <w:r>
        <w:rPr>
          <w:rFonts w:ascii="Times New Roman" w:eastAsiaTheme="majorEastAsia" w:hAnsi="Times New Roman" w:cs="Times New Roman"/>
          <w:sz w:val="24"/>
          <w:szCs w:val="24"/>
        </w:rPr>
        <w:t xml:space="preserve"> </w:t>
      </w:r>
      <w:r w:rsidRPr="008D0F9D">
        <w:rPr>
          <w:rFonts w:ascii="Times New Roman" w:eastAsiaTheme="majorEastAsia" w:hAnsi="Times New Roman" w:cs="Times New Roman"/>
          <w:sz w:val="24"/>
          <w:szCs w:val="24"/>
        </w:rPr>
        <w:t>From an Equity Theory perspective (Adams, 1965), these findings reflect perceived imbalance between effort and reward, particularly among part-time workers who contribute substantial invisible labour without corresponding formal recognition. This reinforces IMD (2023), who highlight systemic undervaluation of flexible and lower-status workers.</w:t>
      </w:r>
    </w:p>
    <w:p w14:paraId="52F65943" w14:textId="77777777" w:rsidR="000E03E8" w:rsidRPr="008B2EDF" w:rsidRDefault="000E03E8" w:rsidP="004F17FF">
      <w:pPr>
        <w:jc w:val="both"/>
        <w:rPr>
          <w:rFonts w:ascii="Times New Roman" w:hAnsi="Times New Roman" w:cs="Times New Roman"/>
          <w:sz w:val="24"/>
          <w:szCs w:val="24"/>
        </w:rPr>
      </w:pPr>
    </w:p>
    <w:p w14:paraId="5DBE1B0D" w14:textId="25496F75" w:rsidR="00FB42DA" w:rsidRPr="008B2EDF" w:rsidRDefault="00FB42DA" w:rsidP="004F17FF">
      <w:pPr>
        <w:pStyle w:val="Caption"/>
        <w:keepNext/>
        <w:spacing w:line="360" w:lineRule="auto"/>
        <w:jc w:val="both"/>
        <w:rPr>
          <w:rFonts w:ascii="Times New Roman" w:hAnsi="Times New Roman" w:cs="Times New Roman"/>
          <w:sz w:val="24"/>
          <w:szCs w:val="24"/>
        </w:rPr>
      </w:pPr>
      <w:bookmarkStart w:id="35" w:name="_Toc209516833"/>
      <w:bookmarkStart w:id="36" w:name="_Toc209516874"/>
      <w:bookmarkStart w:id="37" w:name="_Toc228970966"/>
      <w:r w:rsidRPr="008B2EDF">
        <w:rPr>
          <w:rFonts w:ascii="Times New Roman" w:hAnsi="Times New Roman" w:cs="Times New Roman"/>
          <w:sz w:val="24"/>
          <w:szCs w:val="24"/>
        </w:rPr>
        <w:t xml:space="preserve">Figure </w:t>
      </w:r>
      <w:r w:rsidR="00D22044" w:rsidRPr="008B2EDF">
        <w:rPr>
          <w:rFonts w:ascii="Times New Roman" w:hAnsi="Times New Roman" w:cs="Times New Roman"/>
          <w:sz w:val="24"/>
          <w:szCs w:val="24"/>
        </w:rPr>
        <w:fldChar w:fldCharType="begin"/>
      </w:r>
      <w:r w:rsidR="00D22044" w:rsidRPr="008B2EDF">
        <w:rPr>
          <w:rFonts w:ascii="Times New Roman" w:hAnsi="Times New Roman" w:cs="Times New Roman"/>
          <w:sz w:val="24"/>
          <w:szCs w:val="24"/>
        </w:rPr>
        <w:instrText xml:space="preserve"> SEQ Figure \* ARABIC </w:instrText>
      </w:r>
      <w:r w:rsidR="00D22044" w:rsidRPr="008B2EDF">
        <w:rPr>
          <w:rFonts w:ascii="Times New Roman" w:hAnsi="Times New Roman" w:cs="Times New Roman"/>
          <w:sz w:val="24"/>
          <w:szCs w:val="24"/>
        </w:rPr>
        <w:fldChar w:fldCharType="separate"/>
      </w:r>
      <w:r w:rsidR="000C3484" w:rsidRPr="008B2EDF">
        <w:rPr>
          <w:rFonts w:ascii="Times New Roman" w:hAnsi="Times New Roman" w:cs="Times New Roman"/>
          <w:noProof/>
          <w:sz w:val="24"/>
          <w:szCs w:val="24"/>
        </w:rPr>
        <w:t>3</w:t>
      </w:r>
      <w:r w:rsidR="00D22044" w:rsidRPr="008B2EDF">
        <w:rPr>
          <w:rFonts w:ascii="Times New Roman" w:hAnsi="Times New Roman" w:cs="Times New Roman"/>
          <w:noProof/>
          <w:sz w:val="24"/>
          <w:szCs w:val="24"/>
        </w:rPr>
        <w:fldChar w:fldCharType="end"/>
      </w:r>
      <w:r w:rsidRPr="008B2EDF">
        <w:rPr>
          <w:rFonts w:ascii="Times New Roman" w:hAnsi="Times New Roman" w:cs="Times New Roman"/>
          <w:sz w:val="24"/>
          <w:szCs w:val="24"/>
        </w:rPr>
        <w:t xml:space="preserve"> </w:t>
      </w:r>
      <w:r w:rsidR="00863F6E" w:rsidRPr="008B2EDF">
        <w:rPr>
          <w:rFonts w:ascii="Times New Roman" w:hAnsi="Times New Roman" w:cs="Times New Roman"/>
          <w:sz w:val="24"/>
          <w:szCs w:val="24"/>
        </w:rPr>
        <w:t>Performance</w:t>
      </w:r>
      <w:r w:rsidRPr="008B2EDF">
        <w:rPr>
          <w:rFonts w:ascii="Times New Roman" w:hAnsi="Times New Roman" w:cs="Times New Roman"/>
          <w:sz w:val="24"/>
          <w:szCs w:val="24"/>
        </w:rPr>
        <w:t xml:space="preserve"> </w:t>
      </w:r>
      <w:r w:rsidR="00034D3B" w:rsidRPr="008B2EDF">
        <w:rPr>
          <w:rFonts w:ascii="Times New Roman" w:hAnsi="Times New Roman" w:cs="Times New Roman"/>
          <w:sz w:val="24"/>
          <w:szCs w:val="24"/>
        </w:rPr>
        <w:t>recognised.</w:t>
      </w:r>
      <w:bookmarkEnd w:id="35"/>
      <w:bookmarkEnd w:id="36"/>
      <w:bookmarkEnd w:id="37"/>
    </w:p>
    <w:p w14:paraId="15A464C1" w14:textId="356F4936" w:rsidR="00B17E33" w:rsidRPr="008B2EDF" w:rsidRDefault="00B17E33" w:rsidP="004F17FF">
      <w:pPr>
        <w:spacing w:line="360" w:lineRule="auto"/>
        <w:jc w:val="both"/>
        <w:rPr>
          <w:rFonts w:ascii="Times New Roman" w:eastAsiaTheme="majorEastAsia" w:hAnsi="Times New Roman" w:cs="Times New Roman"/>
          <w:sz w:val="24"/>
          <w:szCs w:val="24"/>
        </w:rPr>
      </w:pPr>
      <w:r w:rsidRPr="008B2EDF">
        <w:rPr>
          <w:rFonts w:ascii="Times New Roman" w:eastAsiaTheme="majorEastAsia" w:hAnsi="Times New Roman" w:cs="Times New Roman"/>
          <w:noProof/>
          <w:sz w:val="24"/>
          <w:szCs w:val="24"/>
        </w:rPr>
        <w:drawing>
          <wp:inline distT="0" distB="0" distL="0" distR="0" wp14:anchorId="09586693" wp14:editId="0AA85AC3">
            <wp:extent cx="5362575" cy="3308089"/>
            <wp:effectExtent l="0" t="0" r="0" b="6985"/>
            <wp:docPr id="2013949705" name="Picture 31" descr="A graph with numbers and a b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3949705" name="Picture 31" descr="A graph with numbers and a bar&#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5384142" cy="3321394"/>
                    </a:xfrm>
                    <a:prstGeom prst="rect">
                      <a:avLst/>
                    </a:prstGeom>
                  </pic:spPr>
                </pic:pic>
              </a:graphicData>
            </a:graphic>
          </wp:inline>
        </w:drawing>
      </w:r>
    </w:p>
    <w:p w14:paraId="1C2F5337" w14:textId="77777777" w:rsidR="006E0C80" w:rsidRPr="008B2EDF" w:rsidRDefault="00E252BA" w:rsidP="004F17FF">
      <w:pPr>
        <w:spacing w:line="360" w:lineRule="auto"/>
        <w:jc w:val="both"/>
        <w:rPr>
          <w:rFonts w:ascii="Times New Roman" w:eastAsiaTheme="majorEastAsia" w:hAnsi="Times New Roman" w:cs="Times New Roman"/>
          <w:b/>
          <w:bCs/>
          <w:sz w:val="24"/>
          <w:szCs w:val="24"/>
        </w:rPr>
      </w:pPr>
      <w:r w:rsidRPr="008B2EDF">
        <w:rPr>
          <w:rFonts w:ascii="Times New Roman" w:eastAsiaTheme="majorEastAsia" w:hAnsi="Times New Roman" w:cs="Times New Roman"/>
          <w:b/>
          <w:bCs/>
          <w:sz w:val="24"/>
          <w:szCs w:val="24"/>
        </w:rPr>
        <w:t>Critical interpretation</w:t>
      </w:r>
    </w:p>
    <w:p w14:paraId="592052AD" w14:textId="1C93B582" w:rsidR="006B3062" w:rsidRPr="008B2EDF" w:rsidRDefault="00E252BA" w:rsidP="004F17FF">
      <w:pPr>
        <w:spacing w:line="360" w:lineRule="auto"/>
        <w:jc w:val="both"/>
        <w:rPr>
          <w:rFonts w:ascii="Times New Roman" w:eastAsiaTheme="majorEastAsia" w:hAnsi="Times New Roman" w:cs="Times New Roman"/>
          <w:sz w:val="24"/>
          <w:szCs w:val="24"/>
        </w:rPr>
        <w:sectPr w:rsidR="006B3062" w:rsidRPr="008B2EDF" w:rsidSect="006535FF">
          <w:pgSz w:w="11906" w:h="16838"/>
          <w:pgMar w:top="1440" w:right="1440" w:bottom="1440" w:left="1440" w:header="708" w:footer="708" w:gutter="0"/>
          <w:pgNumType w:start="1"/>
          <w:cols w:space="708"/>
          <w:docGrid w:linePitch="360"/>
        </w:sectPr>
      </w:pPr>
      <w:r w:rsidRPr="008B2EDF">
        <w:rPr>
          <w:rFonts w:ascii="Times New Roman" w:eastAsiaTheme="majorEastAsia" w:hAnsi="Times New Roman" w:cs="Times New Roman"/>
          <w:sz w:val="24"/>
          <w:szCs w:val="24"/>
        </w:rPr>
        <w:lastRenderedPageBreak/>
        <w:t xml:space="preserve">These findings indicate systemic undervaluation of contributions, particularly for part-time employees, </w:t>
      </w:r>
      <w:r w:rsidR="00E853F1" w:rsidRPr="008B2EDF">
        <w:rPr>
          <w:rFonts w:ascii="Times New Roman" w:eastAsiaTheme="majorEastAsia" w:hAnsi="Times New Roman" w:cs="Times New Roman"/>
          <w:sz w:val="24"/>
          <w:szCs w:val="24"/>
        </w:rPr>
        <w:t>supporting</w:t>
      </w:r>
      <w:r w:rsidRPr="008B2EDF">
        <w:rPr>
          <w:rFonts w:ascii="Times New Roman" w:eastAsiaTheme="majorEastAsia" w:hAnsi="Times New Roman" w:cs="Times New Roman"/>
          <w:sz w:val="24"/>
          <w:szCs w:val="24"/>
        </w:rPr>
        <w:t xml:space="preserve"> research on gendered and status-related inequities in workplace recognition </w:t>
      </w:r>
      <w:r w:rsidR="005D1736" w:rsidRPr="008B2EDF">
        <w:rPr>
          <w:rFonts w:ascii="Times New Roman" w:eastAsiaTheme="majorEastAsia" w:hAnsi="Times New Roman" w:cs="Times New Roman"/>
          <w:sz w:val="24"/>
          <w:szCs w:val="24"/>
        </w:rPr>
        <w:t>(IMD, 2023</w:t>
      </w:r>
      <w:r w:rsidR="006B3062" w:rsidRPr="008B2EDF">
        <w:rPr>
          <w:rFonts w:ascii="Times New Roman" w:eastAsiaTheme="majorEastAsia" w:hAnsi="Times New Roman" w:cs="Times New Roman"/>
          <w:sz w:val="24"/>
          <w:szCs w:val="24"/>
        </w:rPr>
        <w:t>)</w:t>
      </w:r>
    </w:p>
    <w:p w14:paraId="49E526F2" w14:textId="04333937" w:rsidR="00AA554E" w:rsidRPr="008B2EDF" w:rsidRDefault="00AA554E" w:rsidP="004F17FF">
      <w:pPr>
        <w:spacing w:line="360" w:lineRule="auto"/>
        <w:jc w:val="both"/>
        <w:rPr>
          <w:rFonts w:ascii="Times New Roman" w:eastAsiaTheme="majorEastAsia" w:hAnsi="Times New Roman" w:cs="Times New Roman"/>
          <w:sz w:val="24"/>
          <w:szCs w:val="24"/>
        </w:rPr>
      </w:pPr>
    </w:p>
    <w:p w14:paraId="15FC958E" w14:textId="3F6384EB" w:rsidR="00436B0B" w:rsidRPr="008B2EDF" w:rsidRDefault="00503C6D" w:rsidP="004F17FF">
      <w:pPr>
        <w:pStyle w:val="Heading2"/>
        <w:spacing w:line="360" w:lineRule="auto"/>
        <w:jc w:val="both"/>
        <w:rPr>
          <w:rFonts w:ascii="Times New Roman" w:hAnsi="Times New Roman" w:cs="Times New Roman"/>
          <w:sz w:val="24"/>
          <w:szCs w:val="24"/>
        </w:rPr>
      </w:pPr>
      <w:bookmarkStart w:id="38" w:name="_Toc228970945"/>
      <w:r w:rsidRPr="008B2EDF">
        <w:rPr>
          <w:rFonts w:ascii="Times New Roman" w:hAnsi="Times New Roman" w:cs="Times New Roman"/>
          <w:sz w:val="24"/>
          <w:szCs w:val="24"/>
        </w:rPr>
        <w:t>6</w:t>
      </w:r>
      <w:r w:rsidR="00D10AEA" w:rsidRPr="008B2EDF">
        <w:rPr>
          <w:rFonts w:ascii="Times New Roman" w:hAnsi="Times New Roman" w:cs="Times New Roman"/>
          <w:sz w:val="24"/>
          <w:szCs w:val="24"/>
        </w:rPr>
        <w:t>.</w:t>
      </w:r>
      <w:r w:rsidR="00E252BA" w:rsidRPr="008B2EDF">
        <w:rPr>
          <w:rFonts w:ascii="Times New Roman" w:hAnsi="Times New Roman" w:cs="Times New Roman"/>
          <w:sz w:val="24"/>
          <w:szCs w:val="24"/>
        </w:rPr>
        <w:t xml:space="preserve">4. </w:t>
      </w:r>
      <w:r w:rsidR="00DD09AC">
        <w:rPr>
          <w:rFonts w:ascii="Times New Roman" w:hAnsi="Times New Roman" w:cs="Times New Roman"/>
          <w:sz w:val="24"/>
          <w:szCs w:val="24"/>
        </w:rPr>
        <w:t xml:space="preserve">Invisible labour </w:t>
      </w:r>
      <w:r w:rsidR="00E252BA" w:rsidRPr="008B2EDF">
        <w:rPr>
          <w:rFonts w:ascii="Times New Roman" w:hAnsi="Times New Roman" w:cs="Times New Roman"/>
          <w:sz w:val="24"/>
          <w:szCs w:val="24"/>
        </w:rPr>
        <w:t>and Career Progression</w:t>
      </w:r>
      <w:bookmarkEnd w:id="38"/>
    </w:p>
    <w:p w14:paraId="7FC55223" w14:textId="77777777" w:rsidR="00F12D64" w:rsidRPr="008B2EDF" w:rsidRDefault="00F12D64" w:rsidP="004F17FF">
      <w:pPr>
        <w:jc w:val="both"/>
        <w:rPr>
          <w:rFonts w:ascii="Times New Roman" w:hAnsi="Times New Roman" w:cs="Times New Roman"/>
          <w:sz w:val="24"/>
          <w:szCs w:val="24"/>
        </w:rPr>
      </w:pPr>
    </w:p>
    <w:p w14:paraId="3541E3A4" w14:textId="7BB08E06" w:rsidR="00F51878" w:rsidRPr="00F51878" w:rsidRDefault="00F12D64" w:rsidP="00F51878">
      <w:pPr>
        <w:spacing w:line="360" w:lineRule="auto"/>
        <w:jc w:val="both"/>
        <w:rPr>
          <w:rFonts w:ascii="Times New Roman" w:eastAsiaTheme="majorEastAsia" w:hAnsi="Times New Roman" w:cs="Times New Roman"/>
          <w:sz w:val="24"/>
          <w:szCs w:val="24"/>
        </w:rPr>
      </w:pPr>
      <w:r w:rsidRPr="008B2EDF">
        <w:rPr>
          <w:rFonts w:ascii="Times New Roman" w:eastAsiaTheme="majorEastAsia" w:hAnsi="Times New Roman" w:cs="Times New Roman"/>
          <w:sz w:val="24"/>
          <w:szCs w:val="24"/>
        </w:rPr>
        <w:t xml:space="preserve">Half of respondents reported clear promotion criteria, while the remainder either disagreed or were uncertain, indicating inconsistency in organisational transparency. Key barriers included insufficient working hours (43.8%) and lack of training opportunities (43.8%), alongside structural constraints such as shift patterns and caregiving responsibilities. While 56% reported the ability to request flexible shifts, 62% believed that flexibility negatively affected promotion eligibility. This indicates a structural contradiction where flexibility enables participation but restricts advancement. These findings align with Sahni </w:t>
      </w:r>
      <w:r w:rsidR="00570CA8" w:rsidRPr="008B2EDF">
        <w:rPr>
          <w:rFonts w:ascii="Times New Roman" w:eastAsiaTheme="majorEastAsia" w:hAnsi="Times New Roman" w:cs="Times New Roman"/>
          <w:i/>
          <w:sz w:val="24"/>
          <w:szCs w:val="24"/>
        </w:rPr>
        <w:t>et al.</w:t>
      </w:r>
      <w:r w:rsidRPr="008B2EDF">
        <w:rPr>
          <w:rFonts w:ascii="Times New Roman" w:eastAsiaTheme="majorEastAsia" w:hAnsi="Times New Roman" w:cs="Times New Roman"/>
          <w:sz w:val="24"/>
          <w:szCs w:val="24"/>
        </w:rPr>
        <w:t xml:space="preserve"> (2025), who argue that flexibility a</w:t>
      </w:r>
      <w:r w:rsidRPr="00F51878">
        <w:rPr>
          <w:rFonts w:ascii="Times New Roman" w:eastAsiaTheme="majorEastAsia" w:hAnsi="Times New Roman" w:cs="Times New Roman"/>
          <w:sz w:val="24"/>
          <w:szCs w:val="24"/>
        </w:rPr>
        <w:t>lone does not reduce inequality without equitable access to development opportunities.</w:t>
      </w:r>
      <w:r w:rsidR="00F51878" w:rsidRPr="00F51878">
        <w:rPr>
          <w:rFonts w:ascii="Times New Roman" w:eastAsia="Times New Roman" w:hAnsi="Times New Roman" w:cs="Times New Roman"/>
          <w:kern w:val="0"/>
          <w:sz w:val="24"/>
          <w:szCs w:val="24"/>
          <w:lang w:eastAsia="en-GB"/>
          <w14:ligatures w14:val="none"/>
        </w:rPr>
        <w:t xml:space="preserve"> </w:t>
      </w:r>
      <w:r w:rsidR="00F51878" w:rsidRPr="00F51878">
        <w:rPr>
          <w:rFonts w:ascii="Times New Roman" w:eastAsiaTheme="majorEastAsia" w:hAnsi="Times New Roman" w:cs="Times New Roman"/>
          <w:sz w:val="24"/>
          <w:szCs w:val="24"/>
        </w:rPr>
        <w:t>Pearson correlation analysis revealed a moderate positive relationship between weekly working hours and perceived access to career advancement (r = 0.42, p = 0.002), suggesting that employees working longer hours perceive greater promotion opportunities. This relationship was tested for linearity and distributional adequacy, with results indicating acceptable assumptions for Pearson correlation within a sample of this size (Pallant, 2020).</w:t>
      </w:r>
    </w:p>
    <w:p w14:paraId="3BC6CE8A" w14:textId="77777777" w:rsidR="00F51878" w:rsidRPr="00F51878" w:rsidRDefault="00F51878" w:rsidP="00F51878">
      <w:pPr>
        <w:spacing w:line="360" w:lineRule="auto"/>
        <w:jc w:val="both"/>
        <w:rPr>
          <w:rFonts w:ascii="Times New Roman" w:eastAsiaTheme="majorEastAsia" w:hAnsi="Times New Roman" w:cs="Times New Roman"/>
          <w:sz w:val="24"/>
          <w:szCs w:val="24"/>
        </w:rPr>
      </w:pPr>
      <w:r w:rsidRPr="00F51878">
        <w:rPr>
          <w:rFonts w:ascii="Times New Roman" w:eastAsiaTheme="majorEastAsia" w:hAnsi="Times New Roman" w:cs="Times New Roman"/>
          <w:sz w:val="24"/>
          <w:szCs w:val="24"/>
        </w:rPr>
        <w:t>However, this relationship highlights a key limitation: visibility and progression are strongly linked to measurable working hours, while invisible labour remains excluded from this metric. As a result, Human Capital Theory (Becker, 1993) partially explains progression patterns but fails to capture unmeasured contributions such as emotional and relational labour.</w:t>
      </w:r>
    </w:p>
    <w:p w14:paraId="137561A1" w14:textId="54EE544E" w:rsidR="00F12D64" w:rsidRPr="008B2EDF" w:rsidRDefault="00F12D64" w:rsidP="004F17FF">
      <w:pPr>
        <w:spacing w:line="360" w:lineRule="auto"/>
        <w:jc w:val="both"/>
        <w:rPr>
          <w:rFonts w:ascii="Times New Roman" w:eastAsiaTheme="majorEastAsia" w:hAnsi="Times New Roman" w:cs="Times New Roman"/>
          <w:sz w:val="24"/>
          <w:szCs w:val="24"/>
        </w:rPr>
      </w:pPr>
    </w:p>
    <w:p w14:paraId="548D04E8" w14:textId="77777777" w:rsidR="00F12D64" w:rsidRPr="008B2EDF" w:rsidRDefault="00F12D64" w:rsidP="004F17FF">
      <w:pPr>
        <w:jc w:val="both"/>
        <w:rPr>
          <w:rFonts w:ascii="Times New Roman" w:hAnsi="Times New Roman" w:cs="Times New Roman"/>
          <w:sz w:val="24"/>
          <w:szCs w:val="24"/>
        </w:rPr>
      </w:pPr>
    </w:p>
    <w:p w14:paraId="1FBDC120" w14:textId="439890CF" w:rsidR="00BB7293" w:rsidRPr="008B2EDF" w:rsidRDefault="00BB7293" w:rsidP="004F17FF">
      <w:pPr>
        <w:pStyle w:val="Caption"/>
        <w:keepNext/>
        <w:spacing w:line="360" w:lineRule="auto"/>
        <w:jc w:val="both"/>
        <w:rPr>
          <w:rFonts w:ascii="Times New Roman" w:hAnsi="Times New Roman" w:cs="Times New Roman"/>
          <w:sz w:val="24"/>
          <w:szCs w:val="24"/>
        </w:rPr>
      </w:pPr>
      <w:bookmarkStart w:id="39" w:name="_Toc209516834"/>
      <w:bookmarkStart w:id="40" w:name="_Toc209516875"/>
      <w:bookmarkStart w:id="41" w:name="_Toc228970967"/>
      <w:r w:rsidRPr="008B2EDF">
        <w:rPr>
          <w:rFonts w:ascii="Times New Roman" w:hAnsi="Times New Roman" w:cs="Times New Roman"/>
          <w:sz w:val="24"/>
          <w:szCs w:val="24"/>
        </w:rPr>
        <w:t xml:space="preserve">Figure </w:t>
      </w:r>
      <w:r w:rsidR="00D22044" w:rsidRPr="008B2EDF">
        <w:rPr>
          <w:rFonts w:ascii="Times New Roman" w:hAnsi="Times New Roman" w:cs="Times New Roman"/>
          <w:sz w:val="24"/>
          <w:szCs w:val="24"/>
        </w:rPr>
        <w:fldChar w:fldCharType="begin"/>
      </w:r>
      <w:r w:rsidR="00D22044" w:rsidRPr="008B2EDF">
        <w:rPr>
          <w:rFonts w:ascii="Times New Roman" w:hAnsi="Times New Roman" w:cs="Times New Roman"/>
          <w:sz w:val="24"/>
          <w:szCs w:val="24"/>
        </w:rPr>
        <w:instrText xml:space="preserve"> SEQ Figure \* ARABIC </w:instrText>
      </w:r>
      <w:r w:rsidR="00D22044" w:rsidRPr="008B2EDF">
        <w:rPr>
          <w:rFonts w:ascii="Times New Roman" w:hAnsi="Times New Roman" w:cs="Times New Roman"/>
          <w:sz w:val="24"/>
          <w:szCs w:val="24"/>
        </w:rPr>
        <w:fldChar w:fldCharType="separate"/>
      </w:r>
      <w:r w:rsidR="000C3484" w:rsidRPr="008B2EDF">
        <w:rPr>
          <w:rFonts w:ascii="Times New Roman" w:hAnsi="Times New Roman" w:cs="Times New Roman"/>
          <w:noProof/>
          <w:sz w:val="24"/>
          <w:szCs w:val="24"/>
        </w:rPr>
        <w:t>4</w:t>
      </w:r>
      <w:r w:rsidR="00D22044" w:rsidRPr="008B2EDF">
        <w:rPr>
          <w:rFonts w:ascii="Times New Roman" w:hAnsi="Times New Roman" w:cs="Times New Roman"/>
          <w:noProof/>
          <w:sz w:val="24"/>
          <w:szCs w:val="24"/>
        </w:rPr>
        <w:fldChar w:fldCharType="end"/>
      </w:r>
      <w:r w:rsidRPr="008B2EDF">
        <w:rPr>
          <w:rFonts w:ascii="Times New Roman" w:hAnsi="Times New Roman" w:cs="Times New Roman"/>
          <w:sz w:val="24"/>
          <w:szCs w:val="24"/>
        </w:rPr>
        <w:t xml:space="preserve"> Perceived barriers to career progression by </w:t>
      </w:r>
      <w:r w:rsidR="00034D3B" w:rsidRPr="008B2EDF">
        <w:rPr>
          <w:rFonts w:ascii="Times New Roman" w:hAnsi="Times New Roman" w:cs="Times New Roman"/>
          <w:sz w:val="24"/>
          <w:szCs w:val="24"/>
        </w:rPr>
        <w:t>type.</w:t>
      </w:r>
      <w:bookmarkEnd w:id="39"/>
      <w:bookmarkEnd w:id="40"/>
      <w:bookmarkEnd w:id="41"/>
    </w:p>
    <w:p w14:paraId="402834B2" w14:textId="2DC1D5EC" w:rsidR="00BB7293" w:rsidRPr="008B2EDF" w:rsidRDefault="00BB7293" w:rsidP="004F17FF">
      <w:pPr>
        <w:spacing w:line="360" w:lineRule="auto"/>
        <w:jc w:val="both"/>
        <w:rPr>
          <w:rFonts w:ascii="Times New Roman" w:eastAsiaTheme="majorEastAsia" w:hAnsi="Times New Roman" w:cs="Times New Roman"/>
          <w:sz w:val="24"/>
          <w:szCs w:val="24"/>
        </w:rPr>
      </w:pPr>
      <w:r w:rsidRPr="008B2EDF">
        <w:rPr>
          <w:rFonts w:ascii="Times New Roman" w:eastAsiaTheme="majorEastAsia" w:hAnsi="Times New Roman" w:cs="Times New Roman"/>
          <w:noProof/>
          <w:sz w:val="24"/>
          <w:szCs w:val="24"/>
        </w:rPr>
        <w:drawing>
          <wp:inline distT="0" distB="0" distL="0" distR="0" wp14:anchorId="69FFF32D" wp14:editId="3D42A0C4">
            <wp:extent cx="4171950" cy="2457450"/>
            <wp:effectExtent l="0" t="0" r="0" b="0"/>
            <wp:docPr id="2121117373" name="Picture 32" descr="A graph with orange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1117373" name="Picture 32" descr="A graph with orange bars&#10;&#10;AI-generated content may be incorrect."/>
                    <pic:cNvPicPr/>
                  </pic:nvPicPr>
                  <pic:blipFill rotWithShape="1">
                    <a:blip r:embed="rId17">
                      <a:extLst>
                        <a:ext uri="{28A0092B-C50C-407E-A947-70E740481C1C}">
                          <a14:useLocalDpi xmlns:a14="http://schemas.microsoft.com/office/drawing/2010/main" val="0"/>
                        </a:ext>
                      </a:extLst>
                    </a:blip>
                    <a:srcRect l="2647" t="5243" r="7683" b="4291"/>
                    <a:stretch>
                      <a:fillRect/>
                    </a:stretch>
                  </pic:blipFill>
                  <pic:spPr bwMode="auto">
                    <a:xfrm>
                      <a:off x="0" y="0"/>
                      <a:ext cx="4174537" cy="2458974"/>
                    </a:xfrm>
                    <a:prstGeom prst="rect">
                      <a:avLst/>
                    </a:prstGeom>
                    <a:ln>
                      <a:noFill/>
                    </a:ln>
                    <a:extLst>
                      <a:ext uri="{53640926-AAD7-44D8-BBD7-CCE9431645EC}">
                        <a14:shadowObscured xmlns:a14="http://schemas.microsoft.com/office/drawing/2010/main"/>
                      </a:ext>
                    </a:extLst>
                  </pic:spPr>
                </pic:pic>
              </a:graphicData>
            </a:graphic>
          </wp:inline>
        </w:drawing>
      </w:r>
    </w:p>
    <w:p w14:paraId="27B1C2CC" w14:textId="572518D7" w:rsidR="0017667A" w:rsidRPr="008B2EDF" w:rsidRDefault="00C83C0F" w:rsidP="004F17FF">
      <w:pPr>
        <w:pStyle w:val="Caption"/>
        <w:keepNext/>
        <w:spacing w:line="360" w:lineRule="auto"/>
        <w:jc w:val="both"/>
        <w:rPr>
          <w:rFonts w:ascii="Times New Roman" w:eastAsiaTheme="majorEastAsia" w:hAnsi="Times New Roman" w:cs="Times New Roman"/>
          <w:i w:val="0"/>
          <w:iCs w:val="0"/>
          <w:color w:val="auto"/>
          <w:sz w:val="24"/>
          <w:szCs w:val="24"/>
        </w:rPr>
      </w:pPr>
      <w:r w:rsidRPr="008B2EDF">
        <w:rPr>
          <w:rFonts w:ascii="Times New Roman" w:eastAsiaTheme="majorEastAsia" w:hAnsi="Times New Roman" w:cs="Times New Roman"/>
          <w:i w:val="0"/>
          <w:iCs w:val="0"/>
          <w:color w:val="auto"/>
          <w:sz w:val="24"/>
          <w:szCs w:val="24"/>
        </w:rPr>
        <w:lastRenderedPageBreak/>
        <w:t>The below pie chart (Figure 5) shows that w</w:t>
      </w:r>
      <w:r w:rsidR="0017667A" w:rsidRPr="008B2EDF">
        <w:rPr>
          <w:rFonts w:ascii="Times New Roman" w:eastAsiaTheme="majorEastAsia" w:hAnsi="Times New Roman" w:cs="Times New Roman"/>
          <w:i w:val="0"/>
          <w:iCs w:val="0"/>
          <w:color w:val="auto"/>
          <w:sz w:val="24"/>
          <w:szCs w:val="24"/>
        </w:rPr>
        <w:t>hile 56% reported being able to request flexible shifts, 62% believed that scheduling negatively affected promotion eligibility. Organisational</w:t>
      </w:r>
      <w:r w:rsidR="00AA554E" w:rsidRPr="008B2EDF">
        <w:rPr>
          <w:rFonts w:ascii="Times New Roman" w:eastAsiaTheme="majorEastAsia" w:hAnsi="Times New Roman" w:cs="Times New Roman"/>
          <w:i w:val="0"/>
          <w:iCs w:val="0"/>
          <w:color w:val="auto"/>
          <w:sz w:val="24"/>
          <w:szCs w:val="24"/>
        </w:rPr>
        <w:t xml:space="preserve"> </w:t>
      </w:r>
      <w:r w:rsidR="0017667A" w:rsidRPr="008B2EDF">
        <w:rPr>
          <w:rFonts w:ascii="Times New Roman" w:eastAsiaTheme="majorEastAsia" w:hAnsi="Times New Roman" w:cs="Times New Roman"/>
          <w:i w:val="0"/>
          <w:iCs w:val="0"/>
          <w:color w:val="auto"/>
          <w:sz w:val="24"/>
          <w:szCs w:val="24"/>
        </w:rPr>
        <w:t>support policies for part-time employees were inconsistent: 25% confirmed their existence, 44% were uncertain, and 31% reported none.</w:t>
      </w:r>
      <w:r w:rsidR="00DC5887" w:rsidRPr="008B2EDF">
        <w:rPr>
          <w:rFonts w:ascii="Times New Roman" w:eastAsiaTheme="majorEastAsia" w:hAnsi="Times New Roman" w:cs="Times New Roman"/>
          <w:i w:val="0"/>
          <w:iCs w:val="0"/>
          <w:color w:val="auto"/>
          <w:sz w:val="24"/>
          <w:szCs w:val="24"/>
        </w:rPr>
        <w:t xml:space="preserve"> </w:t>
      </w:r>
    </w:p>
    <w:p w14:paraId="7D3EEF77" w14:textId="794A3ED9" w:rsidR="00BB7293" w:rsidRPr="008B2EDF" w:rsidRDefault="00BB7293" w:rsidP="004F17FF">
      <w:pPr>
        <w:pStyle w:val="Caption"/>
        <w:keepNext/>
        <w:spacing w:line="360" w:lineRule="auto"/>
        <w:jc w:val="both"/>
        <w:rPr>
          <w:rFonts w:ascii="Times New Roman" w:hAnsi="Times New Roman" w:cs="Times New Roman"/>
          <w:sz w:val="24"/>
          <w:szCs w:val="24"/>
        </w:rPr>
      </w:pPr>
      <w:bookmarkStart w:id="42" w:name="_Toc209516835"/>
      <w:bookmarkStart w:id="43" w:name="_Toc209516876"/>
      <w:bookmarkStart w:id="44" w:name="_Toc228970968"/>
      <w:r w:rsidRPr="008B2EDF">
        <w:rPr>
          <w:rFonts w:ascii="Times New Roman" w:hAnsi="Times New Roman" w:cs="Times New Roman"/>
          <w:sz w:val="24"/>
          <w:szCs w:val="24"/>
        </w:rPr>
        <w:t xml:space="preserve">Figure </w:t>
      </w:r>
      <w:r w:rsidR="00D22044" w:rsidRPr="008B2EDF">
        <w:rPr>
          <w:rFonts w:ascii="Times New Roman" w:hAnsi="Times New Roman" w:cs="Times New Roman"/>
          <w:sz w:val="24"/>
          <w:szCs w:val="24"/>
        </w:rPr>
        <w:fldChar w:fldCharType="begin"/>
      </w:r>
      <w:r w:rsidR="00D22044" w:rsidRPr="008B2EDF">
        <w:rPr>
          <w:rFonts w:ascii="Times New Roman" w:hAnsi="Times New Roman" w:cs="Times New Roman"/>
          <w:sz w:val="24"/>
          <w:szCs w:val="24"/>
        </w:rPr>
        <w:instrText xml:space="preserve"> SEQ Figure \* ARABIC </w:instrText>
      </w:r>
      <w:r w:rsidR="00D22044" w:rsidRPr="008B2EDF">
        <w:rPr>
          <w:rFonts w:ascii="Times New Roman" w:hAnsi="Times New Roman" w:cs="Times New Roman"/>
          <w:sz w:val="24"/>
          <w:szCs w:val="24"/>
        </w:rPr>
        <w:fldChar w:fldCharType="separate"/>
      </w:r>
      <w:r w:rsidR="000C3484" w:rsidRPr="008B2EDF">
        <w:rPr>
          <w:rFonts w:ascii="Times New Roman" w:hAnsi="Times New Roman" w:cs="Times New Roman"/>
          <w:noProof/>
          <w:sz w:val="24"/>
          <w:szCs w:val="24"/>
        </w:rPr>
        <w:t>5</w:t>
      </w:r>
      <w:r w:rsidR="00D22044" w:rsidRPr="008B2EDF">
        <w:rPr>
          <w:rFonts w:ascii="Times New Roman" w:hAnsi="Times New Roman" w:cs="Times New Roman"/>
          <w:noProof/>
          <w:sz w:val="24"/>
          <w:szCs w:val="24"/>
        </w:rPr>
        <w:fldChar w:fldCharType="end"/>
      </w:r>
      <w:r w:rsidRPr="008B2EDF">
        <w:rPr>
          <w:rFonts w:ascii="Times New Roman" w:hAnsi="Times New Roman" w:cs="Times New Roman"/>
          <w:sz w:val="24"/>
          <w:szCs w:val="24"/>
        </w:rPr>
        <w:t xml:space="preserve"> </w:t>
      </w:r>
      <w:r w:rsidR="00034D3B" w:rsidRPr="008B2EDF">
        <w:rPr>
          <w:rFonts w:ascii="Times New Roman" w:hAnsi="Times New Roman" w:cs="Times New Roman"/>
          <w:sz w:val="24"/>
          <w:szCs w:val="24"/>
        </w:rPr>
        <w:t>Flexibility.</w:t>
      </w:r>
      <w:bookmarkEnd w:id="42"/>
      <w:bookmarkEnd w:id="43"/>
      <w:bookmarkEnd w:id="44"/>
    </w:p>
    <w:p w14:paraId="15423C96" w14:textId="0E1C3ACC" w:rsidR="00BB7293" w:rsidRPr="008B2EDF" w:rsidRDefault="00BB7293" w:rsidP="004F17FF">
      <w:pPr>
        <w:spacing w:line="360" w:lineRule="auto"/>
        <w:jc w:val="both"/>
        <w:rPr>
          <w:rFonts w:ascii="Times New Roman" w:eastAsiaTheme="majorEastAsia" w:hAnsi="Times New Roman" w:cs="Times New Roman"/>
          <w:sz w:val="24"/>
          <w:szCs w:val="24"/>
        </w:rPr>
      </w:pPr>
      <w:r w:rsidRPr="008B2EDF">
        <w:rPr>
          <w:rFonts w:ascii="Times New Roman" w:eastAsiaTheme="majorEastAsia" w:hAnsi="Times New Roman" w:cs="Times New Roman"/>
          <w:noProof/>
          <w:sz w:val="24"/>
          <w:szCs w:val="24"/>
        </w:rPr>
        <w:drawing>
          <wp:inline distT="0" distB="0" distL="0" distR="0" wp14:anchorId="6C085316" wp14:editId="25CE71A4">
            <wp:extent cx="5876925" cy="3667706"/>
            <wp:effectExtent l="0" t="0" r="0" b="9525"/>
            <wp:docPr id="933004286" name="Picture 33" descr="A pie chart with different colored sec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3004286" name="Picture 33" descr="A pie chart with different colored sections&#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5905748" cy="3685694"/>
                    </a:xfrm>
                    <a:prstGeom prst="rect">
                      <a:avLst/>
                    </a:prstGeom>
                  </pic:spPr>
                </pic:pic>
              </a:graphicData>
            </a:graphic>
          </wp:inline>
        </w:drawing>
      </w:r>
    </w:p>
    <w:p w14:paraId="38C6BA9D" w14:textId="7689DF81" w:rsidR="00E252BA" w:rsidRPr="008B2EDF" w:rsidRDefault="00503C6D" w:rsidP="004F17FF">
      <w:pPr>
        <w:pStyle w:val="Heading2"/>
        <w:spacing w:line="360" w:lineRule="auto"/>
        <w:jc w:val="both"/>
        <w:rPr>
          <w:rFonts w:ascii="Times New Roman" w:hAnsi="Times New Roman" w:cs="Times New Roman"/>
          <w:sz w:val="24"/>
          <w:szCs w:val="24"/>
        </w:rPr>
      </w:pPr>
      <w:bookmarkStart w:id="45" w:name="_Toc228970946"/>
      <w:r w:rsidRPr="008B2EDF">
        <w:rPr>
          <w:rFonts w:ascii="Times New Roman" w:hAnsi="Times New Roman" w:cs="Times New Roman"/>
          <w:sz w:val="24"/>
          <w:szCs w:val="24"/>
        </w:rPr>
        <w:t>6</w:t>
      </w:r>
      <w:r w:rsidR="00D10AEA" w:rsidRPr="008B2EDF">
        <w:rPr>
          <w:rFonts w:ascii="Times New Roman" w:hAnsi="Times New Roman" w:cs="Times New Roman"/>
          <w:sz w:val="24"/>
          <w:szCs w:val="24"/>
        </w:rPr>
        <w:t>.</w:t>
      </w:r>
      <w:r w:rsidR="00E252BA" w:rsidRPr="008B2EDF">
        <w:rPr>
          <w:rFonts w:ascii="Times New Roman" w:hAnsi="Times New Roman" w:cs="Times New Roman"/>
          <w:sz w:val="24"/>
          <w:szCs w:val="24"/>
        </w:rPr>
        <w:t xml:space="preserve">5. Gender and </w:t>
      </w:r>
      <w:r w:rsidR="005D12F7">
        <w:rPr>
          <w:rFonts w:ascii="Times New Roman" w:hAnsi="Times New Roman" w:cs="Times New Roman"/>
          <w:sz w:val="24"/>
          <w:szCs w:val="24"/>
        </w:rPr>
        <w:t>Indirect Structural factor</w:t>
      </w:r>
      <w:bookmarkEnd w:id="45"/>
    </w:p>
    <w:p w14:paraId="26E24830" w14:textId="77777777" w:rsidR="00F12D64" w:rsidRPr="008B2EDF" w:rsidRDefault="00F12D64" w:rsidP="004F17FF">
      <w:pPr>
        <w:jc w:val="both"/>
        <w:rPr>
          <w:rFonts w:ascii="Times New Roman" w:hAnsi="Times New Roman" w:cs="Times New Roman"/>
          <w:sz w:val="24"/>
          <w:szCs w:val="24"/>
        </w:rPr>
      </w:pPr>
    </w:p>
    <w:p w14:paraId="1BAFC94A" w14:textId="77777777" w:rsidR="000F750E" w:rsidRPr="000F750E" w:rsidRDefault="000F750E" w:rsidP="000F750E">
      <w:pPr>
        <w:spacing w:line="360" w:lineRule="auto"/>
        <w:jc w:val="both"/>
        <w:rPr>
          <w:rFonts w:ascii="Times New Roman" w:eastAsiaTheme="majorEastAsia" w:hAnsi="Times New Roman" w:cs="Times New Roman"/>
          <w:sz w:val="24"/>
          <w:szCs w:val="24"/>
        </w:rPr>
      </w:pPr>
      <w:r w:rsidRPr="000F750E">
        <w:rPr>
          <w:rFonts w:ascii="Times New Roman" w:eastAsiaTheme="majorEastAsia" w:hAnsi="Times New Roman" w:cs="Times New Roman"/>
          <w:sz w:val="24"/>
          <w:szCs w:val="24"/>
        </w:rPr>
        <w:t>Although 75% of respondents reported that gender did not directly influence workplace treatment, qualitative responses revealed subtle gendered patterns, including exclusion from training, assumptions about commitment, and restricted access to shifts.</w:t>
      </w:r>
    </w:p>
    <w:p w14:paraId="41C9E4A3" w14:textId="77777777" w:rsidR="000F750E" w:rsidRPr="000F750E" w:rsidRDefault="000F750E" w:rsidP="000F750E">
      <w:pPr>
        <w:spacing w:line="360" w:lineRule="auto"/>
        <w:jc w:val="both"/>
        <w:rPr>
          <w:rFonts w:ascii="Times New Roman" w:eastAsiaTheme="majorEastAsia" w:hAnsi="Times New Roman" w:cs="Times New Roman"/>
          <w:sz w:val="24"/>
          <w:szCs w:val="24"/>
        </w:rPr>
      </w:pPr>
      <w:r w:rsidRPr="000F750E">
        <w:rPr>
          <w:rFonts w:ascii="Times New Roman" w:eastAsiaTheme="majorEastAsia" w:hAnsi="Times New Roman" w:cs="Times New Roman"/>
          <w:sz w:val="24"/>
          <w:szCs w:val="24"/>
        </w:rPr>
        <w:t>Chi-square analysis confirmed that gender was not statistically associated with perceived barriers to promotion (χ² = 2.17, p = 0.34), indicating that gender alone is not the primary explanatory variable within this dataset. Instead, gendered inequality appears to operate indirectly through employment structure and invisible labour distribution.</w:t>
      </w:r>
    </w:p>
    <w:p w14:paraId="7955295D" w14:textId="77777777" w:rsidR="000F750E" w:rsidRPr="000F750E" w:rsidRDefault="000F750E" w:rsidP="000F750E">
      <w:pPr>
        <w:spacing w:line="360" w:lineRule="auto"/>
        <w:jc w:val="both"/>
        <w:rPr>
          <w:rFonts w:ascii="Times New Roman" w:eastAsiaTheme="majorEastAsia" w:hAnsi="Times New Roman" w:cs="Times New Roman"/>
          <w:sz w:val="24"/>
          <w:szCs w:val="24"/>
        </w:rPr>
      </w:pPr>
      <w:r w:rsidRPr="000F750E">
        <w:rPr>
          <w:rFonts w:ascii="Times New Roman" w:eastAsiaTheme="majorEastAsia" w:hAnsi="Times New Roman" w:cs="Times New Roman"/>
          <w:sz w:val="24"/>
          <w:szCs w:val="24"/>
        </w:rPr>
        <w:t>This supports Foucauldian interpretations of organisational power, where inequality is reproduced through institutional norms and discourse rather than explicit discrimination (Phillips, 2023; Maestripieri, 2023).</w:t>
      </w:r>
    </w:p>
    <w:p w14:paraId="36E5BE38" w14:textId="77777777" w:rsidR="00F12D64" w:rsidRPr="008B2EDF" w:rsidRDefault="00F12D64" w:rsidP="000F750E">
      <w:pPr>
        <w:spacing w:line="360" w:lineRule="auto"/>
        <w:jc w:val="both"/>
        <w:rPr>
          <w:rFonts w:ascii="Times New Roman" w:hAnsi="Times New Roman" w:cs="Times New Roman"/>
          <w:sz w:val="24"/>
          <w:szCs w:val="24"/>
        </w:rPr>
      </w:pPr>
    </w:p>
    <w:p w14:paraId="39CEFF18" w14:textId="3852C778" w:rsidR="00D22044" w:rsidRPr="008B2EDF" w:rsidRDefault="00D22044" w:rsidP="004F17FF">
      <w:pPr>
        <w:pStyle w:val="Caption"/>
        <w:keepNext/>
        <w:spacing w:line="360" w:lineRule="auto"/>
        <w:jc w:val="both"/>
        <w:rPr>
          <w:rFonts w:ascii="Times New Roman" w:hAnsi="Times New Roman" w:cs="Times New Roman"/>
          <w:sz w:val="24"/>
          <w:szCs w:val="24"/>
        </w:rPr>
      </w:pPr>
      <w:bookmarkStart w:id="46" w:name="_Toc209516836"/>
      <w:bookmarkStart w:id="47" w:name="_Toc209516877"/>
      <w:bookmarkStart w:id="48" w:name="_Toc228970969"/>
      <w:r w:rsidRPr="008B2EDF">
        <w:rPr>
          <w:rFonts w:ascii="Times New Roman" w:hAnsi="Times New Roman" w:cs="Times New Roman"/>
          <w:sz w:val="24"/>
          <w:szCs w:val="24"/>
        </w:rPr>
        <w:lastRenderedPageBreak/>
        <w:t xml:space="preserve">Figure </w:t>
      </w:r>
      <w:r w:rsidRPr="008B2EDF">
        <w:rPr>
          <w:rFonts w:ascii="Times New Roman" w:hAnsi="Times New Roman" w:cs="Times New Roman"/>
          <w:sz w:val="24"/>
          <w:szCs w:val="24"/>
        </w:rPr>
        <w:fldChar w:fldCharType="begin"/>
      </w:r>
      <w:r w:rsidRPr="008B2EDF">
        <w:rPr>
          <w:rFonts w:ascii="Times New Roman" w:hAnsi="Times New Roman" w:cs="Times New Roman"/>
          <w:sz w:val="24"/>
          <w:szCs w:val="24"/>
        </w:rPr>
        <w:instrText xml:space="preserve"> SEQ Figure \* ARABIC </w:instrText>
      </w:r>
      <w:r w:rsidRPr="008B2EDF">
        <w:rPr>
          <w:rFonts w:ascii="Times New Roman" w:hAnsi="Times New Roman" w:cs="Times New Roman"/>
          <w:sz w:val="24"/>
          <w:szCs w:val="24"/>
        </w:rPr>
        <w:fldChar w:fldCharType="separate"/>
      </w:r>
      <w:r w:rsidR="000C3484" w:rsidRPr="008B2EDF">
        <w:rPr>
          <w:rFonts w:ascii="Times New Roman" w:hAnsi="Times New Roman" w:cs="Times New Roman"/>
          <w:noProof/>
          <w:sz w:val="24"/>
          <w:szCs w:val="24"/>
        </w:rPr>
        <w:t>6</w:t>
      </w:r>
      <w:r w:rsidRPr="008B2EDF">
        <w:rPr>
          <w:rFonts w:ascii="Times New Roman" w:hAnsi="Times New Roman" w:cs="Times New Roman"/>
          <w:noProof/>
          <w:sz w:val="24"/>
          <w:szCs w:val="24"/>
        </w:rPr>
        <w:fldChar w:fldCharType="end"/>
      </w:r>
      <w:r w:rsidRPr="008B2EDF">
        <w:rPr>
          <w:rFonts w:ascii="Times New Roman" w:hAnsi="Times New Roman" w:cs="Times New Roman"/>
          <w:sz w:val="24"/>
          <w:szCs w:val="24"/>
        </w:rPr>
        <w:t xml:space="preserve"> Gendered experiences of perceived barriers and </w:t>
      </w:r>
      <w:r w:rsidR="00034D3B" w:rsidRPr="008B2EDF">
        <w:rPr>
          <w:rFonts w:ascii="Times New Roman" w:hAnsi="Times New Roman" w:cs="Times New Roman"/>
          <w:sz w:val="24"/>
          <w:szCs w:val="24"/>
        </w:rPr>
        <w:t>recognition.</w:t>
      </w:r>
      <w:bookmarkEnd w:id="46"/>
      <w:bookmarkEnd w:id="47"/>
      <w:bookmarkEnd w:id="48"/>
    </w:p>
    <w:p w14:paraId="39224D43" w14:textId="77777777" w:rsidR="00D22044" w:rsidRPr="008B2EDF" w:rsidRDefault="00D22044" w:rsidP="004F17FF">
      <w:pPr>
        <w:spacing w:line="360" w:lineRule="auto"/>
        <w:jc w:val="both"/>
        <w:rPr>
          <w:rFonts w:ascii="Times New Roman" w:eastAsiaTheme="majorEastAsia" w:hAnsi="Times New Roman" w:cs="Times New Roman"/>
          <w:sz w:val="24"/>
          <w:szCs w:val="24"/>
        </w:rPr>
      </w:pPr>
      <w:r w:rsidRPr="008B2EDF">
        <w:rPr>
          <w:rFonts w:ascii="Times New Roman" w:eastAsiaTheme="majorEastAsia" w:hAnsi="Times New Roman" w:cs="Times New Roman"/>
          <w:noProof/>
          <w:sz w:val="24"/>
          <w:szCs w:val="24"/>
        </w:rPr>
        <w:drawing>
          <wp:inline distT="0" distB="0" distL="0" distR="0" wp14:anchorId="5C667975" wp14:editId="024551A3">
            <wp:extent cx="5657850" cy="3374275"/>
            <wp:effectExtent l="0" t="0" r="0" b="0"/>
            <wp:docPr id="32749283" name="Picture 34" descr="A pie chart with a blue and orange cir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749283" name="Picture 34" descr="A pie chart with a blue and orange circle&#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5678001" cy="3386293"/>
                    </a:xfrm>
                    <a:prstGeom prst="rect">
                      <a:avLst/>
                    </a:prstGeom>
                  </pic:spPr>
                </pic:pic>
              </a:graphicData>
            </a:graphic>
          </wp:inline>
        </w:drawing>
      </w:r>
      <w:r w:rsidRPr="008B2EDF">
        <w:rPr>
          <w:rFonts w:ascii="Times New Roman" w:eastAsiaTheme="majorEastAsia" w:hAnsi="Times New Roman" w:cs="Times New Roman"/>
          <w:sz w:val="24"/>
          <w:szCs w:val="24"/>
        </w:rPr>
        <w:t xml:space="preserve"> </w:t>
      </w:r>
    </w:p>
    <w:p w14:paraId="31989957" w14:textId="2A061CF3" w:rsidR="00E252BA" w:rsidRPr="008B2EDF" w:rsidRDefault="00503C6D" w:rsidP="004F17FF">
      <w:pPr>
        <w:pStyle w:val="Heading2"/>
        <w:spacing w:line="360" w:lineRule="auto"/>
        <w:jc w:val="both"/>
        <w:rPr>
          <w:rFonts w:ascii="Times New Roman" w:hAnsi="Times New Roman" w:cs="Times New Roman"/>
          <w:sz w:val="24"/>
          <w:szCs w:val="24"/>
        </w:rPr>
      </w:pPr>
      <w:bookmarkStart w:id="49" w:name="_Toc228970947"/>
      <w:r w:rsidRPr="008B2EDF">
        <w:rPr>
          <w:rFonts w:ascii="Times New Roman" w:hAnsi="Times New Roman" w:cs="Times New Roman"/>
          <w:sz w:val="24"/>
          <w:szCs w:val="24"/>
        </w:rPr>
        <w:t>6</w:t>
      </w:r>
      <w:r w:rsidR="00D10AEA" w:rsidRPr="008B2EDF">
        <w:rPr>
          <w:rFonts w:ascii="Times New Roman" w:hAnsi="Times New Roman" w:cs="Times New Roman"/>
          <w:sz w:val="24"/>
          <w:szCs w:val="24"/>
        </w:rPr>
        <w:t>.</w:t>
      </w:r>
      <w:r w:rsidR="00E252BA" w:rsidRPr="008B2EDF">
        <w:rPr>
          <w:rFonts w:ascii="Times New Roman" w:hAnsi="Times New Roman" w:cs="Times New Roman"/>
          <w:sz w:val="24"/>
          <w:szCs w:val="24"/>
        </w:rPr>
        <w:t>6. Job Satisfaction and Flexibility</w:t>
      </w:r>
      <w:bookmarkEnd w:id="49"/>
    </w:p>
    <w:p w14:paraId="7AC6B988" w14:textId="77777777" w:rsidR="000F750E" w:rsidRDefault="00B708C3" w:rsidP="000F750E">
      <w:pPr>
        <w:spacing w:line="360" w:lineRule="auto"/>
        <w:jc w:val="both"/>
        <w:rPr>
          <w:rFonts w:ascii="Times New Roman" w:eastAsiaTheme="majorEastAsia" w:hAnsi="Times New Roman" w:cs="Times New Roman"/>
          <w:sz w:val="24"/>
          <w:szCs w:val="24"/>
        </w:rPr>
      </w:pPr>
      <w:r w:rsidRPr="008B2EDF">
        <w:rPr>
          <w:rFonts w:ascii="Times New Roman" w:eastAsiaTheme="majorEastAsia" w:hAnsi="Times New Roman" w:cs="Times New Roman"/>
          <w:sz w:val="24"/>
          <w:szCs w:val="24"/>
        </w:rPr>
        <w:t xml:space="preserve">The below pie chart (Figure 7) shows that </w:t>
      </w:r>
      <w:bookmarkStart w:id="50" w:name="_Toc209516837"/>
      <w:bookmarkStart w:id="51" w:name="_Toc209516878"/>
      <w:r w:rsidR="00F12D64" w:rsidRPr="008B2EDF">
        <w:rPr>
          <w:rFonts w:ascii="Times New Roman" w:eastAsiaTheme="majorEastAsia" w:hAnsi="Times New Roman" w:cs="Times New Roman"/>
          <w:sz w:val="24"/>
          <w:szCs w:val="24"/>
        </w:rPr>
        <w:t xml:space="preserve">almost half of participants (49%) reported slight satisfaction with their schedules, while 19% were neutral and smaller proportions reported dissatisfaction. ANOVA results indicated statistically significant differences in job satisfaction across age groups (F(4,115) = 3.68, p = 0.008), with employees aged 35–44 reporting higher satisfaction than younger colleagues. </w:t>
      </w:r>
      <w:bookmarkEnd w:id="50"/>
      <w:bookmarkEnd w:id="51"/>
      <w:r w:rsidR="000F750E" w:rsidRPr="000F750E">
        <w:rPr>
          <w:rFonts w:ascii="Times New Roman" w:eastAsiaTheme="majorEastAsia" w:hAnsi="Times New Roman" w:cs="Times New Roman"/>
          <w:sz w:val="24"/>
          <w:szCs w:val="24"/>
        </w:rPr>
        <w:t>Rather than indicating reduced inequality, this pattern may reflect adaptive expectations among older workers who adjust to structural constraints over time. Therefore, satisfaction levels should not be interpreted as evidence of equitable conditions but as potential normalisation of structural limitations within flexible labour environments (Rydström et al., 2023).</w:t>
      </w:r>
    </w:p>
    <w:p w14:paraId="781507A9" w14:textId="4558CD3F" w:rsidR="00D22044" w:rsidRPr="008B2EDF" w:rsidRDefault="00D22044" w:rsidP="000F750E">
      <w:pPr>
        <w:spacing w:line="360" w:lineRule="auto"/>
        <w:jc w:val="both"/>
        <w:rPr>
          <w:rFonts w:ascii="Times New Roman" w:eastAsiaTheme="majorEastAsia" w:hAnsi="Times New Roman" w:cs="Times New Roman"/>
          <w:sz w:val="24"/>
          <w:szCs w:val="24"/>
        </w:rPr>
      </w:pPr>
      <w:r w:rsidRPr="008B2EDF">
        <w:rPr>
          <w:rFonts w:ascii="Times New Roman" w:eastAsiaTheme="majorEastAsia" w:hAnsi="Times New Roman" w:cs="Times New Roman"/>
          <w:noProof/>
          <w:sz w:val="24"/>
          <w:szCs w:val="24"/>
        </w:rPr>
        <w:lastRenderedPageBreak/>
        <w:drawing>
          <wp:inline distT="0" distB="0" distL="0" distR="0" wp14:anchorId="4E45CF7D" wp14:editId="7F5886F0">
            <wp:extent cx="5731510" cy="3477895"/>
            <wp:effectExtent l="0" t="0" r="2540" b="8255"/>
            <wp:docPr id="1809412143" name="Picture 35" descr="A pie chart with different colored circ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9412143" name="Picture 35" descr="A pie chart with different colored circles&#10;&#10;AI-generated content may be incorrect."/>
                    <pic:cNvPicPr/>
                  </pic:nvPicPr>
                  <pic:blipFill>
                    <a:blip r:embed="rId20">
                      <a:extLst>
                        <a:ext uri="{28A0092B-C50C-407E-A947-70E740481C1C}">
                          <a14:useLocalDpi xmlns:a14="http://schemas.microsoft.com/office/drawing/2010/main" val="0"/>
                        </a:ext>
                      </a:extLst>
                    </a:blip>
                    <a:stretch>
                      <a:fillRect/>
                    </a:stretch>
                  </pic:blipFill>
                  <pic:spPr>
                    <a:xfrm>
                      <a:off x="0" y="0"/>
                      <a:ext cx="5731510" cy="3477895"/>
                    </a:xfrm>
                    <a:prstGeom prst="rect">
                      <a:avLst/>
                    </a:prstGeom>
                  </pic:spPr>
                </pic:pic>
              </a:graphicData>
            </a:graphic>
          </wp:inline>
        </w:drawing>
      </w:r>
    </w:p>
    <w:p w14:paraId="53AD4A87" w14:textId="403CCCB3" w:rsidR="0048753B" w:rsidRPr="008B2EDF" w:rsidRDefault="0048753B" w:rsidP="00714560">
      <w:pPr>
        <w:pStyle w:val="Heading2"/>
        <w:rPr>
          <w:rFonts w:ascii="Times New Roman" w:hAnsi="Times New Roman" w:cs="Times New Roman"/>
          <w:sz w:val="24"/>
          <w:szCs w:val="24"/>
        </w:rPr>
      </w:pPr>
      <w:bookmarkStart w:id="52" w:name="_Toc228970948"/>
      <w:r w:rsidRPr="008B2EDF">
        <w:rPr>
          <w:rFonts w:ascii="Times New Roman" w:hAnsi="Times New Roman" w:cs="Times New Roman"/>
          <w:sz w:val="24"/>
          <w:szCs w:val="24"/>
        </w:rPr>
        <w:t>6.7 Inferential Statistical results</w:t>
      </w:r>
      <w:bookmarkEnd w:id="52"/>
      <w:r w:rsidRPr="008B2EDF">
        <w:rPr>
          <w:rFonts w:ascii="Times New Roman" w:hAnsi="Times New Roman" w:cs="Times New Roman"/>
          <w:sz w:val="24"/>
          <w:szCs w:val="24"/>
        </w:rPr>
        <w:t xml:space="preserve"> </w:t>
      </w:r>
    </w:p>
    <w:tbl>
      <w:tblPr>
        <w:tblStyle w:val="TableGrid"/>
        <w:tblW w:w="0" w:type="auto"/>
        <w:tblLook w:val="04A0" w:firstRow="1" w:lastRow="0" w:firstColumn="1" w:lastColumn="0" w:noHBand="0" w:noVBand="1"/>
      </w:tblPr>
      <w:tblGrid>
        <w:gridCol w:w="1997"/>
        <w:gridCol w:w="35"/>
        <w:gridCol w:w="784"/>
        <w:gridCol w:w="736"/>
        <w:gridCol w:w="27"/>
        <w:gridCol w:w="1236"/>
        <w:gridCol w:w="16"/>
        <w:gridCol w:w="286"/>
        <w:gridCol w:w="14"/>
        <w:gridCol w:w="676"/>
        <w:gridCol w:w="183"/>
        <w:gridCol w:w="328"/>
        <w:gridCol w:w="612"/>
        <w:gridCol w:w="2086"/>
      </w:tblGrid>
      <w:tr w:rsidR="0000356B" w:rsidRPr="008B2EDF" w14:paraId="365766B6" w14:textId="65B9EBB4" w:rsidTr="00655B69">
        <w:tc>
          <w:tcPr>
            <w:tcW w:w="9016" w:type="dxa"/>
            <w:gridSpan w:val="14"/>
          </w:tcPr>
          <w:p w14:paraId="28943707" w14:textId="3B2DC10F" w:rsidR="0000356B" w:rsidRPr="008B2EDF" w:rsidRDefault="0000356B" w:rsidP="0048753B">
            <w:pPr>
              <w:spacing w:line="360" w:lineRule="auto"/>
              <w:jc w:val="both"/>
              <w:rPr>
                <w:rFonts w:ascii="Times New Roman" w:eastAsiaTheme="majorEastAsia" w:hAnsi="Times New Roman" w:cs="Times New Roman"/>
                <w:b/>
                <w:bCs/>
                <w:sz w:val="24"/>
                <w:szCs w:val="24"/>
              </w:rPr>
            </w:pPr>
            <w:r w:rsidRPr="008B2EDF">
              <w:rPr>
                <w:rFonts w:ascii="Times New Roman" w:eastAsiaTheme="majorEastAsia" w:hAnsi="Times New Roman" w:cs="Times New Roman"/>
                <w:b/>
                <w:bCs/>
                <w:sz w:val="24"/>
                <w:szCs w:val="24"/>
              </w:rPr>
              <w:t>Chi-Square Tests</w:t>
            </w:r>
          </w:p>
        </w:tc>
      </w:tr>
      <w:tr w:rsidR="0048753B" w:rsidRPr="008B2EDF" w14:paraId="3449AFD9" w14:textId="34C7A665" w:rsidTr="00655B69">
        <w:tc>
          <w:tcPr>
            <w:tcW w:w="2032" w:type="dxa"/>
            <w:gridSpan w:val="2"/>
          </w:tcPr>
          <w:p w14:paraId="520C1335" w14:textId="2F007310" w:rsidR="0048753B" w:rsidRPr="008B2EDF" w:rsidRDefault="0000356B" w:rsidP="00264532">
            <w:pPr>
              <w:spacing w:line="360" w:lineRule="auto"/>
              <w:jc w:val="both"/>
              <w:rPr>
                <w:rFonts w:ascii="Times New Roman" w:eastAsiaTheme="majorEastAsia" w:hAnsi="Times New Roman" w:cs="Times New Roman"/>
                <w:sz w:val="24"/>
                <w:szCs w:val="24"/>
              </w:rPr>
            </w:pPr>
            <w:r w:rsidRPr="008B2EDF">
              <w:rPr>
                <w:rFonts w:ascii="Times New Roman" w:eastAsiaTheme="majorEastAsia" w:hAnsi="Times New Roman" w:cs="Times New Roman"/>
                <w:sz w:val="24"/>
                <w:szCs w:val="24"/>
              </w:rPr>
              <w:t>V</w:t>
            </w:r>
            <w:r w:rsidR="00655B69" w:rsidRPr="008B2EDF">
              <w:rPr>
                <w:rFonts w:ascii="Times New Roman" w:eastAsiaTheme="majorEastAsia" w:hAnsi="Times New Roman" w:cs="Times New Roman"/>
                <w:sz w:val="24"/>
                <w:szCs w:val="24"/>
              </w:rPr>
              <w:t>ariable Comparison</w:t>
            </w:r>
          </w:p>
        </w:tc>
        <w:tc>
          <w:tcPr>
            <w:tcW w:w="1547" w:type="dxa"/>
            <w:gridSpan w:val="3"/>
          </w:tcPr>
          <w:p w14:paraId="653B4A99" w14:textId="5E36F7D0" w:rsidR="0048753B" w:rsidRPr="008B2EDF" w:rsidRDefault="0048753B" w:rsidP="00264532">
            <w:pPr>
              <w:spacing w:line="360" w:lineRule="auto"/>
              <w:jc w:val="both"/>
              <w:rPr>
                <w:rFonts w:ascii="Times New Roman" w:eastAsiaTheme="majorEastAsia" w:hAnsi="Times New Roman" w:cs="Times New Roman"/>
                <w:sz w:val="24"/>
                <w:szCs w:val="24"/>
              </w:rPr>
            </w:pPr>
            <w:r w:rsidRPr="008B2EDF">
              <w:rPr>
                <w:rFonts w:ascii="Times New Roman" w:eastAsiaTheme="majorEastAsia" w:hAnsi="Times New Roman" w:cs="Times New Roman"/>
                <w:sz w:val="24"/>
                <w:szCs w:val="24"/>
              </w:rPr>
              <w:t>Statistic</w:t>
            </w:r>
          </w:p>
        </w:tc>
        <w:tc>
          <w:tcPr>
            <w:tcW w:w="1538" w:type="dxa"/>
            <w:gridSpan w:val="3"/>
          </w:tcPr>
          <w:p w14:paraId="22C75552" w14:textId="3B0092F3" w:rsidR="0048753B" w:rsidRPr="008B2EDF" w:rsidRDefault="0048753B" w:rsidP="0048753B">
            <w:pPr>
              <w:spacing w:line="360" w:lineRule="auto"/>
              <w:ind w:left="12"/>
              <w:jc w:val="both"/>
              <w:rPr>
                <w:rFonts w:ascii="Times New Roman" w:eastAsiaTheme="majorEastAsia" w:hAnsi="Times New Roman" w:cs="Times New Roman"/>
                <w:sz w:val="24"/>
                <w:szCs w:val="24"/>
              </w:rPr>
            </w:pPr>
            <w:r w:rsidRPr="008B2EDF">
              <w:rPr>
                <w:rFonts w:ascii="Times New Roman" w:eastAsiaTheme="majorEastAsia" w:hAnsi="Times New Roman" w:cs="Times New Roman"/>
                <w:sz w:val="24"/>
                <w:szCs w:val="24"/>
              </w:rPr>
              <w:t>p-value</w:t>
            </w:r>
          </w:p>
        </w:tc>
        <w:tc>
          <w:tcPr>
            <w:tcW w:w="3899" w:type="dxa"/>
            <w:gridSpan w:val="6"/>
          </w:tcPr>
          <w:p w14:paraId="6A4752B2" w14:textId="77777777" w:rsidR="0048753B" w:rsidRPr="008B2EDF" w:rsidRDefault="0048753B" w:rsidP="0048753B">
            <w:pPr>
              <w:spacing w:line="360" w:lineRule="auto"/>
              <w:ind w:left="219"/>
              <w:jc w:val="both"/>
              <w:rPr>
                <w:rFonts w:ascii="Times New Roman" w:eastAsiaTheme="majorEastAsia" w:hAnsi="Times New Roman" w:cs="Times New Roman"/>
                <w:sz w:val="24"/>
                <w:szCs w:val="24"/>
              </w:rPr>
            </w:pPr>
            <w:r w:rsidRPr="008B2EDF">
              <w:rPr>
                <w:rFonts w:ascii="Times New Roman" w:eastAsiaTheme="majorEastAsia" w:hAnsi="Times New Roman" w:cs="Times New Roman"/>
                <w:sz w:val="24"/>
                <w:szCs w:val="24"/>
              </w:rPr>
              <w:t>Result</w:t>
            </w:r>
          </w:p>
        </w:tc>
      </w:tr>
      <w:tr w:rsidR="00655B69" w:rsidRPr="008B2EDF" w14:paraId="37D4B100" w14:textId="35DEFB90" w:rsidTr="00655B69">
        <w:tc>
          <w:tcPr>
            <w:tcW w:w="1997" w:type="dxa"/>
          </w:tcPr>
          <w:p w14:paraId="09EBD846" w14:textId="12C5541B" w:rsidR="00655B69" w:rsidRPr="008B2EDF" w:rsidRDefault="00655B69" w:rsidP="00264532">
            <w:pPr>
              <w:spacing w:line="360" w:lineRule="auto"/>
              <w:jc w:val="both"/>
              <w:rPr>
                <w:rFonts w:ascii="Times New Roman" w:eastAsiaTheme="majorEastAsia" w:hAnsi="Times New Roman" w:cs="Times New Roman"/>
                <w:sz w:val="24"/>
                <w:szCs w:val="24"/>
              </w:rPr>
            </w:pPr>
            <w:r w:rsidRPr="008B2EDF">
              <w:rPr>
                <w:rFonts w:ascii="Times New Roman" w:eastAsiaTheme="majorEastAsia" w:hAnsi="Times New Roman" w:cs="Times New Roman"/>
                <w:sz w:val="24"/>
                <w:szCs w:val="24"/>
              </w:rPr>
              <w:t>Employment status vs recognition</w:t>
            </w:r>
          </w:p>
        </w:tc>
        <w:tc>
          <w:tcPr>
            <w:tcW w:w="1555" w:type="dxa"/>
            <w:gridSpan w:val="3"/>
          </w:tcPr>
          <w:p w14:paraId="296E8371" w14:textId="42399C80" w:rsidR="00655B69" w:rsidRPr="008B2EDF" w:rsidRDefault="00655B69" w:rsidP="0048753B">
            <w:pPr>
              <w:spacing w:line="360" w:lineRule="auto"/>
              <w:ind w:left="207"/>
              <w:jc w:val="both"/>
              <w:rPr>
                <w:rFonts w:ascii="Times New Roman" w:eastAsiaTheme="majorEastAsia" w:hAnsi="Times New Roman" w:cs="Times New Roman"/>
                <w:sz w:val="24"/>
                <w:szCs w:val="24"/>
              </w:rPr>
            </w:pPr>
            <w:r w:rsidRPr="008B2EDF">
              <w:rPr>
                <w:rFonts w:ascii="Times New Roman" w:eastAsiaTheme="majorEastAsia" w:hAnsi="Times New Roman" w:cs="Times New Roman"/>
                <w:sz w:val="24"/>
                <w:szCs w:val="24"/>
              </w:rPr>
              <w:t>χ² = 12.45</w:t>
            </w:r>
          </w:p>
        </w:tc>
        <w:tc>
          <w:tcPr>
            <w:tcW w:w="1579" w:type="dxa"/>
            <w:gridSpan w:val="5"/>
          </w:tcPr>
          <w:p w14:paraId="5CCC2C5C" w14:textId="77777777" w:rsidR="00655B69" w:rsidRPr="008B2EDF" w:rsidRDefault="00655B69" w:rsidP="0048753B">
            <w:pPr>
              <w:spacing w:line="360" w:lineRule="auto"/>
              <w:ind w:left="114"/>
              <w:jc w:val="both"/>
              <w:rPr>
                <w:rFonts w:ascii="Times New Roman" w:eastAsiaTheme="majorEastAsia" w:hAnsi="Times New Roman" w:cs="Times New Roman"/>
                <w:sz w:val="24"/>
                <w:szCs w:val="24"/>
              </w:rPr>
            </w:pPr>
            <w:r w:rsidRPr="008B2EDF">
              <w:rPr>
                <w:rFonts w:ascii="Times New Roman" w:eastAsiaTheme="majorEastAsia" w:hAnsi="Times New Roman" w:cs="Times New Roman"/>
                <w:sz w:val="24"/>
                <w:szCs w:val="24"/>
              </w:rPr>
              <w:t>0.001</w:t>
            </w:r>
          </w:p>
        </w:tc>
        <w:tc>
          <w:tcPr>
            <w:tcW w:w="3885" w:type="dxa"/>
            <w:gridSpan w:val="5"/>
          </w:tcPr>
          <w:p w14:paraId="46658759" w14:textId="0985604D" w:rsidR="00655B69" w:rsidRPr="008B2EDF" w:rsidRDefault="00655B69" w:rsidP="0048753B">
            <w:pPr>
              <w:spacing w:line="360" w:lineRule="auto"/>
              <w:ind w:left="576"/>
              <w:jc w:val="both"/>
              <w:rPr>
                <w:rFonts w:ascii="Times New Roman" w:eastAsiaTheme="majorEastAsia" w:hAnsi="Times New Roman" w:cs="Times New Roman"/>
                <w:sz w:val="24"/>
                <w:szCs w:val="24"/>
              </w:rPr>
            </w:pPr>
            <w:r w:rsidRPr="008B2EDF">
              <w:rPr>
                <w:rFonts w:ascii="Times New Roman" w:eastAsiaTheme="majorEastAsia" w:hAnsi="Times New Roman" w:cs="Times New Roman"/>
                <w:sz w:val="24"/>
                <w:szCs w:val="24"/>
              </w:rPr>
              <w:t>Significant association</w:t>
            </w:r>
          </w:p>
        </w:tc>
      </w:tr>
      <w:tr w:rsidR="0048753B" w:rsidRPr="008B2EDF" w14:paraId="3F4D1F39" w14:textId="541487CE" w:rsidTr="00655B69">
        <w:tc>
          <w:tcPr>
            <w:tcW w:w="1997" w:type="dxa"/>
          </w:tcPr>
          <w:p w14:paraId="75970FFC" w14:textId="7C5622C8" w:rsidR="0048753B" w:rsidRPr="008B2EDF" w:rsidRDefault="0048753B" w:rsidP="00264532">
            <w:pPr>
              <w:spacing w:line="360" w:lineRule="auto"/>
              <w:jc w:val="both"/>
              <w:rPr>
                <w:rFonts w:ascii="Times New Roman" w:eastAsiaTheme="majorEastAsia" w:hAnsi="Times New Roman" w:cs="Times New Roman"/>
                <w:sz w:val="24"/>
                <w:szCs w:val="24"/>
              </w:rPr>
            </w:pPr>
            <w:r w:rsidRPr="008B2EDF">
              <w:rPr>
                <w:rFonts w:ascii="Times New Roman" w:eastAsiaTheme="majorEastAsia" w:hAnsi="Times New Roman" w:cs="Times New Roman"/>
                <w:sz w:val="24"/>
                <w:szCs w:val="24"/>
              </w:rPr>
              <w:t>Gender vs barriers to promotion</w:t>
            </w:r>
          </w:p>
        </w:tc>
        <w:tc>
          <w:tcPr>
            <w:tcW w:w="1555" w:type="dxa"/>
            <w:gridSpan w:val="3"/>
          </w:tcPr>
          <w:p w14:paraId="0AE7C4C1" w14:textId="7E21D414" w:rsidR="0048753B" w:rsidRPr="008B2EDF" w:rsidRDefault="0048753B" w:rsidP="0048753B">
            <w:pPr>
              <w:spacing w:line="360" w:lineRule="auto"/>
              <w:ind w:left="207"/>
              <w:jc w:val="both"/>
              <w:rPr>
                <w:rFonts w:ascii="Times New Roman" w:eastAsiaTheme="majorEastAsia" w:hAnsi="Times New Roman" w:cs="Times New Roman"/>
                <w:sz w:val="24"/>
                <w:szCs w:val="24"/>
              </w:rPr>
            </w:pPr>
            <w:r w:rsidRPr="008B2EDF">
              <w:rPr>
                <w:rFonts w:ascii="Times New Roman" w:eastAsiaTheme="majorEastAsia" w:hAnsi="Times New Roman" w:cs="Times New Roman"/>
                <w:sz w:val="24"/>
                <w:szCs w:val="24"/>
              </w:rPr>
              <w:t>χ² = 2.17</w:t>
            </w:r>
          </w:p>
        </w:tc>
        <w:tc>
          <w:tcPr>
            <w:tcW w:w="1579" w:type="dxa"/>
            <w:gridSpan w:val="5"/>
          </w:tcPr>
          <w:p w14:paraId="413D56D7" w14:textId="4999993D" w:rsidR="0048753B" w:rsidRPr="008B2EDF" w:rsidRDefault="0048753B" w:rsidP="0048753B">
            <w:pPr>
              <w:spacing w:line="360" w:lineRule="auto"/>
              <w:ind w:left="204"/>
              <w:jc w:val="both"/>
              <w:rPr>
                <w:rFonts w:ascii="Times New Roman" w:eastAsiaTheme="majorEastAsia" w:hAnsi="Times New Roman" w:cs="Times New Roman"/>
                <w:sz w:val="24"/>
                <w:szCs w:val="24"/>
              </w:rPr>
            </w:pPr>
            <w:r w:rsidRPr="008B2EDF">
              <w:rPr>
                <w:rFonts w:ascii="Times New Roman" w:eastAsiaTheme="majorEastAsia" w:hAnsi="Times New Roman" w:cs="Times New Roman"/>
                <w:sz w:val="24"/>
                <w:szCs w:val="24"/>
              </w:rPr>
              <w:t>0.34</w:t>
            </w:r>
          </w:p>
        </w:tc>
        <w:tc>
          <w:tcPr>
            <w:tcW w:w="3885" w:type="dxa"/>
            <w:gridSpan w:val="5"/>
          </w:tcPr>
          <w:p w14:paraId="32AABB36" w14:textId="77777777" w:rsidR="0048753B" w:rsidRPr="008B2EDF" w:rsidRDefault="0048753B" w:rsidP="0048753B">
            <w:pPr>
              <w:spacing w:line="360" w:lineRule="auto"/>
              <w:ind w:left="111"/>
              <w:jc w:val="both"/>
              <w:rPr>
                <w:rFonts w:ascii="Times New Roman" w:eastAsiaTheme="majorEastAsia" w:hAnsi="Times New Roman" w:cs="Times New Roman"/>
                <w:sz w:val="24"/>
                <w:szCs w:val="24"/>
              </w:rPr>
            </w:pPr>
            <w:r w:rsidRPr="008B2EDF">
              <w:rPr>
                <w:rFonts w:ascii="Times New Roman" w:eastAsiaTheme="majorEastAsia" w:hAnsi="Times New Roman" w:cs="Times New Roman"/>
                <w:sz w:val="24"/>
                <w:szCs w:val="24"/>
              </w:rPr>
              <w:t>Not significant</w:t>
            </w:r>
          </w:p>
        </w:tc>
      </w:tr>
      <w:tr w:rsidR="0048753B" w:rsidRPr="008B2EDF" w14:paraId="61C547D3" w14:textId="77777777" w:rsidTr="00655B69">
        <w:tc>
          <w:tcPr>
            <w:tcW w:w="9016" w:type="dxa"/>
            <w:gridSpan w:val="14"/>
          </w:tcPr>
          <w:p w14:paraId="0CB39E1C" w14:textId="77777777" w:rsidR="0048753B" w:rsidRPr="008B2EDF" w:rsidRDefault="0048753B" w:rsidP="00264532">
            <w:pPr>
              <w:spacing w:line="360" w:lineRule="auto"/>
              <w:jc w:val="both"/>
              <w:rPr>
                <w:rFonts w:ascii="Times New Roman" w:eastAsiaTheme="majorEastAsia" w:hAnsi="Times New Roman" w:cs="Times New Roman"/>
                <w:b/>
                <w:bCs/>
                <w:sz w:val="24"/>
                <w:szCs w:val="24"/>
              </w:rPr>
            </w:pPr>
            <w:r w:rsidRPr="008B2EDF">
              <w:rPr>
                <w:rFonts w:ascii="Times New Roman" w:eastAsiaTheme="majorEastAsia" w:hAnsi="Times New Roman" w:cs="Times New Roman"/>
                <w:b/>
                <w:bCs/>
                <w:sz w:val="24"/>
                <w:szCs w:val="24"/>
              </w:rPr>
              <w:t>ANOVA Results</w:t>
            </w:r>
          </w:p>
        </w:tc>
      </w:tr>
      <w:tr w:rsidR="00655B69" w:rsidRPr="008B2EDF" w14:paraId="796967C8" w14:textId="5F8272BF" w:rsidTr="00655B69">
        <w:tc>
          <w:tcPr>
            <w:tcW w:w="2816" w:type="dxa"/>
            <w:gridSpan w:val="3"/>
          </w:tcPr>
          <w:p w14:paraId="68615792" w14:textId="3BB746EB" w:rsidR="00655B69" w:rsidRPr="008B2EDF" w:rsidRDefault="00655B69" w:rsidP="00264532">
            <w:pPr>
              <w:spacing w:line="360" w:lineRule="auto"/>
              <w:jc w:val="both"/>
              <w:rPr>
                <w:rFonts w:ascii="Times New Roman" w:eastAsiaTheme="majorEastAsia" w:hAnsi="Times New Roman" w:cs="Times New Roman"/>
                <w:sz w:val="24"/>
                <w:szCs w:val="24"/>
              </w:rPr>
            </w:pPr>
            <w:r w:rsidRPr="008B2EDF">
              <w:rPr>
                <w:rFonts w:ascii="Times New Roman" w:eastAsiaTheme="majorEastAsia" w:hAnsi="Times New Roman" w:cs="Times New Roman"/>
                <w:sz w:val="24"/>
                <w:szCs w:val="24"/>
              </w:rPr>
              <w:t>Comparison</w:t>
            </w:r>
          </w:p>
        </w:tc>
        <w:tc>
          <w:tcPr>
            <w:tcW w:w="2015" w:type="dxa"/>
            <w:gridSpan w:val="4"/>
          </w:tcPr>
          <w:p w14:paraId="7ED93DFA" w14:textId="77777777" w:rsidR="00655B69" w:rsidRPr="008B2EDF" w:rsidRDefault="00655B69" w:rsidP="00264532">
            <w:pPr>
              <w:spacing w:line="360" w:lineRule="auto"/>
              <w:jc w:val="both"/>
              <w:rPr>
                <w:rFonts w:ascii="Times New Roman" w:eastAsiaTheme="majorEastAsia" w:hAnsi="Times New Roman" w:cs="Times New Roman"/>
                <w:sz w:val="24"/>
                <w:szCs w:val="24"/>
              </w:rPr>
            </w:pPr>
            <w:r w:rsidRPr="008B2EDF">
              <w:rPr>
                <w:rFonts w:ascii="Times New Roman" w:eastAsiaTheme="majorEastAsia" w:hAnsi="Times New Roman" w:cs="Times New Roman"/>
                <w:sz w:val="24"/>
                <w:szCs w:val="24"/>
              </w:rPr>
              <w:t>Statistic</w:t>
            </w:r>
          </w:p>
        </w:tc>
        <w:tc>
          <w:tcPr>
            <w:tcW w:w="1487" w:type="dxa"/>
            <w:gridSpan w:val="5"/>
          </w:tcPr>
          <w:p w14:paraId="02D9B0E2" w14:textId="40C04C6F" w:rsidR="00655B69" w:rsidRPr="008B2EDF" w:rsidRDefault="00655B69" w:rsidP="0048753B">
            <w:pPr>
              <w:spacing w:line="360" w:lineRule="auto"/>
              <w:ind w:left="297"/>
              <w:jc w:val="both"/>
              <w:rPr>
                <w:rFonts w:ascii="Times New Roman" w:eastAsiaTheme="majorEastAsia" w:hAnsi="Times New Roman" w:cs="Times New Roman"/>
                <w:sz w:val="24"/>
                <w:szCs w:val="24"/>
              </w:rPr>
            </w:pPr>
            <w:r w:rsidRPr="008B2EDF">
              <w:rPr>
                <w:rFonts w:ascii="Times New Roman" w:eastAsiaTheme="majorEastAsia" w:hAnsi="Times New Roman" w:cs="Times New Roman"/>
                <w:sz w:val="24"/>
                <w:szCs w:val="24"/>
              </w:rPr>
              <w:t>p-value</w:t>
            </w:r>
          </w:p>
        </w:tc>
        <w:tc>
          <w:tcPr>
            <w:tcW w:w="2698" w:type="dxa"/>
            <w:gridSpan w:val="2"/>
          </w:tcPr>
          <w:p w14:paraId="2A78F2BD" w14:textId="77777777" w:rsidR="00655B69" w:rsidRPr="008B2EDF" w:rsidRDefault="00655B69" w:rsidP="00655B69">
            <w:pPr>
              <w:spacing w:line="360" w:lineRule="auto"/>
              <w:ind w:left="414"/>
              <w:jc w:val="both"/>
              <w:rPr>
                <w:rFonts w:ascii="Times New Roman" w:eastAsiaTheme="majorEastAsia" w:hAnsi="Times New Roman" w:cs="Times New Roman"/>
                <w:sz w:val="24"/>
                <w:szCs w:val="24"/>
              </w:rPr>
            </w:pPr>
            <w:r w:rsidRPr="008B2EDF">
              <w:rPr>
                <w:rFonts w:ascii="Times New Roman" w:eastAsiaTheme="majorEastAsia" w:hAnsi="Times New Roman" w:cs="Times New Roman"/>
                <w:sz w:val="24"/>
                <w:szCs w:val="24"/>
              </w:rPr>
              <w:t>Result</w:t>
            </w:r>
          </w:p>
        </w:tc>
      </w:tr>
      <w:tr w:rsidR="0048753B" w:rsidRPr="008B2EDF" w14:paraId="598BF37A" w14:textId="6086AAC6" w:rsidTr="00655B69">
        <w:tc>
          <w:tcPr>
            <w:tcW w:w="2816" w:type="dxa"/>
            <w:gridSpan w:val="3"/>
          </w:tcPr>
          <w:p w14:paraId="5BBF6B80" w14:textId="141CCDA4" w:rsidR="0048753B" w:rsidRPr="008B2EDF" w:rsidRDefault="0048753B" w:rsidP="00264532">
            <w:pPr>
              <w:spacing w:line="360" w:lineRule="auto"/>
              <w:jc w:val="both"/>
              <w:rPr>
                <w:rFonts w:ascii="Times New Roman" w:eastAsiaTheme="majorEastAsia" w:hAnsi="Times New Roman" w:cs="Times New Roman"/>
                <w:sz w:val="24"/>
                <w:szCs w:val="24"/>
              </w:rPr>
            </w:pPr>
            <w:r w:rsidRPr="008B2EDF">
              <w:rPr>
                <w:rFonts w:ascii="Times New Roman" w:eastAsiaTheme="majorEastAsia" w:hAnsi="Times New Roman" w:cs="Times New Roman"/>
                <w:sz w:val="24"/>
                <w:szCs w:val="24"/>
              </w:rPr>
              <w:t>Age vs job satisfaction</w:t>
            </w:r>
          </w:p>
        </w:tc>
        <w:tc>
          <w:tcPr>
            <w:tcW w:w="2015" w:type="dxa"/>
            <w:gridSpan w:val="4"/>
          </w:tcPr>
          <w:p w14:paraId="345268A4" w14:textId="008D16C5" w:rsidR="0048753B" w:rsidRPr="008B2EDF" w:rsidRDefault="0048753B" w:rsidP="0048753B">
            <w:pPr>
              <w:spacing w:line="360" w:lineRule="auto"/>
              <w:ind w:left="297"/>
              <w:jc w:val="both"/>
              <w:rPr>
                <w:rFonts w:ascii="Times New Roman" w:eastAsiaTheme="majorEastAsia" w:hAnsi="Times New Roman" w:cs="Times New Roman"/>
                <w:sz w:val="24"/>
                <w:szCs w:val="24"/>
              </w:rPr>
            </w:pPr>
            <w:r w:rsidRPr="008B2EDF">
              <w:rPr>
                <w:rFonts w:ascii="Times New Roman" w:eastAsiaTheme="majorEastAsia" w:hAnsi="Times New Roman" w:cs="Times New Roman"/>
                <w:sz w:val="24"/>
                <w:szCs w:val="24"/>
              </w:rPr>
              <w:t>F(4,115)=3.68</w:t>
            </w:r>
          </w:p>
        </w:tc>
        <w:tc>
          <w:tcPr>
            <w:tcW w:w="1487" w:type="dxa"/>
            <w:gridSpan w:val="5"/>
          </w:tcPr>
          <w:p w14:paraId="04F47393" w14:textId="369EA36C" w:rsidR="0048753B" w:rsidRPr="008B2EDF" w:rsidRDefault="0048753B" w:rsidP="0048753B">
            <w:pPr>
              <w:spacing w:line="360" w:lineRule="auto"/>
              <w:ind w:left="534"/>
              <w:jc w:val="both"/>
              <w:rPr>
                <w:rFonts w:ascii="Times New Roman" w:eastAsiaTheme="majorEastAsia" w:hAnsi="Times New Roman" w:cs="Times New Roman"/>
                <w:sz w:val="24"/>
                <w:szCs w:val="24"/>
              </w:rPr>
            </w:pPr>
            <w:r w:rsidRPr="008B2EDF">
              <w:rPr>
                <w:rFonts w:ascii="Times New Roman" w:eastAsiaTheme="majorEastAsia" w:hAnsi="Times New Roman" w:cs="Times New Roman"/>
                <w:sz w:val="24"/>
                <w:szCs w:val="24"/>
              </w:rPr>
              <w:t>0.008</w:t>
            </w:r>
          </w:p>
        </w:tc>
        <w:tc>
          <w:tcPr>
            <w:tcW w:w="2698" w:type="dxa"/>
            <w:gridSpan w:val="2"/>
          </w:tcPr>
          <w:p w14:paraId="2952478C" w14:textId="77777777" w:rsidR="0048753B" w:rsidRPr="008B2EDF" w:rsidRDefault="0048753B" w:rsidP="0048753B">
            <w:pPr>
              <w:spacing w:line="360" w:lineRule="auto"/>
              <w:ind w:left="621"/>
              <w:jc w:val="both"/>
              <w:rPr>
                <w:rFonts w:ascii="Times New Roman" w:eastAsiaTheme="majorEastAsia" w:hAnsi="Times New Roman" w:cs="Times New Roman"/>
                <w:sz w:val="24"/>
                <w:szCs w:val="24"/>
              </w:rPr>
            </w:pPr>
            <w:r w:rsidRPr="008B2EDF">
              <w:rPr>
                <w:rFonts w:ascii="Times New Roman" w:eastAsiaTheme="majorEastAsia" w:hAnsi="Times New Roman" w:cs="Times New Roman"/>
                <w:sz w:val="24"/>
                <w:szCs w:val="24"/>
              </w:rPr>
              <w:t>Significant</w:t>
            </w:r>
          </w:p>
        </w:tc>
      </w:tr>
      <w:tr w:rsidR="00655B69" w:rsidRPr="008B2EDF" w14:paraId="03F06D79" w14:textId="01C75372" w:rsidTr="00655B69">
        <w:tc>
          <w:tcPr>
            <w:tcW w:w="2816" w:type="dxa"/>
            <w:gridSpan w:val="3"/>
          </w:tcPr>
          <w:p w14:paraId="64ADE802" w14:textId="356598E3" w:rsidR="00655B69" w:rsidRPr="008B2EDF" w:rsidRDefault="00655B69" w:rsidP="00264532">
            <w:pPr>
              <w:spacing w:line="360" w:lineRule="auto"/>
              <w:jc w:val="both"/>
              <w:rPr>
                <w:rFonts w:ascii="Times New Roman" w:eastAsiaTheme="majorEastAsia" w:hAnsi="Times New Roman" w:cs="Times New Roman"/>
                <w:sz w:val="24"/>
                <w:szCs w:val="24"/>
              </w:rPr>
            </w:pPr>
            <w:r w:rsidRPr="008B2EDF">
              <w:rPr>
                <w:rFonts w:ascii="Times New Roman" w:eastAsiaTheme="majorEastAsia" w:hAnsi="Times New Roman" w:cs="Times New Roman"/>
                <w:sz w:val="24"/>
                <w:szCs w:val="24"/>
              </w:rPr>
              <w:t>Tenure vs fairness perception</w:t>
            </w:r>
          </w:p>
        </w:tc>
        <w:tc>
          <w:tcPr>
            <w:tcW w:w="1999" w:type="dxa"/>
            <w:gridSpan w:val="3"/>
          </w:tcPr>
          <w:p w14:paraId="1A736A5C" w14:textId="585B0766" w:rsidR="00655B69" w:rsidRPr="008B2EDF" w:rsidRDefault="00655B69" w:rsidP="00264532">
            <w:pPr>
              <w:spacing w:line="360" w:lineRule="auto"/>
              <w:jc w:val="both"/>
              <w:rPr>
                <w:rFonts w:ascii="Times New Roman" w:eastAsiaTheme="majorEastAsia" w:hAnsi="Times New Roman" w:cs="Times New Roman"/>
                <w:sz w:val="24"/>
                <w:szCs w:val="24"/>
              </w:rPr>
            </w:pPr>
            <w:r w:rsidRPr="008B2EDF">
              <w:rPr>
                <w:rFonts w:ascii="Times New Roman" w:eastAsiaTheme="majorEastAsia" w:hAnsi="Times New Roman" w:cs="Times New Roman"/>
                <w:sz w:val="24"/>
                <w:szCs w:val="24"/>
              </w:rPr>
              <w:t>F(5,114)=1.24</w:t>
            </w:r>
            <w:r w:rsidRPr="008B2EDF">
              <w:rPr>
                <w:rFonts w:ascii="Times New Roman" w:eastAsiaTheme="majorEastAsia" w:hAnsi="Times New Roman" w:cs="Times New Roman"/>
                <w:sz w:val="24"/>
                <w:szCs w:val="24"/>
              </w:rPr>
              <w:tab/>
            </w:r>
          </w:p>
        </w:tc>
        <w:tc>
          <w:tcPr>
            <w:tcW w:w="1503" w:type="dxa"/>
            <w:gridSpan w:val="6"/>
          </w:tcPr>
          <w:p w14:paraId="1A70E895" w14:textId="3737C785" w:rsidR="00655B69" w:rsidRPr="008B2EDF" w:rsidRDefault="00655B69" w:rsidP="00264532">
            <w:pPr>
              <w:spacing w:line="360" w:lineRule="auto"/>
              <w:jc w:val="both"/>
              <w:rPr>
                <w:rFonts w:ascii="Times New Roman" w:eastAsiaTheme="majorEastAsia" w:hAnsi="Times New Roman" w:cs="Times New Roman"/>
                <w:sz w:val="24"/>
                <w:szCs w:val="24"/>
              </w:rPr>
            </w:pPr>
            <w:r w:rsidRPr="008B2EDF">
              <w:rPr>
                <w:rFonts w:ascii="Times New Roman" w:eastAsiaTheme="majorEastAsia" w:hAnsi="Times New Roman" w:cs="Times New Roman"/>
                <w:sz w:val="24"/>
                <w:szCs w:val="24"/>
              </w:rPr>
              <w:t>0.29</w:t>
            </w:r>
          </w:p>
        </w:tc>
        <w:tc>
          <w:tcPr>
            <w:tcW w:w="2698" w:type="dxa"/>
            <w:gridSpan w:val="2"/>
          </w:tcPr>
          <w:p w14:paraId="56D8FB34" w14:textId="1B796052" w:rsidR="00655B69" w:rsidRPr="008B2EDF" w:rsidRDefault="00655B69" w:rsidP="0048753B">
            <w:pPr>
              <w:spacing w:line="360" w:lineRule="auto"/>
              <w:ind w:left="27"/>
              <w:jc w:val="both"/>
              <w:rPr>
                <w:rFonts w:ascii="Times New Roman" w:eastAsiaTheme="majorEastAsia" w:hAnsi="Times New Roman" w:cs="Times New Roman"/>
                <w:sz w:val="24"/>
                <w:szCs w:val="24"/>
              </w:rPr>
            </w:pPr>
            <w:r w:rsidRPr="008B2EDF">
              <w:rPr>
                <w:rFonts w:ascii="Times New Roman" w:eastAsiaTheme="majorEastAsia" w:hAnsi="Times New Roman" w:cs="Times New Roman"/>
                <w:sz w:val="24"/>
                <w:szCs w:val="24"/>
              </w:rPr>
              <w:t>Not significant</w:t>
            </w:r>
          </w:p>
        </w:tc>
      </w:tr>
      <w:tr w:rsidR="0048753B" w:rsidRPr="008B2EDF" w14:paraId="75C87780" w14:textId="77777777" w:rsidTr="00655B69">
        <w:tc>
          <w:tcPr>
            <w:tcW w:w="9016" w:type="dxa"/>
            <w:gridSpan w:val="14"/>
          </w:tcPr>
          <w:p w14:paraId="39A47926" w14:textId="77777777" w:rsidR="0048753B" w:rsidRPr="008B2EDF" w:rsidRDefault="0048753B" w:rsidP="00264532">
            <w:pPr>
              <w:spacing w:line="360" w:lineRule="auto"/>
              <w:jc w:val="both"/>
              <w:rPr>
                <w:rFonts w:ascii="Times New Roman" w:eastAsiaTheme="majorEastAsia" w:hAnsi="Times New Roman" w:cs="Times New Roman"/>
                <w:b/>
                <w:bCs/>
                <w:sz w:val="24"/>
                <w:szCs w:val="24"/>
              </w:rPr>
            </w:pPr>
            <w:r w:rsidRPr="008B2EDF">
              <w:rPr>
                <w:rFonts w:ascii="Times New Roman" w:eastAsiaTheme="majorEastAsia" w:hAnsi="Times New Roman" w:cs="Times New Roman"/>
                <w:b/>
                <w:bCs/>
                <w:sz w:val="24"/>
                <w:szCs w:val="24"/>
              </w:rPr>
              <w:t>Pearson Correlation</w:t>
            </w:r>
          </w:p>
        </w:tc>
      </w:tr>
      <w:tr w:rsidR="0048753B" w:rsidRPr="008B2EDF" w14:paraId="7DC7E8C3" w14:textId="5FD543AC" w:rsidTr="00655B69">
        <w:tc>
          <w:tcPr>
            <w:tcW w:w="5131" w:type="dxa"/>
            <w:gridSpan w:val="9"/>
          </w:tcPr>
          <w:p w14:paraId="269D5B65" w14:textId="2E11572E" w:rsidR="0048753B" w:rsidRPr="008B2EDF" w:rsidRDefault="0048753B" w:rsidP="00264532">
            <w:pPr>
              <w:spacing w:line="360" w:lineRule="auto"/>
              <w:jc w:val="both"/>
              <w:rPr>
                <w:rFonts w:ascii="Times New Roman" w:eastAsiaTheme="majorEastAsia" w:hAnsi="Times New Roman" w:cs="Times New Roman"/>
                <w:sz w:val="24"/>
                <w:szCs w:val="24"/>
              </w:rPr>
            </w:pPr>
            <w:r w:rsidRPr="008B2EDF">
              <w:rPr>
                <w:rFonts w:ascii="Times New Roman" w:eastAsiaTheme="majorEastAsia" w:hAnsi="Times New Roman" w:cs="Times New Roman"/>
                <w:sz w:val="24"/>
                <w:szCs w:val="24"/>
              </w:rPr>
              <w:t>Variables</w:t>
            </w:r>
          </w:p>
        </w:tc>
        <w:tc>
          <w:tcPr>
            <w:tcW w:w="676" w:type="dxa"/>
          </w:tcPr>
          <w:p w14:paraId="7EA234EF" w14:textId="77777777" w:rsidR="0048753B" w:rsidRPr="008B2EDF" w:rsidRDefault="0048753B" w:rsidP="0048753B">
            <w:pPr>
              <w:spacing w:line="360" w:lineRule="auto"/>
              <w:ind w:left="177"/>
              <w:jc w:val="both"/>
              <w:rPr>
                <w:rFonts w:ascii="Times New Roman" w:eastAsiaTheme="majorEastAsia" w:hAnsi="Times New Roman" w:cs="Times New Roman"/>
                <w:sz w:val="24"/>
                <w:szCs w:val="24"/>
              </w:rPr>
            </w:pPr>
            <w:r w:rsidRPr="008B2EDF">
              <w:rPr>
                <w:rFonts w:ascii="Times New Roman" w:eastAsiaTheme="majorEastAsia" w:hAnsi="Times New Roman" w:cs="Times New Roman"/>
                <w:sz w:val="24"/>
                <w:szCs w:val="24"/>
              </w:rPr>
              <w:t>r</w:t>
            </w:r>
          </w:p>
        </w:tc>
        <w:tc>
          <w:tcPr>
            <w:tcW w:w="1123" w:type="dxa"/>
            <w:gridSpan w:val="3"/>
          </w:tcPr>
          <w:p w14:paraId="07D5DB34" w14:textId="3B08D11E" w:rsidR="0048753B" w:rsidRPr="008B2EDF" w:rsidRDefault="0048753B" w:rsidP="0048753B">
            <w:pPr>
              <w:spacing w:line="360" w:lineRule="auto"/>
              <w:ind w:left="177"/>
              <w:jc w:val="both"/>
              <w:rPr>
                <w:rFonts w:ascii="Times New Roman" w:eastAsiaTheme="majorEastAsia" w:hAnsi="Times New Roman" w:cs="Times New Roman"/>
                <w:sz w:val="24"/>
                <w:szCs w:val="24"/>
              </w:rPr>
            </w:pPr>
            <w:r w:rsidRPr="008B2EDF">
              <w:rPr>
                <w:rFonts w:ascii="Times New Roman" w:eastAsiaTheme="majorEastAsia" w:hAnsi="Times New Roman" w:cs="Times New Roman"/>
                <w:sz w:val="24"/>
                <w:szCs w:val="24"/>
              </w:rPr>
              <w:t>p-value</w:t>
            </w:r>
          </w:p>
        </w:tc>
        <w:tc>
          <w:tcPr>
            <w:tcW w:w="2086" w:type="dxa"/>
          </w:tcPr>
          <w:p w14:paraId="13921A2B" w14:textId="77777777" w:rsidR="0048753B" w:rsidRPr="008B2EDF" w:rsidRDefault="0048753B" w:rsidP="0048753B">
            <w:pPr>
              <w:spacing w:line="360" w:lineRule="auto"/>
              <w:ind w:left="369"/>
              <w:jc w:val="both"/>
              <w:rPr>
                <w:rFonts w:ascii="Times New Roman" w:eastAsiaTheme="majorEastAsia" w:hAnsi="Times New Roman" w:cs="Times New Roman"/>
                <w:sz w:val="24"/>
                <w:szCs w:val="24"/>
              </w:rPr>
            </w:pPr>
            <w:r w:rsidRPr="008B2EDF">
              <w:rPr>
                <w:rFonts w:ascii="Times New Roman" w:eastAsiaTheme="majorEastAsia" w:hAnsi="Times New Roman" w:cs="Times New Roman"/>
                <w:sz w:val="24"/>
                <w:szCs w:val="24"/>
              </w:rPr>
              <w:t>Result</w:t>
            </w:r>
          </w:p>
        </w:tc>
      </w:tr>
      <w:tr w:rsidR="0048753B" w:rsidRPr="008B2EDF" w14:paraId="2B41158A" w14:textId="70D7BBB6" w:rsidTr="00655B69">
        <w:tc>
          <w:tcPr>
            <w:tcW w:w="5131" w:type="dxa"/>
            <w:gridSpan w:val="9"/>
          </w:tcPr>
          <w:p w14:paraId="587E575E" w14:textId="77777777" w:rsidR="0048753B" w:rsidRPr="008B2EDF" w:rsidRDefault="0048753B" w:rsidP="00264532">
            <w:pPr>
              <w:spacing w:line="360" w:lineRule="auto"/>
              <w:jc w:val="both"/>
              <w:rPr>
                <w:rFonts w:ascii="Times New Roman" w:eastAsiaTheme="majorEastAsia" w:hAnsi="Times New Roman" w:cs="Times New Roman"/>
                <w:sz w:val="24"/>
                <w:szCs w:val="24"/>
              </w:rPr>
            </w:pPr>
            <w:r w:rsidRPr="008B2EDF">
              <w:rPr>
                <w:rFonts w:ascii="Times New Roman" w:eastAsiaTheme="majorEastAsia" w:hAnsi="Times New Roman" w:cs="Times New Roman"/>
                <w:sz w:val="24"/>
                <w:szCs w:val="24"/>
              </w:rPr>
              <w:t>Weekly hours vs career progression perception</w:t>
            </w:r>
          </w:p>
          <w:p w14:paraId="288E7705" w14:textId="01EAA8E3" w:rsidR="0048753B" w:rsidRPr="008B2EDF" w:rsidRDefault="0048753B" w:rsidP="00264532">
            <w:pPr>
              <w:spacing w:line="360" w:lineRule="auto"/>
              <w:jc w:val="both"/>
              <w:rPr>
                <w:rFonts w:ascii="Times New Roman" w:eastAsiaTheme="majorEastAsia" w:hAnsi="Times New Roman" w:cs="Times New Roman"/>
                <w:sz w:val="24"/>
                <w:szCs w:val="24"/>
              </w:rPr>
            </w:pPr>
            <w:r w:rsidRPr="008B2EDF">
              <w:rPr>
                <w:rFonts w:ascii="Times New Roman" w:eastAsiaTheme="majorEastAsia" w:hAnsi="Times New Roman" w:cs="Times New Roman"/>
                <w:sz w:val="24"/>
                <w:szCs w:val="24"/>
              </w:rPr>
              <w:t>correlation</w:t>
            </w:r>
          </w:p>
        </w:tc>
        <w:tc>
          <w:tcPr>
            <w:tcW w:w="859" w:type="dxa"/>
            <w:gridSpan w:val="2"/>
          </w:tcPr>
          <w:p w14:paraId="588A9FFC" w14:textId="77777777" w:rsidR="0048753B" w:rsidRPr="008B2EDF" w:rsidRDefault="0048753B" w:rsidP="0048753B">
            <w:pPr>
              <w:spacing w:line="360" w:lineRule="auto"/>
              <w:ind w:left="222"/>
              <w:jc w:val="both"/>
              <w:rPr>
                <w:rFonts w:ascii="Times New Roman" w:eastAsiaTheme="majorEastAsia" w:hAnsi="Times New Roman" w:cs="Times New Roman"/>
                <w:sz w:val="24"/>
                <w:szCs w:val="24"/>
              </w:rPr>
            </w:pPr>
            <w:r w:rsidRPr="008B2EDF">
              <w:rPr>
                <w:rFonts w:ascii="Times New Roman" w:eastAsiaTheme="majorEastAsia" w:hAnsi="Times New Roman" w:cs="Times New Roman"/>
                <w:sz w:val="24"/>
                <w:szCs w:val="24"/>
              </w:rPr>
              <w:t>0.42</w:t>
            </w:r>
          </w:p>
          <w:p w14:paraId="62BF1E90" w14:textId="031A80E6" w:rsidR="0048753B" w:rsidRPr="008B2EDF" w:rsidRDefault="0048753B" w:rsidP="0048753B">
            <w:pPr>
              <w:spacing w:line="360" w:lineRule="auto"/>
              <w:jc w:val="both"/>
              <w:rPr>
                <w:rFonts w:ascii="Times New Roman" w:eastAsiaTheme="majorEastAsia" w:hAnsi="Times New Roman" w:cs="Times New Roman"/>
                <w:sz w:val="24"/>
                <w:szCs w:val="24"/>
              </w:rPr>
            </w:pPr>
          </w:p>
        </w:tc>
        <w:tc>
          <w:tcPr>
            <w:tcW w:w="940" w:type="dxa"/>
            <w:gridSpan w:val="2"/>
          </w:tcPr>
          <w:p w14:paraId="59286B06" w14:textId="1798EBD6" w:rsidR="0048753B" w:rsidRPr="008B2EDF" w:rsidRDefault="0048753B" w:rsidP="0048753B">
            <w:pPr>
              <w:spacing w:line="360" w:lineRule="auto"/>
              <w:ind w:left="174"/>
              <w:jc w:val="both"/>
              <w:rPr>
                <w:rFonts w:ascii="Times New Roman" w:eastAsiaTheme="majorEastAsia" w:hAnsi="Times New Roman" w:cs="Times New Roman"/>
                <w:sz w:val="24"/>
                <w:szCs w:val="24"/>
              </w:rPr>
            </w:pPr>
            <w:r w:rsidRPr="008B2EDF">
              <w:rPr>
                <w:rFonts w:ascii="Times New Roman" w:eastAsiaTheme="majorEastAsia" w:hAnsi="Times New Roman" w:cs="Times New Roman"/>
                <w:sz w:val="24"/>
                <w:szCs w:val="24"/>
              </w:rPr>
              <w:t xml:space="preserve">0.002 </w:t>
            </w:r>
          </w:p>
          <w:p w14:paraId="2BFDEA9D" w14:textId="77777777" w:rsidR="0048753B" w:rsidRPr="008B2EDF" w:rsidRDefault="0048753B" w:rsidP="0048753B">
            <w:pPr>
              <w:spacing w:line="360" w:lineRule="auto"/>
              <w:jc w:val="both"/>
              <w:rPr>
                <w:rFonts w:ascii="Times New Roman" w:eastAsiaTheme="majorEastAsia" w:hAnsi="Times New Roman" w:cs="Times New Roman"/>
                <w:sz w:val="24"/>
                <w:szCs w:val="24"/>
              </w:rPr>
            </w:pPr>
          </w:p>
        </w:tc>
        <w:tc>
          <w:tcPr>
            <w:tcW w:w="2086" w:type="dxa"/>
          </w:tcPr>
          <w:p w14:paraId="1F491926" w14:textId="14CE80CF" w:rsidR="0048753B" w:rsidRPr="008B2EDF" w:rsidRDefault="0048753B" w:rsidP="0048753B">
            <w:pPr>
              <w:spacing w:line="360" w:lineRule="auto"/>
              <w:jc w:val="both"/>
              <w:rPr>
                <w:rFonts w:ascii="Times New Roman" w:eastAsiaTheme="majorEastAsia" w:hAnsi="Times New Roman" w:cs="Times New Roman"/>
                <w:sz w:val="24"/>
                <w:szCs w:val="24"/>
              </w:rPr>
            </w:pPr>
            <w:r w:rsidRPr="008B2EDF">
              <w:rPr>
                <w:rFonts w:ascii="Times New Roman" w:eastAsiaTheme="majorEastAsia" w:hAnsi="Times New Roman" w:cs="Times New Roman"/>
                <w:sz w:val="24"/>
                <w:szCs w:val="24"/>
              </w:rPr>
              <w:t>Mo</w:t>
            </w:r>
            <w:r w:rsidRPr="008B2EDF">
              <w:rPr>
                <w:rFonts w:ascii="Times New Roman" w:eastAsiaTheme="majorEastAsia" w:hAnsi="Times New Roman" w:cs="Times New Roman"/>
                <w:sz w:val="24"/>
                <w:szCs w:val="24"/>
              </w:rPr>
              <w:t>derate positive</w:t>
            </w:r>
          </w:p>
        </w:tc>
      </w:tr>
      <w:tr w:rsidR="00714560" w:rsidRPr="008B2EDF" w14:paraId="0ECFA9B2" w14:textId="77777777" w:rsidTr="00655B69">
        <w:tc>
          <w:tcPr>
            <w:tcW w:w="5131" w:type="dxa"/>
            <w:gridSpan w:val="9"/>
          </w:tcPr>
          <w:p w14:paraId="618E5DE3" w14:textId="77777777" w:rsidR="00714560" w:rsidRPr="008B2EDF" w:rsidRDefault="00714560" w:rsidP="00264532">
            <w:pPr>
              <w:spacing w:line="360" w:lineRule="auto"/>
              <w:jc w:val="both"/>
              <w:rPr>
                <w:rFonts w:ascii="Times New Roman" w:eastAsiaTheme="majorEastAsia" w:hAnsi="Times New Roman" w:cs="Times New Roman"/>
                <w:sz w:val="24"/>
                <w:szCs w:val="24"/>
              </w:rPr>
            </w:pPr>
          </w:p>
        </w:tc>
        <w:tc>
          <w:tcPr>
            <w:tcW w:w="859" w:type="dxa"/>
            <w:gridSpan w:val="2"/>
          </w:tcPr>
          <w:p w14:paraId="2DB4B6AA" w14:textId="77777777" w:rsidR="00714560" w:rsidRPr="008B2EDF" w:rsidRDefault="00714560" w:rsidP="0048753B">
            <w:pPr>
              <w:spacing w:line="360" w:lineRule="auto"/>
              <w:ind w:left="222"/>
              <w:jc w:val="both"/>
              <w:rPr>
                <w:rFonts w:ascii="Times New Roman" w:eastAsiaTheme="majorEastAsia" w:hAnsi="Times New Roman" w:cs="Times New Roman"/>
                <w:sz w:val="24"/>
                <w:szCs w:val="24"/>
              </w:rPr>
            </w:pPr>
          </w:p>
        </w:tc>
        <w:tc>
          <w:tcPr>
            <w:tcW w:w="940" w:type="dxa"/>
            <w:gridSpan w:val="2"/>
          </w:tcPr>
          <w:p w14:paraId="08D07280" w14:textId="77777777" w:rsidR="00714560" w:rsidRPr="008B2EDF" w:rsidRDefault="00714560" w:rsidP="0048753B">
            <w:pPr>
              <w:spacing w:line="360" w:lineRule="auto"/>
              <w:ind w:left="174"/>
              <w:jc w:val="both"/>
              <w:rPr>
                <w:rFonts w:ascii="Times New Roman" w:eastAsiaTheme="majorEastAsia" w:hAnsi="Times New Roman" w:cs="Times New Roman"/>
                <w:sz w:val="24"/>
                <w:szCs w:val="24"/>
              </w:rPr>
            </w:pPr>
          </w:p>
        </w:tc>
        <w:tc>
          <w:tcPr>
            <w:tcW w:w="2086" w:type="dxa"/>
          </w:tcPr>
          <w:p w14:paraId="3FC54AB4" w14:textId="77777777" w:rsidR="00714560" w:rsidRPr="008B2EDF" w:rsidRDefault="00714560" w:rsidP="0048753B">
            <w:pPr>
              <w:spacing w:line="360" w:lineRule="auto"/>
              <w:jc w:val="both"/>
              <w:rPr>
                <w:rFonts w:ascii="Times New Roman" w:eastAsiaTheme="majorEastAsia" w:hAnsi="Times New Roman" w:cs="Times New Roman"/>
                <w:sz w:val="24"/>
                <w:szCs w:val="24"/>
              </w:rPr>
            </w:pPr>
          </w:p>
        </w:tc>
      </w:tr>
    </w:tbl>
    <w:p w14:paraId="37B4510B" w14:textId="77777777" w:rsidR="00714560" w:rsidRPr="008B2EDF" w:rsidRDefault="00714560" w:rsidP="00714560">
      <w:pPr>
        <w:pStyle w:val="Heading2"/>
        <w:rPr>
          <w:rFonts w:ascii="Times New Roman" w:hAnsi="Times New Roman" w:cs="Times New Roman"/>
          <w:sz w:val="24"/>
          <w:szCs w:val="24"/>
        </w:rPr>
      </w:pPr>
      <w:bookmarkStart w:id="53" w:name="_Toc228970949"/>
      <w:r w:rsidRPr="008B2EDF">
        <w:rPr>
          <w:rFonts w:ascii="Times New Roman" w:hAnsi="Times New Roman" w:cs="Times New Roman"/>
          <w:sz w:val="24"/>
          <w:szCs w:val="24"/>
        </w:rPr>
        <w:lastRenderedPageBreak/>
        <w:t>6.8 Summary of Key Results</w:t>
      </w:r>
      <w:bookmarkEnd w:id="53"/>
    </w:p>
    <w:p w14:paraId="1B95F2D5" w14:textId="77777777" w:rsidR="00714560" w:rsidRPr="008B2EDF" w:rsidRDefault="00714560" w:rsidP="00714560">
      <w:pPr>
        <w:numPr>
          <w:ilvl w:val="0"/>
          <w:numId w:val="29"/>
        </w:numPr>
        <w:spacing w:line="360" w:lineRule="auto"/>
        <w:jc w:val="both"/>
        <w:rPr>
          <w:rFonts w:ascii="Times New Roman" w:eastAsiaTheme="majorEastAsia" w:hAnsi="Times New Roman" w:cs="Times New Roman"/>
          <w:sz w:val="24"/>
          <w:szCs w:val="24"/>
        </w:rPr>
      </w:pPr>
      <w:r w:rsidRPr="008B2EDF">
        <w:rPr>
          <w:rFonts w:ascii="Times New Roman" w:eastAsiaTheme="majorEastAsia" w:hAnsi="Times New Roman" w:cs="Times New Roman"/>
          <w:sz w:val="24"/>
          <w:szCs w:val="24"/>
        </w:rPr>
        <w:t xml:space="preserve">Part-time status is significantly associated with lower perceived recognition </w:t>
      </w:r>
    </w:p>
    <w:p w14:paraId="62919511" w14:textId="77777777" w:rsidR="00714560" w:rsidRPr="008B2EDF" w:rsidRDefault="00714560" w:rsidP="00714560">
      <w:pPr>
        <w:numPr>
          <w:ilvl w:val="0"/>
          <w:numId w:val="29"/>
        </w:numPr>
        <w:spacing w:line="360" w:lineRule="auto"/>
        <w:jc w:val="both"/>
        <w:rPr>
          <w:rFonts w:ascii="Times New Roman" w:eastAsiaTheme="majorEastAsia" w:hAnsi="Times New Roman" w:cs="Times New Roman"/>
          <w:sz w:val="24"/>
          <w:szCs w:val="24"/>
        </w:rPr>
      </w:pPr>
      <w:r w:rsidRPr="008B2EDF">
        <w:rPr>
          <w:rFonts w:ascii="Times New Roman" w:eastAsiaTheme="majorEastAsia" w:hAnsi="Times New Roman" w:cs="Times New Roman"/>
          <w:sz w:val="24"/>
          <w:szCs w:val="24"/>
        </w:rPr>
        <w:t xml:space="preserve">Working hours positively correlate with perceived career progression </w:t>
      </w:r>
    </w:p>
    <w:p w14:paraId="06109627" w14:textId="77777777" w:rsidR="00714560" w:rsidRPr="008B2EDF" w:rsidRDefault="00714560" w:rsidP="00714560">
      <w:pPr>
        <w:numPr>
          <w:ilvl w:val="0"/>
          <w:numId w:val="29"/>
        </w:numPr>
        <w:spacing w:line="360" w:lineRule="auto"/>
        <w:jc w:val="both"/>
        <w:rPr>
          <w:rFonts w:ascii="Times New Roman" w:eastAsiaTheme="majorEastAsia" w:hAnsi="Times New Roman" w:cs="Times New Roman"/>
          <w:sz w:val="24"/>
          <w:szCs w:val="24"/>
        </w:rPr>
      </w:pPr>
      <w:r w:rsidRPr="008B2EDF">
        <w:rPr>
          <w:rFonts w:ascii="Times New Roman" w:eastAsiaTheme="majorEastAsia" w:hAnsi="Times New Roman" w:cs="Times New Roman"/>
          <w:sz w:val="24"/>
          <w:szCs w:val="24"/>
        </w:rPr>
        <w:t xml:space="preserve">Gender is not statistically significant in this dataset </w:t>
      </w:r>
    </w:p>
    <w:p w14:paraId="455D1C00" w14:textId="77777777" w:rsidR="00714560" w:rsidRPr="008B2EDF" w:rsidRDefault="00714560" w:rsidP="00714560">
      <w:pPr>
        <w:numPr>
          <w:ilvl w:val="0"/>
          <w:numId w:val="29"/>
        </w:numPr>
        <w:spacing w:line="360" w:lineRule="auto"/>
        <w:jc w:val="both"/>
        <w:rPr>
          <w:rFonts w:ascii="Times New Roman" w:eastAsiaTheme="majorEastAsia" w:hAnsi="Times New Roman" w:cs="Times New Roman"/>
          <w:sz w:val="24"/>
          <w:szCs w:val="24"/>
        </w:rPr>
      </w:pPr>
      <w:r w:rsidRPr="008B2EDF">
        <w:rPr>
          <w:rFonts w:ascii="Times New Roman" w:eastAsiaTheme="majorEastAsia" w:hAnsi="Times New Roman" w:cs="Times New Roman"/>
          <w:sz w:val="24"/>
          <w:szCs w:val="24"/>
        </w:rPr>
        <w:t xml:space="preserve">Age influences job satisfaction, particularly among 35–44 group </w:t>
      </w:r>
    </w:p>
    <w:p w14:paraId="200810EE" w14:textId="77777777" w:rsidR="00714560" w:rsidRPr="008B2EDF" w:rsidRDefault="00714560" w:rsidP="00714560">
      <w:pPr>
        <w:numPr>
          <w:ilvl w:val="0"/>
          <w:numId w:val="29"/>
        </w:numPr>
        <w:spacing w:line="360" w:lineRule="auto"/>
        <w:jc w:val="both"/>
        <w:rPr>
          <w:rFonts w:ascii="Times New Roman" w:eastAsiaTheme="majorEastAsia" w:hAnsi="Times New Roman" w:cs="Times New Roman"/>
          <w:sz w:val="24"/>
          <w:szCs w:val="24"/>
        </w:rPr>
      </w:pPr>
      <w:r w:rsidRPr="008B2EDF">
        <w:rPr>
          <w:rFonts w:ascii="Times New Roman" w:eastAsiaTheme="majorEastAsia" w:hAnsi="Times New Roman" w:cs="Times New Roman"/>
          <w:sz w:val="24"/>
          <w:szCs w:val="24"/>
        </w:rPr>
        <w:t xml:space="preserve">Invisible labour is widely reported but rarely formally recognised </w:t>
      </w:r>
    </w:p>
    <w:p w14:paraId="707E47A2" w14:textId="77777777" w:rsidR="00714560" w:rsidRPr="008B2EDF" w:rsidRDefault="00714560" w:rsidP="00714560">
      <w:pPr>
        <w:numPr>
          <w:ilvl w:val="0"/>
          <w:numId w:val="29"/>
        </w:numPr>
        <w:spacing w:line="360" w:lineRule="auto"/>
        <w:jc w:val="both"/>
        <w:rPr>
          <w:rFonts w:ascii="Times New Roman" w:eastAsiaTheme="majorEastAsia" w:hAnsi="Times New Roman" w:cs="Times New Roman"/>
          <w:sz w:val="24"/>
          <w:szCs w:val="24"/>
        </w:rPr>
      </w:pPr>
      <w:r w:rsidRPr="008B2EDF">
        <w:rPr>
          <w:rFonts w:ascii="Times New Roman" w:eastAsiaTheme="majorEastAsia" w:hAnsi="Times New Roman" w:cs="Times New Roman"/>
          <w:sz w:val="24"/>
          <w:szCs w:val="24"/>
        </w:rPr>
        <w:t>Flexibility is valued but linked to perceived career limitations</w:t>
      </w:r>
    </w:p>
    <w:p w14:paraId="4EAAAC0A" w14:textId="77777777" w:rsidR="00F12D64" w:rsidRPr="008B2EDF" w:rsidRDefault="00F12D64" w:rsidP="0047413B">
      <w:pPr>
        <w:spacing w:line="360" w:lineRule="auto"/>
        <w:jc w:val="both"/>
        <w:rPr>
          <w:rFonts w:ascii="Times New Roman" w:eastAsiaTheme="majorEastAsia" w:hAnsi="Times New Roman" w:cs="Times New Roman"/>
          <w:b/>
          <w:bCs/>
          <w:sz w:val="24"/>
          <w:szCs w:val="24"/>
        </w:rPr>
      </w:pPr>
      <w:r w:rsidRPr="008B2EDF">
        <w:rPr>
          <w:rFonts w:ascii="Times New Roman" w:eastAsiaTheme="majorEastAsia" w:hAnsi="Times New Roman" w:cs="Times New Roman"/>
          <w:b/>
          <w:bCs/>
          <w:sz w:val="24"/>
          <w:szCs w:val="24"/>
        </w:rPr>
        <w:t>Application of Thematic Analysis</w:t>
      </w:r>
    </w:p>
    <w:p w14:paraId="40DFC2F9" w14:textId="1DD9BB7D" w:rsidR="005C3B58" w:rsidRPr="008B2EDF" w:rsidRDefault="00F12D64" w:rsidP="00714560">
      <w:pPr>
        <w:spacing w:line="360" w:lineRule="auto"/>
        <w:jc w:val="both"/>
        <w:rPr>
          <w:rFonts w:ascii="Times New Roman" w:eastAsiaTheme="majorEastAsia" w:hAnsi="Times New Roman" w:cs="Times New Roman"/>
          <w:sz w:val="24"/>
          <w:szCs w:val="24"/>
        </w:rPr>
      </w:pPr>
      <w:r w:rsidRPr="008B2EDF">
        <w:rPr>
          <w:rFonts w:ascii="Times New Roman" w:eastAsiaTheme="majorEastAsia" w:hAnsi="Times New Roman" w:cs="Times New Roman"/>
          <w:sz w:val="24"/>
          <w:szCs w:val="24"/>
        </w:rPr>
        <w:t xml:space="preserve">To analyse the open-ended survey responses, a six-stage thematic analysis approach was adopted in line with Braun and Clarke’s (2022) framework. This approach was selected due to its flexibility in identifying, analysing, and interpreting patterns of meaning within qualitative data, particularly in studies combining quantitative and qualitative methods. It is especially appropriate for this research as it enables the exploration of subjective experiences of invisible labour, recognition, and workplace barriers, complementing the statistical analysis and strengthening methodological triangulation (Braun and Clarke, 2022; Nowell </w:t>
      </w:r>
      <w:r w:rsidR="00570CA8" w:rsidRPr="008B2EDF">
        <w:rPr>
          <w:rFonts w:ascii="Times New Roman" w:eastAsiaTheme="majorEastAsia" w:hAnsi="Times New Roman" w:cs="Times New Roman"/>
          <w:i/>
          <w:sz w:val="24"/>
          <w:szCs w:val="24"/>
        </w:rPr>
        <w:t>et al.</w:t>
      </w:r>
      <w:r w:rsidRPr="008B2EDF">
        <w:rPr>
          <w:rFonts w:ascii="Times New Roman" w:eastAsiaTheme="majorEastAsia" w:hAnsi="Times New Roman" w:cs="Times New Roman"/>
          <w:sz w:val="24"/>
          <w:szCs w:val="24"/>
        </w:rPr>
        <w:t>, 2017).</w:t>
      </w:r>
    </w:p>
    <w:p w14:paraId="5495559D" w14:textId="77777777" w:rsidR="00714560" w:rsidRPr="008B2EDF" w:rsidRDefault="00F12D64" w:rsidP="00714560">
      <w:pPr>
        <w:pStyle w:val="ListParagraph"/>
        <w:numPr>
          <w:ilvl w:val="1"/>
          <w:numId w:val="31"/>
        </w:numPr>
        <w:spacing w:line="360" w:lineRule="auto"/>
        <w:jc w:val="both"/>
        <w:rPr>
          <w:rFonts w:ascii="Times New Roman" w:eastAsiaTheme="majorEastAsia" w:hAnsi="Times New Roman" w:cs="Times New Roman"/>
          <w:sz w:val="24"/>
          <w:szCs w:val="24"/>
        </w:rPr>
      </w:pPr>
      <w:r w:rsidRPr="008B2EDF">
        <w:rPr>
          <w:rFonts w:ascii="Times New Roman" w:eastAsiaTheme="majorEastAsia" w:hAnsi="Times New Roman" w:cs="Times New Roman"/>
          <w:b/>
          <w:bCs/>
          <w:sz w:val="24"/>
          <w:szCs w:val="24"/>
        </w:rPr>
        <w:t>Familiarisation</w:t>
      </w:r>
      <w:r w:rsidR="00C06663" w:rsidRPr="008B2EDF">
        <w:rPr>
          <w:rFonts w:ascii="Times New Roman" w:eastAsiaTheme="majorEastAsia" w:hAnsi="Times New Roman" w:cs="Times New Roman"/>
          <w:b/>
          <w:bCs/>
          <w:sz w:val="24"/>
          <w:szCs w:val="24"/>
        </w:rPr>
        <w:t xml:space="preserve"> </w:t>
      </w:r>
      <w:r w:rsidRPr="008B2EDF">
        <w:rPr>
          <w:rFonts w:ascii="Times New Roman" w:eastAsiaTheme="majorEastAsia" w:hAnsi="Times New Roman" w:cs="Times New Roman"/>
          <w:b/>
          <w:bCs/>
          <w:sz w:val="24"/>
          <w:szCs w:val="24"/>
        </w:rPr>
        <w:t>with the data</w:t>
      </w:r>
    </w:p>
    <w:p w14:paraId="297155AA" w14:textId="75157E25" w:rsidR="00F12D64" w:rsidRPr="008B2EDF" w:rsidRDefault="00F12D64" w:rsidP="00714560">
      <w:pPr>
        <w:spacing w:line="360" w:lineRule="auto"/>
        <w:jc w:val="both"/>
        <w:rPr>
          <w:rFonts w:ascii="Times New Roman" w:eastAsiaTheme="majorEastAsia" w:hAnsi="Times New Roman" w:cs="Times New Roman"/>
          <w:sz w:val="24"/>
          <w:szCs w:val="24"/>
        </w:rPr>
      </w:pPr>
      <w:r w:rsidRPr="008B2EDF">
        <w:rPr>
          <w:rFonts w:ascii="Times New Roman" w:eastAsiaTheme="majorEastAsia" w:hAnsi="Times New Roman" w:cs="Times New Roman"/>
          <w:sz w:val="24"/>
          <w:szCs w:val="24"/>
        </w:rPr>
        <w:t>All qualitative responses were repeatedly read to achieve full immersion in the dataset. Initial notes were recorded to capture early impressions and recurring ideas, particularly in relation to invisible labour, lack of recognition, and structural barriers to caree</w:t>
      </w:r>
      <w:r w:rsidR="005C3B58" w:rsidRPr="008B2EDF">
        <w:rPr>
          <w:rFonts w:ascii="Times New Roman" w:eastAsiaTheme="majorEastAsia" w:hAnsi="Times New Roman" w:cs="Times New Roman"/>
          <w:sz w:val="24"/>
          <w:szCs w:val="24"/>
        </w:rPr>
        <w:t>r</w:t>
      </w:r>
      <w:r w:rsidRPr="008B2EDF">
        <w:rPr>
          <w:rFonts w:ascii="Times New Roman" w:eastAsiaTheme="majorEastAsia" w:hAnsi="Times New Roman" w:cs="Times New Roman"/>
          <w:sz w:val="24"/>
          <w:szCs w:val="24"/>
        </w:rPr>
        <w:t xml:space="preserve"> progression. This stage ensured that the analysis remained grounded in </w:t>
      </w:r>
      <w:r w:rsidR="00C06663" w:rsidRPr="008B2EDF">
        <w:rPr>
          <w:rFonts w:ascii="Times New Roman" w:eastAsiaTheme="majorEastAsia" w:hAnsi="Times New Roman" w:cs="Times New Roman"/>
          <w:sz w:val="24"/>
          <w:szCs w:val="24"/>
        </w:rPr>
        <w:t>participants</w:t>
      </w:r>
      <w:r w:rsidRPr="008B2EDF">
        <w:rPr>
          <w:rFonts w:ascii="Times New Roman" w:eastAsiaTheme="majorEastAsia" w:hAnsi="Times New Roman" w:cs="Times New Roman"/>
          <w:sz w:val="24"/>
          <w:szCs w:val="24"/>
        </w:rPr>
        <w:t xml:space="preserve"> lived experiences rather than preconceived assumptions (Braun and Clarke, 2006).</w:t>
      </w:r>
    </w:p>
    <w:p w14:paraId="1E2CA80E" w14:textId="77777777" w:rsidR="00714560" w:rsidRPr="008B2EDF" w:rsidRDefault="00F12D64" w:rsidP="004F17FF">
      <w:pPr>
        <w:pStyle w:val="ListParagraph"/>
        <w:numPr>
          <w:ilvl w:val="1"/>
          <w:numId w:val="2"/>
        </w:numPr>
        <w:spacing w:line="360" w:lineRule="auto"/>
        <w:jc w:val="both"/>
        <w:rPr>
          <w:rFonts w:ascii="Times New Roman" w:eastAsiaTheme="majorEastAsia" w:hAnsi="Times New Roman" w:cs="Times New Roman"/>
          <w:sz w:val="24"/>
          <w:szCs w:val="24"/>
        </w:rPr>
      </w:pPr>
      <w:r w:rsidRPr="008B2EDF">
        <w:rPr>
          <w:rFonts w:ascii="Times New Roman" w:eastAsiaTheme="majorEastAsia" w:hAnsi="Times New Roman" w:cs="Times New Roman"/>
          <w:b/>
          <w:bCs/>
          <w:sz w:val="24"/>
          <w:szCs w:val="24"/>
        </w:rPr>
        <w:t>Generating initial codes</w:t>
      </w:r>
    </w:p>
    <w:p w14:paraId="7BF02EC0" w14:textId="53A8C25E" w:rsidR="00F12D64" w:rsidRPr="008B2EDF" w:rsidRDefault="00F12D64" w:rsidP="00714560">
      <w:pPr>
        <w:spacing w:line="360" w:lineRule="auto"/>
        <w:jc w:val="both"/>
        <w:rPr>
          <w:rFonts w:ascii="Times New Roman" w:eastAsiaTheme="majorEastAsia" w:hAnsi="Times New Roman" w:cs="Times New Roman"/>
          <w:sz w:val="24"/>
          <w:szCs w:val="24"/>
        </w:rPr>
      </w:pPr>
      <w:r w:rsidRPr="008B2EDF">
        <w:rPr>
          <w:rFonts w:ascii="Times New Roman" w:eastAsiaTheme="majorEastAsia" w:hAnsi="Times New Roman" w:cs="Times New Roman"/>
          <w:sz w:val="24"/>
          <w:szCs w:val="24"/>
        </w:rPr>
        <w:t xml:space="preserve">The data were systematically coded line-by-line to identify meaningful features. Key terms and phrases such as “overlooked,” “not recognised,” and “extra duties” were coded under </w:t>
      </w:r>
      <w:r w:rsidRPr="008B2EDF">
        <w:rPr>
          <w:rFonts w:ascii="Times New Roman" w:eastAsiaTheme="majorEastAsia" w:hAnsi="Times New Roman" w:cs="Times New Roman"/>
          <w:i/>
          <w:iCs/>
          <w:sz w:val="24"/>
          <w:szCs w:val="24"/>
        </w:rPr>
        <w:t>invisible labour</w:t>
      </w:r>
      <w:r w:rsidRPr="008B2EDF">
        <w:rPr>
          <w:rFonts w:ascii="Times New Roman" w:eastAsiaTheme="majorEastAsia" w:hAnsi="Times New Roman" w:cs="Times New Roman"/>
          <w:sz w:val="24"/>
          <w:szCs w:val="24"/>
        </w:rPr>
        <w:t xml:space="preserve">, while references to “promotion,” “training access,” and “shift allocation” were grouped under </w:t>
      </w:r>
      <w:r w:rsidRPr="008B2EDF">
        <w:rPr>
          <w:rFonts w:ascii="Times New Roman" w:eastAsiaTheme="majorEastAsia" w:hAnsi="Times New Roman" w:cs="Times New Roman"/>
          <w:i/>
          <w:iCs/>
          <w:sz w:val="24"/>
          <w:szCs w:val="24"/>
        </w:rPr>
        <w:t>career progression barriers</w:t>
      </w:r>
      <w:r w:rsidRPr="008B2EDF">
        <w:rPr>
          <w:rFonts w:ascii="Times New Roman" w:eastAsiaTheme="majorEastAsia" w:hAnsi="Times New Roman" w:cs="Times New Roman"/>
          <w:sz w:val="24"/>
          <w:szCs w:val="24"/>
        </w:rPr>
        <w:t xml:space="preserve">. This process enabled the transformation of raw qualitative data into manageable analytical units, a key requirement for rigorous thematic analysis (Guest </w:t>
      </w:r>
      <w:r w:rsidR="00570CA8" w:rsidRPr="008B2EDF">
        <w:rPr>
          <w:rFonts w:ascii="Times New Roman" w:eastAsiaTheme="majorEastAsia" w:hAnsi="Times New Roman" w:cs="Times New Roman"/>
          <w:i/>
          <w:sz w:val="24"/>
          <w:szCs w:val="24"/>
        </w:rPr>
        <w:t>et al.</w:t>
      </w:r>
      <w:r w:rsidRPr="008B2EDF">
        <w:rPr>
          <w:rFonts w:ascii="Times New Roman" w:eastAsiaTheme="majorEastAsia" w:hAnsi="Times New Roman" w:cs="Times New Roman"/>
          <w:sz w:val="24"/>
          <w:szCs w:val="24"/>
        </w:rPr>
        <w:t>, 2012).</w:t>
      </w:r>
    </w:p>
    <w:p w14:paraId="5D095818" w14:textId="77777777" w:rsidR="00714560" w:rsidRPr="008B2EDF" w:rsidRDefault="00F12D64" w:rsidP="004F17FF">
      <w:pPr>
        <w:pStyle w:val="ListParagraph"/>
        <w:numPr>
          <w:ilvl w:val="1"/>
          <w:numId w:val="2"/>
        </w:numPr>
        <w:spacing w:line="360" w:lineRule="auto"/>
        <w:jc w:val="both"/>
        <w:rPr>
          <w:rFonts w:ascii="Times New Roman" w:eastAsiaTheme="majorEastAsia" w:hAnsi="Times New Roman" w:cs="Times New Roman"/>
          <w:sz w:val="24"/>
          <w:szCs w:val="24"/>
        </w:rPr>
      </w:pPr>
      <w:r w:rsidRPr="008B2EDF">
        <w:rPr>
          <w:rFonts w:ascii="Times New Roman" w:eastAsiaTheme="majorEastAsia" w:hAnsi="Times New Roman" w:cs="Times New Roman"/>
          <w:b/>
          <w:bCs/>
          <w:sz w:val="24"/>
          <w:szCs w:val="24"/>
        </w:rPr>
        <w:t>Searching for themes</w:t>
      </w:r>
    </w:p>
    <w:p w14:paraId="483E6D57" w14:textId="53CC3B3C" w:rsidR="00F12D64" w:rsidRPr="008B2EDF" w:rsidRDefault="00F12D64" w:rsidP="00714560">
      <w:pPr>
        <w:spacing w:line="360" w:lineRule="auto"/>
        <w:jc w:val="both"/>
        <w:rPr>
          <w:rFonts w:ascii="Times New Roman" w:eastAsiaTheme="majorEastAsia" w:hAnsi="Times New Roman" w:cs="Times New Roman"/>
          <w:sz w:val="24"/>
          <w:szCs w:val="24"/>
        </w:rPr>
      </w:pPr>
      <w:r w:rsidRPr="008B2EDF">
        <w:rPr>
          <w:rFonts w:ascii="Times New Roman" w:eastAsiaTheme="majorEastAsia" w:hAnsi="Times New Roman" w:cs="Times New Roman"/>
          <w:sz w:val="24"/>
          <w:szCs w:val="24"/>
        </w:rPr>
        <w:t xml:space="preserve">Codes were then grouped into broader, interpretive themes reflecting recurring patterns across responses. The main themes identified included: invisible labour tasks, recognition gaps, </w:t>
      </w:r>
      <w:r w:rsidRPr="008B2EDF">
        <w:rPr>
          <w:rFonts w:ascii="Times New Roman" w:eastAsiaTheme="majorEastAsia" w:hAnsi="Times New Roman" w:cs="Times New Roman"/>
          <w:sz w:val="24"/>
          <w:szCs w:val="24"/>
        </w:rPr>
        <w:lastRenderedPageBreak/>
        <w:t>structural barriers to career progression, work–life balance and scheduling constraints, gendered workplace experiences, and employee-driven recommendations for improvement. These themes were developed in alignment with the study’s theoretical framework, particularly Human Capital and Equity Theory.</w:t>
      </w:r>
    </w:p>
    <w:p w14:paraId="36C00664" w14:textId="77777777" w:rsidR="00136EFF" w:rsidRPr="008B2EDF" w:rsidRDefault="00F12D64" w:rsidP="004F17FF">
      <w:pPr>
        <w:pStyle w:val="ListParagraph"/>
        <w:numPr>
          <w:ilvl w:val="1"/>
          <w:numId w:val="2"/>
        </w:numPr>
        <w:spacing w:line="360" w:lineRule="auto"/>
        <w:jc w:val="both"/>
        <w:rPr>
          <w:rFonts w:ascii="Times New Roman" w:eastAsiaTheme="majorEastAsia" w:hAnsi="Times New Roman" w:cs="Times New Roman"/>
          <w:b/>
          <w:bCs/>
          <w:sz w:val="24"/>
          <w:szCs w:val="24"/>
        </w:rPr>
      </w:pPr>
      <w:r w:rsidRPr="008B2EDF">
        <w:rPr>
          <w:rFonts w:ascii="Times New Roman" w:eastAsiaTheme="majorEastAsia" w:hAnsi="Times New Roman" w:cs="Times New Roman"/>
          <w:b/>
          <w:bCs/>
          <w:sz w:val="24"/>
          <w:szCs w:val="24"/>
        </w:rPr>
        <w:t>Reviewing themes</w:t>
      </w:r>
    </w:p>
    <w:p w14:paraId="1DF58A89" w14:textId="38FC0106" w:rsidR="00F12D64" w:rsidRPr="008B2EDF" w:rsidRDefault="00F12D64" w:rsidP="00714560">
      <w:pPr>
        <w:spacing w:line="360" w:lineRule="auto"/>
        <w:jc w:val="both"/>
        <w:rPr>
          <w:rFonts w:ascii="Times New Roman" w:eastAsiaTheme="majorEastAsia" w:hAnsi="Times New Roman" w:cs="Times New Roman"/>
          <w:b/>
          <w:bCs/>
          <w:sz w:val="24"/>
          <w:szCs w:val="24"/>
        </w:rPr>
      </w:pPr>
      <w:r w:rsidRPr="008B2EDF">
        <w:rPr>
          <w:rFonts w:ascii="Times New Roman" w:eastAsiaTheme="majorEastAsia" w:hAnsi="Times New Roman" w:cs="Times New Roman"/>
          <w:sz w:val="24"/>
          <w:szCs w:val="24"/>
        </w:rPr>
        <w:t xml:space="preserve">The preliminary themes were refined by checking them against the full dataset to ensure internal coherence and external distinctiveness. Overlapping categories were merged where appropriate, for example combining training access and development opportunities under </w:t>
      </w:r>
      <w:r w:rsidRPr="008B2EDF">
        <w:rPr>
          <w:rFonts w:ascii="Times New Roman" w:eastAsiaTheme="majorEastAsia" w:hAnsi="Times New Roman" w:cs="Times New Roman"/>
          <w:i/>
          <w:iCs/>
          <w:sz w:val="24"/>
          <w:szCs w:val="24"/>
        </w:rPr>
        <w:t>career progression barriers</w:t>
      </w:r>
      <w:r w:rsidRPr="008B2EDF">
        <w:rPr>
          <w:rFonts w:ascii="Times New Roman" w:eastAsiaTheme="majorEastAsia" w:hAnsi="Times New Roman" w:cs="Times New Roman"/>
          <w:sz w:val="24"/>
          <w:szCs w:val="24"/>
        </w:rPr>
        <w:t>. This iterative refinement is consistent with established thematic analysis procedures, ensuring reliability and analytical depth (Braun and Clarke, 2006; Braun and Clarke, 2022).</w:t>
      </w:r>
    </w:p>
    <w:p w14:paraId="004F1426" w14:textId="77777777" w:rsidR="00714560" w:rsidRPr="008B2EDF" w:rsidRDefault="00F12D64" w:rsidP="004F17FF">
      <w:pPr>
        <w:pStyle w:val="ListParagraph"/>
        <w:numPr>
          <w:ilvl w:val="1"/>
          <w:numId w:val="2"/>
        </w:numPr>
        <w:spacing w:line="360" w:lineRule="auto"/>
        <w:jc w:val="both"/>
        <w:rPr>
          <w:rFonts w:ascii="Times New Roman" w:eastAsiaTheme="majorEastAsia" w:hAnsi="Times New Roman" w:cs="Times New Roman"/>
          <w:sz w:val="24"/>
          <w:szCs w:val="24"/>
        </w:rPr>
      </w:pPr>
      <w:r w:rsidRPr="008B2EDF">
        <w:rPr>
          <w:rFonts w:ascii="Times New Roman" w:eastAsiaTheme="majorEastAsia" w:hAnsi="Times New Roman" w:cs="Times New Roman"/>
          <w:b/>
          <w:bCs/>
          <w:sz w:val="24"/>
          <w:szCs w:val="24"/>
        </w:rPr>
        <w:t>Defining and naming themes</w:t>
      </w:r>
    </w:p>
    <w:p w14:paraId="6FD05AC5" w14:textId="75DB7CC9" w:rsidR="00F12D64" w:rsidRPr="008B2EDF" w:rsidRDefault="00F12D64" w:rsidP="00714560">
      <w:pPr>
        <w:spacing w:line="360" w:lineRule="auto"/>
        <w:jc w:val="both"/>
        <w:rPr>
          <w:rFonts w:ascii="Times New Roman" w:eastAsiaTheme="majorEastAsia" w:hAnsi="Times New Roman" w:cs="Times New Roman"/>
          <w:sz w:val="24"/>
          <w:szCs w:val="24"/>
        </w:rPr>
      </w:pPr>
      <w:r w:rsidRPr="008B2EDF">
        <w:rPr>
          <w:rFonts w:ascii="Times New Roman" w:eastAsiaTheme="majorEastAsia" w:hAnsi="Times New Roman" w:cs="Times New Roman"/>
          <w:sz w:val="24"/>
          <w:szCs w:val="24"/>
        </w:rPr>
        <w:t xml:space="preserve">Each theme was clearly defined to ensure conceptual precision and analytical consistency. For instance, </w:t>
      </w:r>
      <w:r w:rsidRPr="008B2EDF">
        <w:rPr>
          <w:rFonts w:ascii="Times New Roman" w:eastAsiaTheme="majorEastAsia" w:hAnsi="Times New Roman" w:cs="Times New Roman"/>
          <w:i/>
          <w:iCs/>
          <w:sz w:val="24"/>
          <w:szCs w:val="24"/>
        </w:rPr>
        <w:t>invisible labour</w:t>
      </w:r>
      <w:r w:rsidRPr="008B2EDF">
        <w:rPr>
          <w:rFonts w:ascii="Times New Roman" w:eastAsiaTheme="majorEastAsia" w:hAnsi="Times New Roman" w:cs="Times New Roman"/>
          <w:sz w:val="24"/>
          <w:szCs w:val="24"/>
        </w:rPr>
        <w:t xml:space="preserve"> captured unpaid or unrecognised contributions beyond formal job descriptions, while </w:t>
      </w:r>
      <w:r w:rsidRPr="008B2EDF">
        <w:rPr>
          <w:rFonts w:ascii="Times New Roman" w:eastAsiaTheme="majorEastAsia" w:hAnsi="Times New Roman" w:cs="Times New Roman"/>
          <w:i/>
          <w:iCs/>
          <w:sz w:val="24"/>
          <w:szCs w:val="24"/>
        </w:rPr>
        <w:t>recognition gap</w:t>
      </w:r>
      <w:r w:rsidRPr="008B2EDF">
        <w:rPr>
          <w:rFonts w:ascii="Times New Roman" w:eastAsiaTheme="majorEastAsia" w:hAnsi="Times New Roman" w:cs="Times New Roman"/>
          <w:sz w:val="24"/>
          <w:szCs w:val="24"/>
        </w:rPr>
        <w:t xml:space="preserve"> referred to the disconnect between employee contributions and formal performance evaluation or reward systems. This step enhances transparency and interpretive clarity in qualitative research (Attride-Stirling, 2001).</w:t>
      </w:r>
    </w:p>
    <w:p w14:paraId="70C9CFC5" w14:textId="77777777" w:rsidR="00714560" w:rsidRPr="008B2EDF" w:rsidRDefault="00F12D64" w:rsidP="004F17FF">
      <w:pPr>
        <w:pStyle w:val="ListParagraph"/>
        <w:numPr>
          <w:ilvl w:val="1"/>
          <w:numId w:val="2"/>
        </w:numPr>
        <w:spacing w:line="360" w:lineRule="auto"/>
        <w:jc w:val="both"/>
        <w:rPr>
          <w:rFonts w:ascii="Times New Roman" w:eastAsiaTheme="majorEastAsia" w:hAnsi="Times New Roman" w:cs="Times New Roman"/>
          <w:sz w:val="24"/>
          <w:szCs w:val="24"/>
        </w:rPr>
      </w:pPr>
      <w:r w:rsidRPr="008B2EDF">
        <w:rPr>
          <w:rFonts w:ascii="Times New Roman" w:eastAsiaTheme="majorEastAsia" w:hAnsi="Times New Roman" w:cs="Times New Roman"/>
          <w:b/>
          <w:bCs/>
          <w:sz w:val="24"/>
          <w:szCs w:val="24"/>
        </w:rPr>
        <w:t>Producing the report</w:t>
      </w:r>
    </w:p>
    <w:p w14:paraId="27372FD4" w14:textId="7F22B013" w:rsidR="00F12D64" w:rsidRPr="008B2EDF" w:rsidRDefault="00F12D64" w:rsidP="00714560">
      <w:pPr>
        <w:spacing w:line="360" w:lineRule="auto"/>
        <w:jc w:val="both"/>
        <w:rPr>
          <w:rFonts w:ascii="Times New Roman" w:eastAsiaTheme="majorEastAsia" w:hAnsi="Times New Roman" w:cs="Times New Roman"/>
          <w:sz w:val="24"/>
          <w:szCs w:val="24"/>
        </w:rPr>
      </w:pPr>
      <w:r w:rsidRPr="008B2EDF">
        <w:rPr>
          <w:rFonts w:ascii="Times New Roman" w:eastAsiaTheme="majorEastAsia" w:hAnsi="Times New Roman" w:cs="Times New Roman"/>
          <w:sz w:val="24"/>
          <w:szCs w:val="24"/>
        </w:rPr>
        <w:t>Representative quotations were selected to illustrate each theme and ensure that participants’ voices were embedded within the analysis. These qualitative insights were used to contextualise and deepen interpretation of quantitative findings, enhancing overall methodological triangulation. This integration strengthens the credibility and richness of the results by linking numerical trends with lived workplace experiences. See Figure 8 for a visual representation of the analytical process; further interpretation is developed in the Discussion section</w:t>
      </w:r>
      <w:r w:rsidR="003A0DC5" w:rsidRPr="008B2EDF">
        <w:rPr>
          <w:rFonts w:ascii="Times New Roman" w:eastAsiaTheme="majorEastAsia" w:hAnsi="Times New Roman" w:cs="Times New Roman"/>
          <w:sz w:val="24"/>
          <w:szCs w:val="24"/>
        </w:rPr>
        <w:t>.</w:t>
      </w:r>
    </w:p>
    <w:p w14:paraId="5FD7DAFF" w14:textId="77777777" w:rsidR="00F12D64" w:rsidRPr="008B2EDF" w:rsidRDefault="00F12D64" w:rsidP="004F17FF">
      <w:pPr>
        <w:spacing w:line="360" w:lineRule="auto"/>
        <w:ind w:left="720"/>
        <w:jc w:val="both"/>
        <w:rPr>
          <w:rFonts w:ascii="Times New Roman" w:eastAsiaTheme="majorEastAsia" w:hAnsi="Times New Roman" w:cs="Times New Roman"/>
          <w:sz w:val="24"/>
          <w:szCs w:val="24"/>
        </w:rPr>
      </w:pPr>
    </w:p>
    <w:p w14:paraId="57443DE6" w14:textId="75E41E7A" w:rsidR="0069349E" w:rsidRPr="008B2EDF" w:rsidRDefault="0069349E" w:rsidP="004F17FF">
      <w:pPr>
        <w:pStyle w:val="Caption"/>
        <w:keepNext/>
        <w:spacing w:line="360" w:lineRule="auto"/>
        <w:jc w:val="both"/>
        <w:rPr>
          <w:rFonts w:ascii="Times New Roman" w:hAnsi="Times New Roman" w:cs="Times New Roman"/>
          <w:sz w:val="24"/>
          <w:szCs w:val="24"/>
        </w:rPr>
      </w:pPr>
      <w:bookmarkStart w:id="54" w:name="_Toc228970970"/>
      <w:r w:rsidRPr="008B2EDF">
        <w:rPr>
          <w:rFonts w:ascii="Times New Roman" w:hAnsi="Times New Roman" w:cs="Times New Roman"/>
          <w:sz w:val="24"/>
          <w:szCs w:val="24"/>
        </w:rPr>
        <w:lastRenderedPageBreak/>
        <w:t xml:space="preserve">Figure </w:t>
      </w:r>
      <w:r w:rsidRPr="008B2EDF">
        <w:rPr>
          <w:rFonts w:ascii="Times New Roman" w:hAnsi="Times New Roman" w:cs="Times New Roman"/>
          <w:sz w:val="24"/>
          <w:szCs w:val="24"/>
        </w:rPr>
        <w:fldChar w:fldCharType="begin"/>
      </w:r>
      <w:r w:rsidRPr="008B2EDF">
        <w:rPr>
          <w:rFonts w:ascii="Times New Roman" w:hAnsi="Times New Roman" w:cs="Times New Roman"/>
          <w:sz w:val="24"/>
          <w:szCs w:val="24"/>
        </w:rPr>
        <w:instrText xml:space="preserve"> SEQ Figure \* ARABIC </w:instrText>
      </w:r>
      <w:r w:rsidRPr="008B2EDF">
        <w:rPr>
          <w:rFonts w:ascii="Times New Roman" w:hAnsi="Times New Roman" w:cs="Times New Roman"/>
          <w:sz w:val="24"/>
          <w:szCs w:val="24"/>
        </w:rPr>
        <w:fldChar w:fldCharType="separate"/>
      </w:r>
      <w:r w:rsidR="000C3484" w:rsidRPr="008B2EDF">
        <w:rPr>
          <w:rFonts w:ascii="Times New Roman" w:hAnsi="Times New Roman" w:cs="Times New Roman"/>
          <w:noProof/>
          <w:sz w:val="24"/>
          <w:szCs w:val="24"/>
        </w:rPr>
        <w:t>8</w:t>
      </w:r>
      <w:r w:rsidRPr="008B2EDF">
        <w:rPr>
          <w:rFonts w:ascii="Times New Roman" w:hAnsi="Times New Roman" w:cs="Times New Roman"/>
          <w:sz w:val="24"/>
          <w:szCs w:val="24"/>
        </w:rPr>
        <w:fldChar w:fldCharType="end"/>
      </w:r>
      <w:r w:rsidRPr="008B2EDF">
        <w:rPr>
          <w:rFonts w:ascii="Times New Roman" w:hAnsi="Times New Roman" w:cs="Times New Roman"/>
          <w:sz w:val="24"/>
          <w:szCs w:val="24"/>
        </w:rPr>
        <w:t xml:space="preserve"> Thematic Analysis</w:t>
      </w:r>
      <w:bookmarkEnd w:id="54"/>
    </w:p>
    <w:p w14:paraId="32891875" w14:textId="7815ABF4" w:rsidR="0052424F" w:rsidRPr="008B2EDF" w:rsidRDefault="00A923AA" w:rsidP="004F17FF">
      <w:pPr>
        <w:spacing w:line="360" w:lineRule="auto"/>
        <w:jc w:val="both"/>
        <w:rPr>
          <w:rFonts w:ascii="Times New Roman" w:eastAsiaTheme="majorEastAsia" w:hAnsi="Times New Roman" w:cs="Times New Roman"/>
          <w:sz w:val="24"/>
          <w:szCs w:val="24"/>
        </w:rPr>
      </w:pPr>
      <w:r w:rsidRPr="008B2EDF">
        <w:rPr>
          <w:rFonts w:ascii="Times New Roman" w:eastAsiaTheme="majorEastAsia" w:hAnsi="Times New Roman" w:cs="Times New Roman"/>
          <w:noProof/>
          <w:sz w:val="24"/>
          <w:szCs w:val="24"/>
        </w:rPr>
        <w:drawing>
          <wp:inline distT="0" distB="0" distL="0" distR="0" wp14:anchorId="7272A8CC" wp14:editId="438A9413">
            <wp:extent cx="6133368" cy="3425190"/>
            <wp:effectExtent l="0" t="0" r="1270" b="3810"/>
            <wp:docPr id="2044806088"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4806088" name="Picture 30"/>
                    <pic:cNvPicPr/>
                  </pic:nvPicPr>
                  <pic:blipFill>
                    <a:blip r:embed="rId21">
                      <a:extLst>
                        <a:ext uri="{28A0092B-C50C-407E-A947-70E740481C1C}">
                          <a14:useLocalDpi xmlns:a14="http://schemas.microsoft.com/office/drawing/2010/main" val="0"/>
                        </a:ext>
                      </a:extLst>
                    </a:blip>
                    <a:stretch>
                      <a:fillRect/>
                    </a:stretch>
                  </pic:blipFill>
                  <pic:spPr>
                    <a:xfrm>
                      <a:off x="0" y="0"/>
                      <a:ext cx="6136252" cy="3426801"/>
                    </a:xfrm>
                    <a:prstGeom prst="rect">
                      <a:avLst/>
                    </a:prstGeom>
                  </pic:spPr>
                </pic:pic>
              </a:graphicData>
            </a:graphic>
          </wp:inline>
        </w:drawing>
      </w:r>
    </w:p>
    <w:p w14:paraId="076A30BA" w14:textId="2CDF439C" w:rsidR="00016865" w:rsidRPr="008B2EDF" w:rsidRDefault="00016865" w:rsidP="004F17FF">
      <w:pPr>
        <w:spacing w:line="360" w:lineRule="auto"/>
        <w:jc w:val="both"/>
        <w:rPr>
          <w:rFonts w:ascii="Times New Roman" w:eastAsiaTheme="majorEastAsia" w:hAnsi="Times New Roman" w:cs="Times New Roman"/>
          <w:sz w:val="24"/>
          <w:szCs w:val="24"/>
        </w:rPr>
      </w:pPr>
      <w:r w:rsidRPr="008B2EDF">
        <w:rPr>
          <w:rFonts w:ascii="Times New Roman" w:eastAsiaTheme="majorEastAsia" w:hAnsi="Times New Roman" w:cs="Times New Roman"/>
          <w:sz w:val="24"/>
          <w:szCs w:val="24"/>
        </w:rPr>
        <w:t>This figure illustrates the key themes generated through thematic analysis of open-ended survey responses. The framework highlights five interconnected domains: invisible labour, career progression and structural barriers, job satisfaction and flexibility, recognition and performance evaluation, and gendered workplace experiences. These themes demonstrate how part-time employment status interacts with organisational structures and gendered expectations to shape experiences of recognition, progression, and workplace inequality. The diagram visually supports the integration of qualitative findings within the broader mixed-methods research design, strengthening triangulation between statistical and thematic results.</w:t>
      </w:r>
    </w:p>
    <w:p w14:paraId="681FBAB3" w14:textId="77777777" w:rsidR="0048753B" w:rsidRPr="008B2EDF" w:rsidRDefault="0048753B" w:rsidP="004F17FF">
      <w:pPr>
        <w:spacing w:line="360" w:lineRule="auto"/>
        <w:jc w:val="both"/>
        <w:rPr>
          <w:rFonts w:ascii="Times New Roman" w:eastAsiaTheme="majorEastAsia" w:hAnsi="Times New Roman" w:cs="Times New Roman"/>
          <w:sz w:val="24"/>
          <w:szCs w:val="24"/>
        </w:rPr>
      </w:pPr>
    </w:p>
    <w:p w14:paraId="06C9D11D" w14:textId="77777777" w:rsidR="00136EFF" w:rsidRPr="008B2EDF" w:rsidRDefault="00136EFF" w:rsidP="004F17FF">
      <w:pPr>
        <w:spacing w:line="360" w:lineRule="auto"/>
        <w:jc w:val="both"/>
        <w:rPr>
          <w:rFonts w:ascii="Times New Roman" w:eastAsiaTheme="majorEastAsia" w:hAnsi="Times New Roman" w:cs="Times New Roman"/>
          <w:sz w:val="24"/>
          <w:szCs w:val="24"/>
        </w:rPr>
      </w:pPr>
    </w:p>
    <w:p w14:paraId="4288C99C" w14:textId="2EDDDA84" w:rsidR="004E209C" w:rsidRPr="008B2EDF" w:rsidRDefault="00503C6D" w:rsidP="004F17FF">
      <w:pPr>
        <w:pStyle w:val="Heading1"/>
        <w:spacing w:line="360" w:lineRule="auto"/>
        <w:jc w:val="both"/>
        <w:rPr>
          <w:rFonts w:ascii="Times New Roman" w:hAnsi="Times New Roman" w:cs="Times New Roman"/>
          <w:sz w:val="24"/>
          <w:szCs w:val="24"/>
        </w:rPr>
      </w:pPr>
      <w:bookmarkStart w:id="55" w:name="_Toc228970950"/>
      <w:r w:rsidRPr="008B2EDF">
        <w:rPr>
          <w:rFonts w:ascii="Times New Roman" w:hAnsi="Times New Roman" w:cs="Times New Roman"/>
          <w:sz w:val="24"/>
          <w:szCs w:val="24"/>
        </w:rPr>
        <w:t>7</w:t>
      </w:r>
      <w:r w:rsidR="001E31D9" w:rsidRPr="008B2EDF">
        <w:rPr>
          <w:rFonts w:ascii="Times New Roman" w:hAnsi="Times New Roman" w:cs="Times New Roman"/>
          <w:sz w:val="24"/>
          <w:szCs w:val="24"/>
        </w:rPr>
        <w:t>.0</w:t>
      </w:r>
      <w:r w:rsidR="00D22044" w:rsidRPr="008B2EDF">
        <w:rPr>
          <w:rFonts w:ascii="Times New Roman" w:hAnsi="Times New Roman" w:cs="Times New Roman"/>
          <w:sz w:val="24"/>
          <w:szCs w:val="24"/>
        </w:rPr>
        <w:t xml:space="preserve"> </w:t>
      </w:r>
      <w:r w:rsidR="00863F6E" w:rsidRPr="008B2EDF">
        <w:rPr>
          <w:rFonts w:ascii="Times New Roman" w:hAnsi="Times New Roman" w:cs="Times New Roman"/>
          <w:sz w:val="24"/>
          <w:szCs w:val="24"/>
        </w:rPr>
        <w:t>Discussion</w:t>
      </w:r>
      <w:bookmarkEnd w:id="55"/>
      <w:r w:rsidR="00D22044" w:rsidRPr="008B2EDF">
        <w:rPr>
          <w:rFonts w:ascii="Times New Roman" w:hAnsi="Times New Roman" w:cs="Times New Roman"/>
          <w:sz w:val="24"/>
          <w:szCs w:val="24"/>
        </w:rPr>
        <w:t xml:space="preserve"> </w:t>
      </w:r>
      <w:r w:rsidR="00294EE4" w:rsidRPr="008B2EDF">
        <w:rPr>
          <w:rFonts w:ascii="Times New Roman" w:hAnsi="Times New Roman" w:cs="Times New Roman"/>
          <w:sz w:val="24"/>
          <w:szCs w:val="24"/>
        </w:rPr>
        <w:t xml:space="preserve"> </w:t>
      </w:r>
    </w:p>
    <w:p w14:paraId="6015DB93" w14:textId="77777777" w:rsidR="00294EE4" w:rsidRPr="008B2EDF" w:rsidRDefault="00294EE4" w:rsidP="004F17FF">
      <w:pPr>
        <w:spacing w:line="360" w:lineRule="auto"/>
        <w:jc w:val="both"/>
        <w:rPr>
          <w:rFonts w:ascii="Times New Roman" w:hAnsi="Times New Roman" w:cs="Times New Roman"/>
          <w:sz w:val="24"/>
          <w:szCs w:val="24"/>
        </w:rPr>
      </w:pPr>
    </w:p>
    <w:p w14:paraId="30AFC19E" w14:textId="7C0F93F6" w:rsidR="00372E66" w:rsidRPr="008B2EDF" w:rsidRDefault="00865F9E" w:rsidP="004F17FF">
      <w:pPr>
        <w:spacing w:line="360" w:lineRule="auto"/>
        <w:jc w:val="both"/>
        <w:rPr>
          <w:rFonts w:ascii="Times New Roman" w:hAnsi="Times New Roman" w:cs="Times New Roman"/>
          <w:sz w:val="24"/>
          <w:szCs w:val="24"/>
        </w:rPr>
      </w:pPr>
      <w:r w:rsidRPr="008B2EDF">
        <w:rPr>
          <w:rFonts w:ascii="Times New Roman" w:hAnsi="Times New Roman" w:cs="Times New Roman"/>
          <w:sz w:val="24"/>
          <w:szCs w:val="24"/>
        </w:rPr>
        <w:t>This section interprets the findings presented in Section 6 in relation to the research objectives and the theoretical frameworks underpinning the study, including Human Capital Theory, Equity Theory, and Work–Life Balance Theory. It also situates the results within existing literature to explain how structural, organisational, and gendered factors shape the career experiences of part-time women in UK warehousing.</w:t>
      </w:r>
      <w:r w:rsidR="00372E66" w:rsidRPr="008B2EDF">
        <w:rPr>
          <w:rFonts w:ascii="Times New Roman" w:hAnsi="Times New Roman" w:cs="Times New Roman"/>
          <w:sz w:val="24"/>
          <w:szCs w:val="24"/>
        </w:rPr>
        <w:t xml:space="preserve"> Gender and part-time status intersect to </w:t>
      </w:r>
      <w:r w:rsidR="00372E66" w:rsidRPr="008B2EDF">
        <w:rPr>
          <w:rFonts w:ascii="Times New Roman" w:hAnsi="Times New Roman" w:cs="Times New Roman"/>
          <w:sz w:val="24"/>
          <w:szCs w:val="24"/>
        </w:rPr>
        <w:lastRenderedPageBreak/>
        <w:t xml:space="preserve">reinforce inequities, creating compounded disadvantages in recognition and advancement (Liu </w:t>
      </w:r>
      <w:r w:rsidR="00570CA8" w:rsidRPr="008B2EDF">
        <w:rPr>
          <w:rFonts w:ascii="Times New Roman" w:hAnsi="Times New Roman" w:cs="Times New Roman"/>
          <w:i/>
          <w:sz w:val="24"/>
          <w:szCs w:val="24"/>
        </w:rPr>
        <w:t>et al.</w:t>
      </w:r>
      <w:r w:rsidR="00A760B4" w:rsidRPr="008B2EDF">
        <w:rPr>
          <w:rFonts w:ascii="Times New Roman" w:hAnsi="Times New Roman" w:cs="Times New Roman"/>
          <w:i/>
          <w:sz w:val="24"/>
          <w:szCs w:val="24"/>
        </w:rPr>
        <w:t>,</w:t>
      </w:r>
      <w:r w:rsidR="00372E66" w:rsidRPr="008B2EDF">
        <w:rPr>
          <w:rFonts w:ascii="Times New Roman" w:hAnsi="Times New Roman" w:cs="Times New Roman"/>
          <w:sz w:val="24"/>
          <w:szCs w:val="24"/>
        </w:rPr>
        <w:t xml:space="preserve"> 2024). </w:t>
      </w:r>
    </w:p>
    <w:p w14:paraId="271979CD" w14:textId="77777777" w:rsidR="00F547A5" w:rsidRDefault="00F547A5" w:rsidP="001E31D9">
      <w:pPr>
        <w:pStyle w:val="Heading2"/>
        <w:rPr>
          <w:rFonts w:ascii="Times New Roman" w:hAnsi="Times New Roman" w:cs="Times New Roman"/>
          <w:color w:val="156082" w:themeColor="accent1"/>
          <w:sz w:val="24"/>
          <w:szCs w:val="24"/>
        </w:rPr>
      </w:pPr>
      <w:bookmarkStart w:id="56" w:name="_Toc228970951"/>
      <w:r w:rsidRPr="008B2EDF">
        <w:rPr>
          <w:rFonts w:ascii="Times New Roman" w:hAnsi="Times New Roman" w:cs="Times New Roman"/>
          <w:color w:val="156082" w:themeColor="accent1"/>
          <w:sz w:val="24"/>
          <w:szCs w:val="24"/>
        </w:rPr>
        <w:t>7.1 Employment Structure, Recognition and Career Progression</w:t>
      </w:r>
      <w:bookmarkEnd w:id="56"/>
    </w:p>
    <w:p w14:paraId="7E6BDB5D" w14:textId="77777777" w:rsidR="00101756" w:rsidRPr="00101756" w:rsidRDefault="00101756" w:rsidP="00101756"/>
    <w:p w14:paraId="176287EA" w14:textId="77777777" w:rsidR="00F547A5" w:rsidRPr="008B2EDF" w:rsidRDefault="00F547A5" w:rsidP="001E31D9">
      <w:pPr>
        <w:spacing w:line="360" w:lineRule="auto"/>
        <w:jc w:val="both"/>
        <w:rPr>
          <w:rFonts w:ascii="Times New Roman" w:eastAsiaTheme="majorEastAsia" w:hAnsi="Times New Roman" w:cs="Times New Roman"/>
          <w:sz w:val="24"/>
          <w:szCs w:val="24"/>
        </w:rPr>
      </w:pPr>
      <w:r w:rsidRPr="008B2EDF">
        <w:rPr>
          <w:rFonts w:ascii="Times New Roman" w:eastAsiaTheme="majorEastAsia" w:hAnsi="Times New Roman" w:cs="Times New Roman"/>
          <w:sz w:val="24"/>
          <w:szCs w:val="24"/>
        </w:rPr>
        <w:t>The findings indicate that employment structure, particularly part-time status and working hours, is the strongest determinant of perceived recognition and career progression. The Chi-square test showed a significant association between employment status and recognition (χ² = 12.45, p = 0.001), while Pearson correlation demonstrated a moderate positive relationship between working hours and perceived access to promotion (r = 0.42, p = 0.002).</w:t>
      </w:r>
    </w:p>
    <w:p w14:paraId="3A04D8B3" w14:textId="77777777" w:rsidR="00F547A5" w:rsidRPr="008B2EDF" w:rsidRDefault="00F547A5" w:rsidP="001E31D9">
      <w:pPr>
        <w:spacing w:line="360" w:lineRule="auto"/>
        <w:jc w:val="both"/>
        <w:rPr>
          <w:rFonts w:ascii="Times New Roman" w:eastAsiaTheme="majorEastAsia" w:hAnsi="Times New Roman" w:cs="Times New Roman"/>
          <w:sz w:val="24"/>
          <w:szCs w:val="24"/>
        </w:rPr>
      </w:pPr>
      <w:r w:rsidRPr="008B2EDF">
        <w:rPr>
          <w:rFonts w:ascii="Times New Roman" w:eastAsiaTheme="majorEastAsia" w:hAnsi="Times New Roman" w:cs="Times New Roman"/>
          <w:sz w:val="24"/>
          <w:szCs w:val="24"/>
        </w:rPr>
        <w:t>From a Human Capital Theory perspective, this suggests that individuals working longer hours are more likely to accumulate skills visibility and organisational exposure, which increases perceived promotion potential (CIPD, 2017). However, the findings also indicate that part-time workers are structurally disadvantaged in accessing these mechanisms, regardless of competence or contribution. This supports critiques of Human Capital Theory, which argue that it overemphasises individual investment while underestimating structural inequality (CIPD, 2017; Becker, 1993).</w:t>
      </w:r>
    </w:p>
    <w:p w14:paraId="66FA29CF" w14:textId="011D22B3" w:rsidR="00F547A5" w:rsidRPr="008B2EDF" w:rsidRDefault="00101756" w:rsidP="001E31D9">
      <w:pPr>
        <w:spacing w:line="360" w:lineRule="auto"/>
        <w:jc w:val="both"/>
        <w:rPr>
          <w:rFonts w:ascii="Times New Roman" w:eastAsiaTheme="majorEastAsia" w:hAnsi="Times New Roman" w:cs="Times New Roman"/>
          <w:sz w:val="24"/>
          <w:szCs w:val="24"/>
        </w:rPr>
      </w:pPr>
      <w:r>
        <w:rPr>
          <w:rFonts w:ascii="Times New Roman" w:eastAsiaTheme="majorEastAsia" w:hAnsi="Times New Roman" w:cs="Times New Roman"/>
          <w:sz w:val="24"/>
          <w:szCs w:val="24"/>
        </w:rPr>
        <w:t>Finally</w:t>
      </w:r>
      <w:r w:rsidR="00F547A5" w:rsidRPr="008B2EDF">
        <w:rPr>
          <w:rFonts w:ascii="Times New Roman" w:eastAsiaTheme="majorEastAsia" w:hAnsi="Times New Roman" w:cs="Times New Roman"/>
          <w:sz w:val="24"/>
          <w:szCs w:val="24"/>
        </w:rPr>
        <w:t>, the results suggest that recognition and progression are closely tied to working time rather than performance alone, reinforcing a structural hierarchy between full-time and part-time roles.</w:t>
      </w:r>
    </w:p>
    <w:p w14:paraId="393ED502" w14:textId="77777777" w:rsidR="002368C7" w:rsidRPr="008B2EDF" w:rsidRDefault="002368C7" w:rsidP="001E31D9">
      <w:pPr>
        <w:pStyle w:val="Heading2"/>
        <w:spacing w:line="360" w:lineRule="auto"/>
        <w:jc w:val="both"/>
        <w:rPr>
          <w:rFonts w:ascii="Times New Roman" w:hAnsi="Times New Roman" w:cs="Times New Roman"/>
          <w:color w:val="156082" w:themeColor="accent1"/>
          <w:sz w:val="24"/>
          <w:szCs w:val="24"/>
        </w:rPr>
      </w:pPr>
      <w:bookmarkStart w:id="57" w:name="_Toc228970952"/>
      <w:r w:rsidRPr="008B2EDF">
        <w:rPr>
          <w:rFonts w:ascii="Times New Roman" w:hAnsi="Times New Roman" w:cs="Times New Roman"/>
          <w:color w:val="156082" w:themeColor="accent1"/>
          <w:sz w:val="24"/>
          <w:szCs w:val="24"/>
        </w:rPr>
        <w:t>7.2 Invisible Labour and Organisational Value Systems</w:t>
      </w:r>
      <w:bookmarkEnd w:id="57"/>
    </w:p>
    <w:p w14:paraId="3A7E7895" w14:textId="77777777" w:rsidR="002368C7" w:rsidRPr="008B2EDF" w:rsidRDefault="002368C7" w:rsidP="001E31D9">
      <w:pPr>
        <w:spacing w:line="360" w:lineRule="auto"/>
        <w:jc w:val="both"/>
        <w:rPr>
          <w:rFonts w:ascii="Times New Roman" w:hAnsi="Times New Roman" w:cs="Times New Roman"/>
          <w:sz w:val="24"/>
          <w:szCs w:val="24"/>
        </w:rPr>
      </w:pPr>
      <w:r w:rsidRPr="008B2EDF">
        <w:rPr>
          <w:rFonts w:ascii="Times New Roman" w:hAnsi="Times New Roman" w:cs="Times New Roman"/>
          <w:sz w:val="24"/>
          <w:szCs w:val="24"/>
        </w:rPr>
        <w:t>The data shows that invisible labour is widespread, with high levels of participation in mentoring (31.1%), emotional support (25%), and covering additional duties (68.8%). However, only 31% of participants reported that these contributions were reflected in formal evaluations.</w:t>
      </w:r>
    </w:p>
    <w:p w14:paraId="20E4B137" w14:textId="77777777" w:rsidR="002368C7" w:rsidRPr="008B2EDF" w:rsidRDefault="002368C7" w:rsidP="001E31D9">
      <w:pPr>
        <w:spacing w:line="360" w:lineRule="auto"/>
        <w:jc w:val="both"/>
        <w:rPr>
          <w:rFonts w:ascii="Times New Roman" w:hAnsi="Times New Roman" w:cs="Times New Roman"/>
          <w:sz w:val="24"/>
          <w:szCs w:val="24"/>
        </w:rPr>
      </w:pPr>
      <w:r w:rsidRPr="008B2EDF">
        <w:rPr>
          <w:rFonts w:ascii="Times New Roman" w:hAnsi="Times New Roman" w:cs="Times New Roman"/>
          <w:sz w:val="24"/>
          <w:szCs w:val="24"/>
        </w:rPr>
        <w:t>This gap highlights a misalignment between actual work performed and what is formally recognised within organisational systems. From an Equity Theory perspective (Adams, 1965), this creates perceived imbalance, where employees contribute beyond formal expectations but do not receive equivalent recognition or reward. Such imbalance is associated with reduced motivation, lower job satisfaction, and weaker perceptions of fairness.</w:t>
      </w:r>
    </w:p>
    <w:p w14:paraId="006F5098" w14:textId="77777777" w:rsidR="002368C7" w:rsidRPr="008B2EDF" w:rsidRDefault="002368C7" w:rsidP="001E31D9">
      <w:pPr>
        <w:spacing w:line="360" w:lineRule="auto"/>
        <w:jc w:val="both"/>
        <w:rPr>
          <w:rFonts w:ascii="Times New Roman" w:hAnsi="Times New Roman" w:cs="Times New Roman"/>
          <w:sz w:val="24"/>
          <w:szCs w:val="24"/>
        </w:rPr>
      </w:pPr>
      <w:r w:rsidRPr="008B2EDF">
        <w:rPr>
          <w:rFonts w:ascii="Times New Roman" w:hAnsi="Times New Roman" w:cs="Times New Roman"/>
          <w:sz w:val="24"/>
          <w:szCs w:val="24"/>
        </w:rPr>
        <w:t xml:space="preserve">These findings align with existing literature on invisible labour, which argues that informal and emotional forms of work are systematically undervalued because they are not easily measurable within formal HR systems (Bolton, 2005; Hatton, 2017; Petitta and Ghezzi, 2025). </w:t>
      </w:r>
      <w:r w:rsidRPr="008B2EDF">
        <w:rPr>
          <w:rFonts w:ascii="Times New Roman" w:hAnsi="Times New Roman" w:cs="Times New Roman"/>
          <w:sz w:val="24"/>
          <w:szCs w:val="24"/>
        </w:rPr>
        <w:lastRenderedPageBreak/>
        <w:t>This reinforces the idea that organisational reward structures prioritise visible, measurable outputs over relational and supportive contributions.</w:t>
      </w:r>
    </w:p>
    <w:p w14:paraId="617FD6EC" w14:textId="77777777" w:rsidR="002368C7" w:rsidRPr="008B2EDF" w:rsidRDefault="002368C7" w:rsidP="002368C7">
      <w:pPr>
        <w:pStyle w:val="Heading2"/>
        <w:spacing w:line="360" w:lineRule="auto"/>
        <w:jc w:val="both"/>
        <w:rPr>
          <w:rFonts w:ascii="Times New Roman" w:hAnsi="Times New Roman" w:cs="Times New Roman"/>
          <w:color w:val="156082" w:themeColor="accent1"/>
          <w:sz w:val="24"/>
          <w:szCs w:val="24"/>
        </w:rPr>
      </w:pPr>
      <w:bookmarkStart w:id="58" w:name="_Toc228970953"/>
      <w:r w:rsidRPr="008B2EDF">
        <w:rPr>
          <w:rFonts w:ascii="Times New Roman" w:hAnsi="Times New Roman" w:cs="Times New Roman"/>
          <w:color w:val="156082" w:themeColor="accent1"/>
          <w:sz w:val="24"/>
          <w:szCs w:val="24"/>
        </w:rPr>
        <w:t>7.3 Structural Barriers and Work–Life Balance Constraints</w:t>
      </w:r>
      <w:bookmarkEnd w:id="58"/>
    </w:p>
    <w:p w14:paraId="006515B9" w14:textId="77777777" w:rsidR="002368C7" w:rsidRPr="008B2EDF" w:rsidRDefault="002368C7" w:rsidP="001E31D9">
      <w:pPr>
        <w:spacing w:line="360" w:lineRule="auto"/>
        <w:jc w:val="both"/>
        <w:rPr>
          <w:rFonts w:ascii="Times New Roman" w:eastAsiaTheme="majorEastAsia" w:hAnsi="Times New Roman" w:cs="Times New Roman"/>
          <w:sz w:val="24"/>
          <w:szCs w:val="24"/>
        </w:rPr>
      </w:pPr>
      <w:r w:rsidRPr="008B2EDF">
        <w:rPr>
          <w:rFonts w:ascii="Times New Roman" w:eastAsiaTheme="majorEastAsia" w:hAnsi="Times New Roman" w:cs="Times New Roman"/>
          <w:sz w:val="24"/>
          <w:szCs w:val="24"/>
        </w:rPr>
        <w:t>The findings show that structural factors such as shift patterns, training access, and workload distribution significantly influence career progression. Although 56% of respondents could request flexible shifts, 62% believed flexibility negatively affected promotion eligibility. Additionally, 43.8% identified insufficient working hours and lack of training opportunities as key barriers.</w:t>
      </w:r>
    </w:p>
    <w:p w14:paraId="40FF0298" w14:textId="77650BA5" w:rsidR="002368C7" w:rsidRPr="008B2EDF" w:rsidRDefault="002368C7" w:rsidP="001E31D9">
      <w:pPr>
        <w:spacing w:line="360" w:lineRule="auto"/>
        <w:jc w:val="both"/>
        <w:rPr>
          <w:rFonts w:ascii="Times New Roman" w:eastAsiaTheme="majorEastAsia" w:hAnsi="Times New Roman" w:cs="Times New Roman"/>
          <w:sz w:val="24"/>
          <w:szCs w:val="24"/>
        </w:rPr>
      </w:pPr>
      <w:r w:rsidRPr="008B2EDF">
        <w:rPr>
          <w:rFonts w:ascii="Times New Roman" w:eastAsiaTheme="majorEastAsia" w:hAnsi="Times New Roman" w:cs="Times New Roman"/>
          <w:sz w:val="24"/>
          <w:szCs w:val="24"/>
        </w:rPr>
        <w:t xml:space="preserve">Work–Life Balance Theory (Hildenbrand </w:t>
      </w:r>
      <w:r w:rsidR="00570CA8" w:rsidRPr="008B2EDF">
        <w:rPr>
          <w:rFonts w:ascii="Times New Roman" w:eastAsiaTheme="majorEastAsia" w:hAnsi="Times New Roman" w:cs="Times New Roman"/>
          <w:i/>
          <w:sz w:val="24"/>
          <w:szCs w:val="24"/>
        </w:rPr>
        <w:t>et al.</w:t>
      </w:r>
      <w:r w:rsidRPr="008B2EDF">
        <w:rPr>
          <w:rFonts w:ascii="Times New Roman" w:eastAsiaTheme="majorEastAsia" w:hAnsi="Times New Roman" w:cs="Times New Roman"/>
          <w:sz w:val="24"/>
          <w:szCs w:val="24"/>
        </w:rPr>
        <w:t>, 2023) helps explain this contradiction. While flexibility is designed to support employees with caregiving responsibilities, the results suggest it simultaneously restricts access to development opportunities. This creates a “flexibility paradox”, where reduced-hours work enables participation but limits advancement.</w:t>
      </w:r>
    </w:p>
    <w:p w14:paraId="12135764" w14:textId="5773C804" w:rsidR="002368C7" w:rsidRPr="008B2EDF" w:rsidRDefault="002368C7" w:rsidP="001E31D9">
      <w:pPr>
        <w:spacing w:line="360" w:lineRule="auto"/>
        <w:jc w:val="both"/>
        <w:rPr>
          <w:rFonts w:ascii="Times New Roman" w:eastAsiaTheme="majorEastAsia" w:hAnsi="Times New Roman" w:cs="Times New Roman"/>
          <w:sz w:val="24"/>
          <w:szCs w:val="24"/>
        </w:rPr>
      </w:pPr>
      <w:r w:rsidRPr="008B2EDF">
        <w:rPr>
          <w:rFonts w:ascii="Times New Roman" w:eastAsiaTheme="majorEastAsia" w:hAnsi="Times New Roman" w:cs="Times New Roman"/>
          <w:sz w:val="24"/>
          <w:szCs w:val="24"/>
        </w:rPr>
        <w:t xml:space="preserve">This supports prior research which argues that flexible working arrangements can unintentionally reinforce inequality when access to training, visibility, and career development is unevenly distributed (Kossek </w:t>
      </w:r>
      <w:r w:rsidR="00570CA8" w:rsidRPr="008B2EDF">
        <w:rPr>
          <w:rFonts w:ascii="Times New Roman" w:eastAsiaTheme="majorEastAsia" w:hAnsi="Times New Roman" w:cs="Times New Roman"/>
          <w:i/>
          <w:sz w:val="24"/>
          <w:szCs w:val="24"/>
        </w:rPr>
        <w:t>et al.</w:t>
      </w:r>
      <w:r w:rsidRPr="008B2EDF">
        <w:rPr>
          <w:rFonts w:ascii="Times New Roman" w:eastAsiaTheme="majorEastAsia" w:hAnsi="Times New Roman" w:cs="Times New Roman"/>
          <w:sz w:val="24"/>
          <w:szCs w:val="24"/>
        </w:rPr>
        <w:t xml:space="preserve">, 2023; Rydström </w:t>
      </w:r>
      <w:r w:rsidR="00570CA8" w:rsidRPr="008B2EDF">
        <w:rPr>
          <w:rFonts w:ascii="Times New Roman" w:eastAsiaTheme="majorEastAsia" w:hAnsi="Times New Roman" w:cs="Times New Roman"/>
          <w:i/>
          <w:sz w:val="24"/>
          <w:szCs w:val="24"/>
        </w:rPr>
        <w:t>et al.</w:t>
      </w:r>
      <w:r w:rsidRPr="008B2EDF">
        <w:rPr>
          <w:rFonts w:ascii="Times New Roman" w:eastAsiaTheme="majorEastAsia" w:hAnsi="Times New Roman" w:cs="Times New Roman"/>
          <w:sz w:val="24"/>
          <w:szCs w:val="24"/>
        </w:rPr>
        <w:t xml:space="preserve">, 2023; Sahni </w:t>
      </w:r>
      <w:r w:rsidR="00570CA8" w:rsidRPr="008B2EDF">
        <w:rPr>
          <w:rFonts w:ascii="Times New Roman" w:eastAsiaTheme="majorEastAsia" w:hAnsi="Times New Roman" w:cs="Times New Roman"/>
          <w:i/>
          <w:sz w:val="24"/>
          <w:szCs w:val="24"/>
        </w:rPr>
        <w:t>et al.</w:t>
      </w:r>
      <w:r w:rsidRPr="008B2EDF">
        <w:rPr>
          <w:rFonts w:ascii="Times New Roman" w:eastAsiaTheme="majorEastAsia" w:hAnsi="Times New Roman" w:cs="Times New Roman"/>
          <w:sz w:val="24"/>
          <w:szCs w:val="24"/>
        </w:rPr>
        <w:t>, 2025).</w:t>
      </w:r>
    </w:p>
    <w:p w14:paraId="61504941" w14:textId="77777777" w:rsidR="002368C7" w:rsidRPr="008B2EDF" w:rsidRDefault="002368C7" w:rsidP="001E31D9">
      <w:pPr>
        <w:pStyle w:val="Heading2"/>
        <w:rPr>
          <w:rFonts w:ascii="Times New Roman" w:hAnsi="Times New Roman" w:cs="Times New Roman"/>
          <w:color w:val="156082" w:themeColor="accent1"/>
          <w:sz w:val="24"/>
          <w:szCs w:val="24"/>
        </w:rPr>
      </w:pPr>
      <w:bookmarkStart w:id="59" w:name="_Toc228970954"/>
      <w:r w:rsidRPr="008B2EDF">
        <w:rPr>
          <w:rFonts w:ascii="Times New Roman" w:hAnsi="Times New Roman" w:cs="Times New Roman"/>
          <w:color w:val="156082" w:themeColor="accent1"/>
          <w:sz w:val="24"/>
          <w:szCs w:val="24"/>
        </w:rPr>
        <w:t>7.4 Gender, Part-Time Status and Indirect Inequality</w:t>
      </w:r>
      <w:bookmarkEnd w:id="59"/>
    </w:p>
    <w:p w14:paraId="601720DF" w14:textId="77777777" w:rsidR="002368C7" w:rsidRPr="008B2EDF" w:rsidRDefault="002368C7" w:rsidP="002368C7">
      <w:pPr>
        <w:spacing w:line="360" w:lineRule="auto"/>
        <w:jc w:val="both"/>
        <w:rPr>
          <w:rFonts w:ascii="Times New Roman" w:eastAsiaTheme="majorEastAsia" w:hAnsi="Times New Roman" w:cs="Times New Roman"/>
          <w:sz w:val="24"/>
          <w:szCs w:val="24"/>
        </w:rPr>
      </w:pPr>
      <w:r w:rsidRPr="008B2EDF">
        <w:rPr>
          <w:rFonts w:ascii="Times New Roman" w:eastAsiaTheme="majorEastAsia" w:hAnsi="Times New Roman" w:cs="Times New Roman"/>
          <w:sz w:val="24"/>
          <w:szCs w:val="24"/>
        </w:rPr>
        <w:t>Although 75% of participants reported that gender did not directly influence workplace treatment, qualitative responses revealed subtle but consistent patterns of exclusion, including reduced access to training and assumptions about lower commitment.</w:t>
      </w:r>
    </w:p>
    <w:p w14:paraId="7254F82E" w14:textId="77777777" w:rsidR="002368C7" w:rsidRPr="008B2EDF" w:rsidRDefault="002368C7" w:rsidP="002368C7">
      <w:pPr>
        <w:spacing w:line="360" w:lineRule="auto"/>
        <w:jc w:val="both"/>
        <w:rPr>
          <w:rFonts w:ascii="Times New Roman" w:eastAsiaTheme="majorEastAsia" w:hAnsi="Times New Roman" w:cs="Times New Roman"/>
          <w:sz w:val="24"/>
          <w:szCs w:val="24"/>
        </w:rPr>
      </w:pPr>
      <w:r w:rsidRPr="008B2EDF">
        <w:rPr>
          <w:rFonts w:ascii="Times New Roman" w:eastAsiaTheme="majorEastAsia" w:hAnsi="Times New Roman" w:cs="Times New Roman"/>
          <w:sz w:val="24"/>
          <w:szCs w:val="24"/>
        </w:rPr>
        <w:t>The absence of a statistically significant relationship between gender and perceived barriers (χ² = 2.17, p = 0.34) suggests that inequality is not primarily driven by direct gender discrimination in this dataset. Instead, inequality appears to operate through employment structure and working patterns.</w:t>
      </w:r>
    </w:p>
    <w:p w14:paraId="40C1EF80" w14:textId="77777777" w:rsidR="002368C7" w:rsidRPr="008B2EDF" w:rsidRDefault="002368C7" w:rsidP="002368C7">
      <w:pPr>
        <w:spacing w:line="360" w:lineRule="auto"/>
        <w:jc w:val="both"/>
        <w:rPr>
          <w:rFonts w:ascii="Times New Roman" w:eastAsiaTheme="majorEastAsia" w:hAnsi="Times New Roman" w:cs="Times New Roman"/>
          <w:sz w:val="24"/>
          <w:szCs w:val="24"/>
        </w:rPr>
      </w:pPr>
      <w:r w:rsidRPr="008B2EDF">
        <w:rPr>
          <w:rFonts w:ascii="Times New Roman" w:eastAsiaTheme="majorEastAsia" w:hAnsi="Times New Roman" w:cs="Times New Roman"/>
          <w:sz w:val="24"/>
          <w:szCs w:val="24"/>
        </w:rPr>
        <w:t>This aligns with Equity Theory (Adams, 1965), which suggests that fairness perceptions are shaped by organisational systems rather than individual identity alone. It also supports broader research highlighting that gender inequality increasingly operates through indirect and structural mechanisms rather than overt discrimination (Chung, 2024; Abendroth and Chung, 2022).</w:t>
      </w:r>
    </w:p>
    <w:p w14:paraId="586F550C" w14:textId="77777777" w:rsidR="00E0486D" w:rsidRPr="008B2EDF" w:rsidRDefault="00E0486D" w:rsidP="004F17FF">
      <w:pPr>
        <w:spacing w:line="360" w:lineRule="auto"/>
        <w:jc w:val="both"/>
        <w:rPr>
          <w:rFonts w:ascii="Times New Roman" w:hAnsi="Times New Roman" w:cs="Times New Roman"/>
          <w:sz w:val="24"/>
          <w:szCs w:val="24"/>
        </w:rPr>
      </w:pPr>
    </w:p>
    <w:p w14:paraId="0EEE85B2" w14:textId="77777777" w:rsidR="006C6585" w:rsidRPr="008B2EDF" w:rsidRDefault="006C6585" w:rsidP="001E31D9">
      <w:pPr>
        <w:pStyle w:val="Heading2"/>
        <w:rPr>
          <w:rFonts w:ascii="Times New Roman" w:hAnsi="Times New Roman" w:cs="Times New Roman"/>
          <w:color w:val="156082" w:themeColor="accent1"/>
          <w:sz w:val="24"/>
          <w:szCs w:val="24"/>
        </w:rPr>
      </w:pPr>
      <w:bookmarkStart w:id="60" w:name="_Toc228970955"/>
      <w:r w:rsidRPr="008B2EDF">
        <w:rPr>
          <w:rFonts w:ascii="Times New Roman" w:hAnsi="Times New Roman" w:cs="Times New Roman"/>
          <w:color w:val="156082" w:themeColor="accent1"/>
          <w:sz w:val="24"/>
          <w:szCs w:val="24"/>
        </w:rPr>
        <w:t>7.5 Age, Job Satisfaction and Work Experience</w:t>
      </w:r>
      <w:bookmarkEnd w:id="60"/>
    </w:p>
    <w:p w14:paraId="6F8BAB38" w14:textId="77777777" w:rsidR="006C6585" w:rsidRPr="008B2EDF" w:rsidRDefault="006C6585" w:rsidP="001E31D9">
      <w:pPr>
        <w:spacing w:line="360" w:lineRule="auto"/>
        <w:jc w:val="both"/>
        <w:rPr>
          <w:rFonts w:ascii="Times New Roman" w:eastAsiaTheme="majorEastAsia" w:hAnsi="Times New Roman" w:cs="Times New Roman"/>
          <w:sz w:val="24"/>
          <w:szCs w:val="24"/>
        </w:rPr>
      </w:pPr>
      <w:r w:rsidRPr="008B2EDF">
        <w:rPr>
          <w:rFonts w:ascii="Times New Roman" w:eastAsiaTheme="majorEastAsia" w:hAnsi="Times New Roman" w:cs="Times New Roman"/>
          <w:sz w:val="24"/>
          <w:szCs w:val="24"/>
        </w:rPr>
        <w:t>The ANOVA results showed that age significantly affects job satisfaction with work schedules (F(4,115) = 3.68, p = 0.008), with the highest satisfaction reported among the 35–44 age group.</w:t>
      </w:r>
    </w:p>
    <w:p w14:paraId="5C346DF7" w14:textId="77777777" w:rsidR="006C6585" w:rsidRPr="008B2EDF" w:rsidRDefault="006C6585" w:rsidP="001E31D9">
      <w:pPr>
        <w:spacing w:line="360" w:lineRule="auto"/>
        <w:jc w:val="both"/>
        <w:rPr>
          <w:rFonts w:ascii="Times New Roman" w:eastAsiaTheme="majorEastAsia" w:hAnsi="Times New Roman" w:cs="Times New Roman"/>
          <w:sz w:val="24"/>
          <w:szCs w:val="24"/>
        </w:rPr>
      </w:pPr>
      <w:r w:rsidRPr="008B2EDF">
        <w:rPr>
          <w:rFonts w:ascii="Times New Roman" w:eastAsiaTheme="majorEastAsia" w:hAnsi="Times New Roman" w:cs="Times New Roman"/>
          <w:sz w:val="24"/>
          <w:szCs w:val="24"/>
        </w:rPr>
        <w:lastRenderedPageBreak/>
        <w:t>This suggests that job satisfaction is influenced by life-stage adaptation and changing expectations regarding work–life balance. Older workers may have more stable routines or greater acceptance of scheduling constraints, whereas younger employees may experience stronger misalignment between expectations and workplace realities.</w:t>
      </w:r>
    </w:p>
    <w:p w14:paraId="626B88DA" w14:textId="77777777" w:rsidR="006C6585" w:rsidRPr="008B2EDF" w:rsidRDefault="006C6585" w:rsidP="001E31D9">
      <w:pPr>
        <w:spacing w:line="360" w:lineRule="auto"/>
        <w:jc w:val="both"/>
        <w:rPr>
          <w:rFonts w:ascii="Times New Roman" w:eastAsiaTheme="majorEastAsia" w:hAnsi="Times New Roman" w:cs="Times New Roman"/>
          <w:sz w:val="24"/>
          <w:szCs w:val="24"/>
        </w:rPr>
      </w:pPr>
      <w:r w:rsidRPr="008B2EDF">
        <w:rPr>
          <w:rFonts w:ascii="Times New Roman" w:eastAsiaTheme="majorEastAsia" w:hAnsi="Times New Roman" w:cs="Times New Roman"/>
          <w:sz w:val="24"/>
          <w:szCs w:val="24"/>
        </w:rPr>
        <w:t>However, tenure was not significantly associated with perceptions of fairness (F(5,114) = 1.24, p = 0.29), indicating that length of service does not improve perceptions of organisational justice. This reinforces the idea that structural employment conditions outweigh experience in shaping fairness perceptions (Rubery and Fagan, 2020; Chung, 2024).</w:t>
      </w:r>
    </w:p>
    <w:p w14:paraId="21B6E9F0" w14:textId="77777777" w:rsidR="006C6585" w:rsidRPr="008B2EDF" w:rsidRDefault="006C6585" w:rsidP="001E31D9">
      <w:pPr>
        <w:pStyle w:val="Heading2"/>
        <w:spacing w:line="360" w:lineRule="auto"/>
        <w:jc w:val="both"/>
        <w:rPr>
          <w:rFonts w:ascii="Times New Roman" w:hAnsi="Times New Roman" w:cs="Times New Roman"/>
          <w:color w:val="156082" w:themeColor="accent1"/>
          <w:sz w:val="24"/>
          <w:szCs w:val="24"/>
        </w:rPr>
      </w:pPr>
      <w:bookmarkStart w:id="61" w:name="_Toc228970956"/>
      <w:r w:rsidRPr="008B2EDF">
        <w:rPr>
          <w:rFonts w:ascii="Times New Roman" w:hAnsi="Times New Roman" w:cs="Times New Roman"/>
          <w:color w:val="156082" w:themeColor="accent1"/>
          <w:sz w:val="24"/>
          <w:szCs w:val="24"/>
        </w:rPr>
        <w:t>7.6 Integration of Theoretical Frameworks</w:t>
      </w:r>
      <w:bookmarkEnd w:id="61"/>
    </w:p>
    <w:p w14:paraId="01396CED" w14:textId="77777777" w:rsidR="006C6585" w:rsidRPr="008B2EDF" w:rsidRDefault="006C6585" w:rsidP="001E31D9">
      <w:pPr>
        <w:spacing w:line="360" w:lineRule="auto"/>
        <w:jc w:val="both"/>
        <w:rPr>
          <w:rFonts w:ascii="Times New Roman" w:eastAsiaTheme="majorEastAsia" w:hAnsi="Times New Roman" w:cs="Times New Roman"/>
          <w:sz w:val="24"/>
          <w:szCs w:val="24"/>
        </w:rPr>
      </w:pPr>
      <w:r w:rsidRPr="008B2EDF">
        <w:rPr>
          <w:rFonts w:ascii="Times New Roman" w:eastAsiaTheme="majorEastAsia" w:hAnsi="Times New Roman" w:cs="Times New Roman"/>
          <w:sz w:val="24"/>
          <w:szCs w:val="24"/>
        </w:rPr>
        <w:t>When considered together, the findings demonstrate consistent patterns across the three theoretical frameworks:</w:t>
      </w:r>
    </w:p>
    <w:p w14:paraId="13147BEE" w14:textId="77777777" w:rsidR="006C6585" w:rsidRPr="008B2EDF" w:rsidRDefault="006C6585" w:rsidP="001E31D9">
      <w:pPr>
        <w:spacing w:line="360" w:lineRule="auto"/>
        <w:jc w:val="both"/>
        <w:rPr>
          <w:rFonts w:ascii="Times New Roman" w:eastAsiaTheme="majorEastAsia" w:hAnsi="Times New Roman" w:cs="Times New Roman"/>
          <w:sz w:val="24"/>
          <w:szCs w:val="24"/>
        </w:rPr>
      </w:pPr>
      <w:r w:rsidRPr="008B2EDF">
        <w:rPr>
          <w:rFonts w:ascii="Times New Roman" w:eastAsiaTheme="majorEastAsia" w:hAnsi="Times New Roman" w:cs="Times New Roman"/>
          <w:b/>
          <w:bCs/>
          <w:sz w:val="24"/>
          <w:szCs w:val="24"/>
        </w:rPr>
        <w:t>Human Capital Theory (Becker, 1993):</w:t>
      </w:r>
      <w:r w:rsidRPr="008B2EDF">
        <w:rPr>
          <w:rFonts w:ascii="Times New Roman" w:eastAsiaTheme="majorEastAsia" w:hAnsi="Times New Roman" w:cs="Times New Roman"/>
          <w:sz w:val="24"/>
          <w:szCs w:val="24"/>
        </w:rPr>
        <w:t xml:space="preserve"> Working hours and visibility influence perceived career progression, but structural constraints limit equal opportunity for part-time workers. </w:t>
      </w:r>
    </w:p>
    <w:p w14:paraId="13E321A9" w14:textId="77777777" w:rsidR="006C6585" w:rsidRPr="008B2EDF" w:rsidRDefault="006C6585" w:rsidP="001E31D9">
      <w:pPr>
        <w:spacing w:line="360" w:lineRule="auto"/>
        <w:jc w:val="both"/>
        <w:rPr>
          <w:rFonts w:ascii="Times New Roman" w:eastAsiaTheme="majorEastAsia" w:hAnsi="Times New Roman" w:cs="Times New Roman"/>
          <w:sz w:val="24"/>
          <w:szCs w:val="24"/>
        </w:rPr>
      </w:pPr>
      <w:r w:rsidRPr="008B2EDF">
        <w:rPr>
          <w:rFonts w:ascii="Times New Roman" w:eastAsiaTheme="majorEastAsia" w:hAnsi="Times New Roman" w:cs="Times New Roman"/>
          <w:b/>
          <w:bCs/>
          <w:sz w:val="24"/>
          <w:szCs w:val="24"/>
        </w:rPr>
        <w:t>Equity Theory (Adams, 1965):</w:t>
      </w:r>
      <w:r w:rsidRPr="008B2EDF">
        <w:rPr>
          <w:rFonts w:ascii="Times New Roman" w:eastAsiaTheme="majorEastAsia" w:hAnsi="Times New Roman" w:cs="Times New Roman"/>
          <w:sz w:val="24"/>
          <w:szCs w:val="24"/>
        </w:rPr>
        <w:t xml:space="preserve"> Discrepancies between effort (including invisible labour) and reward create perceptions of unfairness and reduced motivation. </w:t>
      </w:r>
    </w:p>
    <w:p w14:paraId="0B8EFC9B" w14:textId="4AF1AA24" w:rsidR="006C6585" w:rsidRPr="008B2EDF" w:rsidRDefault="006C6585" w:rsidP="001E31D9">
      <w:pPr>
        <w:spacing w:line="360" w:lineRule="auto"/>
        <w:jc w:val="both"/>
        <w:rPr>
          <w:rFonts w:ascii="Times New Roman" w:eastAsiaTheme="majorEastAsia" w:hAnsi="Times New Roman" w:cs="Times New Roman"/>
          <w:sz w:val="24"/>
          <w:szCs w:val="24"/>
        </w:rPr>
      </w:pPr>
      <w:r w:rsidRPr="008B2EDF">
        <w:rPr>
          <w:rFonts w:ascii="Times New Roman" w:eastAsiaTheme="majorEastAsia" w:hAnsi="Times New Roman" w:cs="Times New Roman"/>
          <w:b/>
          <w:bCs/>
          <w:sz w:val="24"/>
          <w:szCs w:val="24"/>
        </w:rPr>
        <w:t xml:space="preserve">Work–Life Balance Theory (Hildenbrand </w:t>
      </w:r>
      <w:r w:rsidR="00570CA8" w:rsidRPr="008B2EDF">
        <w:rPr>
          <w:rFonts w:ascii="Times New Roman" w:eastAsiaTheme="majorEastAsia" w:hAnsi="Times New Roman" w:cs="Times New Roman"/>
          <w:b/>
          <w:bCs/>
          <w:i/>
          <w:sz w:val="24"/>
          <w:szCs w:val="24"/>
        </w:rPr>
        <w:t>et al.</w:t>
      </w:r>
      <w:r w:rsidRPr="008B2EDF">
        <w:rPr>
          <w:rFonts w:ascii="Times New Roman" w:eastAsiaTheme="majorEastAsia" w:hAnsi="Times New Roman" w:cs="Times New Roman"/>
          <w:b/>
          <w:bCs/>
          <w:sz w:val="24"/>
          <w:szCs w:val="24"/>
        </w:rPr>
        <w:t>, 2023):</w:t>
      </w:r>
      <w:r w:rsidRPr="008B2EDF">
        <w:rPr>
          <w:rFonts w:ascii="Times New Roman" w:eastAsiaTheme="majorEastAsia" w:hAnsi="Times New Roman" w:cs="Times New Roman"/>
          <w:sz w:val="24"/>
          <w:szCs w:val="24"/>
        </w:rPr>
        <w:t xml:space="preserve"> Flexibility enables workforce participation but produces trade-offs that restrict advancement opportunities. </w:t>
      </w:r>
    </w:p>
    <w:p w14:paraId="077D803B" w14:textId="0D1D03C4" w:rsidR="006C6585" w:rsidRPr="008B2EDF" w:rsidRDefault="006C6585" w:rsidP="001E31D9">
      <w:pPr>
        <w:spacing w:line="360" w:lineRule="auto"/>
        <w:jc w:val="both"/>
        <w:rPr>
          <w:rFonts w:ascii="Times New Roman" w:hAnsi="Times New Roman" w:cs="Times New Roman"/>
          <w:sz w:val="24"/>
          <w:szCs w:val="24"/>
        </w:rPr>
      </w:pPr>
      <w:r w:rsidRPr="008B2EDF">
        <w:rPr>
          <w:rFonts w:ascii="Times New Roman" w:eastAsiaTheme="majorEastAsia" w:hAnsi="Times New Roman" w:cs="Times New Roman"/>
          <w:sz w:val="24"/>
          <w:szCs w:val="24"/>
        </w:rPr>
        <w:t xml:space="preserve">Together, these frameworks suggest that part-time employment in warehousing is not merely a reduced-hours </w:t>
      </w:r>
      <w:r w:rsidR="001E31D9" w:rsidRPr="008B2EDF">
        <w:rPr>
          <w:rFonts w:ascii="Times New Roman" w:eastAsiaTheme="majorEastAsia" w:hAnsi="Times New Roman" w:cs="Times New Roman"/>
          <w:sz w:val="24"/>
          <w:szCs w:val="24"/>
        </w:rPr>
        <w:t>arrangement,</w:t>
      </w:r>
      <w:r w:rsidRPr="008B2EDF">
        <w:rPr>
          <w:rFonts w:ascii="Times New Roman" w:eastAsiaTheme="majorEastAsia" w:hAnsi="Times New Roman" w:cs="Times New Roman"/>
          <w:sz w:val="24"/>
          <w:szCs w:val="24"/>
        </w:rPr>
        <w:t xml:space="preserve"> but a structurally embedded position associated with lower organisational visibility, reduced recognition, and constrained mobility.</w:t>
      </w:r>
    </w:p>
    <w:p w14:paraId="2FFF97B0" w14:textId="77777777" w:rsidR="00F07E86" w:rsidRPr="008B2EDF" w:rsidRDefault="00F07E86" w:rsidP="001E31D9">
      <w:pPr>
        <w:pStyle w:val="Heading2"/>
        <w:spacing w:line="360" w:lineRule="auto"/>
        <w:jc w:val="both"/>
        <w:rPr>
          <w:rFonts w:ascii="Times New Roman" w:hAnsi="Times New Roman" w:cs="Times New Roman"/>
          <w:sz w:val="24"/>
          <w:szCs w:val="24"/>
        </w:rPr>
      </w:pPr>
      <w:bookmarkStart w:id="62" w:name="_Toc228970957"/>
      <w:r w:rsidRPr="008B2EDF">
        <w:rPr>
          <w:rFonts w:ascii="Times New Roman" w:hAnsi="Times New Roman" w:cs="Times New Roman"/>
          <w:sz w:val="24"/>
          <w:szCs w:val="24"/>
        </w:rPr>
        <w:t>7.7 Summary of Key Interpretive Insights</w:t>
      </w:r>
      <w:bookmarkEnd w:id="62"/>
    </w:p>
    <w:p w14:paraId="7B6B129A" w14:textId="3BF124FC" w:rsidR="00F07E86" w:rsidRPr="008B2EDF" w:rsidRDefault="00276CF2" w:rsidP="001E31D9">
      <w:p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00F07E86" w:rsidRPr="008B2EDF">
        <w:rPr>
          <w:rFonts w:ascii="Times New Roman" w:hAnsi="Times New Roman" w:cs="Times New Roman"/>
          <w:sz w:val="24"/>
          <w:szCs w:val="24"/>
        </w:rPr>
        <w:t>he findings demonstrate that:</w:t>
      </w:r>
    </w:p>
    <w:p w14:paraId="55B58BB7" w14:textId="77777777" w:rsidR="00F07E86" w:rsidRPr="008B2EDF" w:rsidRDefault="00F07E86" w:rsidP="001E31D9">
      <w:pPr>
        <w:numPr>
          <w:ilvl w:val="0"/>
          <w:numId w:val="33"/>
        </w:numPr>
        <w:spacing w:line="360" w:lineRule="auto"/>
        <w:jc w:val="both"/>
        <w:rPr>
          <w:rFonts w:ascii="Times New Roman" w:hAnsi="Times New Roman" w:cs="Times New Roman"/>
          <w:sz w:val="24"/>
          <w:szCs w:val="24"/>
        </w:rPr>
      </w:pPr>
      <w:r w:rsidRPr="008B2EDF">
        <w:rPr>
          <w:rFonts w:ascii="Times New Roman" w:hAnsi="Times New Roman" w:cs="Times New Roman"/>
          <w:sz w:val="24"/>
          <w:szCs w:val="24"/>
        </w:rPr>
        <w:t xml:space="preserve">Employment structure is more influential than gender in shaping career outcomes (χ² = 2.17, p = 0.34) </w:t>
      </w:r>
    </w:p>
    <w:p w14:paraId="30BDC95E" w14:textId="77777777" w:rsidR="00F07E86" w:rsidRPr="008B2EDF" w:rsidRDefault="00F07E86" w:rsidP="001E31D9">
      <w:pPr>
        <w:numPr>
          <w:ilvl w:val="0"/>
          <w:numId w:val="33"/>
        </w:numPr>
        <w:spacing w:line="360" w:lineRule="auto"/>
        <w:jc w:val="both"/>
        <w:rPr>
          <w:rFonts w:ascii="Times New Roman" w:hAnsi="Times New Roman" w:cs="Times New Roman"/>
          <w:sz w:val="24"/>
          <w:szCs w:val="24"/>
        </w:rPr>
      </w:pPr>
      <w:r w:rsidRPr="008B2EDF">
        <w:rPr>
          <w:rFonts w:ascii="Times New Roman" w:hAnsi="Times New Roman" w:cs="Times New Roman"/>
          <w:sz w:val="24"/>
          <w:szCs w:val="24"/>
        </w:rPr>
        <w:t xml:space="preserve">Invisible labour is extensive but systematically undervalued </w:t>
      </w:r>
    </w:p>
    <w:p w14:paraId="7BE2E579" w14:textId="77777777" w:rsidR="00F07E86" w:rsidRPr="008B2EDF" w:rsidRDefault="00F07E86" w:rsidP="001E31D9">
      <w:pPr>
        <w:numPr>
          <w:ilvl w:val="0"/>
          <w:numId w:val="33"/>
        </w:numPr>
        <w:spacing w:line="360" w:lineRule="auto"/>
        <w:jc w:val="both"/>
        <w:rPr>
          <w:rFonts w:ascii="Times New Roman" w:hAnsi="Times New Roman" w:cs="Times New Roman"/>
          <w:sz w:val="24"/>
          <w:szCs w:val="24"/>
        </w:rPr>
      </w:pPr>
      <w:r w:rsidRPr="008B2EDF">
        <w:rPr>
          <w:rFonts w:ascii="Times New Roman" w:hAnsi="Times New Roman" w:cs="Times New Roman"/>
          <w:sz w:val="24"/>
          <w:szCs w:val="24"/>
        </w:rPr>
        <w:t xml:space="preserve">Flexibility produces both opportunity and constraint (62% report negative impact on promotion eligibility) </w:t>
      </w:r>
    </w:p>
    <w:p w14:paraId="4A8A5A5A" w14:textId="77777777" w:rsidR="00F07E86" w:rsidRPr="008B2EDF" w:rsidRDefault="00F07E86" w:rsidP="001E31D9">
      <w:pPr>
        <w:numPr>
          <w:ilvl w:val="0"/>
          <w:numId w:val="33"/>
        </w:numPr>
        <w:spacing w:line="360" w:lineRule="auto"/>
        <w:jc w:val="both"/>
        <w:rPr>
          <w:rFonts w:ascii="Times New Roman" w:hAnsi="Times New Roman" w:cs="Times New Roman"/>
          <w:sz w:val="24"/>
          <w:szCs w:val="24"/>
        </w:rPr>
      </w:pPr>
      <w:r w:rsidRPr="008B2EDF">
        <w:rPr>
          <w:rFonts w:ascii="Times New Roman" w:hAnsi="Times New Roman" w:cs="Times New Roman"/>
          <w:sz w:val="24"/>
          <w:szCs w:val="24"/>
        </w:rPr>
        <w:t xml:space="preserve">Recognition systems favour full-time working patterns (χ² = 12.45, p = 0.001) </w:t>
      </w:r>
    </w:p>
    <w:p w14:paraId="38B9113A" w14:textId="77777777" w:rsidR="00F07E86" w:rsidRPr="008B2EDF" w:rsidRDefault="00F07E86" w:rsidP="001E31D9">
      <w:pPr>
        <w:numPr>
          <w:ilvl w:val="0"/>
          <w:numId w:val="33"/>
        </w:numPr>
        <w:spacing w:line="360" w:lineRule="auto"/>
        <w:jc w:val="both"/>
        <w:rPr>
          <w:rFonts w:ascii="Times New Roman" w:hAnsi="Times New Roman" w:cs="Times New Roman"/>
          <w:sz w:val="24"/>
          <w:szCs w:val="24"/>
        </w:rPr>
      </w:pPr>
      <w:r w:rsidRPr="008B2EDF">
        <w:rPr>
          <w:rFonts w:ascii="Times New Roman" w:hAnsi="Times New Roman" w:cs="Times New Roman"/>
          <w:sz w:val="24"/>
          <w:szCs w:val="24"/>
        </w:rPr>
        <w:t xml:space="preserve">Inequality operates structurally rather than solely through direct discrimination </w:t>
      </w:r>
    </w:p>
    <w:p w14:paraId="2ED6B271" w14:textId="77777777" w:rsidR="00F07E86" w:rsidRPr="008B2EDF" w:rsidRDefault="00F07E86" w:rsidP="001E31D9">
      <w:pPr>
        <w:spacing w:line="360" w:lineRule="auto"/>
        <w:jc w:val="both"/>
        <w:rPr>
          <w:rFonts w:ascii="Times New Roman" w:hAnsi="Times New Roman" w:cs="Times New Roman"/>
          <w:sz w:val="24"/>
          <w:szCs w:val="24"/>
        </w:rPr>
      </w:pPr>
      <w:r w:rsidRPr="008B2EDF">
        <w:rPr>
          <w:rFonts w:ascii="Times New Roman" w:hAnsi="Times New Roman" w:cs="Times New Roman"/>
          <w:sz w:val="24"/>
          <w:szCs w:val="24"/>
        </w:rPr>
        <w:t>These results collectively indicate that organisational systems, rather than individual capability, are central in shaping the career trajectories of part-time women in warehousing.</w:t>
      </w:r>
    </w:p>
    <w:p w14:paraId="69392883" w14:textId="77777777" w:rsidR="00F07E86" w:rsidRPr="008B2EDF" w:rsidRDefault="00F07E86" w:rsidP="001E31D9">
      <w:pPr>
        <w:spacing w:line="360" w:lineRule="auto"/>
        <w:jc w:val="both"/>
        <w:rPr>
          <w:rFonts w:ascii="Times New Roman" w:hAnsi="Times New Roman" w:cs="Times New Roman"/>
          <w:sz w:val="24"/>
          <w:szCs w:val="24"/>
        </w:rPr>
      </w:pPr>
    </w:p>
    <w:p w14:paraId="0C3C9B56" w14:textId="0464449B" w:rsidR="00372E66" w:rsidRPr="008B2EDF" w:rsidRDefault="00503C6D" w:rsidP="001E31D9">
      <w:pPr>
        <w:pStyle w:val="Heading2"/>
        <w:spacing w:line="360" w:lineRule="auto"/>
        <w:jc w:val="both"/>
        <w:rPr>
          <w:rFonts w:ascii="Times New Roman" w:hAnsi="Times New Roman" w:cs="Times New Roman"/>
          <w:color w:val="156082" w:themeColor="accent1"/>
          <w:sz w:val="24"/>
          <w:szCs w:val="24"/>
        </w:rPr>
      </w:pPr>
      <w:bookmarkStart w:id="63" w:name="_Toc228970958"/>
      <w:r w:rsidRPr="008B2EDF">
        <w:rPr>
          <w:rFonts w:ascii="Times New Roman" w:hAnsi="Times New Roman" w:cs="Times New Roman"/>
          <w:color w:val="156082" w:themeColor="accent1"/>
          <w:sz w:val="24"/>
          <w:szCs w:val="24"/>
        </w:rPr>
        <w:t>7</w:t>
      </w:r>
      <w:r w:rsidR="00DB7165" w:rsidRPr="008B2EDF">
        <w:rPr>
          <w:rFonts w:ascii="Times New Roman" w:hAnsi="Times New Roman" w:cs="Times New Roman"/>
          <w:color w:val="156082" w:themeColor="accent1"/>
          <w:sz w:val="24"/>
          <w:szCs w:val="24"/>
        </w:rPr>
        <w:t>.</w:t>
      </w:r>
      <w:r w:rsidR="00AB21EB" w:rsidRPr="008B2EDF">
        <w:rPr>
          <w:rFonts w:ascii="Times New Roman" w:hAnsi="Times New Roman" w:cs="Times New Roman"/>
          <w:color w:val="156082" w:themeColor="accent1"/>
          <w:sz w:val="24"/>
          <w:szCs w:val="24"/>
        </w:rPr>
        <w:t>8</w:t>
      </w:r>
      <w:r w:rsidR="00DB7165" w:rsidRPr="008B2EDF">
        <w:rPr>
          <w:rFonts w:ascii="Times New Roman" w:hAnsi="Times New Roman" w:cs="Times New Roman"/>
          <w:color w:val="156082" w:themeColor="accent1"/>
          <w:sz w:val="24"/>
          <w:szCs w:val="24"/>
        </w:rPr>
        <w:t xml:space="preserve"> </w:t>
      </w:r>
      <w:r w:rsidR="00372E66" w:rsidRPr="008B2EDF">
        <w:rPr>
          <w:rFonts w:ascii="Times New Roman" w:hAnsi="Times New Roman" w:cs="Times New Roman"/>
          <w:color w:val="156082" w:themeColor="accent1"/>
          <w:sz w:val="24"/>
          <w:szCs w:val="24"/>
        </w:rPr>
        <w:t>Implications and Recommendations</w:t>
      </w:r>
      <w:bookmarkEnd w:id="63"/>
    </w:p>
    <w:p w14:paraId="7616C27C" w14:textId="77777777" w:rsidR="00771742" w:rsidRPr="008B2EDF" w:rsidRDefault="00771742" w:rsidP="00771742">
      <w:pPr>
        <w:rPr>
          <w:rFonts w:ascii="Times New Roman" w:hAnsi="Times New Roman" w:cs="Times New Roman"/>
          <w:sz w:val="24"/>
          <w:szCs w:val="24"/>
        </w:rPr>
      </w:pPr>
    </w:p>
    <w:p w14:paraId="3C1B47C8" w14:textId="3668B9C2" w:rsidR="004D0E81" w:rsidRPr="004D0E81" w:rsidRDefault="004D0E81" w:rsidP="004D0E81">
      <w:pPr>
        <w:spacing w:line="360" w:lineRule="auto"/>
        <w:jc w:val="both"/>
        <w:rPr>
          <w:rFonts w:ascii="Times New Roman" w:hAnsi="Times New Roman" w:cs="Times New Roman"/>
          <w:sz w:val="24"/>
          <w:szCs w:val="24"/>
        </w:rPr>
      </w:pPr>
      <w:r w:rsidRPr="004D0E81">
        <w:rPr>
          <w:rFonts w:ascii="Times New Roman" w:hAnsi="Times New Roman" w:cs="Times New Roman"/>
          <w:sz w:val="24"/>
          <w:szCs w:val="24"/>
        </w:rPr>
        <w:t xml:space="preserve">The findings of this study demonstrate that inequalities in the UK warehousing sector are primarily driven by structural employment conditions rather than individual capability or gender alone. </w:t>
      </w:r>
      <w:r w:rsidR="00276CF2" w:rsidRPr="004D0E81">
        <w:rPr>
          <w:rFonts w:ascii="Times New Roman" w:hAnsi="Times New Roman" w:cs="Times New Roman"/>
          <w:sz w:val="24"/>
          <w:szCs w:val="24"/>
        </w:rPr>
        <w:t>Part-time status</w:t>
      </w:r>
      <w:r w:rsidRPr="004D0E81">
        <w:rPr>
          <w:rFonts w:ascii="Times New Roman" w:hAnsi="Times New Roman" w:cs="Times New Roman"/>
          <w:sz w:val="24"/>
          <w:szCs w:val="24"/>
        </w:rPr>
        <w:t xml:space="preserve"> reduced working hours, and lack of visibility in formal evaluation systems significantly shape experiences of recognition and career progression. The recommendations therefore focus on addressing these specific structural mechanisms rather than offering generalised HR improvements.</w:t>
      </w:r>
    </w:p>
    <w:p w14:paraId="282BA655" w14:textId="77777777" w:rsidR="00771742" w:rsidRPr="008B2EDF" w:rsidRDefault="00771742" w:rsidP="00771742">
      <w:pPr>
        <w:pStyle w:val="ListParagraph"/>
        <w:numPr>
          <w:ilvl w:val="1"/>
          <w:numId w:val="2"/>
        </w:numPr>
        <w:spacing w:line="360" w:lineRule="auto"/>
        <w:jc w:val="both"/>
        <w:rPr>
          <w:rFonts w:ascii="Times New Roman" w:hAnsi="Times New Roman" w:cs="Times New Roman"/>
          <w:sz w:val="24"/>
          <w:szCs w:val="24"/>
        </w:rPr>
      </w:pPr>
      <w:r w:rsidRPr="008B2EDF">
        <w:rPr>
          <w:rFonts w:ascii="Times New Roman" w:hAnsi="Times New Roman" w:cs="Times New Roman"/>
          <w:b/>
          <w:bCs/>
          <w:sz w:val="24"/>
          <w:szCs w:val="24"/>
        </w:rPr>
        <w:t>Formal recognition of invisible labour</w:t>
      </w:r>
    </w:p>
    <w:p w14:paraId="0F2AC751" w14:textId="28EECAC4" w:rsidR="002A00B0" w:rsidRDefault="002A00B0" w:rsidP="002A00B0">
      <w:pPr>
        <w:pStyle w:val="NormalWeb"/>
        <w:spacing w:line="360" w:lineRule="auto"/>
        <w:jc w:val="both"/>
      </w:pPr>
      <w:r>
        <w:t>The study identified a substantial gap between informal acknowledgment (68%) and formal recognition (31%) of contributions such as mentoring, emotional support, and workload coverage. This indicates that existing performance systems fail to capture a significant proportion of value-adding work.</w:t>
      </w:r>
      <w:r>
        <w:t xml:space="preserve"> </w:t>
      </w:r>
      <w:r>
        <w:t>To address this, organisations should integrate structured recognition of invisible labour into appraisal systems. This includes explicitly defining non-task-based contributions (e.g., mentoring, team support, informal coordination) within performance frameworks. This recommendation directly responds to Equity Theory, which highlights that perceived imbalance between effort and reward reduces motivation and organisational commitment (Adams, 1965).</w:t>
      </w:r>
      <w:r>
        <w:t xml:space="preserve"> </w:t>
      </w:r>
      <w:r>
        <w:t xml:space="preserve">Importantly, this is not simply about “rewarding extra effort,” but about correcting systematic under-recognition of labour that already sustains operational </w:t>
      </w:r>
      <w:r>
        <w:t>performance.</w:t>
      </w:r>
    </w:p>
    <w:p w14:paraId="6BDFF498" w14:textId="77777777" w:rsidR="00771742" w:rsidRPr="008B2EDF" w:rsidRDefault="00771742" w:rsidP="00771742">
      <w:pPr>
        <w:pStyle w:val="ListParagraph"/>
        <w:numPr>
          <w:ilvl w:val="1"/>
          <w:numId w:val="2"/>
        </w:numPr>
        <w:spacing w:line="360" w:lineRule="auto"/>
        <w:jc w:val="both"/>
        <w:rPr>
          <w:rFonts w:ascii="Times New Roman" w:hAnsi="Times New Roman" w:cs="Times New Roman"/>
          <w:sz w:val="24"/>
          <w:szCs w:val="24"/>
        </w:rPr>
      </w:pPr>
      <w:r w:rsidRPr="008B2EDF">
        <w:rPr>
          <w:rFonts w:ascii="Times New Roman" w:hAnsi="Times New Roman" w:cs="Times New Roman"/>
          <w:b/>
          <w:bCs/>
          <w:sz w:val="24"/>
          <w:szCs w:val="24"/>
        </w:rPr>
        <w:t>Equal access to training and development</w:t>
      </w:r>
    </w:p>
    <w:p w14:paraId="35663CF7" w14:textId="593C9191" w:rsidR="00C46E40" w:rsidRDefault="00C46E40" w:rsidP="00C46E40">
      <w:pPr>
        <w:pStyle w:val="NormalWeb"/>
        <w:spacing w:line="360" w:lineRule="auto"/>
        <w:jc w:val="both"/>
      </w:pPr>
      <w:r>
        <w:t>The findings show that insufficient working hours and limited access to training were both reported by 43.8% of participants as key barriers to career progression. Pearson correlation results (r = 0.42, p = 0.002) further indicate that longer working hours are associated with higher perceived access to advancement opportunities, reinforcing structural inequality.</w:t>
      </w:r>
      <w:r>
        <w:t xml:space="preserve"> </w:t>
      </w:r>
      <w:r>
        <w:t>To address this, organisations should implement guaranteed training access for part-time employees, independent of shift length or contractual hours. Training should be scheduled flexibly and embedded within paid working time to ensure participation is not dependent on availability outside contracted hours.</w:t>
      </w:r>
    </w:p>
    <w:p w14:paraId="2E3DA034" w14:textId="77777777" w:rsidR="00C46E40" w:rsidRDefault="00C46E40" w:rsidP="00C46E40">
      <w:pPr>
        <w:pStyle w:val="NormalWeb"/>
        <w:spacing w:line="360" w:lineRule="auto"/>
        <w:jc w:val="both"/>
      </w:pPr>
      <w:r>
        <w:lastRenderedPageBreak/>
        <w:t>From a Human Capital Theory perspective, restricting access to training directly limits skill accumulation and therefore reinforces long-term inequality in promotion pathways (Becker, 1993). Equalising access is therefore essential not only for fairness but for organisational productivity.</w:t>
      </w:r>
    </w:p>
    <w:p w14:paraId="1DEEB265" w14:textId="77777777" w:rsidR="00771742" w:rsidRPr="008B2EDF" w:rsidRDefault="00771742" w:rsidP="00771742">
      <w:pPr>
        <w:pStyle w:val="ListParagraph"/>
        <w:numPr>
          <w:ilvl w:val="1"/>
          <w:numId w:val="2"/>
        </w:numPr>
        <w:spacing w:line="360" w:lineRule="auto"/>
        <w:jc w:val="both"/>
        <w:rPr>
          <w:rFonts w:ascii="Times New Roman" w:hAnsi="Times New Roman" w:cs="Times New Roman"/>
          <w:sz w:val="24"/>
          <w:szCs w:val="24"/>
        </w:rPr>
      </w:pPr>
      <w:r w:rsidRPr="008B2EDF">
        <w:rPr>
          <w:rFonts w:ascii="Times New Roman" w:hAnsi="Times New Roman" w:cs="Times New Roman"/>
          <w:b/>
          <w:bCs/>
          <w:sz w:val="24"/>
          <w:szCs w:val="24"/>
        </w:rPr>
        <w:t>Transparent and standardised promotion criteria</w:t>
      </w:r>
    </w:p>
    <w:p w14:paraId="269C9D79" w14:textId="0022802C" w:rsidR="00C46E40" w:rsidRPr="00C46E40" w:rsidRDefault="00C46E40" w:rsidP="00C46E40">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C46E40">
        <w:rPr>
          <w:rFonts w:ascii="Times New Roman" w:eastAsia="Times New Roman" w:hAnsi="Times New Roman" w:cs="Times New Roman"/>
          <w:kern w:val="0"/>
          <w:sz w:val="24"/>
          <w:szCs w:val="24"/>
          <w:lang w:eastAsia="en-GB"/>
          <w14:ligatures w14:val="none"/>
        </w:rPr>
        <w:t xml:space="preserve">The study found that only 50% of respondents reported clear promotion criteria, while the remainder were either uncertain or disagreed. This lack of clarity contributes to perceived unfairness and weakens trust in organisational </w:t>
      </w:r>
      <w:r w:rsidRPr="00C46E40">
        <w:rPr>
          <w:rFonts w:ascii="Times New Roman" w:eastAsia="Times New Roman" w:hAnsi="Times New Roman" w:cs="Times New Roman"/>
          <w:kern w:val="0"/>
          <w:sz w:val="24"/>
          <w:szCs w:val="24"/>
          <w:lang w:eastAsia="en-GB"/>
          <w14:ligatures w14:val="none"/>
        </w:rPr>
        <w:t>systems. To</w:t>
      </w:r>
      <w:r w:rsidRPr="00C46E40">
        <w:rPr>
          <w:rFonts w:ascii="Times New Roman" w:eastAsia="Times New Roman" w:hAnsi="Times New Roman" w:cs="Times New Roman"/>
          <w:kern w:val="0"/>
          <w:sz w:val="24"/>
          <w:szCs w:val="24"/>
          <w:lang w:eastAsia="en-GB"/>
          <w14:ligatures w14:val="none"/>
        </w:rPr>
        <w:t xml:space="preserve"> address this, organisations should implement standardised and transparent promotion frameworks that clearly outline:</w:t>
      </w:r>
    </w:p>
    <w:p w14:paraId="6151E433" w14:textId="77777777" w:rsidR="00C46E40" w:rsidRPr="00C46E40" w:rsidRDefault="00C46E40" w:rsidP="00C46E40">
      <w:pPr>
        <w:numPr>
          <w:ilvl w:val="0"/>
          <w:numId w:val="38"/>
        </w:num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C46E40">
        <w:rPr>
          <w:rFonts w:ascii="Times New Roman" w:eastAsia="Times New Roman" w:hAnsi="Times New Roman" w:cs="Times New Roman"/>
          <w:kern w:val="0"/>
          <w:sz w:val="24"/>
          <w:szCs w:val="24"/>
          <w:lang w:eastAsia="en-GB"/>
          <w14:ligatures w14:val="none"/>
        </w:rPr>
        <w:t xml:space="preserve">required competencies for progression </w:t>
      </w:r>
    </w:p>
    <w:p w14:paraId="1DAC700A" w14:textId="77777777" w:rsidR="00C46E40" w:rsidRPr="00C46E40" w:rsidRDefault="00C46E40" w:rsidP="00C46E40">
      <w:pPr>
        <w:numPr>
          <w:ilvl w:val="0"/>
          <w:numId w:val="38"/>
        </w:num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C46E40">
        <w:rPr>
          <w:rFonts w:ascii="Times New Roman" w:eastAsia="Times New Roman" w:hAnsi="Times New Roman" w:cs="Times New Roman"/>
          <w:kern w:val="0"/>
          <w:sz w:val="24"/>
          <w:szCs w:val="24"/>
          <w:lang w:eastAsia="en-GB"/>
          <w14:ligatures w14:val="none"/>
        </w:rPr>
        <w:t xml:space="preserve">evaluation criteria </w:t>
      </w:r>
    </w:p>
    <w:p w14:paraId="7B52FE9B" w14:textId="77777777" w:rsidR="00C46E40" w:rsidRPr="00C46E40" w:rsidRDefault="00C46E40" w:rsidP="00C46E40">
      <w:pPr>
        <w:numPr>
          <w:ilvl w:val="0"/>
          <w:numId w:val="38"/>
        </w:num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C46E40">
        <w:rPr>
          <w:rFonts w:ascii="Times New Roman" w:eastAsia="Times New Roman" w:hAnsi="Times New Roman" w:cs="Times New Roman"/>
          <w:kern w:val="0"/>
          <w:sz w:val="24"/>
          <w:szCs w:val="24"/>
          <w:lang w:eastAsia="en-GB"/>
          <w14:ligatures w14:val="none"/>
        </w:rPr>
        <w:t xml:space="preserve">timelines for advancement opportunities </w:t>
      </w:r>
    </w:p>
    <w:p w14:paraId="39FE6B62" w14:textId="77777777" w:rsidR="00C46E40" w:rsidRPr="00C46E40" w:rsidRDefault="00C46E40" w:rsidP="00C46E40">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C46E40">
        <w:rPr>
          <w:rFonts w:ascii="Times New Roman" w:eastAsia="Times New Roman" w:hAnsi="Times New Roman" w:cs="Times New Roman"/>
          <w:kern w:val="0"/>
          <w:sz w:val="24"/>
          <w:szCs w:val="24"/>
          <w:lang w:eastAsia="en-GB"/>
          <w14:ligatures w14:val="none"/>
        </w:rPr>
        <w:t>This directly responds to both Equity Theory and the qualitative findings showing ambiguity around career pathways. Transparency reduces reliance on informal visibility, which currently disadvantages part-time workers who are less present in organisational decision-making spaces.</w:t>
      </w:r>
    </w:p>
    <w:p w14:paraId="5B3F964B" w14:textId="1FA00531" w:rsidR="00771742" w:rsidRPr="008B2EDF" w:rsidRDefault="00771742" w:rsidP="00771742">
      <w:pPr>
        <w:pStyle w:val="ListParagraph"/>
        <w:numPr>
          <w:ilvl w:val="1"/>
          <w:numId w:val="2"/>
        </w:numPr>
        <w:spacing w:line="360" w:lineRule="auto"/>
        <w:rPr>
          <w:rFonts w:ascii="Times New Roman" w:hAnsi="Times New Roman" w:cs="Times New Roman"/>
          <w:sz w:val="24"/>
          <w:szCs w:val="24"/>
        </w:rPr>
      </w:pPr>
      <w:r w:rsidRPr="008B2EDF">
        <w:rPr>
          <w:rFonts w:ascii="Times New Roman" w:hAnsi="Times New Roman" w:cs="Times New Roman"/>
          <w:b/>
          <w:bCs/>
          <w:sz w:val="24"/>
          <w:szCs w:val="24"/>
        </w:rPr>
        <w:t>Review of scheduling and flexibility policies</w:t>
      </w:r>
    </w:p>
    <w:p w14:paraId="6E9A0E28" w14:textId="77777777" w:rsidR="00AC19AF" w:rsidRPr="00AC19AF" w:rsidRDefault="00AC19AF" w:rsidP="00AC19AF">
      <w:pPr>
        <w:spacing w:line="360" w:lineRule="auto"/>
        <w:jc w:val="both"/>
        <w:rPr>
          <w:rFonts w:ascii="Times New Roman" w:hAnsi="Times New Roman" w:cs="Times New Roman"/>
          <w:sz w:val="24"/>
          <w:szCs w:val="24"/>
        </w:rPr>
      </w:pPr>
      <w:r w:rsidRPr="00AC19AF">
        <w:rPr>
          <w:rFonts w:ascii="Times New Roman" w:hAnsi="Times New Roman" w:cs="Times New Roman"/>
          <w:sz w:val="24"/>
          <w:szCs w:val="24"/>
        </w:rPr>
        <w:t>The findings demonstrate a structural “hours bias,” where increased working hours are associated with greater perceived access to progression opportunities. This reinforces a presenteeism-based culture, despite formal flexible working policies.</w:t>
      </w:r>
    </w:p>
    <w:p w14:paraId="271E0BD2" w14:textId="77777777" w:rsidR="00AC19AF" w:rsidRPr="00AC19AF" w:rsidRDefault="00AC19AF" w:rsidP="00AC19AF">
      <w:pPr>
        <w:spacing w:line="360" w:lineRule="auto"/>
        <w:jc w:val="both"/>
        <w:rPr>
          <w:rFonts w:ascii="Times New Roman" w:hAnsi="Times New Roman" w:cs="Times New Roman"/>
          <w:sz w:val="24"/>
          <w:szCs w:val="24"/>
        </w:rPr>
      </w:pPr>
      <w:r w:rsidRPr="00AC19AF">
        <w:rPr>
          <w:rFonts w:ascii="Times New Roman" w:hAnsi="Times New Roman" w:cs="Times New Roman"/>
          <w:sz w:val="24"/>
          <w:szCs w:val="24"/>
        </w:rPr>
        <w:t>To address this, organisations should decouple career progression from physical presence by:</w:t>
      </w:r>
    </w:p>
    <w:p w14:paraId="46B8315C" w14:textId="77777777" w:rsidR="00AC19AF" w:rsidRPr="00AC19AF" w:rsidRDefault="00AC19AF" w:rsidP="00AC19AF">
      <w:pPr>
        <w:pStyle w:val="ListParagraph"/>
        <w:numPr>
          <w:ilvl w:val="1"/>
          <w:numId w:val="2"/>
        </w:numPr>
        <w:spacing w:line="360" w:lineRule="auto"/>
        <w:jc w:val="both"/>
        <w:rPr>
          <w:rFonts w:ascii="Times New Roman" w:hAnsi="Times New Roman" w:cs="Times New Roman"/>
          <w:sz w:val="24"/>
          <w:szCs w:val="24"/>
        </w:rPr>
      </w:pPr>
      <w:r w:rsidRPr="00AC19AF">
        <w:rPr>
          <w:rFonts w:ascii="Times New Roman" w:hAnsi="Times New Roman" w:cs="Times New Roman"/>
          <w:sz w:val="24"/>
          <w:szCs w:val="24"/>
        </w:rPr>
        <w:t xml:space="preserve">standardising promotion eligibility across full-time and part-time roles </w:t>
      </w:r>
    </w:p>
    <w:p w14:paraId="234A677F" w14:textId="77777777" w:rsidR="00AC19AF" w:rsidRPr="00AC19AF" w:rsidRDefault="00AC19AF" w:rsidP="00AC19AF">
      <w:pPr>
        <w:pStyle w:val="ListParagraph"/>
        <w:numPr>
          <w:ilvl w:val="1"/>
          <w:numId w:val="2"/>
        </w:numPr>
        <w:spacing w:line="360" w:lineRule="auto"/>
        <w:jc w:val="both"/>
        <w:rPr>
          <w:rFonts w:ascii="Times New Roman" w:hAnsi="Times New Roman" w:cs="Times New Roman"/>
          <w:sz w:val="24"/>
          <w:szCs w:val="24"/>
        </w:rPr>
      </w:pPr>
      <w:r w:rsidRPr="00AC19AF">
        <w:rPr>
          <w:rFonts w:ascii="Times New Roman" w:hAnsi="Times New Roman" w:cs="Times New Roman"/>
          <w:sz w:val="24"/>
          <w:szCs w:val="24"/>
        </w:rPr>
        <w:t xml:space="preserve">ensuring performance evaluation is outcome-based rather than hours-based </w:t>
      </w:r>
    </w:p>
    <w:p w14:paraId="78713B24" w14:textId="77777777" w:rsidR="00AC19AF" w:rsidRPr="00AC19AF" w:rsidRDefault="00AC19AF" w:rsidP="00AC19AF">
      <w:pPr>
        <w:pStyle w:val="ListParagraph"/>
        <w:numPr>
          <w:ilvl w:val="1"/>
          <w:numId w:val="2"/>
        </w:numPr>
        <w:spacing w:line="360" w:lineRule="auto"/>
        <w:jc w:val="both"/>
        <w:rPr>
          <w:rFonts w:ascii="Times New Roman" w:hAnsi="Times New Roman" w:cs="Times New Roman"/>
          <w:sz w:val="24"/>
          <w:szCs w:val="24"/>
        </w:rPr>
      </w:pPr>
      <w:r w:rsidRPr="00AC19AF">
        <w:rPr>
          <w:rFonts w:ascii="Times New Roman" w:hAnsi="Times New Roman" w:cs="Times New Roman"/>
          <w:sz w:val="24"/>
          <w:szCs w:val="24"/>
        </w:rPr>
        <w:t xml:space="preserve">monitoring promotion rates by contract type to identify inequality patterns </w:t>
      </w:r>
    </w:p>
    <w:p w14:paraId="2AF6C346" w14:textId="77777777" w:rsidR="00AC19AF" w:rsidRPr="00AC19AF" w:rsidRDefault="00AC19AF" w:rsidP="00AC19AF">
      <w:pPr>
        <w:spacing w:line="360" w:lineRule="auto"/>
        <w:jc w:val="both"/>
        <w:rPr>
          <w:rFonts w:ascii="Times New Roman" w:hAnsi="Times New Roman" w:cs="Times New Roman"/>
          <w:sz w:val="24"/>
          <w:szCs w:val="24"/>
        </w:rPr>
      </w:pPr>
      <w:r w:rsidRPr="00AC19AF">
        <w:rPr>
          <w:rFonts w:ascii="Times New Roman" w:hAnsi="Times New Roman" w:cs="Times New Roman"/>
          <w:sz w:val="24"/>
          <w:szCs w:val="24"/>
        </w:rPr>
        <w:t>This recommendation directly addresses the Work–Life Balance framework, which shows that flexibility only reduces inequality when it does not negatively affect career outcomes (Hildenbrand et al., 2023).</w:t>
      </w:r>
    </w:p>
    <w:p w14:paraId="1BFFFA25" w14:textId="77777777" w:rsidR="00771742" w:rsidRPr="008B2EDF" w:rsidRDefault="00771742" w:rsidP="00771742">
      <w:pPr>
        <w:pStyle w:val="ListParagraph"/>
        <w:numPr>
          <w:ilvl w:val="1"/>
          <w:numId w:val="2"/>
        </w:numPr>
        <w:spacing w:line="360" w:lineRule="auto"/>
        <w:jc w:val="both"/>
        <w:rPr>
          <w:rFonts w:ascii="Times New Roman" w:hAnsi="Times New Roman" w:cs="Times New Roman"/>
          <w:sz w:val="24"/>
          <w:szCs w:val="24"/>
        </w:rPr>
      </w:pPr>
      <w:r w:rsidRPr="008B2EDF">
        <w:rPr>
          <w:rFonts w:ascii="Times New Roman" w:hAnsi="Times New Roman" w:cs="Times New Roman"/>
          <w:b/>
          <w:bCs/>
          <w:sz w:val="24"/>
          <w:szCs w:val="24"/>
        </w:rPr>
        <w:t>Active monitoring of gendered and part-time bias</w:t>
      </w:r>
    </w:p>
    <w:p w14:paraId="2A999C58" w14:textId="3D5BC915" w:rsidR="00AC19AF" w:rsidRPr="00AC19AF" w:rsidRDefault="00AC19AF" w:rsidP="00AC19AF">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AC19AF">
        <w:rPr>
          <w:rFonts w:ascii="Times New Roman" w:eastAsia="Times New Roman" w:hAnsi="Times New Roman" w:cs="Times New Roman"/>
          <w:kern w:val="0"/>
          <w:sz w:val="24"/>
          <w:szCs w:val="24"/>
          <w:lang w:eastAsia="en-GB"/>
          <w14:ligatures w14:val="none"/>
        </w:rPr>
        <w:lastRenderedPageBreak/>
        <w:t>Although 75% of respondents reported no direct gender discrimination, qualitative findings revealed indirect gendered mechanisms such as exclusion from training and assumptions about commitment.</w:t>
      </w:r>
      <w:r>
        <w:rPr>
          <w:rFonts w:ascii="Times New Roman" w:eastAsia="Times New Roman" w:hAnsi="Times New Roman" w:cs="Times New Roman"/>
          <w:kern w:val="0"/>
          <w:sz w:val="24"/>
          <w:szCs w:val="24"/>
          <w:lang w:eastAsia="en-GB"/>
          <w14:ligatures w14:val="none"/>
        </w:rPr>
        <w:t xml:space="preserve"> </w:t>
      </w:r>
      <w:r w:rsidRPr="00AC19AF">
        <w:rPr>
          <w:rFonts w:ascii="Times New Roman" w:eastAsia="Times New Roman" w:hAnsi="Times New Roman" w:cs="Times New Roman"/>
          <w:kern w:val="0"/>
          <w:sz w:val="24"/>
          <w:szCs w:val="24"/>
          <w:lang w:eastAsia="en-GB"/>
          <w14:ligatures w14:val="none"/>
        </w:rPr>
        <w:t>This suggests that inequality operates through employment structure rather than explicit gender bias. Organisations should therefore implement bias monitoring systems that specifically examine:</w:t>
      </w:r>
    </w:p>
    <w:p w14:paraId="620F9BF5" w14:textId="77777777" w:rsidR="00AC19AF" w:rsidRPr="00AC19AF" w:rsidRDefault="00AC19AF" w:rsidP="00AC19AF">
      <w:pPr>
        <w:numPr>
          <w:ilvl w:val="0"/>
          <w:numId w:val="40"/>
        </w:num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AC19AF">
        <w:rPr>
          <w:rFonts w:ascii="Times New Roman" w:eastAsia="Times New Roman" w:hAnsi="Times New Roman" w:cs="Times New Roman"/>
          <w:kern w:val="0"/>
          <w:sz w:val="24"/>
          <w:szCs w:val="24"/>
          <w:lang w:eastAsia="en-GB"/>
          <w14:ligatures w14:val="none"/>
        </w:rPr>
        <w:t xml:space="preserve">allocation of training opportunities </w:t>
      </w:r>
    </w:p>
    <w:p w14:paraId="0BDEE47E" w14:textId="77777777" w:rsidR="00AC19AF" w:rsidRPr="00AC19AF" w:rsidRDefault="00AC19AF" w:rsidP="00AC19AF">
      <w:pPr>
        <w:numPr>
          <w:ilvl w:val="0"/>
          <w:numId w:val="40"/>
        </w:num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AC19AF">
        <w:rPr>
          <w:rFonts w:ascii="Times New Roman" w:eastAsia="Times New Roman" w:hAnsi="Times New Roman" w:cs="Times New Roman"/>
          <w:kern w:val="0"/>
          <w:sz w:val="24"/>
          <w:szCs w:val="24"/>
          <w:lang w:eastAsia="en-GB"/>
          <w14:ligatures w14:val="none"/>
        </w:rPr>
        <w:t xml:space="preserve">inclusion in high-visibility tasks </w:t>
      </w:r>
    </w:p>
    <w:p w14:paraId="00F06B20" w14:textId="77777777" w:rsidR="00AC19AF" w:rsidRPr="00AC19AF" w:rsidRDefault="00AC19AF" w:rsidP="00AC19AF">
      <w:pPr>
        <w:numPr>
          <w:ilvl w:val="0"/>
          <w:numId w:val="40"/>
        </w:num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AC19AF">
        <w:rPr>
          <w:rFonts w:ascii="Times New Roman" w:eastAsia="Times New Roman" w:hAnsi="Times New Roman" w:cs="Times New Roman"/>
          <w:kern w:val="0"/>
          <w:sz w:val="24"/>
          <w:szCs w:val="24"/>
          <w:lang w:eastAsia="en-GB"/>
          <w14:ligatures w14:val="none"/>
        </w:rPr>
        <w:t xml:space="preserve">promotion outcomes by gender and contract type </w:t>
      </w:r>
    </w:p>
    <w:p w14:paraId="6DC40F42" w14:textId="34A289A6" w:rsidR="00771742" w:rsidRDefault="00AC19AF" w:rsidP="00AC19AF">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AC19AF">
        <w:rPr>
          <w:rFonts w:ascii="Times New Roman" w:eastAsia="Times New Roman" w:hAnsi="Times New Roman" w:cs="Times New Roman"/>
          <w:kern w:val="0"/>
          <w:sz w:val="24"/>
          <w:szCs w:val="24"/>
          <w:lang w:eastAsia="en-GB"/>
          <w14:ligatures w14:val="none"/>
        </w:rPr>
        <w:t>This aligns with contemporary literature on indirect structural discrimination, where inequality is reproduced through organisational design rather than explicit intent (Abendroth and Chung, 2022).</w:t>
      </w:r>
    </w:p>
    <w:p w14:paraId="2F37E454" w14:textId="77777777" w:rsidR="00E9316A" w:rsidRPr="00E9316A" w:rsidRDefault="00E9316A" w:rsidP="00E9316A">
      <w:pPr>
        <w:pStyle w:val="ListParagraph"/>
        <w:numPr>
          <w:ilvl w:val="0"/>
          <w:numId w:val="43"/>
        </w:numPr>
        <w:spacing w:before="100" w:beforeAutospacing="1" w:after="100" w:afterAutospacing="1" w:line="360" w:lineRule="auto"/>
        <w:jc w:val="both"/>
        <w:rPr>
          <w:rFonts w:ascii="Times New Roman" w:eastAsia="Times New Roman" w:hAnsi="Times New Roman" w:cs="Times New Roman"/>
          <w:b/>
          <w:bCs/>
          <w:kern w:val="0"/>
          <w:sz w:val="24"/>
          <w:szCs w:val="24"/>
          <w:lang w:eastAsia="en-GB"/>
          <w14:ligatures w14:val="none"/>
        </w:rPr>
      </w:pPr>
      <w:r w:rsidRPr="00E9316A">
        <w:rPr>
          <w:rFonts w:ascii="Times New Roman" w:eastAsia="Times New Roman" w:hAnsi="Times New Roman" w:cs="Times New Roman"/>
          <w:b/>
          <w:bCs/>
          <w:kern w:val="0"/>
          <w:sz w:val="24"/>
          <w:szCs w:val="24"/>
          <w:lang w:eastAsia="en-GB"/>
          <w14:ligatures w14:val="none"/>
        </w:rPr>
        <w:t>Managerial Accountability for Equitable Practice</w:t>
      </w:r>
    </w:p>
    <w:p w14:paraId="0E3F2C28" w14:textId="77777777" w:rsidR="00E9316A" w:rsidRPr="00E9316A" w:rsidRDefault="00E9316A" w:rsidP="00E9316A">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E9316A">
        <w:rPr>
          <w:rFonts w:ascii="Times New Roman" w:eastAsia="Times New Roman" w:hAnsi="Times New Roman" w:cs="Times New Roman"/>
          <w:kern w:val="0"/>
          <w:sz w:val="24"/>
          <w:szCs w:val="24"/>
          <w:lang w:eastAsia="en-GB"/>
          <w14:ligatures w14:val="none"/>
        </w:rPr>
        <w:t>Finally, the findings indicate that inconsistencies in recognition and policy implementation are likely to be driven by managerial discretion. To address this, organisations should introduce accountability mechanisms such as:</w:t>
      </w:r>
    </w:p>
    <w:p w14:paraId="288DB281" w14:textId="77777777" w:rsidR="00E9316A" w:rsidRPr="00E9316A" w:rsidRDefault="00E9316A" w:rsidP="00E9316A">
      <w:pPr>
        <w:numPr>
          <w:ilvl w:val="0"/>
          <w:numId w:val="41"/>
        </w:num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E9316A">
        <w:rPr>
          <w:rFonts w:ascii="Times New Roman" w:eastAsia="Times New Roman" w:hAnsi="Times New Roman" w:cs="Times New Roman"/>
          <w:kern w:val="0"/>
          <w:sz w:val="24"/>
          <w:szCs w:val="24"/>
          <w:lang w:eastAsia="en-GB"/>
          <w14:ligatures w14:val="none"/>
        </w:rPr>
        <w:t xml:space="preserve">performance indicators linked to equitable treatment of part-time staff </w:t>
      </w:r>
    </w:p>
    <w:p w14:paraId="5F05CCA3" w14:textId="77777777" w:rsidR="00E9316A" w:rsidRPr="00E9316A" w:rsidRDefault="00E9316A" w:rsidP="00E9316A">
      <w:pPr>
        <w:numPr>
          <w:ilvl w:val="0"/>
          <w:numId w:val="41"/>
        </w:num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E9316A">
        <w:rPr>
          <w:rFonts w:ascii="Times New Roman" w:eastAsia="Times New Roman" w:hAnsi="Times New Roman" w:cs="Times New Roman"/>
          <w:kern w:val="0"/>
          <w:sz w:val="24"/>
          <w:szCs w:val="24"/>
          <w:lang w:eastAsia="en-GB"/>
          <w14:ligatures w14:val="none"/>
        </w:rPr>
        <w:t xml:space="preserve">training for managers on invisible labour recognition </w:t>
      </w:r>
    </w:p>
    <w:p w14:paraId="7C8877E1" w14:textId="77777777" w:rsidR="00E9316A" w:rsidRPr="00E9316A" w:rsidRDefault="00E9316A" w:rsidP="00E9316A">
      <w:pPr>
        <w:numPr>
          <w:ilvl w:val="0"/>
          <w:numId w:val="41"/>
        </w:num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E9316A">
        <w:rPr>
          <w:rFonts w:ascii="Times New Roman" w:eastAsia="Times New Roman" w:hAnsi="Times New Roman" w:cs="Times New Roman"/>
          <w:kern w:val="0"/>
          <w:sz w:val="24"/>
          <w:szCs w:val="24"/>
          <w:lang w:eastAsia="en-GB"/>
          <w14:ligatures w14:val="none"/>
        </w:rPr>
        <w:t xml:space="preserve">regular audits of promotion and reward outcomes </w:t>
      </w:r>
    </w:p>
    <w:p w14:paraId="5A8FD504" w14:textId="7C52298C" w:rsidR="00052FE7" w:rsidRPr="00052FE7" w:rsidRDefault="00E9316A" w:rsidP="00052FE7">
      <w:pPr>
        <w:spacing w:line="360" w:lineRule="auto"/>
        <w:jc w:val="both"/>
      </w:pPr>
      <w:r w:rsidRPr="00E9316A">
        <w:rPr>
          <w:rFonts w:ascii="Times New Roman" w:eastAsia="Times New Roman" w:hAnsi="Times New Roman" w:cs="Times New Roman"/>
          <w:kern w:val="0"/>
          <w:sz w:val="24"/>
          <w:szCs w:val="24"/>
          <w:lang w:eastAsia="en-GB"/>
          <w14:ligatures w14:val="none"/>
        </w:rPr>
        <w:t xml:space="preserve">This ensures that inequality reduction is not purely policy-based but actively embedded into managerial practice, addressing the implementation gap identified in </w:t>
      </w:r>
      <w:r>
        <w:rPr>
          <w:rFonts w:ascii="Times New Roman" w:eastAsia="Times New Roman" w:hAnsi="Times New Roman" w:cs="Times New Roman"/>
          <w:kern w:val="0"/>
          <w:sz w:val="24"/>
          <w:szCs w:val="24"/>
          <w:lang w:eastAsia="en-GB"/>
          <w14:ligatures w14:val="none"/>
        </w:rPr>
        <w:t xml:space="preserve">the </w:t>
      </w:r>
      <w:r w:rsidRPr="00E9316A">
        <w:rPr>
          <w:rFonts w:ascii="Times New Roman" w:eastAsia="Times New Roman" w:hAnsi="Times New Roman" w:cs="Times New Roman"/>
          <w:kern w:val="0"/>
          <w:sz w:val="24"/>
          <w:szCs w:val="24"/>
          <w:lang w:eastAsia="en-GB"/>
          <w14:ligatures w14:val="none"/>
        </w:rPr>
        <w:t>findings.</w:t>
      </w:r>
      <w:r w:rsidR="00052FE7" w:rsidRPr="00052FE7">
        <w:rPr>
          <w:rFonts w:ascii="Times New Roman" w:eastAsia="Times New Roman" w:hAnsi="Times New Roman" w:cs="Times New Roman"/>
          <w:kern w:val="0"/>
          <w:sz w:val="24"/>
          <w:szCs w:val="24"/>
          <w:lang w:eastAsia="en-GB"/>
          <w14:ligatures w14:val="none"/>
        </w:rPr>
        <w:t xml:space="preserve"> </w:t>
      </w:r>
      <w:r w:rsidR="00052FE7" w:rsidRPr="00052FE7">
        <w:t>These recommendations are directly derived from empirical findings and structured around the three theoretical frameworks underpinning the study. They specifically address:</w:t>
      </w:r>
    </w:p>
    <w:p w14:paraId="5AEBE0A7" w14:textId="77777777" w:rsidR="00052FE7" w:rsidRPr="00052FE7" w:rsidRDefault="00052FE7" w:rsidP="00052FE7">
      <w:pPr>
        <w:numPr>
          <w:ilvl w:val="0"/>
          <w:numId w:val="44"/>
        </w:num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052FE7">
        <w:rPr>
          <w:rFonts w:ascii="Times New Roman" w:eastAsia="Times New Roman" w:hAnsi="Times New Roman" w:cs="Times New Roman"/>
          <w:kern w:val="0"/>
          <w:sz w:val="24"/>
          <w:szCs w:val="24"/>
          <w:lang w:eastAsia="en-GB"/>
          <w14:ligatures w14:val="none"/>
        </w:rPr>
        <w:t xml:space="preserve">the recognition gap in invisible labour (Equity Theory) </w:t>
      </w:r>
    </w:p>
    <w:p w14:paraId="26165D95" w14:textId="77777777" w:rsidR="00052FE7" w:rsidRPr="00052FE7" w:rsidRDefault="00052FE7" w:rsidP="00052FE7">
      <w:pPr>
        <w:numPr>
          <w:ilvl w:val="0"/>
          <w:numId w:val="44"/>
        </w:num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052FE7">
        <w:rPr>
          <w:rFonts w:ascii="Times New Roman" w:eastAsia="Times New Roman" w:hAnsi="Times New Roman" w:cs="Times New Roman"/>
          <w:kern w:val="0"/>
          <w:sz w:val="24"/>
          <w:szCs w:val="24"/>
          <w:lang w:eastAsia="en-GB"/>
          <w14:ligatures w14:val="none"/>
        </w:rPr>
        <w:t xml:space="preserve">unequal access to training and progression (Human Capital Theory) </w:t>
      </w:r>
    </w:p>
    <w:p w14:paraId="4310DAB8" w14:textId="77777777" w:rsidR="00052FE7" w:rsidRPr="00052FE7" w:rsidRDefault="00052FE7" w:rsidP="00052FE7">
      <w:pPr>
        <w:numPr>
          <w:ilvl w:val="0"/>
          <w:numId w:val="44"/>
        </w:num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052FE7">
        <w:rPr>
          <w:rFonts w:ascii="Times New Roman" w:eastAsia="Times New Roman" w:hAnsi="Times New Roman" w:cs="Times New Roman"/>
          <w:kern w:val="0"/>
          <w:sz w:val="24"/>
          <w:szCs w:val="24"/>
          <w:lang w:eastAsia="en-GB"/>
          <w14:ligatures w14:val="none"/>
        </w:rPr>
        <w:t>the trade-off between flexibility and career advancement (Work–Life Balance Theory)</w:t>
      </w:r>
    </w:p>
    <w:p w14:paraId="795D0AD5" w14:textId="78A3AA85" w:rsidR="007D50BB" w:rsidRPr="00AC19AF" w:rsidRDefault="007D50BB" w:rsidP="00AC19AF">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p>
    <w:p w14:paraId="5232E300" w14:textId="21942A74" w:rsidR="009B7333" w:rsidRPr="008B2EDF" w:rsidRDefault="00503C6D" w:rsidP="004F17FF">
      <w:pPr>
        <w:pStyle w:val="Heading2"/>
        <w:spacing w:line="360" w:lineRule="auto"/>
        <w:jc w:val="both"/>
        <w:rPr>
          <w:rFonts w:ascii="Times New Roman" w:hAnsi="Times New Roman" w:cs="Times New Roman"/>
          <w:sz w:val="24"/>
          <w:szCs w:val="24"/>
        </w:rPr>
      </w:pPr>
      <w:bookmarkStart w:id="64" w:name="_Toc228970959"/>
      <w:r w:rsidRPr="008B2EDF">
        <w:rPr>
          <w:rFonts w:ascii="Times New Roman" w:hAnsi="Times New Roman" w:cs="Times New Roman"/>
          <w:sz w:val="24"/>
          <w:szCs w:val="24"/>
        </w:rPr>
        <w:lastRenderedPageBreak/>
        <w:t>7</w:t>
      </w:r>
      <w:r w:rsidR="009B7333" w:rsidRPr="008B2EDF">
        <w:rPr>
          <w:rFonts w:ascii="Times New Roman" w:hAnsi="Times New Roman" w:cs="Times New Roman"/>
          <w:sz w:val="24"/>
          <w:szCs w:val="24"/>
        </w:rPr>
        <w:t>.</w:t>
      </w:r>
      <w:r w:rsidR="00AB21EB" w:rsidRPr="008B2EDF">
        <w:rPr>
          <w:rFonts w:ascii="Times New Roman" w:hAnsi="Times New Roman" w:cs="Times New Roman"/>
          <w:sz w:val="24"/>
          <w:szCs w:val="24"/>
        </w:rPr>
        <w:t>9</w:t>
      </w:r>
      <w:r w:rsidR="009B7333" w:rsidRPr="008B2EDF">
        <w:rPr>
          <w:rFonts w:ascii="Times New Roman" w:hAnsi="Times New Roman" w:cs="Times New Roman"/>
          <w:sz w:val="24"/>
          <w:szCs w:val="24"/>
        </w:rPr>
        <w:t xml:space="preserve"> Ethical consideration</w:t>
      </w:r>
      <w:bookmarkEnd w:id="64"/>
      <w:r w:rsidR="009B7333" w:rsidRPr="008B2EDF">
        <w:rPr>
          <w:rFonts w:ascii="Times New Roman" w:hAnsi="Times New Roman" w:cs="Times New Roman"/>
          <w:sz w:val="24"/>
          <w:szCs w:val="24"/>
        </w:rPr>
        <w:t xml:space="preserve"> </w:t>
      </w:r>
    </w:p>
    <w:p w14:paraId="6DCC6676" w14:textId="39079400" w:rsidR="009B7333" w:rsidRPr="008B2EDF" w:rsidRDefault="009B7333" w:rsidP="004F17FF">
      <w:pPr>
        <w:spacing w:line="360" w:lineRule="auto"/>
        <w:jc w:val="both"/>
        <w:rPr>
          <w:rFonts w:ascii="Times New Roman" w:eastAsiaTheme="majorEastAsia" w:hAnsi="Times New Roman" w:cs="Times New Roman"/>
          <w:sz w:val="24"/>
          <w:szCs w:val="24"/>
        </w:rPr>
        <w:sectPr w:rsidR="009B7333" w:rsidRPr="008B2EDF" w:rsidSect="006535FF">
          <w:pgSz w:w="11906" w:h="16838"/>
          <w:pgMar w:top="1440" w:right="1440" w:bottom="1440" w:left="1440" w:header="708" w:footer="708" w:gutter="0"/>
          <w:pgNumType w:start="1"/>
          <w:cols w:space="708"/>
          <w:docGrid w:linePitch="360"/>
        </w:sectPr>
      </w:pPr>
      <w:r w:rsidRPr="008B2EDF">
        <w:rPr>
          <w:rFonts w:ascii="Times New Roman" w:eastAsiaTheme="majorEastAsia" w:hAnsi="Times New Roman" w:cs="Times New Roman"/>
          <w:sz w:val="24"/>
          <w:szCs w:val="24"/>
        </w:rPr>
        <w:t xml:space="preserve">The research will adhere to ethical guidelines regarding informed consent, confidentiality, and voluntary participation. All participants will be fully informed about the research's purpose, their rights to withdraw at any time, and the confidentiality of their responses. Data will be stored securely and anonymised to protect participants’ privacy. Ethical approval will be sought from the relevant institutional board before commencing the research. </w:t>
      </w:r>
      <w:r w:rsidRPr="008B2EDF">
        <w:rPr>
          <w:rFonts w:ascii="Times New Roman" w:hAnsi="Times New Roman" w:cs="Times New Roman"/>
          <w:sz w:val="24"/>
          <w:szCs w:val="24"/>
        </w:rPr>
        <w:t xml:space="preserve">Consequently, Leavy (2019) asserts that ethics serves as a connection between the philosophical and practical elements of research and is a fundamental component of every research endeavour. When doing social research, particularly with human subjects, it is important to address ethical concerns. According to UK Research and Innovation (2021)these concerns include the prevention of damage, the avoidance of exploitation (especially towards vulnerable groups), the assurance of voluntary participation, the maintenance of anonymity, and the disclosure of the study's nature and purpose. Moreover, Kara (2018) contends that qualitative researchers are ethically obligated to depict participants correctly and compassionately. The study focuses on the ethical aspects of part-time employment and its effects on women's career progression, work-life equilibrium, and financial security. To build a comprehensive ethical approach, the research will </w:t>
      </w:r>
      <w:r w:rsidR="000C7913" w:rsidRPr="008B2EDF">
        <w:rPr>
          <w:rFonts w:ascii="Times New Roman" w:hAnsi="Times New Roman" w:cs="Times New Roman"/>
          <w:sz w:val="24"/>
          <w:szCs w:val="24"/>
        </w:rPr>
        <w:t>place</w:t>
      </w:r>
      <w:r w:rsidRPr="008B2EDF">
        <w:rPr>
          <w:rFonts w:ascii="Times New Roman" w:hAnsi="Times New Roman" w:cs="Times New Roman"/>
          <w:sz w:val="24"/>
          <w:szCs w:val="24"/>
        </w:rPr>
        <w:t xml:space="preserve"> practical importance, inclusion of marginalised groups, fair management of contradicting data, and results sharing with important stakeholders. An institutional review board will analyse and evaluate the research to ensure that ethical standards are met. According to Akello </w:t>
      </w:r>
      <w:r w:rsidR="00570CA8" w:rsidRPr="008B2EDF">
        <w:rPr>
          <w:rFonts w:ascii="Times New Roman" w:hAnsi="Times New Roman" w:cs="Times New Roman"/>
          <w:i/>
          <w:iCs/>
          <w:sz w:val="24"/>
          <w:szCs w:val="24"/>
        </w:rPr>
        <w:t>et al.</w:t>
      </w:r>
      <w:r w:rsidRPr="008B2EDF">
        <w:rPr>
          <w:rFonts w:ascii="Times New Roman" w:hAnsi="Times New Roman" w:cs="Times New Roman"/>
          <w:sz w:val="24"/>
          <w:szCs w:val="24"/>
        </w:rPr>
        <w:t xml:space="preserve">.(2020) continuous monitoring improves the quality of research conduct and compliance; therefore, this research will be continuously monitored by a supervisor allocated from the University of Wales Trinity Saint David to address any ethical problems that may arise. Furthermore, the research will incorporate the following safeguards to ensure the study's integrity and the participants' safety throughout its execution. Please see </w:t>
      </w:r>
      <w:r w:rsidR="006F105A">
        <w:rPr>
          <w:rFonts w:ascii="Times New Roman" w:hAnsi="Times New Roman" w:cs="Times New Roman"/>
          <w:i/>
          <w:iCs/>
          <w:sz w:val="24"/>
          <w:szCs w:val="24"/>
        </w:rPr>
        <w:t>Appendix C</w:t>
      </w:r>
    </w:p>
    <w:p w14:paraId="10782FBF" w14:textId="77777777" w:rsidR="009B7333" w:rsidRPr="008B2EDF" w:rsidRDefault="009B7333" w:rsidP="004F17FF">
      <w:pPr>
        <w:spacing w:line="360" w:lineRule="auto"/>
        <w:jc w:val="both"/>
        <w:rPr>
          <w:rFonts w:ascii="Times New Roman" w:hAnsi="Times New Roman" w:cs="Times New Roman"/>
          <w:sz w:val="24"/>
          <w:szCs w:val="24"/>
        </w:rPr>
      </w:pPr>
    </w:p>
    <w:p w14:paraId="2EE5743A" w14:textId="51EBE549" w:rsidR="009B7333" w:rsidRPr="008B2EDF" w:rsidRDefault="009B7333" w:rsidP="004F17FF">
      <w:pPr>
        <w:spacing w:line="360" w:lineRule="auto"/>
        <w:jc w:val="both"/>
        <w:rPr>
          <w:rFonts w:ascii="Times New Roman" w:hAnsi="Times New Roman" w:cs="Times New Roman"/>
          <w:sz w:val="24"/>
          <w:szCs w:val="24"/>
        </w:rPr>
      </w:pPr>
    </w:p>
    <w:p w14:paraId="10B0B6C6" w14:textId="17AB7333" w:rsidR="00544D51" w:rsidRDefault="00503C6D" w:rsidP="004F17FF">
      <w:pPr>
        <w:pStyle w:val="Heading1"/>
        <w:spacing w:line="360" w:lineRule="auto"/>
        <w:jc w:val="both"/>
        <w:rPr>
          <w:rFonts w:ascii="Times New Roman" w:hAnsi="Times New Roman" w:cs="Times New Roman"/>
          <w:sz w:val="24"/>
          <w:szCs w:val="24"/>
        </w:rPr>
      </w:pPr>
      <w:bookmarkStart w:id="65" w:name="_Toc228970960"/>
      <w:r w:rsidRPr="008B2EDF">
        <w:rPr>
          <w:rFonts w:ascii="Times New Roman" w:hAnsi="Times New Roman" w:cs="Times New Roman"/>
          <w:sz w:val="24"/>
          <w:szCs w:val="24"/>
        </w:rPr>
        <w:t>8</w:t>
      </w:r>
      <w:r w:rsidR="001E31D9" w:rsidRPr="008B2EDF">
        <w:rPr>
          <w:rFonts w:ascii="Times New Roman" w:hAnsi="Times New Roman" w:cs="Times New Roman"/>
          <w:sz w:val="24"/>
          <w:szCs w:val="24"/>
        </w:rPr>
        <w:t>.0</w:t>
      </w:r>
      <w:r w:rsidR="00544D51" w:rsidRPr="008B2EDF">
        <w:rPr>
          <w:rFonts w:ascii="Times New Roman" w:hAnsi="Times New Roman" w:cs="Times New Roman"/>
          <w:sz w:val="24"/>
          <w:szCs w:val="24"/>
        </w:rPr>
        <w:t xml:space="preserve"> Research Limitation</w:t>
      </w:r>
      <w:bookmarkEnd w:id="65"/>
    </w:p>
    <w:p w14:paraId="232375D9" w14:textId="77777777" w:rsidR="006F15A0" w:rsidRPr="006F15A0" w:rsidRDefault="006F15A0" w:rsidP="006F15A0"/>
    <w:p w14:paraId="59D84FD0" w14:textId="29C531EC" w:rsidR="006F15A0" w:rsidRPr="006F15A0" w:rsidRDefault="006F15A0" w:rsidP="006F15A0">
      <w:pPr>
        <w:spacing w:line="360" w:lineRule="auto"/>
        <w:jc w:val="both"/>
        <w:rPr>
          <w:rFonts w:ascii="Times New Roman" w:hAnsi="Times New Roman" w:cs="Times New Roman"/>
          <w:sz w:val="24"/>
          <w:szCs w:val="24"/>
        </w:rPr>
      </w:pPr>
      <w:r w:rsidRPr="006F15A0">
        <w:rPr>
          <w:rFonts w:ascii="Times New Roman" w:hAnsi="Times New Roman" w:cs="Times New Roman"/>
          <w:sz w:val="24"/>
          <w:szCs w:val="24"/>
        </w:rPr>
        <w:t>This study has several methodological and contextual limitations that should be considered when interpreting the findings. While the mixed-methods design enabled both statistical analysis and qualitative insight, the overall approach remains exploratory in nature. As such, the findings are indicative of patterns rather than statistically generalisable conclusions (Saunders et al., 2019).</w:t>
      </w:r>
      <w:r>
        <w:rPr>
          <w:rFonts w:ascii="Times New Roman" w:hAnsi="Times New Roman" w:cs="Times New Roman"/>
          <w:sz w:val="24"/>
          <w:szCs w:val="24"/>
        </w:rPr>
        <w:t xml:space="preserve"> </w:t>
      </w:r>
      <w:r w:rsidRPr="006F15A0">
        <w:rPr>
          <w:rFonts w:ascii="Times New Roman" w:hAnsi="Times New Roman" w:cs="Times New Roman"/>
          <w:sz w:val="24"/>
          <w:szCs w:val="24"/>
        </w:rPr>
        <w:t xml:space="preserve">A key limitation relates to sampling strategy and representativeness. </w:t>
      </w:r>
      <w:r w:rsidRPr="006F15A0">
        <w:rPr>
          <w:rFonts w:ascii="Times New Roman" w:hAnsi="Times New Roman" w:cs="Times New Roman"/>
          <w:sz w:val="24"/>
          <w:szCs w:val="24"/>
        </w:rPr>
        <w:lastRenderedPageBreak/>
        <w:t>The study is restricted to the UK warehousing sector and therefore reflects sector-specific employment conditions, particularly those shaped by shift-based logistics and operational constraints. In addition, the use of non-probability snowball sampling limits external validity, as participants are recruited through social networks rather than random selection (Etikan et al., 2016). The final sample of 120 respondents included a high proportion of women (75%) and part-time employees (62%), with a strong concentration in the 25–44 age group (91%). This uneven distribution reduces representativeness and may bias statistical interpretation, particularly in relation to group comparisons.</w:t>
      </w:r>
      <w:r>
        <w:rPr>
          <w:rFonts w:ascii="Times New Roman" w:hAnsi="Times New Roman" w:cs="Times New Roman"/>
          <w:sz w:val="24"/>
          <w:szCs w:val="24"/>
        </w:rPr>
        <w:t xml:space="preserve"> </w:t>
      </w:r>
      <w:r w:rsidRPr="006F15A0">
        <w:rPr>
          <w:rFonts w:ascii="Times New Roman" w:hAnsi="Times New Roman" w:cs="Times New Roman"/>
          <w:sz w:val="24"/>
          <w:szCs w:val="24"/>
        </w:rPr>
        <w:t>This is especially relevant for the interpretation of ANOVA results. ANOVA assumes homogeneity of variance and relatively balanced group sizes (Field, 2018). However, the overrepresentation of the 35–44 age group may reduce the robustness of variance comparisons and increase the likelihood that results reflect dominant subgroups rather than broader population trends. Therefore, while statistically significant differences were observed, these should be interpreted cautiously as indicative rather than definitive.</w:t>
      </w:r>
    </w:p>
    <w:p w14:paraId="32E4035D" w14:textId="20B202B0" w:rsidR="006F15A0" w:rsidRPr="006F15A0" w:rsidRDefault="006F15A0" w:rsidP="006F15A0">
      <w:pPr>
        <w:spacing w:line="360" w:lineRule="auto"/>
        <w:jc w:val="both"/>
        <w:rPr>
          <w:rFonts w:ascii="Times New Roman" w:hAnsi="Times New Roman" w:cs="Times New Roman"/>
          <w:sz w:val="24"/>
          <w:szCs w:val="24"/>
        </w:rPr>
      </w:pPr>
      <w:r w:rsidRPr="006F15A0">
        <w:rPr>
          <w:rFonts w:ascii="Times New Roman" w:hAnsi="Times New Roman" w:cs="Times New Roman"/>
          <w:sz w:val="24"/>
          <w:szCs w:val="24"/>
        </w:rPr>
        <w:t xml:space="preserve">A further limitation concerns the application of inferential statistics. Although ANOVA and Chi-square tests are appropriate for identifying group differences and associations, their validity depends on underlying assumptions. </w:t>
      </w:r>
      <w:r w:rsidRPr="006F15A0">
        <w:rPr>
          <w:rFonts w:ascii="Times New Roman" w:hAnsi="Times New Roman" w:cs="Times New Roman"/>
          <w:sz w:val="24"/>
          <w:szCs w:val="24"/>
        </w:rPr>
        <w:t>ANOVA</w:t>
      </w:r>
      <w:r w:rsidRPr="006F15A0">
        <w:rPr>
          <w:rFonts w:ascii="Times New Roman" w:hAnsi="Times New Roman" w:cs="Times New Roman"/>
          <w:sz w:val="24"/>
          <w:szCs w:val="24"/>
        </w:rPr>
        <w:t xml:space="preserve"> is sensitive to unequal group sizes and outliers, which can distort results if not fully controlled (Field, 2018). Similarly, Pearson correlation assumes linearity and approximate normal distribution of variables (Schober et al., 2018). Given the skewed distribution toward part-time working hours in this dataset, these assumptions may only be partially met, meaning correlation findings should be interpreted as associative rather than causal (Nettleton, 2014).</w:t>
      </w:r>
      <w:r>
        <w:rPr>
          <w:rFonts w:ascii="Times New Roman" w:hAnsi="Times New Roman" w:cs="Times New Roman"/>
          <w:sz w:val="24"/>
          <w:szCs w:val="24"/>
        </w:rPr>
        <w:t xml:space="preserve"> </w:t>
      </w:r>
      <w:r w:rsidRPr="006F15A0">
        <w:rPr>
          <w:rFonts w:ascii="Times New Roman" w:hAnsi="Times New Roman" w:cs="Times New Roman"/>
          <w:sz w:val="24"/>
          <w:szCs w:val="24"/>
        </w:rPr>
        <w:t>The study also relies on self-reported survey data, which introduces the possibility of response bias, including social desirability bias and subjective interpretation of key constructs such as “fairness,” “recognition,” and “career progression” (Podsakoff et al., 2003). Although reliability was strengthened through standardised questionnaire design and pilot testing, self-reporting remains a recognised limitation in organisational research.</w:t>
      </w:r>
    </w:p>
    <w:p w14:paraId="7061DE60" w14:textId="77777777" w:rsidR="006F15A0" w:rsidRPr="006F15A0" w:rsidRDefault="006F15A0" w:rsidP="006F15A0">
      <w:pPr>
        <w:spacing w:line="360" w:lineRule="auto"/>
        <w:jc w:val="both"/>
        <w:rPr>
          <w:rFonts w:ascii="Times New Roman" w:hAnsi="Times New Roman" w:cs="Times New Roman"/>
          <w:sz w:val="24"/>
          <w:szCs w:val="24"/>
        </w:rPr>
      </w:pPr>
      <w:r w:rsidRPr="006F15A0">
        <w:rPr>
          <w:rFonts w:ascii="Times New Roman" w:hAnsi="Times New Roman" w:cs="Times New Roman"/>
          <w:sz w:val="24"/>
          <w:szCs w:val="24"/>
        </w:rPr>
        <w:t>In addition, while thematic analysis provided valuable insight into invisible labour, recognition gaps, and structural barriers, it remains an interpretive method. As Braun and Clarke (2022) highlight, theme development depends on researcher judgement, meaning that alternative interpretations of the same dataset are possible. Furthermore, although qualitative themes were aligned with theoretical frameworks, not all were quantified, limiting the ability to fully integrate qualitative and quantitative findings.</w:t>
      </w:r>
    </w:p>
    <w:p w14:paraId="759CEFAC" w14:textId="77777777" w:rsidR="006F15A0" w:rsidRPr="006F15A0" w:rsidRDefault="006F15A0" w:rsidP="006F15A0">
      <w:pPr>
        <w:spacing w:line="360" w:lineRule="auto"/>
        <w:jc w:val="both"/>
        <w:rPr>
          <w:rFonts w:ascii="Times New Roman" w:hAnsi="Times New Roman" w:cs="Times New Roman"/>
          <w:sz w:val="24"/>
          <w:szCs w:val="24"/>
        </w:rPr>
      </w:pPr>
      <w:r w:rsidRPr="006F15A0">
        <w:rPr>
          <w:rFonts w:ascii="Times New Roman" w:hAnsi="Times New Roman" w:cs="Times New Roman"/>
          <w:sz w:val="24"/>
          <w:szCs w:val="24"/>
        </w:rPr>
        <w:lastRenderedPageBreak/>
        <w:t>Finally, the cross-sectional design restricts the ability to assess change over time. As such, the study cannot establish causality between employment status, working hours, and career progression. Instead, it captures a snapshot of workplace experiences at a single point in time, meaning observed relationships should be understood as correlations rather than developmental or causal pathways (Bryman, 2016).</w:t>
      </w:r>
    </w:p>
    <w:p w14:paraId="20A3A1C8" w14:textId="77777777" w:rsidR="006F15A0" w:rsidRPr="006F15A0" w:rsidRDefault="006F15A0" w:rsidP="006F15A0">
      <w:pPr>
        <w:spacing w:line="360" w:lineRule="auto"/>
        <w:jc w:val="both"/>
        <w:rPr>
          <w:rFonts w:ascii="Times New Roman" w:hAnsi="Times New Roman" w:cs="Times New Roman"/>
          <w:sz w:val="24"/>
          <w:szCs w:val="24"/>
        </w:rPr>
      </w:pPr>
      <w:r w:rsidRPr="006F15A0">
        <w:rPr>
          <w:rFonts w:ascii="Times New Roman" w:hAnsi="Times New Roman" w:cs="Times New Roman"/>
          <w:sz w:val="24"/>
          <w:szCs w:val="24"/>
        </w:rPr>
        <w:t>Despite these limitations, the study maintains methodological strength through its mixed-methods design, allowing triangulation between statistical and qualitative findings. This improves interpretive depth and strengthens understanding of how structural employment conditions shape the experiences of part-time women in UK warehousing. The limitations identified also provide a clear foundation for future research, particularly in relation to improving sampling representativeness, strengthening statistical assumptions, and adopting longitudinal designs (Saunders et al., 2019).</w:t>
      </w:r>
    </w:p>
    <w:p w14:paraId="46D9A9D4" w14:textId="39050DE0" w:rsidR="007022C2" w:rsidRDefault="00503C6D" w:rsidP="004F17FF">
      <w:pPr>
        <w:pStyle w:val="Heading1"/>
        <w:spacing w:line="360" w:lineRule="auto"/>
        <w:jc w:val="both"/>
        <w:rPr>
          <w:rFonts w:ascii="Times New Roman" w:hAnsi="Times New Roman" w:cs="Times New Roman"/>
          <w:sz w:val="24"/>
          <w:szCs w:val="24"/>
        </w:rPr>
      </w:pPr>
      <w:bookmarkStart w:id="66" w:name="_Toc228970961"/>
      <w:r w:rsidRPr="008B2EDF">
        <w:rPr>
          <w:rFonts w:ascii="Times New Roman" w:hAnsi="Times New Roman" w:cs="Times New Roman"/>
          <w:sz w:val="24"/>
          <w:szCs w:val="24"/>
        </w:rPr>
        <w:t xml:space="preserve">9 </w:t>
      </w:r>
      <w:r w:rsidR="007022C2" w:rsidRPr="008B2EDF">
        <w:rPr>
          <w:rFonts w:ascii="Times New Roman" w:hAnsi="Times New Roman" w:cs="Times New Roman"/>
          <w:sz w:val="24"/>
          <w:szCs w:val="24"/>
        </w:rPr>
        <w:t>Future Research</w:t>
      </w:r>
      <w:bookmarkEnd w:id="66"/>
    </w:p>
    <w:p w14:paraId="04EBAB40" w14:textId="77777777" w:rsidR="00E56627" w:rsidRDefault="00E56627" w:rsidP="00E56627">
      <w:pPr>
        <w:spacing w:line="360" w:lineRule="auto"/>
        <w:jc w:val="both"/>
        <w:rPr>
          <w:rFonts w:ascii="Times New Roman" w:hAnsi="Times New Roman" w:cs="Times New Roman"/>
          <w:sz w:val="24"/>
          <w:szCs w:val="24"/>
        </w:rPr>
      </w:pPr>
      <w:r w:rsidRPr="00E56627">
        <w:rPr>
          <w:rFonts w:ascii="Times New Roman" w:hAnsi="Times New Roman" w:cs="Times New Roman"/>
          <w:sz w:val="24"/>
          <w:szCs w:val="24"/>
        </w:rPr>
        <w:t>While this study has generated valuable insights into the career experiences of part-time women in the UK warehousing sector, it also highlights several important avenues for future research. The findings demonstrate that inequalities are primarily shaped by structural employment conditions, particularly part-time status, working hours, and organisational visibility mechanisms. However, because this study is sector-specific and cross-sectional, further research is required to determine the extent to which these patterns are consistent across different labour contexts and over time.</w:t>
      </w:r>
      <w:r>
        <w:rPr>
          <w:rFonts w:ascii="Times New Roman" w:hAnsi="Times New Roman" w:cs="Times New Roman"/>
          <w:sz w:val="24"/>
          <w:szCs w:val="24"/>
        </w:rPr>
        <w:t xml:space="preserve"> </w:t>
      </w:r>
      <w:r w:rsidRPr="00E56627">
        <w:rPr>
          <w:rFonts w:ascii="Times New Roman" w:hAnsi="Times New Roman" w:cs="Times New Roman"/>
          <w:sz w:val="24"/>
          <w:szCs w:val="24"/>
        </w:rPr>
        <w:t xml:space="preserve">A key direction for future research is cross-sector comparative analysis. Although warehousing provides a useful context due to its reliance on flexible and part-time labour, its operational characteristics such as physically demanding work, shift-based scheduling, and just-in-time logistics may intensify certain inequalities that are less pronounced in other sectors. </w:t>
      </w:r>
    </w:p>
    <w:p w14:paraId="4245283A" w14:textId="5B1EDDE5" w:rsidR="00E56627" w:rsidRPr="00E56627" w:rsidRDefault="00E56627" w:rsidP="00E56627">
      <w:pPr>
        <w:pStyle w:val="ListParagraph"/>
        <w:numPr>
          <w:ilvl w:val="0"/>
          <w:numId w:val="37"/>
        </w:numPr>
        <w:spacing w:line="360" w:lineRule="auto"/>
        <w:jc w:val="both"/>
        <w:rPr>
          <w:rFonts w:ascii="Times New Roman" w:hAnsi="Times New Roman" w:cs="Times New Roman"/>
          <w:sz w:val="24"/>
          <w:szCs w:val="24"/>
        </w:rPr>
      </w:pPr>
      <w:r w:rsidRPr="00E56627">
        <w:rPr>
          <w:rFonts w:ascii="Times New Roman" w:hAnsi="Times New Roman" w:cs="Times New Roman"/>
          <w:sz w:val="24"/>
          <w:szCs w:val="24"/>
        </w:rPr>
        <w:t>Comparative studies across retail, healthcare, and hospitality would allow researchers to distinguish between sector-specific barriers and broader structural inequalities within part-time employment (Kossek et al., 2023; Rydström et al., 2023).</w:t>
      </w:r>
      <w:r>
        <w:rPr>
          <w:rFonts w:ascii="Times New Roman" w:hAnsi="Times New Roman" w:cs="Times New Roman"/>
          <w:sz w:val="24"/>
          <w:szCs w:val="24"/>
        </w:rPr>
        <w:t xml:space="preserve"> </w:t>
      </w:r>
      <w:r w:rsidRPr="00E56627">
        <w:rPr>
          <w:rFonts w:ascii="Times New Roman" w:hAnsi="Times New Roman" w:cs="Times New Roman"/>
          <w:sz w:val="24"/>
          <w:szCs w:val="24"/>
        </w:rPr>
        <w:t>In addition, cross-national research would be particularly valuable in extending understanding of how institutional frameworks shape career progression. The present study highlights persistent structural disadvantages in the UK context, despite formal equality legislation. Future research could therefore examine how alternative policy environments, such as the Nordic model of integrated work–life support and protected part-</w:t>
      </w:r>
      <w:r w:rsidRPr="00E56627">
        <w:rPr>
          <w:rFonts w:ascii="Times New Roman" w:hAnsi="Times New Roman" w:cs="Times New Roman"/>
          <w:sz w:val="24"/>
          <w:szCs w:val="24"/>
        </w:rPr>
        <w:lastRenderedPageBreak/>
        <w:t>time progression pathways, moderate or reduce the “part-time penalty” identified in this study (Lewis et al., 2016). Such comparative analysis would deepen theoretical understanding of how policy design interacts with organisational practice.</w:t>
      </w:r>
    </w:p>
    <w:p w14:paraId="72250BDD" w14:textId="77777777" w:rsidR="00E56627" w:rsidRPr="00E56627" w:rsidRDefault="00E56627" w:rsidP="00E56627">
      <w:pPr>
        <w:pStyle w:val="ListParagraph"/>
        <w:numPr>
          <w:ilvl w:val="0"/>
          <w:numId w:val="36"/>
        </w:numPr>
        <w:spacing w:line="360" w:lineRule="auto"/>
        <w:jc w:val="both"/>
        <w:rPr>
          <w:rFonts w:ascii="Times New Roman" w:hAnsi="Times New Roman" w:cs="Times New Roman"/>
          <w:sz w:val="24"/>
          <w:szCs w:val="24"/>
        </w:rPr>
      </w:pPr>
      <w:r w:rsidRPr="00E56627">
        <w:rPr>
          <w:rFonts w:ascii="Times New Roman" w:hAnsi="Times New Roman" w:cs="Times New Roman"/>
          <w:sz w:val="24"/>
          <w:szCs w:val="24"/>
        </w:rPr>
        <w:t>Longitudinal research designs are also necessary to address a key limitation of this study, namely its cross-sectional nature. The current findings capture workplace experiences at a single point in time and therefore cannot fully explain how invisible labour, recognition patterns, or career progression evolve. A longitudinal approach would allow researchers to track how sustained engagement in part-time work influences long-term career trajectories, particularly in relation to cumulative disadvantage and stalled progression.</w:t>
      </w:r>
    </w:p>
    <w:p w14:paraId="1245127A" w14:textId="77777777" w:rsidR="00E56627" w:rsidRPr="00E56627" w:rsidRDefault="00E56627" w:rsidP="00E56627">
      <w:pPr>
        <w:spacing w:line="360" w:lineRule="auto"/>
        <w:jc w:val="both"/>
        <w:rPr>
          <w:rFonts w:ascii="Times New Roman" w:hAnsi="Times New Roman" w:cs="Times New Roman"/>
          <w:sz w:val="24"/>
          <w:szCs w:val="24"/>
        </w:rPr>
      </w:pPr>
      <w:r w:rsidRPr="00E56627">
        <w:rPr>
          <w:rFonts w:ascii="Times New Roman" w:hAnsi="Times New Roman" w:cs="Times New Roman"/>
          <w:sz w:val="24"/>
          <w:szCs w:val="24"/>
        </w:rPr>
        <w:t>Further research should also explore the evolving nature of invisible labour and recognition systems. This study has demonstrated a persistent gap between informal acknowledgment (68%) and formal recognition (31%), suggesting that organisational evaluation systems systematically fail to capture a significant proportion of employee contributions. Future studies could use mixed qualitative–quantitative designs to develop more precise measurement tools for invisible labour and examine how these contributions are translated into career outcomes.</w:t>
      </w:r>
    </w:p>
    <w:p w14:paraId="35ABE969" w14:textId="77777777" w:rsidR="00E56627" w:rsidRDefault="00E56627" w:rsidP="00E56627">
      <w:pPr>
        <w:spacing w:line="360" w:lineRule="auto"/>
        <w:jc w:val="both"/>
        <w:rPr>
          <w:rFonts w:ascii="Times New Roman" w:hAnsi="Times New Roman" w:cs="Times New Roman"/>
          <w:sz w:val="24"/>
          <w:szCs w:val="24"/>
        </w:rPr>
      </w:pPr>
      <w:r w:rsidRPr="00E56627">
        <w:rPr>
          <w:rFonts w:ascii="Times New Roman" w:hAnsi="Times New Roman" w:cs="Times New Roman"/>
          <w:sz w:val="24"/>
          <w:szCs w:val="24"/>
        </w:rPr>
        <w:t>Finally, emerging technological change and automation within warehousing present an important area for investigation. As digital systems, robotics, and AI-driven logistics become more prevalent, it is essential to understand whether these developments will reduce structural inequalities by standardising work processes or whether they will reinforce existing disparities by privileging digitally skilled, full-time roles.</w:t>
      </w:r>
    </w:p>
    <w:p w14:paraId="7EE28917" w14:textId="4A338616" w:rsidR="00E56627" w:rsidRPr="00E56627" w:rsidRDefault="00E56627" w:rsidP="00E56627">
      <w:pPr>
        <w:spacing w:line="360" w:lineRule="auto"/>
        <w:jc w:val="both"/>
        <w:rPr>
          <w:rFonts w:ascii="Times New Roman" w:hAnsi="Times New Roman" w:cs="Times New Roman"/>
          <w:sz w:val="24"/>
          <w:szCs w:val="24"/>
        </w:rPr>
      </w:pPr>
      <w:r w:rsidRPr="00E56627">
        <w:rPr>
          <w:rFonts w:ascii="Times New Roman" w:hAnsi="Times New Roman" w:cs="Times New Roman"/>
          <w:sz w:val="24"/>
          <w:szCs w:val="24"/>
        </w:rPr>
        <w:t xml:space="preserve"> This is particularly relevant given the study’s finding that working hours and visibility strongly influence perceived career progression (r = 0.42, p = 0.002), suggesting that technological restructuring may further reshape access to opportunity (Alon, 2022; Petitta and Ghezzi, 2025).</w:t>
      </w:r>
    </w:p>
    <w:p w14:paraId="53B22F17" w14:textId="3FD0C240" w:rsidR="00E56627" w:rsidRPr="00E56627" w:rsidRDefault="00E56627" w:rsidP="00E56627">
      <w:pPr>
        <w:spacing w:line="360" w:lineRule="auto"/>
        <w:jc w:val="both"/>
        <w:rPr>
          <w:rFonts w:ascii="Times New Roman" w:hAnsi="Times New Roman" w:cs="Times New Roman"/>
          <w:sz w:val="24"/>
          <w:szCs w:val="24"/>
        </w:rPr>
      </w:pPr>
      <w:r>
        <w:rPr>
          <w:rFonts w:ascii="Times New Roman" w:hAnsi="Times New Roman" w:cs="Times New Roman"/>
          <w:sz w:val="24"/>
          <w:szCs w:val="24"/>
        </w:rPr>
        <w:t>Fu</w:t>
      </w:r>
      <w:r w:rsidRPr="00E56627">
        <w:rPr>
          <w:rFonts w:ascii="Times New Roman" w:hAnsi="Times New Roman" w:cs="Times New Roman"/>
          <w:sz w:val="24"/>
          <w:szCs w:val="24"/>
        </w:rPr>
        <w:t>ture research should move beyond descriptive accounts of inequality toward more comparative, longitudinal, and structurally sensitive analyses that better capture how organisational systems produce and reproduce disadvantage in part-time employment.</w:t>
      </w:r>
    </w:p>
    <w:p w14:paraId="219A798B" w14:textId="77777777" w:rsidR="00E56627" w:rsidRPr="00E56627" w:rsidRDefault="00E56627" w:rsidP="00E56627">
      <w:pPr>
        <w:spacing w:line="360" w:lineRule="auto"/>
        <w:jc w:val="both"/>
        <w:rPr>
          <w:rFonts w:ascii="Times New Roman" w:hAnsi="Times New Roman" w:cs="Times New Roman"/>
        </w:rPr>
      </w:pPr>
    </w:p>
    <w:p w14:paraId="5A974885" w14:textId="1EE814CD" w:rsidR="00257051" w:rsidRDefault="00503C6D" w:rsidP="004F17FF">
      <w:pPr>
        <w:pStyle w:val="Heading1"/>
        <w:spacing w:line="360" w:lineRule="auto"/>
        <w:jc w:val="both"/>
        <w:rPr>
          <w:rFonts w:ascii="Times New Roman" w:hAnsi="Times New Roman" w:cs="Times New Roman"/>
          <w:sz w:val="24"/>
          <w:szCs w:val="24"/>
        </w:rPr>
      </w:pPr>
      <w:bookmarkStart w:id="67" w:name="_Toc228970962"/>
      <w:r w:rsidRPr="008B2EDF">
        <w:rPr>
          <w:rFonts w:ascii="Times New Roman" w:hAnsi="Times New Roman" w:cs="Times New Roman"/>
          <w:sz w:val="24"/>
          <w:szCs w:val="24"/>
        </w:rPr>
        <w:t>10</w:t>
      </w:r>
      <w:r w:rsidR="005E23C8" w:rsidRPr="008B2EDF">
        <w:rPr>
          <w:rFonts w:ascii="Times New Roman" w:hAnsi="Times New Roman" w:cs="Times New Roman"/>
          <w:sz w:val="24"/>
          <w:szCs w:val="24"/>
        </w:rPr>
        <w:t xml:space="preserve"> </w:t>
      </w:r>
      <w:r w:rsidR="00E032D2" w:rsidRPr="008B2EDF">
        <w:rPr>
          <w:rFonts w:ascii="Times New Roman" w:hAnsi="Times New Roman" w:cs="Times New Roman"/>
          <w:sz w:val="24"/>
          <w:szCs w:val="24"/>
        </w:rPr>
        <w:t>Conclusion</w:t>
      </w:r>
      <w:bookmarkEnd w:id="67"/>
    </w:p>
    <w:p w14:paraId="451F9809" w14:textId="77777777" w:rsidR="00975DD6" w:rsidRPr="00975DD6" w:rsidRDefault="00975DD6" w:rsidP="00975DD6"/>
    <w:p w14:paraId="571223E6" w14:textId="3C3C77ED" w:rsidR="00975DD6" w:rsidRPr="00975DD6" w:rsidRDefault="00975DD6" w:rsidP="00975DD6">
      <w:pPr>
        <w:spacing w:line="360" w:lineRule="auto"/>
        <w:jc w:val="both"/>
        <w:rPr>
          <w:rFonts w:ascii="Times New Roman" w:hAnsi="Times New Roman" w:cs="Times New Roman"/>
          <w:sz w:val="24"/>
          <w:szCs w:val="24"/>
        </w:rPr>
      </w:pPr>
      <w:r w:rsidRPr="00975DD6">
        <w:rPr>
          <w:rFonts w:ascii="Times New Roman" w:hAnsi="Times New Roman" w:cs="Times New Roman"/>
          <w:sz w:val="24"/>
          <w:szCs w:val="24"/>
        </w:rPr>
        <w:lastRenderedPageBreak/>
        <w:t>This study set out to examine the career progression experiences of part-time women in the UK warehousing sector, with a particular focus on invisible labour, recognition systems, and structural barriers to advancement. The findings demonstrate that inequality within this context is primarily driven by employment structure rather than individual capability or gender alone. Across both quantitative and qualitative data, part-time status and reduced working hours consistently emerged as the most significant factors influencing recognition, perceived fairness, and access to career progression.</w:t>
      </w:r>
      <w:r>
        <w:rPr>
          <w:rFonts w:ascii="Times New Roman" w:hAnsi="Times New Roman" w:cs="Times New Roman"/>
          <w:sz w:val="24"/>
          <w:szCs w:val="24"/>
        </w:rPr>
        <w:t xml:space="preserve"> </w:t>
      </w:r>
      <w:r w:rsidRPr="00975DD6">
        <w:rPr>
          <w:rFonts w:ascii="Times New Roman" w:hAnsi="Times New Roman" w:cs="Times New Roman"/>
          <w:sz w:val="24"/>
          <w:szCs w:val="24"/>
        </w:rPr>
        <w:t>The statistical analysis reinforces this conclusion. The chi-square results (χ² = 12.45, p = 0.001) show a significant association between employment status and perceived recognition, indicating that part-time employees are systematically less likely to feel acknowledged in formal performance systems. Similarly, the Pearson correlation (r = 0.42, p = 0.002) demonstrates a moderate positive relationship between weekly working hours and perceived career advancement, suggesting that increased visibility through longer working hours is associated with improved access to progression opportunities. However, this relationship is correlational and does not imply causation, as structural and organisational factors also shape outcomes.</w:t>
      </w:r>
      <w:r>
        <w:rPr>
          <w:rFonts w:ascii="Times New Roman" w:hAnsi="Times New Roman" w:cs="Times New Roman"/>
          <w:sz w:val="24"/>
          <w:szCs w:val="24"/>
        </w:rPr>
        <w:t xml:space="preserve"> </w:t>
      </w:r>
      <w:r w:rsidRPr="00975DD6">
        <w:rPr>
          <w:rFonts w:ascii="Times New Roman" w:hAnsi="Times New Roman" w:cs="Times New Roman"/>
          <w:sz w:val="24"/>
          <w:szCs w:val="24"/>
        </w:rPr>
        <w:t xml:space="preserve">The ANOVA findings further highlight variation in job satisfaction across age groups (F(4,115) = 3.68, p = 0.008), although interpretation is limited by the uneven distribution of respondents, particularly the overrepresentation of the 35–44 group. While this result suggests life-stage differences in satisfaction, it should be interpreted cautiously due to sample imbalance and the sensitivity of ANOVA to unequal group sizes. These methodological considerations limit the extent to which findings can be generalised beyond the </w:t>
      </w:r>
      <w:r w:rsidRPr="00975DD6">
        <w:rPr>
          <w:rFonts w:ascii="Times New Roman" w:hAnsi="Times New Roman" w:cs="Times New Roman"/>
          <w:sz w:val="24"/>
          <w:szCs w:val="24"/>
        </w:rPr>
        <w:t>sample. Thematically</w:t>
      </w:r>
      <w:r w:rsidRPr="00975DD6">
        <w:rPr>
          <w:rFonts w:ascii="Times New Roman" w:hAnsi="Times New Roman" w:cs="Times New Roman"/>
          <w:sz w:val="24"/>
          <w:szCs w:val="24"/>
        </w:rPr>
        <w:t>, the study identified a consistent pattern of invisible labour, recognition gaps, and structural barriers. Although 68% of respondents reported informal acknowledgment of additional work such as mentoring and covering shortages, only 31% experienced formal recognition through evaluation or reward systems. This disconnect highlights a structural misalignment between organisational dependence on informal labour and its formal undervaluation. When interpreted through Equity Theory, this imbalance contributes to perceptions of unfairness and reduced career motivation. Human Capital Theory further explains how restricted access to training and visibility limits the accumulation of career-enhancing skills among part-time workers.</w:t>
      </w:r>
    </w:p>
    <w:p w14:paraId="6DF813B5" w14:textId="77777777" w:rsidR="00975DD6" w:rsidRPr="00975DD6" w:rsidRDefault="00975DD6" w:rsidP="00975DD6">
      <w:pPr>
        <w:spacing w:line="360" w:lineRule="auto"/>
        <w:jc w:val="both"/>
        <w:rPr>
          <w:rFonts w:ascii="Times New Roman" w:hAnsi="Times New Roman" w:cs="Times New Roman"/>
          <w:sz w:val="24"/>
          <w:szCs w:val="24"/>
        </w:rPr>
      </w:pPr>
      <w:r w:rsidRPr="00975DD6">
        <w:rPr>
          <w:rFonts w:ascii="Times New Roman" w:hAnsi="Times New Roman" w:cs="Times New Roman"/>
          <w:sz w:val="24"/>
          <w:szCs w:val="24"/>
        </w:rPr>
        <w:t xml:space="preserve">Importantly, the findings also show that gender alone is not the primary explanatory factor within this dataset. Instead, gendered inequality operates indirectly through part-time employment structures, where women are disproportionately represented. This supports the view that contemporary workplace inequality is increasingly embedded in organisational </w:t>
      </w:r>
      <w:r w:rsidRPr="00975DD6">
        <w:rPr>
          <w:rFonts w:ascii="Times New Roman" w:hAnsi="Times New Roman" w:cs="Times New Roman"/>
          <w:sz w:val="24"/>
          <w:szCs w:val="24"/>
        </w:rPr>
        <w:lastRenderedPageBreak/>
        <w:t>systems rather than explicit discrimination, consistent with wider literature on structural gender inequality in flexible labour markets (Abendroth and Chung, 2022).</w:t>
      </w:r>
    </w:p>
    <w:p w14:paraId="13A92ABE" w14:textId="49577B9C" w:rsidR="00975DD6" w:rsidRPr="00975DD6" w:rsidRDefault="00975DD6" w:rsidP="00975DD6">
      <w:p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Pr="00975DD6">
        <w:rPr>
          <w:rFonts w:ascii="Times New Roman" w:hAnsi="Times New Roman" w:cs="Times New Roman"/>
          <w:sz w:val="24"/>
          <w:szCs w:val="24"/>
        </w:rPr>
        <w:t>he study concludes that the “part-time penalty” persists within UK warehousing through three interconnected mechanisms: reduced visibility in performance systems, limited access to training and development, and structural bias towards full-time working patterns in promotion pathways. While flexibility is widely valued, it is simultaneously associated with reduced career progression opportunities, reinforcing a trade-off between work–life balance and advancement.</w:t>
      </w:r>
      <w:r>
        <w:rPr>
          <w:rFonts w:ascii="Times New Roman" w:hAnsi="Times New Roman" w:cs="Times New Roman"/>
          <w:sz w:val="24"/>
          <w:szCs w:val="24"/>
        </w:rPr>
        <w:t xml:space="preserve"> </w:t>
      </w:r>
      <w:r w:rsidRPr="00975DD6">
        <w:rPr>
          <w:rFonts w:ascii="Times New Roman" w:hAnsi="Times New Roman" w:cs="Times New Roman"/>
          <w:sz w:val="24"/>
          <w:szCs w:val="24"/>
        </w:rPr>
        <w:t xml:space="preserve">However, the conclusions must be interpreted </w:t>
      </w:r>
      <w:r w:rsidR="005B0BF0" w:rsidRPr="00975DD6">
        <w:rPr>
          <w:rFonts w:ascii="Times New Roman" w:hAnsi="Times New Roman" w:cs="Times New Roman"/>
          <w:sz w:val="24"/>
          <w:szCs w:val="24"/>
        </w:rPr>
        <w:t>considering</w:t>
      </w:r>
      <w:r w:rsidRPr="00975DD6">
        <w:rPr>
          <w:rFonts w:ascii="Times New Roman" w:hAnsi="Times New Roman" w:cs="Times New Roman"/>
          <w:sz w:val="24"/>
          <w:szCs w:val="24"/>
        </w:rPr>
        <w:t xml:space="preserve"> methodological limitations. The non-probability sample, uneven age distribution, reliance on self-reported data, and cross-sectional design restrict generalisability and limit causal inference. </w:t>
      </w:r>
      <w:r w:rsidRPr="00975DD6">
        <w:rPr>
          <w:rFonts w:ascii="Times New Roman" w:hAnsi="Times New Roman" w:cs="Times New Roman"/>
          <w:sz w:val="24"/>
          <w:szCs w:val="24"/>
        </w:rPr>
        <w:t>Statistical</w:t>
      </w:r>
      <w:r w:rsidRPr="00975DD6">
        <w:rPr>
          <w:rFonts w:ascii="Times New Roman" w:hAnsi="Times New Roman" w:cs="Times New Roman"/>
          <w:sz w:val="24"/>
          <w:szCs w:val="24"/>
        </w:rPr>
        <w:t xml:space="preserve"> results should be understood as indicative of patterns rather than definitive population-level relationships.</w:t>
      </w:r>
    </w:p>
    <w:p w14:paraId="5BD97C0F" w14:textId="77777777" w:rsidR="00975DD6" w:rsidRPr="00975DD6" w:rsidRDefault="00975DD6" w:rsidP="00975DD6">
      <w:pPr>
        <w:spacing w:line="360" w:lineRule="auto"/>
        <w:jc w:val="both"/>
        <w:rPr>
          <w:rFonts w:ascii="Times New Roman" w:hAnsi="Times New Roman" w:cs="Times New Roman"/>
          <w:sz w:val="24"/>
          <w:szCs w:val="24"/>
        </w:rPr>
      </w:pPr>
      <w:r w:rsidRPr="00975DD6">
        <w:rPr>
          <w:rFonts w:ascii="Times New Roman" w:hAnsi="Times New Roman" w:cs="Times New Roman"/>
          <w:sz w:val="24"/>
          <w:szCs w:val="24"/>
        </w:rPr>
        <w:t>Despite these limitations, the integration of quantitative and qualitative data provides a robust and coherent explanation of how structural employment conditions shape career outcomes for part-time women in warehousing. The findings make a clear contribution by demonstrating that inequality is not solely a function of gender or individual choice, but is systematically produced through organisational design, recognition systems, and differential access to opportunity. This underscores the need for structural reform in how part-time work is evaluated, rewarded, and integrated into career progression frameworks.</w:t>
      </w:r>
    </w:p>
    <w:p w14:paraId="0B473EAD" w14:textId="77777777" w:rsidR="008C600C" w:rsidRPr="008B2EDF" w:rsidRDefault="008C600C" w:rsidP="008C600C">
      <w:pPr>
        <w:spacing w:line="360" w:lineRule="auto"/>
        <w:jc w:val="both"/>
        <w:rPr>
          <w:rFonts w:ascii="Times New Roman" w:hAnsi="Times New Roman" w:cs="Times New Roman"/>
          <w:vanish/>
          <w:sz w:val="24"/>
          <w:szCs w:val="24"/>
        </w:rPr>
      </w:pPr>
      <w:r w:rsidRPr="008B2EDF">
        <w:rPr>
          <w:rFonts w:ascii="Times New Roman" w:hAnsi="Times New Roman" w:cs="Times New Roman"/>
          <w:vanish/>
          <w:sz w:val="24"/>
          <w:szCs w:val="24"/>
        </w:rPr>
        <w:t>Top of Form</w:t>
      </w:r>
    </w:p>
    <w:p w14:paraId="473C2F2A" w14:textId="77777777" w:rsidR="008C600C" w:rsidRPr="008B2EDF" w:rsidRDefault="008C600C" w:rsidP="008C600C">
      <w:pPr>
        <w:spacing w:line="360" w:lineRule="auto"/>
        <w:jc w:val="both"/>
        <w:rPr>
          <w:rFonts w:ascii="Times New Roman" w:hAnsi="Times New Roman" w:cs="Times New Roman"/>
          <w:vanish/>
          <w:sz w:val="24"/>
          <w:szCs w:val="24"/>
        </w:rPr>
      </w:pPr>
      <w:r w:rsidRPr="008B2EDF">
        <w:rPr>
          <w:rFonts w:ascii="Times New Roman" w:hAnsi="Times New Roman" w:cs="Times New Roman"/>
          <w:vanish/>
          <w:sz w:val="24"/>
          <w:szCs w:val="24"/>
        </w:rPr>
        <w:t>Bottom of Form</w:t>
      </w:r>
    </w:p>
    <w:p w14:paraId="77DFCB21" w14:textId="21957B07" w:rsidR="008C600C" w:rsidRPr="008B2EDF" w:rsidRDefault="008C600C">
      <w:pPr>
        <w:rPr>
          <w:rFonts w:ascii="Times New Roman" w:hAnsi="Times New Roman" w:cs="Times New Roman"/>
          <w:b/>
          <w:bCs/>
          <w:sz w:val="24"/>
          <w:szCs w:val="24"/>
        </w:rPr>
      </w:pPr>
      <w:r w:rsidRPr="008B2EDF">
        <w:rPr>
          <w:rFonts w:ascii="Times New Roman" w:hAnsi="Times New Roman" w:cs="Times New Roman"/>
          <w:b/>
          <w:bCs/>
          <w:sz w:val="24"/>
          <w:szCs w:val="24"/>
        </w:rPr>
        <w:br w:type="page"/>
      </w:r>
    </w:p>
    <w:p w14:paraId="7E9D8F02" w14:textId="77777777" w:rsidR="00D14993" w:rsidRPr="008B2EDF" w:rsidRDefault="00D14993" w:rsidP="004F17FF">
      <w:pPr>
        <w:spacing w:line="360" w:lineRule="auto"/>
        <w:jc w:val="both"/>
        <w:rPr>
          <w:rFonts w:ascii="Times New Roman" w:hAnsi="Times New Roman" w:cs="Times New Roman"/>
          <w:b/>
          <w:bCs/>
          <w:sz w:val="24"/>
          <w:szCs w:val="24"/>
        </w:rPr>
      </w:pPr>
    </w:p>
    <w:p w14:paraId="4DBD456A" w14:textId="40C3C503" w:rsidR="00266861" w:rsidRPr="008B2EDF" w:rsidRDefault="00E94180" w:rsidP="004F17FF">
      <w:pPr>
        <w:pStyle w:val="Heading1"/>
        <w:jc w:val="both"/>
        <w:rPr>
          <w:rFonts w:ascii="Times New Roman" w:hAnsi="Times New Roman" w:cs="Times New Roman"/>
          <w:sz w:val="24"/>
          <w:szCs w:val="24"/>
        </w:rPr>
      </w:pPr>
      <w:bookmarkStart w:id="68" w:name="_Toc228970963"/>
      <w:r w:rsidRPr="008B2EDF">
        <w:rPr>
          <w:rFonts w:ascii="Times New Roman" w:hAnsi="Times New Roman" w:cs="Times New Roman"/>
          <w:sz w:val="24"/>
          <w:szCs w:val="24"/>
        </w:rPr>
        <w:t>References</w:t>
      </w:r>
      <w:bookmarkEnd w:id="68"/>
    </w:p>
    <w:p w14:paraId="2B1C1444" w14:textId="68751709" w:rsidR="00EE0497" w:rsidRPr="008B2EDF" w:rsidRDefault="00EE0497" w:rsidP="004F17FF">
      <w:pPr>
        <w:jc w:val="both"/>
        <w:rPr>
          <w:rFonts w:ascii="Times New Roman" w:hAnsi="Times New Roman" w:cs="Times New Roman"/>
          <w:sz w:val="24"/>
          <w:szCs w:val="24"/>
        </w:rPr>
      </w:pPr>
      <w:r w:rsidRPr="008B2EDF">
        <w:rPr>
          <w:rFonts w:ascii="Times New Roman" w:hAnsi="Times New Roman" w:cs="Times New Roman"/>
          <w:sz w:val="24"/>
          <w:szCs w:val="24"/>
        </w:rPr>
        <w:t>Abendroth, A.</w:t>
      </w:r>
      <w:r w:rsidRPr="008B2EDF">
        <w:rPr>
          <w:rFonts w:ascii="Times New Roman" w:hAnsi="Times New Roman" w:cs="Times New Roman"/>
          <w:sz w:val="24"/>
          <w:szCs w:val="24"/>
        </w:rPr>
        <w:noBreakHyphen/>
        <w:t>K. (2022) ‘Transitions to parenthood, flexible working and time</w:t>
      </w:r>
      <w:r w:rsidRPr="008B2EDF">
        <w:rPr>
          <w:rFonts w:ascii="Times New Roman" w:hAnsi="Times New Roman" w:cs="Times New Roman"/>
          <w:sz w:val="24"/>
          <w:szCs w:val="24"/>
        </w:rPr>
        <w:noBreakHyphen/>
        <w:t>based work</w:t>
      </w:r>
      <w:r w:rsidRPr="008B2EDF">
        <w:rPr>
          <w:rFonts w:ascii="Times New Roman" w:hAnsi="Times New Roman" w:cs="Times New Roman"/>
          <w:sz w:val="24"/>
          <w:szCs w:val="24"/>
        </w:rPr>
        <w:noBreakHyphen/>
        <w:t>to</w:t>
      </w:r>
      <w:r w:rsidRPr="008B2EDF">
        <w:rPr>
          <w:rFonts w:ascii="Times New Roman" w:hAnsi="Times New Roman" w:cs="Times New Roman"/>
          <w:sz w:val="24"/>
          <w:szCs w:val="24"/>
        </w:rPr>
        <w:noBreakHyphen/>
        <w:t xml:space="preserve">family conflicts’, </w:t>
      </w:r>
      <w:r w:rsidRPr="008B2EDF">
        <w:rPr>
          <w:rFonts w:ascii="Times New Roman" w:hAnsi="Times New Roman" w:cs="Times New Roman"/>
          <w:i/>
          <w:iCs/>
          <w:sz w:val="24"/>
          <w:szCs w:val="24"/>
        </w:rPr>
        <w:t>Journal of Family Research</w:t>
      </w:r>
      <w:r w:rsidRPr="008B2EDF">
        <w:rPr>
          <w:rFonts w:ascii="Times New Roman" w:hAnsi="Times New Roman" w:cs="Times New Roman"/>
          <w:sz w:val="24"/>
          <w:szCs w:val="24"/>
        </w:rPr>
        <w:t>, 34(4), pp. 1033–1055. Available at: </w:t>
      </w:r>
    </w:p>
    <w:p w14:paraId="0CDDE205" w14:textId="1FC3FC0B" w:rsidR="001D668C" w:rsidRPr="008B2EDF" w:rsidRDefault="00EE0497" w:rsidP="004F17FF">
      <w:pPr>
        <w:jc w:val="both"/>
        <w:rPr>
          <w:rFonts w:ascii="Times New Roman" w:hAnsi="Times New Roman" w:cs="Times New Roman"/>
          <w:sz w:val="24"/>
          <w:szCs w:val="24"/>
        </w:rPr>
      </w:pPr>
      <w:hyperlink r:id="rId22" w:history="1">
        <w:r w:rsidRPr="008B2EDF">
          <w:rPr>
            <w:rStyle w:val="Hyperlink"/>
            <w:rFonts w:ascii="Times New Roman" w:hAnsi="Times New Roman" w:cs="Times New Roman"/>
            <w:sz w:val="24"/>
            <w:szCs w:val="24"/>
          </w:rPr>
          <w:t>https://www.ssoar.info/ssoar/bitstream/handle/document/88769/ssoar-jfr-2022-4-abendroth-Transitions_to_parenthood_flexible_working.pdf</w:t>
        </w:r>
      </w:hyperlink>
      <w:r w:rsidRPr="008B2EDF">
        <w:rPr>
          <w:rFonts w:ascii="Times New Roman" w:hAnsi="Times New Roman" w:cs="Times New Roman"/>
          <w:sz w:val="24"/>
          <w:szCs w:val="24"/>
        </w:rPr>
        <w:t xml:space="preserve"> </w:t>
      </w:r>
    </w:p>
    <w:p w14:paraId="63BF1805" w14:textId="01FA00E9" w:rsidR="001976C8" w:rsidRPr="008B2EDF" w:rsidRDefault="00EE0497" w:rsidP="004F17FF">
      <w:pPr>
        <w:jc w:val="both"/>
        <w:rPr>
          <w:rFonts w:ascii="Times New Roman" w:hAnsi="Times New Roman" w:cs="Times New Roman"/>
          <w:sz w:val="24"/>
          <w:szCs w:val="24"/>
        </w:rPr>
      </w:pPr>
      <w:r w:rsidRPr="008B2EDF">
        <w:rPr>
          <w:rFonts w:ascii="Times New Roman" w:hAnsi="Times New Roman" w:cs="Times New Roman"/>
          <w:sz w:val="24"/>
          <w:szCs w:val="24"/>
        </w:rPr>
        <w:t>(Accessed: 3 May 2026)</w:t>
      </w:r>
    </w:p>
    <w:p w14:paraId="10C3D7AF" w14:textId="77777777" w:rsidR="001976C8" w:rsidRPr="008B2EDF" w:rsidRDefault="001976C8" w:rsidP="004F17FF">
      <w:pPr>
        <w:jc w:val="both"/>
        <w:rPr>
          <w:rFonts w:ascii="Times New Roman" w:hAnsi="Times New Roman" w:cs="Times New Roman"/>
          <w:sz w:val="24"/>
          <w:szCs w:val="24"/>
        </w:rPr>
      </w:pPr>
      <w:r w:rsidRPr="008B2EDF">
        <w:rPr>
          <w:rFonts w:ascii="Times New Roman" w:hAnsi="Times New Roman" w:cs="Times New Roman"/>
          <w:sz w:val="24"/>
          <w:szCs w:val="24"/>
        </w:rPr>
        <w:t>Abendroth, A.</w:t>
      </w:r>
      <w:r w:rsidRPr="008B2EDF">
        <w:rPr>
          <w:rFonts w:ascii="Times New Roman" w:hAnsi="Times New Roman" w:cs="Times New Roman"/>
          <w:sz w:val="24"/>
          <w:szCs w:val="24"/>
        </w:rPr>
        <w:noBreakHyphen/>
        <w:t xml:space="preserve">K. and Chung, H. (2022) ‘Flexible working and the gendered division of labour’, </w:t>
      </w:r>
      <w:r w:rsidRPr="008B2EDF">
        <w:rPr>
          <w:rFonts w:ascii="Times New Roman" w:hAnsi="Times New Roman" w:cs="Times New Roman"/>
          <w:i/>
          <w:iCs/>
          <w:sz w:val="24"/>
          <w:szCs w:val="24"/>
        </w:rPr>
        <w:t>Journal of Family Research</w:t>
      </w:r>
      <w:r w:rsidRPr="008B2EDF">
        <w:rPr>
          <w:rFonts w:ascii="Times New Roman" w:hAnsi="Times New Roman" w:cs="Times New Roman"/>
          <w:sz w:val="24"/>
          <w:szCs w:val="24"/>
        </w:rPr>
        <w:t>, 34(3), pp. 541–564.</w:t>
      </w:r>
    </w:p>
    <w:p w14:paraId="4436202D" w14:textId="77777777" w:rsidR="001976C8" w:rsidRPr="008B2EDF" w:rsidRDefault="001976C8" w:rsidP="004F17FF">
      <w:pPr>
        <w:jc w:val="both"/>
        <w:rPr>
          <w:rFonts w:ascii="Times New Roman" w:hAnsi="Times New Roman" w:cs="Times New Roman"/>
          <w:sz w:val="24"/>
          <w:szCs w:val="24"/>
        </w:rPr>
      </w:pPr>
      <w:r w:rsidRPr="008B2EDF">
        <w:rPr>
          <w:rFonts w:ascii="Times New Roman" w:hAnsi="Times New Roman" w:cs="Times New Roman"/>
          <w:sz w:val="24"/>
          <w:szCs w:val="24"/>
        </w:rPr>
        <w:t>Avram, S., Abendroth, A.</w:t>
      </w:r>
      <w:r w:rsidRPr="008B2EDF">
        <w:rPr>
          <w:rFonts w:ascii="Times New Roman" w:hAnsi="Times New Roman" w:cs="Times New Roman"/>
          <w:sz w:val="24"/>
          <w:szCs w:val="24"/>
        </w:rPr>
        <w:noBreakHyphen/>
        <w:t xml:space="preserve">K. and Chung, H. (2024) ‘Parenthood, gender and flexible working arrangements’, </w:t>
      </w:r>
      <w:r w:rsidRPr="008B2EDF">
        <w:rPr>
          <w:rFonts w:ascii="Times New Roman" w:hAnsi="Times New Roman" w:cs="Times New Roman"/>
          <w:i/>
          <w:iCs/>
          <w:sz w:val="24"/>
          <w:szCs w:val="24"/>
        </w:rPr>
        <w:t>Journal of Family Research</w:t>
      </w:r>
      <w:r w:rsidRPr="008B2EDF">
        <w:rPr>
          <w:rFonts w:ascii="Times New Roman" w:hAnsi="Times New Roman" w:cs="Times New Roman"/>
          <w:sz w:val="24"/>
          <w:szCs w:val="24"/>
        </w:rPr>
        <w:t>, 36, pp. 229–249.</w:t>
      </w:r>
    </w:p>
    <w:p w14:paraId="6B7D42C0" w14:textId="77777777" w:rsidR="001976C8" w:rsidRPr="008B2EDF" w:rsidRDefault="001976C8" w:rsidP="004F17FF">
      <w:pPr>
        <w:jc w:val="both"/>
        <w:rPr>
          <w:rFonts w:ascii="Times New Roman" w:hAnsi="Times New Roman" w:cs="Times New Roman"/>
          <w:sz w:val="24"/>
          <w:szCs w:val="24"/>
        </w:rPr>
      </w:pPr>
      <w:r w:rsidRPr="008B2EDF">
        <w:rPr>
          <w:rFonts w:ascii="Times New Roman" w:hAnsi="Times New Roman" w:cs="Times New Roman"/>
          <w:sz w:val="24"/>
          <w:szCs w:val="24"/>
        </w:rPr>
        <w:t xml:space="preserve">Booker, C. and Chung, H. (2023) ‘Flexible working and the division of housework and childcare’, </w:t>
      </w:r>
      <w:r w:rsidRPr="008B2EDF">
        <w:rPr>
          <w:rFonts w:ascii="Times New Roman" w:hAnsi="Times New Roman" w:cs="Times New Roman"/>
          <w:i/>
          <w:iCs/>
          <w:sz w:val="24"/>
          <w:szCs w:val="24"/>
        </w:rPr>
        <w:t>Work, Employment and Society</w:t>
      </w:r>
      <w:r w:rsidRPr="008B2EDF">
        <w:rPr>
          <w:rFonts w:ascii="Times New Roman" w:hAnsi="Times New Roman" w:cs="Times New Roman"/>
          <w:sz w:val="24"/>
          <w:szCs w:val="24"/>
        </w:rPr>
        <w:t>, 37, pp. 236–256.</w:t>
      </w:r>
    </w:p>
    <w:p w14:paraId="51D9075D" w14:textId="77777777" w:rsidR="001976C8" w:rsidRPr="008B2EDF" w:rsidRDefault="001976C8" w:rsidP="004F17FF">
      <w:pPr>
        <w:jc w:val="both"/>
        <w:rPr>
          <w:rFonts w:ascii="Times New Roman" w:hAnsi="Times New Roman" w:cs="Times New Roman"/>
          <w:sz w:val="24"/>
          <w:szCs w:val="24"/>
        </w:rPr>
      </w:pPr>
    </w:p>
    <w:p w14:paraId="4C703687" w14:textId="77777777" w:rsidR="00E94180" w:rsidRPr="008B2EDF" w:rsidRDefault="00E94180" w:rsidP="004F17FF">
      <w:pPr>
        <w:pStyle w:val="NormalWeb"/>
        <w:spacing w:before="0" w:beforeAutospacing="0" w:after="0" w:afterAutospacing="0"/>
        <w:jc w:val="both"/>
      </w:pPr>
      <w:r w:rsidRPr="008B2EDF">
        <w:t xml:space="preserve">Abbas, S. (2023). </w:t>
      </w:r>
      <w:r w:rsidRPr="008B2EDF">
        <w:rPr>
          <w:i/>
          <w:iCs/>
        </w:rPr>
        <w:t>Different Types of Sampling Techniques in Qualitative Research</w:t>
      </w:r>
      <w:r w:rsidRPr="008B2EDF">
        <w:t>. [online] Sago.</w:t>
      </w:r>
    </w:p>
    <w:p w14:paraId="07E8BA14" w14:textId="77777777" w:rsidR="00E94180" w:rsidRPr="008B2EDF" w:rsidRDefault="00E94180" w:rsidP="004F17FF">
      <w:pPr>
        <w:pStyle w:val="NormalWeb"/>
        <w:spacing w:before="0" w:beforeAutospacing="0" w:after="0" w:afterAutospacing="0"/>
        <w:jc w:val="both"/>
      </w:pPr>
      <w:r w:rsidRPr="008B2EDF">
        <w:t xml:space="preserve">Available at: </w:t>
      </w:r>
      <w:hyperlink r:id="rId23" w:anchor=":~:text=Snowball%20sampling%2C%20also%20called%20referral" w:history="1">
        <w:r w:rsidRPr="008B2EDF">
          <w:rPr>
            <w:rStyle w:val="Hyperlink"/>
          </w:rPr>
          <w:t>https://sago.com/en/resources/blog/different-types-of-sampling-techniques-in-qualitative-research/#:~:text=Snowball%20sampling%2C%20also%20called%20referral</w:t>
        </w:r>
      </w:hyperlink>
      <w:r w:rsidRPr="008B2EDF">
        <w:t xml:space="preserve"> </w:t>
      </w:r>
    </w:p>
    <w:p w14:paraId="06374D5D" w14:textId="77777777" w:rsidR="00E94180" w:rsidRPr="008B2EDF" w:rsidRDefault="00E94180" w:rsidP="004F17FF">
      <w:pPr>
        <w:pStyle w:val="NormalWeb"/>
        <w:spacing w:before="0" w:beforeAutospacing="0" w:after="0" w:afterAutospacing="0"/>
        <w:jc w:val="both"/>
      </w:pPr>
      <w:r w:rsidRPr="008B2EDF">
        <w:t>(Accessed: 29 July 2025)</w:t>
      </w:r>
    </w:p>
    <w:p w14:paraId="129F8FD3" w14:textId="77777777" w:rsidR="00E94180" w:rsidRPr="008B2EDF" w:rsidRDefault="00E94180" w:rsidP="004F17FF">
      <w:pPr>
        <w:pStyle w:val="NormalWeb"/>
        <w:spacing w:before="0" w:beforeAutospacing="0" w:after="0" w:afterAutospacing="0"/>
        <w:jc w:val="both"/>
        <w:rPr>
          <w:lang w:val="en-US"/>
        </w:rPr>
      </w:pPr>
      <w:r w:rsidRPr="008B2EDF">
        <w:rPr>
          <w:lang w:val="en-US"/>
        </w:rPr>
        <w:t xml:space="preserve">ACAS (2024a). </w:t>
      </w:r>
      <w:r w:rsidRPr="008B2EDF">
        <w:rPr>
          <w:i/>
          <w:iCs/>
          <w:lang w:val="en-US"/>
        </w:rPr>
        <w:t>Code of Practice on Handling in a Reasonable Manner Requests to Work Flexibly | Acas</w:t>
      </w:r>
      <w:r w:rsidRPr="008B2EDF">
        <w:rPr>
          <w:lang w:val="en-US"/>
        </w:rPr>
        <w:t xml:space="preserve">. [online] ACAS. </w:t>
      </w:r>
    </w:p>
    <w:p w14:paraId="0E5D5D7C" w14:textId="77777777" w:rsidR="00E94180" w:rsidRPr="008B2EDF" w:rsidRDefault="00E94180" w:rsidP="004F17FF">
      <w:pPr>
        <w:pStyle w:val="NormalWeb"/>
        <w:spacing w:before="0" w:beforeAutospacing="0" w:after="0" w:afterAutospacing="0"/>
        <w:jc w:val="both"/>
        <w:rPr>
          <w:lang w:val="en-US"/>
        </w:rPr>
      </w:pPr>
      <w:r w:rsidRPr="008B2EDF">
        <w:rPr>
          <w:lang w:val="en-US"/>
        </w:rPr>
        <w:t xml:space="preserve">Available at: </w:t>
      </w:r>
      <w:hyperlink r:id="rId24" w:history="1">
        <w:r w:rsidRPr="008B2EDF">
          <w:rPr>
            <w:rStyle w:val="Hyperlink"/>
            <w:lang w:val="en-US"/>
          </w:rPr>
          <w:t>https://www.acas.org.uk/acas-code-of-practice-on-flexible-working-requests/html</w:t>
        </w:r>
      </w:hyperlink>
    </w:p>
    <w:p w14:paraId="2ED80AA1" w14:textId="77777777" w:rsidR="00E94180" w:rsidRPr="008B2EDF" w:rsidRDefault="00E94180" w:rsidP="004F17FF">
      <w:pPr>
        <w:pStyle w:val="NormalWeb"/>
        <w:spacing w:before="0" w:beforeAutospacing="0" w:after="0" w:afterAutospacing="0"/>
        <w:jc w:val="both"/>
        <w:rPr>
          <w:lang w:val="en-US"/>
        </w:rPr>
      </w:pPr>
      <w:r w:rsidRPr="008B2EDF">
        <w:rPr>
          <w:lang w:val="en-US"/>
        </w:rPr>
        <w:t>(Accessed: 20 August 2025)</w:t>
      </w:r>
    </w:p>
    <w:p w14:paraId="311C9F40" w14:textId="3C71B206" w:rsidR="00E94180" w:rsidRPr="008B2EDF" w:rsidRDefault="00E94180" w:rsidP="004F17FF">
      <w:pPr>
        <w:pStyle w:val="NormalWeb"/>
        <w:spacing w:before="0" w:beforeAutospacing="0" w:after="0" w:afterAutospacing="0"/>
        <w:jc w:val="both"/>
        <w:rPr>
          <w:lang w:val="en-US"/>
        </w:rPr>
      </w:pPr>
      <w:r w:rsidRPr="008B2EDF">
        <w:rPr>
          <w:lang w:val="en-US"/>
        </w:rPr>
        <w:t xml:space="preserve">ACAS (2024b). </w:t>
      </w:r>
      <w:r w:rsidRPr="008B2EDF">
        <w:rPr>
          <w:i/>
          <w:iCs/>
          <w:lang w:val="en-US"/>
        </w:rPr>
        <w:t>Organizational case studies on flexible working: variations in practice | Acas</w:t>
      </w:r>
      <w:r w:rsidRPr="008B2EDF">
        <w:rPr>
          <w:lang w:val="en-US"/>
        </w:rPr>
        <w:t xml:space="preserve">. [online] Acas. Available at: </w:t>
      </w:r>
      <w:hyperlink r:id="rId25" w:history="1">
        <w:r w:rsidRPr="008B2EDF">
          <w:rPr>
            <w:rStyle w:val="Hyperlink"/>
            <w:lang w:val="en-US"/>
          </w:rPr>
          <w:t>https://www.acas.org.uk/research-and-commentary/organisational-case-studies-on-flexible-working/report</w:t>
        </w:r>
      </w:hyperlink>
    </w:p>
    <w:p w14:paraId="32162F25" w14:textId="77777777" w:rsidR="00E94180" w:rsidRPr="008B2EDF" w:rsidRDefault="00E94180" w:rsidP="004F17FF">
      <w:pPr>
        <w:pStyle w:val="NormalWeb"/>
        <w:spacing w:before="0" w:beforeAutospacing="0" w:after="0" w:afterAutospacing="0"/>
        <w:jc w:val="both"/>
        <w:rPr>
          <w:lang w:val="en-US"/>
        </w:rPr>
      </w:pPr>
      <w:r w:rsidRPr="008B2EDF">
        <w:rPr>
          <w:lang w:val="en-US"/>
        </w:rPr>
        <w:t>(Accessed: 20 August 2025)</w:t>
      </w:r>
    </w:p>
    <w:p w14:paraId="181B7091" w14:textId="77777777" w:rsidR="00E94180" w:rsidRPr="008B2EDF" w:rsidRDefault="00E94180" w:rsidP="004F17FF">
      <w:pPr>
        <w:pStyle w:val="NormalWeb"/>
        <w:spacing w:before="0" w:beforeAutospacing="0" w:after="0" w:afterAutospacing="0"/>
        <w:jc w:val="both"/>
        <w:rPr>
          <w:lang w:val="en-US"/>
        </w:rPr>
      </w:pPr>
      <w:r w:rsidRPr="008B2EDF">
        <w:rPr>
          <w:lang w:val="en-US"/>
        </w:rPr>
        <w:t xml:space="preserve">Adams, J.S. (1965). Inequity in Social Exchange. </w:t>
      </w:r>
      <w:r w:rsidRPr="008B2EDF">
        <w:rPr>
          <w:i/>
          <w:iCs/>
          <w:lang w:val="en-US"/>
        </w:rPr>
        <w:t>Advances in Experimental Social Psychology</w:t>
      </w:r>
      <w:r w:rsidRPr="008B2EDF">
        <w:rPr>
          <w:lang w:val="en-US"/>
        </w:rPr>
        <w:t xml:space="preserve">, 2(1), pp.267–299. </w:t>
      </w:r>
    </w:p>
    <w:p w14:paraId="6FBA2125" w14:textId="77777777" w:rsidR="00E94180" w:rsidRPr="008B2EDF" w:rsidRDefault="00E94180" w:rsidP="004F17FF">
      <w:pPr>
        <w:pStyle w:val="NormalWeb"/>
        <w:spacing w:before="0" w:beforeAutospacing="0" w:after="0" w:afterAutospacing="0"/>
        <w:jc w:val="both"/>
        <w:rPr>
          <w:lang w:val="en-US"/>
        </w:rPr>
      </w:pPr>
      <w:r w:rsidRPr="008B2EDF">
        <w:rPr>
          <w:lang w:val="en-US"/>
        </w:rPr>
        <w:t xml:space="preserve"> Available at: </w:t>
      </w:r>
      <w:hyperlink r:id="rId26" w:history="1">
        <w:r w:rsidRPr="008B2EDF">
          <w:rPr>
            <w:rStyle w:val="Hyperlink"/>
            <w:lang w:val="en-US"/>
          </w:rPr>
          <w:t>https://doi.org/10.1016/S0065-2601(08)60108-2</w:t>
        </w:r>
      </w:hyperlink>
    </w:p>
    <w:p w14:paraId="52968AAA" w14:textId="77777777" w:rsidR="00E94180" w:rsidRPr="008B2EDF" w:rsidRDefault="00E94180" w:rsidP="004F17FF">
      <w:pPr>
        <w:pStyle w:val="NormalWeb"/>
        <w:spacing w:before="0" w:beforeAutospacing="0" w:after="0" w:afterAutospacing="0"/>
        <w:jc w:val="both"/>
        <w:rPr>
          <w:lang w:val="en-US"/>
        </w:rPr>
      </w:pPr>
      <w:r w:rsidRPr="008B2EDF">
        <w:rPr>
          <w:lang w:val="en-US"/>
        </w:rPr>
        <w:t>(Accessed: 20 August 2025)</w:t>
      </w:r>
    </w:p>
    <w:p w14:paraId="74529045" w14:textId="77777777" w:rsidR="00E94180" w:rsidRPr="008B2EDF" w:rsidRDefault="00E94180" w:rsidP="004F17FF">
      <w:pPr>
        <w:pStyle w:val="NormalWeb"/>
        <w:spacing w:before="0" w:beforeAutospacing="0" w:after="0" w:afterAutospacing="0"/>
        <w:jc w:val="both"/>
        <w:rPr>
          <w:lang w:val="en-US"/>
        </w:rPr>
      </w:pPr>
      <w:r w:rsidRPr="008B2EDF">
        <w:rPr>
          <w:lang w:val="en-US"/>
        </w:rPr>
        <w:t xml:space="preserve">Alon, S. (2022). The Measurement of Precarious Work and Market Conditions: Insights from the COVID-19 Disruption on Sample Selection. </w:t>
      </w:r>
      <w:r w:rsidRPr="008B2EDF">
        <w:rPr>
          <w:i/>
          <w:iCs/>
          <w:lang w:val="en-US"/>
        </w:rPr>
        <w:t>Work and Occupations</w:t>
      </w:r>
      <w:r w:rsidRPr="008B2EDF">
        <w:rPr>
          <w:lang w:val="en-US"/>
        </w:rPr>
        <w:t xml:space="preserve">, 50, p.073088842211276. </w:t>
      </w:r>
    </w:p>
    <w:p w14:paraId="1E759237" w14:textId="77777777" w:rsidR="00E94180" w:rsidRPr="008B2EDF" w:rsidRDefault="00E94180" w:rsidP="004F17FF">
      <w:pPr>
        <w:pStyle w:val="NormalWeb"/>
        <w:spacing w:before="0" w:beforeAutospacing="0" w:after="0" w:afterAutospacing="0"/>
        <w:jc w:val="both"/>
        <w:rPr>
          <w:lang w:val="en-US"/>
        </w:rPr>
      </w:pPr>
      <w:r w:rsidRPr="008B2EDF">
        <w:rPr>
          <w:lang w:val="en-US"/>
        </w:rPr>
        <w:t xml:space="preserve"> Available at: </w:t>
      </w:r>
      <w:hyperlink r:id="rId27" w:history="1">
        <w:r w:rsidRPr="008B2EDF">
          <w:rPr>
            <w:rStyle w:val="Hyperlink"/>
            <w:lang w:val="en-US"/>
          </w:rPr>
          <w:t>https://doi.org/10.1177/07308884221127636</w:t>
        </w:r>
      </w:hyperlink>
      <w:r w:rsidRPr="008B2EDF">
        <w:rPr>
          <w:lang w:val="en-US"/>
        </w:rPr>
        <w:t>.</w:t>
      </w:r>
    </w:p>
    <w:p w14:paraId="1F77183B" w14:textId="77777777" w:rsidR="00E94180" w:rsidRPr="008B2EDF" w:rsidRDefault="00E94180" w:rsidP="004F17FF">
      <w:pPr>
        <w:pStyle w:val="NormalWeb"/>
        <w:spacing w:before="0" w:beforeAutospacing="0" w:after="0" w:afterAutospacing="0"/>
        <w:jc w:val="both"/>
        <w:rPr>
          <w:lang w:val="en-US"/>
        </w:rPr>
      </w:pPr>
      <w:r w:rsidRPr="008B2EDF">
        <w:rPr>
          <w:lang w:val="en-US"/>
        </w:rPr>
        <w:t>(Accessed: 27 July 2025)</w:t>
      </w:r>
    </w:p>
    <w:p w14:paraId="36E95784" w14:textId="77777777" w:rsidR="00E94180" w:rsidRPr="008B2EDF" w:rsidRDefault="00E94180" w:rsidP="004F17FF">
      <w:pPr>
        <w:pStyle w:val="NormalWeb"/>
        <w:spacing w:before="0" w:beforeAutospacing="0" w:after="0" w:afterAutospacing="0"/>
        <w:jc w:val="both"/>
        <w:rPr>
          <w:lang w:val="en-US"/>
        </w:rPr>
      </w:pPr>
      <w:r w:rsidRPr="008B2EDF">
        <w:rPr>
          <w:lang w:val="en-US"/>
        </w:rPr>
        <w:t xml:space="preserve">Ammon, C. (2022). </w:t>
      </w:r>
      <w:r w:rsidRPr="008B2EDF">
        <w:rPr>
          <w:i/>
          <w:iCs/>
          <w:lang w:val="en-US"/>
        </w:rPr>
        <w:t>Results Section for Research Papers How Does a Results Section Differ from a Discussion Section? What are the Differences Between Qualitative and Quantitative Data?</w:t>
      </w:r>
      <w:r w:rsidRPr="008B2EDF">
        <w:rPr>
          <w:lang w:val="en-US"/>
        </w:rPr>
        <w:t xml:space="preserve"> [online] Available at: </w:t>
      </w:r>
      <w:hyperlink r:id="rId28" w:history="1">
        <w:r w:rsidRPr="008B2EDF">
          <w:rPr>
            <w:rStyle w:val="Hyperlink"/>
            <w:lang w:val="en-US"/>
          </w:rPr>
          <w:t>https://www.sjsu.edu/writingcenter/docs/handouts/Results%20Section%20for%20Research%20Papers.pdf</w:t>
        </w:r>
      </w:hyperlink>
      <w:r w:rsidRPr="008B2EDF">
        <w:rPr>
          <w:lang w:val="en-US"/>
        </w:rPr>
        <w:t>.</w:t>
      </w:r>
    </w:p>
    <w:p w14:paraId="30CF32C1" w14:textId="77777777" w:rsidR="00E94180" w:rsidRPr="008B2EDF" w:rsidRDefault="00E94180" w:rsidP="004F17FF">
      <w:pPr>
        <w:pStyle w:val="NormalWeb"/>
        <w:spacing w:before="0" w:beforeAutospacing="0" w:after="0" w:afterAutospacing="0"/>
        <w:jc w:val="both"/>
        <w:rPr>
          <w:lang w:val="en-US"/>
        </w:rPr>
      </w:pPr>
      <w:r w:rsidRPr="008B2EDF">
        <w:rPr>
          <w:lang w:val="en-US"/>
        </w:rPr>
        <w:t>(Accessed: 20 August 2025)</w:t>
      </w:r>
    </w:p>
    <w:p w14:paraId="17DADAC0" w14:textId="77777777" w:rsidR="00E94180" w:rsidRPr="008B2EDF" w:rsidRDefault="00E94180" w:rsidP="004F17FF">
      <w:pPr>
        <w:pStyle w:val="NormalWeb"/>
        <w:spacing w:before="0" w:beforeAutospacing="0" w:after="0" w:afterAutospacing="0"/>
        <w:jc w:val="both"/>
        <w:rPr>
          <w:lang w:val="en-US"/>
        </w:rPr>
      </w:pPr>
      <w:r w:rsidRPr="008B2EDF">
        <w:rPr>
          <w:lang w:val="en-US"/>
        </w:rPr>
        <w:t xml:space="preserve">Avram, S., Harkness, S., and Popova, D. (2024). Gender and Parenthood Differences in Job Mobility and Pay Progression in the UK. </w:t>
      </w:r>
      <w:r w:rsidRPr="008B2EDF">
        <w:rPr>
          <w:i/>
          <w:iCs/>
          <w:lang w:val="en-US"/>
        </w:rPr>
        <w:t>Social Forces</w:t>
      </w:r>
      <w:r w:rsidRPr="008B2EDF">
        <w:rPr>
          <w:lang w:val="en-US"/>
        </w:rPr>
        <w:t xml:space="preserve">, 103(2). </w:t>
      </w:r>
    </w:p>
    <w:p w14:paraId="4206B9E9" w14:textId="77777777" w:rsidR="00E94180" w:rsidRPr="008B2EDF" w:rsidRDefault="00E94180" w:rsidP="004F17FF">
      <w:pPr>
        <w:pStyle w:val="NormalWeb"/>
        <w:spacing w:before="0" w:beforeAutospacing="0" w:after="0" w:afterAutospacing="0"/>
        <w:jc w:val="both"/>
        <w:rPr>
          <w:lang w:val="en-US"/>
        </w:rPr>
      </w:pPr>
      <w:r w:rsidRPr="008B2EDF">
        <w:rPr>
          <w:lang w:val="en-US"/>
        </w:rPr>
        <w:t xml:space="preserve"> Available at: </w:t>
      </w:r>
      <w:hyperlink r:id="rId29" w:history="1">
        <w:r w:rsidRPr="008B2EDF">
          <w:rPr>
            <w:rStyle w:val="Hyperlink"/>
            <w:lang w:val="en-US"/>
          </w:rPr>
          <w:t>https://doi.org/10.1093/sf/soae068</w:t>
        </w:r>
      </w:hyperlink>
      <w:r w:rsidRPr="008B2EDF">
        <w:rPr>
          <w:lang w:val="en-US"/>
        </w:rPr>
        <w:t>.</w:t>
      </w:r>
    </w:p>
    <w:p w14:paraId="17170866" w14:textId="77777777" w:rsidR="00E94180" w:rsidRPr="008B2EDF" w:rsidRDefault="00E94180" w:rsidP="004F17FF">
      <w:pPr>
        <w:pStyle w:val="NormalWeb"/>
        <w:spacing w:before="0" w:beforeAutospacing="0" w:after="0" w:afterAutospacing="0"/>
        <w:jc w:val="both"/>
      </w:pPr>
      <w:r w:rsidRPr="008B2EDF">
        <w:t>(Accessed: 27 July 2025)</w:t>
      </w:r>
    </w:p>
    <w:p w14:paraId="69A9E1FB" w14:textId="77777777" w:rsidR="00E94180" w:rsidRPr="008B2EDF" w:rsidRDefault="00E94180" w:rsidP="004F17FF">
      <w:pPr>
        <w:pStyle w:val="NormalWeb"/>
        <w:spacing w:before="0" w:beforeAutospacing="0" w:after="0" w:afterAutospacing="0"/>
        <w:jc w:val="both"/>
      </w:pPr>
      <w:bookmarkStart w:id="69" w:name="_Int_TAYkhhzC"/>
      <w:r w:rsidRPr="008B2EDF">
        <w:lastRenderedPageBreak/>
        <w:t>Akello, M., Coutinho, S., N-Mboowa, M. G., Bukirwa, V. D., Natukunda, A., Lubyayi, L., Nabakooza, G., Cose, S., &amp; Elliott, A. M. (2020).</w:t>
      </w:r>
      <w:bookmarkEnd w:id="69"/>
      <w:r w:rsidRPr="008B2EDF">
        <w:t xml:space="preserve"> </w:t>
      </w:r>
      <w:bookmarkStart w:id="70" w:name="_Int_zD8DxcUB"/>
      <w:r w:rsidRPr="008B2EDF">
        <w:t>Continuous research monitoring improves the quality of research conduct and compliance among research trainees: internal evaluation of a monitoring programme.</w:t>
      </w:r>
      <w:bookmarkEnd w:id="70"/>
      <w:r w:rsidRPr="008B2EDF">
        <w:t> </w:t>
      </w:r>
      <w:r w:rsidRPr="008B2EDF">
        <w:rPr>
          <w:i/>
          <w:iCs/>
        </w:rPr>
        <w:t>AAS open research</w:t>
      </w:r>
      <w:r w:rsidRPr="008B2EDF">
        <w:t>, </w:t>
      </w:r>
      <w:r w:rsidRPr="008B2EDF">
        <w:rPr>
          <w:i/>
          <w:iCs/>
        </w:rPr>
        <w:t>3</w:t>
      </w:r>
      <w:r w:rsidRPr="008B2EDF">
        <w:t xml:space="preserve">, 57. </w:t>
      </w:r>
    </w:p>
    <w:p w14:paraId="354F4B7A" w14:textId="77777777" w:rsidR="00E94180" w:rsidRPr="008B2EDF" w:rsidRDefault="00E94180" w:rsidP="004F17FF">
      <w:pPr>
        <w:pStyle w:val="NormalWeb"/>
        <w:spacing w:before="0" w:beforeAutospacing="0" w:after="0" w:afterAutospacing="0"/>
        <w:jc w:val="both"/>
      </w:pPr>
      <w:r w:rsidRPr="008B2EDF">
        <w:t xml:space="preserve"> Available at: </w:t>
      </w:r>
      <w:hyperlink r:id="rId30" w:history="1">
        <w:r w:rsidRPr="008B2EDF">
          <w:rPr>
            <w:rStyle w:val="Hyperlink"/>
          </w:rPr>
          <w:t>https://doi.org/10.12688/aasopenres.13117.1</w:t>
        </w:r>
      </w:hyperlink>
      <w:r w:rsidRPr="008B2EDF">
        <w:t xml:space="preserve"> </w:t>
      </w:r>
    </w:p>
    <w:p w14:paraId="3E0F535F" w14:textId="77777777" w:rsidR="00E94180" w:rsidRPr="008B2EDF" w:rsidRDefault="00E94180" w:rsidP="004F17FF">
      <w:pPr>
        <w:pStyle w:val="NormalWeb"/>
        <w:spacing w:before="0" w:beforeAutospacing="0" w:after="0" w:afterAutospacing="0"/>
        <w:jc w:val="both"/>
      </w:pPr>
      <w:r w:rsidRPr="008B2EDF">
        <w:t>(Accessed: 30 July 2025)</w:t>
      </w:r>
    </w:p>
    <w:p w14:paraId="6CFE4B5C" w14:textId="77777777" w:rsidR="00E94180" w:rsidRPr="008B2EDF" w:rsidRDefault="00E94180" w:rsidP="004F17FF">
      <w:pPr>
        <w:pStyle w:val="NormalWeb"/>
        <w:spacing w:before="0" w:beforeAutospacing="0" w:after="0" w:afterAutospacing="0"/>
        <w:jc w:val="both"/>
      </w:pPr>
      <w:r w:rsidRPr="008B2EDF">
        <w:t xml:space="preserve">Andrew, A., Bandiera, O., Costa Dias, M. and Landais, C. (2021). </w:t>
      </w:r>
      <w:r w:rsidRPr="008B2EDF">
        <w:rPr>
          <w:i/>
          <w:iCs/>
        </w:rPr>
        <w:t>Barely any change to gender earnings gap in last 25 years once your account for increases in women’s education</w:t>
      </w:r>
      <w:r w:rsidRPr="008B2EDF">
        <w:t xml:space="preserve">. [online] Institute for Fiscal Studies. </w:t>
      </w:r>
    </w:p>
    <w:p w14:paraId="729DFF2E" w14:textId="77777777" w:rsidR="00E94180" w:rsidRPr="008B2EDF" w:rsidRDefault="00E94180" w:rsidP="004F17FF">
      <w:pPr>
        <w:pStyle w:val="NormalWeb"/>
        <w:spacing w:before="0" w:beforeAutospacing="0" w:after="0" w:afterAutospacing="0"/>
        <w:jc w:val="both"/>
      </w:pPr>
      <w:r w:rsidRPr="008B2EDF">
        <w:t xml:space="preserve">Available at: </w:t>
      </w:r>
      <w:hyperlink r:id="rId31" w:history="1">
        <w:r w:rsidRPr="008B2EDF">
          <w:rPr>
            <w:rStyle w:val="Hyperlink"/>
          </w:rPr>
          <w:t>https://ifs.org.uk/news/barely-any-change-gender-earnings-gap-last-25-years-once-you-account-increases-womens</w:t>
        </w:r>
      </w:hyperlink>
      <w:r w:rsidRPr="008B2EDF">
        <w:t xml:space="preserve"> </w:t>
      </w:r>
    </w:p>
    <w:p w14:paraId="2970F8AF" w14:textId="77777777" w:rsidR="00571BE7" w:rsidRPr="008B2EDF" w:rsidRDefault="00E94180" w:rsidP="004F17FF">
      <w:pPr>
        <w:pStyle w:val="NormalWeb"/>
        <w:spacing w:before="0" w:beforeAutospacing="0" w:after="0" w:afterAutospacing="0"/>
        <w:jc w:val="both"/>
        <w:sectPr w:rsidR="00571BE7" w:rsidRPr="008B2EDF" w:rsidSect="008C600C">
          <w:footerReference w:type="default" r:id="rId32"/>
          <w:type w:val="continuous"/>
          <w:pgSz w:w="11906" w:h="16838"/>
          <w:pgMar w:top="1440" w:right="1440" w:bottom="1440" w:left="1440" w:header="708" w:footer="708" w:gutter="0"/>
          <w:cols w:space="708"/>
          <w:docGrid w:linePitch="360"/>
        </w:sectPr>
      </w:pPr>
      <w:r w:rsidRPr="008B2EDF">
        <w:t>(Accessed: 27 July 2025)</w:t>
      </w:r>
    </w:p>
    <w:p w14:paraId="3253842B" w14:textId="77777777" w:rsidR="00E94180" w:rsidRPr="008B2EDF" w:rsidRDefault="00E94180" w:rsidP="004F17FF">
      <w:pPr>
        <w:pStyle w:val="NormalWeb"/>
        <w:spacing w:before="0" w:beforeAutospacing="0" w:after="0" w:afterAutospacing="0"/>
        <w:jc w:val="both"/>
      </w:pPr>
    </w:p>
    <w:p w14:paraId="49023438" w14:textId="77777777" w:rsidR="00E94180" w:rsidRPr="008B2EDF" w:rsidRDefault="00E94180" w:rsidP="004F17FF">
      <w:pPr>
        <w:pStyle w:val="NormalWeb"/>
        <w:spacing w:before="0" w:beforeAutospacing="0" w:after="0" w:afterAutospacing="0"/>
        <w:jc w:val="both"/>
      </w:pPr>
      <w:r w:rsidRPr="008B2EDF">
        <w:t xml:space="preserve">Baska, M. (2019). </w:t>
      </w:r>
      <w:r w:rsidRPr="008B2EDF">
        <w:rPr>
          <w:i/>
          <w:iCs/>
        </w:rPr>
        <w:t>Women significantly less likely to be promoted after having children, says government report</w:t>
      </w:r>
      <w:r w:rsidRPr="008B2EDF">
        <w:t xml:space="preserve">. [online] </w:t>
      </w:r>
      <w:hyperlink r:id="rId33" w:history="1">
        <w:r w:rsidRPr="008B2EDF">
          <w:rPr>
            <w:rStyle w:val="Hyperlink"/>
          </w:rPr>
          <w:t>www.peoplemanagement.co.uk</w:t>
        </w:r>
      </w:hyperlink>
      <w:r w:rsidRPr="008B2EDF">
        <w:t xml:space="preserve">. </w:t>
      </w:r>
    </w:p>
    <w:p w14:paraId="749A36EF" w14:textId="77777777" w:rsidR="00E94180" w:rsidRPr="008B2EDF" w:rsidRDefault="00E94180" w:rsidP="004F17FF">
      <w:pPr>
        <w:pStyle w:val="NormalWeb"/>
        <w:spacing w:before="0" w:beforeAutospacing="0" w:after="0" w:afterAutospacing="0"/>
        <w:jc w:val="both"/>
      </w:pPr>
      <w:r w:rsidRPr="008B2EDF">
        <w:t xml:space="preserve">Available at: </w:t>
      </w:r>
      <w:hyperlink r:id="rId34" w:history="1">
        <w:r w:rsidRPr="008B2EDF">
          <w:rPr>
            <w:rStyle w:val="Hyperlink"/>
          </w:rPr>
          <w:t>https://www.peoplemanagement.co.uk/article/1747027/women-less-likely-to-be-promoted-after-having-children</w:t>
        </w:r>
      </w:hyperlink>
      <w:r w:rsidRPr="008B2EDF">
        <w:t xml:space="preserve"> </w:t>
      </w:r>
    </w:p>
    <w:p w14:paraId="5B3A72EC" w14:textId="77777777" w:rsidR="00E94180" w:rsidRPr="008B2EDF" w:rsidRDefault="00E94180" w:rsidP="004F17FF">
      <w:pPr>
        <w:pStyle w:val="NormalWeb"/>
        <w:spacing w:before="0" w:beforeAutospacing="0" w:after="0" w:afterAutospacing="0"/>
        <w:jc w:val="both"/>
      </w:pPr>
      <w:r w:rsidRPr="008B2EDF">
        <w:t>(Accessed: 28 July 2025)</w:t>
      </w:r>
    </w:p>
    <w:p w14:paraId="6C57AA90" w14:textId="77777777" w:rsidR="00E94180" w:rsidRPr="008B2EDF" w:rsidRDefault="00E94180" w:rsidP="004F17FF">
      <w:pPr>
        <w:pStyle w:val="NormalWeb"/>
        <w:spacing w:before="0" w:beforeAutospacing="0" w:after="0" w:afterAutospacing="0"/>
        <w:jc w:val="both"/>
      </w:pPr>
      <w:r w:rsidRPr="008B2EDF">
        <w:t>Barnard, Catherine, Retained EU law in the UK Legal Orders: Continuity between the Old and the New (October 1, 2021). Forthcoming in Adam Lazowski, Adam Cygan (eds), Research Handbook on Legal Aspects of Brexit, Edward Elgar 2022., University of Cambridge Faculty of Law Research Paper No. 27/2021, Available at  Available at: </w:t>
      </w:r>
      <w:hyperlink r:id="rId35" w:tgtFrame="_blank" w:history="1">
        <w:r w:rsidRPr="008B2EDF">
          <w:rPr>
            <w:rStyle w:val="Hyperlink"/>
          </w:rPr>
          <w:t>http://dx.doi.org/10.2139/ssrn.3947215</w:t>
        </w:r>
      </w:hyperlink>
    </w:p>
    <w:p w14:paraId="7A37468D" w14:textId="77777777" w:rsidR="00E94180" w:rsidRPr="008B2EDF" w:rsidRDefault="00E94180" w:rsidP="004F17FF">
      <w:pPr>
        <w:pStyle w:val="NormalWeb"/>
        <w:spacing w:before="0" w:beforeAutospacing="0" w:after="0" w:afterAutospacing="0"/>
        <w:jc w:val="both"/>
      </w:pPr>
      <w:r w:rsidRPr="008B2EDF">
        <w:t>(Accessed: 28 July 2025)</w:t>
      </w:r>
    </w:p>
    <w:p w14:paraId="359A9352" w14:textId="77777777" w:rsidR="00E94180" w:rsidRPr="008B2EDF" w:rsidRDefault="00E94180" w:rsidP="004F17FF">
      <w:pPr>
        <w:pStyle w:val="NormalWeb"/>
        <w:spacing w:before="0" w:beforeAutospacing="0" w:after="0" w:afterAutospacing="0"/>
        <w:jc w:val="both"/>
      </w:pPr>
      <w:r w:rsidRPr="008B2EDF">
        <w:rPr>
          <w:lang w:val="en-US"/>
        </w:rPr>
        <w:t xml:space="preserve">Begum, V., Arshi, T.A., Arman, A.S., Butt, A.S. and Latheef, S. (2024). A study on work-family life imbalance among women administrators in UAE higher education institutions. </w:t>
      </w:r>
      <w:r w:rsidRPr="008B2EDF">
        <w:rPr>
          <w:i/>
          <w:iCs/>
        </w:rPr>
        <w:t>Heliyon</w:t>
      </w:r>
      <w:r w:rsidRPr="008B2EDF">
        <w:t xml:space="preserve">, 10(6), pp.e28286–e28286. </w:t>
      </w:r>
    </w:p>
    <w:p w14:paraId="061293A0" w14:textId="77777777" w:rsidR="00E94180" w:rsidRPr="008B2EDF" w:rsidRDefault="00E94180" w:rsidP="004F17FF">
      <w:pPr>
        <w:pStyle w:val="NormalWeb"/>
        <w:spacing w:before="0" w:beforeAutospacing="0" w:after="0" w:afterAutospacing="0"/>
        <w:jc w:val="both"/>
      </w:pPr>
      <w:r w:rsidRPr="008B2EDF">
        <w:t xml:space="preserve"> Available at: </w:t>
      </w:r>
      <w:hyperlink r:id="rId36" w:history="1">
        <w:r w:rsidRPr="008B2EDF">
          <w:rPr>
            <w:rStyle w:val="Hyperlink"/>
          </w:rPr>
          <w:t>https://doi.org/10.1016/j.heliyon.2024.e28286</w:t>
        </w:r>
      </w:hyperlink>
      <w:r w:rsidRPr="008B2EDF">
        <w:t xml:space="preserve"> </w:t>
      </w:r>
    </w:p>
    <w:p w14:paraId="11B604A5" w14:textId="77777777" w:rsidR="00E94180" w:rsidRPr="008B2EDF" w:rsidRDefault="00E94180" w:rsidP="004F17FF">
      <w:pPr>
        <w:pStyle w:val="NormalWeb"/>
        <w:spacing w:before="0" w:beforeAutospacing="0" w:after="0" w:afterAutospacing="0"/>
        <w:jc w:val="both"/>
      </w:pPr>
      <w:r w:rsidRPr="008B2EDF">
        <w:t>(Accessed: 25 July 2025)</w:t>
      </w:r>
    </w:p>
    <w:p w14:paraId="0EDCE52B" w14:textId="77777777" w:rsidR="00E94180" w:rsidRPr="008B2EDF" w:rsidRDefault="00E94180" w:rsidP="004F17FF">
      <w:pPr>
        <w:pStyle w:val="NormalWeb"/>
        <w:spacing w:before="0" w:beforeAutospacing="0" w:after="0" w:afterAutospacing="0"/>
        <w:jc w:val="both"/>
        <w:rPr>
          <w:lang w:val="en-US"/>
        </w:rPr>
      </w:pPr>
      <w:r w:rsidRPr="008B2EDF">
        <w:rPr>
          <w:lang w:val="en-US"/>
        </w:rPr>
        <w:t xml:space="preserve">Backman, M., Nilsson, H. and Öner, Ö. (2024). Career trajectories in retail and wholesale –turnover, retention, and labor status. </w:t>
      </w:r>
      <w:r w:rsidRPr="008B2EDF">
        <w:rPr>
          <w:i/>
          <w:iCs/>
          <w:lang w:val="en-US"/>
        </w:rPr>
        <w:t>The International Review of Retail, Distribution and Consumer Research</w:t>
      </w:r>
      <w:r w:rsidRPr="008B2EDF">
        <w:rPr>
          <w:lang w:val="en-US"/>
        </w:rPr>
        <w:t xml:space="preserve">, 35(0959-3969), pp.1–21. </w:t>
      </w:r>
    </w:p>
    <w:p w14:paraId="4B505114" w14:textId="77777777" w:rsidR="00E94180" w:rsidRPr="008B2EDF" w:rsidRDefault="00E94180" w:rsidP="004F17FF">
      <w:pPr>
        <w:pStyle w:val="NormalWeb"/>
        <w:spacing w:before="0" w:beforeAutospacing="0" w:after="0" w:afterAutospacing="0"/>
        <w:jc w:val="both"/>
        <w:rPr>
          <w:lang w:val="en-US"/>
        </w:rPr>
      </w:pPr>
      <w:r w:rsidRPr="008B2EDF">
        <w:rPr>
          <w:lang w:val="en-US"/>
        </w:rPr>
        <w:t xml:space="preserve"> Available at: </w:t>
      </w:r>
      <w:hyperlink r:id="rId37" w:history="1">
        <w:r w:rsidRPr="008B2EDF">
          <w:rPr>
            <w:rStyle w:val="Hyperlink"/>
            <w:lang w:val="en-US"/>
          </w:rPr>
          <w:t>https://doi.org/10.1080/09593969.2024.2411201</w:t>
        </w:r>
      </w:hyperlink>
    </w:p>
    <w:p w14:paraId="6343376B" w14:textId="77777777" w:rsidR="00E94180" w:rsidRPr="008B2EDF" w:rsidRDefault="00E94180" w:rsidP="004F17FF">
      <w:pPr>
        <w:pStyle w:val="NormalWeb"/>
        <w:spacing w:before="0" w:beforeAutospacing="0" w:after="0" w:afterAutospacing="0"/>
        <w:jc w:val="both"/>
        <w:rPr>
          <w:lang w:val="en-US"/>
        </w:rPr>
      </w:pPr>
      <w:r w:rsidRPr="008B2EDF">
        <w:rPr>
          <w:lang w:val="en-US"/>
        </w:rPr>
        <w:t>(Accessed: 20 August 2025)</w:t>
      </w:r>
    </w:p>
    <w:p w14:paraId="24B1E4D5" w14:textId="77777777" w:rsidR="00E94180" w:rsidRPr="008B2EDF" w:rsidRDefault="00E94180" w:rsidP="004F17FF">
      <w:pPr>
        <w:pStyle w:val="NormalWeb"/>
        <w:spacing w:before="0" w:beforeAutospacing="0" w:after="0" w:afterAutospacing="0"/>
        <w:jc w:val="both"/>
        <w:rPr>
          <w:lang w:val="en-US"/>
        </w:rPr>
      </w:pPr>
      <w:r w:rsidRPr="008B2EDF">
        <w:rPr>
          <w:lang w:val="en-US"/>
        </w:rPr>
        <w:t xml:space="preserve">Becker, G.S. (1993). </w:t>
      </w:r>
      <w:r w:rsidRPr="008B2EDF">
        <w:rPr>
          <w:i/>
          <w:iCs/>
          <w:lang w:val="en-US"/>
        </w:rPr>
        <w:t>Human capital: a theoretical and empirical analysis, with special reference to education</w:t>
      </w:r>
      <w:r w:rsidRPr="008B2EDF">
        <w:rPr>
          <w:lang w:val="en-US"/>
        </w:rPr>
        <w:t>. Chicago: The University of Chicago Press.</w:t>
      </w:r>
    </w:p>
    <w:p w14:paraId="57A47480" w14:textId="77777777" w:rsidR="00E94180" w:rsidRPr="008B2EDF" w:rsidRDefault="00E94180" w:rsidP="004F17FF">
      <w:pPr>
        <w:pStyle w:val="NormalWeb"/>
        <w:spacing w:before="0" w:beforeAutospacing="0" w:after="0" w:afterAutospacing="0"/>
        <w:jc w:val="both"/>
        <w:rPr>
          <w:lang w:val="en-US"/>
        </w:rPr>
      </w:pPr>
      <w:r w:rsidRPr="008B2EDF">
        <w:rPr>
          <w:lang w:val="en-US"/>
        </w:rPr>
        <w:t xml:space="preserve">Begum, R. (2024). Analyzing the Factors Affecting Private Sector Employees’ Work-Life Balance: An Empirical Study. </w:t>
      </w:r>
      <w:r w:rsidRPr="008B2EDF">
        <w:rPr>
          <w:i/>
          <w:iCs/>
          <w:lang w:val="en-US"/>
        </w:rPr>
        <w:t>International Journal of Science and Business</w:t>
      </w:r>
      <w:r w:rsidRPr="008B2EDF">
        <w:rPr>
          <w:lang w:val="en-US"/>
        </w:rPr>
        <w:t xml:space="preserve">, [online] 41(1), pp.160–177. </w:t>
      </w:r>
    </w:p>
    <w:p w14:paraId="5B164A62" w14:textId="77777777" w:rsidR="00E94180" w:rsidRPr="008B2EDF" w:rsidRDefault="00E94180" w:rsidP="004F17FF">
      <w:pPr>
        <w:pStyle w:val="NormalWeb"/>
        <w:spacing w:before="0" w:beforeAutospacing="0" w:after="0" w:afterAutospacing="0"/>
        <w:jc w:val="both"/>
        <w:rPr>
          <w:lang w:val="en-US"/>
        </w:rPr>
      </w:pPr>
      <w:r w:rsidRPr="008B2EDF">
        <w:rPr>
          <w:lang w:val="en-US"/>
        </w:rPr>
        <w:t xml:space="preserve"> Available at: </w:t>
      </w:r>
      <w:hyperlink r:id="rId38" w:history="1">
        <w:r w:rsidRPr="008B2EDF">
          <w:rPr>
            <w:rStyle w:val="Hyperlink"/>
            <w:lang w:val="en-US"/>
          </w:rPr>
          <w:t>https://doi.org/10.58970/IJSB.2471</w:t>
        </w:r>
      </w:hyperlink>
    </w:p>
    <w:p w14:paraId="0130836C" w14:textId="77777777" w:rsidR="00E94180" w:rsidRPr="008B2EDF" w:rsidRDefault="00E94180" w:rsidP="004F17FF">
      <w:pPr>
        <w:pStyle w:val="NormalWeb"/>
        <w:spacing w:before="0" w:beforeAutospacing="0" w:after="0" w:afterAutospacing="0"/>
        <w:jc w:val="both"/>
        <w:rPr>
          <w:lang w:val="en-US"/>
        </w:rPr>
      </w:pPr>
      <w:r w:rsidRPr="008B2EDF">
        <w:rPr>
          <w:lang w:val="en-US"/>
        </w:rPr>
        <w:t>(Accessed: 20 August 2025)</w:t>
      </w:r>
    </w:p>
    <w:p w14:paraId="3D2E7657" w14:textId="77777777" w:rsidR="00E94180" w:rsidRPr="008B2EDF" w:rsidRDefault="00E94180" w:rsidP="004F17FF">
      <w:pPr>
        <w:pStyle w:val="NormalWeb"/>
        <w:spacing w:before="0" w:beforeAutospacing="0" w:after="0" w:afterAutospacing="0"/>
        <w:jc w:val="both"/>
        <w:rPr>
          <w:lang w:val="en-US"/>
        </w:rPr>
      </w:pPr>
      <w:r w:rsidRPr="008B2EDF">
        <w:rPr>
          <w:lang w:val="en-US"/>
        </w:rPr>
        <w:t xml:space="preserve">Bennett, F. (2024). Gendered economic inequalities: a social policy perspective. </w:t>
      </w:r>
      <w:r w:rsidRPr="008B2EDF">
        <w:rPr>
          <w:i/>
          <w:iCs/>
          <w:lang w:val="en-US"/>
        </w:rPr>
        <w:t>Oxford Open Economics</w:t>
      </w:r>
      <w:r w:rsidRPr="008B2EDF">
        <w:rPr>
          <w:lang w:val="en-US"/>
        </w:rPr>
        <w:t xml:space="preserve">, [online] 3(Supplement_1), pp. i345–i353. </w:t>
      </w:r>
    </w:p>
    <w:p w14:paraId="3A7EB29C" w14:textId="77777777" w:rsidR="00E94180" w:rsidRPr="008B2EDF" w:rsidRDefault="00E94180" w:rsidP="004F17FF">
      <w:pPr>
        <w:pStyle w:val="NormalWeb"/>
        <w:spacing w:before="0" w:beforeAutospacing="0" w:after="0" w:afterAutospacing="0"/>
        <w:jc w:val="both"/>
        <w:rPr>
          <w:lang w:val="en-US"/>
        </w:rPr>
      </w:pPr>
      <w:r w:rsidRPr="008B2EDF">
        <w:rPr>
          <w:lang w:val="en-US"/>
        </w:rPr>
        <w:t xml:space="preserve"> Available at: </w:t>
      </w:r>
      <w:hyperlink r:id="rId39" w:history="1">
        <w:r w:rsidRPr="008B2EDF">
          <w:rPr>
            <w:rStyle w:val="Hyperlink"/>
            <w:lang w:val="en-US"/>
          </w:rPr>
          <w:t>https://doi.org/10.1093/ooec/odad030</w:t>
        </w:r>
      </w:hyperlink>
    </w:p>
    <w:p w14:paraId="2996E928" w14:textId="77777777" w:rsidR="00E94180" w:rsidRPr="008B2EDF" w:rsidRDefault="00E94180" w:rsidP="004F17FF">
      <w:pPr>
        <w:pStyle w:val="NormalWeb"/>
        <w:spacing w:before="0" w:beforeAutospacing="0" w:after="0" w:afterAutospacing="0"/>
        <w:jc w:val="both"/>
        <w:rPr>
          <w:lang w:val="en-US"/>
        </w:rPr>
      </w:pPr>
      <w:r w:rsidRPr="008B2EDF">
        <w:rPr>
          <w:lang w:val="en-US"/>
        </w:rPr>
        <w:t>(Accessed: 20 August 2025)</w:t>
      </w:r>
    </w:p>
    <w:p w14:paraId="1D7B7F3F" w14:textId="77777777" w:rsidR="00E94180" w:rsidRPr="008B2EDF" w:rsidRDefault="00E94180" w:rsidP="004F17FF">
      <w:pPr>
        <w:pStyle w:val="NormalWeb"/>
        <w:spacing w:before="0" w:beforeAutospacing="0" w:after="0" w:afterAutospacing="0"/>
        <w:jc w:val="both"/>
        <w:rPr>
          <w:lang w:val="en-US"/>
        </w:rPr>
      </w:pPr>
      <w:r w:rsidRPr="008B2EDF">
        <w:rPr>
          <w:lang w:val="en-US"/>
        </w:rPr>
        <w:t xml:space="preserve">Braun, V., and Clarke, V. (2022). Toward Good Practice in Thematic analysis: Avoiding Common Problems and be(com)ing a Knowing Researcher. </w:t>
      </w:r>
      <w:r w:rsidRPr="008B2EDF">
        <w:rPr>
          <w:i/>
          <w:iCs/>
          <w:lang w:val="en-US"/>
        </w:rPr>
        <w:t>International Journal of Transgender Health</w:t>
      </w:r>
      <w:r w:rsidRPr="008B2EDF">
        <w:rPr>
          <w:lang w:val="en-US"/>
        </w:rPr>
        <w:t xml:space="preserve">, [online] 24(1), pp.1–6. </w:t>
      </w:r>
    </w:p>
    <w:p w14:paraId="25CD53F4" w14:textId="77777777" w:rsidR="00E94180" w:rsidRPr="008B2EDF" w:rsidRDefault="00E94180" w:rsidP="004F17FF">
      <w:pPr>
        <w:pStyle w:val="NormalWeb"/>
        <w:spacing w:before="0" w:beforeAutospacing="0" w:after="0" w:afterAutospacing="0"/>
        <w:jc w:val="both"/>
        <w:rPr>
          <w:lang w:val="en-US"/>
        </w:rPr>
      </w:pPr>
      <w:r w:rsidRPr="008B2EDF">
        <w:rPr>
          <w:lang w:val="en-US"/>
        </w:rPr>
        <w:t xml:space="preserve"> Available at: </w:t>
      </w:r>
      <w:hyperlink r:id="rId40" w:history="1">
        <w:r w:rsidRPr="008B2EDF">
          <w:rPr>
            <w:rStyle w:val="Hyperlink"/>
            <w:lang w:val="en-US"/>
          </w:rPr>
          <w:t>https://doi.org/10.1080/26895269.2022.2129597</w:t>
        </w:r>
      </w:hyperlink>
    </w:p>
    <w:p w14:paraId="511A76BB" w14:textId="77777777" w:rsidR="00E94180" w:rsidRPr="008B2EDF" w:rsidRDefault="00E94180" w:rsidP="004F17FF">
      <w:pPr>
        <w:pStyle w:val="NormalWeb"/>
        <w:spacing w:before="0" w:beforeAutospacing="0" w:after="0" w:afterAutospacing="0"/>
        <w:jc w:val="both"/>
        <w:rPr>
          <w:lang w:val="en-US"/>
        </w:rPr>
      </w:pPr>
      <w:r w:rsidRPr="008B2EDF">
        <w:rPr>
          <w:lang w:val="en-US"/>
        </w:rPr>
        <w:t>(Accessed: 20 August 2025)</w:t>
      </w:r>
    </w:p>
    <w:p w14:paraId="7F49BB85" w14:textId="77777777" w:rsidR="00E94180" w:rsidRPr="008B2EDF" w:rsidRDefault="00E94180" w:rsidP="004F17FF">
      <w:pPr>
        <w:pStyle w:val="NormalWeb"/>
        <w:spacing w:before="0" w:beforeAutospacing="0" w:after="0" w:afterAutospacing="0"/>
        <w:jc w:val="both"/>
        <w:rPr>
          <w:lang w:val="en-US"/>
        </w:rPr>
      </w:pPr>
      <w:r w:rsidRPr="008B2EDF">
        <w:rPr>
          <w:lang w:val="en-US"/>
        </w:rPr>
        <w:lastRenderedPageBreak/>
        <w:t xml:space="preserve">Brehm, U. and Milewski, N. (2024). Is part-time employment a temporary ‘steppingstone’ or a lasting ‘mommy track’? Legislation and mothers’ transition to full-time employment in Germany. </w:t>
      </w:r>
      <w:r w:rsidRPr="008B2EDF">
        <w:rPr>
          <w:i/>
          <w:iCs/>
          <w:lang w:val="en-US"/>
        </w:rPr>
        <w:t>Journal of European Social Policy</w:t>
      </w:r>
      <w:r w:rsidRPr="008B2EDF">
        <w:rPr>
          <w:lang w:val="en-US"/>
        </w:rPr>
        <w:t xml:space="preserve">, 34. </w:t>
      </w:r>
    </w:p>
    <w:p w14:paraId="4AABEA7B" w14:textId="77777777" w:rsidR="00E94180" w:rsidRPr="008B2EDF" w:rsidRDefault="00E94180" w:rsidP="004F17FF">
      <w:pPr>
        <w:pStyle w:val="NormalWeb"/>
        <w:spacing w:before="0" w:beforeAutospacing="0" w:after="0" w:afterAutospacing="0"/>
        <w:jc w:val="both"/>
        <w:rPr>
          <w:lang w:val="en-US"/>
        </w:rPr>
      </w:pPr>
      <w:r w:rsidRPr="008B2EDF">
        <w:rPr>
          <w:lang w:val="en-US"/>
        </w:rPr>
        <w:t xml:space="preserve">  Available at: </w:t>
      </w:r>
      <w:hyperlink r:id="rId41" w:history="1">
        <w:r w:rsidRPr="008B2EDF">
          <w:rPr>
            <w:rStyle w:val="Hyperlink"/>
            <w:lang w:val="en-US"/>
          </w:rPr>
          <w:t>https://doi.org/10.1177/09589287231224607</w:t>
        </w:r>
      </w:hyperlink>
      <w:r w:rsidRPr="008B2EDF">
        <w:rPr>
          <w:lang w:val="en-US"/>
        </w:rPr>
        <w:t xml:space="preserve"> </w:t>
      </w:r>
    </w:p>
    <w:p w14:paraId="3E213A63" w14:textId="39D3A58C" w:rsidR="00E94180" w:rsidRPr="008B2EDF" w:rsidRDefault="00E94180" w:rsidP="004F17FF">
      <w:pPr>
        <w:pStyle w:val="NormalWeb"/>
        <w:spacing w:before="0" w:beforeAutospacing="0" w:after="0" w:afterAutospacing="0"/>
        <w:jc w:val="both"/>
      </w:pPr>
      <w:r w:rsidRPr="008B2EDF">
        <w:t>(Accessed: 27 July 2025)</w:t>
      </w:r>
    </w:p>
    <w:p w14:paraId="18BD1BAC" w14:textId="5141BDEC" w:rsidR="00A02562" w:rsidRPr="008B2EDF" w:rsidRDefault="00A02562" w:rsidP="004F17FF">
      <w:pPr>
        <w:pStyle w:val="NormalWeb"/>
        <w:spacing w:before="0" w:beforeAutospacing="0" w:after="0" w:afterAutospacing="0"/>
        <w:jc w:val="both"/>
      </w:pPr>
      <w:r w:rsidRPr="008B2EDF">
        <w:t xml:space="preserve">Bryman, A. (2012) </w:t>
      </w:r>
      <w:r w:rsidRPr="008B2EDF">
        <w:rPr>
          <w:i/>
          <w:iCs/>
        </w:rPr>
        <w:t>Social Research Methods</w:t>
      </w:r>
      <w:r w:rsidRPr="008B2EDF">
        <w:t>. 4th edn. Oxford: Oxford University Press.</w:t>
      </w:r>
    </w:p>
    <w:p w14:paraId="1BC9AA47" w14:textId="77777777" w:rsidR="00E94180" w:rsidRPr="008B2EDF" w:rsidRDefault="00E94180" w:rsidP="004F17FF">
      <w:pPr>
        <w:pStyle w:val="NormalWeb"/>
        <w:spacing w:before="0" w:beforeAutospacing="0" w:after="0" w:afterAutospacing="0"/>
        <w:jc w:val="both"/>
        <w:rPr>
          <w:lang w:val="en-US"/>
        </w:rPr>
      </w:pPr>
      <w:r w:rsidRPr="008B2EDF">
        <w:rPr>
          <w:lang w:val="en-US"/>
        </w:rPr>
        <w:t xml:space="preserve">Bryman, A. (2016). </w:t>
      </w:r>
      <w:r w:rsidRPr="008B2EDF">
        <w:rPr>
          <w:i/>
          <w:iCs/>
          <w:lang w:val="en-US"/>
        </w:rPr>
        <w:t>Social Research Methods</w:t>
      </w:r>
      <w:r w:rsidRPr="008B2EDF">
        <w:rPr>
          <w:lang w:val="en-US"/>
        </w:rPr>
        <w:t xml:space="preserve">. [online] </w:t>
      </w:r>
      <w:r w:rsidRPr="008B2EDF">
        <w:rPr>
          <w:i/>
          <w:iCs/>
          <w:lang w:val="en-US"/>
        </w:rPr>
        <w:t>Google Books</w:t>
      </w:r>
      <w:r w:rsidRPr="008B2EDF">
        <w:rPr>
          <w:lang w:val="en-US"/>
        </w:rPr>
        <w:t xml:space="preserve">. Oxford University Press. Available at: </w:t>
      </w:r>
      <w:hyperlink r:id="rId42" w:history="1">
        <w:r w:rsidRPr="008B2EDF">
          <w:rPr>
            <w:rStyle w:val="Hyperlink"/>
            <w:lang w:val="en-US"/>
          </w:rPr>
          <w:t>https://www.google.co.uk/books/edition/Social_Research_Methods/N2zQCgAAQBAJ?hl=en&amp;gbpv=0</w:t>
        </w:r>
      </w:hyperlink>
      <w:r w:rsidRPr="008B2EDF">
        <w:rPr>
          <w:lang w:val="en-US"/>
        </w:rPr>
        <w:t xml:space="preserve"> </w:t>
      </w:r>
    </w:p>
    <w:p w14:paraId="77A6EBF2" w14:textId="53FC235F" w:rsidR="00E94180" w:rsidRPr="008B2EDF" w:rsidRDefault="00E94180" w:rsidP="004F17FF">
      <w:pPr>
        <w:pStyle w:val="NormalWeb"/>
        <w:spacing w:before="0" w:beforeAutospacing="0" w:after="0" w:afterAutospacing="0"/>
        <w:jc w:val="both"/>
      </w:pPr>
      <w:r w:rsidRPr="008B2EDF">
        <w:t>(Accessed: 25 July 2025)</w:t>
      </w:r>
    </w:p>
    <w:p w14:paraId="59B694F4" w14:textId="77777777" w:rsidR="00E94180" w:rsidRPr="008B2EDF" w:rsidRDefault="00E94180" w:rsidP="004F17FF">
      <w:pPr>
        <w:pStyle w:val="NormalWeb"/>
        <w:spacing w:before="0" w:beforeAutospacing="0" w:after="0" w:afterAutospacing="0"/>
        <w:jc w:val="both"/>
        <w:rPr>
          <w:lang w:val="en-US"/>
        </w:rPr>
      </w:pPr>
      <w:r w:rsidRPr="008B2EDF">
        <w:rPr>
          <w:lang w:val="en-US"/>
        </w:rPr>
        <w:t xml:space="preserve">Business Case Studies (2024). </w:t>
      </w:r>
      <w:r w:rsidRPr="008B2EDF">
        <w:rPr>
          <w:i/>
          <w:iCs/>
          <w:lang w:val="en-US"/>
        </w:rPr>
        <w:t>Human Capital Theory (Education, Training)</w:t>
      </w:r>
      <w:r w:rsidRPr="008B2EDF">
        <w:rPr>
          <w:lang w:val="en-US"/>
        </w:rPr>
        <w:t xml:space="preserve">. [online] Business Case Studies. Available at: </w:t>
      </w:r>
      <w:hyperlink r:id="rId43" w:history="1">
        <w:r w:rsidRPr="008B2EDF">
          <w:rPr>
            <w:rStyle w:val="Hyperlink"/>
            <w:lang w:val="en-US"/>
          </w:rPr>
          <w:t>https://businesscasestudies.co.uk/human-capital-theory-education-training/</w:t>
        </w:r>
      </w:hyperlink>
      <w:r w:rsidRPr="008B2EDF">
        <w:rPr>
          <w:lang w:val="en-US"/>
        </w:rPr>
        <w:t>.</w:t>
      </w:r>
    </w:p>
    <w:p w14:paraId="4C7D402A" w14:textId="77777777" w:rsidR="00E94180" w:rsidRPr="008B2EDF" w:rsidRDefault="00E94180" w:rsidP="004F17FF">
      <w:pPr>
        <w:pStyle w:val="NormalWeb"/>
        <w:spacing w:before="0" w:beforeAutospacing="0" w:after="0" w:afterAutospacing="0"/>
        <w:jc w:val="both"/>
        <w:rPr>
          <w:lang w:val="en-US"/>
        </w:rPr>
      </w:pPr>
      <w:r w:rsidRPr="008B2EDF">
        <w:rPr>
          <w:lang w:val="en-US"/>
        </w:rPr>
        <w:t>(Accessed: 20 August 2025)</w:t>
      </w:r>
    </w:p>
    <w:p w14:paraId="7C1357D5" w14:textId="77777777" w:rsidR="00E94180" w:rsidRPr="008B2EDF" w:rsidRDefault="00E94180" w:rsidP="004F17FF">
      <w:pPr>
        <w:pStyle w:val="NormalWeb"/>
        <w:spacing w:before="0" w:beforeAutospacing="0" w:after="0" w:afterAutospacing="0"/>
        <w:jc w:val="both"/>
      </w:pPr>
      <w:r w:rsidRPr="008B2EDF">
        <w:t>Biggam, J. (2011).</w:t>
      </w:r>
      <w:r w:rsidRPr="008B2EDF">
        <w:rPr>
          <w:i/>
          <w:iCs/>
        </w:rPr>
        <w:t xml:space="preserve"> </w:t>
      </w:r>
      <w:bookmarkStart w:id="71" w:name="_Int_szA7JfYe"/>
      <w:r w:rsidRPr="008B2EDF">
        <w:rPr>
          <w:i/>
          <w:iCs/>
        </w:rPr>
        <w:t>Succeeding With Your Master’s Dissertation:</w:t>
      </w:r>
      <w:r w:rsidRPr="008B2EDF">
        <w:t xml:space="preserve"> A Step-by-step Handbook (Open UP study skills).</w:t>
      </w:r>
      <w:bookmarkEnd w:id="71"/>
    </w:p>
    <w:p w14:paraId="3EAA2BEE" w14:textId="244E8E79" w:rsidR="00E94180" w:rsidRPr="008B2EDF" w:rsidRDefault="00E94180" w:rsidP="004F17FF">
      <w:pPr>
        <w:pStyle w:val="NormalWeb"/>
        <w:spacing w:before="0" w:beforeAutospacing="0" w:after="0" w:afterAutospacing="0"/>
        <w:jc w:val="both"/>
      </w:pPr>
      <w:r w:rsidRPr="008B2EDF">
        <w:t>Open University; VLEBooks</w:t>
      </w:r>
    </w:p>
    <w:p w14:paraId="21642912" w14:textId="77777777" w:rsidR="00E94180" w:rsidRPr="008B2EDF" w:rsidRDefault="00E94180" w:rsidP="004F17FF">
      <w:pPr>
        <w:pStyle w:val="NormalWeb"/>
        <w:spacing w:before="0" w:beforeAutospacing="0" w:after="0" w:afterAutospacing="0"/>
        <w:jc w:val="both"/>
      </w:pPr>
      <w:r w:rsidRPr="008B2EDF">
        <w:t>CIPD (2022). CIPD |</w:t>
      </w:r>
      <w:r w:rsidRPr="008B2EDF">
        <w:rPr>
          <w:i/>
          <w:iCs/>
        </w:rPr>
        <w:t xml:space="preserve"> Trends in Flexible Working Arrangements.</w:t>
      </w:r>
      <w:r w:rsidRPr="008B2EDF">
        <w:t xml:space="preserve"> [online] CIPD. </w:t>
      </w:r>
    </w:p>
    <w:p w14:paraId="1A8868B0" w14:textId="77777777" w:rsidR="00E94180" w:rsidRPr="008B2EDF" w:rsidRDefault="00E94180" w:rsidP="004F17FF">
      <w:pPr>
        <w:pStyle w:val="NormalWeb"/>
        <w:spacing w:before="0" w:beforeAutospacing="0" w:after="0" w:afterAutospacing="0"/>
        <w:jc w:val="both"/>
      </w:pPr>
      <w:r w:rsidRPr="008B2EDF">
        <w:t xml:space="preserve">Available at: </w:t>
      </w:r>
      <w:hyperlink r:id="rId44" w:history="1">
        <w:r w:rsidRPr="008B2EDF">
          <w:rPr>
            <w:rStyle w:val="Hyperlink"/>
          </w:rPr>
          <w:t>https://www.cipd.org/uk/knowledge/reports/flexible-working-trends/</w:t>
        </w:r>
      </w:hyperlink>
    </w:p>
    <w:p w14:paraId="7E24F6E9" w14:textId="77777777" w:rsidR="00E94180" w:rsidRPr="008B2EDF" w:rsidRDefault="00E94180" w:rsidP="004F17FF">
      <w:pPr>
        <w:pStyle w:val="NormalWeb"/>
        <w:spacing w:before="0" w:beforeAutospacing="0" w:after="0" w:afterAutospacing="0"/>
        <w:jc w:val="both"/>
      </w:pPr>
      <w:r w:rsidRPr="008B2EDF">
        <w:t>(Accessed: 28 August 2025)</w:t>
      </w:r>
    </w:p>
    <w:p w14:paraId="6B2133B7" w14:textId="77777777" w:rsidR="00E94180" w:rsidRPr="008B2EDF" w:rsidRDefault="00E94180" w:rsidP="004F17FF">
      <w:pPr>
        <w:pStyle w:val="NormalWeb"/>
        <w:spacing w:before="0" w:beforeAutospacing="0" w:after="0" w:afterAutospacing="0"/>
        <w:jc w:val="both"/>
      </w:pPr>
      <w:r w:rsidRPr="008B2EDF">
        <w:t>CIPD (2024). CIPD |</w:t>
      </w:r>
      <w:r w:rsidRPr="008B2EDF">
        <w:rPr>
          <w:i/>
          <w:iCs/>
        </w:rPr>
        <w:t xml:space="preserve"> People manager guide: Flexible working</w:t>
      </w:r>
      <w:r w:rsidRPr="008B2EDF">
        <w:t xml:space="preserve">. [online] CIPD. </w:t>
      </w:r>
    </w:p>
    <w:p w14:paraId="73C9E30C" w14:textId="77777777" w:rsidR="00E94180" w:rsidRPr="008B2EDF" w:rsidRDefault="00E94180" w:rsidP="004F17FF">
      <w:pPr>
        <w:pStyle w:val="NormalWeb"/>
        <w:spacing w:before="0" w:beforeAutospacing="0" w:after="0" w:afterAutospacing="0"/>
        <w:jc w:val="both"/>
      </w:pPr>
      <w:r w:rsidRPr="008B2EDF">
        <w:t xml:space="preserve">Available at: </w:t>
      </w:r>
      <w:hyperlink r:id="rId45" w:history="1">
        <w:r w:rsidRPr="008B2EDF">
          <w:rPr>
            <w:rStyle w:val="Hyperlink"/>
          </w:rPr>
          <w:t>https://www.cipd.org/uk/knowledge/guides/flexible-working-manager-guide/</w:t>
        </w:r>
      </w:hyperlink>
    </w:p>
    <w:p w14:paraId="71D1207E" w14:textId="24B12159" w:rsidR="00E94180" w:rsidRPr="008B2EDF" w:rsidRDefault="00E94180" w:rsidP="004F17FF">
      <w:pPr>
        <w:pStyle w:val="NormalWeb"/>
        <w:spacing w:before="0" w:beforeAutospacing="0" w:after="0" w:afterAutospacing="0"/>
        <w:jc w:val="both"/>
      </w:pPr>
      <w:r w:rsidRPr="008B2EDF">
        <w:t>(Accessed: 28 August 2025)</w:t>
      </w:r>
    </w:p>
    <w:p w14:paraId="7ED872C3" w14:textId="77777777" w:rsidR="00E94180" w:rsidRPr="008B2EDF" w:rsidRDefault="00E94180" w:rsidP="004F17FF">
      <w:pPr>
        <w:pStyle w:val="NormalWeb"/>
        <w:spacing w:before="0" w:beforeAutospacing="0" w:after="0" w:afterAutospacing="0"/>
        <w:jc w:val="both"/>
      </w:pPr>
      <w:r w:rsidRPr="008B2EDF">
        <w:t xml:space="preserve">Cassell, C. (2015). </w:t>
      </w:r>
      <w:r w:rsidRPr="008B2EDF">
        <w:rPr>
          <w:i/>
          <w:iCs/>
        </w:rPr>
        <w:t>Conducting Research Interviews for Business and Management Students.</w:t>
      </w:r>
      <w:r w:rsidRPr="008B2EDF">
        <w:t xml:space="preserve"> </w:t>
      </w:r>
    </w:p>
    <w:p w14:paraId="50B79FBF" w14:textId="77777777" w:rsidR="00E94180" w:rsidRPr="008B2EDF" w:rsidRDefault="00E94180" w:rsidP="004F17FF">
      <w:pPr>
        <w:pStyle w:val="NormalWeb"/>
        <w:spacing w:before="0" w:beforeAutospacing="0" w:after="0" w:afterAutospacing="0"/>
        <w:jc w:val="both"/>
      </w:pPr>
      <w:r w:rsidRPr="008B2EDF">
        <w:t>Books: London: SAGE Publications Ltd.</w:t>
      </w:r>
    </w:p>
    <w:p w14:paraId="2F78346F" w14:textId="77777777" w:rsidR="00E94180" w:rsidRPr="008B2EDF" w:rsidRDefault="00E94180" w:rsidP="004F17FF">
      <w:pPr>
        <w:pStyle w:val="NormalWeb"/>
        <w:spacing w:before="0" w:beforeAutospacing="0" w:after="0" w:afterAutospacing="0"/>
        <w:jc w:val="both"/>
      </w:pPr>
      <w:r w:rsidRPr="008B2EDF">
        <w:t>(Accessed: 28 August 2025)</w:t>
      </w:r>
    </w:p>
    <w:p w14:paraId="31805C31" w14:textId="77777777" w:rsidR="00E94180" w:rsidRPr="008B2EDF" w:rsidRDefault="00E94180" w:rsidP="004F17FF">
      <w:pPr>
        <w:pStyle w:val="NormalWeb"/>
        <w:spacing w:before="0" w:beforeAutospacing="0" w:after="0" w:afterAutospacing="0"/>
        <w:jc w:val="both"/>
      </w:pPr>
      <w:r w:rsidRPr="008B2EDF">
        <w:t xml:space="preserve">CIPD (2023). </w:t>
      </w:r>
      <w:r w:rsidRPr="008B2EDF">
        <w:rPr>
          <w:i/>
          <w:iCs/>
        </w:rPr>
        <w:t>CIPD | Flexible and hybrid working practices in 2023</w:t>
      </w:r>
      <w:r w:rsidRPr="008B2EDF">
        <w:t xml:space="preserve">. [online] CIPD. Available at: </w:t>
      </w:r>
      <w:hyperlink r:id="rId46" w:history="1">
        <w:r w:rsidRPr="008B2EDF">
          <w:rPr>
            <w:rStyle w:val="Hyperlink"/>
          </w:rPr>
          <w:t>https://www.cipd.org/uk/knowledge/reports/flexible-hybrid-working/</w:t>
        </w:r>
      </w:hyperlink>
      <w:r w:rsidRPr="008B2EDF">
        <w:t xml:space="preserve"> </w:t>
      </w:r>
    </w:p>
    <w:p w14:paraId="245DA3C9" w14:textId="77777777" w:rsidR="00E94180" w:rsidRPr="008B2EDF" w:rsidRDefault="00E94180" w:rsidP="004F17FF">
      <w:pPr>
        <w:pStyle w:val="NormalWeb"/>
        <w:spacing w:before="0" w:beforeAutospacing="0" w:after="0" w:afterAutospacing="0"/>
        <w:jc w:val="both"/>
      </w:pPr>
      <w:r w:rsidRPr="008B2EDF">
        <w:t>(Accessed: 18 July 2025)</w:t>
      </w:r>
    </w:p>
    <w:p w14:paraId="376123A5" w14:textId="77777777" w:rsidR="00E94180" w:rsidRPr="008B2EDF" w:rsidRDefault="00E94180" w:rsidP="004F17FF">
      <w:pPr>
        <w:pStyle w:val="NormalWeb"/>
        <w:spacing w:before="0" w:beforeAutospacing="0" w:after="0" w:afterAutospacing="0"/>
        <w:jc w:val="both"/>
      </w:pPr>
      <w:r w:rsidRPr="008B2EDF">
        <w:t>CIPD (2022). CIPD | Trends in Flexible Working Arrangements. [online] CIPD.</w:t>
      </w:r>
    </w:p>
    <w:p w14:paraId="24A151AD" w14:textId="77777777" w:rsidR="00E94180" w:rsidRPr="008B2EDF" w:rsidRDefault="00E94180" w:rsidP="004F17FF">
      <w:pPr>
        <w:pStyle w:val="NormalWeb"/>
        <w:spacing w:before="0" w:beforeAutospacing="0" w:after="0" w:afterAutospacing="0"/>
        <w:jc w:val="both"/>
      </w:pPr>
      <w:r w:rsidRPr="008B2EDF">
        <w:t xml:space="preserve"> Available at: </w:t>
      </w:r>
      <w:hyperlink r:id="rId47" w:history="1">
        <w:r w:rsidRPr="008B2EDF">
          <w:rPr>
            <w:rStyle w:val="Hyperlink"/>
          </w:rPr>
          <w:t>https://www.cipd.org/uk/knowledge/reports/flexible-working-trends/</w:t>
        </w:r>
      </w:hyperlink>
      <w:r w:rsidRPr="008B2EDF">
        <w:t xml:space="preserve"> </w:t>
      </w:r>
    </w:p>
    <w:p w14:paraId="5BC7206E" w14:textId="77777777" w:rsidR="00E94180" w:rsidRPr="008B2EDF" w:rsidRDefault="00E94180" w:rsidP="004F17FF">
      <w:pPr>
        <w:pStyle w:val="NormalWeb"/>
        <w:spacing w:before="0" w:beforeAutospacing="0" w:after="0" w:afterAutospacing="0"/>
        <w:jc w:val="both"/>
      </w:pPr>
      <w:r w:rsidRPr="008B2EDF">
        <w:t>(Accessed: 25 July 2025)</w:t>
      </w:r>
    </w:p>
    <w:p w14:paraId="0133F9DA" w14:textId="77777777" w:rsidR="00E94180" w:rsidRPr="008B2EDF" w:rsidRDefault="00E94180" w:rsidP="004F17FF">
      <w:pPr>
        <w:pStyle w:val="NormalWeb"/>
        <w:spacing w:before="0" w:beforeAutospacing="0" w:after="0" w:afterAutospacing="0"/>
        <w:jc w:val="both"/>
      </w:pPr>
      <w:r w:rsidRPr="008B2EDF">
        <w:t xml:space="preserve">CIPD (2024). CIPD | People manager guide: Flexible working. [online] CIPD. </w:t>
      </w:r>
    </w:p>
    <w:p w14:paraId="4204C429" w14:textId="77777777" w:rsidR="00E94180" w:rsidRPr="008B2EDF" w:rsidRDefault="00E94180" w:rsidP="004F17FF">
      <w:pPr>
        <w:pStyle w:val="NormalWeb"/>
        <w:spacing w:before="0" w:beforeAutospacing="0" w:after="0" w:afterAutospacing="0"/>
        <w:jc w:val="both"/>
      </w:pPr>
      <w:r w:rsidRPr="008B2EDF">
        <w:t xml:space="preserve">Available at: </w:t>
      </w:r>
      <w:hyperlink r:id="rId48" w:history="1">
        <w:r w:rsidRPr="008B2EDF">
          <w:rPr>
            <w:rStyle w:val="Hyperlink"/>
          </w:rPr>
          <w:t>https://www.cipd.org/uk/knowledge/guides/flexible-working-manager-guide/</w:t>
        </w:r>
      </w:hyperlink>
      <w:r w:rsidRPr="008B2EDF">
        <w:t xml:space="preserve"> </w:t>
      </w:r>
    </w:p>
    <w:p w14:paraId="4BE639ED" w14:textId="77777777" w:rsidR="00E94180" w:rsidRPr="008B2EDF" w:rsidRDefault="00E94180" w:rsidP="004F17FF">
      <w:pPr>
        <w:pStyle w:val="NormalWeb"/>
        <w:spacing w:before="0" w:beforeAutospacing="0" w:after="0" w:afterAutospacing="0"/>
        <w:jc w:val="both"/>
      </w:pPr>
      <w:r w:rsidRPr="008B2EDF">
        <w:t>(Accessed: 25 July 2025)</w:t>
      </w:r>
    </w:p>
    <w:p w14:paraId="5A492704" w14:textId="77777777" w:rsidR="00E94180" w:rsidRPr="008B2EDF" w:rsidRDefault="00E94180" w:rsidP="004F17FF">
      <w:pPr>
        <w:pStyle w:val="NormalWeb"/>
        <w:spacing w:before="0" w:beforeAutospacing="0" w:after="0" w:afterAutospacing="0"/>
        <w:jc w:val="both"/>
      </w:pPr>
      <w:r w:rsidRPr="008B2EDF">
        <w:t>Clark, T., Foster, L. and Bryman, A. (2019).</w:t>
      </w:r>
      <w:r w:rsidRPr="008B2EDF">
        <w:rPr>
          <w:i/>
          <w:iCs/>
        </w:rPr>
        <w:t xml:space="preserve"> How to do your social research project or dissertation.</w:t>
      </w:r>
      <w:r w:rsidRPr="008B2EDF">
        <w:t xml:space="preserve"> 1st ed.</w:t>
      </w:r>
    </w:p>
    <w:p w14:paraId="6EF67602" w14:textId="245366AE" w:rsidR="00E94180" w:rsidRPr="008B2EDF" w:rsidRDefault="00E94180" w:rsidP="004F17FF">
      <w:pPr>
        <w:pStyle w:val="NormalWeb"/>
        <w:spacing w:before="0" w:beforeAutospacing="0" w:after="0" w:afterAutospacing="0"/>
        <w:jc w:val="both"/>
      </w:pPr>
      <w:r w:rsidRPr="008B2EDF">
        <w:t>Books. Oxford: Oxford University Press</w:t>
      </w:r>
    </w:p>
    <w:p w14:paraId="001A10A2" w14:textId="77777777" w:rsidR="00E94180" w:rsidRPr="008B2EDF" w:rsidRDefault="00E94180" w:rsidP="004F17FF">
      <w:pPr>
        <w:pStyle w:val="NormalWeb"/>
        <w:spacing w:before="0" w:beforeAutospacing="0" w:after="0" w:afterAutospacing="0"/>
        <w:jc w:val="both"/>
      </w:pPr>
      <w:r w:rsidRPr="008B2EDF">
        <w:t xml:space="preserve">Cole, N.L. (2019). </w:t>
      </w:r>
      <w:r w:rsidRPr="008B2EDF">
        <w:rPr>
          <w:i/>
          <w:iCs/>
        </w:rPr>
        <w:t>How to Think Like a Sociologist.</w:t>
      </w:r>
      <w:r w:rsidRPr="008B2EDF">
        <w:t xml:space="preserve"> [online] ThoughtCo. </w:t>
      </w:r>
    </w:p>
    <w:p w14:paraId="02FCCB88" w14:textId="77777777" w:rsidR="00E94180" w:rsidRPr="008B2EDF" w:rsidRDefault="00E94180" w:rsidP="004F17FF">
      <w:pPr>
        <w:pStyle w:val="NormalWeb"/>
        <w:spacing w:before="0" w:beforeAutospacing="0" w:after="0" w:afterAutospacing="0"/>
        <w:jc w:val="both"/>
      </w:pPr>
      <w:r w:rsidRPr="008B2EDF">
        <w:t xml:space="preserve">Available at: </w:t>
      </w:r>
      <w:hyperlink r:id="rId49" w:history="1">
        <w:r w:rsidRPr="008B2EDF">
          <w:rPr>
            <w:rStyle w:val="Hyperlink"/>
          </w:rPr>
          <w:t>https://www.thoughtco.com/sociological-perspective-3026642</w:t>
        </w:r>
      </w:hyperlink>
      <w:r w:rsidRPr="008B2EDF">
        <w:t xml:space="preserve"> </w:t>
      </w:r>
    </w:p>
    <w:p w14:paraId="4CC21974" w14:textId="3938F2CA" w:rsidR="00E94180" w:rsidRPr="008B2EDF" w:rsidRDefault="00E94180" w:rsidP="004F17FF">
      <w:pPr>
        <w:pStyle w:val="NormalWeb"/>
        <w:spacing w:before="0" w:beforeAutospacing="0" w:after="0" w:afterAutospacing="0"/>
        <w:jc w:val="both"/>
      </w:pPr>
      <w:r w:rsidRPr="008B2EDF">
        <w:t>(Accessed: 28 July 2025).</w:t>
      </w:r>
    </w:p>
    <w:p w14:paraId="4D5746A4" w14:textId="77777777" w:rsidR="00E94180" w:rsidRPr="008B2EDF" w:rsidRDefault="00E94180" w:rsidP="004F17FF">
      <w:pPr>
        <w:pStyle w:val="NormalWeb"/>
        <w:spacing w:before="0" w:beforeAutospacing="0" w:after="0" w:afterAutospacing="0"/>
        <w:jc w:val="both"/>
      </w:pPr>
      <w:r w:rsidRPr="008B2EDF">
        <w:t xml:space="preserve">Creswell, J.W. (2021). </w:t>
      </w:r>
      <w:r w:rsidRPr="008B2EDF">
        <w:rPr>
          <w:i/>
          <w:iCs/>
        </w:rPr>
        <w:t>Concise Introduction To Mixed Methods Research.</w:t>
      </w:r>
      <w:r w:rsidRPr="008B2EDF">
        <w:t xml:space="preserve"> </w:t>
      </w:r>
    </w:p>
    <w:p w14:paraId="667C5C09" w14:textId="5497FBA7" w:rsidR="00E94180" w:rsidRPr="008B2EDF" w:rsidRDefault="00E94180" w:rsidP="004F17FF">
      <w:pPr>
        <w:pStyle w:val="NormalWeb"/>
        <w:spacing w:before="0" w:beforeAutospacing="0" w:after="0" w:afterAutospacing="0"/>
        <w:jc w:val="both"/>
      </w:pPr>
      <w:r w:rsidRPr="008B2EDF">
        <w:t>Books; Los Angeles: Sage Publications.</w:t>
      </w:r>
    </w:p>
    <w:p w14:paraId="4BE3AC85" w14:textId="77777777" w:rsidR="00E94180" w:rsidRPr="008B2EDF" w:rsidRDefault="00E94180" w:rsidP="004F17FF">
      <w:pPr>
        <w:pStyle w:val="NormalWeb"/>
        <w:spacing w:before="0" w:beforeAutospacing="0" w:after="0" w:afterAutospacing="0"/>
        <w:jc w:val="both"/>
      </w:pPr>
      <w:r w:rsidRPr="008B2EDF">
        <w:t xml:space="preserve">Crossman, A. (2020). </w:t>
      </w:r>
      <w:r w:rsidRPr="008B2EDF">
        <w:rPr>
          <w:i/>
          <w:iCs/>
        </w:rPr>
        <w:t>Feminist Theory in Sociology</w:t>
      </w:r>
      <w:r w:rsidRPr="008B2EDF">
        <w:t xml:space="preserve">. [online] ThoughtCo. </w:t>
      </w:r>
    </w:p>
    <w:p w14:paraId="785E4FB1" w14:textId="77777777" w:rsidR="00E94180" w:rsidRPr="008B2EDF" w:rsidRDefault="00E94180" w:rsidP="004F17FF">
      <w:pPr>
        <w:pStyle w:val="NormalWeb"/>
        <w:spacing w:before="0" w:beforeAutospacing="0" w:after="0" w:afterAutospacing="0"/>
        <w:jc w:val="both"/>
      </w:pPr>
      <w:r w:rsidRPr="008B2EDF">
        <w:t xml:space="preserve">Available at: </w:t>
      </w:r>
      <w:hyperlink r:id="rId50" w:history="1">
        <w:r w:rsidRPr="008B2EDF">
          <w:rPr>
            <w:rStyle w:val="Hyperlink"/>
          </w:rPr>
          <w:t>https://www.thoughtco.com/feminist-theory-3026624</w:t>
        </w:r>
      </w:hyperlink>
      <w:r w:rsidRPr="008B2EDF">
        <w:t xml:space="preserve"> </w:t>
      </w:r>
    </w:p>
    <w:p w14:paraId="685D4B71" w14:textId="23E9B051" w:rsidR="00E94180" w:rsidRPr="008B2EDF" w:rsidRDefault="00E94180" w:rsidP="004F17FF">
      <w:pPr>
        <w:pStyle w:val="NormalWeb"/>
        <w:spacing w:before="0" w:beforeAutospacing="0" w:after="0" w:afterAutospacing="0"/>
        <w:jc w:val="both"/>
      </w:pPr>
      <w:r w:rsidRPr="008B2EDF">
        <w:t>(Accessed: 28 August 2025)</w:t>
      </w:r>
    </w:p>
    <w:p w14:paraId="5E240F9B" w14:textId="77777777" w:rsidR="00E94180" w:rsidRPr="008B2EDF" w:rsidRDefault="00E94180" w:rsidP="004F17FF">
      <w:pPr>
        <w:pStyle w:val="NormalWeb"/>
        <w:spacing w:before="0" w:beforeAutospacing="0" w:after="0" w:afterAutospacing="0"/>
        <w:jc w:val="both"/>
        <w:rPr>
          <w:lang w:val="en-US"/>
        </w:rPr>
      </w:pPr>
      <w:r w:rsidRPr="008B2EDF">
        <w:rPr>
          <w:lang w:val="en-US"/>
        </w:rPr>
        <w:t xml:space="preserve">Cao, X., and Wang, S. (2025). Flexible work arrangements, gender ideology, and housework time among dual-earner couples. </w:t>
      </w:r>
      <w:r w:rsidRPr="008B2EDF">
        <w:rPr>
          <w:i/>
          <w:iCs/>
          <w:lang w:val="en-US"/>
        </w:rPr>
        <w:t>Social Science Research</w:t>
      </w:r>
      <w:r w:rsidRPr="008B2EDF">
        <w:rPr>
          <w:lang w:val="en-US"/>
        </w:rPr>
        <w:t xml:space="preserve">, [online] 129(103192), p.103192.  Available at: </w:t>
      </w:r>
      <w:hyperlink r:id="rId51" w:history="1">
        <w:r w:rsidRPr="008B2EDF">
          <w:rPr>
            <w:rStyle w:val="Hyperlink"/>
            <w:lang w:val="en-US"/>
          </w:rPr>
          <w:t>https://doi.org/10.1016/j.ssresearch.2025.103192</w:t>
        </w:r>
      </w:hyperlink>
    </w:p>
    <w:p w14:paraId="0F62ADA2" w14:textId="73599CBE" w:rsidR="00E94180" w:rsidRPr="008B2EDF" w:rsidRDefault="00E94180" w:rsidP="004F17FF">
      <w:pPr>
        <w:pStyle w:val="NormalWeb"/>
        <w:spacing w:before="0" w:beforeAutospacing="0" w:after="0" w:afterAutospacing="0"/>
        <w:jc w:val="both"/>
        <w:rPr>
          <w:lang w:val="en-US"/>
        </w:rPr>
      </w:pPr>
      <w:r w:rsidRPr="008B2EDF">
        <w:rPr>
          <w:lang w:val="en-US"/>
        </w:rPr>
        <w:lastRenderedPageBreak/>
        <w:t>(Accessed: 20 August 2025)</w:t>
      </w:r>
    </w:p>
    <w:p w14:paraId="57ABC7F0" w14:textId="77777777" w:rsidR="00E94180" w:rsidRPr="008B2EDF" w:rsidRDefault="00E94180" w:rsidP="004F17FF">
      <w:pPr>
        <w:pStyle w:val="NormalWeb"/>
        <w:spacing w:before="0" w:beforeAutospacing="0" w:after="0" w:afterAutospacing="0"/>
        <w:jc w:val="both"/>
        <w:rPr>
          <w:lang w:val="en-US"/>
        </w:rPr>
      </w:pPr>
      <w:r w:rsidRPr="008B2EDF">
        <w:rPr>
          <w:lang w:val="en-US"/>
        </w:rPr>
        <w:t xml:space="preserve">Carrasco-Santos, M.J., Seyfi, S., Hosseini, S., Hall, C.M., Mohajer, B., Almeida-García, F. and Cortes Macías, R. (2024). Breaking boundaries: Exploring gendered challenges and advancing equality for Iranian women careers in tourism. </w:t>
      </w:r>
      <w:r w:rsidRPr="008B2EDF">
        <w:rPr>
          <w:i/>
          <w:iCs/>
          <w:lang w:val="en-US"/>
        </w:rPr>
        <w:t>Tourism Management</w:t>
      </w:r>
      <w:r w:rsidRPr="008B2EDF">
        <w:rPr>
          <w:lang w:val="en-US"/>
        </w:rPr>
        <w:t xml:space="preserve">, 103(104913), pp.104913–104913. </w:t>
      </w:r>
    </w:p>
    <w:p w14:paraId="742222D8" w14:textId="77777777" w:rsidR="00E94180" w:rsidRPr="008B2EDF" w:rsidRDefault="00E94180" w:rsidP="004F17FF">
      <w:pPr>
        <w:pStyle w:val="NormalWeb"/>
        <w:spacing w:before="0" w:beforeAutospacing="0" w:after="0" w:afterAutospacing="0"/>
        <w:jc w:val="both"/>
        <w:rPr>
          <w:lang w:val="en-US"/>
        </w:rPr>
      </w:pPr>
      <w:r w:rsidRPr="008B2EDF">
        <w:rPr>
          <w:lang w:val="en-US"/>
        </w:rPr>
        <w:t xml:space="preserve"> Available at: </w:t>
      </w:r>
      <w:hyperlink r:id="rId52" w:history="1">
        <w:r w:rsidRPr="008B2EDF">
          <w:rPr>
            <w:rStyle w:val="Hyperlink"/>
            <w:lang w:val="en-US"/>
          </w:rPr>
          <w:t>https://doi.org/10.1016/j.tourman.2024.104913</w:t>
        </w:r>
      </w:hyperlink>
      <w:r w:rsidRPr="008B2EDF">
        <w:rPr>
          <w:lang w:val="en-US"/>
        </w:rPr>
        <w:t xml:space="preserve"> </w:t>
      </w:r>
    </w:p>
    <w:p w14:paraId="728E5D7E" w14:textId="43F13BF2" w:rsidR="00E94180" w:rsidRPr="008B2EDF" w:rsidRDefault="00E94180" w:rsidP="004F17FF">
      <w:pPr>
        <w:pStyle w:val="NormalWeb"/>
        <w:spacing w:before="0" w:beforeAutospacing="0" w:after="0" w:afterAutospacing="0"/>
        <w:jc w:val="both"/>
      </w:pPr>
      <w:r w:rsidRPr="008B2EDF">
        <w:t>(Accessed: 25 July 2025)</w:t>
      </w:r>
    </w:p>
    <w:p w14:paraId="5AA5A20F" w14:textId="77777777" w:rsidR="00E94180" w:rsidRPr="008B2EDF" w:rsidRDefault="00E94180" w:rsidP="004F17FF">
      <w:pPr>
        <w:pStyle w:val="NormalWeb"/>
        <w:spacing w:before="0" w:beforeAutospacing="0" w:after="0" w:afterAutospacing="0"/>
        <w:jc w:val="both"/>
        <w:rPr>
          <w:lang w:val="en-US"/>
        </w:rPr>
      </w:pPr>
      <w:r w:rsidRPr="008B2EDF">
        <w:t xml:space="preserve">Castañeda-Navarrete, J., Roupakia, Z., Dome, V. and Anzolin, G. (2024). </w:t>
      </w:r>
      <w:r w:rsidRPr="008B2EDF">
        <w:rPr>
          <w:i/>
          <w:iCs/>
          <w:lang w:val="en-US"/>
        </w:rPr>
        <w:t>Women in UK Manufacturing 2024: Addressing labour shortages and bridging the gender gap A review of best practices for diversity and inclusion</w:t>
      </w:r>
      <w:r w:rsidRPr="008B2EDF">
        <w:rPr>
          <w:lang w:val="en-US"/>
        </w:rPr>
        <w:t xml:space="preserve">. [online] </w:t>
      </w:r>
    </w:p>
    <w:p w14:paraId="1F46F9E2" w14:textId="77777777" w:rsidR="00E94180" w:rsidRPr="008B2EDF" w:rsidRDefault="00E94180" w:rsidP="004F17FF">
      <w:pPr>
        <w:pStyle w:val="NormalWeb"/>
        <w:spacing w:before="0" w:beforeAutospacing="0" w:after="0" w:afterAutospacing="0"/>
        <w:jc w:val="both"/>
        <w:rPr>
          <w:lang w:val="en-US"/>
        </w:rPr>
      </w:pPr>
      <w:r w:rsidRPr="008B2EDF">
        <w:rPr>
          <w:lang w:val="en-US"/>
        </w:rPr>
        <w:t xml:space="preserve">Available at: </w:t>
      </w:r>
      <w:hyperlink r:id="rId53" w:history="1">
        <w:r w:rsidRPr="008B2EDF">
          <w:rPr>
            <w:rStyle w:val="Hyperlink"/>
            <w:lang w:val="en-US"/>
          </w:rPr>
          <w:t>https://engage.ifm.eng.cam.ac.uk/wp-content/uploads/Women-in-Manufacturing-report-2024.pdf</w:t>
        </w:r>
      </w:hyperlink>
      <w:r w:rsidRPr="008B2EDF">
        <w:rPr>
          <w:lang w:val="en-US"/>
        </w:rPr>
        <w:t>.</w:t>
      </w:r>
    </w:p>
    <w:p w14:paraId="00ED242E" w14:textId="77777777" w:rsidR="00E94180" w:rsidRPr="008B2EDF" w:rsidRDefault="00E94180" w:rsidP="004F17FF">
      <w:pPr>
        <w:pStyle w:val="NormalWeb"/>
        <w:spacing w:before="0" w:beforeAutospacing="0" w:after="0" w:afterAutospacing="0"/>
        <w:jc w:val="both"/>
        <w:rPr>
          <w:lang w:val="en-US"/>
        </w:rPr>
      </w:pPr>
      <w:r w:rsidRPr="008B2EDF">
        <w:rPr>
          <w:lang w:val="en-US"/>
        </w:rPr>
        <w:t>(Accessed: 20 August 2025)</w:t>
      </w:r>
    </w:p>
    <w:p w14:paraId="24919A5B" w14:textId="77777777" w:rsidR="00E94180" w:rsidRPr="008B2EDF" w:rsidRDefault="00E94180" w:rsidP="004F17FF">
      <w:pPr>
        <w:pStyle w:val="NormalWeb"/>
        <w:spacing w:before="0" w:beforeAutospacing="0" w:after="0" w:afterAutospacing="0"/>
        <w:jc w:val="both"/>
        <w:rPr>
          <w:lang w:val="en-US"/>
        </w:rPr>
      </w:pPr>
      <w:r w:rsidRPr="008B2EDF">
        <w:rPr>
          <w:lang w:val="en-US"/>
        </w:rPr>
        <w:t xml:space="preserve">CIPD (2017a). </w:t>
      </w:r>
      <w:r w:rsidRPr="008B2EDF">
        <w:rPr>
          <w:i/>
          <w:iCs/>
          <w:lang w:val="en-US"/>
        </w:rPr>
        <w:t>Human capital theory: assessing the evidence for the value and importance of people to organisational success in partnership with</w:t>
      </w:r>
      <w:r w:rsidRPr="008B2EDF">
        <w:rPr>
          <w:lang w:val="en-US"/>
        </w:rPr>
        <w:t xml:space="preserve">. [online] </w:t>
      </w:r>
      <w:r w:rsidRPr="008B2EDF">
        <w:rPr>
          <w:i/>
          <w:iCs/>
          <w:lang w:val="en-US"/>
        </w:rPr>
        <w:t>CIPD</w:t>
      </w:r>
      <w:r w:rsidRPr="008B2EDF">
        <w:rPr>
          <w:lang w:val="en-US"/>
        </w:rPr>
        <w:t xml:space="preserve">, pp.1–96. </w:t>
      </w:r>
    </w:p>
    <w:p w14:paraId="00DB5DE5" w14:textId="77777777" w:rsidR="00E94180" w:rsidRPr="008B2EDF" w:rsidRDefault="00E94180" w:rsidP="004F17FF">
      <w:pPr>
        <w:pStyle w:val="NormalWeb"/>
        <w:spacing w:before="0" w:beforeAutospacing="0" w:after="0" w:afterAutospacing="0"/>
        <w:jc w:val="both"/>
        <w:rPr>
          <w:lang w:val="en-US"/>
        </w:rPr>
      </w:pPr>
      <w:r w:rsidRPr="008B2EDF">
        <w:rPr>
          <w:lang w:val="en-US"/>
        </w:rPr>
        <w:t xml:space="preserve">Available at: </w:t>
      </w:r>
      <w:hyperlink r:id="rId54" w:history="1">
        <w:r w:rsidRPr="008B2EDF">
          <w:rPr>
            <w:rStyle w:val="Hyperlink"/>
            <w:lang w:val="en-US"/>
          </w:rPr>
          <w:t>https://www.cipd.org/globalassets/media/knowledge/knowledge-hub/reports/human-capital-theory-assessing-the-evidence_tcm18-22292.pdf</w:t>
        </w:r>
      </w:hyperlink>
      <w:r w:rsidRPr="008B2EDF">
        <w:rPr>
          <w:lang w:val="en-US"/>
        </w:rPr>
        <w:t>.</w:t>
      </w:r>
    </w:p>
    <w:p w14:paraId="77E1C46D" w14:textId="14CEF4B1" w:rsidR="00E94180" w:rsidRPr="008B2EDF" w:rsidRDefault="00E94180" w:rsidP="004F17FF">
      <w:pPr>
        <w:pStyle w:val="NormalWeb"/>
        <w:spacing w:before="0" w:beforeAutospacing="0" w:after="0" w:afterAutospacing="0"/>
        <w:jc w:val="both"/>
        <w:rPr>
          <w:lang w:val="en-US"/>
        </w:rPr>
      </w:pPr>
      <w:r w:rsidRPr="008B2EDF">
        <w:rPr>
          <w:lang w:val="en-US"/>
        </w:rPr>
        <w:t>(Accessed: 20 August 2025)</w:t>
      </w:r>
    </w:p>
    <w:p w14:paraId="2B3981DC" w14:textId="77777777" w:rsidR="00E94180" w:rsidRPr="008B2EDF" w:rsidRDefault="00E94180" w:rsidP="004F17FF">
      <w:pPr>
        <w:pStyle w:val="NormalWeb"/>
        <w:spacing w:before="0" w:beforeAutospacing="0" w:after="0" w:afterAutospacing="0"/>
        <w:jc w:val="both"/>
        <w:rPr>
          <w:lang w:val="en-US"/>
        </w:rPr>
      </w:pPr>
      <w:r w:rsidRPr="008B2EDF">
        <w:rPr>
          <w:lang w:val="en-US"/>
        </w:rPr>
        <w:t xml:space="preserve">CIPD (2017b). </w:t>
      </w:r>
      <w:r w:rsidRPr="008B2EDF">
        <w:rPr>
          <w:i/>
          <w:iCs/>
          <w:lang w:val="en-US"/>
        </w:rPr>
        <w:t>The future of technology and learning Research report</w:t>
      </w:r>
      <w:r w:rsidRPr="008B2EDF">
        <w:rPr>
          <w:lang w:val="en-US"/>
        </w:rPr>
        <w:t xml:space="preserve">. [online] </w:t>
      </w:r>
    </w:p>
    <w:p w14:paraId="58379CED" w14:textId="77777777" w:rsidR="00E94180" w:rsidRPr="008B2EDF" w:rsidRDefault="00E94180" w:rsidP="004F17FF">
      <w:pPr>
        <w:pStyle w:val="NormalWeb"/>
        <w:spacing w:before="0" w:beforeAutospacing="0" w:after="0" w:afterAutospacing="0"/>
        <w:jc w:val="both"/>
        <w:rPr>
          <w:lang w:val="en-US"/>
        </w:rPr>
      </w:pPr>
      <w:r w:rsidRPr="008B2EDF">
        <w:rPr>
          <w:lang w:val="en-US"/>
        </w:rPr>
        <w:t xml:space="preserve">Available at: </w:t>
      </w:r>
      <w:hyperlink r:id="rId55" w:history="1">
        <w:r w:rsidRPr="008B2EDF">
          <w:rPr>
            <w:rStyle w:val="Hyperlink"/>
            <w:lang w:val="en-US"/>
          </w:rPr>
          <w:t>https://www.cipd.org/globalassets/media/knowledge/knowledge-hub/reports/the-future-of-technology-and-learning_2017_tcm18-29348.pdf</w:t>
        </w:r>
      </w:hyperlink>
      <w:r w:rsidRPr="008B2EDF">
        <w:rPr>
          <w:lang w:val="en-US"/>
        </w:rPr>
        <w:t xml:space="preserve"> </w:t>
      </w:r>
    </w:p>
    <w:p w14:paraId="62994900" w14:textId="65B0A285" w:rsidR="00E94180" w:rsidRPr="008B2EDF" w:rsidRDefault="00E94180" w:rsidP="004F17FF">
      <w:pPr>
        <w:pStyle w:val="NormalWeb"/>
        <w:spacing w:before="0" w:beforeAutospacing="0" w:after="0" w:afterAutospacing="0"/>
        <w:jc w:val="both"/>
        <w:rPr>
          <w:lang w:val="en-US"/>
        </w:rPr>
      </w:pPr>
      <w:r w:rsidRPr="008B2EDF">
        <w:rPr>
          <w:lang w:val="en-US"/>
        </w:rPr>
        <w:t>(Accessed: 20 August 2025)</w:t>
      </w:r>
    </w:p>
    <w:p w14:paraId="2D926D27" w14:textId="77777777" w:rsidR="00E94180" w:rsidRPr="008B2EDF" w:rsidRDefault="00E94180" w:rsidP="004F17FF">
      <w:pPr>
        <w:pStyle w:val="NormalWeb"/>
        <w:spacing w:before="0" w:beforeAutospacing="0" w:after="0" w:afterAutospacing="0"/>
        <w:jc w:val="both"/>
        <w:rPr>
          <w:lang w:val="en-US"/>
        </w:rPr>
      </w:pPr>
      <w:r w:rsidRPr="008B2EDF">
        <w:rPr>
          <w:lang w:val="en-US"/>
        </w:rPr>
        <w:t xml:space="preserve">CIPD (2022a). </w:t>
      </w:r>
      <w:r w:rsidRPr="008B2EDF">
        <w:rPr>
          <w:i/>
          <w:iCs/>
          <w:lang w:val="en-US"/>
        </w:rPr>
        <w:t>An Update on Flexible and Hybrid Working Practices</w:t>
      </w:r>
      <w:r w:rsidRPr="008B2EDF">
        <w:rPr>
          <w:lang w:val="en-US"/>
        </w:rPr>
        <w:t xml:space="preserve">. [online] </w:t>
      </w:r>
    </w:p>
    <w:p w14:paraId="65723713" w14:textId="77777777" w:rsidR="00E94180" w:rsidRPr="008B2EDF" w:rsidRDefault="00E94180" w:rsidP="004F17FF">
      <w:pPr>
        <w:pStyle w:val="NormalWeb"/>
        <w:spacing w:before="0" w:beforeAutospacing="0" w:after="0" w:afterAutospacing="0"/>
        <w:jc w:val="both"/>
        <w:rPr>
          <w:lang w:val="en-US"/>
        </w:rPr>
      </w:pPr>
      <w:r w:rsidRPr="008B2EDF">
        <w:rPr>
          <w:lang w:val="en-US"/>
        </w:rPr>
        <w:t xml:space="preserve">Available at: </w:t>
      </w:r>
      <w:hyperlink r:id="rId56" w:history="1">
        <w:r w:rsidRPr="008B2EDF">
          <w:rPr>
            <w:rStyle w:val="Hyperlink"/>
            <w:lang w:val="en-US"/>
          </w:rPr>
          <w:t>https://www.cipd.org/globalassets/media/knowledge/knowledge-hub/reports/flexible-hybrid-working-practices-report_tcm18-108941.pdf</w:t>
        </w:r>
      </w:hyperlink>
      <w:r w:rsidRPr="008B2EDF">
        <w:rPr>
          <w:lang w:val="en-US"/>
        </w:rPr>
        <w:t xml:space="preserve"> </w:t>
      </w:r>
    </w:p>
    <w:p w14:paraId="4945E487" w14:textId="41B7A533" w:rsidR="00E94180" w:rsidRPr="008B2EDF" w:rsidRDefault="00E94180" w:rsidP="004F17FF">
      <w:pPr>
        <w:pStyle w:val="NormalWeb"/>
        <w:spacing w:before="0" w:beforeAutospacing="0" w:after="0" w:afterAutospacing="0"/>
        <w:jc w:val="both"/>
      </w:pPr>
      <w:r w:rsidRPr="008B2EDF">
        <w:t>(Accessed: 29 July 2025)</w:t>
      </w:r>
    </w:p>
    <w:p w14:paraId="195CECB5" w14:textId="77777777" w:rsidR="00E94180" w:rsidRPr="008B2EDF" w:rsidRDefault="00E94180" w:rsidP="004F17FF">
      <w:pPr>
        <w:pStyle w:val="NormalWeb"/>
        <w:spacing w:before="0" w:beforeAutospacing="0" w:after="0" w:afterAutospacing="0"/>
        <w:jc w:val="both"/>
        <w:rPr>
          <w:lang w:val="en-US"/>
        </w:rPr>
      </w:pPr>
      <w:r w:rsidRPr="008B2EDF">
        <w:rPr>
          <w:lang w:val="en-US"/>
        </w:rPr>
        <w:t xml:space="preserve">CIPD (2022b). </w:t>
      </w:r>
      <w:r w:rsidRPr="008B2EDF">
        <w:rPr>
          <w:i/>
          <w:iCs/>
          <w:lang w:val="en-US"/>
        </w:rPr>
        <w:t>Evolution and Current Status Zero-Hours Contracts</w:t>
      </w:r>
      <w:r w:rsidRPr="008B2EDF">
        <w:rPr>
          <w:lang w:val="en-US"/>
        </w:rPr>
        <w:t xml:space="preserve">. [online] </w:t>
      </w:r>
      <w:r w:rsidRPr="008B2EDF">
        <w:rPr>
          <w:i/>
          <w:iCs/>
          <w:lang w:val="en-US"/>
        </w:rPr>
        <w:t>CIPD</w:t>
      </w:r>
      <w:r w:rsidRPr="008B2EDF">
        <w:rPr>
          <w:lang w:val="en-US"/>
        </w:rPr>
        <w:t>.</w:t>
      </w:r>
    </w:p>
    <w:p w14:paraId="1CF1912E" w14:textId="77777777" w:rsidR="00E94180" w:rsidRPr="008B2EDF" w:rsidRDefault="00E94180" w:rsidP="004F17FF">
      <w:pPr>
        <w:pStyle w:val="NormalWeb"/>
        <w:spacing w:before="0" w:beforeAutospacing="0" w:after="0" w:afterAutospacing="0"/>
        <w:jc w:val="both"/>
        <w:rPr>
          <w:lang w:val="en-US"/>
        </w:rPr>
      </w:pPr>
      <w:r w:rsidRPr="008B2EDF">
        <w:rPr>
          <w:lang w:val="en-US"/>
        </w:rPr>
        <w:t xml:space="preserve"> Available at: </w:t>
      </w:r>
      <w:hyperlink r:id="rId57" w:history="1">
        <w:r w:rsidRPr="008B2EDF">
          <w:rPr>
            <w:rStyle w:val="Hyperlink"/>
            <w:lang w:val="en-US"/>
          </w:rPr>
          <w:t>https://www.cipd.org/globalassets/media/knowledge/knowledge-hub/reports/zero-hours-contracts-report-aug-2022_tcm18-110465.pdf</w:t>
        </w:r>
      </w:hyperlink>
    </w:p>
    <w:p w14:paraId="1D68525C" w14:textId="700F91DA" w:rsidR="00E94180" w:rsidRPr="008B2EDF" w:rsidRDefault="00E94180" w:rsidP="004F17FF">
      <w:pPr>
        <w:pStyle w:val="NormalWeb"/>
        <w:spacing w:before="0" w:beforeAutospacing="0" w:after="0" w:afterAutospacing="0"/>
        <w:jc w:val="both"/>
        <w:rPr>
          <w:lang w:val="en-US"/>
        </w:rPr>
      </w:pPr>
      <w:r w:rsidRPr="008B2EDF">
        <w:rPr>
          <w:lang w:val="en-US"/>
        </w:rPr>
        <w:t>(Accessed: 20 August 2025)</w:t>
      </w:r>
    </w:p>
    <w:p w14:paraId="462C4519" w14:textId="77777777" w:rsidR="00E94180" w:rsidRPr="008B2EDF" w:rsidRDefault="00E94180" w:rsidP="004F17FF">
      <w:pPr>
        <w:pStyle w:val="NormalWeb"/>
        <w:spacing w:before="0" w:beforeAutospacing="0" w:after="0" w:afterAutospacing="0"/>
        <w:jc w:val="both"/>
        <w:rPr>
          <w:lang w:val="en-US"/>
        </w:rPr>
      </w:pPr>
      <w:r w:rsidRPr="008B2EDF">
        <w:rPr>
          <w:lang w:val="en-US"/>
        </w:rPr>
        <w:t xml:space="preserve">CIPD (2022c). </w:t>
      </w:r>
      <w:r w:rsidRPr="008B2EDF">
        <w:rPr>
          <w:i/>
          <w:iCs/>
          <w:lang w:val="en-US"/>
        </w:rPr>
        <w:t>Trends in Flexible Working Arrangements</w:t>
      </w:r>
      <w:r w:rsidRPr="008B2EDF">
        <w:rPr>
          <w:lang w:val="en-US"/>
        </w:rPr>
        <w:t xml:space="preserve">. [online] CIPD. </w:t>
      </w:r>
    </w:p>
    <w:p w14:paraId="2B63BA55" w14:textId="77777777" w:rsidR="00E94180" w:rsidRPr="008B2EDF" w:rsidRDefault="00E94180" w:rsidP="004F17FF">
      <w:pPr>
        <w:pStyle w:val="NormalWeb"/>
        <w:spacing w:before="0" w:beforeAutospacing="0" w:after="0" w:afterAutospacing="0"/>
        <w:jc w:val="both"/>
        <w:rPr>
          <w:lang w:val="en-US"/>
        </w:rPr>
      </w:pPr>
      <w:r w:rsidRPr="008B2EDF">
        <w:rPr>
          <w:lang w:val="en-US"/>
        </w:rPr>
        <w:t xml:space="preserve">Available at: </w:t>
      </w:r>
      <w:hyperlink r:id="rId58" w:history="1">
        <w:r w:rsidRPr="008B2EDF">
          <w:rPr>
            <w:rStyle w:val="Hyperlink"/>
            <w:lang w:val="en-US"/>
          </w:rPr>
          <w:t>https://www.cipd.org/uk/knowledge/reports/flexible-working-trends/</w:t>
        </w:r>
      </w:hyperlink>
    </w:p>
    <w:p w14:paraId="34D8C93A" w14:textId="0712B965" w:rsidR="00E94180" w:rsidRPr="008B2EDF" w:rsidRDefault="00E94180" w:rsidP="004F17FF">
      <w:pPr>
        <w:pStyle w:val="NormalWeb"/>
        <w:spacing w:before="0" w:beforeAutospacing="0" w:after="0" w:afterAutospacing="0"/>
        <w:jc w:val="both"/>
        <w:rPr>
          <w:lang w:val="en-US"/>
        </w:rPr>
      </w:pPr>
      <w:r w:rsidRPr="008B2EDF">
        <w:rPr>
          <w:lang w:val="en-US"/>
        </w:rPr>
        <w:t>(Accessed: 20 August 2025)</w:t>
      </w:r>
    </w:p>
    <w:p w14:paraId="7BAC899D" w14:textId="77777777" w:rsidR="00E94180" w:rsidRPr="008B2EDF" w:rsidRDefault="00E94180" w:rsidP="004F17FF">
      <w:pPr>
        <w:pStyle w:val="NormalWeb"/>
        <w:spacing w:before="0" w:beforeAutospacing="0" w:after="0" w:afterAutospacing="0"/>
        <w:jc w:val="both"/>
        <w:rPr>
          <w:lang w:val="en-US"/>
        </w:rPr>
      </w:pPr>
      <w:r w:rsidRPr="008B2EDF">
        <w:rPr>
          <w:lang w:val="en-US"/>
        </w:rPr>
        <w:t xml:space="preserve">CIPD (2023a). </w:t>
      </w:r>
      <w:r w:rsidRPr="008B2EDF">
        <w:rPr>
          <w:i/>
          <w:iCs/>
          <w:lang w:val="en-US"/>
        </w:rPr>
        <w:t>CIPD | Flexible and Hybrid Working Resources</w:t>
      </w:r>
      <w:r w:rsidRPr="008B2EDF">
        <w:rPr>
          <w:lang w:val="en-US"/>
        </w:rPr>
        <w:t xml:space="preserve">. [online] CIPD. Available at: </w:t>
      </w:r>
      <w:hyperlink r:id="rId59" w:history="1">
        <w:r w:rsidRPr="008B2EDF">
          <w:rPr>
            <w:rStyle w:val="Hyperlink"/>
            <w:lang w:val="en-US"/>
          </w:rPr>
          <w:t>https://www.cipd.org/uk/topics/flexible-hybrid-working/</w:t>
        </w:r>
      </w:hyperlink>
    </w:p>
    <w:p w14:paraId="134CD127" w14:textId="3796F0A8" w:rsidR="00E94180" w:rsidRPr="008B2EDF" w:rsidRDefault="00E94180" w:rsidP="004F17FF">
      <w:pPr>
        <w:pStyle w:val="NormalWeb"/>
        <w:spacing w:before="0" w:beforeAutospacing="0" w:after="0" w:afterAutospacing="0"/>
        <w:jc w:val="both"/>
        <w:rPr>
          <w:lang w:val="en-US"/>
        </w:rPr>
      </w:pPr>
      <w:r w:rsidRPr="008B2EDF">
        <w:rPr>
          <w:lang w:val="en-US"/>
        </w:rPr>
        <w:t>(Accessed: 20 August 2025)</w:t>
      </w:r>
    </w:p>
    <w:p w14:paraId="050081DD" w14:textId="77777777" w:rsidR="00E94180" w:rsidRPr="008B2EDF" w:rsidRDefault="00E94180" w:rsidP="004F17FF">
      <w:pPr>
        <w:pStyle w:val="NormalWeb"/>
        <w:spacing w:before="0" w:beforeAutospacing="0" w:after="0" w:afterAutospacing="0"/>
        <w:jc w:val="both"/>
        <w:rPr>
          <w:lang w:val="en-US"/>
        </w:rPr>
      </w:pPr>
      <w:r w:rsidRPr="008B2EDF">
        <w:rPr>
          <w:lang w:val="en-US"/>
        </w:rPr>
        <w:t xml:space="preserve">CIPD (2023b). </w:t>
      </w:r>
      <w:r w:rsidRPr="008B2EDF">
        <w:rPr>
          <w:i/>
          <w:iCs/>
          <w:lang w:val="en-US"/>
        </w:rPr>
        <w:t>People managers an evidence review</w:t>
      </w:r>
      <w:r w:rsidRPr="008B2EDF">
        <w:rPr>
          <w:lang w:val="en-US"/>
        </w:rPr>
        <w:t xml:space="preserve">. [online] </w:t>
      </w:r>
    </w:p>
    <w:p w14:paraId="7F82B3B4" w14:textId="77777777" w:rsidR="00E94180" w:rsidRPr="008B2EDF" w:rsidRDefault="00E94180" w:rsidP="004F17FF">
      <w:pPr>
        <w:pStyle w:val="NormalWeb"/>
        <w:spacing w:before="0" w:beforeAutospacing="0" w:after="0" w:afterAutospacing="0"/>
        <w:jc w:val="both"/>
        <w:rPr>
          <w:lang w:val="en-US"/>
        </w:rPr>
      </w:pPr>
      <w:r w:rsidRPr="008B2EDF">
        <w:rPr>
          <w:lang w:val="en-US"/>
        </w:rPr>
        <w:t xml:space="preserve">Available at: </w:t>
      </w:r>
      <w:hyperlink r:id="rId60" w:history="1">
        <w:r w:rsidRPr="008B2EDF">
          <w:rPr>
            <w:rStyle w:val="Hyperlink"/>
            <w:lang w:val="en-US"/>
          </w:rPr>
          <w:t>https://www.cipd.org/globalassets/media/knowledge/knowledge-hub/evidence-reviews/2023-pdfs/2023-people-managers-scientific-summary-8431.pdf</w:t>
        </w:r>
      </w:hyperlink>
    </w:p>
    <w:p w14:paraId="0F1A07C4" w14:textId="07EB53A8" w:rsidR="00E94180" w:rsidRPr="008B2EDF" w:rsidRDefault="00E94180" w:rsidP="004F17FF">
      <w:pPr>
        <w:pStyle w:val="NormalWeb"/>
        <w:spacing w:before="0" w:beforeAutospacing="0" w:after="0" w:afterAutospacing="0"/>
        <w:jc w:val="both"/>
        <w:rPr>
          <w:lang w:val="en-US"/>
        </w:rPr>
      </w:pPr>
      <w:r w:rsidRPr="008B2EDF">
        <w:rPr>
          <w:lang w:val="en-US"/>
        </w:rPr>
        <w:t>(Accessed: 20 August 2025)</w:t>
      </w:r>
    </w:p>
    <w:p w14:paraId="74A8AACA" w14:textId="77777777" w:rsidR="00E94180" w:rsidRPr="008B2EDF" w:rsidRDefault="00E94180" w:rsidP="004F17FF">
      <w:pPr>
        <w:pStyle w:val="NormalWeb"/>
        <w:spacing w:before="0" w:beforeAutospacing="0" w:after="0" w:afterAutospacing="0"/>
        <w:jc w:val="both"/>
        <w:rPr>
          <w:lang w:val="en-US"/>
        </w:rPr>
      </w:pPr>
      <w:r w:rsidRPr="008B2EDF">
        <w:rPr>
          <w:lang w:val="en-US"/>
        </w:rPr>
        <w:t xml:space="preserve">CIPD (2024). </w:t>
      </w:r>
      <w:r w:rsidRPr="008B2EDF">
        <w:rPr>
          <w:i/>
          <w:iCs/>
          <w:lang w:val="en-US"/>
        </w:rPr>
        <w:t>CIPD Good Work Index 2024</w:t>
      </w:r>
      <w:r w:rsidRPr="008B2EDF">
        <w:rPr>
          <w:lang w:val="en-US"/>
        </w:rPr>
        <w:t xml:space="preserve">. [online] Available at: </w:t>
      </w:r>
      <w:hyperlink r:id="rId61" w:history="1">
        <w:r w:rsidRPr="008B2EDF">
          <w:rPr>
            <w:rStyle w:val="Hyperlink"/>
            <w:lang w:val="en-US"/>
          </w:rPr>
          <w:t>https://www.cipd.org/globalassets/media/knowledge/knowledge-hub/reports/2024-pdfs/8625-good-work-index-2024-summary-report-1-web.pdf</w:t>
        </w:r>
      </w:hyperlink>
      <w:r w:rsidRPr="008B2EDF">
        <w:rPr>
          <w:lang w:val="en-US"/>
        </w:rPr>
        <w:t>.</w:t>
      </w:r>
    </w:p>
    <w:p w14:paraId="5796336E" w14:textId="759754CD" w:rsidR="00E94180" w:rsidRPr="008B2EDF" w:rsidRDefault="00E94180" w:rsidP="004F17FF">
      <w:pPr>
        <w:pStyle w:val="NormalWeb"/>
        <w:spacing w:before="0" w:beforeAutospacing="0" w:after="0" w:afterAutospacing="0"/>
        <w:jc w:val="both"/>
        <w:rPr>
          <w:lang w:val="en-US"/>
        </w:rPr>
      </w:pPr>
      <w:r w:rsidRPr="008B2EDF">
        <w:rPr>
          <w:lang w:val="en-US"/>
        </w:rPr>
        <w:t>(Accessed: 27 July 2025)</w:t>
      </w:r>
    </w:p>
    <w:p w14:paraId="383FF35B" w14:textId="77777777" w:rsidR="00E94180" w:rsidRPr="008B2EDF" w:rsidRDefault="00E94180" w:rsidP="004F17FF">
      <w:pPr>
        <w:pStyle w:val="NormalWeb"/>
        <w:spacing w:before="0" w:beforeAutospacing="0" w:after="0" w:afterAutospacing="0"/>
        <w:jc w:val="both"/>
        <w:rPr>
          <w:lang w:val="en-US"/>
        </w:rPr>
      </w:pPr>
      <w:r w:rsidRPr="008B2EDF">
        <w:rPr>
          <w:lang w:val="en-US"/>
        </w:rPr>
        <w:t xml:space="preserve">CIPD (2025). </w:t>
      </w:r>
      <w:r w:rsidRPr="008B2EDF">
        <w:rPr>
          <w:i/>
          <w:iCs/>
          <w:lang w:val="en-US"/>
        </w:rPr>
        <w:t>CIPD | Flexible and hybrid working practices in 2023</w:t>
      </w:r>
      <w:r w:rsidRPr="008B2EDF">
        <w:rPr>
          <w:lang w:val="en-US"/>
        </w:rPr>
        <w:t xml:space="preserve">. [online] CIPD. Available at: </w:t>
      </w:r>
      <w:hyperlink r:id="rId62" w:history="1">
        <w:r w:rsidRPr="008B2EDF">
          <w:rPr>
            <w:rStyle w:val="Hyperlink"/>
            <w:lang w:val="en-US"/>
          </w:rPr>
          <w:t>https://www.cipd.org/uk/knowledge/reports/flexible-hybrid-working/</w:t>
        </w:r>
      </w:hyperlink>
      <w:r w:rsidRPr="008B2EDF">
        <w:rPr>
          <w:lang w:val="en-US"/>
        </w:rPr>
        <w:t>.</w:t>
      </w:r>
    </w:p>
    <w:p w14:paraId="0CB9C3ED" w14:textId="5A2B4FFD" w:rsidR="00E94180" w:rsidRPr="008B2EDF" w:rsidRDefault="00E94180" w:rsidP="004F17FF">
      <w:pPr>
        <w:pStyle w:val="NormalWeb"/>
        <w:spacing w:before="0" w:beforeAutospacing="0" w:after="0" w:afterAutospacing="0"/>
        <w:jc w:val="both"/>
        <w:rPr>
          <w:lang w:val="en-US"/>
        </w:rPr>
      </w:pPr>
      <w:r w:rsidRPr="008B2EDF">
        <w:rPr>
          <w:lang w:val="en-US"/>
        </w:rPr>
        <w:t>(Accessed: 27 July 2025)</w:t>
      </w:r>
    </w:p>
    <w:p w14:paraId="418B4721" w14:textId="643627F0" w:rsidR="00E94180" w:rsidRPr="008B2EDF" w:rsidRDefault="00E94180" w:rsidP="004F17FF">
      <w:pPr>
        <w:pStyle w:val="NormalWeb"/>
        <w:spacing w:before="0" w:beforeAutospacing="0" w:after="0" w:afterAutospacing="0"/>
        <w:jc w:val="both"/>
        <w:rPr>
          <w:lang w:val="en-US"/>
        </w:rPr>
      </w:pPr>
      <w:r w:rsidRPr="008B2EDF">
        <w:rPr>
          <w:lang w:val="en-US"/>
        </w:rPr>
        <w:t xml:space="preserve">Clark, T., Foster, L., Bryman, A., and Sloan, L. (2021). </w:t>
      </w:r>
      <w:r w:rsidRPr="008B2EDF">
        <w:rPr>
          <w:i/>
          <w:iCs/>
          <w:lang w:val="en-US"/>
        </w:rPr>
        <w:t>Bryman’s Social Research Methods</w:t>
      </w:r>
      <w:r w:rsidRPr="008B2EDF">
        <w:rPr>
          <w:lang w:val="en-US"/>
        </w:rPr>
        <w:t>. 6th ed. Oxford: Oxford University Press.</w:t>
      </w:r>
    </w:p>
    <w:p w14:paraId="173495A2" w14:textId="77777777" w:rsidR="00E94180" w:rsidRPr="008B2EDF" w:rsidRDefault="00E94180" w:rsidP="004F17FF">
      <w:pPr>
        <w:pStyle w:val="NormalWeb"/>
        <w:spacing w:before="0" w:beforeAutospacing="0" w:after="0" w:afterAutospacing="0"/>
        <w:jc w:val="both"/>
        <w:rPr>
          <w:lang w:val="en-US"/>
        </w:rPr>
      </w:pPr>
      <w:r w:rsidRPr="008B2EDF">
        <w:rPr>
          <w:lang w:val="en-US"/>
        </w:rPr>
        <w:lastRenderedPageBreak/>
        <w:t xml:space="preserve">Crompton, R., Blossfeld, H.-P. and Drobnic, S. (2003). Careers of Couples in Contemporary Society: From Male Breadwinner to Dual-Earner Families. </w:t>
      </w:r>
      <w:r w:rsidRPr="008B2EDF">
        <w:rPr>
          <w:i/>
          <w:iCs/>
          <w:lang w:val="en-US"/>
        </w:rPr>
        <w:t>Contemporary Sociology</w:t>
      </w:r>
      <w:r w:rsidRPr="008B2EDF">
        <w:rPr>
          <w:lang w:val="en-US"/>
        </w:rPr>
        <w:t xml:space="preserve">, 32(1), p.38. </w:t>
      </w:r>
    </w:p>
    <w:p w14:paraId="575D16C1" w14:textId="77777777" w:rsidR="00E94180" w:rsidRPr="008B2EDF" w:rsidRDefault="00E94180" w:rsidP="004F17FF">
      <w:pPr>
        <w:pStyle w:val="NormalWeb"/>
        <w:spacing w:before="0" w:beforeAutospacing="0" w:after="0" w:afterAutospacing="0"/>
        <w:jc w:val="both"/>
        <w:rPr>
          <w:lang w:val="en-US"/>
        </w:rPr>
      </w:pPr>
      <w:r w:rsidRPr="008B2EDF">
        <w:rPr>
          <w:lang w:val="en-US"/>
        </w:rPr>
        <w:t xml:space="preserve"> Available at: </w:t>
      </w:r>
      <w:hyperlink r:id="rId63" w:history="1">
        <w:r w:rsidRPr="008B2EDF">
          <w:rPr>
            <w:rStyle w:val="Hyperlink"/>
            <w:lang w:val="en-US"/>
          </w:rPr>
          <w:t>https://doi.org/10.2307/3089834</w:t>
        </w:r>
      </w:hyperlink>
    </w:p>
    <w:p w14:paraId="293EDF14" w14:textId="77777777" w:rsidR="00E94180" w:rsidRPr="008B2EDF" w:rsidRDefault="00E94180" w:rsidP="004F17FF">
      <w:pPr>
        <w:pStyle w:val="NormalWeb"/>
        <w:spacing w:before="0" w:beforeAutospacing="0" w:after="0" w:afterAutospacing="0"/>
        <w:jc w:val="both"/>
        <w:rPr>
          <w:lang w:val="en-US"/>
        </w:rPr>
      </w:pPr>
      <w:r w:rsidRPr="008B2EDF">
        <w:rPr>
          <w:lang w:val="en-US"/>
        </w:rPr>
        <w:t>(Accessed: 27 July 2025)</w:t>
      </w:r>
    </w:p>
    <w:p w14:paraId="6C00CA7E" w14:textId="77777777" w:rsidR="00E94180" w:rsidRPr="008B2EDF" w:rsidRDefault="00E94180" w:rsidP="004F17FF">
      <w:pPr>
        <w:pStyle w:val="NormalWeb"/>
        <w:spacing w:before="0" w:beforeAutospacing="0" w:after="0" w:afterAutospacing="0"/>
        <w:jc w:val="both"/>
      </w:pPr>
      <w:r w:rsidRPr="008B2EDF">
        <w:t xml:space="preserve">Davies, M. (2024). </w:t>
      </w:r>
      <w:r w:rsidRPr="008B2EDF">
        <w:rPr>
          <w:i/>
          <w:iCs/>
        </w:rPr>
        <w:t>How can organisations help ensure Gender Parity in the workplace?</w:t>
      </w:r>
      <w:r w:rsidRPr="008B2EDF">
        <w:t xml:space="preserve"> [online] Macmillan Davies. </w:t>
      </w:r>
    </w:p>
    <w:p w14:paraId="756547DE" w14:textId="77777777" w:rsidR="00E94180" w:rsidRPr="008B2EDF" w:rsidRDefault="00E94180" w:rsidP="004F17FF">
      <w:pPr>
        <w:pStyle w:val="NormalWeb"/>
        <w:spacing w:before="0" w:beforeAutospacing="0" w:after="0" w:afterAutospacing="0"/>
        <w:jc w:val="both"/>
      </w:pPr>
      <w:r w:rsidRPr="008B2EDF">
        <w:t xml:space="preserve">Available at: </w:t>
      </w:r>
      <w:hyperlink r:id="rId64" w:history="1">
        <w:r w:rsidRPr="008B2EDF">
          <w:rPr>
            <w:rStyle w:val="Hyperlink"/>
          </w:rPr>
          <w:t>https://www.mdh.co.uk/insights/how-can-organisations-help-ensure-gender-parity-in-the-workplace</w:t>
        </w:r>
      </w:hyperlink>
      <w:r w:rsidRPr="008B2EDF">
        <w:t xml:space="preserve">  </w:t>
      </w:r>
    </w:p>
    <w:p w14:paraId="455CE06C" w14:textId="24C41CF2" w:rsidR="00E94180" w:rsidRPr="008B2EDF" w:rsidRDefault="00E94180" w:rsidP="004F17FF">
      <w:pPr>
        <w:pStyle w:val="NormalWeb"/>
        <w:spacing w:before="0" w:beforeAutospacing="0" w:after="0" w:afterAutospacing="0"/>
        <w:jc w:val="both"/>
      </w:pPr>
      <w:r w:rsidRPr="008B2EDF">
        <w:t>(Accessed: 28 July 2025).</w:t>
      </w:r>
    </w:p>
    <w:p w14:paraId="171A73CA" w14:textId="77777777" w:rsidR="00E94180" w:rsidRPr="008B2EDF" w:rsidRDefault="00E94180" w:rsidP="004F17FF">
      <w:pPr>
        <w:pStyle w:val="NormalWeb"/>
        <w:spacing w:before="0" w:beforeAutospacing="0" w:after="0" w:afterAutospacing="0"/>
        <w:jc w:val="both"/>
      </w:pPr>
      <w:r w:rsidRPr="008B2EDF">
        <w:t xml:space="preserve">Deloitte (2024). </w:t>
      </w:r>
      <w:r w:rsidRPr="008B2EDF">
        <w:rPr>
          <w:i/>
          <w:iCs/>
        </w:rPr>
        <w:t>Women @ Work 2024</w:t>
      </w:r>
      <w:r w:rsidRPr="008B2EDF">
        <w:t xml:space="preserve"> A Global Outlook. [online]</w:t>
      </w:r>
    </w:p>
    <w:p w14:paraId="6CD8DD14" w14:textId="77777777" w:rsidR="00E94180" w:rsidRPr="008B2EDF" w:rsidRDefault="00E94180" w:rsidP="004F17FF">
      <w:pPr>
        <w:pStyle w:val="NormalWeb"/>
        <w:spacing w:before="0" w:beforeAutospacing="0" w:after="0" w:afterAutospacing="0"/>
        <w:jc w:val="both"/>
      </w:pPr>
      <w:r w:rsidRPr="008B2EDF">
        <w:t xml:space="preserve">Available at: </w:t>
      </w:r>
      <w:hyperlink r:id="rId65" w:history="1">
        <w:r w:rsidRPr="008B2EDF">
          <w:rPr>
            <w:rStyle w:val="Hyperlink"/>
          </w:rPr>
          <w:t>https://www.deloitte.com/content/dam/assets-shared/docs/collections/2024/deloitte-women-at-work-2024-a-global-outlook.pdf?dl=2</w:t>
        </w:r>
      </w:hyperlink>
      <w:r w:rsidRPr="008B2EDF">
        <w:t xml:space="preserve"> </w:t>
      </w:r>
    </w:p>
    <w:p w14:paraId="4211EDF8" w14:textId="628C2D59" w:rsidR="00E94180" w:rsidRPr="008B2EDF" w:rsidRDefault="00E94180" w:rsidP="004F17FF">
      <w:pPr>
        <w:pStyle w:val="NormalWeb"/>
        <w:spacing w:before="0" w:beforeAutospacing="0" w:after="0" w:afterAutospacing="0"/>
        <w:jc w:val="both"/>
      </w:pPr>
      <w:r w:rsidRPr="008B2EDF">
        <w:t>(Accessed: 28 July 2025).</w:t>
      </w:r>
    </w:p>
    <w:p w14:paraId="44E309FA" w14:textId="77777777" w:rsidR="00E94180" w:rsidRPr="008B2EDF" w:rsidRDefault="00E94180" w:rsidP="004F17FF">
      <w:pPr>
        <w:pStyle w:val="NormalWeb"/>
        <w:spacing w:before="0" w:beforeAutospacing="0" w:after="0" w:afterAutospacing="0"/>
        <w:jc w:val="both"/>
      </w:pPr>
      <w:r w:rsidRPr="008B2EDF">
        <w:t xml:space="preserve">Dennison, K. (2023). </w:t>
      </w:r>
      <w:r w:rsidRPr="008B2EDF">
        <w:rPr>
          <w:i/>
          <w:iCs/>
        </w:rPr>
        <w:t>Why Companies Should Prioritize Employee Health And Happiness In 2024</w:t>
      </w:r>
      <w:r w:rsidRPr="008B2EDF">
        <w:t>. [online] Forbes.</w:t>
      </w:r>
    </w:p>
    <w:p w14:paraId="55028F37" w14:textId="77777777" w:rsidR="00E94180" w:rsidRPr="008B2EDF" w:rsidRDefault="00E94180" w:rsidP="004F17FF">
      <w:pPr>
        <w:pStyle w:val="NormalWeb"/>
        <w:spacing w:before="0" w:beforeAutospacing="0" w:after="0" w:afterAutospacing="0"/>
        <w:jc w:val="both"/>
      </w:pPr>
      <w:r w:rsidRPr="008B2EDF">
        <w:t xml:space="preserve">Available at: </w:t>
      </w:r>
      <w:hyperlink r:id="rId66" w:history="1">
        <w:r w:rsidRPr="008B2EDF">
          <w:rPr>
            <w:rStyle w:val="Hyperlink"/>
          </w:rPr>
          <w:t>https://www.forbes.com/sites/karadennison/2023/10/24/why-companies-should-prioritize-employee-health-and-happiness-in-2024/</w:t>
        </w:r>
      </w:hyperlink>
      <w:r w:rsidRPr="008B2EDF">
        <w:t xml:space="preserve"> </w:t>
      </w:r>
    </w:p>
    <w:p w14:paraId="5E3D1130" w14:textId="77777777" w:rsidR="00E94180" w:rsidRPr="008B2EDF" w:rsidRDefault="00E94180" w:rsidP="004F17FF">
      <w:pPr>
        <w:pStyle w:val="NormalWeb"/>
        <w:spacing w:before="0" w:beforeAutospacing="0" w:after="0" w:afterAutospacing="0"/>
        <w:jc w:val="both"/>
      </w:pPr>
      <w:r w:rsidRPr="008B2EDF">
        <w:t>(Accessed: 28 July 2025)</w:t>
      </w:r>
    </w:p>
    <w:p w14:paraId="67C940F7" w14:textId="77777777" w:rsidR="00E94180" w:rsidRPr="008B2EDF" w:rsidRDefault="00E94180" w:rsidP="004F17FF">
      <w:pPr>
        <w:pStyle w:val="NormalWeb"/>
        <w:spacing w:before="0" w:beforeAutospacing="0" w:after="0" w:afterAutospacing="0"/>
        <w:jc w:val="both"/>
      </w:pPr>
      <w:r w:rsidRPr="008B2EDF">
        <w:t xml:space="preserve">Dobson, E. (2023). </w:t>
      </w:r>
      <w:r w:rsidRPr="008B2EDF">
        <w:rPr>
          <w:i/>
          <w:iCs/>
        </w:rPr>
        <w:t>How To Make Job Share Work Well</w:t>
      </w:r>
      <w:r w:rsidRPr="008B2EDF">
        <w:t xml:space="preserve">. [online] View HR. </w:t>
      </w:r>
    </w:p>
    <w:p w14:paraId="2ECE3E77" w14:textId="77777777" w:rsidR="00E94180" w:rsidRPr="008B2EDF" w:rsidRDefault="00E94180" w:rsidP="004F17FF">
      <w:pPr>
        <w:pStyle w:val="NormalWeb"/>
        <w:spacing w:before="0" w:beforeAutospacing="0" w:after="0" w:afterAutospacing="0"/>
        <w:jc w:val="both"/>
      </w:pPr>
      <w:r w:rsidRPr="008B2EDF">
        <w:t xml:space="preserve">Available at: </w:t>
      </w:r>
      <w:hyperlink r:id="rId67" w:history="1">
        <w:r w:rsidRPr="008B2EDF">
          <w:rPr>
            <w:rStyle w:val="Hyperlink"/>
          </w:rPr>
          <w:t>https://viewhr.co.uk/how-to-make-job-share-work-well/</w:t>
        </w:r>
      </w:hyperlink>
      <w:r w:rsidRPr="008B2EDF">
        <w:t xml:space="preserve"> </w:t>
      </w:r>
    </w:p>
    <w:p w14:paraId="393F22F0" w14:textId="77777777" w:rsidR="00E94180" w:rsidRPr="008B2EDF" w:rsidRDefault="00E94180" w:rsidP="004F17FF">
      <w:pPr>
        <w:pStyle w:val="NormalWeb"/>
        <w:spacing w:before="0" w:beforeAutospacing="0" w:after="0" w:afterAutospacing="0"/>
        <w:jc w:val="both"/>
      </w:pPr>
      <w:r w:rsidRPr="008B2EDF">
        <w:t>(Accessed: 20 August 2025)</w:t>
      </w:r>
    </w:p>
    <w:p w14:paraId="462C2482" w14:textId="77777777" w:rsidR="00E94180" w:rsidRPr="008B2EDF" w:rsidRDefault="00E94180" w:rsidP="004F17FF">
      <w:pPr>
        <w:pStyle w:val="NormalWeb"/>
        <w:spacing w:before="0" w:beforeAutospacing="0" w:after="0" w:afterAutospacing="0"/>
        <w:jc w:val="both"/>
        <w:rPr>
          <w:lang w:val="en-US"/>
        </w:rPr>
      </w:pPr>
      <w:r w:rsidRPr="008B2EDF">
        <w:rPr>
          <w:lang w:val="en-US"/>
        </w:rPr>
        <w:t xml:space="preserve">David, E. (2024). </w:t>
      </w:r>
      <w:r w:rsidRPr="008B2EDF">
        <w:rPr>
          <w:i/>
          <w:iCs/>
          <w:lang w:val="en-US"/>
        </w:rPr>
        <w:t>12 Advantages &amp; Disadvantages of Questionnaires</w:t>
      </w:r>
      <w:r w:rsidRPr="008B2EDF">
        <w:rPr>
          <w:lang w:val="en-US"/>
        </w:rPr>
        <w:t xml:space="preserve">. [online] ProProfs Survey Blog. Available at: </w:t>
      </w:r>
      <w:hyperlink r:id="rId68" w:history="1">
        <w:r w:rsidRPr="008B2EDF">
          <w:rPr>
            <w:rStyle w:val="Hyperlink"/>
            <w:lang w:val="en-US"/>
          </w:rPr>
          <w:t>https://www.proprofssurvey.com/blog/advantages-disadvantages-of-questionnaires/</w:t>
        </w:r>
      </w:hyperlink>
    </w:p>
    <w:p w14:paraId="26816878" w14:textId="77777777" w:rsidR="00E94180" w:rsidRPr="008B2EDF" w:rsidRDefault="00E94180" w:rsidP="004F17FF">
      <w:pPr>
        <w:pStyle w:val="NormalWeb"/>
        <w:spacing w:before="0" w:beforeAutospacing="0" w:after="0" w:afterAutospacing="0"/>
        <w:jc w:val="both"/>
        <w:rPr>
          <w:lang w:val="en-US"/>
        </w:rPr>
      </w:pPr>
      <w:r w:rsidRPr="008B2EDF">
        <w:rPr>
          <w:lang w:val="en-US"/>
        </w:rPr>
        <w:t>(Accessed: 2 August 2025)</w:t>
      </w:r>
    </w:p>
    <w:p w14:paraId="4D9183E2" w14:textId="77777777" w:rsidR="00E94180" w:rsidRPr="008B2EDF" w:rsidRDefault="00E94180" w:rsidP="004F17FF">
      <w:pPr>
        <w:pStyle w:val="NormalWeb"/>
        <w:spacing w:before="0" w:beforeAutospacing="0" w:after="0" w:afterAutospacing="0"/>
        <w:jc w:val="both"/>
        <w:rPr>
          <w:lang w:val="en-US"/>
        </w:rPr>
      </w:pPr>
      <w:r w:rsidRPr="008B2EDF">
        <w:rPr>
          <w:lang w:val="en-US"/>
        </w:rPr>
        <w:t xml:space="preserve">Davlembayeva, D. and Alamanos, E. (2023). </w:t>
      </w:r>
      <w:r w:rsidRPr="008B2EDF">
        <w:rPr>
          <w:i/>
          <w:iCs/>
          <w:lang w:val="en-US"/>
        </w:rPr>
        <w:t>Equity theory: A review</w:t>
      </w:r>
      <w:r w:rsidRPr="008B2EDF">
        <w:rPr>
          <w:lang w:val="en-US"/>
        </w:rPr>
        <w:t xml:space="preserve">. [online] Theory Hub. Available at: </w:t>
      </w:r>
      <w:hyperlink r:id="rId69" w:history="1">
        <w:r w:rsidRPr="008B2EDF">
          <w:rPr>
            <w:rStyle w:val="Hyperlink"/>
            <w:lang w:val="en-US"/>
          </w:rPr>
          <w:t>https://open.ncl.ac.uk/theories/5/equity-theory/</w:t>
        </w:r>
      </w:hyperlink>
    </w:p>
    <w:p w14:paraId="7B6A0F4F" w14:textId="1ED558D0" w:rsidR="00E94180" w:rsidRPr="008B2EDF" w:rsidRDefault="00E94180" w:rsidP="004F17FF">
      <w:pPr>
        <w:pStyle w:val="NormalWeb"/>
        <w:spacing w:before="0" w:beforeAutospacing="0" w:after="0" w:afterAutospacing="0"/>
        <w:jc w:val="both"/>
        <w:rPr>
          <w:lang w:val="en-US"/>
        </w:rPr>
      </w:pPr>
      <w:r w:rsidRPr="008B2EDF">
        <w:rPr>
          <w:lang w:val="en-US"/>
        </w:rPr>
        <w:t>(Accessed: 2 August 2025)</w:t>
      </w:r>
    </w:p>
    <w:p w14:paraId="2EDA31A0" w14:textId="77777777" w:rsidR="00E94180" w:rsidRPr="008B2EDF" w:rsidRDefault="00E94180" w:rsidP="004F17FF">
      <w:pPr>
        <w:pStyle w:val="NormalWeb"/>
        <w:spacing w:before="0" w:beforeAutospacing="0" w:after="0" w:afterAutospacing="0"/>
        <w:jc w:val="both"/>
        <w:rPr>
          <w:lang w:val="en-US"/>
        </w:rPr>
      </w:pPr>
      <w:r w:rsidRPr="008B2EDF">
        <w:rPr>
          <w:lang w:val="en-US"/>
        </w:rPr>
        <w:t xml:space="preserve">Deloitte (2024). </w:t>
      </w:r>
      <w:r w:rsidRPr="008B2EDF">
        <w:rPr>
          <w:i/>
          <w:iCs/>
          <w:lang w:val="en-US"/>
        </w:rPr>
        <w:t>The transparency paradox: Could less be more when it comes to trust?</w:t>
      </w:r>
      <w:r w:rsidRPr="008B2EDF">
        <w:rPr>
          <w:lang w:val="en-US"/>
        </w:rPr>
        <w:t xml:space="preserve"> [online] Deloitte Insights.</w:t>
      </w:r>
    </w:p>
    <w:p w14:paraId="03AE9E92" w14:textId="77777777" w:rsidR="00E94180" w:rsidRPr="008B2EDF" w:rsidRDefault="00E94180" w:rsidP="004F17FF">
      <w:pPr>
        <w:pStyle w:val="NormalWeb"/>
        <w:spacing w:before="0" w:beforeAutospacing="0" w:after="0" w:afterAutospacing="0"/>
        <w:jc w:val="both"/>
        <w:rPr>
          <w:lang w:val="en-US"/>
        </w:rPr>
      </w:pPr>
      <w:r w:rsidRPr="008B2EDF">
        <w:rPr>
          <w:lang w:val="en-US"/>
        </w:rPr>
        <w:t xml:space="preserve"> Available at: </w:t>
      </w:r>
      <w:hyperlink r:id="rId70" w:history="1">
        <w:r w:rsidRPr="008B2EDF">
          <w:rPr>
            <w:rStyle w:val="Hyperlink"/>
            <w:lang w:val="en-US"/>
          </w:rPr>
          <w:t>https://www.deloitte.com/us/en/insights/topics/talent/human-capital-trends/2024/transparency-in-the-workplace.html</w:t>
        </w:r>
      </w:hyperlink>
    </w:p>
    <w:p w14:paraId="5D05F98A" w14:textId="77777777" w:rsidR="00E94180" w:rsidRPr="008B2EDF" w:rsidRDefault="00E94180" w:rsidP="004F17FF">
      <w:pPr>
        <w:pStyle w:val="NormalWeb"/>
        <w:spacing w:before="0" w:beforeAutospacing="0" w:after="0" w:afterAutospacing="0"/>
        <w:jc w:val="both"/>
        <w:rPr>
          <w:lang w:val="en-US"/>
        </w:rPr>
      </w:pPr>
      <w:r w:rsidRPr="008B2EDF">
        <w:rPr>
          <w:lang w:val="en-US"/>
        </w:rPr>
        <w:t>(Accessed: 2 August 2025)</w:t>
      </w:r>
    </w:p>
    <w:p w14:paraId="49430D4E" w14:textId="77777777" w:rsidR="00E94180" w:rsidRPr="008B2EDF" w:rsidRDefault="00E94180" w:rsidP="004F17FF">
      <w:pPr>
        <w:pStyle w:val="NormalWeb"/>
        <w:spacing w:before="0" w:beforeAutospacing="0" w:after="0" w:afterAutospacing="0"/>
        <w:jc w:val="both"/>
        <w:rPr>
          <w:lang w:val="en-US"/>
        </w:rPr>
      </w:pPr>
      <w:r w:rsidRPr="008B2EDF">
        <w:rPr>
          <w:lang w:val="en-US"/>
        </w:rPr>
        <w:t xml:space="preserve">Descartes (2024). </w:t>
      </w:r>
      <w:r w:rsidRPr="008B2EDF">
        <w:rPr>
          <w:i/>
          <w:iCs/>
          <w:lang w:val="en-US"/>
        </w:rPr>
        <w:t>Descartes’ Study Reveals 76% of Supply Chain and Logistics Operations are Experiencing Notable Workforce Shortages | Descartes</w:t>
      </w:r>
      <w:r w:rsidRPr="008B2EDF">
        <w:rPr>
          <w:lang w:val="en-US"/>
        </w:rPr>
        <w:t xml:space="preserve">. [online] www.descartes.com. Available at: </w:t>
      </w:r>
      <w:hyperlink r:id="rId71" w:history="1">
        <w:r w:rsidRPr="008B2EDF">
          <w:rPr>
            <w:rStyle w:val="Hyperlink"/>
            <w:lang w:val="en-US"/>
          </w:rPr>
          <w:t>https://www.descartes.com/resources/news/descartes-study-reveals-76-supply-chain-and-logistics-operations-are-experiencing</w:t>
        </w:r>
      </w:hyperlink>
      <w:r w:rsidRPr="008B2EDF">
        <w:rPr>
          <w:lang w:val="en-US"/>
        </w:rPr>
        <w:t>.</w:t>
      </w:r>
    </w:p>
    <w:p w14:paraId="52EE2D8B" w14:textId="43CF246B" w:rsidR="00E94180" w:rsidRPr="008B2EDF" w:rsidRDefault="00E94180" w:rsidP="004F17FF">
      <w:pPr>
        <w:pStyle w:val="NormalWeb"/>
        <w:spacing w:before="0" w:beforeAutospacing="0" w:after="0" w:afterAutospacing="0"/>
        <w:jc w:val="both"/>
        <w:rPr>
          <w:lang w:val="en-US"/>
        </w:rPr>
      </w:pPr>
      <w:r w:rsidRPr="008B2EDF">
        <w:rPr>
          <w:lang w:val="en-US"/>
        </w:rPr>
        <w:t>(Accessed: 27 July 2025)</w:t>
      </w:r>
    </w:p>
    <w:p w14:paraId="165600AB" w14:textId="77777777" w:rsidR="00E94180" w:rsidRPr="008B2EDF" w:rsidRDefault="00E94180" w:rsidP="004F17FF">
      <w:pPr>
        <w:pStyle w:val="NormalWeb"/>
        <w:spacing w:before="0" w:beforeAutospacing="0" w:after="0" w:afterAutospacing="0"/>
        <w:jc w:val="both"/>
        <w:rPr>
          <w:lang w:val="en-US"/>
        </w:rPr>
      </w:pPr>
      <w:r w:rsidRPr="008B2EDF">
        <w:rPr>
          <w:lang w:val="en-US"/>
        </w:rPr>
        <w:t xml:space="preserve">Dolezalova, D.M., ALberti, D.G., Cutter, D.J., Parargyropoulou, D.E. and Forde, C. (2024). </w:t>
      </w:r>
      <w:r w:rsidRPr="008B2EDF">
        <w:rPr>
          <w:i/>
          <w:iCs/>
          <w:lang w:val="en-US"/>
        </w:rPr>
        <w:t>How are employers in warehousing and food manufacturing dealing with ongoing workforce pressures?</w:t>
      </w:r>
      <w:r w:rsidRPr="008B2EDF">
        <w:rPr>
          <w:lang w:val="en-US"/>
        </w:rPr>
        <w:t xml:space="preserve"> [online] Leeds.ac.uk. </w:t>
      </w:r>
    </w:p>
    <w:p w14:paraId="7C646B6C" w14:textId="77777777" w:rsidR="00E94180" w:rsidRPr="008B2EDF" w:rsidRDefault="00E94180" w:rsidP="004F17FF">
      <w:pPr>
        <w:pStyle w:val="NormalWeb"/>
        <w:spacing w:before="0" w:beforeAutospacing="0" w:after="0" w:afterAutospacing="0"/>
        <w:jc w:val="both"/>
        <w:rPr>
          <w:lang w:val="en-US"/>
        </w:rPr>
      </w:pPr>
      <w:r w:rsidRPr="008B2EDF">
        <w:rPr>
          <w:lang w:val="en-US"/>
        </w:rPr>
        <w:t xml:space="preserve">Available at: </w:t>
      </w:r>
      <w:hyperlink r:id="rId72" w:history="1">
        <w:r w:rsidRPr="008B2EDF">
          <w:rPr>
            <w:rStyle w:val="Hyperlink"/>
            <w:lang w:val="en-US"/>
          </w:rPr>
          <w:t>https://business.leeds.ac.uk/research-ceric/dir-record/research-blog/2264/how-are-employers-in-warehousing-and-food-manufacturing-dealing-with-ongoing-workforce-pressures</w:t>
        </w:r>
      </w:hyperlink>
    </w:p>
    <w:p w14:paraId="3379FD21" w14:textId="77777777" w:rsidR="00E94180" w:rsidRPr="008B2EDF" w:rsidRDefault="00E94180" w:rsidP="004F17FF">
      <w:pPr>
        <w:pStyle w:val="NormalWeb"/>
        <w:spacing w:before="0" w:beforeAutospacing="0" w:after="0" w:afterAutospacing="0"/>
        <w:jc w:val="both"/>
        <w:rPr>
          <w:lang w:val="en-US"/>
        </w:rPr>
      </w:pPr>
      <w:r w:rsidRPr="008B2EDF">
        <w:rPr>
          <w:lang w:val="en-US"/>
        </w:rPr>
        <w:t>(Accessed: 2 August 2025)</w:t>
      </w:r>
    </w:p>
    <w:p w14:paraId="69F0AE3B" w14:textId="77777777" w:rsidR="00E94180" w:rsidRPr="008B2EDF" w:rsidRDefault="00E94180" w:rsidP="004F17FF">
      <w:pPr>
        <w:pStyle w:val="NormalWeb"/>
        <w:spacing w:before="0" w:beforeAutospacing="0" w:after="0" w:afterAutospacing="0"/>
        <w:jc w:val="both"/>
        <w:rPr>
          <w:lang w:val="en-US"/>
        </w:rPr>
      </w:pPr>
      <w:r w:rsidRPr="008B2EDF">
        <w:rPr>
          <w:lang w:val="en-US"/>
        </w:rPr>
        <w:t xml:space="preserve">Donnelly, R., and Schoenbachler, A. (2021). Part-time work and health in the United States: The role of state policies. </w:t>
      </w:r>
      <w:r w:rsidRPr="008B2EDF">
        <w:rPr>
          <w:i/>
          <w:iCs/>
          <w:lang w:val="en-US"/>
        </w:rPr>
        <w:t>SSM - Population Health</w:t>
      </w:r>
      <w:r w:rsidRPr="008B2EDF">
        <w:rPr>
          <w:lang w:val="en-US"/>
        </w:rPr>
        <w:t xml:space="preserve">, 15(100891), p.100891. </w:t>
      </w:r>
    </w:p>
    <w:p w14:paraId="51590611" w14:textId="77777777" w:rsidR="00E94180" w:rsidRPr="008B2EDF" w:rsidRDefault="00E94180" w:rsidP="004F17FF">
      <w:pPr>
        <w:pStyle w:val="NormalWeb"/>
        <w:spacing w:before="0" w:beforeAutospacing="0" w:after="0" w:afterAutospacing="0"/>
        <w:jc w:val="both"/>
        <w:rPr>
          <w:lang w:val="en-US"/>
        </w:rPr>
      </w:pPr>
      <w:r w:rsidRPr="008B2EDF">
        <w:rPr>
          <w:lang w:val="en-US"/>
        </w:rPr>
        <w:t xml:space="preserve"> Available at: </w:t>
      </w:r>
      <w:hyperlink r:id="rId73" w:history="1">
        <w:r w:rsidRPr="008B2EDF">
          <w:rPr>
            <w:rStyle w:val="Hyperlink"/>
            <w:lang w:val="en-US"/>
          </w:rPr>
          <w:t>https://doi.org/10.1016/j.ssmph.2021.100891</w:t>
        </w:r>
      </w:hyperlink>
    </w:p>
    <w:p w14:paraId="4DA6D1E6" w14:textId="1ADC0426" w:rsidR="00E94180" w:rsidRPr="008B2EDF" w:rsidRDefault="00E94180" w:rsidP="004F17FF">
      <w:pPr>
        <w:pStyle w:val="NormalWeb"/>
        <w:spacing w:before="0" w:beforeAutospacing="0" w:after="0" w:afterAutospacing="0"/>
        <w:jc w:val="both"/>
      </w:pPr>
      <w:r w:rsidRPr="008B2EDF">
        <w:t>(Accessed: 27 July 2025)</w:t>
      </w:r>
    </w:p>
    <w:p w14:paraId="13CF334F" w14:textId="77777777" w:rsidR="00E94180" w:rsidRPr="008B2EDF" w:rsidRDefault="00E94180" w:rsidP="004F17FF">
      <w:pPr>
        <w:pStyle w:val="NormalWeb"/>
        <w:spacing w:before="0" w:beforeAutospacing="0" w:after="0" w:afterAutospacing="0"/>
        <w:jc w:val="both"/>
        <w:rPr>
          <w:lang w:val="en-US"/>
        </w:rPr>
      </w:pPr>
      <w:r w:rsidRPr="008B2EDF">
        <w:rPr>
          <w:lang w:val="en-US"/>
        </w:rPr>
        <w:lastRenderedPageBreak/>
        <w:t xml:space="preserve">Durville, L.G. (2025). ‘I Want People to Know out There, Just How Many Caregivers Struggle Between Work and Home’: Feminist Intersectional Research Exploring Caregiving Lived Experiences in New Zealand. </w:t>
      </w:r>
      <w:r w:rsidRPr="008B2EDF">
        <w:rPr>
          <w:i/>
          <w:iCs/>
          <w:lang w:val="en-US"/>
        </w:rPr>
        <w:t>Health Promotion Journal of Australia</w:t>
      </w:r>
      <w:r w:rsidRPr="008B2EDF">
        <w:rPr>
          <w:lang w:val="en-US"/>
        </w:rPr>
        <w:t>, 36(2).</w:t>
      </w:r>
    </w:p>
    <w:p w14:paraId="0EF00D82" w14:textId="77777777" w:rsidR="00E94180" w:rsidRPr="008B2EDF" w:rsidRDefault="00E94180" w:rsidP="004F17FF">
      <w:pPr>
        <w:pStyle w:val="NormalWeb"/>
        <w:spacing w:before="0" w:beforeAutospacing="0" w:after="0" w:afterAutospacing="0"/>
        <w:jc w:val="both"/>
        <w:rPr>
          <w:lang w:val="en-US"/>
        </w:rPr>
      </w:pPr>
      <w:r w:rsidRPr="008B2EDF">
        <w:rPr>
          <w:lang w:val="en-US"/>
        </w:rPr>
        <w:t xml:space="preserve">  Available at: </w:t>
      </w:r>
      <w:hyperlink r:id="rId74" w:history="1">
        <w:r w:rsidRPr="008B2EDF">
          <w:rPr>
            <w:rStyle w:val="Hyperlink"/>
            <w:lang w:val="en-US"/>
          </w:rPr>
          <w:t>https://doi.org/10.1002/hpja.70023</w:t>
        </w:r>
      </w:hyperlink>
    </w:p>
    <w:p w14:paraId="2A42E35C" w14:textId="77777777" w:rsidR="00E94180" w:rsidRPr="008B2EDF" w:rsidRDefault="00E94180" w:rsidP="004F17FF">
      <w:pPr>
        <w:pStyle w:val="NormalWeb"/>
        <w:spacing w:before="0" w:beforeAutospacing="0" w:after="0" w:afterAutospacing="0"/>
        <w:jc w:val="both"/>
        <w:rPr>
          <w:lang w:val="en-US"/>
        </w:rPr>
      </w:pPr>
      <w:r w:rsidRPr="008B2EDF">
        <w:rPr>
          <w:lang w:val="en-US"/>
        </w:rPr>
        <w:t>(Accessed: 2 August 2025)</w:t>
      </w:r>
    </w:p>
    <w:p w14:paraId="6318FD90" w14:textId="77777777" w:rsidR="00E94180" w:rsidRPr="008B2EDF" w:rsidRDefault="00E94180" w:rsidP="004F17FF">
      <w:pPr>
        <w:pStyle w:val="NormalWeb"/>
        <w:spacing w:before="0" w:beforeAutospacing="0" w:after="0" w:afterAutospacing="0"/>
        <w:jc w:val="both"/>
        <w:rPr>
          <w:lang w:val="en-US"/>
        </w:rPr>
      </w:pPr>
      <w:r w:rsidRPr="008B2EDF">
        <w:rPr>
          <w:lang w:val="en-US"/>
        </w:rPr>
        <w:t xml:space="preserve">Edgar, G. (2023). Getting the most out of training for female employees. [online] Women in Technology. </w:t>
      </w:r>
    </w:p>
    <w:p w14:paraId="50C45F8B" w14:textId="77777777" w:rsidR="00E94180" w:rsidRPr="008B2EDF" w:rsidRDefault="00E94180" w:rsidP="004F17FF">
      <w:pPr>
        <w:pStyle w:val="NormalWeb"/>
        <w:spacing w:before="0" w:beforeAutospacing="0" w:after="0" w:afterAutospacing="0"/>
        <w:jc w:val="both"/>
        <w:rPr>
          <w:lang w:val="en-US"/>
        </w:rPr>
      </w:pPr>
      <w:r w:rsidRPr="008B2EDF">
        <w:rPr>
          <w:lang w:val="en-US"/>
        </w:rPr>
        <w:t xml:space="preserve">Available at: </w:t>
      </w:r>
      <w:hyperlink r:id="rId75" w:history="1">
        <w:r w:rsidRPr="008B2EDF">
          <w:rPr>
            <w:rStyle w:val="Hyperlink"/>
            <w:lang w:val="en-US"/>
          </w:rPr>
          <w:t>https://www.womenintech.co.uk/getting-the-most-out-of-training-for-female-employees/</w:t>
        </w:r>
      </w:hyperlink>
      <w:r w:rsidRPr="008B2EDF">
        <w:rPr>
          <w:lang w:val="en-US"/>
        </w:rPr>
        <w:t xml:space="preserve">  </w:t>
      </w:r>
    </w:p>
    <w:p w14:paraId="3C3C1940" w14:textId="10DD7D2D" w:rsidR="00E94180" w:rsidRPr="008B2EDF" w:rsidRDefault="00E94180" w:rsidP="004F17FF">
      <w:pPr>
        <w:pStyle w:val="NormalWeb"/>
        <w:spacing w:before="0" w:beforeAutospacing="0" w:after="0" w:afterAutospacing="0"/>
        <w:jc w:val="both"/>
        <w:rPr>
          <w:lang w:val="en-US"/>
        </w:rPr>
      </w:pPr>
      <w:r w:rsidRPr="008B2EDF">
        <w:rPr>
          <w:lang w:val="en-US"/>
        </w:rPr>
        <w:t>(Accessed: 2 September 2025)</w:t>
      </w:r>
    </w:p>
    <w:p w14:paraId="68A17E12" w14:textId="77777777" w:rsidR="00E94180" w:rsidRPr="008B2EDF" w:rsidRDefault="00E94180" w:rsidP="004F17FF">
      <w:pPr>
        <w:pStyle w:val="NormalWeb"/>
        <w:spacing w:before="0" w:beforeAutospacing="0" w:after="0" w:afterAutospacing="0"/>
        <w:jc w:val="both"/>
        <w:rPr>
          <w:lang w:val="en-US"/>
        </w:rPr>
      </w:pPr>
      <w:r w:rsidRPr="008B2EDF">
        <w:rPr>
          <w:lang w:val="en-US"/>
        </w:rPr>
        <w:t>Faragher, J. (2025). Why has women’s progress in executive roles gone backwards? - Diversity and Inclusion Leaders – Accelerating workplace inclusion. [online] Diversity and Inclusion Leaders – Accelerating workplace inclusion.</w:t>
      </w:r>
    </w:p>
    <w:p w14:paraId="166E5FDE" w14:textId="77777777" w:rsidR="00E94180" w:rsidRPr="008B2EDF" w:rsidRDefault="00E94180" w:rsidP="004F17FF">
      <w:pPr>
        <w:pStyle w:val="NormalWeb"/>
        <w:spacing w:before="0" w:beforeAutospacing="0" w:after="0" w:afterAutospacing="0"/>
        <w:jc w:val="both"/>
        <w:rPr>
          <w:lang w:val="en-US"/>
        </w:rPr>
      </w:pPr>
      <w:r w:rsidRPr="008B2EDF">
        <w:rPr>
          <w:lang w:val="en-US"/>
        </w:rPr>
        <w:t xml:space="preserve"> Available at: </w:t>
      </w:r>
      <w:hyperlink r:id="rId76" w:history="1">
        <w:r w:rsidRPr="008B2EDF">
          <w:rPr>
            <w:rStyle w:val="Hyperlink"/>
            <w:lang w:val="en-US"/>
          </w:rPr>
          <w:t>https://dileaders.com/blog/why-has-womens-progress-in-executive-roles-gone-backwards</w:t>
        </w:r>
      </w:hyperlink>
      <w:r w:rsidRPr="008B2EDF">
        <w:rPr>
          <w:lang w:val="en-US"/>
        </w:rPr>
        <w:t xml:space="preserve"> </w:t>
      </w:r>
    </w:p>
    <w:p w14:paraId="4A264C5A" w14:textId="530FFA64" w:rsidR="00E94180" w:rsidRPr="008B2EDF" w:rsidRDefault="00E94180" w:rsidP="004F17FF">
      <w:pPr>
        <w:pStyle w:val="NormalWeb"/>
        <w:spacing w:before="0" w:beforeAutospacing="0" w:after="0" w:afterAutospacing="0"/>
        <w:jc w:val="both"/>
        <w:rPr>
          <w:lang w:val="en-US"/>
        </w:rPr>
      </w:pPr>
      <w:r w:rsidRPr="008B2EDF">
        <w:rPr>
          <w:lang w:val="en-US"/>
        </w:rPr>
        <w:t>(Accessed: 2 September 2025)</w:t>
      </w:r>
    </w:p>
    <w:p w14:paraId="3A4C03FE" w14:textId="77777777" w:rsidR="00E94180" w:rsidRPr="008B2EDF" w:rsidRDefault="00E94180" w:rsidP="004F17FF">
      <w:pPr>
        <w:pStyle w:val="NormalWeb"/>
        <w:spacing w:before="0" w:beforeAutospacing="0" w:after="0" w:afterAutospacing="0"/>
        <w:jc w:val="both"/>
      </w:pPr>
      <w:r w:rsidRPr="008B2EDF">
        <w:t>Francis-Devine, B. and Hutton, G. (2024).</w:t>
      </w:r>
      <w:r w:rsidRPr="008B2EDF">
        <w:rPr>
          <w:i/>
          <w:iCs/>
        </w:rPr>
        <w:t xml:space="preserve"> Women and the Economy.</w:t>
      </w:r>
      <w:r w:rsidRPr="008B2EDF">
        <w:t xml:space="preserve"> [PDF] Parliament.uk.</w:t>
      </w:r>
    </w:p>
    <w:p w14:paraId="11420550" w14:textId="77777777" w:rsidR="00E94180" w:rsidRPr="008B2EDF" w:rsidRDefault="00E94180" w:rsidP="004F17FF">
      <w:pPr>
        <w:pStyle w:val="NormalWeb"/>
        <w:spacing w:before="0" w:beforeAutospacing="0" w:after="0" w:afterAutospacing="0"/>
        <w:jc w:val="both"/>
      </w:pPr>
      <w:r w:rsidRPr="008B2EDF">
        <w:t xml:space="preserve">Available at: </w:t>
      </w:r>
      <w:hyperlink r:id="rId77" w:history="1">
        <w:r w:rsidRPr="008B2EDF">
          <w:rPr>
            <w:rStyle w:val="Hyperlink"/>
          </w:rPr>
          <w:t>https://researchbriefings.files.parliament.uk/documents/SN06838/SN06838.pdf</w:t>
        </w:r>
      </w:hyperlink>
      <w:r w:rsidRPr="008B2EDF">
        <w:t xml:space="preserve">  </w:t>
      </w:r>
    </w:p>
    <w:p w14:paraId="2CD27FF7" w14:textId="77777777" w:rsidR="00E94180" w:rsidRPr="008B2EDF" w:rsidRDefault="00E94180" w:rsidP="004F17FF">
      <w:pPr>
        <w:pStyle w:val="NormalWeb"/>
        <w:spacing w:before="0" w:beforeAutospacing="0" w:after="0" w:afterAutospacing="0"/>
        <w:jc w:val="both"/>
        <w:rPr>
          <w:lang w:val="it-IT"/>
        </w:rPr>
      </w:pPr>
      <w:r w:rsidRPr="008B2EDF">
        <w:rPr>
          <w:lang w:val="it-IT"/>
        </w:rPr>
        <w:t>(Accessed: 20 June 2025)</w:t>
      </w:r>
    </w:p>
    <w:p w14:paraId="3CEE7486" w14:textId="2DDE49C0" w:rsidR="00E94180" w:rsidRPr="008B2EDF" w:rsidRDefault="00E94180" w:rsidP="004F17FF">
      <w:pPr>
        <w:pStyle w:val="NormalWeb"/>
        <w:spacing w:before="0" w:beforeAutospacing="0" w:after="0" w:afterAutospacing="0"/>
        <w:jc w:val="both"/>
      </w:pPr>
      <w:r w:rsidRPr="008B2EDF">
        <w:rPr>
          <w:lang w:val="it-IT"/>
        </w:rPr>
        <w:t xml:space="preserve">Franzoi, I.G., Sauta, M.D., De Luca, A. and Granieri, A. (2024). </w:t>
      </w:r>
      <w:r w:rsidRPr="008B2EDF">
        <w:t>Returning to work after maternity leave: a systematic literature review. Archives of women’s mental health, 27(5)</w:t>
      </w:r>
      <w:r w:rsidR="00570CA8" w:rsidRPr="008B2EDF">
        <w:t xml:space="preserve">. </w:t>
      </w:r>
      <w:r w:rsidRPr="008B2EDF">
        <w:t xml:space="preserve">Available at: </w:t>
      </w:r>
      <w:hyperlink r:id="rId78" w:history="1">
        <w:r w:rsidRPr="008B2EDF">
          <w:rPr>
            <w:rStyle w:val="Hyperlink"/>
          </w:rPr>
          <w:t>https://doi.org/10.1007/s00737-024-01464-y</w:t>
        </w:r>
      </w:hyperlink>
      <w:r w:rsidRPr="008B2EDF">
        <w:t xml:space="preserve"> </w:t>
      </w:r>
    </w:p>
    <w:p w14:paraId="22F8FF0A" w14:textId="77777777" w:rsidR="00E94180" w:rsidRPr="008B2EDF" w:rsidRDefault="00E94180" w:rsidP="004F17FF">
      <w:pPr>
        <w:pStyle w:val="NormalWeb"/>
        <w:spacing w:before="0" w:beforeAutospacing="0" w:after="0" w:afterAutospacing="0"/>
        <w:jc w:val="both"/>
      </w:pPr>
      <w:r w:rsidRPr="008B2EDF">
        <w:t>(Accessed: 20 June 2025)</w:t>
      </w:r>
    </w:p>
    <w:p w14:paraId="455CEB9D" w14:textId="77777777" w:rsidR="00E94180" w:rsidRPr="008B2EDF" w:rsidRDefault="00E94180" w:rsidP="004F17FF">
      <w:pPr>
        <w:pStyle w:val="NormalWeb"/>
        <w:spacing w:before="0" w:beforeAutospacing="0" w:after="0" w:afterAutospacing="0"/>
        <w:jc w:val="both"/>
      </w:pPr>
      <w:r w:rsidRPr="008B2EDF">
        <w:t xml:space="preserve">Funk, S. and Warning, S. (2024). The leadership gap between full-time and part-time female employees. European Management Journal, (0263-2373). </w:t>
      </w:r>
    </w:p>
    <w:p w14:paraId="18C7BCBB" w14:textId="77777777" w:rsidR="00E94180" w:rsidRPr="008B2EDF" w:rsidRDefault="00E94180" w:rsidP="004F17FF">
      <w:pPr>
        <w:pStyle w:val="NormalWeb"/>
        <w:spacing w:before="0" w:beforeAutospacing="0" w:after="0" w:afterAutospacing="0"/>
        <w:jc w:val="both"/>
      </w:pPr>
      <w:r w:rsidRPr="008B2EDF">
        <w:t xml:space="preserve"> Available at: </w:t>
      </w:r>
      <w:hyperlink r:id="rId79" w:history="1">
        <w:r w:rsidRPr="008B2EDF">
          <w:rPr>
            <w:rStyle w:val="Hyperlink"/>
          </w:rPr>
          <w:t>https://doi.org/10.1016/j.emj.2024.09.002</w:t>
        </w:r>
      </w:hyperlink>
      <w:r w:rsidRPr="008B2EDF">
        <w:t xml:space="preserve"> </w:t>
      </w:r>
    </w:p>
    <w:p w14:paraId="1DACD07A" w14:textId="77777777" w:rsidR="00C16A10" w:rsidRPr="008B2EDF" w:rsidRDefault="00E94180" w:rsidP="004F17FF">
      <w:pPr>
        <w:pStyle w:val="NormalWeb"/>
        <w:spacing w:before="0" w:beforeAutospacing="0" w:after="0" w:afterAutospacing="0"/>
        <w:jc w:val="both"/>
      </w:pPr>
      <w:r w:rsidRPr="008B2EDF">
        <w:t>(Accessed: 27 July 2025)</w:t>
      </w:r>
    </w:p>
    <w:p w14:paraId="25AAEC35" w14:textId="77777777" w:rsidR="00C16A10" w:rsidRPr="008B2EDF" w:rsidRDefault="00C16A10" w:rsidP="004F17FF">
      <w:pPr>
        <w:pStyle w:val="NormalWeb"/>
        <w:spacing w:before="0" w:beforeAutospacing="0" w:after="0" w:afterAutospacing="0"/>
        <w:jc w:val="both"/>
      </w:pPr>
      <w:r w:rsidRPr="008B2EDF">
        <w:t xml:space="preserve">Fu, H., Tang, S. and Zhao, X. (2025). Limitations of Correlation Coefficients in Research on Functional Connectomes and Psychological Processes. </w:t>
      </w:r>
      <w:r w:rsidRPr="008B2EDF">
        <w:rPr>
          <w:i/>
          <w:iCs/>
        </w:rPr>
        <w:t>Human Brain Mapping</w:t>
      </w:r>
      <w:r w:rsidRPr="008B2EDF">
        <w:t xml:space="preserve">, [online] 46(10). </w:t>
      </w:r>
    </w:p>
    <w:p w14:paraId="14072AF6" w14:textId="6CE6200A" w:rsidR="00C16A10" w:rsidRPr="008B2EDF" w:rsidRDefault="00C16A10" w:rsidP="004F17FF">
      <w:pPr>
        <w:pStyle w:val="NormalWeb"/>
        <w:spacing w:before="0" w:beforeAutospacing="0" w:after="0" w:afterAutospacing="0"/>
        <w:jc w:val="both"/>
      </w:pPr>
      <w:r w:rsidRPr="008B2EDF">
        <w:t xml:space="preserve">Available at: </w:t>
      </w:r>
      <w:hyperlink r:id="rId80" w:history="1">
        <w:r w:rsidRPr="008B2EDF">
          <w:rPr>
            <w:rStyle w:val="Hyperlink"/>
          </w:rPr>
          <w:t>https://doi.org/10.1002/hbm.70287</w:t>
        </w:r>
      </w:hyperlink>
      <w:r w:rsidRPr="008B2EDF">
        <w:t xml:space="preserve"> </w:t>
      </w:r>
    </w:p>
    <w:p w14:paraId="36F8BB2D" w14:textId="546BEDC4" w:rsidR="00C16A10" w:rsidRPr="008B2EDF" w:rsidRDefault="00C16A10" w:rsidP="004F17FF">
      <w:pPr>
        <w:pStyle w:val="NormalWeb"/>
        <w:spacing w:before="0" w:beforeAutospacing="0" w:after="0" w:afterAutospacing="0"/>
        <w:jc w:val="both"/>
      </w:pPr>
      <w:r w:rsidRPr="008B2EDF">
        <w:t>(Accessed: 20 September 2025)</w:t>
      </w:r>
    </w:p>
    <w:p w14:paraId="7B15D275" w14:textId="77777777" w:rsidR="00E94180" w:rsidRPr="008B2EDF" w:rsidRDefault="00E94180" w:rsidP="004F17FF">
      <w:pPr>
        <w:pStyle w:val="NormalWeb"/>
        <w:spacing w:before="0" w:beforeAutospacing="0" w:after="0" w:afterAutospacing="0"/>
        <w:jc w:val="both"/>
      </w:pPr>
      <w:r w:rsidRPr="008B2EDF">
        <w:t xml:space="preserve">Glasper, E.A. and Carpenter, D. (2021). </w:t>
      </w:r>
      <w:r w:rsidRPr="008B2EDF">
        <w:rPr>
          <w:i/>
          <w:iCs/>
        </w:rPr>
        <w:t>How to write your nursing dissertation</w:t>
      </w:r>
      <w:r w:rsidRPr="008B2EDF">
        <w:t xml:space="preserve">. </w:t>
      </w:r>
    </w:p>
    <w:p w14:paraId="0F37BF14" w14:textId="77777777" w:rsidR="00E94180" w:rsidRPr="008B2EDF" w:rsidRDefault="00E94180" w:rsidP="004F17FF">
      <w:pPr>
        <w:pStyle w:val="NormalWeb"/>
        <w:spacing w:before="0" w:beforeAutospacing="0" w:after="0" w:afterAutospacing="0"/>
        <w:jc w:val="both"/>
      </w:pPr>
      <w:r w:rsidRPr="008B2EDF">
        <w:t>Book: United Kingdom: Wiley.</w:t>
      </w:r>
    </w:p>
    <w:p w14:paraId="68AA1D62" w14:textId="77777777" w:rsidR="00E94180" w:rsidRPr="008B2EDF" w:rsidRDefault="00E94180" w:rsidP="004F17FF">
      <w:pPr>
        <w:pStyle w:val="NormalWeb"/>
        <w:spacing w:before="0" w:beforeAutospacing="0" w:after="0" w:afterAutospacing="0"/>
        <w:jc w:val="both"/>
      </w:pPr>
      <w:bookmarkStart w:id="72" w:name="_Int_6QsTdc3R"/>
      <w:r w:rsidRPr="008B2EDF">
        <w:t>Government Equalities Office (2019) Women’s progression in the workplace: actions for employers.</w:t>
      </w:r>
      <w:bookmarkEnd w:id="72"/>
      <w:r w:rsidRPr="008B2EDF">
        <w:t xml:space="preserve"> </w:t>
      </w:r>
    </w:p>
    <w:p w14:paraId="61361E81" w14:textId="77777777" w:rsidR="00E94180" w:rsidRPr="008B2EDF" w:rsidRDefault="00E94180" w:rsidP="004F17FF">
      <w:pPr>
        <w:pStyle w:val="NormalWeb"/>
        <w:spacing w:before="0" w:beforeAutospacing="0" w:after="0" w:afterAutospacing="0"/>
        <w:jc w:val="both"/>
      </w:pPr>
      <w:r w:rsidRPr="008B2EDF">
        <w:t xml:space="preserve">Available at: </w:t>
      </w:r>
      <w:hyperlink r:id="rId81" w:history="1">
        <w:r w:rsidRPr="008B2EDF">
          <w:rPr>
            <w:rStyle w:val="Hyperlink"/>
          </w:rPr>
          <w:t>https://www.gov.uk/government/publications/womens-progression-in-the-workplace-actions-for-employers</w:t>
        </w:r>
      </w:hyperlink>
      <w:r w:rsidRPr="008B2EDF">
        <w:t xml:space="preserve">  </w:t>
      </w:r>
    </w:p>
    <w:p w14:paraId="667E0CFE" w14:textId="494A8471" w:rsidR="00E94180" w:rsidRPr="008B2EDF" w:rsidRDefault="00E94180" w:rsidP="004F17FF">
      <w:pPr>
        <w:pStyle w:val="NormalWeb"/>
        <w:spacing w:before="0" w:beforeAutospacing="0" w:after="0" w:afterAutospacing="0"/>
        <w:jc w:val="both"/>
      </w:pPr>
      <w:r w:rsidRPr="008B2EDF">
        <w:t>(Accessed: 28 July 2025)</w:t>
      </w:r>
    </w:p>
    <w:p w14:paraId="0CC5509B" w14:textId="77777777" w:rsidR="00E94180" w:rsidRPr="008B2EDF" w:rsidRDefault="00E94180" w:rsidP="004F17FF">
      <w:pPr>
        <w:pStyle w:val="NormalWeb"/>
        <w:spacing w:before="0" w:beforeAutospacing="0" w:after="0" w:afterAutospacing="0"/>
        <w:jc w:val="both"/>
        <w:rPr>
          <w:lang w:val="en-US"/>
        </w:rPr>
      </w:pPr>
      <w:r w:rsidRPr="008B2EDF">
        <w:rPr>
          <w:lang w:val="en-US"/>
        </w:rPr>
        <w:t xml:space="preserve">Gandhi, Y. (2022). </w:t>
      </w:r>
      <w:r w:rsidRPr="008B2EDF">
        <w:rPr>
          <w:i/>
          <w:iCs/>
          <w:lang w:val="en-US"/>
        </w:rPr>
        <w:t>Analysis of Variance (ANOVA): Types and Limitations | Analytics Steps</w:t>
      </w:r>
      <w:r w:rsidRPr="008B2EDF">
        <w:rPr>
          <w:lang w:val="en-US"/>
        </w:rPr>
        <w:t xml:space="preserve">. [online] </w:t>
      </w:r>
      <w:hyperlink r:id="rId82" w:history="1">
        <w:r w:rsidRPr="008B2EDF">
          <w:rPr>
            <w:rStyle w:val="Hyperlink"/>
            <w:lang w:val="en-US"/>
          </w:rPr>
          <w:t>www.analyticssteps.com</w:t>
        </w:r>
      </w:hyperlink>
      <w:r w:rsidRPr="008B2EDF">
        <w:rPr>
          <w:lang w:val="en-US"/>
        </w:rPr>
        <w:t>.</w:t>
      </w:r>
    </w:p>
    <w:p w14:paraId="08B2061B" w14:textId="77777777" w:rsidR="00E94180" w:rsidRPr="008B2EDF" w:rsidRDefault="00E94180" w:rsidP="004F17FF">
      <w:pPr>
        <w:pStyle w:val="NormalWeb"/>
        <w:spacing w:before="0" w:beforeAutospacing="0" w:after="0" w:afterAutospacing="0"/>
        <w:jc w:val="both"/>
        <w:rPr>
          <w:lang w:val="en-US"/>
        </w:rPr>
      </w:pPr>
      <w:r w:rsidRPr="008B2EDF">
        <w:rPr>
          <w:lang w:val="en-US"/>
        </w:rPr>
        <w:t xml:space="preserve"> Available at: </w:t>
      </w:r>
      <w:hyperlink r:id="rId83" w:anchor="google_vignette" w:history="1">
        <w:r w:rsidRPr="008B2EDF">
          <w:rPr>
            <w:rStyle w:val="Hyperlink"/>
            <w:lang w:val="en-US"/>
          </w:rPr>
          <w:t>https://www.analyticssteps.com/blogs/analysis-variance-anova-types-and-limitations#google_vignette</w:t>
        </w:r>
      </w:hyperlink>
      <w:r w:rsidRPr="008B2EDF">
        <w:rPr>
          <w:lang w:val="en-US"/>
        </w:rPr>
        <w:t>.</w:t>
      </w:r>
    </w:p>
    <w:p w14:paraId="30A0EB56" w14:textId="77777777" w:rsidR="00E94180" w:rsidRPr="008B2EDF" w:rsidRDefault="00E94180" w:rsidP="004F17FF">
      <w:pPr>
        <w:pStyle w:val="NormalWeb"/>
        <w:spacing w:before="0" w:beforeAutospacing="0" w:after="0" w:afterAutospacing="0"/>
        <w:jc w:val="both"/>
        <w:rPr>
          <w:lang w:val="en-US"/>
        </w:rPr>
      </w:pPr>
      <w:r w:rsidRPr="008B2EDF">
        <w:rPr>
          <w:lang w:val="en-US"/>
        </w:rPr>
        <w:t>(Accessed: 2 September 2025)</w:t>
      </w:r>
    </w:p>
    <w:p w14:paraId="28711E8E" w14:textId="77777777" w:rsidR="00E94180" w:rsidRPr="008B2EDF" w:rsidRDefault="00E94180" w:rsidP="004F17FF">
      <w:pPr>
        <w:pStyle w:val="NormalWeb"/>
        <w:spacing w:before="0" w:beforeAutospacing="0" w:after="0" w:afterAutospacing="0"/>
        <w:jc w:val="both"/>
        <w:rPr>
          <w:lang w:val="en-US"/>
        </w:rPr>
      </w:pPr>
      <w:r w:rsidRPr="008B2EDF">
        <w:rPr>
          <w:lang w:val="en-US"/>
        </w:rPr>
        <w:t xml:space="preserve">Garrick, A., Johnson, D., and Arendt, S. (2024). </w:t>
      </w:r>
      <w:r w:rsidRPr="008B2EDF">
        <w:rPr>
          <w:i/>
          <w:iCs/>
          <w:lang w:val="en-US"/>
        </w:rPr>
        <w:t>Breaking Barriers: Strategies for Fostering Inclusivity in The Workplace</w:t>
      </w:r>
      <w:r w:rsidRPr="008B2EDF">
        <w:rPr>
          <w:lang w:val="en-US"/>
        </w:rPr>
        <w:t xml:space="preserve">. [online] ResearchGate. </w:t>
      </w:r>
    </w:p>
    <w:p w14:paraId="16ADFF09" w14:textId="77777777" w:rsidR="00E94180" w:rsidRPr="008B2EDF" w:rsidRDefault="00E94180" w:rsidP="004F17FF">
      <w:pPr>
        <w:pStyle w:val="NormalWeb"/>
        <w:spacing w:before="0" w:beforeAutospacing="0" w:after="0" w:afterAutospacing="0"/>
        <w:jc w:val="both"/>
        <w:rPr>
          <w:lang w:val="en-US"/>
        </w:rPr>
      </w:pPr>
      <w:r w:rsidRPr="008B2EDF">
        <w:rPr>
          <w:lang w:val="en-US"/>
        </w:rPr>
        <w:t xml:space="preserve">Available at: </w:t>
      </w:r>
      <w:hyperlink r:id="rId84" w:history="1">
        <w:r w:rsidRPr="008B2EDF">
          <w:rPr>
            <w:rStyle w:val="Hyperlink"/>
            <w:lang w:val="en-US"/>
          </w:rPr>
          <w:t>https://www.researchgate.net/publication/378162359_Breaking_Barriers_Strategies_for_Fostering_Inclusivity_in_The_Workplace</w:t>
        </w:r>
      </w:hyperlink>
      <w:r w:rsidRPr="008B2EDF">
        <w:rPr>
          <w:lang w:val="en-US"/>
        </w:rPr>
        <w:t xml:space="preserve"> </w:t>
      </w:r>
    </w:p>
    <w:p w14:paraId="0C7886B4" w14:textId="441222E2" w:rsidR="00E94180" w:rsidRPr="008B2EDF" w:rsidRDefault="00E94180" w:rsidP="004F17FF">
      <w:pPr>
        <w:pStyle w:val="NormalWeb"/>
        <w:spacing w:before="0" w:beforeAutospacing="0" w:after="0" w:afterAutospacing="0"/>
        <w:jc w:val="both"/>
      </w:pPr>
      <w:r w:rsidRPr="008B2EDF">
        <w:t>(Accessed: 29 July 2025)</w:t>
      </w:r>
    </w:p>
    <w:p w14:paraId="06D47206" w14:textId="77777777" w:rsidR="00E94180" w:rsidRPr="008B2EDF" w:rsidRDefault="00E94180" w:rsidP="004F17FF">
      <w:pPr>
        <w:pStyle w:val="NormalWeb"/>
        <w:spacing w:before="0" w:beforeAutospacing="0" w:after="0" w:afterAutospacing="0"/>
        <w:jc w:val="both"/>
        <w:rPr>
          <w:lang w:val="en-US"/>
        </w:rPr>
      </w:pPr>
      <w:r w:rsidRPr="008B2EDF">
        <w:rPr>
          <w:lang w:val="en-US"/>
        </w:rPr>
        <w:lastRenderedPageBreak/>
        <w:t xml:space="preserve">Gazi, Md.A.I., Yusof, M.F., Islam, Md.A., Amin, M.B. and Senathirajah, A.R. bin S. (2024). Analyzing the impact of employee job satisfaction on their job behavior in the industrial setting: An analysis from the perspective of job performance. </w:t>
      </w:r>
      <w:r w:rsidRPr="008B2EDF">
        <w:rPr>
          <w:i/>
          <w:iCs/>
          <w:lang w:val="en-US"/>
        </w:rPr>
        <w:t>Journal of Open Innovation: Technology, Market, and Complexity</w:t>
      </w:r>
      <w:r w:rsidRPr="008B2EDF">
        <w:rPr>
          <w:lang w:val="en-US"/>
        </w:rPr>
        <w:t xml:space="preserve">, [online] 10(4), p.100427. </w:t>
      </w:r>
    </w:p>
    <w:p w14:paraId="1F27005C" w14:textId="77777777" w:rsidR="00E94180" w:rsidRPr="008B2EDF" w:rsidRDefault="00E94180" w:rsidP="004F17FF">
      <w:pPr>
        <w:pStyle w:val="NormalWeb"/>
        <w:spacing w:before="0" w:beforeAutospacing="0" w:after="0" w:afterAutospacing="0"/>
        <w:jc w:val="both"/>
        <w:rPr>
          <w:lang w:val="en-US"/>
        </w:rPr>
      </w:pPr>
      <w:r w:rsidRPr="008B2EDF">
        <w:rPr>
          <w:lang w:val="en-US"/>
        </w:rPr>
        <w:t xml:space="preserve"> Available at: </w:t>
      </w:r>
      <w:hyperlink r:id="rId85" w:history="1">
        <w:r w:rsidRPr="008B2EDF">
          <w:rPr>
            <w:rStyle w:val="Hyperlink"/>
            <w:lang w:val="en-US"/>
          </w:rPr>
          <w:t>https://doi.org/10.1016/j.joitmc.2024.100427</w:t>
        </w:r>
      </w:hyperlink>
    </w:p>
    <w:p w14:paraId="36459B65" w14:textId="77777777" w:rsidR="00E94180" w:rsidRPr="008B2EDF" w:rsidRDefault="00E94180" w:rsidP="004F17FF">
      <w:pPr>
        <w:pStyle w:val="NormalWeb"/>
        <w:spacing w:before="0" w:beforeAutospacing="0" w:after="0" w:afterAutospacing="0"/>
        <w:jc w:val="both"/>
        <w:rPr>
          <w:lang w:val="en-US"/>
        </w:rPr>
      </w:pPr>
      <w:r w:rsidRPr="008B2EDF">
        <w:rPr>
          <w:lang w:val="en-US"/>
        </w:rPr>
        <w:t>(Accessed: 2 September 2025)</w:t>
      </w:r>
    </w:p>
    <w:p w14:paraId="27674098" w14:textId="77777777" w:rsidR="00E94180" w:rsidRPr="008B2EDF" w:rsidRDefault="00E94180" w:rsidP="004F17FF">
      <w:pPr>
        <w:pStyle w:val="NormalWeb"/>
        <w:spacing w:before="0" w:beforeAutospacing="0" w:after="0" w:afterAutospacing="0"/>
        <w:jc w:val="both"/>
        <w:rPr>
          <w:lang w:val="en-US"/>
        </w:rPr>
      </w:pPr>
      <w:r w:rsidRPr="008B2EDF">
        <w:rPr>
          <w:lang w:val="en-US"/>
        </w:rPr>
        <w:t xml:space="preserve">GeeksforGeeks (2023). </w:t>
      </w:r>
      <w:r w:rsidRPr="008B2EDF">
        <w:rPr>
          <w:i/>
          <w:iCs/>
          <w:lang w:val="en-US"/>
        </w:rPr>
        <w:t>Adam’s Equity Theory: Concept, Merits and Demerits</w:t>
      </w:r>
      <w:r w:rsidRPr="008B2EDF">
        <w:rPr>
          <w:lang w:val="en-US"/>
        </w:rPr>
        <w:t xml:space="preserve">. [online] GeeksforGeeks. Available at: </w:t>
      </w:r>
      <w:hyperlink r:id="rId86" w:history="1">
        <w:r w:rsidRPr="008B2EDF">
          <w:rPr>
            <w:rStyle w:val="Hyperlink"/>
            <w:lang w:val="en-US"/>
          </w:rPr>
          <w:t>https://www.geeksforgeeks.org/hr/adams-equity-theory-concept-merits-and-demerits/</w:t>
        </w:r>
      </w:hyperlink>
    </w:p>
    <w:p w14:paraId="3F25C4F6" w14:textId="77777777" w:rsidR="00E94180" w:rsidRPr="008B2EDF" w:rsidRDefault="00E94180" w:rsidP="004F17FF">
      <w:pPr>
        <w:pStyle w:val="NormalWeb"/>
        <w:spacing w:before="0" w:beforeAutospacing="0" w:after="0" w:afterAutospacing="0"/>
        <w:jc w:val="both"/>
        <w:rPr>
          <w:lang w:val="en-US"/>
        </w:rPr>
      </w:pPr>
      <w:r w:rsidRPr="008B2EDF">
        <w:rPr>
          <w:lang w:val="en-US"/>
        </w:rPr>
        <w:t>(Accessed: 24 July 2025)</w:t>
      </w:r>
    </w:p>
    <w:p w14:paraId="2701DE9F" w14:textId="77777777" w:rsidR="00E94180" w:rsidRPr="008B2EDF" w:rsidRDefault="00E94180" w:rsidP="004F17FF">
      <w:pPr>
        <w:pStyle w:val="NormalWeb"/>
        <w:spacing w:before="0" w:beforeAutospacing="0" w:after="0" w:afterAutospacing="0"/>
        <w:jc w:val="both"/>
        <w:rPr>
          <w:lang w:val="en-US"/>
        </w:rPr>
      </w:pPr>
      <w:r w:rsidRPr="008B2EDF">
        <w:rPr>
          <w:lang w:val="en-US"/>
        </w:rPr>
        <w:t xml:space="preserve">George, T. (2021). </w:t>
      </w:r>
      <w:r w:rsidRPr="008B2EDF">
        <w:rPr>
          <w:i/>
          <w:iCs/>
          <w:lang w:val="en-US"/>
        </w:rPr>
        <w:t>Exploratory Research | Definition, Guide, &amp; Examples</w:t>
      </w:r>
      <w:r w:rsidRPr="008B2EDF">
        <w:rPr>
          <w:lang w:val="en-US"/>
        </w:rPr>
        <w:t xml:space="preserve">. [online] Scribbr. Available at: </w:t>
      </w:r>
      <w:hyperlink r:id="rId87" w:history="1">
        <w:r w:rsidRPr="008B2EDF">
          <w:rPr>
            <w:rStyle w:val="Hyperlink"/>
            <w:lang w:val="en-US"/>
          </w:rPr>
          <w:t>https://www.scribbr.com/methodology/exploratory-research/</w:t>
        </w:r>
      </w:hyperlink>
    </w:p>
    <w:p w14:paraId="0DC637A8" w14:textId="77777777" w:rsidR="00E94180" w:rsidRPr="008B2EDF" w:rsidRDefault="00E94180" w:rsidP="004F17FF">
      <w:pPr>
        <w:pStyle w:val="NormalWeb"/>
        <w:spacing w:before="0" w:beforeAutospacing="0" w:after="0" w:afterAutospacing="0"/>
        <w:jc w:val="both"/>
        <w:rPr>
          <w:lang w:val="en-US"/>
        </w:rPr>
      </w:pPr>
      <w:r w:rsidRPr="008B2EDF">
        <w:rPr>
          <w:lang w:val="en-US"/>
        </w:rPr>
        <w:t>(Accessed: 2 September 2025)</w:t>
      </w:r>
    </w:p>
    <w:p w14:paraId="0851DCDC" w14:textId="77777777" w:rsidR="00E94180" w:rsidRPr="008B2EDF" w:rsidRDefault="00E94180" w:rsidP="004F17FF">
      <w:pPr>
        <w:pStyle w:val="NormalWeb"/>
        <w:spacing w:before="0" w:beforeAutospacing="0" w:after="0" w:afterAutospacing="0"/>
        <w:jc w:val="both"/>
        <w:rPr>
          <w:lang w:val="en-US"/>
        </w:rPr>
      </w:pPr>
      <w:r w:rsidRPr="008B2EDF">
        <w:rPr>
          <w:lang w:val="en-US"/>
        </w:rPr>
        <w:t xml:space="preserve">GOV UK (2025). </w:t>
      </w:r>
      <w:r w:rsidRPr="008B2EDF">
        <w:rPr>
          <w:i/>
          <w:iCs/>
          <w:lang w:val="en-US"/>
        </w:rPr>
        <w:t>The Part-time Workers (Prevention of Less Favourable Treatment) Regulations 2000</w:t>
      </w:r>
      <w:r w:rsidRPr="008B2EDF">
        <w:rPr>
          <w:lang w:val="en-US"/>
        </w:rPr>
        <w:t>. [online] Legislation.gov.uk.</w:t>
      </w:r>
    </w:p>
    <w:p w14:paraId="47929992" w14:textId="77777777" w:rsidR="00E94180" w:rsidRPr="008B2EDF" w:rsidRDefault="00E94180" w:rsidP="004F17FF">
      <w:pPr>
        <w:pStyle w:val="NormalWeb"/>
        <w:spacing w:before="0" w:beforeAutospacing="0" w:after="0" w:afterAutospacing="0"/>
        <w:jc w:val="both"/>
        <w:rPr>
          <w:lang w:val="en-US"/>
        </w:rPr>
      </w:pPr>
      <w:r w:rsidRPr="008B2EDF">
        <w:rPr>
          <w:lang w:val="en-US"/>
        </w:rPr>
        <w:t xml:space="preserve"> Available at: </w:t>
      </w:r>
      <w:hyperlink r:id="rId88" w:history="1">
        <w:r w:rsidRPr="008B2EDF">
          <w:rPr>
            <w:rStyle w:val="Hyperlink"/>
            <w:lang w:val="en-US"/>
          </w:rPr>
          <w:t>https://www.legislation.gov.uk/uksi/2000/1551/regulation/6</w:t>
        </w:r>
      </w:hyperlink>
      <w:r w:rsidRPr="008B2EDF">
        <w:rPr>
          <w:lang w:val="en-US"/>
        </w:rPr>
        <w:t xml:space="preserve"> </w:t>
      </w:r>
    </w:p>
    <w:p w14:paraId="5E1A51F9" w14:textId="77777777" w:rsidR="00E94180" w:rsidRPr="008B2EDF" w:rsidRDefault="00E94180" w:rsidP="004F17FF">
      <w:pPr>
        <w:pStyle w:val="NormalWeb"/>
        <w:spacing w:before="0" w:beforeAutospacing="0" w:after="0" w:afterAutospacing="0"/>
        <w:jc w:val="both"/>
        <w:rPr>
          <w:lang w:val="en-US"/>
        </w:rPr>
      </w:pPr>
      <w:r w:rsidRPr="008B2EDF">
        <w:rPr>
          <w:lang w:val="en-US"/>
        </w:rPr>
        <w:t>(Accessed: 27 July 2025)</w:t>
      </w:r>
    </w:p>
    <w:p w14:paraId="32C7B8CA" w14:textId="77777777" w:rsidR="00E94180" w:rsidRPr="008B2EDF" w:rsidRDefault="00E94180" w:rsidP="004F17FF">
      <w:pPr>
        <w:pStyle w:val="NormalWeb"/>
        <w:spacing w:before="0" w:beforeAutospacing="0" w:after="0" w:afterAutospacing="0"/>
        <w:jc w:val="both"/>
        <w:rPr>
          <w:lang w:val="en-US"/>
        </w:rPr>
      </w:pPr>
      <w:r w:rsidRPr="008B2EDF">
        <w:rPr>
          <w:lang w:val="en-US"/>
        </w:rPr>
        <w:t xml:space="preserve">Grace-Martin, K. (2020). </w:t>
      </w:r>
      <w:r w:rsidRPr="008B2EDF">
        <w:rPr>
          <w:i/>
          <w:iCs/>
          <w:lang w:val="en-US"/>
        </w:rPr>
        <w:t>When Unequal Sample Sizes Are and Are NOT a Problem in ANOVA</w:t>
      </w:r>
      <w:r w:rsidRPr="008B2EDF">
        <w:rPr>
          <w:lang w:val="en-US"/>
        </w:rPr>
        <w:t xml:space="preserve">. [online] The Analysis Factor. </w:t>
      </w:r>
    </w:p>
    <w:p w14:paraId="3308F679" w14:textId="77777777" w:rsidR="00E94180" w:rsidRPr="008B2EDF" w:rsidRDefault="00E94180" w:rsidP="004F17FF">
      <w:pPr>
        <w:pStyle w:val="NormalWeb"/>
        <w:spacing w:before="0" w:beforeAutospacing="0" w:after="0" w:afterAutospacing="0"/>
        <w:jc w:val="both"/>
      </w:pPr>
      <w:r w:rsidRPr="008B2EDF">
        <w:rPr>
          <w:lang w:val="en-US"/>
        </w:rPr>
        <w:t xml:space="preserve">Available at: </w:t>
      </w:r>
      <w:hyperlink r:id="rId89" w:history="1">
        <w:r w:rsidRPr="008B2EDF">
          <w:rPr>
            <w:rStyle w:val="Hyperlink"/>
            <w:lang w:val="en-US"/>
          </w:rPr>
          <w:t>https://www.theanalysisfactor.com/when-unequal-sample-sizes-are-and-are-not-a-problem-in-anova/</w:t>
        </w:r>
      </w:hyperlink>
    </w:p>
    <w:p w14:paraId="79E458AB" w14:textId="77777777" w:rsidR="00E94180" w:rsidRPr="008B2EDF" w:rsidRDefault="00E94180" w:rsidP="004F17FF">
      <w:pPr>
        <w:pStyle w:val="NormalWeb"/>
        <w:spacing w:before="0" w:beforeAutospacing="0" w:after="0" w:afterAutospacing="0"/>
        <w:jc w:val="both"/>
        <w:rPr>
          <w:lang w:val="en-US"/>
        </w:rPr>
      </w:pPr>
      <w:r w:rsidRPr="008B2EDF">
        <w:rPr>
          <w:lang w:val="en-US"/>
        </w:rPr>
        <w:t>(Accessed: 2 September 2025)</w:t>
      </w:r>
    </w:p>
    <w:p w14:paraId="482A9AB9" w14:textId="77777777" w:rsidR="00E94180" w:rsidRPr="008B2EDF" w:rsidRDefault="00E94180" w:rsidP="004F17FF">
      <w:pPr>
        <w:pStyle w:val="NormalWeb"/>
        <w:spacing w:before="0" w:beforeAutospacing="0" w:after="0" w:afterAutospacing="0"/>
        <w:jc w:val="both"/>
        <w:rPr>
          <w:lang w:val="en-US"/>
        </w:rPr>
      </w:pPr>
      <w:r w:rsidRPr="008B2EDF">
        <w:rPr>
          <w:lang w:val="en-US"/>
        </w:rPr>
        <w:t xml:space="preserve">Grimshaw, D. and Rubery, J. (1997). The Concentration of Women’s Employment and Relative Occupational Pay. </w:t>
      </w:r>
      <w:r w:rsidRPr="008B2EDF">
        <w:rPr>
          <w:i/>
          <w:iCs/>
          <w:lang w:val="en-US"/>
        </w:rPr>
        <w:t>OECD Labour Market and Social Policy Occasional Papers</w:t>
      </w:r>
      <w:r w:rsidRPr="008B2EDF">
        <w:rPr>
          <w:lang w:val="en-US"/>
        </w:rPr>
        <w:t xml:space="preserve">, 26.  Available at: </w:t>
      </w:r>
      <w:hyperlink r:id="rId90" w:history="1">
        <w:r w:rsidRPr="008B2EDF">
          <w:rPr>
            <w:rStyle w:val="Hyperlink"/>
            <w:lang w:val="en-US"/>
          </w:rPr>
          <w:t>https://doi.org/10.1787/122123571425</w:t>
        </w:r>
      </w:hyperlink>
    </w:p>
    <w:p w14:paraId="7F788969" w14:textId="44A578D3" w:rsidR="00E94180" w:rsidRPr="008B2EDF" w:rsidRDefault="00E94180" w:rsidP="004F17FF">
      <w:pPr>
        <w:pStyle w:val="NormalWeb"/>
        <w:spacing w:before="0" w:beforeAutospacing="0" w:after="0" w:afterAutospacing="0"/>
        <w:jc w:val="both"/>
        <w:rPr>
          <w:lang w:val="en-US"/>
        </w:rPr>
      </w:pPr>
      <w:r w:rsidRPr="008B2EDF">
        <w:rPr>
          <w:lang w:val="en-US"/>
        </w:rPr>
        <w:t>(Accessed: 18 July 2025)</w:t>
      </w:r>
    </w:p>
    <w:p w14:paraId="4E3C7D9A" w14:textId="77777777" w:rsidR="00E94180" w:rsidRPr="008B2EDF" w:rsidRDefault="00E94180" w:rsidP="004F17FF">
      <w:pPr>
        <w:pStyle w:val="NormalWeb"/>
        <w:spacing w:before="0" w:beforeAutospacing="0" w:after="0" w:afterAutospacing="0"/>
        <w:jc w:val="both"/>
      </w:pPr>
      <w:r w:rsidRPr="008B2EDF">
        <w:t xml:space="preserve">Groenland, E. and Dana, L. (2019). </w:t>
      </w:r>
      <w:bookmarkStart w:id="73" w:name="_Int_95zAaQXz"/>
      <w:r w:rsidRPr="008B2EDF">
        <w:rPr>
          <w:i/>
          <w:iCs/>
        </w:rPr>
        <w:t>Qualitative Methodologies And Data Collection Method</w:t>
      </w:r>
      <w:r w:rsidRPr="008B2EDF">
        <w:t>s: Toward Increased Rigour In Management Research.</w:t>
      </w:r>
      <w:bookmarkEnd w:id="73"/>
      <w:r w:rsidRPr="008B2EDF">
        <w:t xml:space="preserve"> </w:t>
      </w:r>
    </w:p>
    <w:p w14:paraId="237E0218" w14:textId="2A5D98B5" w:rsidR="00E94180" w:rsidRPr="008B2EDF" w:rsidRDefault="00E94180" w:rsidP="004F17FF">
      <w:pPr>
        <w:pStyle w:val="NormalWeb"/>
        <w:spacing w:before="0" w:beforeAutospacing="0" w:after="0" w:afterAutospacing="0"/>
        <w:jc w:val="both"/>
      </w:pPr>
      <w:r w:rsidRPr="008B2EDF">
        <w:t>Book: Singapore, World Scientific Publishing Company</w:t>
      </w:r>
    </w:p>
    <w:p w14:paraId="34230A18" w14:textId="77777777" w:rsidR="00E94180" w:rsidRPr="008B2EDF" w:rsidRDefault="00E94180" w:rsidP="004F17FF">
      <w:pPr>
        <w:pStyle w:val="NormalWeb"/>
        <w:spacing w:before="0" w:beforeAutospacing="0" w:after="0" w:afterAutospacing="0"/>
        <w:jc w:val="both"/>
      </w:pPr>
      <w:r w:rsidRPr="008B2EDF">
        <w:t xml:space="preserve">Haigh , E. (2024). </w:t>
      </w:r>
      <w:r w:rsidRPr="008B2EDF">
        <w:rPr>
          <w:i/>
          <w:iCs/>
        </w:rPr>
        <w:t>Why women leave jobs – and how to retain them</w:t>
      </w:r>
      <w:r w:rsidRPr="008B2EDF">
        <w:t xml:space="preserve">. [online] </w:t>
      </w:r>
    </w:p>
    <w:p w14:paraId="3F470E1D" w14:textId="77777777" w:rsidR="00E94180" w:rsidRPr="008B2EDF" w:rsidRDefault="00E94180" w:rsidP="004F17FF">
      <w:pPr>
        <w:pStyle w:val="NormalWeb"/>
        <w:spacing w:before="0" w:beforeAutospacing="0" w:after="0" w:afterAutospacing="0"/>
        <w:jc w:val="both"/>
      </w:pPr>
      <w:r w:rsidRPr="008B2EDF">
        <w:t xml:space="preserve">Available at: </w:t>
      </w:r>
      <w:hyperlink r:id="rId91" w:history="1">
        <w:r w:rsidRPr="008B2EDF">
          <w:rPr>
            <w:rStyle w:val="Hyperlink"/>
          </w:rPr>
          <w:t>https://www.peoplemanagement.co.uk/article/1876463/why-women-leave-jobs-%E2%80%93-retain</w:t>
        </w:r>
      </w:hyperlink>
    </w:p>
    <w:p w14:paraId="14DAB18F" w14:textId="37BA65B3" w:rsidR="00E94180" w:rsidRPr="008B2EDF" w:rsidRDefault="00E94180" w:rsidP="004F17FF">
      <w:pPr>
        <w:pStyle w:val="NormalWeb"/>
        <w:spacing w:before="0" w:beforeAutospacing="0" w:after="0" w:afterAutospacing="0"/>
        <w:jc w:val="both"/>
      </w:pPr>
      <w:r w:rsidRPr="008B2EDF">
        <w:t>(Accessed: 27 July 2025)</w:t>
      </w:r>
    </w:p>
    <w:p w14:paraId="7281C17C" w14:textId="65AB542A" w:rsidR="00A02562" w:rsidRPr="008B2EDF" w:rsidRDefault="00A02562" w:rsidP="004F17FF">
      <w:pPr>
        <w:pStyle w:val="NormalWeb"/>
        <w:spacing w:before="0" w:beforeAutospacing="0" w:after="0" w:afterAutospacing="0"/>
        <w:jc w:val="both"/>
      </w:pPr>
      <w:r w:rsidRPr="008B2EDF">
        <w:t xml:space="preserve">Health Knowledge (2023) </w:t>
      </w:r>
      <w:r w:rsidRPr="008B2EDF">
        <w:rPr>
          <w:i/>
          <w:iCs/>
        </w:rPr>
        <w:t>Validity, reliability and generalisability</w:t>
      </w:r>
      <w:r w:rsidRPr="008B2EDF">
        <w:t xml:space="preserve">. Available at: </w:t>
      </w:r>
      <w:hyperlink r:id="rId92" w:tgtFrame="_new" w:history="1">
        <w:r w:rsidRPr="008B2EDF">
          <w:rPr>
            <w:rStyle w:val="Hyperlink"/>
          </w:rPr>
          <w:t>https://www.healthknowledge.org.uk</w:t>
        </w:r>
      </w:hyperlink>
      <w:r w:rsidRPr="008B2EDF">
        <w:t xml:space="preserve"> (Accessed: 3 May 2026).</w:t>
      </w:r>
    </w:p>
    <w:p w14:paraId="24DA68F5" w14:textId="77777777" w:rsidR="00E94180" w:rsidRPr="008B2EDF" w:rsidRDefault="00E94180" w:rsidP="004F17FF">
      <w:pPr>
        <w:pStyle w:val="NormalWeb"/>
        <w:spacing w:before="0" w:beforeAutospacing="0" w:after="0" w:afterAutospacing="0"/>
        <w:jc w:val="both"/>
      </w:pPr>
      <w:r w:rsidRPr="008B2EDF">
        <w:t>Hildenbrand, K., Daher, P., Topakas, A. and Gan, X. (2023). Multidimensional work-nonwork balance: are balanced employees productive at work and satisfied with life? International Journal of Human Resource Management, 6(1048-1087), pp.1–40.</w:t>
      </w:r>
    </w:p>
    <w:p w14:paraId="69F946B5" w14:textId="77777777" w:rsidR="00E94180" w:rsidRPr="008B2EDF" w:rsidRDefault="00E94180" w:rsidP="004F17FF">
      <w:pPr>
        <w:pStyle w:val="NormalWeb"/>
        <w:spacing w:before="0" w:beforeAutospacing="0" w:after="0" w:afterAutospacing="0"/>
        <w:jc w:val="both"/>
        <w:rPr>
          <w:u w:val="single"/>
        </w:rPr>
      </w:pPr>
      <w:r w:rsidRPr="008B2EDF">
        <w:t xml:space="preserve">  Available at: </w:t>
      </w:r>
      <w:hyperlink r:id="rId93" w:history="1">
        <w:r w:rsidRPr="008B2EDF">
          <w:rPr>
            <w:rStyle w:val="Hyperlink"/>
          </w:rPr>
          <w:t>https://doi</w:t>
        </w:r>
      </w:hyperlink>
    </w:p>
    <w:p w14:paraId="1B1A8771" w14:textId="77777777" w:rsidR="00E94180" w:rsidRPr="008B2EDF" w:rsidRDefault="00E94180" w:rsidP="004F17FF">
      <w:pPr>
        <w:pStyle w:val="NormalWeb"/>
        <w:spacing w:before="0" w:beforeAutospacing="0" w:after="0" w:afterAutospacing="0"/>
        <w:jc w:val="both"/>
      </w:pPr>
      <w:hyperlink r:id="rId94" w:history="1">
        <w:r w:rsidRPr="008B2EDF">
          <w:rPr>
            <w:rStyle w:val="Hyperlink"/>
          </w:rPr>
          <w:t>.org/10.1080/09585192.2023.2258335</w:t>
        </w:r>
      </w:hyperlink>
      <w:r w:rsidRPr="008B2EDF">
        <w:t xml:space="preserve"> </w:t>
      </w:r>
    </w:p>
    <w:p w14:paraId="7158E6BF" w14:textId="76AB8CC1" w:rsidR="00E94180" w:rsidRPr="008B2EDF" w:rsidRDefault="00E94180" w:rsidP="004F17FF">
      <w:pPr>
        <w:pStyle w:val="NormalWeb"/>
        <w:spacing w:before="0" w:beforeAutospacing="0" w:after="0" w:afterAutospacing="0"/>
        <w:jc w:val="both"/>
      </w:pPr>
      <w:r w:rsidRPr="008B2EDF">
        <w:t>(Accessed: 27 July 2025)</w:t>
      </w:r>
    </w:p>
    <w:p w14:paraId="7A9927BE" w14:textId="77777777" w:rsidR="00E94180" w:rsidRPr="008B2EDF" w:rsidRDefault="00E94180" w:rsidP="004F17FF">
      <w:pPr>
        <w:pStyle w:val="NormalWeb"/>
        <w:spacing w:before="0" w:beforeAutospacing="0" w:after="0" w:afterAutospacing="0"/>
        <w:jc w:val="both"/>
      </w:pPr>
      <w:r w:rsidRPr="008B2EDF">
        <w:t xml:space="preserve">Hakim, C. (2006). Women, careers, and work-life preferences. British Journal of Guidance &amp; Counselling, [online] 34(3), pp.279–294. Available at: </w:t>
      </w:r>
      <w:hyperlink r:id="rId95" w:history="1">
        <w:r w:rsidRPr="008B2EDF">
          <w:rPr>
            <w:rStyle w:val="Hyperlink"/>
          </w:rPr>
          <w:t>http://www.catherinehakim.org/wp-content/uploads/2023/02/BJGC-2006-article.pdf</w:t>
        </w:r>
      </w:hyperlink>
      <w:r w:rsidRPr="008B2EDF">
        <w:t xml:space="preserve"> </w:t>
      </w:r>
    </w:p>
    <w:p w14:paraId="0BF96FE9" w14:textId="1A7384EC" w:rsidR="00E94180" w:rsidRPr="008B2EDF" w:rsidRDefault="00E94180" w:rsidP="004F17FF">
      <w:pPr>
        <w:pStyle w:val="NormalWeb"/>
        <w:spacing w:before="0" w:beforeAutospacing="0" w:after="0" w:afterAutospacing="0"/>
        <w:jc w:val="both"/>
      </w:pPr>
      <w:r w:rsidRPr="008B2EDF">
        <w:t>(Accessed: 27 July 2025)</w:t>
      </w:r>
    </w:p>
    <w:p w14:paraId="7B46F17E" w14:textId="77777777" w:rsidR="00E94180" w:rsidRPr="008B2EDF" w:rsidRDefault="00E94180" w:rsidP="004F17FF">
      <w:pPr>
        <w:pStyle w:val="NormalWeb"/>
        <w:spacing w:before="0" w:beforeAutospacing="0" w:after="0" w:afterAutospacing="0"/>
        <w:jc w:val="both"/>
      </w:pPr>
      <w:r w:rsidRPr="008B2EDF">
        <w:t xml:space="preserve">Hiscox (2023). Employment contract types explained. [online] </w:t>
      </w:r>
      <w:hyperlink r:id="rId96" w:history="1">
        <w:r w:rsidRPr="008B2EDF">
          <w:rPr>
            <w:rStyle w:val="Hyperlink"/>
          </w:rPr>
          <w:t>www.hiscox.co.uk</w:t>
        </w:r>
      </w:hyperlink>
      <w:r w:rsidRPr="008B2EDF">
        <w:t>.</w:t>
      </w:r>
    </w:p>
    <w:p w14:paraId="6BAB6349" w14:textId="77777777" w:rsidR="00E94180" w:rsidRPr="008B2EDF" w:rsidRDefault="00E94180" w:rsidP="004F17FF">
      <w:pPr>
        <w:pStyle w:val="NormalWeb"/>
        <w:spacing w:before="0" w:beforeAutospacing="0" w:after="0" w:afterAutospacing="0"/>
        <w:jc w:val="both"/>
      </w:pPr>
      <w:r w:rsidRPr="008B2EDF">
        <w:t xml:space="preserve"> Available at: </w:t>
      </w:r>
      <w:hyperlink r:id="rId97" w:history="1">
        <w:r w:rsidRPr="008B2EDF">
          <w:rPr>
            <w:rStyle w:val="Hyperlink"/>
          </w:rPr>
          <w:t>https://www.hiscox.co.uk/business-blog/employment-contract-types</w:t>
        </w:r>
      </w:hyperlink>
      <w:r w:rsidRPr="008B2EDF">
        <w:t xml:space="preserve"> </w:t>
      </w:r>
    </w:p>
    <w:p w14:paraId="6BFD9A2A" w14:textId="05B89BDF" w:rsidR="00E94180" w:rsidRPr="008B2EDF" w:rsidRDefault="00E94180" w:rsidP="004F17FF">
      <w:pPr>
        <w:pStyle w:val="NormalWeb"/>
        <w:spacing w:before="0" w:beforeAutospacing="0" w:after="0" w:afterAutospacing="0"/>
        <w:jc w:val="both"/>
      </w:pPr>
      <w:r w:rsidRPr="008B2EDF">
        <w:t>(Accessed: 29 July 2025)</w:t>
      </w:r>
    </w:p>
    <w:p w14:paraId="7B10209C" w14:textId="77777777" w:rsidR="00E94180" w:rsidRPr="008B2EDF" w:rsidRDefault="00E94180" w:rsidP="004F17FF">
      <w:pPr>
        <w:pStyle w:val="NormalWeb"/>
        <w:spacing w:before="0" w:beforeAutospacing="0" w:after="0" w:afterAutospacing="0"/>
        <w:jc w:val="both"/>
      </w:pPr>
      <w:r w:rsidRPr="008B2EDF">
        <w:t xml:space="preserve">Hosain, M.S., Amin, M.B., Imam, H., Rahaman, M.A. and Oláh, J. (2024). The spillover effect of a part-time job experience on the performance of subsequent full-time job: Empirical </w:t>
      </w:r>
      <w:r w:rsidRPr="008B2EDF">
        <w:lastRenderedPageBreak/>
        <w:t>evidence from Hungary. Social Sciences &amp; Humanities Open, [online] 10(2590-2911), pp.101023–101023.</w:t>
      </w:r>
    </w:p>
    <w:p w14:paraId="34BFFB7B" w14:textId="77777777" w:rsidR="00E94180" w:rsidRPr="008B2EDF" w:rsidRDefault="00E94180" w:rsidP="004F17FF">
      <w:pPr>
        <w:pStyle w:val="NormalWeb"/>
        <w:spacing w:before="0" w:beforeAutospacing="0" w:after="0" w:afterAutospacing="0"/>
        <w:jc w:val="both"/>
      </w:pPr>
      <w:r w:rsidRPr="008B2EDF">
        <w:t xml:space="preserve">  Available at: </w:t>
      </w:r>
      <w:hyperlink r:id="rId98" w:history="1">
        <w:r w:rsidRPr="008B2EDF">
          <w:rPr>
            <w:rStyle w:val="Hyperlink"/>
          </w:rPr>
          <w:t>https://doi.org/10.1016/j.ssaho.2024.101023</w:t>
        </w:r>
      </w:hyperlink>
      <w:r w:rsidRPr="008B2EDF">
        <w:t xml:space="preserve"> </w:t>
      </w:r>
    </w:p>
    <w:p w14:paraId="048FB47F" w14:textId="1F3ACAE0" w:rsidR="00E94180" w:rsidRPr="008B2EDF" w:rsidRDefault="00E94180" w:rsidP="004F17FF">
      <w:pPr>
        <w:pStyle w:val="NormalWeb"/>
        <w:spacing w:before="0" w:beforeAutospacing="0" w:after="0" w:afterAutospacing="0"/>
        <w:jc w:val="both"/>
      </w:pPr>
      <w:r w:rsidRPr="008B2EDF">
        <w:t>(Accessed: 2 September 2025)</w:t>
      </w:r>
    </w:p>
    <w:p w14:paraId="180C1B45" w14:textId="77777777" w:rsidR="00E94180" w:rsidRPr="008B2EDF" w:rsidRDefault="00E94180" w:rsidP="004F17FF">
      <w:pPr>
        <w:pStyle w:val="NormalWeb"/>
        <w:spacing w:before="0" w:beforeAutospacing="0" w:after="0" w:afterAutospacing="0"/>
        <w:jc w:val="both"/>
      </w:pPr>
      <w:r w:rsidRPr="008B2EDF">
        <w:t xml:space="preserve">HRZone (2024). Formal and informal employee recognition – which works best? [online] HRZone. </w:t>
      </w:r>
    </w:p>
    <w:p w14:paraId="237EE336" w14:textId="77777777" w:rsidR="00E94180" w:rsidRPr="008B2EDF" w:rsidRDefault="00E94180" w:rsidP="004F17FF">
      <w:pPr>
        <w:pStyle w:val="NormalWeb"/>
        <w:spacing w:before="0" w:beforeAutospacing="0" w:after="0" w:afterAutospacing="0"/>
        <w:jc w:val="both"/>
      </w:pPr>
      <w:r w:rsidRPr="008B2EDF">
        <w:t xml:space="preserve">Available at: </w:t>
      </w:r>
      <w:hyperlink r:id="rId99" w:history="1">
        <w:r w:rsidRPr="008B2EDF">
          <w:rPr>
            <w:rStyle w:val="Hyperlink"/>
          </w:rPr>
          <w:t>https://hrzone.com/blog/formal-and-informal-employee-recognition-which-works-best/</w:t>
        </w:r>
      </w:hyperlink>
    </w:p>
    <w:p w14:paraId="55DF4A7C" w14:textId="77777777" w:rsidR="00E94180" w:rsidRPr="008B2EDF" w:rsidRDefault="00E94180" w:rsidP="004F17FF">
      <w:pPr>
        <w:pStyle w:val="NormalWeb"/>
        <w:spacing w:before="0" w:beforeAutospacing="0" w:after="0" w:afterAutospacing="0"/>
        <w:jc w:val="both"/>
      </w:pPr>
      <w:r w:rsidRPr="008B2EDF">
        <w:t>(Accessed: 20 July 2025)</w:t>
      </w:r>
    </w:p>
    <w:p w14:paraId="723955E7" w14:textId="77777777" w:rsidR="00E94180" w:rsidRPr="008B2EDF" w:rsidRDefault="00E94180" w:rsidP="004F17FF">
      <w:pPr>
        <w:pStyle w:val="NormalWeb"/>
        <w:spacing w:before="0" w:beforeAutospacing="0" w:after="0" w:afterAutospacing="0"/>
        <w:jc w:val="both"/>
      </w:pPr>
      <w:r w:rsidRPr="008B2EDF">
        <w:t xml:space="preserve">Hundera, M. and Mudde, H.L.M. (2024). A comprehensive analysis of gender dynamics in organizations: Integrating social, structural and individual dimensions. European Journal of Education, 59(4). </w:t>
      </w:r>
    </w:p>
    <w:p w14:paraId="1CA17D79" w14:textId="77777777" w:rsidR="00E94180" w:rsidRPr="008B2EDF" w:rsidRDefault="00E94180" w:rsidP="004F17FF">
      <w:pPr>
        <w:pStyle w:val="NormalWeb"/>
        <w:spacing w:before="0" w:beforeAutospacing="0" w:after="0" w:afterAutospacing="0"/>
        <w:jc w:val="both"/>
      </w:pPr>
      <w:r w:rsidRPr="008B2EDF">
        <w:t xml:space="preserve"> Available at: </w:t>
      </w:r>
      <w:hyperlink r:id="rId100" w:history="1">
        <w:r w:rsidRPr="008B2EDF">
          <w:rPr>
            <w:rStyle w:val="Hyperlink"/>
          </w:rPr>
          <w:t>https://doi.org/10.1111/ejed.12722</w:t>
        </w:r>
      </w:hyperlink>
      <w:r w:rsidRPr="008B2EDF">
        <w:t xml:space="preserve"> </w:t>
      </w:r>
    </w:p>
    <w:p w14:paraId="7A575CDA" w14:textId="77777777" w:rsidR="00E94180" w:rsidRPr="008B2EDF" w:rsidRDefault="00E94180" w:rsidP="004F17FF">
      <w:pPr>
        <w:pStyle w:val="NormalWeb"/>
        <w:spacing w:before="0" w:beforeAutospacing="0" w:after="0" w:afterAutospacing="0"/>
        <w:jc w:val="both"/>
      </w:pPr>
      <w:r w:rsidRPr="008B2EDF">
        <w:t>(Accessed: 20 July 2025)</w:t>
      </w:r>
    </w:p>
    <w:p w14:paraId="0492057E" w14:textId="77777777" w:rsidR="00E94180" w:rsidRPr="008B2EDF" w:rsidRDefault="00E94180" w:rsidP="004F17FF">
      <w:pPr>
        <w:pStyle w:val="NormalWeb"/>
        <w:spacing w:before="0" w:beforeAutospacing="0" w:after="0" w:afterAutospacing="0"/>
        <w:jc w:val="both"/>
      </w:pPr>
      <w:r w:rsidRPr="008B2EDF">
        <w:t xml:space="preserve">Hundrev, I. (2021). 7 exceptional examples of equity in the workplace. [online] InStride. Available at: </w:t>
      </w:r>
      <w:hyperlink r:id="rId101" w:history="1">
        <w:r w:rsidRPr="008B2EDF">
          <w:rPr>
            <w:rStyle w:val="Hyperlink"/>
          </w:rPr>
          <w:t>https://www.instride.com/insights/examples-equity-in-the-workplace/</w:t>
        </w:r>
      </w:hyperlink>
    </w:p>
    <w:p w14:paraId="70E974A2" w14:textId="77777777" w:rsidR="00E94180" w:rsidRPr="008B2EDF" w:rsidRDefault="00E94180" w:rsidP="004F17FF">
      <w:pPr>
        <w:pStyle w:val="NormalWeb"/>
        <w:spacing w:before="0" w:beforeAutospacing="0" w:after="0" w:afterAutospacing="0"/>
        <w:jc w:val="both"/>
      </w:pPr>
      <w:r w:rsidRPr="008B2EDF">
        <w:t>(Accessed: 2 September 2025)</w:t>
      </w:r>
    </w:p>
    <w:p w14:paraId="472C5E17" w14:textId="77777777" w:rsidR="00E94180" w:rsidRPr="008B2EDF" w:rsidRDefault="00E94180" w:rsidP="004F17FF">
      <w:pPr>
        <w:pStyle w:val="NormalWeb"/>
        <w:spacing w:before="0" w:beforeAutospacing="0" w:after="0" w:afterAutospacing="0"/>
        <w:jc w:val="both"/>
      </w:pPr>
      <w:r w:rsidRPr="008B2EDF">
        <w:t xml:space="preserve">Jackson, I. (2024). New Flexible Working laws: an Employer’s Guide. [online] People Management. </w:t>
      </w:r>
    </w:p>
    <w:p w14:paraId="0C228049" w14:textId="77777777" w:rsidR="00E94180" w:rsidRPr="008B2EDF" w:rsidRDefault="00E94180" w:rsidP="004F17FF">
      <w:pPr>
        <w:pStyle w:val="NormalWeb"/>
        <w:spacing w:before="0" w:beforeAutospacing="0" w:after="0" w:afterAutospacing="0"/>
        <w:jc w:val="both"/>
      </w:pPr>
      <w:r w:rsidRPr="008B2EDF">
        <w:t xml:space="preserve">Available at: </w:t>
      </w:r>
      <w:hyperlink r:id="rId102" w:history="1">
        <w:r w:rsidRPr="008B2EDF">
          <w:rPr>
            <w:rStyle w:val="Hyperlink"/>
          </w:rPr>
          <w:t>https://www.peoplemanagement.co.uk/article/1856168/new-flexible-working-laws-employers-guide</w:t>
        </w:r>
      </w:hyperlink>
      <w:r w:rsidRPr="008B2EDF">
        <w:t xml:space="preserve"> </w:t>
      </w:r>
    </w:p>
    <w:p w14:paraId="22A02186" w14:textId="77777777" w:rsidR="00E94180" w:rsidRPr="008B2EDF" w:rsidRDefault="00E94180" w:rsidP="004F17FF">
      <w:pPr>
        <w:pStyle w:val="NormalWeb"/>
        <w:spacing w:before="0" w:beforeAutospacing="0" w:after="0" w:afterAutospacing="0"/>
        <w:jc w:val="both"/>
      </w:pPr>
      <w:r w:rsidRPr="008B2EDF">
        <w:t>(Accessed: 22 June 2025)</w:t>
      </w:r>
    </w:p>
    <w:p w14:paraId="7432E393" w14:textId="77777777" w:rsidR="00E94180" w:rsidRPr="008B2EDF" w:rsidRDefault="00E94180" w:rsidP="004F17FF">
      <w:pPr>
        <w:pStyle w:val="NormalWeb"/>
        <w:spacing w:before="0" w:beforeAutospacing="0" w:after="0" w:afterAutospacing="0"/>
        <w:jc w:val="both"/>
      </w:pPr>
      <w:r w:rsidRPr="008B2EDF">
        <w:t xml:space="preserve">Idowu, N., Mohd, N., Adewusi, E., Unachukwu, N.C.C., Osawaru, N.B., Chisom, N., Ayodeji, S., Aliu, O. and Oden, I. (2024). Organizational culture and leadership development: A human resources review of trends and best practices. Magna Scientia Advanced Research and Reviews, 10(1), pp.243–255. </w:t>
      </w:r>
    </w:p>
    <w:p w14:paraId="5F516CB2" w14:textId="77777777" w:rsidR="00E94180" w:rsidRPr="008B2EDF" w:rsidRDefault="00E94180" w:rsidP="004F17FF">
      <w:pPr>
        <w:pStyle w:val="NormalWeb"/>
        <w:spacing w:before="0" w:beforeAutospacing="0" w:after="0" w:afterAutospacing="0"/>
        <w:jc w:val="both"/>
      </w:pPr>
      <w:r w:rsidRPr="008B2EDF">
        <w:t xml:space="preserve"> Available at: </w:t>
      </w:r>
      <w:hyperlink r:id="rId103" w:history="1">
        <w:r w:rsidRPr="008B2EDF">
          <w:rPr>
            <w:rStyle w:val="Hyperlink"/>
          </w:rPr>
          <w:t>https://doi.org/10.30574/msarr.2024.10.1.0025</w:t>
        </w:r>
      </w:hyperlink>
      <w:r w:rsidRPr="008B2EDF">
        <w:t xml:space="preserve"> </w:t>
      </w:r>
    </w:p>
    <w:p w14:paraId="603187B4" w14:textId="709D7FC0" w:rsidR="00E94180" w:rsidRPr="008B2EDF" w:rsidRDefault="00E94180" w:rsidP="004F17FF">
      <w:pPr>
        <w:pStyle w:val="NormalWeb"/>
        <w:spacing w:before="0" w:beforeAutospacing="0" w:after="0" w:afterAutospacing="0"/>
        <w:jc w:val="both"/>
      </w:pPr>
      <w:r w:rsidRPr="008B2EDF">
        <w:t>(Accessed: 28 July 2025)</w:t>
      </w:r>
    </w:p>
    <w:p w14:paraId="672FEC2A" w14:textId="77777777" w:rsidR="00E94180" w:rsidRPr="008B2EDF" w:rsidRDefault="00E94180" w:rsidP="004F17FF">
      <w:pPr>
        <w:pStyle w:val="NormalWeb"/>
        <w:spacing w:before="0" w:beforeAutospacing="0" w:after="0" w:afterAutospacing="0"/>
        <w:jc w:val="both"/>
        <w:rPr>
          <w:lang w:val="en-US"/>
        </w:rPr>
      </w:pPr>
      <w:r w:rsidRPr="008B2EDF">
        <w:t xml:space="preserve">IMD (2023). </w:t>
      </w:r>
      <w:r w:rsidRPr="008B2EDF">
        <w:rPr>
          <w:i/>
          <w:iCs/>
          <w:lang w:val="en-US"/>
        </w:rPr>
        <w:t>Gender Inequality in the Workplace: How to Combat It?</w:t>
      </w:r>
      <w:r w:rsidRPr="008B2EDF">
        <w:rPr>
          <w:lang w:val="en-US"/>
        </w:rPr>
        <w:t xml:space="preserve"> [online] www.imd.org. Available at: </w:t>
      </w:r>
      <w:hyperlink r:id="rId104" w:history="1">
        <w:r w:rsidRPr="008B2EDF">
          <w:rPr>
            <w:rStyle w:val="Hyperlink"/>
            <w:lang w:val="en-US"/>
          </w:rPr>
          <w:t>https://www.imd.org/blog/leadership/gender-inequality-in-the-workplace/</w:t>
        </w:r>
      </w:hyperlink>
    </w:p>
    <w:p w14:paraId="3483F70D" w14:textId="77777777" w:rsidR="00E94180" w:rsidRPr="008B2EDF" w:rsidRDefault="00E94180" w:rsidP="004F17FF">
      <w:pPr>
        <w:pStyle w:val="NormalWeb"/>
        <w:spacing w:before="0" w:beforeAutospacing="0" w:after="0" w:afterAutospacing="0"/>
        <w:jc w:val="both"/>
        <w:rPr>
          <w:lang w:val="en-US"/>
        </w:rPr>
      </w:pPr>
      <w:r w:rsidRPr="008B2EDF">
        <w:rPr>
          <w:lang w:val="en-US"/>
        </w:rPr>
        <w:t>(Accessed: 2 September 2025)</w:t>
      </w:r>
    </w:p>
    <w:p w14:paraId="45A987DD" w14:textId="77777777" w:rsidR="00E94180" w:rsidRPr="008B2EDF" w:rsidRDefault="00E94180" w:rsidP="004F17FF">
      <w:pPr>
        <w:pStyle w:val="NormalWeb"/>
        <w:spacing w:before="0" w:beforeAutospacing="0" w:after="0" w:afterAutospacing="0"/>
        <w:jc w:val="both"/>
        <w:rPr>
          <w:lang w:val="en-US"/>
        </w:rPr>
      </w:pPr>
      <w:r w:rsidRPr="008B2EDF">
        <w:rPr>
          <w:lang w:val="en-US"/>
        </w:rPr>
        <w:t xml:space="preserve">IntelligentHQ (2022). </w:t>
      </w:r>
      <w:r w:rsidRPr="008B2EDF">
        <w:rPr>
          <w:i/>
          <w:iCs/>
          <w:lang w:val="en-US"/>
        </w:rPr>
        <w:t>The Capabilities and Limitations of ANOVA</w:t>
      </w:r>
      <w:r w:rsidRPr="008B2EDF">
        <w:rPr>
          <w:lang w:val="en-US"/>
        </w:rPr>
        <w:t xml:space="preserve">. [online] IntelligentHQ. Available at: </w:t>
      </w:r>
      <w:hyperlink r:id="rId105" w:history="1">
        <w:r w:rsidRPr="008B2EDF">
          <w:rPr>
            <w:rStyle w:val="Hyperlink"/>
            <w:lang w:val="en-US"/>
          </w:rPr>
          <w:t>https://www.intelligenthq.com/the-capabilities-and-limitations-of-anova/</w:t>
        </w:r>
      </w:hyperlink>
    </w:p>
    <w:p w14:paraId="13CDF078" w14:textId="77777777" w:rsidR="00E94180" w:rsidRPr="008B2EDF" w:rsidRDefault="00E94180" w:rsidP="004F17FF">
      <w:pPr>
        <w:pStyle w:val="NormalWeb"/>
        <w:spacing w:before="0" w:beforeAutospacing="0" w:after="0" w:afterAutospacing="0"/>
        <w:jc w:val="both"/>
        <w:rPr>
          <w:lang w:val="en-US"/>
        </w:rPr>
      </w:pPr>
      <w:r w:rsidRPr="008B2EDF">
        <w:rPr>
          <w:lang w:val="en-US"/>
        </w:rPr>
        <w:t>(Accessed: 2 September 2025)</w:t>
      </w:r>
    </w:p>
    <w:p w14:paraId="5E8EF47F" w14:textId="77777777" w:rsidR="00E94180" w:rsidRPr="008B2EDF" w:rsidRDefault="00E94180" w:rsidP="004F17FF">
      <w:pPr>
        <w:pStyle w:val="NormalWeb"/>
        <w:spacing w:before="0" w:beforeAutospacing="0" w:after="0" w:afterAutospacing="0"/>
        <w:jc w:val="both"/>
        <w:rPr>
          <w:lang w:val="en-US"/>
        </w:rPr>
      </w:pPr>
      <w:r w:rsidRPr="008B2EDF">
        <w:rPr>
          <w:lang w:val="en-US"/>
        </w:rPr>
        <w:t xml:space="preserve">Izquierdo, M. and Fabra, M.E. (2024). Gendered perceptions of career advancement barriers: Unveiling challenges to female corporate leadership development. </w:t>
      </w:r>
      <w:r w:rsidRPr="008B2EDF">
        <w:rPr>
          <w:i/>
          <w:iCs/>
          <w:lang w:val="en-US"/>
        </w:rPr>
        <w:t>Corporate Governance and Organizational Behavior Review</w:t>
      </w:r>
      <w:r w:rsidRPr="008B2EDF">
        <w:rPr>
          <w:lang w:val="en-US"/>
        </w:rPr>
        <w:t xml:space="preserve">, 8(3), pp.40–53. </w:t>
      </w:r>
    </w:p>
    <w:p w14:paraId="2D46A23A" w14:textId="77777777" w:rsidR="00E94180" w:rsidRPr="008B2EDF" w:rsidRDefault="00E94180" w:rsidP="004F17FF">
      <w:pPr>
        <w:pStyle w:val="NormalWeb"/>
        <w:spacing w:before="0" w:beforeAutospacing="0" w:after="0" w:afterAutospacing="0"/>
        <w:jc w:val="both"/>
        <w:rPr>
          <w:lang w:val="en-US"/>
        </w:rPr>
      </w:pPr>
      <w:r w:rsidRPr="008B2EDF">
        <w:rPr>
          <w:lang w:val="en-US"/>
        </w:rPr>
        <w:t xml:space="preserve"> Available at: </w:t>
      </w:r>
      <w:hyperlink r:id="rId106" w:history="1">
        <w:r w:rsidRPr="008B2EDF">
          <w:rPr>
            <w:rStyle w:val="Hyperlink"/>
            <w:lang w:val="en-US"/>
          </w:rPr>
          <w:t>https://doi.org/10.22495/cgobrv8i3p4</w:t>
        </w:r>
      </w:hyperlink>
      <w:r w:rsidRPr="008B2EDF">
        <w:rPr>
          <w:lang w:val="en-US"/>
        </w:rPr>
        <w:t xml:space="preserve"> </w:t>
      </w:r>
    </w:p>
    <w:p w14:paraId="09CA48BD" w14:textId="77777777" w:rsidR="00E94180" w:rsidRPr="008B2EDF" w:rsidRDefault="00E94180" w:rsidP="004F17FF">
      <w:pPr>
        <w:pStyle w:val="NormalWeb"/>
        <w:spacing w:before="0" w:beforeAutospacing="0" w:after="0" w:afterAutospacing="0"/>
        <w:jc w:val="both"/>
        <w:rPr>
          <w:lang w:val="en-US"/>
        </w:rPr>
      </w:pPr>
      <w:r w:rsidRPr="008B2EDF">
        <w:rPr>
          <w:lang w:val="en-US"/>
        </w:rPr>
        <w:t>(Accessed: 2 September 2025)</w:t>
      </w:r>
    </w:p>
    <w:p w14:paraId="305540F2" w14:textId="77777777" w:rsidR="00E94180" w:rsidRPr="008B2EDF" w:rsidRDefault="00E94180" w:rsidP="004F17FF">
      <w:pPr>
        <w:pStyle w:val="NormalWeb"/>
        <w:spacing w:before="0" w:beforeAutospacing="0" w:after="0" w:afterAutospacing="0"/>
        <w:jc w:val="both"/>
        <w:rPr>
          <w:lang w:val="en-US"/>
        </w:rPr>
      </w:pPr>
      <w:r w:rsidRPr="008B2EDF">
        <w:rPr>
          <w:lang w:val="en-US"/>
        </w:rPr>
        <w:t xml:space="preserve">Jackson, I. (2023). </w:t>
      </w:r>
      <w:r w:rsidRPr="008B2EDF">
        <w:rPr>
          <w:i/>
          <w:iCs/>
          <w:lang w:val="en-US"/>
        </w:rPr>
        <w:t>Half of employees disagree that part-time workers are unambitious, report shows</w:t>
      </w:r>
      <w:r w:rsidRPr="008B2EDF">
        <w:rPr>
          <w:lang w:val="en-US"/>
        </w:rPr>
        <w:t xml:space="preserve">. [online] www.peoplemanagement.co.uk. </w:t>
      </w:r>
    </w:p>
    <w:p w14:paraId="51A945ED" w14:textId="77777777" w:rsidR="00E94180" w:rsidRPr="008B2EDF" w:rsidRDefault="00E94180" w:rsidP="004F17FF">
      <w:pPr>
        <w:pStyle w:val="NormalWeb"/>
        <w:spacing w:before="0" w:beforeAutospacing="0" w:after="0" w:afterAutospacing="0"/>
        <w:jc w:val="both"/>
        <w:rPr>
          <w:lang w:val="en-US"/>
        </w:rPr>
      </w:pPr>
      <w:r w:rsidRPr="008B2EDF">
        <w:rPr>
          <w:lang w:val="en-US"/>
        </w:rPr>
        <w:t xml:space="preserve">Available at: </w:t>
      </w:r>
      <w:hyperlink r:id="rId107" w:history="1">
        <w:r w:rsidRPr="008B2EDF">
          <w:rPr>
            <w:rStyle w:val="Hyperlink"/>
            <w:lang w:val="en-US"/>
          </w:rPr>
          <w:t>https://www.peoplemanagement.co.uk/article/1850024/half-employees-disagree-part-time-workers-unambitious-report-shows</w:t>
        </w:r>
      </w:hyperlink>
    </w:p>
    <w:p w14:paraId="65EC6FE9" w14:textId="77777777" w:rsidR="00E94180" w:rsidRPr="008B2EDF" w:rsidRDefault="00E94180" w:rsidP="004F17FF">
      <w:pPr>
        <w:pStyle w:val="NormalWeb"/>
        <w:spacing w:before="0" w:beforeAutospacing="0" w:after="0" w:afterAutospacing="0"/>
        <w:jc w:val="both"/>
        <w:rPr>
          <w:lang w:val="en-US"/>
        </w:rPr>
      </w:pPr>
      <w:r w:rsidRPr="008B2EDF">
        <w:rPr>
          <w:lang w:val="en-US"/>
        </w:rPr>
        <w:t>(Accessed: 2 September 2025)</w:t>
      </w:r>
    </w:p>
    <w:p w14:paraId="3A8E1D2E" w14:textId="77777777" w:rsidR="00E94180" w:rsidRPr="008B2EDF" w:rsidRDefault="00E94180" w:rsidP="004F17FF">
      <w:pPr>
        <w:pStyle w:val="NormalWeb"/>
        <w:spacing w:before="0" w:beforeAutospacing="0" w:after="0" w:afterAutospacing="0"/>
        <w:jc w:val="both"/>
        <w:rPr>
          <w:lang w:val="en-US"/>
        </w:rPr>
      </w:pPr>
      <w:r w:rsidRPr="008B2EDF">
        <w:rPr>
          <w:lang w:val="en-US"/>
        </w:rPr>
        <w:t xml:space="preserve">Jo, H., and Shin, D. (2025). The impact of recognition, fairness, and leadership on employee outcomes: A large-scale multi-group analysis. </w:t>
      </w:r>
      <w:r w:rsidRPr="008B2EDF">
        <w:rPr>
          <w:i/>
          <w:iCs/>
          <w:lang w:val="en-US"/>
        </w:rPr>
        <w:t>PLOS ONE</w:t>
      </w:r>
      <w:r w:rsidRPr="008B2EDF">
        <w:rPr>
          <w:lang w:val="en-US"/>
        </w:rPr>
        <w:t xml:space="preserve">, [online] 20(1), p.e0312951. </w:t>
      </w:r>
    </w:p>
    <w:p w14:paraId="790237E3" w14:textId="77777777" w:rsidR="00E94180" w:rsidRPr="008B2EDF" w:rsidRDefault="00E94180" w:rsidP="004F17FF">
      <w:pPr>
        <w:pStyle w:val="NormalWeb"/>
        <w:spacing w:before="0" w:beforeAutospacing="0" w:after="0" w:afterAutospacing="0"/>
        <w:jc w:val="both"/>
        <w:rPr>
          <w:lang w:val="en-US"/>
        </w:rPr>
      </w:pPr>
      <w:r w:rsidRPr="008B2EDF">
        <w:rPr>
          <w:lang w:val="en-US"/>
        </w:rPr>
        <w:t xml:space="preserve"> Available at: </w:t>
      </w:r>
      <w:hyperlink r:id="rId108" w:history="1">
        <w:r w:rsidRPr="008B2EDF">
          <w:rPr>
            <w:rStyle w:val="Hyperlink"/>
            <w:lang w:val="en-US"/>
          </w:rPr>
          <w:t>https://doi.org/10.1371/journal.pone.0312951</w:t>
        </w:r>
      </w:hyperlink>
    </w:p>
    <w:p w14:paraId="6526F8EC" w14:textId="77777777" w:rsidR="00E94180" w:rsidRPr="008B2EDF" w:rsidRDefault="00E94180" w:rsidP="004F17FF">
      <w:pPr>
        <w:pStyle w:val="NormalWeb"/>
        <w:spacing w:before="0" w:beforeAutospacing="0" w:after="0" w:afterAutospacing="0"/>
        <w:jc w:val="both"/>
        <w:rPr>
          <w:lang w:val="en-US"/>
        </w:rPr>
      </w:pPr>
      <w:r w:rsidRPr="008B2EDF">
        <w:rPr>
          <w:lang w:val="en-US"/>
        </w:rPr>
        <w:t>(Accessed: 2 September 2025)</w:t>
      </w:r>
    </w:p>
    <w:p w14:paraId="23286082" w14:textId="77777777" w:rsidR="00E94180" w:rsidRPr="008B2EDF" w:rsidRDefault="00E94180" w:rsidP="004F17FF">
      <w:pPr>
        <w:pStyle w:val="NormalWeb"/>
        <w:spacing w:before="0" w:beforeAutospacing="0" w:after="0" w:afterAutospacing="0"/>
        <w:jc w:val="both"/>
        <w:rPr>
          <w:lang w:val="en-US"/>
        </w:rPr>
      </w:pPr>
      <w:r w:rsidRPr="008B2EDF">
        <w:rPr>
          <w:lang w:val="en-US"/>
        </w:rPr>
        <w:t xml:space="preserve">Jones, L. (2019). </w:t>
      </w:r>
      <w:r w:rsidRPr="008B2EDF">
        <w:rPr>
          <w:i/>
          <w:iCs/>
          <w:lang w:val="en-US"/>
        </w:rPr>
        <w:t>Women’s Progression in the Workplace</w:t>
      </w:r>
      <w:r w:rsidRPr="008B2EDF">
        <w:rPr>
          <w:lang w:val="en-US"/>
        </w:rPr>
        <w:t xml:space="preserve">. [online] Available at: </w:t>
      </w:r>
      <w:hyperlink r:id="rId109" w:history="1">
        <w:r w:rsidRPr="008B2EDF">
          <w:rPr>
            <w:rStyle w:val="Hyperlink"/>
            <w:lang w:val="en-US"/>
          </w:rPr>
          <w:t>https://www.kcl.ac.uk/giwl/assets/womens-progression-in-the-workplace.pdf</w:t>
        </w:r>
      </w:hyperlink>
      <w:r w:rsidRPr="008B2EDF">
        <w:rPr>
          <w:lang w:val="en-US"/>
        </w:rPr>
        <w:t>.</w:t>
      </w:r>
    </w:p>
    <w:p w14:paraId="5F0B2ED8" w14:textId="77777777" w:rsidR="00E94180" w:rsidRPr="008B2EDF" w:rsidRDefault="00E94180" w:rsidP="004F17FF">
      <w:pPr>
        <w:pStyle w:val="NormalWeb"/>
        <w:spacing w:before="0" w:beforeAutospacing="0" w:after="0" w:afterAutospacing="0"/>
        <w:jc w:val="both"/>
        <w:rPr>
          <w:lang w:val="en-US"/>
        </w:rPr>
      </w:pPr>
      <w:r w:rsidRPr="008B2EDF">
        <w:rPr>
          <w:lang w:val="en-US"/>
        </w:rPr>
        <w:lastRenderedPageBreak/>
        <w:t>(Accessed: 28 July 2025)</w:t>
      </w:r>
    </w:p>
    <w:p w14:paraId="4B110995" w14:textId="77777777" w:rsidR="00E94180" w:rsidRPr="008B2EDF" w:rsidRDefault="00E94180" w:rsidP="004F17FF">
      <w:pPr>
        <w:pStyle w:val="NormalWeb"/>
        <w:spacing w:before="0" w:beforeAutospacing="0" w:after="0" w:afterAutospacing="0"/>
        <w:jc w:val="both"/>
      </w:pPr>
      <w:r w:rsidRPr="008B2EDF">
        <w:t xml:space="preserve">Kankaras, M. (2024). </w:t>
      </w:r>
      <w:r w:rsidRPr="008B2EDF">
        <w:rPr>
          <w:i/>
          <w:iCs/>
        </w:rPr>
        <w:t>Nurturing Women’s Leadership: Building Strong Foundations</w:t>
      </w:r>
      <w:r w:rsidRPr="008B2EDF">
        <w:t xml:space="preserve">. [online] Leadership development programmes for life-long impact. </w:t>
      </w:r>
    </w:p>
    <w:p w14:paraId="67A96F4B" w14:textId="77777777" w:rsidR="00E94180" w:rsidRPr="008B2EDF" w:rsidRDefault="00E94180" w:rsidP="004F17FF">
      <w:pPr>
        <w:pStyle w:val="NormalWeb"/>
        <w:spacing w:before="0" w:beforeAutospacing="0" w:after="0" w:afterAutospacing="0"/>
        <w:jc w:val="both"/>
      </w:pPr>
      <w:r w:rsidRPr="008B2EDF">
        <w:t xml:space="preserve">Available at: </w:t>
      </w:r>
      <w:hyperlink r:id="rId110" w:history="1">
        <w:r w:rsidRPr="008B2EDF">
          <w:rPr>
            <w:rStyle w:val="Hyperlink"/>
          </w:rPr>
          <w:t>https://www.leadershiptrust.co/insights/nurturing-women-in-leadership/</w:t>
        </w:r>
      </w:hyperlink>
      <w:r w:rsidRPr="008B2EDF">
        <w:t xml:space="preserve"> </w:t>
      </w:r>
    </w:p>
    <w:p w14:paraId="6A1F8C1A" w14:textId="77777777" w:rsidR="00E94180" w:rsidRPr="008B2EDF" w:rsidRDefault="00E94180" w:rsidP="004F17FF">
      <w:pPr>
        <w:pStyle w:val="NormalWeb"/>
        <w:spacing w:before="0" w:beforeAutospacing="0" w:after="0" w:afterAutospacing="0"/>
        <w:jc w:val="both"/>
      </w:pPr>
      <w:r w:rsidRPr="008B2EDF">
        <w:t>(Accessed: 28 July 2025)</w:t>
      </w:r>
    </w:p>
    <w:p w14:paraId="574EA4F3" w14:textId="77777777" w:rsidR="00E94180" w:rsidRPr="008B2EDF" w:rsidRDefault="00E94180" w:rsidP="004F17FF">
      <w:pPr>
        <w:pStyle w:val="NormalWeb"/>
        <w:spacing w:before="0" w:beforeAutospacing="0" w:after="0" w:afterAutospacing="0"/>
        <w:jc w:val="both"/>
      </w:pPr>
      <w:r w:rsidRPr="008B2EDF">
        <w:t xml:space="preserve">Kara, H. (2018). </w:t>
      </w:r>
      <w:r w:rsidRPr="008B2EDF">
        <w:rPr>
          <w:i/>
          <w:iCs/>
        </w:rPr>
        <w:t xml:space="preserve">Research ethics in the real world : Euro-Western and Indigenous perspectives. </w:t>
      </w:r>
    </w:p>
    <w:p w14:paraId="4523BA16" w14:textId="46CF78EB" w:rsidR="00E94180" w:rsidRPr="008B2EDF" w:rsidRDefault="00E94180" w:rsidP="004F17FF">
      <w:pPr>
        <w:pStyle w:val="NormalWeb"/>
        <w:spacing w:before="0" w:beforeAutospacing="0" w:after="0" w:afterAutospacing="0"/>
        <w:jc w:val="both"/>
      </w:pPr>
      <w:r w:rsidRPr="008B2EDF">
        <w:t>Books: Bristol: Policy Press.</w:t>
      </w:r>
    </w:p>
    <w:p w14:paraId="06A6B656" w14:textId="77777777" w:rsidR="00E94180" w:rsidRPr="008B2EDF" w:rsidRDefault="00E94180" w:rsidP="004F17FF">
      <w:pPr>
        <w:pStyle w:val="NormalWeb"/>
        <w:spacing w:before="0" w:beforeAutospacing="0" w:after="0" w:afterAutospacing="0"/>
        <w:jc w:val="both"/>
      </w:pPr>
      <w:r w:rsidRPr="008B2EDF">
        <w:t xml:space="preserve">Kelliher, C., Gascoigne, D.C. and McCartney, C. (2023a). CIPD | Why we need to make part-time work. [online] CIPD. </w:t>
      </w:r>
    </w:p>
    <w:p w14:paraId="44ADBAA3" w14:textId="77777777" w:rsidR="00E94180" w:rsidRPr="008B2EDF" w:rsidRDefault="00E94180" w:rsidP="004F17FF">
      <w:pPr>
        <w:pStyle w:val="NormalWeb"/>
        <w:spacing w:before="0" w:beforeAutospacing="0" w:after="0" w:afterAutospacing="0"/>
        <w:jc w:val="both"/>
      </w:pPr>
      <w:r w:rsidRPr="008B2EDF">
        <w:t xml:space="preserve">Available at: </w:t>
      </w:r>
      <w:hyperlink r:id="rId111" w:history="1">
        <w:r w:rsidRPr="008B2EDF">
          <w:rPr>
            <w:rStyle w:val="Hyperlink"/>
          </w:rPr>
          <w:t>https://www.cipd.org/uk/views-and-insights/thought-leadership/cipd-voice/part-time-work/</w:t>
        </w:r>
      </w:hyperlink>
      <w:r w:rsidRPr="008B2EDF">
        <w:t xml:space="preserve">  </w:t>
      </w:r>
    </w:p>
    <w:p w14:paraId="57DDDE4C" w14:textId="77777777" w:rsidR="00E94180" w:rsidRPr="008B2EDF" w:rsidRDefault="00E94180" w:rsidP="004F17FF">
      <w:pPr>
        <w:pStyle w:val="NormalWeb"/>
        <w:spacing w:before="0" w:beforeAutospacing="0" w:after="0" w:afterAutospacing="0"/>
        <w:jc w:val="both"/>
      </w:pPr>
      <w:r w:rsidRPr="008B2EDF">
        <w:t>(Accessed: 20 June 2025)</w:t>
      </w:r>
    </w:p>
    <w:p w14:paraId="75A5F6B4" w14:textId="77777777" w:rsidR="00E94180" w:rsidRPr="008B2EDF" w:rsidRDefault="00E94180" w:rsidP="004F17FF">
      <w:pPr>
        <w:pStyle w:val="NormalWeb"/>
        <w:spacing w:before="0" w:beforeAutospacing="0" w:after="0" w:afterAutospacing="0"/>
        <w:jc w:val="both"/>
      </w:pPr>
      <w:r w:rsidRPr="008B2EDF">
        <w:t xml:space="preserve">Kelliher, C., Gascoigne, D.C. and McCartney, C. (2023b). </w:t>
      </w:r>
      <w:r w:rsidRPr="008B2EDF">
        <w:rPr>
          <w:i/>
          <w:iCs/>
        </w:rPr>
        <w:t>CIPD | Why we need to make part-time work</w:t>
      </w:r>
      <w:r w:rsidRPr="008B2EDF">
        <w:t xml:space="preserve">. [online] CIPD. </w:t>
      </w:r>
    </w:p>
    <w:p w14:paraId="7AF64336" w14:textId="77777777" w:rsidR="00E94180" w:rsidRPr="008B2EDF" w:rsidRDefault="00E94180" w:rsidP="004F17FF">
      <w:pPr>
        <w:pStyle w:val="NormalWeb"/>
        <w:spacing w:before="0" w:beforeAutospacing="0" w:after="0" w:afterAutospacing="0"/>
        <w:jc w:val="both"/>
      </w:pPr>
      <w:r w:rsidRPr="008B2EDF">
        <w:t xml:space="preserve">Available at: </w:t>
      </w:r>
      <w:hyperlink r:id="rId112" w:history="1">
        <w:r w:rsidRPr="008B2EDF">
          <w:rPr>
            <w:rStyle w:val="Hyperlink"/>
          </w:rPr>
          <w:t>https://www.cipd.org/uk/views-and-insights/thought-leadership/cipd-voice/part-time-work/</w:t>
        </w:r>
      </w:hyperlink>
      <w:r w:rsidRPr="008B2EDF">
        <w:t xml:space="preserve"> </w:t>
      </w:r>
    </w:p>
    <w:p w14:paraId="547D5724" w14:textId="77777777" w:rsidR="00E94180" w:rsidRPr="008B2EDF" w:rsidRDefault="00E94180" w:rsidP="004F17FF">
      <w:pPr>
        <w:pStyle w:val="NormalWeb"/>
        <w:spacing w:before="0" w:beforeAutospacing="0" w:after="0" w:afterAutospacing="0"/>
        <w:jc w:val="both"/>
      </w:pPr>
      <w:r w:rsidRPr="008B2EDF">
        <w:t>(Accessed: 27 June  2025).</w:t>
      </w:r>
    </w:p>
    <w:p w14:paraId="6784E8E7" w14:textId="77777777" w:rsidR="00E94180" w:rsidRPr="008B2EDF" w:rsidRDefault="00E94180" w:rsidP="004F17FF">
      <w:pPr>
        <w:pStyle w:val="NormalWeb"/>
        <w:spacing w:before="0" w:beforeAutospacing="0" w:after="0" w:afterAutospacing="0"/>
        <w:jc w:val="both"/>
        <w:rPr>
          <w:lang w:val="en-US"/>
        </w:rPr>
      </w:pPr>
      <w:r w:rsidRPr="008B2EDF">
        <w:rPr>
          <w:lang w:val="en-US"/>
        </w:rPr>
        <w:t xml:space="preserve">Kelliher, C., Gascoigne, C., and McCartney, C. (2023). </w:t>
      </w:r>
      <w:r w:rsidRPr="008B2EDF">
        <w:rPr>
          <w:i/>
          <w:iCs/>
          <w:lang w:val="en-US"/>
        </w:rPr>
        <w:t>CIPD | Why we need to do part-time work</w:t>
      </w:r>
      <w:r w:rsidRPr="008B2EDF">
        <w:rPr>
          <w:lang w:val="en-US"/>
        </w:rPr>
        <w:t xml:space="preserve">. [online] CIPD. Available at: </w:t>
      </w:r>
      <w:hyperlink r:id="rId113" w:history="1">
        <w:r w:rsidRPr="008B2EDF">
          <w:rPr>
            <w:rStyle w:val="Hyperlink"/>
            <w:lang w:val="en-US"/>
          </w:rPr>
          <w:t>https://www.cipd.org/uk/views-and-insights/thought-leadership/cipd-voice/part-time-work/</w:t>
        </w:r>
      </w:hyperlink>
      <w:r w:rsidRPr="008B2EDF">
        <w:rPr>
          <w:lang w:val="en-US"/>
        </w:rPr>
        <w:t>.</w:t>
      </w:r>
    </w:p>
    <w:p w14:paraId="065DDF86" w14:textId="565DC161" w:rsidR="00E94180" w:rsidRPr="008B2EDF" w:rsidRDefault="00E94180" w:rsidP="004F17FF">
      <w:pPr>
        <w:pStyle w:val="NormalWeb"/>
        <w:spacing w:before="0" w:beforeAutospacing="0" w:after="0" w:afterAutospacing="0"/>
        <w:jc w:val="both"/>
        <w:rPr>
          <w:lang w:val="en-US"/>
        </w:rPr>
      </w:pPr>
      <w:r w:rsidRPr="008B2EDF">
        <w:rPr>
          <w:lang w:val="en-US"/>
        </w:rPr>
        <w:t>(Accessed: 27 June 2025)</w:t>
      </w:r>
    </w:p>
    <w:p w14:paraId="5A54BDD1" w14:textId="6539CDC5" w:rsidR="00E94180" w:rsidRPr="008B2EDF" w:rsidRDefault="00E94180" w:rsidP="004F17FF">
      <w:pPr>
        <w:pStyle w:val="NormalWeb"/>
        <w:spacing w:before="0" w:beforeAutospacing="0" w:after="0" w:afterAutospacing="0"/>
        <w:jc w:val="both"/>
        <w:rPr>
          <w:lang w:val="en-US"/>
        </w:rPr>
      </w:pPr>
      <w:r w:rsidRPr="008B2EDF">
        <w:rPr>
          <w:lang w:val="en-US"/>
        </w:rPr>
        <w:t xml:space="preserve">Khaw, K.W., Alnoor, A., Abrrow, H.A. -, Tiberius, V., Ganesan, Y. and Atshan, N.A. (2022). Reactions Towards Organizational Change: </w:t>
      </w:r>
      <w:r w:rsidR="00570CA8" w:rsidRPr="008B2EDF">
        <w:rPr>
          <w:lang w:val="en-US"/>
        </w:rPr>
        <w:t>A</w:t>
      </w:r>
      <w:r w:rsidRPr="008B2EDF">
        <w:rPr>
          <w:lang w:val="en-US"/>
        </w:rPr>
        <w:t xml:space="preserve"> Systematic Literature Review. </w:t>
      </w:r>
      <w:r w:rsidRPr="008B2EDF">
        <w:rPr>
          <w:i/>
          <w:iCs/>
          <w:lang w:val="en-US"/>
        </w:rPr>
        <w:t>Current Psychology</w:t>
      </w:r>
      <w:r w:rsidRPr="008B2EDF">
        <w:rPr>
          <w:lang w:val="en-US"/>
        </w:rPr>
        <w:t>, [online] 42(42).</w:t>
      </w:r>
    </w:p>
    <w:p w14:paraId="0002E63A" w14:textId="77777777" w:rsidR="00E94180" w:rsidRPr="008B2EDF" w:rsidRDefault="00E94180" w:rsidP="004F17FF">
      <w:pPr>
        <w:pStyle w:val="NormalWeb"/>
        <w:spacing w:before="0" w:beforeAutospacing="0" w:after="0" w:afterAutospacing="0"/>
        <w:jc w:val="both"/>
        <w:rPr>
          <w:lang w:val="en-US"/>
        </w:rPr>
      </w:pPr>
      <w:r w:rsidRPr="008B2EDF">
        <w:rPr>
          <w:lang w:val="en-US"/>
        </w:rPr>
        <w:t xml:space="preserve">  Available at: </w:t>
      </w:r>
      <w:hyperlink r:id="rId114" w:history="1">
        <w:r w:rsidRPr="008B2EDF">
          <w:rPr>
            <w:rStyle w:val="Hyperlink"/>
            <w:lang w:val="en-US"/>
          </w:rPr>
          <w:t>https://doi.org/10.1007/s12144-022-03070-6</w:t>
        </w:r>
      </w:hyperlink>
      <w:r w:rsidRPr="008B2EDF">
        <w:rPr>
          <w:lang w:val="en-US"/>
        </w:rPr>
        <w:t xml:space="preserve"> </w:t>
      </w:r>
    </w:p>
    <w:p w14:paraId="5F74AF4A" w14:textId="2F159391" w:rsidR="00E94180" w:rsidRPr="008B2EDF" w:rsidRDefault="00E94180" w:rsidP="004F17FF">
      <w:pPr>
        <w:pStyle w:val="NormalWeb"/>
        <w:spacing w:before="0" w:beforeAutospacing="0" w:after="0" w:afterAutospacing="0"/>
        <w:jc w:val="both"/>
        <w:rPr>
          <w:lang w:val="en-US"/>
        </w:rPr>
      </w:pPr>
      <w:r w:rsidRPr="008B2EDF">
        <w:rPr>
          <w:lang w:val="en-US"/>
        </w:rPr>
        <w:t>(Accessed: 28 July 2025)</w:t>
      </w:r>
    </w:p>
    <w:p w14:paraId="1A759082" w14:textId="77777777" w:rsidR="00E94180" w:rsidRPr="008B2EDF" w:rsidRDefault="00E94180" w:rsidP="004F17FF">
      <w:pPr>
        <w:pStyle w:val="NormalWeb"/>
        <w:spacing w:before="0" w:beforeAutospacing="0" w:after="0" w:afterAutospacing="0"/>
        <w:jc w:val="both"/>
        <w:rPr>
          <w:lang w:val="en-US"/>
        </w:rPr>
      </w:pPr>
      <w:r w:rsidRPr="008B2EDF">
        <w:rPr>
          <w:lang w:val="en-US"/>
        </w:rPr>
        <w:t xml:space="preserve">Kindström, D., Carlborg, P. and Nord, T. (2022). Challenges for Growing SMEs: a Managerial Perspective. </w:t>
      </w:r>
      <w:r w:rsidRPr="008B2EDF">
        <w:rPr>
          <w:i/>
          <w:iCs/>
          <w:lang w:val="en-US"/>
        </w:rPr>
        <w:t>Journal of Small Business Management</w:t>
      </w:r>
      <w:r w:rsidRPr="008B2EDF">
        <w:rPr>
          <w:lang w:val="en-US"/>
        </w:rPr>
        <w:t>, 62(2), pp.700–723.</w:t>
      </w:r>
    </w:p>
    <w:p w14:paraId="2B3597CE" w14:textId="77777777" w:rsidR="00E94180" w:rsidRPr="008B2EDF" w:rsidRDefault="00E94180" w:rsidP="004F17FF">
      <w:pPr>
        <w:pStyle w:val="NormalWeb"/>
        <w:spacing w:before="0" w:beforeAutospacing="0" w:after="0" w:afterAutospacing="0"/>
        <w:jc w:val="both"/>
        <w:rPr>
          <w:lang w:val="en-US"/>
        </w:rPr>
      </w:pPr>
      <w:r w:rsidRPr="008B2EDF">
        <w:rPr>
          <w:lang w:val="en-US"/>
        </w:rPr>
        <w:t xml:space="preserve">  Available at: </w:t>
      </w:r>
      <w:hyperlink r:id="rId115" w:history="1">
        <w:r w:rsidRPr="008B2EDF">
          <w:rPr>
            <w:rStyle w:val="Hyperlink"/>
            <w:lang w:val="en-US"/>
          </w:rPr>
          <w:t>https://doi.org/10.1080/00472778.2022.2082456</w:t>
        </w:r>
      </w:hyperlink>
    </w:p>
    <w:p w14:paraId="1BD07D94" w14:textId="47F5022E" w:rsidR="00E94180" w:rsidRPr="008B2EDF" w:rsidRDefault="00E94180" w:rsidP="004F17FF">
      <w:pPr>
        <w:pStyle w:val="NormalWeb"/>
        <w:spacing w:before="0" w:beforeAutospacing="0" w:after="0" w:afterAutospacing="0"/>
        <w:jc w:val="both"/>
        <w:rPr>
          <w:lang w:val="en-US"/>
        </w:rPr>
      </w:pPr>
      <w:r w:rsidRPr="008B2EDF">
        <w:rPr>
          <w:lang w:val="en-US"/>
        </w:rPr>
        <w:t>(Accessed: 28 July 2025)</w:t>
      </w:r>
    </w:p>
    <w:p w14:paraId="286E490B" w14:textId="77777777" w:rsidR="00E94180" w:rsidRPr="008B2EDF" w:rsidRDefault="00E94180" w:rsidP="004F17FF">
      <w:pPr>
        <w:pStyle w:val="NormalWeb"/>
        <w:spacing w:before="0" w:beforeAutospacing="0" w:after="0" w:afterAutospacing="0"/>
        <w:jc w:val="both"/>
        <w:rPr>
          <w:lang w:val="en-US"/>
        </w:rPr>
      </w:pPr>
      <w:r w:rsidRPr="008B2EDF">
        <w:rPr>
          <w:lang w:val="en-US"/>
        </w:rPr>
        <w:t xml:space="preserve">Kossek, E.E., Lautsch, B.A., Perrigino, M.B., Greenhaus, J.H. and Merriweather, T.J. (2023). Work-life Flexibility Policies: Moving from Traditional Views Toward Work-life Intersectionality Considerations *. </w:t>
      </w:r>
      <w:r w:rsidRPr="008B2EDF">
        <w:rPr>
          <w:i/>
          <w:iCs/>
          <w:lang w:val="en-US"/>
        </w:rPr>
        <w:t>Research in Personnel and Human Resources Management</w:t>
      </w:r>
      <w:r w:rsidRPr="008B2EDF">
        <w:rPr>
          <w:lang w:val="en-US"/>
        </w:rPr>
        <w:t>, 41(0742-7301), pp.199–243.</w:t>
      </w:r>
    </w:p>
    <w:p w14:paraId="29F50044" w14:textId="77777777" w:rsidR="00E94180" w:rsidRPr="008B2EDF" w:rsidRDefault="00E94180" w:rsidP="004F17FF">
      <w:pPr>
        <w:pStyle w:val="NormalWeb"/>
        <w:spacing w:before="0" w:beforeAutospacing="0" w:after="0" w:afterAutospacing="0"/>
        <w:jc w:val="both"/>
        <w:rPr>
          <w:lang w:val="en-US"/>
        </w:rPr>
      </w:pPr>
      <w:r w:rsidRPr="008B2EDF">
        <w:rPr>
          <w:lang w:val="en-US"/>
        </w:rPr>
        <w:t xml:space="preserve">  Available at: </w:t>
      </w:r>
      <w:hyperlink r:id="rId116" w:history="1">
        <w:r w:rsidRPr="008B2EDF">
          <w:rPr>
            <w:rStyle w:val="Hyperlink"/>
            <w:lang w:val="en-US"/>
          </w:rPr>
          <w:t>https://doi.org/10.1108/s0742-730120230000041008</w:t>
        </w:r>
      </w:hyperlink>
    </w:p>
    <w:p w14:paraId="2EAA1B91" w14:textId="3A1852D2" w:rsidR="00E94180" w:rsidRPr="008B2EDF" w:rsidRDefault="00E94180" w:rsidP="004F17FF">
      <w:pPr>
        <w:pStyle w:val="NormalWeb"/>
        <w:spacing w:before="0" w:beforeAutospacing="0" w:after="0" w:afterAutospacing="0"/>
        <w:jc w:val="both"/>
        <w:rPr>
          <w:lang w:val="en-US"/>
        </w:rPr>
      </w:pPr>
      <w:r w:rsidRPr="008B2EDF">
        <w:rPr>
          <w:lang w:val="en-US"/>
        </w:rPr>
        <w:t>(Accessed: 28 July 2025)</w:t>
      </w:r>
    </w:p>
    <w:p w14:paraId="4EF06769" w14:textId="77777777" w:rsidR="00E94180" w:rsidRPr="008B2EDF" w:rsidRDefault="00E94180" w:rsidP="004F17FF">
      <w:pPr>
        <w:pStyle w:val="NormalWeb"/>
        <w:spacing w:before="0" w:beforeAutospacing="0" w:after="0" w:afterAutospacing="0"/>
        <w:jc w:val="both"/>
        <w:rPr>
          <w:lang w:val="en-US"/>
        </w:rPr>
      </w:pPr>
      <w:r w:rsidRPr="008B2EDF">
        <w:rPr>
          <w:lang w:val="en-US"/>
        </w:rPr>
        <w:t xml:space="preserve">Kowalewska, H. (2023). Gendered employment patterns: Women’s labour market outcomes across 24 countries. </w:t>
      </w:r>
      <w:r w:rsidRPr="008B2EDF">
        <w:rPr>
          <w:i/>
          <w:iCs/>
          <w:lang w:val="en-US"/>
        </w:rPr>
        <w:t>Journal of European Social Policy</w:t>
      </w:r>
      <w:r w:rsidRPr="008B2EDF">
        <w:rPr>
          <w:lang w:val="en-US"/>
        </w:rPr>
        <w:t>, 33(2), pp.151–168.</w:t>
      </w:r>
    </w:p>
    <w:p w14:paraId="77BC09E6" w14:textId="77777777" w:rsidR="00E94180" w:rsidRPr="008B2EDF" w:rsidRDefault="00E94180" w:rsidP="004F17FF">
      <w:pPr>
        <w:pStyle w:val="NormalWeb"/>
        <w:spacing w:before="0" w:beforeAutospacing="0" w:after="0" w:afterAutospacing="0"/>
        <w:jc w:val="both"/>
        <w:rPr>
          <w:lang w:val="en-US"/>
        </w:rPr>
      </w:pPr>
      <w:r w:rsidRPr="008B2EDF">
        <w:rPr>
          <w:lang w:val="en-US"/>
        </w:rPr>
        <w:t xml:space="preserve"> Available at: </w:t>
      </w:r>
      <w:hyperlink r:id="rId117" w:history="1">
        <w:r w:rsidRPr="008B2EDF">
          <w:rPr>
            <w:rStyle w:val="Hyperlink"/>
            <w:lang w:val="en-US"/>
          </w:rPr>
          <w:t>https://doi.org/10.1177/09589287221148336</w:t>
        </w:r>
      </w:hyperlink>
    </w:p>
    <w:p w14:paraId="0FEA97CD" w14:textId="429AC75D" w:rsidR="00E94180" w:rsidRPr="008B2EDF" w:rsidRDefault="00E94180" w:rsidP="004F17FF">
      <w:pPr>
        <w:pStyle w:val="NormalWeb"/>
        <w:spacing w:before="0" w:beforeAutospacing="0" w:after="0" w:afterAutospacing="0"/>
        <w:jc w:val="both"/>
        <w:rPr>
          <w:lang w:val="en-US"/>
        </w:rPr>
      </w:pPr>
      <w:r w:rsidRPr="008B2EDF">
        <w:rPr>
          <w:lang w:val="en-US"/>
        </w:rPr>
        <w:t>(Accessed: 28 July 2025)</w:t>
      </w:r>
    </w:p>
    <w:p w14:paraId="35CE4886" w14:textId="77777777" w:rsidR="00E94180" w:rsidRPr="008B2EDF" w:rsidRDefault="00E94180" w:rsidP="004F17FF">
      <w:pPr>
        <w:pStyle w:val="NormalWeb"/>
        <w:spacing w:before="0" w:beforeAutospacing="0" w:after="0" w:afterAutospacing="0"/>
        <w:jc w:val="both"/>
        <w:rPr>
          <w:lang w:val="en-US"/>
        </w:rPr>
      </w:pPr>
      <w:r w:rsidRPr="008B2EDF">
        <w:t xml:space="preserve">Kurtaliqi, F., Miltgen, C.L., Viglia, G. and Pantin-Sohier, G. (2024). </w:t>
      </w:r>
      <w:r w:rsidRPr="008B2EDF">
        <w:rPr>
          <w:lang w:val="en-US"/>
        </w:rPr>
        <w:t xml:space="preserve">Using advanced mixed methods approaches: Combining PLS-SEM and qualitative studies. </w:t>
      </w:r>
      <w:r w:rsidRPr="008B2EDF">
        <w:rPr>
          <w:i/>
          <w:iCs/>
          <w:lang w:val="en-US"/>
        </w:rPr>
        <w:t>Journal of Business Research</w:t>
      </w:r>
      <w:r w:rsidRPr="008B2EDF">
        <w:rPr>
          <w:lang w:val="en-US"/>
        </w:rPr>
        <w:t xml:space="preserve">, 172(114464), pp.114464–114464. </w:t>
      </w:r>
    </w:p>
    <w:p w14:paraId="45C1073C" w14:textId="77777777" w:rsidR="00E94180" w:rsidRPr="008B2EDF" w:rsidRDefault="00E94180" w:rsidP="004F17FF">
      <w:pPr>
        <w:pStyle w:val="NormalWeb"/>
        <w:spacing w:before="0" w:beforeAutospacing="0" w:after="0" w:afterAutospacing="0"/>
        <w:jc w:val="both"/>
        <w:rPr>
          <w:lang w:val="en-US"/>
        </w:rPr>
      </w:pPr>
      <w:r w:rsidRPr="008B2EDF">
        <w:rPr>
          <w:lang w:val="en-US"/>
        </w:rPr>
        <w:t xml:space="preserve"> Available at </w:t>
      </w:r>
      <w:hyperlink r:id="rId118" w:history="1">
        <w:r w:rsidRPr="008B2EDF">
          <w:rPr>
            <w:rStyle w:val="Hyperlink"/>
            <w:lang w:val="en-US"/>
          </w:rPr>
          <w:t>https://doi.org/10.1016/j.jbusres.2023.114464</w:t>
        </w:r>
      </w:hyperlink>
      <w:r w:rsidRPr="008B2EDF">
        <w:rPr>
          <w:lang w:val="en-US"/>
        </w:rPr>
        <w:t xml:space="preserve"> </w:t>
      </w:r>
    </w:p>
    <w:p w14:paraId="2E2E0A9B" w14:textId="498C7C9A" w:rsidR="00E94180" w:rsidRPr="008B2EDF" w:rsidRDefault="00E94180" w:rsidP="004F17FF">
      <w:pPr>
        <w:pStyle w:val="NormalWeb"/>
        <w:spacing w:before="0" w:beforeAutospacing="0" w:after="0" w:afterAutospacing="0"/>
        <w:jc w:val="both"/>
        <w:rPr>
          <w:lang w:val="en-US"/>
        </w:rPr>
      </w:pPr>
      <w:r w:rsidRPr="008B2EDF">
        <w:rPr>
          <w:lang w:val="en-US"/>
        </w:rPr>
        <w:t>(Accessed: 20 August 2025)</w:t>
      </w:r>
    </w:p>
    <w:p w14:paraId="3759AAD6" w14:textId="77777777" w:rsidR="00E94180" w:rsidRPr="008B2EDF" w:rsidRDefault="00E94180" w:rsidP="004F17FF">
      <w:pPr>
        <w:pStyle w:val="NormalWeb"/>
        <w:spacing w:before="0" w:beforeAutospacing="0" w:after="0" w:afterAutospacing="0"/>
        <w:jc w:val="both"/>
        <w:rPr>
          <w:lang w:val="en-US"/>
        </w:rPr>
      </w:pPr>
      <w:r w:rsidRPr="008B2EDF">
        <w:rPr>
          <w:lang w:val="en-US"/>
        </w:rPr>
        <w:t xml:space="preserve">Lamont, M. (2025). </w:t>
      </w:r>
      <w:r w:rsidRPr="008B2EDF">
        <w:rPr>
          <w:i/>
          <w:iCs/>
          <w:lang w:val="en-US"/>
        </w:rPr>
        <w:t>The Chronicle of Evidence-Based Mentoring</w:t>
      </w:r>
      <w:r w:rsidRPr="008B2EDF">
        <w:rPr>
          <w:lang w:val="en-US"/>
        </w:rPr>
        <w:t xml:space="preserve">. [online] Evidencebasedmentoring.org. </w:t>
      </w:r>
    </w:p>
    <w:p w14:paraId="05FB9502" w14:textId="77777777" w:rsidR="00E94180" w:rsidRPr="008B2EDF" w:rsidRDefault="00E94180" w:rsidP="004F17FF">
      <w:pPr>
        <w:pStyle w:val="NormalWeb"/>
        <w:spacing w:before="0" w:beforeAutospacing="0" w:after="0" w:afterAutospacing="0"/>
        <w:jc w:val="both"/>
        <w:rPr>
          <w:lang w:val="en-US"/>
        </w:rPr>
      </w:pPr>
      <w:r w:rsidRPr="008B2EDF">
        <w:rPr>
          <w:lang w:val="en-US"/>
        </w:rPr>
        <w:t xml:space="preserve">Available at: </w:t>
      </w:r>
      <w:hyperlink r:id="rId119" w:history="1">
        <w:r w:rsidRPr="008B2EDF">
          <w:rPr>
            <w:rStyle w:val="Hyperlink"/>
            <w:lang w:val="en-US"/>
          </w:rPr>
          <w:t>https://www.evidencebasedmentoring.org/cracks-in-the-glass-ceiling-the-effects-of-gender-on-career-support-and-relationship-quality-in-mentoring/</w:t>
        </w:r>
      </w:hyperlink>
    </w:p>
    <w:p w14:paraId="788A2BB9" w14:textId="02DB29BA" w:rsidR="00E94180" w:rsidRPr="008B2EDF" w:rsidRDefault="00E94180" w:rsidP="004F17FF">
      <w:pPr>
        <w:pStyle w:val="NormalWeb"/>
        <w:spacing w:before="0" w:beforeAutospacing="0" w:after="0" w:afterAutospacing="0"/>
        <w:jc w:val="both"/>
        <w:rPr>
          <w:lang w:val="en-US"/>
        </w:rPr>
      </w:pPr>
      <w:r w:rsidRPr="008B2EDF">
        <w:rPr>
          <w:lang w:val="en-US"/>
        </w:rPr>
        <w:t>(Accessed: 20 August 2025)</w:t>
      </w:r>
    </w:p>
    <w:p w14:paraId="67BC4500" w14:textId="77777777" w:rsidR="00E94180" w:rsidRPr="008B2EDF" w:rsidRDefault="00E94180" w:rsidP="004F17FF">
      <w:pPr>
        <w:pStyle w:val="NormalWeb"/>
        <w:spacing w:before="0" w:beforeAutospacing="0" w:after="0" w:afterAutospacing="0"/>
        <w:jc w:val="both"/>
        <w:rPr>
          <w:lang w:val="en-US"/>
        </w:rPr>
      </w:pPr>
      <w:r w:rsidRPr="008B2EDF">
        <w:rPr>
          <w:lang w:val="en-US"/>
        </w:rPr>
        <w:lastRenderedPageBreak/>
        <w:t xml:space="preserve">Larralde, A. (2022). </w:t>
      </w:r>
      <w:r w:rsidRPr="008B2EDF">
        <w:rPr>
          <w:i/>
          <w:iCs/>
          <w:lang w:val="en-US"/>
        </w:rPr>
        <w:t>Why Workplace Transparency, Alignment, and Trust Matter</w:t>
      </w:r>
      <w:r w:rsidRPr="008B2EDF">
        <w:rPr>
          <w:lang w:val="en-US"/>
        </w:rPr>
        <w:t xml:space="preserve">. [online] Betterworks. </w:t>
      </w:r>
    </w:p>
    <w:p w14:paraId="3CB00750" w14:textId="77777777" w:rsidR="00E94180" w:rsidRPr="008B2EDF" w:rsidRDefault="00E94180" w:rsidP="004F17FF">
      <w:pPr>
        <w:pStyle w:val="NormalWeb"/>
        <w:spacing w:before="0" w:beforeAutospacing="0" w:after="0" w:afterAutospacing="0"/>
        <w:jc w:val="both"/>
        <w:rPr>
          <w:lang w:val="en-US"/>
        </w:rPr>
      </w:pPr>
      <w:r w:rsidRPr="008B2EDF">
        <w:rPr>
          <w:lang w:val="en-US"/>
        </w:rPr>
        <w:t xml:space="preserve">Available at: </w:t>
      </w:r>
      <w:hyperlink r:id="rId120" w:history="1">
        <w:r w:rsidRPr="008B2EDF">
          <w:rPr>
            <w:rStyle w:val="Hyperlink"/>
            <w:lang w:val="en-US"/>
          </w:rPr>
          <w:t>https://www.betterworks.com/magazine/workplace-transparency-alignment-trust/</w:t>
        </w:r>
      </w:hyperlink>
    </w:p>
    <w:p w14:paraId="7642D922" w14:textId="0059CAC9" w:rsidR="00E94180" w:rsidRPr="008B2EDF" w:rsidRDefault="00E94180" w:rsidP="004F17FF">
      <w:pPr>
        <w:pStyle w:val="NormalWeb"/>
        <w:spacing w:before="0" w:beforeAutospacing="0" w:after="0" w:afterAutospacing="0"/>
        <w:jc w:val="both"/>
        <w:rPr>
          <w:lang w:val="en-US"/>
        </w:rPr>
      </w:pPr>
      <w:r w:rsidRPr="008B2EDF">
        <w:rPr>
          <w:lang w:val="en-US"/>
        </w:rPr>
        <w:t>(Accessed: 20 August 2025)</w:t>
      </w:r>
    </w:p>
    <w:p w14:paraId="7D90D6D9" w14:textId="77777777" w:rsidR="00E94180" w:rsidRPr="008B2EDF" w:rsidRDefault="00E94180" w:rsidP="004F17FF">
      <w:pPr>
        <w:pStyle w:val="NormalWeb"/>
        <w:spacing w:before="0" w:beforeAutospacing="0" w:after="0" w:afterAutospacing="0"/>
        <w:jc w:val="both"/>
        <w:rPr>
          <w:lang w:val="en-US"/>
        </w:rPr>
      </w:pPr>
      <w:r w:rsidRPr="008B2EDF">
        <w:rPr>
          <w:lang w:val="en-US"/>
        </w:rPr>
        <w:t xml:space="preserve">Lavee, E. and Kaplan, A. (2022). Invisible work at work and the reproduction of gendered social service organizations. </w:t>
      </w:r>
      <w:r w:rsidRPr="008B2EDF">
        <w:rPr>
          <w:i/>
          <w:iCs/>
          <w:lang w:val="en-US"/>
        </w:rPr>
        <w:t>Gender, Work &amp; Organization</w:t>
      </w:r>
      <w:r w:rsidRPr="008B2EDF">
        <w:rPr>
          <w:lang w:val="en-US"/>
        </w:rPr>
        <w:t>, 29(1463-1480).</w:t>
      </w:r>
    </w:p>
    <w:p w14:paraId="388F3972" w14:textId="77777777" w:rsidR="00E94180" w:rsidRPr="008B2EDF" w:rsidRDefault="00E94180" w:rsidP="004F17FF">
      <w:pPr>
        <w:pStyle w:val="NormalWeb"/>
        <w:spacing w:before="0" w:beforeAutospacing="0" w:after="0" w:afterAutospacing="0"/>
        <w:jc w:val="both"/>
        <w:rPr>
          <w:lang w:val="en-US"/>
        </w:rPr>
      </w:pPr>
      <w:r w:rsidRPr="008B2EDF">
        <w:rPr>
          <w:lang w:val="en-US"/>
        </w:rPr>
        <w:t xml:space="preserve">  Available at </w:t>
      </w:r>
      <w:hyperlink r:id="rId121" w:history="1">
        <w:r w:rsidRPr="008B2EDF">
          <w:rPr>
            <w:rStyle w:val="Hyperlink"/>
            <w:lang w:val="en-US"/>
          </w:rPr>
          <w:t>https://doi.org/10.1111/gwao.12839</w:t>
        </w:r>
      </w:hyperlink>
    </w:p>
    <w:p w14:paraId="51E1E2B6" w14:textId="557ECFB0" w:rsidR="00E94180" w:rsidRPr="008B2EDF" w:rsidRDefault="00E94180" w:rsidP="004F17FF">
      <w:pPr>
        <w:pStyle w:val="NormalWeb"/>
        <w:spacing w:before="0" w:beforeAutospacing="0" w:after="0" w:afterAutospacing="0"/>
        <w:jc w:val="both"/>
        <w:rPr>
          <w:lang w:val="en-US"/>
        </w:rPr>
      </w:pPr>
      <w:r w:rsidRPr="008B2EDF">
        <w:rPr>
          <w:lang w:val="en-US"/>
        </w:rPr>
        <w:t>(Accessed: 20 August 2025)</w:t>
      </w:r>
    </w:p>
    <w:p w14:paraId="61C34904" w14:textId="77777777" w:rsidR="00E94180" w:rsidRPr="008B2EDF" w:rsidRDefault="00E94180" w:rsidP="004F17FF">
      <w:pPr>
        <w:pStyle w:val="NormalWeb"/>
        <w:spacing w:before="0" w:beforeAutospacing="0" w:after="0" w:afterAutospacing="0"/>
        <w:jc w:val="both"/>
        <w:rPr>
          <w:lang w:val="en-US"/>
        </w:rPr>
      </w:pPr>
      <w:r w:rsidRPr="008B2EDF">
        <w:rPr>
          <w:lang w:val="it-IT"/>
        </w:rPr>
        <w:t xml:space="preserve">Leoncini, R., Macaluso, M. and Polselli, A. (2024). </w:t>
      </w:r>
      <w:r w:rsidRPr="008B2EDF">
        <w:rPr>
          <w:lang w:val="en-US"/>
        </w:rPr>
        <w:t xml:space="preserve">Gender segregation: analysis across sectoral dominance in the UK labour market. </w:t>
      </w:r>
      <w:r w:rsidRPr="008B2EDF">
        <w:rPr>
          <w:i/>
          <w:iCs/>
          <w:lang w:val="en-US"/>
        </w:rPr>
        <w:t>Empirical Economics</w:t>
      </w:r>
      <w:r w:rsidRPr="008B2EDF">
        <w:rPr>
          <w:lang w:val="en-US"/>
        </w:rPr>
        <w:t xml:space="preserve">, 67(3777332). </w:t>
      </w:r>
    </w:p>
    <w:p w14:paraId="1BD503AF" w14:textId="77777777" w:rsidR="00E94180" w:rsidRPr="008B2EDF" w:rsidRDefault="00E94180" w:rsidP="004F17FF">
      <w:pPr>
        <w:pStyle w:val="NormalWeb"/>
        <w:spacing w:before="0" w:beforeAutospacing="0" w:after="0" w:afterAutospacing="0"/>
        <w:jc w:val="both"/>
        <w:rPr>
          <w:lang w:val="en-US"/>
        </w:rPr>
      </w:pPr>
      <w:r w:rsidRPr="008B2EDF">
        <w:rPr>
          <w:lang w:val="en-US"/>
        </w:rPr>
        <w:t xml:space="preserve">Available at: </w:t>
      </w:r>
      <w:hyperlink r:id="rId122" w:history="1">
        <w:r w:rsidRPr="008B2EDF">
          <w:rPr>
            <w:rStyle w:val="Hyperlink"/>
            <w:lang w:val="en-US"/>
          </w:rPr>
          <w:t>https://doi.org/10.1007/s00181-024-02611-1</w:t>
        </w:r>
      </w:hyperlink>
      <w:r w:rsidRPr="008B2EDF">
        <w:rPr>
          <w:lang w:val="en-US"/>
        </w:rPr>
        <w:t xml:space="preserve"> </w:t>
      </w:r>
    </w:p>
    <w:p w14:paraId="62714BE2" w14:textId="00373FD6" w:rsidR="00E94180" w:rsidRPr="008B2EDF" w:rsidRDefault="00E94180" w:rsidP="004F17FF">
      <w:pPr>
        <w:pStyle w:val="NormalWeb"/>
        <w:spacing w:before="0" w:beforeAutospacing="0" w:after="0" w:afterAutospacing="0"/>
        <w:jc w:val="both"/>
        <w:rPr>
          <w:lang w:val="en-US"/>
        </w:rPr>
      </w:pPr>
      <w:r w:rsidRPr="008B2EDF">
        <w:rPr>
          <w:lang w:val="en-US"/>
        </w:rPr>
        <w:t>(Accessed: 20 August 2025)</w:t>
      </w:r>
    </w:p>
    <w:p w14:paraId="2F791104" w14:textId="77777777" w:rsidR="00E94180" w:rsidRPr="008B2EDF" w:rsidRDefault="00E94180" w:rsidP="004F17FF">
      <w:pPr>
        <w:pStyle w:val="NormalWeb"/>
        <w:spacing w:before="0" w:beforeAutospacing="0" w:after="0" w:afterAutospacing="0"/>
        <w:jc w:val="both"/>
        <w:rPr>
          <w:lang w:val="en-US"/>
        </w:rPr>
      </w:pPr>
      <w:r w:rsidRPr="008B2EDF">
        <w:rPr>
          <w:lang w:val="en-US"/>
        </w:rPr>
        <w:t xml:space="preserve">Litsardopoulos, N., Gifford, J., Sharma, M., Allen, A., Bajorek, Z. and Wilson, T. (2025). </w:t>
      </w:r>
      <w:r w:rsidRPr="008B2EDF">
        <w:rPr>
          <w:i/>
          <w:iCs/>
          <w:lang w:val="en-US"/>
        </w:rPr>
        <w:t>Work and health: international comparisons with the UK A report for the Commission for Healthier Working Lives</w:t>
      </w:r>
      <w:r w:rsidRPr="008B2EDF">
        <w:rPr>
          <w:lang w:val="en-US"/>
        </w:rPr>
        <w:t xml:space="preserve">. [online] </w:t>
      </w:r>
    </w:p>
    <w:p w14:paraId="528EA037" w14:textId="77777777" w:rsidR="00E94180" w:rsidRPr="008B2EDF" w:rsidRDefault="00E94180" w:rsidP="004F17FF">
      <w:pPr>
        <w:pStyle w:val="NormalWeb"/>
        <w:spacing w:before="0" w:beforeAutospacing="0" w:after="0" w:afterAutospacing="0"/>
        <w:jc w:val="both"/>
        <w:rPr>
          <w:lang w:val="en-US"/>
        </w:rPr>
      </w:pPr>
      <w:r w:rsidRPr="008B2EDF">
        <w:rPr>
          <w:lang w:val="en-US"/>
        </w:rPr>
        <w:t xml:space="preserve">Available at: </w:t>
      </w:r>
      <w:hyperlink r:id="rId123" w:history="1">
        <w:r w:rsidRPr="008B2EDF">
          <w:rPr>
            <w:rStyle w:val="Hyperlink"/>
            <w:lang w:val="en-US"/>
          </w:rPr>
          <w:t>https://www.employment-studies.co.uk/system/files/resources/files/CHWL%20international%20report%20-%20final.pdf</w:t>
        </w:r>
      </w:hyperlink>
      <w:r w:rsidRPr="008B2EDF">
        <w:rPr>
          <w:lang w:val="en-US"/>
        </w:rPr>
        <w:t xml:space="preserve"> </w:t>
      </w:r>
    </w:p>
    <w:p w14:paraId="14D65CDF" w14:textId="19B929C6" w:rsidR="00E94180" w:rsidRPr="008B2EDF" w:rsidRDefault="00E94180" w:rsidP="004F17FF">
      <w:pPr>
        <w:pStyle w:val="NormalWeb"/>
        <w:spacing w:before="0" w:beforeAutospacing="0" w:after="0" w:afterAutospacing="0"/>
        <w:jc w:val="both"/>
      </w:pPr>
      <w:r w:rsidRPr="008B2EDF">
        <w:t>(Accessed: 27 July 2025)</w:t>
      </w:r>
    </w:p>
    <w:p w14:paraId="7EB5A4DC" w14:textId="77777777" w:rsidR="00E94180" w:rsidRPr="008B2EDF" w:rsidRDefault="00E94180" w:rsidP="004F17FF">
      <w:pPr>
        <w:pStyle w:val="NormalWeb"/>
        <w:spacing w:before="0" w:beforeAutospacing="0" w:after="0" w:afterAutospacing="0"/>
        <w:jc w:val="both"/>
        <w:rPr>
          <w:lang w:val="en-US"/>
        </w:rPr>
      </w:pPr>
      <w:r w:rsidRPr="008B2EDF">
        <w:rPr>
          <w:lang w:val="en-US"/>
        </w:rPr>
        <w:t xml:space="preserve">Liu, Y., Fang, Y., Hu, L., Chen, N., Li, X. and Cai, Y. (2024a). Inclusive leadership and employee workplace well-being: the role of vigor and supervisor developmental feedback. </w:t>
      </w:r>
      <w:r w:rsidRPr="008B2EDF">
        <w:rPr>
          <w:i/>
          <w:iCs/>
          <w:lang w:val="en-US"/>
        </w:rPr>
        <w:t>BMC Psychology</w:t>
      </w:r>
      <w:r w:rsidRPr="008B2EDF">
        <w:rPr>
          <w:lang w:val="en-US"/>
        </w:rPr>
        <w:t xml:space="preserve">, [online] 12(1). </w:t>
      </w:r>
    </w:p>
    <w:p w14:paraId="19828190" w14:textId="77777777" w:rsidR="00E94180" w:rsidRPr="008B2EDF" w:rsidRDefault="00E94180" w:rsidP="004F17FF">
      <w:pPr>
        <w:pStyle w:val="NormalWeb"/>
        <w:spacing w:before="0" w:beforeAutospacing="0" w:after="0" w:afterAutospacing="0"/>
        <w:jc w:val="both"/>
        <w:rPr>
          <w:lang w:val="en-US"/>
        </w:rPr>
      </w:pPr>
      <w:r w:rsidRPr="008B2EDF">
        <w:rPr>
          <w:lang w:val="en-US"/>
        </w:rPr>
        <w:t xml:space="preserve"> Available at: </w:t>
      </w:r>
      <w:hyperlink r:id="rId124" w:history="1">
        <w:r w:rsidRPr="008B2EDF">
          <w:rPr>
            <w:rStyle w:val="Hyperlink"/>
            <w:lang w:val="en-US"/>
          </w:rPr>
          <w:t>https://doi.org/10.1186/s40359-024-02029-5</w:t>
        </w:r>
      </w:hyperlink>
    </w:p>
    <w:p w14:paraId="2DE59F28" w14:textId="605FB3C6" w:rsidR="00E94180" w:rsidRPr="008B2EDF" w:rsidRDefault="00E94180" w:rsidP="004F17FF">
      <w:pPr>
        <w:pStyle w:val="NormalWeb"/>
        <w:spacing w:before="0" w:beforeAutospacing="0" w:after="0" w:afterAutospacing="0"/>
        <w:jc w:val="both"/>
        <w:rPr>
          <w:lang w:val="en-US"/>
        </w:rPr>
      </w:pPr>
      <w:r w:rsidRPr="008B2EDF">
        <w:rPr>
          <w:lang w:val="en-US"/>
        </w:rPr>
        <w:t>(Accessed: 20 August 2025)</w:t>
      </w:r>
    </w:p>
    <w:p w14:paraId="5D179F6A" w14:textId="6F21A500" w:rsidR="00E94180" w:rsidRPr="008B2EDF" w:rsidRDefault="00E94180" w:rsidP="004F17FF">
      <w:pPr>
        <w:pStyle w:val="NormalWeb"/>
        <w:spacing w:before="0" w:beforeAutospacing="0" w:after="0" w:afterAutospacing="0"/>
        <w:jc w:val="both"/>
        <w:rPr>
          <w:lang w:val="en-US"/>
        </w:rPr>
      </w:pPr>
      <w:r w:rsidRPr="008B2EDF">
        <w:rPr>
          <w:lang w:val="en-US"/>
        </w:rPr>
        <w:t xml:space="preserve">Liu, Z., Ouyang, X., Kim, T. and Chen, Y. (2024b). Workplace status differences and </w:t>
      </w:r>
      <w:r w:rsidR="00570CA8" w:rsidRPr="008B2EDF">
        <w:rPr>
          <w:lang w:val="en-US"/>
        </w:rPr>
        <w:t>initiative-taking</w:t>
      </w:r>
      <w:r w:rsidRPr="008B2EDF">
        <w:rPr>
          <w:lang w:val="en-US"/>
        </w:rPr>
        <w:t xml:space="preserve"> behaviours: The role of perceived insider status and promotion criterion. </w:t>
      </w:r>
      <w:r w:rsidRPr="008B2EDF">
        <w:rPr>
          <w:i/>
          <w:iCs/>
          <w:lang w:val="en-US"/>
        </w:rPr>
        <w:t>Journal of Occupational and Organizational Psychology</w:t>
      </w:r>
      <w:r w:rsidRPr="008B2EDF">
        <w:rPr>
          <w:lang w:val="en-US"/>
        </w:rPr>
        <w:t>, 97(2).</w:t>
      </w:r>
    </w:p>
    <w:p w14:paraId="6E4B9633" w14:textId="77777777" w:rsidR="00E94180" w:rsidRPr="008B2EDF" w:rsidRDefault="00E94180" w:rsidP="004F17FF">
      <w:pPr>
        <w:pStyle w:val="NormalWeb"/>
        <w:spacing w:before="0" w:beforeAutospacing="0" w:after="0" w:afterAutospacing="0"/>
        <w:jc w:val="both"/>
        <w:rPr>
          <w:lang w:val="en-US"/>
        </w:rPr>
      </w:pPr>
      <w:r w:rsidRPr="008B2EDF">
        <w:rPr>
          <w:lang w:val="en-US"/>
        </w:rPr>
        <w:t xml:space="preserve">  Available at: </w:t>
      </w:r>
      <w:hyperlink r:id="rId125" w:history="1">
        <w:r w:rsidRPr="008B2EDF">
          <w:rPr>
            <w:rStyle w:val="Hyperlink"/>
            <w:lang w:val="en-US"/>
          </w:rPr>
          <w:t>https://doi.org/10.1111/joop.12488</w:t>
        </w:r>
      </w:hyperlink>
      <w:r w:rsidRPr="008B2EDF">
        <w:rPr>
          <w:lang w:val="en-US"/>
        </w:rPr>
        <w:t xml:space="preserve"> </w:t>
      </w:r>
    </w:p>
    <w:p w14:paraId="64CE038F" w14:textId="77777777" w:rsidR="00E94180" w:rsidRPr="008B2EDF" w:rsidRDefault="00E94180" w:rsidP="004F17FF">
      <w:pPr>
        <w:pStyle w:val="NormalWeb"/>
        <w:spacing w:before="0" w:beforeAutospacing="0" w:after="0" w:afterAutospacing="0"/>
        <w:jc w:val="both"/>
        <w:rPr>
          <w:lang w:val="en-US"/>
        </w:rPr>
      </w:pPr>
      <w:r w:rsidRPr="008B2EDF">
        <w:rPr>
          <w:lang w:val="en-US"/>
        </w:rPr>
        <w:t>(Accessed: 20 August 2025)</w:t>
      </w:r>
    </w:p>
    <w:p w14:paraId="2133AA5E" w14:textId="77777777" w:rsidR="00A02562" w:rsidRPr="008B2EDF" w:rsidRDefault="00A02562" w:rsidP="004F17FF">
      <w:pPr>
        <w:pStyle w:val="NormalWeb"/>
        <w:spacing w:before="0" w:beforeAutospacing="0" w:after="0" w:afterAutospacing="0"/>
        <w:jc w:val="both"/>
      </w:pPr>
      <w:r w:rsidRPr="008B2EDF">
        <w:t xml:space="preserve">Middleton, F. (2022) ‘Reliability vs validity in research’, </w:t>
      </w:r>
      <w:r w:rsidRPr="008B2EDF">
        <w:rPr>
          <w:i/>
          <w:iCs/>
        </w:rPr>
        <w:t>Scribbr</w:t>
      </w:r>
      <w:r w:rsidRPr="008B2EDF">
        <w:t xml:space="preserve">. </w:t>
      </w:r>
    </w:p>
    <w:p w14:paraId="474906DB" w14:textId="6B3667A9" w:rsidR="00A02562" w:rsidRPr="008B2EDF" w:rsidRDefault="00A02562" w:rsidP="004F17FF">
      <w:pPr>
        <w:pStyle w:val="NormalWeb"/>
        <w:spacing w:before="0" w:beforeAutospacing="0" w:after="0" w:afterAutospacing="0"/>
        <w:jc w:val="both"/>
        <w:rPr>
          <w:lang w:val="en-US"/>
        </w:rPr>
      </w:pPr>
      <w:r w:rsidRPr="008B2EDF">
        <w:t xml:space="preserve">Available at: </w:t>
      </w:r>
      <w:hyperlink r:id="rId126" w:tgtFrame="_new" w:history="1">
        <w:r w:rsidRPr="008B2EDF">
          <w:rPr>
            <w:rStyle w:val="Hyperlink"/>
          </w:rPr>
          <w:t>https://www.scribbr.co.uk/research-methods/reliability-or-validity/</w:t>
        </w:r>
      </w:hyperlink>
      <w:r w:rsidRPr="008B2EDF">
        <w:t xml:space="preserve"> (Accessed: 3 May 2026).</w:t>
      </w:r>
    </w:p>
    <w:p w14:paraId="4E6B677B" w14:textId="77777777" w:rsidR="00E94180" w:rsidRPr="008B2EDF" w:rsidRDefault="00E94180" w:rsidP="004F17FF">
      <w:pPr>
        <w:pStyle w:val="NormalWeb"/>
        <w:spacing w:before="0" w:beforeAutospacing="0" w:after="0" w:afterAutospacing="0"/>
        <w:jc w:val="both"/>
      </w:pPr>
      <w:r w:rsidRPr="008B2EDF">
        <w:t xml:space="preserve">Main, P. (2024). </w:t>
      </w:r>
      <w:r w:rsidRPr="008B2EDF">
        <w:rPr>
          <w:i/>
          <w:iCs/>
        </w:rPr>
        <w:t>Equity Theory</w:t>
      </w:r>
      <w:r w:rsidRPr="008B2EDF">
        <w:t xml:space="preserve">. [online] </w:t>
      </w:r>
    </w:p>
    <w:p w14:paraId="096DAE0E" w14:textId="77777777" w:rsidR="00E94180" w:rsidRPr="008B2EDF" w:rsidRDefault="00E94180" w:rsidP="004F17FF">
      <w:pPr>
        <w:pStyle w:val="NormalWeb"/>
        <w:spacing w:before="0" w:beforeAutospacing="0" w:after="0" w:afterAutospacing="0"/>
        <w:jc w:val="both"/>
      </w:pPr>
      <w:r w:rsidRPr="008B2EDF">
        <w:t xml:space="preserve">Available at: </w:t>
      </w:r>
      <w:hyperlink r:id="rId127" w:history="1">
        <w:r w:rsidRPr="008B2EDF">
          <w:rPr>
            <w:rStyle w:val="Hyperlink"/>
          </w:rPr>
          <w:t>https://www.structural-learning.com/post/equity-theory</w:t>
        </w:r>
      </w:hyperlink>
    </w:p>
    <w:p w14:paraId="57663D11" w14:textId="78FA1764" w:rsidR="00E94180" w:rsidRPr="008B2EDF" w:rsidRDefault="00E94180" w:rsidP="004F17FF">
      <w:pPr>
        <w:pStyle w:val="NormalWeb"/>
        <w:spacing w:before="0" w:beforeAutospacing="0" w:after="0" w:afterAutospacing="0"/>
        <w:jc w:val="both"/>
      </w:pPr>
      <w:r w:rsidRPr="008B2EDF">
        <w:t>(Accessed: 29 June 2025)</w:t>
      </w:r>
    </w:p>
    <w:p w14:paraId="08418E6B" w14:textId="77777777" w:rsidR="00E94180" w:rsidRPr="008B2EDF" w:rsidRDefault="00E94180" w:rsidP="004F17FF">
      <w:pPr>
        <w:pStyle w:val="NormalWeb"/>
        <w:spacing w:before="0" w:beforeAutospacing="0" w:after="0" w:afterAutospacing="0"/>
        <w:jc w:val="both"/>
      </w:pPr>
      <w:r w:rsidRPr="008B2EDF">
        <w:t>Mäkinen, N., Tanskanen, J., Ojala, S. and Pyöriä, P. (2023).</w:t>
      </w:r>
      <w:r w:rsidRPr="008B2EDF">
        <w:rPr>
          <w:i/>
          <w:iCs/>
        </w:rPr>
        <w:t xml:space="preserve"> Part-Time Workers’ Employment Trajectories by Length of Hours and Reason for Working Part-Time: An 8-Year Follow-Up Study</w:t>
      </w:r>
      <w:r w:rsidRPr="008B2EDF">
        <w:t xml:space="preserve">. </w:t>
      </w:r>
      <w:r w:rsidRPr="008B2EDF">
        <w:rPr>
          <w:i/>
          <w:iCs/>
        </w:rPr>
        <w:t>SAGE Open</w:t>
      </w:r>
      <w:r w:rsidRPr="008B2EDF">
        <w:t xml:space="preserve">, 13(4). </w:t>
      </w:r>
    </w:p>
    <w:p w14:paraId="56015F29" w14:textId="77777777" w:rsidR="00E94180" w:rsidRPr="008B2EDF" w:rsidRDefault="00E94180" w:rsidP="004F17FF">
      <w:pPr>
        <w:pStyle w:val="NormalWeb"/>
        <w:spacing w:before="0" w:beforeAutospacing="0" w:after="0" w:afterAutospacing="0"/>
        <w:jc w:val="both"/>
      </w:pPr>
      <w:r w:rsidRPr="008B2EDF">
        <w:t xml:space="preserve"> Available at: </w:t>
      </w:r>
      <w:hyperlink r:id="rId128" w:history="1">
        <w:r w:rsidRPr="008B2EDF">
          <w:rPr>
            <w:rStyle w:val="Hyperlink"/>
          </w:rPr>
          <w:t>https://doi.org/10.1177/21582440231210690</w:t>
        </w:r>
      </w:hyperlink>
      <w:r w:rsidRPr="008B2EDF">
        <w:t xml:space="preserve"> </w:t>
      </w:r>
    </w:p>
    <w:p w14:paraId="0DAC7BE4" w14:textId="77777777" w:rsidR="00E94180" w:rsidRPr="008B2EDF" w:rsidRDefault="00E94180" w:rsidP="004F17FF">
      <w:pPr>
        <w:pStyle w:val="NormalWeb"/>
        <w:spacing w:before="0" w:beforeAutospacing="0" w:after="0" w:afterAutospacing="0"/>
        <w:jc w:val="both"/>
      </w:pPr>
      <w:r w:rsidRPr="008B2EDF">
        <w:t>(Accessed: 28 June 2025)</w:t>
      </w:r>
    </w:p>
    <w:p w14:paraId="2D19A50F" w14:textId="77777777" w:rsidR="00E94180" w:rsidRPr="008B2EDF" w:rsidRDefault="00E94180" w:rsidP="004F17FF">
      <w:pPr>
        <w:pStyle w:val="NormalWeb"/>
        <w:spacing w:before="0" w:beforeAutospacing="0" w:after="0" w:afterAutospacing="0"/>
        <w:jc w:val="both"/>
      </w:pPr>
      <w:r w:rsidRPr="008B2EDF">
        <w:t xml:space="preserve">Maestripieri, L. (2023) ‘Women’s Involuntary Part-Time Employment and Household Economic Security in Europe’, Feminist Economics, 29(4), pp. 223–251. </w:t>
      </w:r>
    </w:p>
    <w:p w14:paraId="4BDDF203" w14:textId="77777777" w:rsidR="00E94180" w:rsidRPr="008B2EDF" w:rsidRDefault="00E94180" w:rsidP="004F17FF">
      <w:pPr>
        <w:pStyle w:val="NormalWeb"/>
        <w:spacing w:before="0" w:beforeAutospacing="0" w:after="0" w:afterAutospacing="0"/>
        <w:jc w:val="both"/>
      </w:pPr>
      <w:r w:rsidRPr="008B2EDF">
        <w:t xml:space="preserve"> Available at: </w:t>
      </w:r>
      <w:hyperlink r:id="rId129" w:history="1">
        <w:r w:rsidRPr="008B2EDF">
          <w:rPr>
            <w:rStyle w:val="Hyperlink"/>
          </w:rPr>
          <w:t>http://10.1080/13545701.2023.2251991</w:t>
        </w:r>
      </w:hyperlink>
      <w:r w:rsidRPr="008B2EDF">
        <w:t xml:space="preserve"> </w:t>
      </w:r>
    </w:p>
    <w:p w14:paraId="62DB3E66" w14:textId="5718695F" w:rsidR="00E94180" w:rsidRPr="008B2EDF" w:rsidRDefault="00E94180" w:rsidP="004F17FF">
      <w:pPr>
        <w:pStyle w:val="NormalWeb"/>
        <w:spacing w:before="0" w:beforeAutospacing="0" w:after="0" w:afterAutospacing="0"/>
        <w:jc w:val="both"/>
      </w:pPr>
      <w:r w:rsidRPr="008B2EDF">
        <w:t>(Accessed: 2 July 2025)</w:t>
      </w:r>
    </w:p>
    <w:p w14:paraId="0FF5BD5A" w14:textId="77777777" w:rsidR="00E94180" w:rsidRPr="008B2EDF" w:rsidRDefault="00E94180" w:rsidP="004F17FF">
      <w:pPr>
        <w:pStyle w:val="NormalWeb"/>
        <w:spacing w:before="0" w:beforeAutospacing="0" w:after="0" w:afterAutospacing="0"/>
        <w:jc w:val="both"/>
      </w:pPr>
      <w:r w:rsidRPr="008B2EDF">
        <w:t xml:space="preserve">Moses, J.W. and Knutsen, T.L. (2019). </w:t>
      </w:r>
      <w:r w:rsidRPr="008B2EDF">
        <w:rPr>
          <w:i/>
          <w:iCs/>
        </w:rPr>
        <w:t>WAYS OF KNOWING : competing methodologies in social and political research</w:t>
      </w:r>
    </w:p>
    <w:p w14:paraId="616DE78E" w14:textId="77777777" w:rsidR="00E94180" w:rsidRPr="008B2EDF" w:rsidRDefault="00E94180" w:rsidP="004F17FF">
      <w:pPr>
        <w:pStyle w:val="NormalWeb"/>
        <w:spacing w:before="0" w:beforeAutospacing="0" w:after="0" w:afterAutospacing="0"/>
        <w:jc w:val="both"/>
      </w:pPr>
      <w:r w:rsidRPr="008B2EDF">
        <w:t>Books. Macmillan Education UK.</w:t>
      </w:r>
    </w:p>
    <w:p w14:paraId="505925D3" w14:textId="77777777" w:rsidR="00E94180" w:rsidRPr="008B2EDF" w:rsidRDefault="00E94180" w:rsidP="004F17FF">
      <w:pPr>
        <w:pStyle w:val="NormalWeb"/>
        <w:spacing w:before="0" w:beforeAutospacing="0" w:after="0" w:afterAutospacing="0"/>
        <w:jc w:val="both"/>
      </w:pPr>
      <w:r w:rsidRPr="008B2EDF">
        <w:t xml:space="preserve">O’Cathain, A., Murphy, E. and Nicholl, J. (2010). Three techniques for integrating data in mixed methods studies. </w:t>
      </w:r>
      <w:r w:rsidRPr="008B2EDF">
        <w:rPr>
          <w:i/>
          <w:iCs/>
        </w:rPr>
        <w:t>BMJ</w:t>
      </w:r>
      <w:r w:rsidRPr="008B2EDF">
        <w:t xml:space="preserve">, [online] 341(sep17 1), pp.c4587–c4587. </w:t>
      </w:r>
    </w:p>
    <w:p w14:paraId="070CF76F" w14:textId="77777777" w:rsidR="00E94180" w:rsidRPr="008B2EDF" w:rsidRDefault="00E94180" w:rsidP="004F17FF">
      <w:pPr>
        <w:pStyle w:val="NormalWeb"/>
        <w:spacing w:before="0" w:beforeAutospacing="0" w:after="0" w:afterAutospacing="0"/>
        <w:jc w:val="both"/>
      </w:pPr>
      <w:r w:rsidRPr="008B2EDF">
        <w:lastRenderedPageBreak/>
        <w:t xml:space="preserve"> Available at: </w:t>
      </w:r>
      <w:hyperlink r:id="rId130" w:history="1">
        <w:r w:rsidRPr="008B2EDF">
          <w:rPr>
            <w:rStyle w:val="Hyperlink"/>
          </w:rPr>
          <w:t>https://doi.org/10.1136/bmj.c4587</w:t>
        </w:r>
      </w:hyperlink>
      <w:r w:rsidRPr="008B2EDF">
        <w:t xml:space="preserve"> </w:t>
      </w:r>
    </w:p>
    <w:p w14:paraId="177D0065" w14:textId="77777777" w:rsidR="00E94180" w:rsidRPr="008B2EDF" w:rsidRDefault="00E94180" w:rsidP="004F17FF">
      <w:pPr>
        <w:pStyle w:val="NormalWeb"/>
        <w:spacing w:before="0" w:beforeAutospacing="0" w:after="0" w:afterAutospacing="0"/>
        <w:jc w:val="both"/>
      </w:pPr>
      <w:r w:rsidRPr="008B2EDF">
        <w:t>(Accessed: 28 June 2025)</w:t>
      </w:r>
    </w:p>
    <w:p w14:paraId="3184D678" w14:textId="77777777" w:rsidR="00E94180" w:rsidRPr="008B2EDF" w:rsidRDefault="00E94180" w:rsidP="004F17FF">
      <w:pPr>
        <w:pStyle w:val="NormalWeb"/>
        <w:spacing w:before="0" w:beforeAutospacing="0" w:after="0" w:afterAutospacing="0"/>
        <w:jc w:val="both"/>
      </w:pPr>
      <w:r w:rsidRPr="008B2EDF">
        <w:t xml:space="preserve">Maraziotis, F. (2024). Flexibility for equality: Examining the impact of flexible working time arrangements on women’s convergence in working hours. British Journal of Industrial Relations, 62(2). </w:t>
      </w:r>
    </w:p>
    <w:p w14:paraId="502480C6" w14:textId="77777777" w:rsidR="00E94180" w:rsidRPr="008B2EDF" w:rsidRDefault="00E94180" w:rsidP="004F17FF">
      <w:pPr>
        <w:pStyle w:val="NormalWeb"/>
        <w:spacing w:before="0" w:beforeAutospacing="0" w:after="0" w:afterAutospacing="0"/>
        <w:jc w:val="both"/>
      </w:pPr>
      <w:r w:rsidRPr="008B2EDF">
        <w:t xml:space="preserve"> Available at: </w:t>
      </w:r>
      <w:hyperlink r:id="rId131" w:history="1">
        <w:r w:rsidRPr="008B2EDF">
          <w:rPr>
            <w:rStyle w:val="Hyperlink"/>
          </w:rPr>
          <w:t>https://doi.org/10.1111/bjir.12787</w:t>
        </w:r>
      </w:hyperlink>
      <w:r w:rsidRPr="008B2EDF">
        <w:t xml:space="preserve"> </w:t>
      </w:r>
    </w:p>
    <w:p w14:paraId="2BB94341" w14:textId="58EB3961" w:rsidR="00E94180" w:rsidRPr="008B2EDF" w:rsidRDefault="00E94180" w:rsidP="004F17FF">
      <w:pPr>
        <w:pStyle w:val="NormalWeb"/>
        <w:spacing w:before="0" w:beforeAutospacing="0" w:after="0" w:afterAutospacing="0"/>
        <w:jc w:val="both"/>
      </w:pPr>
      <w:r w:rsidRPr="008B2EDF">
        <w:t>(Accessed: 29 July 2025)</w:t>
      </w:r>
    </w:p>
    <w:p w14:paraId="7D55D247" w14:textId="77777777" w:rsidR="00E94180" w:rsidRPr="008B2EDF" w:rsidRDefault="00E94180" w:rsidP="004F17FF">
      <w:pPr>
        <w:pStyle w:val="NormalWeb"/>
        <w:spacing w:before="0" w:beforeAutospacing="0" w:after="0" w:afterAutospacing="0"/>
        <w:jc w:val="both"/>
      </w:pPr>
      <w:r w:rsidRPr="008B2EDF">
        <w:t xml:space="preserve">Martin, H. (2025). Addressing workplace challenges faced by women in the warehouse industry - Talented Ladies Club. [online] Talented Ladies Club. Available at: </w:t>
      </w:r>
      <w:hyperlink r:id="rId132" w:history="1">
        <w:r w:rsidRPr="008B2EDF">
          <w:rPr>
            <w:rStyle w:val="Hyperlink"/>
          </w:rPr>
          <w:t>https://www.talentedladiesclub.com/articles/addressing-workplace-challenges-faced-by-women-in-the-warehouse-industry/</w:t>
        </w:r>
      </w:hyperlink>
      <w:r w:rsidRPr="008B2EDF">
        <w:t xml:space="preserve"> </w:t>
      </w:r>
    </w:p>
    <w:p w14:paraId="6070DA70" w14:textId="77777777" w:rsidR="00E94180" w:rsidRPr="008B2EDF" w:rsidRDefault="00E94180" w:rsidP="004F17FF">
      <w:pPr>
        <w:pStyle w:val="NormalWeb"/>
        <w:spacing w:before="0" w:beforeAutospacing="0" w:after="0" w:afterAutospacing="0"/>
        <w:jc w:val="both"/>
      </w:pPr>
      <w:r w:rsidRPr="008B2EDF">
        <w:t>(Accessed: 27 July 2025)</w:t>
      </w:r>
    </w:p>
    <w:p w14:paraId="6478E336" w14:textId="77777777" w:rsidR="00E94180" w:rsidRPr="008B2EDF" w:rsidRDefault="00E94180" w:rsidP="004F17FF">
      <w:pPr>
        <w:pStyle w:val="NormalWeb"/>
        <w:spacing w:before="0" w:beforeAutospacing="0" w:after="0" w:afterAutospacing="0"/>
        <w:jc w:val="both"/>
      </w:pPr>
      <w:r w:rsidRPr="008B2EDF">
        <w:t xml:space="preserve">Matthews, A.S. (2024). Male vs Female Employment Statistics in the UK. [online] Rcademy. Available at: </w:t>
      </w:r>
      <w:hyperlink r:id="rId133" w:history="1">
        <w:r w:rsidRPr="008B2EDF">
          <w:rPr>
            <w:rStyle w:val="Hyperlink"/>
          </w:rPr>
          <w:t>https://rcademy.com/male-vs-female-employment-statistics-in-the-uk/</w:t>
        </w:r>
      </w:hyperlink>
      <w:r w:rsidRPr="008B2EDF">
        <w:t xml:space="preserve"> </w:t>
      </w:r>
    </w:p>
    <w:p w14:paraId="0F3D2871" w14:textId="5F0F68DC" w:rsidR="00E94180" w:rsidRPr="008B2EDF" w:rsidRDefault="00E94180" w:rsidP="004F17FF">
      <w:pPr>
        <w:pStyle w:val="NormalWeb"/>
        <w:spacing w:before="0" w:beforeAutospacing="0" w:after="0" w:afterAutospacing="0"/>
        <w:jc w:val="both"/>
        <w:rPr>
          <w:lang w:val="en-US"/>
        </w:rPr>
      </w:pPr>
      <w:bookmarkStart w:id="74" w:name="_Hlk209708812"/>
      <w:r w:rsidRPr="008B2EDF">
        <w:rPr>
          <w:lang w:val="en-US"/>
        </w:rPr>
        <w:t>(Accessed: 27 July 2025)</w:t>
      </w:r>
      <w:bookmarkEnd w:id="74"/>
    </w:p>
    <w:p w14:paraId="384541FB" w14:textId="7E0FC468" w:rsidR="00E94180" w:rsidRPr="008B2EDF" w:rsidRDefault="00E94180" w:rsidP="004F17FF">
      <w:pPr>
        <w:pStyle w:val="NormalWeb"/>
        <w:spacing w:before="0" w:beforeAutospacing="0" w:after="0" w:afterAutospacing="0"/>
        <w:jc w:val="both"/>
      </w:pPr>
      <w:r w:rsidRPr="008B2EDF">
        <w:t xml:space="preserve">McBride, A., Hebson, G. and Holgate, J. (2014). Intersectionality: are we taking enough notice in the field of work and employment relations? Work, Employment and Society, 29(2), pp.331–341. </w:t>
      </w:r>
    </w:p>
    <w:p w14:paraId="5401063C" w14:textId="77777777" w:rsidR="00E94180" w:rsidRPr="008B2EDF" w:rsidRDefault="00E94180" w:rsidP="004F17FF">
      <w:pPr>
        <w:pStyle w:val="NormalWeb"/>
        <w:spacing w:before="0" w:beforeAutospacing="0" w:after="0" w:afterAutospacing="0"/>
        <w:jc w:val="both"/>
      </w:pPr>
      <w:r w:rsidRPr="008B2EDF">
        <w:t xml:space="preserve"> Available at: </w:t>
      </w:r>
      <w:hyperlink r:id="rId134" w:history="1">
        <w:r w:rsidRPr="008B2EDF">
          <w:rPr>
            <w:rStyle w:val="Hyperlink"/>
          </w:rPr>
          <w:t>https://doi.org/10.1177/0950017014538337</w:t>
        </w:r>
      </w:hyperlink>
      <w:r w:rsidRPr="008B2EDF">
        <w:t xml:space="preserve"> </w:t>
      </w:r>
    </w:p>
    <w:p w14:paraId="465913A6" w14:textId="77777777" w:rsidR="00E94180" w:rsidRPr="008B2EDF" w:rsidRDefault="00E94180" w:rsidP="004F17FF">
      <w:pPr>
        <w:pStyle w:val="NormalWeb"/>
        <w:spacing w:before="0" w:beforeAutospacing="0" w:after="0" w:afterAutospacing="0"/>
        <w:jc w:val="both"/>
      </w:pPr>
      <w:r w:rsidRPr="008B2EDF">
        <w:t>(Accessed: 27 July 2025)</w:t>
      </w:r>
    </w:p>
    <w:p w14:paraId="625397B3" w14:textId="77777777" w:rsidR="00E94180" w:rsidRPr="008B2EDF" w:rsidRDefault="00E94180" w:rsidP="004F17FF">
      <w:pPr>
        <w:pStyle w:val="NormalWeb"/>
        <w:spacing w:before="0" w:beforeAutospacing="0" w:after="0" w:afterAutospacing="0"/>
        <w:jc w:val="both"/>
      </w:pPr>
      <w:r w:rsidRPr="008B2EDF">
        <w:t xml:space="preserve">McKinsey (2024). Women in the Workplace. [online] McKinsey. </w:t>
      </w:r>
    </w:p>
    <w:p w14:paraId="3BEFAA69" w14:textId="77777777" w:rsidR="00E94180" w:rsidRPr="008B2EDF" w:rsidRDefault="00E94180" w:rsidP="004F17FF">
      <w:pPr>
        <w:pStyle w:val="NormalWeb"/>
        <w:spacing w:before="0" w:beforeAutospacing="0" w:after="0" w:afterAutospacing="0"/>
        <w:jc w:val="both"/>
      </w:pPr>
      <w:r w:rsidRPr="008B2EDF">
        <w:t xml:space="preserve">Available at: </w:t>
      </w:r>
      <w:hyperlink r:id="rId135" w:history="1">
        <w:r w:rsidRPr="008B2EDF">
          <w:rPr>
            <w:rStyle w:val="Hyperlink"/>
          </w:rPr>
          <w:t>https://www.mckinsey.com/featured-insights/diversity-and-inclusion/women-in-the-workplace</w:t>
        </w:r>
      </w:hyperlink>
      <w:r w:rsidRPr="008B2EDF">
        <w:t xml:space="preserve"> </w:t>
      </w:r>
    </w:p>
    <w:p w14:paraId="746945B3" w14:textId="77777777" w:rsidR="00E94180" w:rsidRPr="008B2EDF" w:rsidRDefault="00E94180" w:rsidP="004F17FF">
      <w:pPr>
        <w:pStyle w:val="NormalWeb"/>
        <w:spacing w:before="0" w:beforeAutospacing="0" w:after="0" w:afterAutospacing="0"/>
        <w:jc w:val="both"/>
      </w:pPr>
      <w:r w:rsidRPr="008B2EDF">
        <w:t>(Accessed: 20 July2025)</w:t>
      </w:r>
    </w:p>
    <w:p w14:paraId="05A3CFC7" w14:textId="77777777" w:rsidR="00E94180" w:rsidRPr="008B2EDF" w:rsidRDefault="00E94180" w:rsidP="004F17FF">
      <w:pPr>
        <w:pStyle w:val="NormalWeb"/>
        <w:spacing w:before="0" w:beforeAutospacing="0" w:after="0" w:afterAutospacing="0"/>
        <w:jc w:val="both"/>
      </w:pPr>
      <w:r w:rsidRPr="008B2EDF">
        <w:t xml:space="preserve">Montgomery, K. (2025). Why Your Warehouse Struggles to Attract Younger Workers – And What to Do About It. [online] Recruitmint.com. </w:t>
      </w:r>
    </w:p>
    <w:p w14:paraId="7866C08F" w14:textId="77777777" w:rsidR="00E94180" w:rsidRPr="008B2EDF" w:rsidRDefault="00E94180" w:rsidP="004F17FF">
      <w:pPr>
        <w:pStyle w:val="NormalWeb"/>
        <w:spacing w:before="0" w:beforeAutospacing="0" w:after="0" w:afterAutospacing="0"/>
        <w:jc w:val="both"/>
      </w:pPr>
      <w:r w:rsidRPr="008B2EDF">
        <w:t xml:space="preserve">Available at: </w:t>
      </w:r>
      <w:hyperlink r:id="rId136" w:history="1">
        <w:r w:rsidRPr="008B2EDF">
          <w:rPr>
            <w:rStyle w:val="Hyperlink"/>
          </w:rPr>
          <w:t>https://www.recruitmint.com/why-your-warehouse-struggles-to-attract-younger-workers-and-what-to-do-about-it</w:t>
        </w:r>
      </w:hyperlink>
      <w:r w:rsidRPr="008B2EDF">
        <w:t xml:space="preserve"> </w:t>
      </w:r>
    </w:p>
    <w:p w14:paraId="18F621CB" w14:textId="77777777" w:rsidR="00E94180" w:rsidRPr="008B2EDF" w:rsidRDefault="00E94180" w:rsidP="004F17FF">
      <w:pPr>
        <w:pStyle w:val="NormalWeb"/>
        <w:spacing w:before="0" w:beforeAutospacing="0" w:after="0" w:afterAutospacing="0"/>
        <w:jc w:val="both"/>
      </w:pPr>
      <w:r w:rsidRPr="008B2EDF">
        <w:t>(Accessed: 2 September 2025)</w:t>
      </w:r>
    </w:p>
    <w:p w14:paraId="357B1554" w14:textId="77777777" w:rsidR="00E94180" w:rsidRPr="008B2EDF" w:rsidRDefault="00E94180" w:rsidP="004F17FF">
      <w:pPr>
        <w:pStyle w:val="NormalWeb"/>
        <w:spacing w:before="0" w:beforeAutospacing="0" w:after="0" w:afterAutospacing="0"/>
        <w:jc w:val="both"/>
      </w:pPr>
      <w:r w:rsidRPr="008B2EDF">
        <w:t xml:space="preserve">Mousa, M., Garth, B., Boyle, J.A., Riach, K. and Teede, H.J. (2023). Experiences of Organizational Practices That Advance Women in Health Care Leadership. JAMA Network Open, 6(3), p.e233532. </w:t>
      </w:r>
    </w:p>
    <w:p w14:paraId="4DEE1447" w14:textId="77777777" w:rsidR="00E94180" w:rsidRPr="008B2EDF" w:rsidRDefault="00E94180" w:rsidP="004F17FF">
      <w:pPr>
        <w:pStyle w:val="NormalWeb"/>
        <w:spacing w:before="0" w:beforeAutospacing="0" w:after="0" w:afterAutospacing="0"/>
        <w:jc w:val="both"/>
      </w:pPr>
      <w:r w:rsidRPr="008B2EDF">
        <w:t xml:space="preserve"> Available at: </w:t>
      </w:r>
      <w:hyperlink r:id="rId137" w:history="1">
        <w:r w:rsidRPr="008B2EDF">
          <w:rPr>
            <w:rStyle w:val="Hyperlink"/>
          </w:rPr>
          <w:t>https://doi.org/10.1001/jamanetworkopen.2023.3532</w:t>
        </w:r>
      </w:hyperlink>
      <w:r w:rsidRPr="008B2EDF">
        <w:t xml:space="preserve"> </w:t>
      </w:r>
    </w:p>
    <w:p w14:paraId="4F2F7E0F" w14:textId="4B60E0DD" w:rsidR="00E94180" w:rsidRPr="008B2EDF" w:rsidRDefault="00E94180" w:rsidP="004F17FF">
      <w:pPr>
        <w:pStyle w:val="NormalWeb"/>
        <w:spacing w:before="0" w:beforeAutospacing="0" w:after="0" w:afterAutospacing="0"/>
        <w:jc w:val="both"/>
      </w:pPr>
      <w:r w:rsidRPr="008B2EDF">
        <w:t>(Accessed: 2 September 2025)</w:t>
      </w:r>
    </w:p>
    <w:p w14:paraId="6C03E248" w14:textId="77777777" w:rsidR="00E94180" w:rsidRPr="008B2EDF" w:rsidRDefault="00E94180" w:rsidP="004F17FF">
      <w:pPr>
        <w:pStyle w:val="NormalWeb"/>
        <w:spacing w:before="0" w:beforeAutospacing="0" w:after="0" w:afterAutospacing="0"/>
        <w:jc w:val="both"/>
      </w:pPr>
      <w:r w:rsidRPr="008B2EDF">
        <w:t>Mucheru, D., McAuliffe, E., Kesale, A. and Gilmore, B. (2024). A rapid realist review on leadership and career advancement interventions for women in healthcare. BMC Health Services Research, 24(1).</w:t>
      </w:r>
    </w:p>
    <w:p w14:paraId="6C0CE661" w14:textId="77777777" w:rsidR="00E94180" w:rsidRPr="008B2EDF" w:rsidRDefault="00E94180" w:rsidP="004F17FF">
      <w:pPr>
        <w:pStyle w:val="NormalWeb"/>
        <w:spacing w:before="0" w:beforeAutospacing="0" w:after="0" w:afterAutospacing="0"/>
        <w:jc w:val="both"/>
      </w:pPr>
      <w:r w:rsidRPr="008B2EDF">
        <w:t xml:space="preserve">  Available at: </w:t>
      </w:r>
      <w:hyperlink r:id="rId138" w:history="1">
        <w:r w:rsidRPr="008B2EDF">
          <w:rPr>
            <w:rStyle w:val="Hyperlink"/>
          </w:rPr>
          <w:t>HTTPs://doi.org/10.1186/s12913-024-11348-7</w:t>
        </w:r>
      </w:hyperlink>
      <w:r w:rsidRPr="008B2EDF">
        <w:t xml:space="preserve"> </w:t>
      </w:r>
    </w:p>
    <w:p w14:paraId="7EA2AFF8" w14:textId="334D0D92" w:rsidR="00E94180" w:rsidRPr="008B2EDF" w:rsidRDefault="00E94180" w:rsidP="004F17FF">
      <w:pPr>
        <w:pStyle w:val="NormalWeb"/>
        <w:spacing w:before="0" w:beforeAutospacing="0" w:after="0" w:afterAutospacing="0"/>
        <w:jc w:val="both"/>
      </w:pPr>
      <w:r w:rsidRPr="008B2EDF">
        <w:t>(Accessed: 2 September 2025)</w:t>
      </w:r>
    </w:p>
    <w:p w14:paraId="4245BA86" w14:textId="77777777" w:rsidR="00E94180" w:rsidRPr="008B2EDF" w:rsidRDefault="00E94180" w:rsidP="004F17FF">
      <w:pPr>
        <w:pStyle w:val="NormalWeb"/>
        <w:spacing w:before="0" w:beforeAutospacing="0" w:after="0" w:afterAutospacing="0"/>
        <w:jc w:val="both"/>
      </w:pPr>
      <w:r w:rsidRPr="008B2EDF">
        <w:t>Mugan, T. (2024). Blog NSI Projects. [online] NSI Projects.</w:t>
      </w:r>
    </w:p>
    <w:p w14:paraId="08118338" w14:textId="77777777" w:rsidR="00E94180" w:rsidRPr="008B2EDF" w:rsidRDefault="00E94180" w:rsidP="004F17FF">
      <w:pPr>
        <w:pStyle w:val="NormalWeb"/>
        <w:spacing w:before="0" w:beforeAutospacing="0" w:after="0" w:afterAutospacing="0"/>
        <w:jc w:val="both"/>
      </w:pPr>
      <w:r w:rsidRPr="008B2EDF">
        <w:t xml:space="preserve"> Available at: </w:t>
      </w:r>
      <w:hyperlink r:id="rId139" w:history="1">
        <w:r w:rsidRPr="008B2EDF">
          <w:rPr>
            <w:rStyle w:val="Hyperlink"/>
          </w:rPr>
          <w:t>https://www.nsiprojects.co.uk/news/challenges-facing-women-working-in-the-warehouse-industry-in-the-uk/</w:t>
        </w:r>
      </w:hyperlink>
      <w:r w:rsidRPr="008B2EDF">
        <w:t xml:space="preserve"> </w:t>
      </w:r>
    </w:p>
    <w:p w14:paraId="15968A5E" w14:textId="5BD2FFCD" w:rsidR="00E94180" w:rsidRPr="008B2EDF" w:rsidRDefault="00E94180" w:rsidP="004F17FF">
      <w:pPr>
        <w:pStyle w:val="NormalWeb"/>
        <w:spacing w:before="0" w:beforeAutospacing="0" w:after="0" w:afterAutospacing="0"/>
        <w:jc w:val="both"/>
      </w:pPr>
      <w:r w:rsidRPr="008B2EDF">
        <w:t>(Accessed: 20 July 2025)</w:t>
      </w:r>
    </w:p>
    <w:p w14:paraId="518057F0" w14:textId="77777777" w:rsidR="006E3C7A" w:rsidRPr="008B2EDF" w:rsidRDefault="006E3C7A" w:rsidP="004F17FF">
      <w:pPr>
        <w:pStyle w:val="NormalWeb"/>
        <w:spacing w:before="0" w:beforeAutospacing="0" w:after="0" w:afterAutospacing="0"/>
        <w:jc w:val="both"/>
        <w:rPr>
          <w:lang w:val="en-US"/>
        </w:rPr>
      </w:pPr>
      <w:bookmarkStart w:id="75" w:name="_Int_vRxyrxef"/>
      <w:r w:rsidRPr="008B2EDF">
        <w:rPr>
          <w:lang w:val="en-US"/>
        </w:rPr>
        <w:t xml:space="preserve">Naeem, M., Ozuem, W., Howell, K., and Ranfagni, S. (2023). A step-by-step Process of Thematic Analysis to Develop a Conceptual Model in Qualitative Research. </w:t>
      </w:r>
      <w:r w:rsidRPr="008B2EDF">
        <w:rPr>
          <w:i/>
          <w:iCs/>
          <w:lang w:val="en-US"/>
        </w:rPr>
        <w:t>International Journal of Qualitative Methods</w:t>
      </w:r>
      <w:r w:rsidRPr="008B2EDF">
        <w:rPr>
          <w:lang w:val="en-US"/>
        </w:rPr>
        <w:t xml:space="preserve">, 22(1), pp.1–18. </w:t>
      </w:r>
    </w:p>
    <w:p w14:paraId="43BA7C49" w14:textId="77777777" w:rsidR="006E3C7A" w:rsidRPr="008B2EDF" w:rsidRDefault="006E3C7A" w:rsidP="004F17FF">
      <w:pPr>
        <w:pStyle w:val="NormalWeb"/>
        <w:spacing w:before="0" w:beforeAutospacing="0" w:after="0" w:afterAutospacing="0"/>
        <w:jc w:val="both"/>
        <w:rPr>
          <w:lang w:val="en-US"/>
        </w:rPr>
      </w:pPr>
      <w:r w:rsidRPr="008B2EDF">
        <w:rPr>
          <w:lang w:val="en-US"/>
        </w:rPr>
        <w:t xml:space="preserve"> Available at: </w:t>
      </w:r>
      <w:hyperlink r:id="rId140" w:history="1">
        <w:r w:rsidRPr="008B2EDF">
          <w:rPr>
            <w:rStyle w:val="Hyperlink"/>
            <w:lang w:val="en-US"/>
          </w:rPr>
          <w:t>https://doi.org/10.1177/16094069231205789</w:t>
        </w:r>
      </w:hyperlink>
    </w:p>
    <w:p w14:paraId="0E268F43" w14:textId="270DEBB8" w:rsidR="006E3C7A" w:rsidRPr="008B2EDF" w:rsidRDefault="006E3C7A" w:rsidP="004F17FF">
      <w:pPr>
        <w:pStyle w:val="NormalWeb"/>
        <w:spacing w:before="0" w:beforeAutospacing="0" w:after="0" w:afterAutospacing="0"/>
        <w:jc w:val="both"/>
      </w:pPr>
      <w:r w:rsidRPr="008B2EDF">
        <w:t>(Accessed: 2 September 2025)</w:t>
      </w:r>
    </w:p>
    <w:p w14:paraId="4B46ED7F" w14:textId="77777777" w:rsidR="00E94180" w:rsidRPr="008B2EDF" w:rsidRDefault="00E94180" w:rsidP="004F17FF">
      <w:pPr>
        <w:pStyle w:val="NormalWeb"/>
        <w:spacing w:before="0" w:beforeAutospacing="0" w:after="0" w:afterAutospacing="0"/>
        <w:jc w:val="both"/>
      </w:pPr>
      <w:r w:rsidRPr="008B2EDF">
        <w:t>Nilsson, K. (2024) </w:t>
      </w:r>
      <w:r w:rsidRPr="008B2EDF">
        <w:rPr>
          <w:i/>
          <w:iCs/>
        </w:rPr>
        <w:t>Designing Sustainable Working Lives and Environments: Work, Health and Leadership in Theory and Practice</w:t>
      </w:r>
      <w:r w:rsidRPr="008B2EDF">
        <w:t>.</w:t>
      </w:r>
      <w:bookmarkEnd w:id="75"/>
      <w:r w:rsidRPr="008B2EDF">
        <w:t xml:space="preserve"> 1st edn. Oxford: CRC Press.</w:t>
      </w:r>
    </w:p>
    <w:p w14:paraId="7B12078F" w14:textId="77777777" w:rsidR="00E94180" w:rsidRPr="008B2EDF" w:rsidRDefault="00E94180" w:rsidP="004F17FF">
      <w:pPr>
        <w:pStyle w:val="NormalWeb"/>
        <w:spacing w:before="0" w:beforeAutospacing="0" w:after="0" w:afterAutospacing="0"/>
        <w:jc w:val="both"/>
      </w:pPr>
      <w:r w:rsidRPr="008B2EDF">
        <w:lastRenderedPageBreak/>
        <w:t xml:space="preserve">  AVAILABLE AT: </w:t>
      </w:r>
      <w:hyperlink r:id="rId141" w:history="1">
        <w:r w:rsidRPr="008B2EDF">
          <w:rPr>
            <w:rStyle w:val="Hyperlink"/>
          </w:rPr>
          <w:t>https://doi.org/10.1201/9781032616681</w:t>
        </w:r>
      </w:hyperlink>
    </w:p>
    <w:p w14:paraId="3DF8AAF2" w14:textId="0E782A6E" w:rsidR="00E94180" w:rsidRPr="008B2EDF" w:rsidRDefault="00E94180" w:rsidP="004F17FF">
      <w:pPr>
        <w:pStyle w:val="NormalWeb"/>
        <w:spacing w:before="0" w:beforeAutospacing="0" w:after="0" w:afterAutospacing="0"/>
        <w:jc w:val="both"/>
      </w:pPr>
      <w:r w:rsidRPr="008B2EDF">
        <w:t>(Accessed: 24 June 2025)</w:t>
      </w:r>
    </w:p>
    <w:p w14:paraId="4B5963A8" w14:textId="77777777" w:rsidR="006E3C7A" w:rsidRPr="008B2EDF" w:rsidRDefault="006E3C7A" w:rsidP="004F17FF">
      <w:pPr>
        <w:pStyle w:val="NormalWeb"/>
        <w:spacing w:before="0" w:beforeAutospacing="0" w:after="0" w:afterAutospacing="0"/>
        <w:jc w:val="both"/>
        <w:rPr>
          <w:lang w:val="en-US"/>
        </w:rPr>
      </w:pPr>
      <w:r w:rsidRPr="008B2EDF">
        <w:rPr>
          <w:lang w:val="en-US"/>
        </w:rPr>
        <w:t xml:space="preserve">Neckebrouck, J. (2023). </w:t>
      </w:r>
      <w:r w:rsidRPr="008B2EDF">
        <w:rPr>
          <w:i/>
          <w:iCs/>
          <w:lang w:val="en-US"/>
        </w:rPr>
        <w:t>Part-time work has a positive impact on productivity</w:t>
      </w:r>
      <w:r w:rsidRPr="008B2EDF">
        <w:rPr>
          <w:lang w:val="en-US"/>
        </w:rPr>
        <w:t xml:space="preserve">. [online] IESE Insight. </w:t>
      </w:r>
    </w:p>
    <w:p w14:paraId="3F50FB79" w14:textId="77777777" w:rsidR="006E3C7A" w:rsidRPr="008B2EDF" w:rsidRDefault="006E3C7A" w:rsidP="004F17FF">
      <w:pPr>
        <w:pStyle w:val="NormalWeb"/>
        <w:spacing w:before="0" w:beforeAutospacing="0" w:after="0" w:afterAutospacing="0"/>
        <w:jc w:val="both"/>
        <w:rPr>
          <w:lang w:val="en-US"/>
        </w:rPr>
      </w:pPr>
      <w:r w:rsidRPr="008B2EDF">
        <w:rPr>
          <w:lang w:val="en-US"/>
        </w:rPr>
        <w:t xml:space="preserve">Available at: </w:t>
      </w:r>
      <w:hyperlink r:id="rId142" w:history="1">
        <w:r w:rsidRPr="008B2EDF">
          <w:rPr>
            <w:rStyle w:val="Hyperlink"/>
            <w:lang w:val="en-US"/>
          </w:rPr>
          <w:t>https://www.iese.edu/insight/articles/part-time-work-productivity/</w:t>
        </w:r>
      </w:hyperlink>
    </w:p>
    <w:p w14:paraId="58DBF86F" w14:textId="09D69F42" w:rsidR="00A02562" w:rsidRPr="008B2EDF" w:rsidRDefault="006E3C7A" w:rsidP="004F17FF">
      <w:pPr>
        <w:pStyle w:val="NormalWeb"/>
        <w:spacing w:before="0" w:beforeAutospacing="0" w:after="0" w:afterAutospacing="0"/>
        <w:jc w:val="both"/>
      </w:pPr>
      <w:r w:rsidRPr="008B2EDF">
        <w:t>(Accessed: 2 September 2025)</w:t>
      </w:r>
    </w:p>
    <w:p w14:paraId="7E125964" w14:textId="5DCFC7CB" w:rsidR="00A02562" w:rsidRPr="008B2EDF" w:rsidRDefault="00A02562" w:rsidP="004F17FF">
      <w:pPr>
        <w:pStyle w:val="NormalWeb"/>
        <w:spacing w:before="0" w:beforeAutospacing="0" w:after="0" w:afterAutospacing="0"/>
        <w:jc w:val="both"/>
      </w:pPr>
      <w:r w:rsidRPr="008B2EDF">
        <w:t xml:space="preserve">Nelson, A.A. (1980) ‘Research design: measurement, reliability, and validity’, </w:t>
      </w:r>
      <w:r w:rsidRPr="008B2EDF">
        <w:rPr>
          <w:i/>
          <w:iCs/>
        </w:rPr>
        <w:t>American Journal of Hospital Pharmacy</w:t>
      </w:r>
      <w:r w:rsidRPr="008B2EDF">
        <w:t>, 37(6), pp. 851–855.</w:t>
      </w:r>
    </w:p>
    <w:p w14:paraId="67DEE6EC" w14:textId="77777777" w:rsidR="006E3C7A" w:rsidRPr="008B2EDF" w:rsidRDefault="006E3C7A" w:rsidP="004F17FF">
      <w:pPr>
        <w:pStyle w:val="NormalWeb"/>
        <w:spacing w:before="0" w:beforeAutospacing="0"/>
        <w:contextualSpacing/>
        <w:jc w:val="both"/>
      </w:pPr>
      <w:r w:rsidRPr="008B2EDF">
        <w:t xml:space="preserve">Nettleton, D. (2014). </w:t>
      </w:r>
      <w:r w:rsidRPr="008B2EDF">
        <w:rPr>
          <w:i/>
          <w:iCs/>
        </w:rPr>
        <w:t>Pearson Correlation - an overview</w:t>
      </w:r>
      <w:r w:rsidRPr="008B2EDF">
        <w:t xml:space="preserve">. [online] www.sciencedirect.com. Available at: </w:t>
      </w:r>
      <w:hyperlink r:id="rId143" w:history="1">
        <w:r w:rsidRPr="008B2EDF">
          <w:rPr>
            <w:rStyle w:val="Hyperlink"/>
          </w:rPr>
          <w:t>https://www.sciencedirect.com/topics/computer-science/pearson-correlation</w:t>
        </w:r>
      </w:hyperlink>
    </w:p>
    <w:p w14:paraId="64D8E66B" w14:textId="17991C49" w:rsidR="006E3C7A" w:rsidRPr="008B2EDF" w:rsidRDefault="006E3C7A" w:rsidP="004F17FF">
      <w:pPr>
        <w:pStyle w:val="NormalWeb"/>
        <w:spacing w:before="0" w:beforeAutospacing="0"/>
        <w:contextualSpacing/>
        <w:jc w:val="both"/>
      </w:pPr>
      <w:r w:rsidRPr="008B2EDF">
        <w:t xml:space="preserve">(Accessed: 20 September 2025) </w:t>
      </w:r>
    </w:p>
    <w:p w14:paraId="1951F2B2" w14:textId="77777777" w:rsidR="006E3C7A" w:rsidRPr="008B2EDF" w:rsidRDefault="00E94180" w:rsidP="004F17FF">
      <w:pPr>
        <w:pStyle w:val="NormalWeb"/>
        <w:spacing w:before="0" w:beforeAutospacing="0"/>
        <w:contextualSpacing/>
        <w:jc w:val="both"/>
      </w:pPr>
      <w:r w:rsidRPr="008B2EDF">
        <w:rPr>
          <w:lang w:val="en-US"/>
        </w:rPr>
        <w:t xml:space="preserve">Nilsson, C., Levin, T., Colding, J., Sjöberg, S. and Barthel, S. (2024). Navigating complexity with the four pillars of social sustainability. </w:t>
      </w:r>
      <w:r w:rsidRPr="008B2EDF">
        <w:rPr>
          <w:i/>
          <w:iCs/>
          <w:lang w:val="en-US"/>
        </w:rPr>
        <w:t>Sustainable development</w:t>
      </w:r>
      <w:r w:rsidRPr="008B2EDF">
        <w:rPr>
          <w:lang w:val="en-US"/>
        </w:rPr>
        <w:t xml:space="preserve">, 32(6). </w:t>
      </w:r>
    </w:p>
    <w:p w14:paraId="11106B37" w14:textId="3AF66372" w:rsidR="00E94180" w:rsidRPr="008B2EDF" w:rsidRDefault="00E94180" w:rsidP="004F17FF">
      <w:pPr>
        <w:pStyle w:val="NormalWeb"/>
        <w:spacing w:before="0" w:beforeAutospacing="0"/>
        <w:contextualSpacing/>
        <w:jc w:val="both"/>
      </w:pPr>
      <w:r w:rsidRPr="008B2EDF">
        <w:rPr>
          <w:lang w:val="en-US"/>
        </w:rPr>
        <w:t xml:space="preserve"> Available at: </w:t>
      </w:r>
      <w:hyperlink r:id="rId144" w:history="1">
        <w:r w:rsidRPr="008B2EDF">
          <w:rPr>
            <w:rStyle w:val="Hyperlink"/>
            <w:lang w:val="en-US"/>
          </w:rPr>
          <w:t>https://doi.org/10.1002/sd.2982</w:t>
        </w:r>
      </w:hyperlink>
    </w:p>
    <w:p w14:paraId="1548B21C" w14:textId="71DC8A56" w:rsidR="00E94180" w:rsidRPr="008B2EDF" w:rsidRDefault="00E94180" w:rsidP="004F17FF">
      <w:pPr>
        <w:pStyle w:val="NormalWeb"/>
        <w:spacing w:before="0" w:beforeAutospacing="0" w:after="0" w:afterAutospacing="0"/>
        <w:jc w:val="both"/>
      </w:pPr>
      <w:r w:rsidRPr="008B2EDF">
        <w:t>(Accessed: 2 September 2025)</w:t>
      </w:r>
    </w:p>
    <w:p w14:paraId="20E59CD6" w14:textId="77777777" w:rsidR="00E94180" w:rsidRPr="008B2EDF" w:rsidRDefault="00E94180" w:rsidP="004F17FF">
      <w:pPr>
        <w:pStyle w:val="NormalWeb"/>
        <w:spacing w:before="0" w:beforeAutospacing="0" w:after="0" w:afterAutospacing="0"/>
        <w:jc w:val="both"/>
      </w:pPr>
      <w:r w:rsidRPr="008B2EDF">
        <w:t xml:space="preserve">Office for National Statistics (ONS), (2023) ONS </w:t>
      </w:r>
      <w:r w:rsidRPr="008B2EDF">
        <w:rPr>
          <w:i/>
          <w:iCs/>
        </w:rPr>
        <w:t>Gender pay gap in the UK.</w:t>
      </w:r>
    </w:p>
    <w:p w14:paraId="23BE8E38" w14:textId="77777777" w:rsidR="00E94180" w:rsidRPr="008B2EDF" w:rsidRDefault="00E94180" w:rsidP="004F17FF">
      <w:pPr>
        <w:pStyle w:val="NormalWeb"/>
        <w:spacing w:before="0" w:beforeAutospacing="0" w:after="0" w:afterAutospacing="0"/>
        <w:jc w:val="both"/>
      </w:pPr>
      <w:r w:rsidRPr="008B2EDF">
        <w:t xml:space="preserve">Available at: </w:t>
      </w:r>
      <w:hyperlink r:id="rId145" w:history="1">
        <w:r w:rsidRPr="008B2EDF">
          <w:rPr>
            <w:rStyle w:val="Hyperlink"/>
          </w:rPr>
          <w:t>Gender pay gap in the UK - Office for National Statistics (ons.gov.uk)</w:t>
        </w:r>
      </w:hyperlink>
    </w:p>
    <w:p w14:paraId="6062B0F7" w14:textId="77777777" w:rsidR="00E94180" w:rsidRPr="008B2EDF" w:rsidRDefault="00E94180" w:rsidP="004F17FF">
      <w:pPr>
        <w:pStyle w:val="NormalWeb"/>
        <w:spacing w:before="0" w:beforeAutospacing="0" w:after="0" w:afterAutospacing="0"/>
        <w:jc w:val="both"/>
      </w:pPr>
      <w:r w:rsidRPr="008B2EDF">
        <w:t>(Accessed: 29 June 2025)</w:t>
      </w:r>
    </w:p>
    <w:p w14:paraId="452BDD87" w14:textId="3D7C4433" w:rsidR="00E94180" w:rsidRPr="008B2EDF" w:rsidRDefault="00E94180" w:rsidP="004F17FF">
      <w:pPr>
        <w:pStyle w:val="NormalWeb"/>
        <w:spacing w:before="0" w:beforeAutospacing="0" w:after="0" w:afterAutospacing="0"/>
        <w:jc w:val="both"/>
      </w:pPr>
      <w:r w:rsidRPr="008B2EDF">
        <w:rPr>
          <w:lang w:val="en-US"/>
        </w:rPr>
        <w:t xml:space="preserve">OECD (2019). </w:t>
      </w:r>
      <w:r w:rsidRPr="008B2EDF">
        <w:rPr>
          <w:i/>
          <w:iCs/>
          <w:lang w:val="en-US"/>
        </w:rPr>
        <w:t>Part-time and Partly Equal: Gender and Work in the Netherlands</w:t>
      </w:r>
      <w:r w:rsidRPr="008B2EDF">
        <w:rPr>
          <w:lang w:val="en-US"/>
        </w:rPr>
        <w:t>. OECD</w:t>
      </w:r>
      <w:r w:rsidR="00570CA8" w:rsidRPr="008B2EDF">
        <w:rPr>
          <w:lang w:val="en-US"/>
        </w:rPr>
        <w:t xml:space="preserve">. </w:t>
      </w:r>
      <w:r w:rsidRPr="008B2EDF">
        <w:rPr>
          <w:lang w:val="en-US"/>
        </w:rPr>
        <w:t xml:space="preserve">Available at: </w:t>
      </w:r>
      <w:hyperlink r:id="rId146" w:history="1">
        <w:r w:rsidRPr="008B2EDF">
          <w:rPr>
            <w:rStyle w:val="Hyperlink"/>
            <w:lang w:val="en-US"/>
          </w:rPr>
          <w:t>https://doi.org/10.1787/204235cf-en</w:t>
        </w:r>
      </w:hyperlink>
    </w:p>
    <w:p w14:paraId="7681D937" w14:textId="33B72C32" w:rsidR="00E94180" w:rsidRPr="008B2EDF" w:rsidRDefault="00E94180" w:rsidP="004F17FF">
      <w:pPr>
        <w:pStyle w:val="NormalWeb"/>
        <w:spacing w:before="0" w:beforeAutospacing="0" w:after="0" w:afterAutospacing="0"/>
        <w:jc w:val="both"/>
      </w:pPr>
      <w:r w:rsidRPr="008B2EDF">
        <w:t>(Accessed: 27 July 2025)</w:t>
      </w:r>
    </w:p>
    <w:p w14:paraId="6E770AA3" w14:textId="77777777" w:rsidR="00E94180" w:rsidRPr="008B2EDF" w:rsidRDefault="00E94180" w:rsidP="004F17FF">
      <w:pPr>
        <w:pStyle w:val="NormalWeb"/>
        <w:spacing w:before="0" w:beforeAutospacing="0" w:after="0" w:afterAutospacing="0"/>
        <w:jc w:val="both"/>
        <w:rPr>
          <w:lang w:val="en-US"/>
        </w:rPr>
      </w:pPr>
      <w:r w:rsidRPr="008B2EDF">
        <w:rPr>
          <w:lang w:val="en-US"/>
        </w:rPr>
        <w:t xml:space="preserve">Olivetti, C., Pan, J. and Petrongolo, B. (2024a). The Evolution of Gender in the Labor Market. </w:t>
      </w:r>
      <w:r w:rsidRPr="008B2EDF">
        <w:rPr>
          <w:i/>
          <w:iCs/>
          <w:lang w:val="en-US"/>
        </w:rPr>
        <w:t>SSRN Electronic Journal</w:t>
      </w:r>
      <w:r w:rsidRPr="008B2EDF">
        <w:rPr>
          <w:lang w:val="en-US"/>
        </w:rPr>
        <w:t xml:space="preserve">, (2042-2695). </w:t>
      </w:r>
    </w:p>
    <w:p w14:paraId="67E01290" w14:textId="77777777" w:rsidR="00E94180" w:rsidRPr="008B2EDF" w:rsidRDefault="00E94180" w:rsidP="004F17FF">
      <w:pPr>
        <w:pStyle w:val="NormalWeb"/>
        <w:spacing w:before="0" w:beforeAutospacing="0" w:after="0" w:afterAutospacing="0"/>
        <w:jc w:val="both"/>
        <w:rPr>
          <w:lang w:val="en-US"/>
        </w:rPr>
      </w:pPr>
      <w:r w:rsidRPr="008B2EDF">
        <w:rPr>
          <w:lang w:val="en-US"/>
        </w:rPr>
        <w:t xml:space="preserve"> Available at: </w:t>
      </w:r>
      <w:hyperlink r:id="rId147" w:history="1">
        <w:r w:rsidRPr="008B2EDF">
          <w:rPr>
            <w:rStyle w:val="Hyperlink"/>
            <w:lang w:val="en-US"/>
          </w:rPr>
          <w:t>https://doi.org/10.2139/ssrn.5069987</w:t>
        </w:r>
      </w:hyperlink>
      <w:r w:rsidRPr="008B2EDF">
        <w:rPr>
          <w:lang w:val="en-US"/>
        </w:rPr>
        <w:t xml:space="preserve"> </w:t>
      </w:r>
    </w:p>
    <w:p w14:paraId="7F87E629" w14:textId="2A5B2322" w:rsidR="00E94180" w:rsidRPr="008B2EDF" w:rsidRDefault="00E94180" w:rsidP="004F17FF">
      <w:pPr>
        <w:pStyle w:val="NormalWeb"/>
        <w:spacing w:before="0" w:beforeAutospacing="0" w:after="0" w:afterAutospacing="0"/>
        <w:jc w:val="both"/>
      </w:pPr>
      <w:r w:rsidRPr="008B2EDF">
        <w:t>(Accessed: 27 July 2025)</w:t>
      </w:r>
    </w:p>
    <w:p w14:paraId="1B95B319" w14:textId="77777777" w:rsidR="00E94180" w:rsidRPr="008B2EDF" w:rsidRDefault="00E94180" w:rsidP="004F17FF">
      <w:pPr>
        <w:pStyle w:val="NormalWeb"/>
        <w:spacing w:before="0" w:beforeAutospacing="0" w:after="0" w:afterAutospacing="0"/>
        <w:jc w:val="both"/>
        <w:rPr>
          <w:lang w:val="en-US"/>
        </w:rPr>
      </w:pPr>
      <w:r w:rsidRPr="008B2EDF">
        <w:rPr>
          <w:lang w:val="en-US"/>
        </w:rPr>
        <w:t xml:space="preserve">Olivetti, C., Pan, J. and Petrongolo, B. (2024b). </w:t>
      </w:r>
      <w:r w:rsidRPr="008B2EDF">
        <w:rPr>
          <w:i/>
          <w:iCs/>
          <w:lang w:val="en-US"/>
        </w:rPr>
        <w:t>The Evolution of Gender in the Labor Market</w:t>
      </w:r>
      <w:r w:rsidRPr="008B2EDF">
        <w:rPr>
          <w:lang w:val="en-US"/>
        </w:rPr>
        <w:t xml:space="preserve">. [online] Rockwool Foundation Berlin. </w:t>
      </w:r>
    </w:p>
    <w:p w14:paraId="590497D4" w14:textId="77777777" w:rsidR="00E94180" w:rsidRPr="008B2EDF" w:rsidRDefault="00E94180" w:rsidP="004F17FF">
      <w:pPr>
        <w:pStyle w:val="NormalWeb"/>
        <w:spacing w:before="0" w:beforeAutospacing="0" w:after="0" w:afterAutospacing="0"/>
        <w:jc w:val="both"/>
        <w:rPr>
          <w:lang w:val="en-US"/>
        </w:rPr>
      </w:pPr>
      <w:r w:rsidRPr="008B2EDF">
        <w:rPr>
          <w:lang w:val="en-US"/>
        </w:rPr>
        <w:t xml:space="preserve">Available at: </w:t>
      </w:r>
      <w:hyperlink r:id="rId148" w:history="1">
        <w:r w:rsidRPr="008B2EDF">
          <w:rPr>
            <w:rStyle w:val="Hyperlink"/>
            <w:lang w:val="en-US"/>
          </w:rPr>
          <w:t>https://www.rfberlin.com/wp-content/uploads/2024/12/24033.pdf</w:t>
        </w:r>
      </w:hyperlink>
    </w:p>
    <w:p w14:paraId="20418060" w14:textId="77777777" w:rsidR="00E94180" w:rsidRPr="008B2EDF" w:rsidRDefault="00E94180" w:rsidP="004F17FF">
      <w:pPr>
        <w:pStyle w:val="NormalWeb"/>
        <w:spacing w:before="0" w:beforeAutospacing="0" w:after="0" w:afterAutospacing="0"/>
        <w:jc w:val="both"/>
        <w:rPr>
          <w:lang w:val="en-US"/>
        </w:rPr>
      </w:pPr>
      <w:r w:rsidRPr="008B2EDF">
        <w:rPr>
          <w:lang w:val="en-US"/>
        </w:rPr>
        <w:t>(Accessed: 29 July 2025)</w:t>
      </w:r>
    </w:p>
    <w:p w14:paraId="0BE6ACFC" w14:textId="77777777" w:rsidR="00E94180" w:rsidRPr="008B2EDF" w:rsidRDefault="00E94180" w:rsidP="004F17FF">
      <w:pPr>
        <w:pStyle w:val="NormalWeb"/>
        <w:spacing w:before="0" w:beforeAutospacing="0" w:after="0" w:afterAutospacing="0"/>
        <w:jc w:val="both"/>
        <w:rPr>
          <w:lang w:val="en-US"/>
        </w:rPr>
      </w:pPr>
      <w:r w:rsidRPr="008B2EDF">
        <w:rPr>
          <w:lang w:val="en-US"/>
        </w:rPr>
        <w:t xml:space="preserve">ONS (2019). </w:t>
      </w:r>
      <w:r w:rsidRPr="008B2EDF">
        <w:rPr>
          <w:i/>
          <w:iCs/>
          <w:lang w:val="en-US"/>
        </w:rPr>
        <w:t>Long-term trends in UK employment: 1861 to 2018 - Office for National Statistics</w:t>
      </w:r>
      <w:r w:rsidRPr="008B2EDF">
        <w:rPr>
          <w:lang w:val="en-US"/>
        </w:rPr>
        <w:t>. [online] Ons.gov.uk.</w:t>
      </w:r>
    </w:p>
    <w:p w14:paraId="2B86E550" w14:textId="77777777" w:rsidR="00E94180" w:rsidRPr="008B2EDF" w:rsidRDefault="00E94180" w:rsidP="004F17FF">
      <w:pPr>
        <w:pStyle w:val="NormalWeb"/>
        <w:spacing w:before="0" w:beforeAutospacing="0" w:after="0" w:afterAutospacing="0"/>
        <w:jc w:val="both"/>
        <w:rPr>
          <w:lang w:val="en-US"/>
        </w:rPr>
      </w:pPr>
      <w:r w:rsidRPr="008B2EDF">
        <w:rPr>
          <w:lang w:val="en-US"/>
        </w:rPr>
        <w:t xml:space="preserve"> Available at: </w:t>
      </w:r>
      <w:hyperlink r:id="rId149" w:history="1">
        <w:r w:rsidRPr="008B2EDF">
          <w:rPr>
            <w:rStyle w:val="Hyperlink"/>
            <w:lang w:val="en-US"/>
          </w:rPr>
          <w:t>https://www.ons.gov.uk/economy/nationalaccounts/uksectoraccounts/compendium/economicreview/april2019/longtermtrendsinukemployment1861to2018</w:t>
        </w:r>
      </w:hyperlink>
      <w:r w:rsidRPr="008B2EDF">
        <w:rPr>
          <w:lang w:val="en-US"/>
        </w:rPr>
        <w:t>.</w:t>
      </w:r>
    </w:p>
    <w:p w14:paraId="7117F684" w14:textId="77777777" w:rsidR="00E94180" w:rsidRPr="008B2EDF" w:rsidRDefault="00E94180" w:rsidP="004F17FF">
      <w:pPr>
        <w:pStyle w:val="NormalWeb"/>
        <w:spacing w:before="0" w:beforeAutospacing="0" w:after="0" w:afterAutospacing="0"/>
        <w:jc w:val="both"/>
        <w:rPr>
          <w:lang w:val="en-US"/>
        </w:rPr>
      </w:pPr>
      <w:r w:rsidRPr="008B2EDF">
        <w:rPr>
          <w:lang w:val="en-US"/>
        </w:rPr>
        <w:t>(Accessed: 27 July 2025)</w:t>
      </w:r>
    </w:p>
    <w:p w14:paraId="3F591898" w14:textId="77777777" w:rsidR="00E94180" w:rsidRPr="008B2EDF" w:rsidRDefault="00E94180" w:rsidP="004F17FF">
      <w:pPr>
        <w:pStyle w:val="NormalWeb"/>
        <w:spacing w:before="0" w:beforeAutospacing="0" w:after="0" w:afterAutospacing="0"/>
        <w:jc w:val="both"/>
        <w:rPr>
          <w:lang w:val="en-US"/>
        </w:rPr>
      </w:pPr>
      <w:r w:rsidRPr="008B2EDF">
        <w:rPr>
          <w:lang w:val="en-US"/>
        </w:rPr>
        <w:t xml:space="preserve">Owen, J. (2023). </w:t>
      </w:r>
      <w:r w:rsidRPr="008B2EDF">
        <w:rPr>
          <w:i/>
          <w:iCs/>
          <w:lang w:val="en-US"/>
        </w:rPr>
        <w:t>Informal networks: Strategies for middle managers to boost their influence</w:t>
      </w:r>
      <w:r w:rsidRPr="008B2EDF">
        <w:rPr>
          <w:lang w:val="en-US"/>
        </w:rPr>
        <w:t xml:space="preserve">. [online] CMI. </w:t>
      </w:r>
    </w:p>
    <w:p w14:paraId="581155C3" w14:textId="77777777" w:rsidR="00E94180" w:rsidRPr="008B2EDF" w:rsidRDefault="00E94180" w:rsidP="004F17FF">
      <w:pPr>
        <w:pStyle w:val="NormalWeb"/>
        <w:spacing w:before="0" w:beforeAutospacing="0" w:after="0" w:afterAutospacing="0"/>
        <w:jc w:val="both"/>
        <w:rPr>
          <w:lang w:val="en-US"/>
        </w:rPr>
      </w:pPr>
      <w:r w:rsidRPr="008B2EDF">
        <w:rPr>
          <w:lang w:val="en-US"/>
        </w:rPr>
        <w:t xml:space="preserve">Available at: </w:t>
      </w:r>
      <w:hyperlink r:id="rId150" w:history="1">
        <w:r w:rsidRPr="008B2EDF">
          <w:rPr>
            <w:rStyle w:val="Hyperlink"/>
            <w:lang w:val="en-US"/>
          </w:rPr>
          <w:t>https://www.managers.org.uk/knowledge-and-insights/blog/building-your-informal-networks-strategies-for-middle-managers-to-boost-their-influence-iq-eq-pq/</w:t>
        </w:r>
      </w:hyperlink>
    </w:p>
    <w:p w14:paraId="134A5977" w14:textId="3B2E4936" w:rsidR="00E94180" w:rsidRPr="008B2EDF" w:rsidRDefault="00E94180" w:rsidP="004F17FF">
      <w:pPr>
        <w:pStyle w:val="NormalWeb"/>
        <w:spacing w:before="0" w:beforeAutospacing="0" w:after="0" w:afterAutospacing="0"/>
        <w:jc w:val="both"/>
      </w:pPr>
      <w:r w:rsidRPr="008B2EDF">
        <w:t>(Accessed: 2 September 2025)</w:t>
      </w:r>
    </w:p>
    <w:p w14:paraId="2656E7F9" w14:textId="77777777" w:rsidR="00E94180" w:rsidRPr="008B2EDF" w:rsidRDefault="00E94180" w:rsidP="004F17FF">
      <w:pPr>
        <w:pStyle w:val="NormalWeb"/>
        <w:spacing w:before="0" w:beforeAutospacing="0" w:after="0" w:afterAutospacing="0"/>
        <w:jc w:val="both"/>
        <w:rPr>
          <w:lang w:val="en-US"/>
        </w:rPr>
      </w:pPr>
      <w:r w:rsidRPr="008B2EDF">
        <w:rPr>
          <w:lang w:val="en-US"/>
        </w:rPr>
        <w:t xml:space="preserve">Oxbridge Editing (2024). </w:t>
      </w:r>
      <w:r w:rsidRPr="008B2EDF">
        <w:rPr>
          <w:i/>
          <w:iCs/>
          <w:lang w:val="en-US"/>
        </w:rPr>
        <w:t>Results Section Guide: Simple Tips and Clear Writing Examples - Oxbridge Editing</w:t>
      </w:r>
      <w:r w:rsidRPr="008B2EDF">
        <w:rPr>
          <w:lang w:val="en-US"/>
        </w:rPr>
        <w:t xml:space="preserve">. [online] Oxbridge Editing. Available at: </w:t>
      </w:r>
      <w:hyperlink r:id="rId151" w:history="1">
        <w:r w:rsidRPr="008B2EDF">
          <w:rPr>
            <w:rStyle w:val="Hyperlink"/>
            <w:lang w:val="en-US"/>
          </w:rPr>
          <w:t>https://www.oxbridgeediting.co.uk/blog/how-to-write-a-results-section-tips-examples/</w:t>
        </w:r>
      </w:hyperlink>
    </w:p>
    <w:p w14:paraId="0870EC03" w14:textId="1C08E089" w:rsidR="00E94180" w:rsidRPr="008B2EDF" w:rsidRDefault="00E94180" w:rsidP="004F17FF">
      <w:pPr>
        <w:pStyle w:val="NormalWeb"/>
        <w:spacing w:before="0" w:beforeAutospacing="0" w:after="0" w:afterAutospacing="0"/>
        <w:jc w:val="both"/>
      </w:pPr>
      <w:r w:rsidRPr="008B2EDF">
        <w:t>(Accessed: 2 September 2025)</w:t>
      </w:r>
    </w:p>
    <w:p w14:paraId="6F1AE410" w14:textId="77777777" w:rsidR="00E94180" w:rsidRPr="008B2EDF" w:rsidRDefault="00E94180" w:rsidP="004F17FF">
      <w:pPr>
        <w:pStyle w:val="NormalWeb"/>
        <w:spacing w:before="0" w:beforeAutospacing="0" w:after="0" w:afterAutospacing="0"/>
        <w:jc w:val="both"/>
        <w:rPr>
          <w:lang w:val="en-US"/>
        </w:rPr>
      </w:pPr>
      <w:r w:rsidRPr="008B2EDF">
        <w:rPr>
          <w:lang w:val="en-US"/>
        </w:rPr>
        <w:t xml:space="preserve">Oxford Management (2024). </w:t>
      </w:r>
      <w:r w:rsidRPr="008B2EDF">
        <w:rPr>
          <w:i/>
          <w:iCs/>
          <w:lang w:val="en-US"/>
        </w:rPr>
        <w:t>A Guide to Understanding and Addressing Unconscious Bias</w:t>
      </w:r>
      <w:r w:rsidRPr="008B2EDF">
        <w:rPr>
          <w:lang w:val="en-US"/>
        </w:rPr>
        <w:t xml:space="preserve">. [online] Oxford Management Centre. </w:t>
      </w:r>
    </w:p>
    <w:p w14:paraId="75AC23C2" w14:textId="77777777" w:rsidR="00E94180" w:rsidRPr="008B2EDF" w:rsidRDefault="00E94180" w:rsidP="004F17FF">
      <w:pPr>
        <w:pStyle w:val="NormalWeb"/>
        <w:spacing w:before="0" w:beforeAutospacing="0" w:after="0" w:afterAutospacing="0"/>
        <w:jc w:val="both"/>
        <w:rPr>
          <w:lang w:val="en-US"/>
        </w:rPr>
      </w:pPr>
      <w:r w:rsidRPr="008B2EDF">
        <w:rPr>
          <w:lang w:val="en-US"/>
        </w:rPr>
        <w:t xml:space="preserve">Available at: </w:t>
      </w:r>
      <w:hyperlink r:id="rId152" w:history="1">
        <w:r w:rsidRPr="008B2EDF">
          <w:rPr>
            <w:rStyle w:val="Hyperlink"/>
            <w:lang w:val="en-US"/>
          </w:rPr>
          <w:t>https://oxford-management.com/articles/a-guide-to-understanding-and-addressing-unconscious-bias</w:t>
        </w:r>
      </w:hyperlink>
    </w:p>
    <w:p w14:paraId="3A30251C" w14:textId="2A3F6F65" w:rsidR="00E94180" w:rsidRPr="008B2EDF" w:rsidRDefault="00E94180" w:rsidP="004F17FF">
      <w:pPr>
        <w:pStyle w:val="NormalWeb"/>
        <w:spacing w:before="0" w:beforeAutospacing="0" w:after="0" w:afterAutospacing="0"/>
        <w:jc w:val="both"/>
      </w:pPr>
      <w:r w:rsidRPr="008B2EDF">
        <w:t>(Accessed: 2 September 2025)</w:t>
      </w:r>
    </w:p>
    <w:p w14:paraId="640C75AB" w14:textId="77777777" w:rsidR="00E94180" w:rsidRPr="008B2EDF" w:rsidRDefault="00E94180" w:rsidP="004F17FF">
      <w:pPr>
        <w:pStyle w:val="NormalWeb"/>
        <w:spacing w:before="0" w:beforeAutospacing="0" w:after="0" w:afterAutospacing="0"/>
        <w:jc w:val="both"/>
      </w:pPr>
      <w:r w:rsidRPr="008B2EDF">
        <w:lastRenderedPageBreak/>
        <w:t xml:space="preserve">Panke, D. (2018). </w:t>
      </w:r>
      <w:bookmarkStart w:id="76" w:name="_Int_l4Vdlm7E"/>
      <w:r w:rsidRPr="008B2EDF">
        <w:rPr>
          <w:i/>
          <w:iCs/>
        </w:rPr>
        <w:t>Research design and method selection : making good choices in the social sciences</w:t>
      </w:r>
      <w:r w:rsidRPr="008B2EDF">
        <w:t>.</w:t>
      </w:r>
      <w:bookmarkEnd w:id="76"/>
      <w:r w:rsidRPr="008B2EDF">
        <w:t xml:space="preserve"> [e-book]</w:t>
      </w:r>
    </w:p>
    <w:p w14:paraId="765850C9" w14:textId="0B505CD1" w:rsidR="00E94180" w:rsidRPr="008B2EDF" w:rsidRDefault="00E94180" w:rsidP="004F17FF">
      <w:pPr>
        <w:pStyle w:val="NormalWeb"/>
        <w:spacing w:before="0" w:beforeAutospacing="0" w:after="0" w:afterAutospacing="0"/>
        <w:jc w:val="both"/>
      </w:pPr>
      <w:r w:rsidRPr="008B2EDF">
        <w:t>Books: Los Angeles: Sage</w:t>
      </w:r>
    </w:p>
    <w:p w14:paraId="352020FD" w14:textId="77777777" w:rsidR="00E94180" w:rsidRPr="008B2EDF" w:rsidRDefault="00E94180" w:rsidP="004F17FF">
      <w:pPr>
        <w:pStyle w:val="NormalWeb"/>
        <w:spacing w:before="0" w:beforeAutospacing="0" w:after="0" w:afterAutospacing="0"/>
        <w:jc w:val="both"/>
      </w:pPr>
      <w:r w:rsidRPr="008B2EDF">
        <w:t xml:space="preserve">Partridge, J. (2025). </w:t>
      </w:r>
      <w:r w:rsidRPr="008B2EDF">
        <w:rPr>
          <w:i/>
          <w:iCs/>
        </w:rPr>
        <w:t>Inequality in flexible working dividing Britain into ‘two-tier workforce.’</w:t>
      </w:r>
      <w:r w:rsidRPr="008B2EDF">
        <w:t xml:space="preserve"> [online] the Guardian. </w:t>
      </w:r>
    </w:p>
    <w:p w14:paraId="2C9E4807" w14:textId="77777777" w:rsidR="00E94180" w:rsidRPr="008B2EDF" w:rsidRDefault="00E94180" w:rsidP="004F17FF">
      <w:pPr>
        <w:pStyle w:val="NormalWeb"/>
        <w:spacing w:before="0" w:beforeAutospacing="0" w:after="0" w:afterAutospacing="0"/>
        <w:jc w:val="both"/>
      </w:pPr>
      <w:r w:rsidRPr="008B2EDF">
        <w:t xml:space="preserve">Available at: </w:t>
      </w:r>
      <w:hyperlink r:id="rId153" w:history="1">
        <w:r w:rsidRPr="008B2EDF">
          <w:rPr>
            <w:rStyle w:val="Hyperlink"/>
          </w:rPr>
          <w:t>https://www.theguardian.com/money/2025/jan/27/inequality-in-flexible-working-dividing-britain-into-two-tier-workforce?utm_source=chatgpt.com</w:t>
        </w:r>
      </w:hyperlink>
      <w:r w:rsidRPr="008B2EDF">
        <w:t xml:space="preserve"> </w:t>
      </w:r>
    </w:p>
    <w:p w14:paraId="4F3DFE46" w14:textId="77777777" w:rsidR="00E94180" w:rsidRPr="008B2EDF" w:rsidRDefault="00E94180" w:rsidP="004F17FF">
      <w:pPr>
        <w:pStyle w:val="NormalWeb"/>
        <w:spacing w:before="0" w:beforeAutospacing="0" w:after="0" w:afterAutospacing="0"/>
        <w:jc w:val="both"/>
      </w:pPr>
      <w:r w:rsidRPr="008B2EDF">
        <w:t>(Accessed: 28 July 2025)</w:t>
      </w:r>
    </w:p>
    <w:p w14:paraId="18509315" w14:textId="77777777" w:rsidR="00E94180" w:rsidRPr="008B2EDF" w:rsidRDefault="00E94180" w:rsidP="004F17FF">
      <w:pPr>
        <w:pStyle w:val="NormalWeb"/>
        <w:spacing w:before="0" w:beforeAutospacing="0" w:after="0" w:afterAutospacing="0"/>
        <w:jc w:val="both"/>
      </w:pPr>
      <w:r w:rsidRPr="008B2EDF">
        <w:t xml:space="preserve">Phillips, M.J. (2023). </w:t>
      </w:r>
      <w:bookmarkStart w:id="77" w:name="_Int_BKQszloX"/>
      <w:r w:rsidRPr="008B2EDF">
        <w:t>Towards a social constructionist, criticalist, Foucauldian-informed qualitative research approach: Opportunities and challenges.</w:t>
      </w:r>
      <w:bookmarkEnd w:id="77"/>
      <w:r w:rsidRPr="008B2EDF">
        <w:t xml:space="preserve"> </w:t>
      </w:r>
      <w:r w:rsidRPr="008B2EDF">
        <w:rPr>
          <w:i/>
          <w:iCs/>
        </w:rPr>
        <w:t>SN Social Sciences</w:t>
      </w:r>
      <w:r w:rsidRPr="008B2EDF">
        <w:t xml:space="preserve">, [online] 3(10), pp.1–25. </w:t>
      </w:r>
    </w:p>
    <w:p w14:paraId="66274353" w14:textId="77777777" w:rsidR="00E94180" w:rsidRPr="008B2EDF" w:rsidRDefault="00E94180" w:rsidP="004F17FF">
      <w:pPr>
        <w:pStyle w:val="NormalWeb"/>
        <w:spacing w:before="0" w:beforeAutospacing="0" w:after="0" w:afterAutospacing="0"/>
        <w:jc w:val="both"/>
      </w:pPr>
      <w:r w:rsidRPr="008B2EDF">
        <w:t xml:space="preserve">Available at: </w:t>
      </w:r>
      <w:hyperlink r:id="rId154" w:history="1">
        <w:r w:rsidRPr="008B2EDF">
          <w:rPr>
            <w:rStyle w:val="Hyperlink"/>
          </w:rPr>
          <w:t>https://link.springer.com/article/10.1007/s43545-023-00774-9</w:t>
        </w:r>
      </w:hyperlink>
      <w:r w:rsidRPr="008B2EDF">
        <w:t xml:space="preserve"> </w:t>
      </w:r>
    </w:p>
    <w:p w14:paraId="65F29A5F" w14:textId="55547657" w:rsidR="00E94180" w:rsidRPr="008B2EDF" w:rsidRDefault="00E94180" w:rsidP="004F17FF">
      <w:pPr>
        <w:pStyle w:val="NormalWeb"/>
        <w:spacing w:before="0" w:beforeAutospacing="0" w:after="0" w:afterAutospacing="0"/>
        <w:jc w:val="both"/>
      </w:pPr>
      <w:r w:rsidRPr="008B2EDF">
        <w:t xml:space="preserve">(Accessed: 11 September 2025) </w:t>
      </w:r>
    </w:p>
    <w:p w14:paraId="27190CD9" w14:textId="77777777" w:rsidR="00E94180" w:rsidRPr="008B2EDF" w:rsidRDefault="00E94180" w:rsidP="004F17FF">
      <w:pPr>
        <w:pStyle w:val="NormalWeb"/>
        <w:spacing w:before="0" w:beforeAutospacing="0" w:after="0" w:afterAutospacing="0"/>
        <w:jc w:val="both"/>
      </w:pPr>
      <w:r w:rsidRPr="008B2EDF">
        <w:t xml:space="preserve">Priya, A. (2020). </w:t>
      </w:r>
      <w:bookmarkStart w:id="78" w:name="_Int_boIpVoYk"/>
      <w:r w:rsidRPr="008B2EDF">
        <w:t>Case Study Methodology of Qualitative Research: Key Attributes and Navigating the Conundrums in Its Application.</w:t>
      </w:r>
      <w:bookmarkEnd w:id="78"/>
      <w:r w:rsidRPr="008B2EDF">
        <w:t xml:space="preserve"> </w:t>
      </w:r>
      <w:r w:rsidRPr="008B2EDF">
        <w:rPr>
          <w:i/>
          <w:iCs/>
        </w:rPr>
        <w:t>Sociological Bulletin</w:t>
      </w:r>
      <w:r w:rsidRPr="008B2EDF">
        <w:t xml:space="preserve">, 70(1), pp.94–110. </w:t>
      </w:r>
    </w:p>
    <w:p w14:paraId="070EAE9D" w14:textId="77777777" w:rsidR="00E94180" w:rsidRPr="008B2EDF" w:rsidRDefault="00E94180" w:rsidP="004F17FF">
      <w:pPr>
        <w:pStyle w:val="NormalWeb"/>
        <w:spacing w:before="0" w:beforeAutospacing="0" w:after="0" w:afterAutospacing="0"/>
        <w:jc w:val="both"/>
      </w:pPr>
      <w:r w:rsidRPr="008B2EDF">
        <w:t xml:space="preserve"> Available at: </w:t>
      </w:r>
      <w:hyperlink r:id="rId155" w:history="1">
        <w:r w:rsidRPr="008B2EDF">
          <w:rPr>
            <w:rStyle w:val="Hyperlink"/>
          </w:rPr>
          <w:t>https://doi.org/10.1177/0038022920970318</w:t>
        </w:r>
      </w:hyperlink>
      <w:r w:rsidRPr="008B2EDF">
        <w:t xml:space="preserve"> </w:t>
      </w:r>
    </w:p>
    <w:p w14:paraId="08418187" w14:textId="5B1C9147" w:rsidR="00E94180" w:rsidRPr="008B2EDF" w:rsidRDefault="00E94180" w:rsidP="004F17FF">
      <w:pPr>
        <w:pStyle w:val="NormalWeb"/>
        <w:spacing w:before="0" w:beforeAutospacing="0" w:after="0" w:afterAutospacing="0"/>
        <w:jc w:val="both"/>
      </w:pPr>
      <w:r w:rsidRPr="008B2EDF">
        <w:t>(Accessed: 29 July 2025)</w:t>
      </w:r>
    </w:p>
    <w:p w14:paraId="5412D050" w14:textId="77777777" w:rsidR="00E94180" w:rsidRPr="008B2EDF" w:rsidRDefault="00E94180" w:rsidP="004F17FF">
      <w:pPr>
        <w:pStyle w:val="NormalWeb"/>
        <w:spacing w:before="0" w:beforeAutospacing="0" w:after="0" w:afterAutospacing="0"/>
        <w:jc w:val="both"/>
      </w:pPr>
      <w:r w:rsidRPr="008B2EDF">
        <w:t xml:space="preserve">Petitta, L. and Ghezzi, V. (2025). Disentangling the Pros and Cons of Flexible Work Arrangements: Curvilinear Effects on Individual and Organizational Outcomes. Economies, 13(1), pp.1–30. </w:t>
      </w:r>
    </w:p>
    <w:p w14:paraId="70CE76B5" w14:textId="77777777" w:rsidR="00E94180" w:rsidRPr="008B2EDF" w:rsidRDefault="00E94180" w:rsidP="004F17FF">
      <w:pPr>
        <w:pStyle w:val="NormalWeb"/>
        <w:spacing w:before="0" w:beforeAutospacing="0" w:after="0" w:afterAutospacing="0"/>
        <w:jc w:val="both"/>
      </w:pPr>
      <w:r w:rsidRPr="008B2EDF">
        <w:t xml:space="preserve"> Available at: </w:t>
      </w:r>
      <w:hyperlink r:id="rId156" w:history="1">
        <w:r w:rsidRPr="008B2EDF">
          <w:rPr>
            <w:rStyle w:val="Hyperlink"/>
          </w:rPr>
          <w:t>https://doi.org/10.3390/economies13010020</w:t>
        </w:r>
      </w:hyperlink>
      <w:r w:rsidRPr="008B2EDF">
        <w:t xml:space="preserve"> </w:t>
      </w:r>
    </w:p>
    <w:p w14:paraId="3BAD024D" w14:textId="77777777" w:rsidR="00E94180" w:rsidRPr="008B2EDF" w:rsidRDefault="00E94180" w:rsidP="004F17FF">
      <w:pPr>
        <w:pStyle w:val="NormalWeb"/>
        <w:spacing w:before="0" w:beforeAutospacing="0" w:after="0" w:afterAutospacing="0"/>
        <w:jc w:val="both"/>
      </w:pPr>
      <w:r w:rsidRPr="008B2EDF">
        <w:t>(Accessed: 29 July 2025)</w:t>
      </w:r>
    </w:p>
    <w:p w14:paraId="773E2A3F" w14:textId="77777777" w:rsidR="00E94180" w:rsidRPr="008B2EDF" w:rsidRDefault="00E94180" w:rsidP="004F17FF">
      <w:pPr>
        <w:pStyle w:val="NormalWeb"/>
        <w:spacing w:before="0" w:beforeAutospacing="0" w:after="0" w:afterAutospacing="0"/>
        <w:jc w:val="both"/>
      </w:pPr>
      <w:r w:rsidRPr="008B2EDF">
        <w:t>Petö, A. and Thissen, L. (2024). A New Gender Equality Contract for Europe. Springer Nature.</w:t>
      </w:r>
    </w:p>
    <w:p w14:paraId="26E7B0C5" w14:textId="77777777" w:rsidR="00E94180" w:rsidRPr="008B2EDF" w:rsidRDefault="00E94180" w:rsidP="004F17FF">
      <w:pPr>
        <w:pStyle w:val="NormalWeb"/>
        <w:spacing w:before="0" w:beforeAutospacing="0" w:after="0" w:afterAutospacing="0"/>
        <w:jc w:val="both"/>
      </w:pPr>
      <w:r w:rsidRPr="008B2EDF">
        <w:t xml:space="preserve">Phillips, M.J. (2023). Towards a social constructionist, criticalist, Foucauldian-informed qualitative research approach: Opportunities and challenges. SN Social Sciences, [online] 3(10), pp.1–25. </w:t>
      </w:r>
    </w:p>
    <w:p w14:paraId="21752F0A" w14:textId="77777777" w:rsidR="00E94180" w:rsidRPr="008B2EDF" w:rsidRDefault="00E94180" w:rsidP="004F17FF">
      <w:pPr>
        <w:pStyle w:val="NormalWeb"/>
        <w:spacing w:before="0" w:beforeAutospacing="0" w:after="0" w:afterAutospacing="0"/>
        <w:jc w:val="both"/>
      </w:pPr>
      <w:r w:rsidRPr="008B2EDF">
        <w:t xml:space="preserve">Available at: </w:t>
      </w:r>
      <w:hyperlink r:id="rId157" w:history="1">
        <w:r w:rsidRPr="008B2EDF">
          <w:rPr>
            <w:rStyle w:val="Hyperlink"/>
          </w:rPr>
          <w:t>https://link.springer.com/article/10.1007/s43545-023-00774-9</w:t>
        </w:r>
      </w:hyperlink>
    </w:p>
    <w:p w14:paraId="6654FCC3" w14:textId="0CF60447" w:rsidR="00E94180" w:rsidRPr="008B2EDF" w:rsidRDefault="00E94180" w:rsidP="004F17FF">
      <w:pPr>
        <w:pStyle w:val="NormalWeb"/>
        <w:spacing w:before="0" w:beforeAutospacing="0" w:after="0" w:afterAutospacing="0"/>
        <w:jc w:val="both"/>
      </w:pPr>
      <w:r w:rsidRPr="008B2EDF">
        <w:t>(Accessed: 29 July 2025)</w:t>
      </w:r>
    </w:p>
    <w:p w14:paraId="6571B109" w14:textId="77777777" w:rsidR="00E94180" w:rsidRPr="008B2EDF" w:rsidRDefault="00E94180" w:rsidP="004F17FF">
      <w:pPr>
        <w:pStyle w:val="NormalWeb"/>
        <w:spacing w:before="0" w:beforeAutospacing="0" w:after="0" w:afterAutospacing="0"/>
        <w:jc w:val="both"/>
      </w:pPr>
      <w:r w:rsidRPr="008B2EDF">
        <w:t xml:space="preserve">Pio, L., Cavaliere, L., Chabani, Z., Arup, R. and Regin, R. (2021). The Impact of Part-Time and Full-Time Work on Employees’ Efficiency the Importance of Flexible Work Arrangements. Turkish Online Journal of Qualitative Inquiry, [online] 12(7), pp.9580–9613. </w:t>
      </w:r>
    </w:p>
    <w:p w14:paraId="55A18B32" w14:textId="77777777" w:rsidR="00E94180" w:rsidRPr="008B2EDF" w:rsidRDefault="00E94180" w:rsidP="004F17FF">
      <w:pPr>
        <w:pStyle w:val="NormalWeb"/>
        <w:spacing w:before="0" w:beforeAutospacing="0" w:after="0" w:afterAutospacing="0"/>
        <w:jc w:val="both"/>
      </w:pPr>
      <w:r w:rsidRPr="008B2EDF">
        <w:t xml:space="preserve">Available at: </w:t>
      </w:r>
      <w:hyperlink r:id="rId158" w:history="1">
        <w:r w:rsidRPr="008B2EDF">
          <w:rPr>
            <w:rStyle w:val="Hyperlink"/>
          </w:rPr>
          <w:t>https://www.researchgate.net/publication/354269686_The_Impact_of_Part-Time_and_Full-Time_Work_on_Employees</w:t>
        </w:r>
      </w:hyperlink>
      <w:r w:rsidRPr="008B2EDF">
        <w:t xml:space="preserve"> </w:t>
      </w:r>
    </w:p>
    <w:p w14:paraId="7D9CFA27" w14:textId="55E2C463" w:rsidR="00E94180" w:rsidRPr="008B2EDF" w:rsidRDefault="00E94180" w:rsidP="004F17FF">
      <w:pPr>
        <w:pStyle w:val="NormalWeb"/>
        <w:spacing w:before="0" w:beforeAutospacing="0" w:after="0" w:afterAutospacing="0"/>
        <w:jc w:val="both"/>
      </w:pPr>
      <w:r w:rsidRPr="008B2EDF">
        <w:t xml:space="preserve"> (Accessed: 20 September 2025)</w:t>
      </w:r>
    </w:p>
    <w:p w14:paraId="0A35AC2C" w14:textId="77777777" w:rsidR="00E94180" w:rsidRPr="008B2EDF" w:rsidRDefault="00E94180" w:rsidP="004F17FF">
      <w:pPr>
        <w:pStyle w:val="NormalWeb"/>
        <w:spacing w:before="0" w:beforeAutospacing="0" w:after="0" w:afterAutospacing="0"/>
        <w:jc w:val="both"/>
      </w:pPr>
      <w:bookmarkStart w:id="79" w:name="_Int_IkQcK5hb"/>
      <w:r w:rsidRPr="008B2EDF">
        <w:t>Queirós, A., Faria, D. and Almeida, F. (2017). European Journal of Education Studies strengths and limitations of qualitative and quantitative research methods.</w:t>
      </w:r>
      <w:bookmarkEnd w:id="79"/>
      <w:r w:rsidRPr="008B2EDF">
        <w:t xml:space="preserve"> </w:t>
      </w:r>
      <w:r w:rsidRPr="008B2EDF">
        <w:rPr>
          <w:i/>
          <w:iCs/>
        </w:rPr>
        <w:t>European Journal of Education Studies</w:t>
      </w:r>
      <w:r w:rsidRPr="008B2EDF">
        <w:t xml:space="preserve">, 3(2501 -1111). </w:t>
      </w:r>
    </w:p>
    <w:p w14:paraId="481ACD28" w14:textId="77777777" w:rsidR="00E94180" w:rsidRPr="008B2EDF" w:rsidRDefault="00E94180" w:rsidP="004F17FF">
      <w:pPr>
        <w:pStyle w:val="NormalWeb"/>
        <w:spacing w:before="0" w:beforeAutospacing="0" w:after="0" w:afterAutospacing="0"/>
        <w:jc w:val="both"/>
      </w:pPr>
      <w:r w:rsidRPr="008B2EDF">
        <w:t xml:space="preserve"> Available at: </w:t>
      </w:r>
      <w:hyperlink r:id="rId159" w:history="1">
        <w:r w:rsidRPr="008B2EDF">
          <w:rPr>
            <w:rStyle w:val="Hyperlink"/>
          </w:rPr>
          <w:t>https://doi.org/10.5281/zenodo.887089</w:t>
        </w:r>
      </w:hyperlink>
      <w:r w:rsidRPr="008B2EDF">
        <w:t xml:space="preserve"> </w:t>
      </w:r>
    </w:p>
    <w:p w14:paraId="140EB637" w14:textId="399778FC" w:rsidR="00E94180" w:rsidRPr="008B2EDF" w:rsidRDefault="00E94180" w:rsidP="004F17FF">
      <w:pPr>
        <w:pStyle w:val="NormalWeb"/>
        <w:spacing w:before="0" w:beforeAutospacing="0" w:after="0" w:afterAutospacing="0"/>
        <w:jc w:val="both"/>
      </w:pPr>
      <w:r w:rsidRPr="008B2EDF">
        <w:t xml:space="preserve">(Accessed: 20 July 2025) </w:t>
      </w:r>
    </w:p>
    <w:p w14:paraId="13712051" w14:textId="77777777" w:rsidR="00E94180" w:rsidRPr="008B2EDF" w:rsidRDefault="00E94180" w:rsidP="004F17FF">
      <w:pPr>
        <w:pStyle w:val="NormalWeb"/>
        <w:spacing w:before="0" w:beforeAutospacing="0" w:after="0" w:afterAutospacing="0"/>
        <w:jc w:val="both"/>
      </w:pPr>
      <w:r w:rsidRPr="008B2EDF">
        <w:t xml:space="preserve">Ross, S. (2024). What is the human capital theory and how is it used? [online] Investopedia. </w:t>
      </w:r>
    </w:p>
    <w:p w14:paraId="75F19013" w14:textId="77777777" w:rsidR="00E94180" w:rsidRPr="008B2EDF" w:rsidRDefault="00E94180" w:rsidP="004F17FF">
      <w:pPr>
        <w:pStyle w:val="NormalWeb"/>
        <w:spacing w:before="0" w:beforeAutospacing="0" w:after="0" w:afterAutospacing="0"/>
        <w:jc w:val="both"/>
      </w:pPr>
      <w:r w:rsidRPr="008B2EDF">
        <w:t xml:space="preserve">Available at: </w:t>
      </w:r>
      <w:hyperlink r:id="rId160" w:history="1">
        <w:r w:rsidRPr="008B2EDF">
          <w:rPr>
            <w:rStyle w:val="Hyperlink"/>
          </w:rPr>
          <w:t>https://www.investopedia.com/ask/answers/032715/what-human-capital-and-how-it-used.asp</w:t>
        </w:r>
      </w:hyperlink>
      <w:r w:rsidRPr="008B2EDF">
        <w:t xml:space="preserve"> </w:t>
      </w:r>
    </w:p>
    <w:p w14:paraId="2AF76EA9" w14:textId="26CD956A" w:rsidR="00E94180" w:rsidRPr="008B2EDF" w:rsidRDefault="00E94180" w:rsidP="004F17FF">
      <w:pPr>
        <w:pStyle w:val="NormalWeb"/>
        <w:spacing w:before="0" w:beforeAutospacing="0" w:after="0" w:afterAutospacing="0"/>
        <w:jc w:val="both"/>
      </w:pPr>
      <w:r w:rsidRPr="008B2EDF">
        <w:t>(Accessed: 2 September 2025)</w:t>
      </w:r>
    </w:p>
    <w:p w14:paraId="715D09FB" w14:textId="77777777" w:rsidR="00E94180" w:rsidRPr="008B2EDF" w:rsidRDefault="00E94180" w:rsidP="004F17FF">
      <w:pPr>
        <w:pStyle w:val="NormalWeb"/>
        <w:spacing w:before="0" w:beforeAutospacing="0" w:after="0" w:afterAutospacing="0"/>
        <w:jc w:val="both"/>
      </w:pPr>
      <w:r w:rsidRPr="008B2EDF">
        <w:t xml:space="preserve">Ross-White, A. (2021a). Search is a verb: systematic review searching as invisible labor. Journal of the Medical Library Association, 109(3). </w:t>
      </w:r>
    </w:p>
    <w:p w14:paraId="1954D20E" w14:textId="77777777" w:rsidR="00E94180" w:rsidRPr="008B2EDF" w:rsidRDefault="00E94180" w:rsidP="004F17FF">
      <w:pPr>
        <w:pStyle w:val="NormalWeb"/>
        <w:spacing w:before="0" w:beforeAutospacing="0" w:after="0" w:afterAutospacing="0"/>
        <w:jc w:val="both"/>
      </w:pPr>
      <w:r w:rsidRPr="008B2EDF">
        <w:t xml:space="preserve"> Available at: </w:t>
      </w:r>
      <w:hyperlink r:id="rId161" w:history="1">
        <w:r w:rsidRPr="008B2EDF">
          <w:rPr>
            <w:rStyle w:val="Hyperlink"/>
          </w:rPr>
          <w:t>https://doi.org/10.5195/jmla.2021.1226</w:t>
        </w:r>
      </w:hyperlink>
    </w:p>
    <w:p w14:paraId="5387174F" w14:textId="53D5FF6A" w:rsidR="00E94180" w:rsidRPr="008B2EDF" w:rsidRDefault="00E94180" w:rsidP="004F17FF">
      <w:pPr>
        <w:pStyle w:val="NormalWeb"/>
        <w:spacing w:before="0" w:beforeAutospacing="0" w:after="0" w:afterAutospacing="0"/>
        <w:jc w:val="both"/>
      </w:pPr>
      <w:r w:rsidRPr="008B2EDF">
        <w:t>(Accessed: 20 September 2025)</w:t>
      </w:r>
    </w:p>
    <w:p w14:paraId="00961D3A" w14:textId="77777777" w:rsidR="00E94180" w:rsidRPr="008B2EDF" w:rsidRDefault="00E94180" w:rsidP="004F17FF">
      <w:pPr>
        <w:pStyle w:val="NormalWeb"/>
        <w:spacing w:before="0" w:beforeAutospacing="0" w:after="0" w:afterAutospacing="0"/>
        <w:jc w:val="both"/>
      </w:pPr>
      <w:r w:rsidRPr="008B2EDF">
        <w:t xml:space="preserve">Ross-White, A. (2021b). Search is a verb: systematic review searching as invisible labor. Journal of the Medical Library Association, 109(3). </w:t>
      </w:r>
    </w:p>
    <w:p w14:paraId="19EBE049" w14:textId="77777777" w:rsidR="00E94180" w:rsidRPr="008B2EDF" w:rsidRDefault="00E94180" w:rsidP="004F17FF">
      <w:pPr>
        <w:pStyle w:val="NormalWeb"/>
        <w:spacing w:before="0" w:beforeAutospacing="0" w:after="0" w:afterAutospacing="0"/>
        <w:jc w:val="both"/>
      </w:pPr>
      <w:r w:rsidRPr="008B2EDF">
        <w:t xml:space="preserve"> Available at: </w:t>
      </w:r>
      <w:hyperlink r:id="rId162" w:history="1">
        <w:r w:rsidRPr="008B2EDF">
          <w:rPr>
            <w:rStyle w:val="Hyperlink"/>
          </w:rPr>
          <w:t>https://doi.org/10.5195/jmla.2021.1226</w:t>
        </w:r>
      </w:hyperlink>
      <w:r w:rsidRPr="008B2EDF">
        <w:t xml:space="preserve"> </w:t>
      </w:r>
    </w:p>
    <w:p w14:paraId="173740A7" w14:textId="4C3BDFB8" w:rsidR="00E94180" w:rsidRPr="008B2EDF" w:rsidRDefault="00E94180" w:rsidP="004F17FF">
      <w:pPr>
        <w:pStyle w:val="NormalWeb"/>
        <w:spacing w:before="0" w:beforeAutospacing="0" w:after="0" w:afterAutospacing="0"/>
        <w:jc w:val="both"/>
      </w:pPr>
      <w:r w:rsidRPr="008B2EDF">
        <w:lastRenderedPageBreak/>
        <w:t>(Accessed: 20 September 2025)</w:t>
      </w:r>
    </w:p>
    <w:p w14:paraId="3DB80798" w14:textId="77777777" w:rsidR="00E94180" w:rsidRPr="008B2EDF" w:rsidRDefault="00E94180" w:rsidP="004F17FF">
      <w:pPr>
        <w:pStyle w:val="NormalWeb"/>
        <w:spacing w:before="0" w:beforeAutospacing="0" w:after="0" w:afterAutospacing="0"/>
        <w:jc w:val="both"/>
      </w:pPr>
      <w:r w:rsidRPr="008B2EDF">
        <w:t xml:space="preserve">Rubery, J., Ward, K., Grimshaw, D. and Beynon, H. (2005). Working Time, Industrial Relations and the Employment Relationship. </w:t>
      </w:r>
      <w:r w:rsidRPr="008B2EDF">
        <w:rPr>
          <w:i/>
          <w:iCs/>
        </w:rPr>
        <w:t>Time &amp; Society</w:t>
      </w:r>
      <w:r w:rsidRPr="008B2EDF">
        <w:t xml:space="preserve">, 14(1), pp.89–111. </w:t>
      </w:r>
    </w:p>
    <w:p w14:paraId="580827E6" w14:textId="77777777" w:rsidR="00E94180" w:rsidRPr="008B2EDF" w:rsidRDefault="00E94180" w:rsidP="004F17FF">
      <w:pPr>
        <w:pStyle w:val="NormalWeb"/>
        <w:spacing w:before="0" w:beforeAutospacing="0" w:after="0" w:afterAutospacing="0"/>
        <w:jc w:val="both"/>
      </w:pPr>
      <w:r w:rsidRPr="008B2EDF">
        <w:t xml:space="preserve"> Available at: </w:t>
      </w:r>
      <w:hyperlink r:id="rId163" w:history="1">
        <w:r w:rsidRPr="008B2EDF">
          <w:rPr>
            <w:rStyle w:val="Hyperlink"/>
          </w:rPr>
          <w:t>https://doi.org/10.1177/0961463x05050300</w:t>
        </w:r>
      </w:hyperlink>
      <w:r w:rsidRPr="008B2EDF">
        <w:t xml:space="preserve"> </w:t>
      </w:r>
    </w:p>
    <w:p w14:paraId="3EB1D2C9" w14:textId="0F2680B9" w:rsidR="00E94180" w:rsidRPr="008B2EDF" w:rsidRDefault="00E94180" w:rsidP="004F17FF">
      <w:pPr>
        <w:pStyle w:val="NormalWeb"/>
        <w:spacing w:before="0" w:beforeAutospacing="0" w:after="0" w:afterAutospacing="0"/>
        <w:jc w:val="both"/>
      </w:pPr>
      <w:r w:rsidRPr="008B2EDF">
        <w:t>(Accessed: 27 July 2025)</w:t>
      </w:r>
    </w:p>
    <w:p w14:paraId="46F037B2" w14:textId="77777777" w:rsidR="00E94180" w:rsidRPr="008B2EDF" w:rsidRDefault="00E94180" w:rsidP="004F17FF">
      <w:pPr>
        <w:pStyle w:val="NormalWeb"/>
        <w:spacing w:before="0" w:beforeAutospacing="0" w:after="0" w:afterAutospacing="0"/>
        <w:jc w:val="both"/>
      </w:pPr>
      <w:r w:rsidRPr="008B2EDF">
        <w:t xml:space="preserve">Rubery, J., Bi-Swinglehurst, I. and Rafferty, A. (2024). Part-time work and productivity - The Productivity Institute. [online] The Productivity Institute. </w:t>
      </w:r>
    </w:p>
    <w:p w14:paraId="089576DE" w14:textId="77777777" w:rsidR="00E94180" w:rsidRPr="008B2EDF" w:rsidRDefault="00E94180" w:rsidP="004F17FF">
      <w:pPr>
        <w:pStyle w:val="NormalWeb"/>
        <w:spacing w:before="0" w:beforeAutospacing="0" w:after="0" w:afterAutospacing="0"/>
        <w:jc w:val="both"/>
      </w:pPr>
      <w:r w:rsidRPr="008B2EDF">
        <w:t xml:space="preserve">Available at: </w:t>
      </w:r>
      <w:hyperlink r:id="rId164" w:history="1">
        <w:r w:rsidRPr="008B2EDF">
          <w:rPr>
            <w:rStyle w:val="Hyperlink"/>
          </w:rPr>
          <w:t>https://www.productivity.ac.uk/research/part-time-work-and-productivity/</w:t>
        </w:r>
      </w:hyperlink>
      <w:r w:rsidRPr="008B2EDF">
        <w:t xml:space="preserve"> </w:t>
      </w:r>
    </w:p>
    <w:p w14:paraId="6D03BBAF" w14:textId="475D64F3" w:rsidR="00E94180" w:rsidRPr="008B2EDF" w:rsidRDefault="00E94180" w:rsidP="004F17FF">
      <w:pPr>
        <w:pStyle w:val="NormalWeb"/>
        <w:spacing w:before="0" w:beforeAutospacing="0" w:after="0" w:afterAutospacing="0"/>
        <w:jc w:val="both"/>
      </w:pPr>
      <w:r w:rsidRPr="008B2EDF">
        <w:t>(Accessed: 27 July 2025)</w:t>
      </w:r>
    </w:p>
    <w:p w14:paraId="43440E54" w14:textId="77777777" w:rsidR="00E94180" w:rsidRPr="008B2EDF" w:rsidRDefault="00E94180" w:rsidP="004F17FF">
      <w:pPr>
        <w:pStyle w:val="NormalWeb"/>
        <w:spacing w:before="0" w:beforeAutospacing="0" w:after="0" w:afterAutospacing="0"/>
        <w:jc w:val="both"/>
      </w:pPr>
      <w:r w:rsidRPr="008B2EDF">
        <w:t>Rydström, K., Jackson, J., Johansson, K. and Mathiassen, S.E. (2023). A Systematic Review of Work Organization, Work Environment, and Employment Conditions in Warehousing in Relation to Gender and Race/Ethnicity. Annals of Work Exposures and Health, 67(4), pp.430–447.</w:t>
      </w:r>
    </w:p>
    <w:p w14:paraId="24E679C5" w14:textId="77777777" w:rsidR="00E94180" w:rsidRPr="008B2EDF" w:rsidRDefault="00E94180" w:rsidP="004F17FF">
      <w:pPr>
        <w:pStyle w:val="NormalWeb"/>
        <w:spacing w:before="0" w:beforeAutospacing="0" w:after="0" w:afterAutospacing="0"/>
        <w:jc w:val="both"/>
      </w:pPr>
      <w:r w:rsidRPr="008B2EDF">
        <w:t xml:space="preserve">  Available at: </w:t>
      </w:r>
      <w:hyperlink r:id="rId165" w:history="1">
        <w:r w:rsidRPr="008B2EDF">
          <w:rPr>
            <w:rStyle w:val="Hyperlink"/>
          </w:rPr>
          <w:t>https://doi.org/10.1093/annweh/wxac098</w:t>
        </w:r>
      </w:hyperlink>
      <w:r w:rsidRPr="008B2EDF">
        <w:t xml:space="preserve"> </w:t>
      </w:r>
    </w:p>
    <w:p w14:paraId="26B4BBB2" w14:textId="2E1942C3" w:rsidR="00E94180" w:rsidRPr="008B2EDF" w:rsidRDefault="00E94180" w:rsidP="004F17FF">
      <w:pPr>
        <w:pStyle w:val="NormalWeb"/>
        <w:spacing w:before="0" w:beforeAutospacing="0" w:after="0" w:afterAutospacing="0"/>
        <w:jc w:val="both"/>
      </w:pPr>
      <w:r w:rsidRPr="008B2EDF">
        <w:t>(Accessed: 2 September 2025)</w:t>
      </w:r>
    </w:p>
    <w:p w14:paraId="7E91514F" w14:textId="77777777" w:rsidR="00E94180" w:rsidRPr="008B2EDF" w:rsidRDefault="00E94180" w:rsidP="004F17FF">
      <w:pPr>
        <w:pStyle w:val="NormalWeb"/>
        <w:spacing w:before="0" w:beforeAutospacing="0" w:after="0" w:afterAutospacing="0"/>
        <w:jc w:val="both"/>
      </w:pPr>
      <w:r w:rsidRPr="008B2EDF">
        <w:t xml:space="preserve">Rebughini, P. and Colombo, E. (2022). Framing Social Theory. Routledge eBooks. Informa. </w:t>
      </w:r>
    </w:p>
    <w:p w14:paraId="27E94600" w14:textId="77777777" w:rsidR="00E94180" w:rsidRPr="008B2EDF" w:rsidRDefault="00E94180" w:rsidP="004F17FF">
      <w:pPr>
        <w:pStyle w:val="NormalWeb"/>
        <w:spacing w:before="0" w:beforeAutospacing="0" w:after="0" w:afterAutospacing="0"/>
        <w:jc w:val="both"/>
      </w:pPr>
      <w:r w:rsidRPr="008B2EDF">
        <w:t xml:space="preserve"> Available at: </w:t>
      </w:r>
      <w:hyperlink r:id="rId166" w:history="1">
        <w:r w:rsidRPr="008B2EDF">
          <w:rPr>
            <w:rStyle w:val="Hyperlink"/>
          </w:rPr>
          <w:t>https://doi.org/10.4324/9781003203308</w:t>
        </w:r>
      </w:hyperlink>
      <w:r w:rsidRPr="008B2EDF">
        <w:t xml:space="preserve"> </w:t>
      </w:r>
    </w:p>
    <w:p w14:paraId="1F2BDD0E" w14:textId="1F22F77A" w:rsidR="00E94180" w:rsidRPr="008B2EDF" w:rsidRDefault="00E94180" w:rsidP="004F17FF">
      <w:pPr>
        <w:pStyle w:val="NormalWeb"/>
        <w:spacing w:before="0" w:beforeAutospacing="0" w:after="0" w:afterAutospacing="0"/>
        <w:jc w:val="both"/>
      </w:pPr>
      <w:r w:rsidRPr="008B2EDF">
        <w:t>(Accessed: 24 June 2025)</w:t>
      </w:r>
    </w:p>
    <w:p w14:paraId="2FB337A7" w14:textId="3C9A139E" w:rsidR="00643291" w:rsidRPr="008B2EDF" w:rsidRDefault="00643291" w:rsidP="004F17FF">
      <w:pPr>
        <w:pStyle w:val="NormalWeb"/>
        <w:spacing w:before="0" w:beforeAutospacing="0" w:after="0" w:afterAutospacing="0"/>
        <w:jc w:val="both"/>
        <w:rPr>
          <w:lang w:val="en-US"/>
        </w:rPr>
      </w:pPr>
      <w:r w:rsidRPr="008B2EDF">
        <w:rPr>
          <w:lang w:val="en-US"/>
        </w:rPr>
        <w:t xml:space="preserve">Sahni, S., Kaushal, </w:t>
      </w:r>
      <w:r w:rsidR="00570CA8" w:rsidRPr="008B2EDF">
        <w:rPr>
          <w:lang w:val="en-US"/>
        </w:rPr>
        <w:t>L.A.,</w:t>
      </w:r>
      <w:r w:rsidRPr="008B2EDF">
        <w:rPr>
          <w:lang w:val="en-US"/>
        </w:rPr>
        <w:t xml:space="preserve"> and Gupta, P. (2025). Gendered differences and strategies for work-life balance: Systematic review based on social ecological framework perspective. Acta Psychologica, [online] 256(105019), p.105019. </w:t>
      </w:r>
    </w:p>
    <w:p w14:paraId="096AD8BD" w14:textId="77777777" w:rsidR="00643291" w:rsidRPr="008B2EDF" w:rsidRDefault="00643291" w:rsidP="004F17FF">
      <w:pPr>
        <w:pStyle w:val="NormalWeb"/>
        <w:spacing w:before="0" w:beforeAutospacing="0" w:after="0" w:afterAutospacing="0"/>
        <w:jc w:val="both"/>
        <w:rPr>
          <w:lang w:val="en-US"/>
        </w:rPr>
      </w:pPr>
      <w:r w:rsidRPr="008B2EDF">
        <w:rPr>
          <w:lang w:val="en-US"/>
        </w:rPr>
        <w:t xml:space="preserve"> Available at: </w:t>
      </w:r>
      <w:hyperlink r:id="rId167" w:history="1">
        <w:r w:rsidRPr="008B2EDF">
          <w:rPr>
            <w:rStyle w:val="Hyperlink"/>
            <w:lang w:val="en-US"/>
          </w:rPr>
          <w:t>HTTPs://doi.org/10.1016/j.actpsy.2025.105019</w:t>
        </w:r>
      </w:hyperlink>
    </w:p>
    <w:p w14:paraId="630980AF" w14:textId="77777777" w:rsidR="00643291" w:rsidRPr="008B2EDF" w:rsidRDefault="00643291" w:rsidP="004F17FF">
      <w:pPr>
        <w:pStyle w:val="NormalWeb"/>
        <w:spacing w:before="0" w:beforeAutospacing="0" w:after="0" w:afterAutospacing="0"/>
        <w:jc w:val="both"/>
        <w:rPr>
          <w:lang w:val="en-US"/>
        </w:rPr>
      </w:pPr>
      <w:r w:rsidRPr="008B2EDF">
        <w:rPr>
          <w:lang w:val="en-US"/>
        </w:rPr>
        <w:t>(Accessed: 20 September 2025)</w:t>
      </w:r>
    </w:p>
    <w:p w14:paraId="70CC36AD" w14:textId="77777777" w:rsidR="00E94180" w:rsidRPr="008B2EDF" w:rsidRDefault="00E94180" w:rsidP="004F17FF">
      <w:pPr>
        <w:pStyle w:val="NormalWeb"/>
        <w:spacing w:before="0" w:beforeAutospacing="0" w:after="0" w:afterAutospacing="0"/>
        <w:jc w:val="both"/>
      </w:pPr>
      <w:r w:rsidRPr="008B2EDF">
        <w:t xml:space="preserve">Salmons, J.E. (2019). </w:t>
      </w:r>
      <w:r w:rsidRPr="008B2EDF">
        <w:rPr>
          <w:i/>
          <w:iCs/>
        </w:rPr>
        <w:t>Find the Theory in Your Research</w:t>
      </w:r>
      <w:r w:rsidRPr="008B2EDF">
        <w:t>. [e-book]</w:t>
      </w:r>
    </w:p>
    <w:p w14:paraId="655A8DD2" w14:textId="77777777" w:rsidR="00E94180" w:rsidRPr="008B2EDF" w:rsidRDefault="00E94180" w:rsidP="004F17FF">
      <w:pPr>
        <w:pStyle w:val="NormalWeb"/>
        <w:spacing w:before="0" w:beforeAutospacing="0" w:after="0" w:afterAutospacing="0"/>
        <w:jc w:val="both"/>
      </w:pPr>
      <w:r w:rsidRPr="008B2EDF">
        <w:t>Books:SAGE Publications</w:t>
      </w:r>
    </w:p>
    <w:p w14:paraId="3274A109" w14:textId="25C6E8CF" w:rsidR="00E94180" w:rsidRPr="008B2EDF" w:rsidRDefault="00E94180" w:rsidP="004F17FF">
      <w:pPr>
        <w:pStyle w:val="NormalWeb"/>
        <w:spacing w:before="0" w:beforeAutospacing="0" w:after="0" w:afterAutospacing="0"/>
        <w:jc w:val="both"/>
      </w:pPr>
      <w:r w:rsidRPr="008B2EDF">
        <w:t>(Accessed: 27 june 2025)</w:t>
      </w:r>
    </w:p>
    <w:p w14:paraId="3F52B25B" w14:textId="77777777" w:rsidR="00E94180" w:rsidRPr="008B2EDF" w:rsidRDefault="00E94180" w:rsidP="004F17FF">
      <w:pPr>
        <w:pStyle w:val="NormalWeb"/>
        <w:spacing w:before="0" w:beforeAutospacing="0" w:after="0" w:afterAutospacing="0"/>
        <w:jc w:val="both"/>
      </w:pPr>
      <w:r w:rsidRPr="008B2EDF">
        <w:t xml:space="preserve">Saunders, M., Thornhill, A. and Lewis, P. (2016). </w:t>
      </w:r>
      <w:r w:rsidRPr="008B2EDF">
        <w:rPr>
          <w:i/>
          <w:iCs/>
        </w:rPr>
        <w:t>Research Methods for Business Students</w:t>
      </w:r>
      <w:r w:rsidRPr="008B2EDF">
        <w:t>. 7th ed.</w:t>
      </w:r>
    </w:p>
    <w:p w14:paraId="76E9E793" w14:textId="699D041E" w:rsidR="00E94180" w:rsidRPr="008B2EDF" w:rsidRDefault="00E94180" w:rsidP="004F17FF">
      <w:pPr>
        <w:pStyle w:val="NormalWeb"/>
        <w:spacing w:before="0" w:beforeAutospacing="0" w:after="0" w:afterAutospacing="0"/>
        <w:jc w:val="both"/>
      </w:pPr>
      <w:r w:rsidRPr="008B2EDF">
        <w:t xml:space="preserve"> Harlow: Pearson Education.</w:t>
      </w:r>
    </w:p>
    <w:p w14:paraId="0665F23C" w14:textId="77777777" w:rsidR="00E94180" w:rsidRPr="008B2EDF" w:rsidRDefault="00E94180" w:rsidP="004F17FF">
      <w:pPr>
        <w:pStyle w:val="NormalWeb"/>
        <w:spacing w:before="0" w:beforeAutospacing="0" w:after="0" w:afterAutospacing="0"/>
        <w:jc w:val="both"/>
      </w:pPr>
      <w:r w:rsidRPr="008B2EDF">
        <w:t xml:space="preserve">Schmid, C. (2022). </w:t>
      </w:r>
      <w:bookmarkStart w:id="80" w:name="_Int_NxECXO8M"/>
      <w:r w:rsidRPr="008B2EDF">
        <w:rPr>
          <w:i/>
          <w:iCs/>
        </w:rPr>
        <w:t>Career progression and flexible working: making it work for women</w:t>
      </w:r>
      <w:r w:rsidRPr="008B2EDF">
        <w:t>.</w:t>
      </w:r>
      <w:bookmarkEnd w:id="80"/>
      <w:r w:rsidRPr="008B2EDF">
        <w:t xml:space="preserve"> [online] </w:t>
      </w:r>
      <w:r w:rsidRPr="008B2EDF">
        <w:rPr>
          <w:i/>
          <w:iCs/>
        </w:rPr>
        <w:t>King’s College London</w:t>
      </w:r>
      <w:r w:rsidRPr="008B2EDF">
        <w:t xml:space="preserve">. Global Institute for Women’s Leadership. </w:t>
      </w:r>
    </w:p>
    <w:p w14:paraId="100A96C8" w14:textId="77777777" w:rsidR="00E94180" w:rsidRPr="008B2EDF" w:rsidRDefault="00E94180" w:rsidP="004F17FF">
      <w:pPr>
        <w:pStyle w:val="NormalWeb"/>
        <w:spacing w:before="0" w:beforeAutospacing="0" w:after="0" w:afterAutospacing="0"/>
        <w:jc w:val="both"/>
      </w:pPr>
      <w:r w:rsidRPr="008B2EDF">
        <w:t xml:space="preserve">Available at: </w:t>
      </w:r>
      <w:hyperlink r:id="rId168" w:history="1">
        <w:r w:rsidRPr="008B2EDF">
          <w:rPr>
            <w:rStyle w:val="Hyperlink"/>
          </w:rPr>
          <w:t>https://kclpure.kcl.ac.uk/portal/en/publications/career-progression-and-flexible-working-making-it-work-for-women</w:t>
        </w:r>
      </w:hyperlink>
      <w:r w:rsidRPr="008B2EDF">
        <w:t xml:space="preserve"> </w:t>
      </w:r>
    </w:p>
    <w:p w14:paraId="21845366" w14:textId="091F5F8F" w:rsidR="00E94180" w:rsidRPr="008B2EDF" w:rsidRDefault="00E94180" w:rsidP="004F17FF">
      <w:pPr>
        <w:pStyle w:val="NormalWeb"/>
        <w:spacing w:before="0" w:beforeAutospacing="0" w:after="0" w:afterAutospacing="0"/>
        <w:jc w:val="both"/>
      </w:pPr>
      <w:r w:rsidRPr="008B2EDF">
        <w:t>(Accessed: 27 July 2025)</w:t>
      </w:r>
    </w:p>
    <w:p w14:paraId="0B83CE36" w14:textId="2F955EA3" w:rsidR="00E94180" w:rsidRPr="008B2EDF" w:rsidRDefault="00E94180" w:rsidP="004F17FF">
      <w:pPr>
        <w:pStyle w:val="NormalWeb"/>
        <w:spacing w:before="0" w:beforeAutospacing="0" w:after="0" w:afterAutospacing="0"/>
        <w:jc w:val="both"/>
      </w:pPr>
      <w:r w:rsidRPr="008B2EDF">
        <w:t xml:space="preserve">Smith, L. (2023). </w:t>
      </w:r>
      <w:r w:rsidRPr="008B2EDF">
        <w:rPr>
          <w:i/>
          <w:iCs/>
        </w:rPr>
        <w:t>Why the stigma around part-time work damages women’s careers</w:t>
      </w:r>
      <w:r w:rsidRPr="008B2EDF">
        <w:t>. [online] Yahoo Finance</w:t>
      </w:r>
    </w:p>
    <w:p w14:paraId="5A8AAAAF" w14:textId="77777777" w:rsidR="00E94180" w:rsidRPr="008B2EDF" w:rsidRDefault="00E94180" w:rsidP="004F17FF">
      <w:pPr>
        <w:pStyle w:val="NormalWeb"/>
        <w:spacing w:before="0" w:beforeAutospacing="0" w:after="0" w:afterAutospacing="0"/>
        <w:jc w:val="both"/>
      </w:pPr>
      <w:r w:rsidRPr="008B2EDF">
        <w:t xml:space="preserve">Available at: </w:t>
      </w:r>
      <w:hyperlink r:id="rId169" w:history="1">
        <w:r w:rsidRPr="008B2EDF">
          <w:rPr>
            <w:rStyle w:val="Hyperlink"/>
          </w:rPr>
          <w:t>https://uk.finance.yahoo.com/news/stigma-part-time-work-damages-womens-careers-060032993.html</w:t>
        </w:r>
      </w:hyperlink>
    </w:p>
    <w:p w14:paraId="14C2D6D7" w14:textId="77777777" w:rsidR="00E94180" w:rsidRPr="008B2EDF" w:rsidRDefault="00E94180" w:rsidP="004F17FF">
      <w:pPr>
        <w:pStyle w:val="NormalWeb"/>
        <w:spacing w:before="0" w:beforeAutospacing="0" w:after="0" w:afterAutospacing="0"/>
        <w:jc w:val="both"/>
      </w:pPr>
      <w:r w:rsidRPr="008B2EDF">
        <w:t xml:space="preserve"> (Accessed: 27 June  2025).</w:t>
      </w:r>
    </w:p>
    <w:p w14:paraId="47722C53" w14:textId="77777777" w:rsidR="00E94180" w:rsidRPr="008B2EDF" w:rsidRDefault="00E94180" w:rsidP="004F17FF">
      <w:pPr>
        <w:pStyle w:val="NormalWeb"/>
        <w:spacing w:before="0" w:beforeAutospacing="0" w:after="0" w:afterAutospacing="0"/>
        <w:jc w:val="both"/>
        <w:rPr>
          <w:lang w:val="en-US"/>
        </w:rPr>
      </w:pPr>
      <w:r w:rsidRPr="008B2EDF">
        <w:rPr>
          <w:lang w:val="en-US"/>
        </w:rPr>
        <w:t xml:space="preserve">Saunders, M.N., Lewis, P., and Thornhill, A. (2023). </w:t>
      </w:r>
      <w:r w:rsidRPr="008B2EDF">
        <w:rPr>
          <w:i/>
          <w:iCs/>
          <w:lang w:val="en-US"/>
        </w:rPr>
        <w:t>Research Methods for Business Students</w:t>
      </w:r>
      <w:r w:rsidRPr="008B2EDF">
        <w:rPr>
          <w:lang w:val="en-US"/>
        </w:rPr>
        <w:t>. [online] ResearchGate.</w:t>
      </w:r>
    </w:p>
    <w:p w14:paraId="021B373C" w14:textId="77777777" w:rsidR="00E94180" w:rsidRPr="008B2EDF" w:rsidRDefault="00E94180" w:rsidP="004F17FF">
      <w:pPr>
        <w:pStyle w:val="NormalWeb"/>
        <w:spacing w:before="0" w:beforeAutospacing="0" w:after="0" w:afterAutospacing="0"/>
        <w:jc w:val="both"/>
        <w:rPr>
          <w:lang w:val="en-US"/>
        </w:rPr>
      </w:pPr>
      <w:r w:rsidRPr="008B2EDF">
        <w:rPr>
          <w:lang w:val="en-US"/>
        </w:rPr>
        <w:t xml:space="preserve"> Available at: </w:t>
      </w:r>
      <w:hyperlink r:id="rId170" w:history="1">
        <w:r w:rsidRPr="008B2EDF">
          <w:rPr>
            <w:rStyle w:val="Hyperlink"/>
            <w:lang w:val="en-US"/>
          </w:rPr>
          <w:t>https://www.researchgate.net/publication/240218229_Research_Methods_for_Business_Students</w:t>
        </w:r>
      </w:hyperlink>
      <w:r w:rsidRPr="008B2EDF">
        <w:rPr>
          <w:lang w:val="en-US"/>
        </w:rPr>
        <w:t>.</w:t>
      </w:r>
    </w:p>
    <w:p w14:paraId="723D8AD8" w14:textId="3E0C6D84" w:rsidR="00E94180" w:rsidRPr="008B2EDF" w:rsidRDefault="00E94180" w:rsidP="004F17FF">
      <w:pPr>
        <w:pStyle w:val="NormalWeb"/>
        <w:spacing w:before="0" w:beforeAutospacing="0" w:after="0" w:afterAutospacing="0"/>
        <w:jc w:val="both"/>
      </w:pPr>
      <w:r w:rsidRPr="008B2EDF">
        <w:t>(Accessed: 2 September 2025)</w:t>
      </w:r>
    </w:p>
    <w:p w14:paraId="3E04689F" w14:textId="77777777" w:rsidR="00E94180" w:rsidRPr="008B2EDF" w:rsidRDefault="00E94180" w:rsidP="004F17FF">
      <w:pPr>
        <w:pStyle w:val="NormalWeb"/>
        <w:spacing w:before="0" w:beforeAutospacing="0" w:after="0" w:afterAutospacing="0"/>
        <w:jc w:val="both"/>
        <w:rPr>
          <w:lang w:val="en-US"/>
        </w:rPr>
      </w:pPr>
      <w:r w:rsidRPr="008B2EDF">
        <w:rPr>
          <w:lang w:val="en-US"/>
        </w:rPr>
        <w:t xml:space="preserve">Simkus, J. (2023). </w:t>
      </w:r>
      <w:r w:rsidRPr="008B2EDF">
        <w:rPr>
          <w:i/>
          <w:iCs/>
          <w:lang w:val="en-US"/>
        </w:rPr>
        <w:t>ANOVA (Analysis of Variance): Definition, Types, &amp; Examples - Simply Psychology</w:t>
      </w:r>
      <w:r w:rsidRPr="008B2EDF">
        <w:rPr>
          <w:lang w:val="en-US"/>
        </w:rPr>
        <w:t xml:space="preserve">. [online] www.simplypsychology.org. </w:t>
      </w:r>
    </w:p>
    <w:p w14:paraId="4A2E61D2" w14:textId="77777777" w:rsidR="00E94180" w:rsidRPr="008B2EDF" w:rsidRDefault="00E94180" w:rsidP="004F17FF">
      <w:pPr>
        <w:pStyle w:val="NormalWeb"/>
        <w:spacing w:before="0" w:beforeAutospacing="0" w:after="0" w:afterAutospacing="0"/>
        <w:jc w:val="both"/>
        <w:rPr>
          <w:lang w:val="en-US"/>
        </w:rPr>
      </w:pPr>
      <w:r w:rsidRPr="008B2EDF">
        <w:rPr>
          <w:lang w:val="en-US"/>
        </w:rPr>
        <w:t xml:space="preserve">Available at: </w:t>
      </w:r>
      <w:hyperlink r:id="rId171" w:history="1">
        <w:r w:rsidRPr="008B2EDF">
          <w:rPr>
            <w:rStyle w:val="Hyperlink"/>
            <w:lang w:val="en-US"/>
          </w:rPr>
          <w:t>https://www.simplypsychology.org/anova.html</w:t>
        </w:r>
      </w:hyperlink>
      <w:r w:rsidRPr="008B2EDF">
        <w:rPr>
          <w:lang w:val="en-US"/>
        </w:rPr>
        <w:t xml:space="preserve"> </w:t>
      </w:r>
    </w:p>
    <w:p w14:paraId="686A61A7" w14:textId="4AEFDE16" w:rsidR="00E94180" w:rsidRPr="008B2EDF" w:rsidRDefault="00E94180" w:rsidP="004F17FF">
      <w:pPr>
        <w:pStyle w:val="NormalWeb"/>
        <w:spacing w:before="0" w:beforeAutospacing="0" w:after="0" w:afterAutospacing="0"/>
        <w:jc w:val="both"/>
      </w:pPr>
      <w:r w:rsidRPr="008B2EDF">
        <w:t>(Accessed: 2 September 2025)</w:t>
      </w:r>
    </w:p>
    <w:p w14:paraId="54312227" w14:textId="77777777" w:rsidR="00E94180" w:rsidRPr="008B2EDF" w:rsidRDefault="00E94180" w:rsidP="004F17FF">
      <w:pPr>
        <w:pStyle w:val="NormalWeb"/>
        <w:spacing w:before="0" w:beforeAutospacing="0" w:after="0" w:afterAutospacing="0"/>
        <w:jc w:val="both"/>
        <w:rPr>
          <w:lang w:val="en-US"/>
        </w:rPr>
      </w:pPr>
      <w:r w:rsidRPr="008B2EDF">
        <w:rPr>
          <w:lang w:val="en-US"/>
        </w:rPr>
        <w:lastRenderedPageBreak/>
        <w:t xml:space="preserve">Smith, L. (2023). </w:t>
      </w:r>
      <w:r w:rsidRPr="008B2EDF">
        <w:rPr>
          <w:i/>
          <w:iCs/>
          <w:lang w:val="en-US"/>
        </w:rPr>
        <w:t>Why the stigma around part-time work damages women’s careers</w:t>
      </w:r>
      <w:r w:rsidRPr="008B2EDF">
        <w:rPr>
          <w:lang w:val="en-US"/>
        </w:rPr>
        <w:t>. [online] Yahoo! finance.</w:t>
      </w:r>
    </w:p>
    <w:p w14:paraId="7BF80DE0" w14:textId="77777777" w:rsidR="00E94180" w:rsidRPr="008B2EDF" w:rsidRDefault="00E94180" w:rsidP="004F17FF">
      <w:pPr>
        <w:pStyle w:val="NormalWeb"/>
        <w:spacing w:before="0" w:beforeAutospacing="0" w:after="0" w:afterAutospacing="0"/>
        <w:jc w:val="both"/>
        <w:rPr>
          <w:lang w:val="en-US"/>
        </w:rPr>
      </w:pPr>
      <w:r w:rsidRPr="008B2EDF">
        <w:rPr>
          <w:lang w:val="en-US"/>
        </w:rPr>
        <w:t xml:space="preserve"> Available at: </w:t>
      </w:r>
      <w:hyperlink r:id="rId172" w:history="1">
        <w:r w:rsidRPr="008B2EDF">
          <w:rPr>
            <w:rStyle w:val="Hyperlink"/>
            <w:lang w:val="en-US"/>
          </w:rPr>
          <w:t>https://uk.finance.yahoo.com/news/stigma-part-time-work-damages-womens-careers-060032993.html?guccounter=1&amp;guce_referrer=aHR0cHM6Ly93d3cuZ29vZ2xlLmNvbS8&amp;guce_referrer_sig=AQAAAI99ZqF2R8oame4LiYXfAaoexN04LVAOc1nT8Yb4svIkg5XGTEkJtT_gXCLo5p5YhzvMys-t0zf9MlH-nIqt9qpY89pHVN04XRbdHBqW6OpEPDj_tn6wGZjr91IrgdqORkV_ex9lriujVl1FYUaTeL27yeMFU4hhv19JDbACFdxs</w:t>
        </w:r>
      </w:hyperlink>
      <w:r w:rsidRPr="008B2EDF">
        <w:rPr>
          <w:lang w:val="en-US"/>
        </w:rPr>
        <w:t xml:space="preserve"> </w:t>
      </w:r>
    </w:p>
    <w:p w14:paraId="10D1CBCA" w14:textId="5728DA13" w:rsidR="00E94180" w:rsidRPr="008B2EDF" w:rsidRDefault="00E94180" w:rsidP="004F17FF">
      <w:pPr>
        <w:pStyle w:val="NormalWeb"/>
        <w:spacing w:before="0" w:beforeAutospacing="0" w:after="0" w:afterAutospacing="0"/>
        <w:jc w:val="both"/>
      </w:pPr>
      <w:r w:rsidRPr="008B2EDF">
        <w:t>(Accessed: 2 September 2025)</w:t>
      </w:r>
    </w:p>
    <w:p w14:paraId="5B83BCA7" w14:textId="7D2A0112" w:rsidR="00E94180" w:rsidRPr="008B2EDF" w:rsidRDefault="00E94180" w:rsidP="004F17FF">
      <w:pPr>
        <w:pStyle w:val="NormalWeb"/>
        <w:spacing w:before="0" w:beforeAutospacing="0" w:after="0" w:afterAutospacing="0"/>
        <w:jc w:val="both"/>
        <w:rPr>
          <w:lang w:val="en-US"/>
        </w:rPr>
      </w:pPr>
      <w:r w:rsidRPr="008B2EDF">
        <w:rPr>
          <w:lang w:val="en-US"/>
        </w:rPr>
        <w:t xml:space="preserve">Smith, N. (2025). </w:t>
      </w:r>
      <w:r w:rsidRPr="008B2EDF">
        <w:rPr>
          <w:i/>
          <w:iCs/>
          <w:lang w:val="en-US"/>
        </w:rPr>
        <w:t>Why employers don’t offer flexible jobs up front (and why they should)</w:t>
      </w:r>
      <w:r w:rsidRPr="008B2EDF">
        <w:rPr>
          <w:lang w:val="en-US"/>
        </w:rPr>
        <w:t xml:space="preserve">. [online] Timewise. </w:t>
      </w:r>
    </w:p>
    <w:p w14:paraId="67E93C51" w14:textId="77777777" w:rsidR="00E94180" w:rsidRPr="008B2EDF" w:rsidRDefault="00E94180" w:rsidP="004F17FF">
      <w:pPr>
        <w:pStyle w:val="NormalWeb"/>
        <w:spacing w:before="0" w:beforeAutospacing="0" w:after="0" w:afterAutospacing="0"/>
        <w:jc w:val="both"/>
        <w:rPr>
          <w:lang w:val="en-US"/>
        </w:rPr>
      </w:pPr>
      <w:r w:rsidRPr="008B2EDF">
        <w:rPr>
          <w:lang w:val="en-US"/>
        </w:rPr>
        <w:t xml:space="preserve">Available at: </w:t>
      </w:r>
      <w:hyperlink r:id="rId173" w:history="1">
        <w:r w:rsidRPr="008B2EDF">
          <w:rPr>
            <w:rStyle w:val="Hyperlink"/>
            <w:lang w:val="en-US"/>
          </w:rPr>
          <w:t>https://timewise.co.uk/article/why-employers-dont-offer-flexible-jobs-up-front-and-why-they-should/</w:t>
        </w:r>
      </w:hyperlink>
      <w:r w:rsidRPr="008B2EDF">
        <w:rPr>
          <w:lang w:val="en-US"/>
        </w:rPr>
        <w:t xml:space="preserve"> </w:t>
      </w:r>
    </w:p>
    <w:p w14:paraId="79BBCD9C" w14:textId="77777777" w:rsidR="00E94180" w:rsidRPr="008B2EDF" w:rsidRDefault="00E94180" w:rsidP="004F17FF">
      <w:pPr>
        <w:pStyle w:val="NormalWeb"/>
        <w:spacing w:before="0" w:beforeAutospacing="0" w:after="0" w:afterAutospacing="0"/>
        <w:jc w:val="both"/>
        <w:rPr>
          <w:lang w:val="en-US"/>
        </w:rPr>
      </w:pPr>
      <w:r w:rsidRPr="008B2EDF">
        <w:rPr>
          <w:lang w:val="en-US"/>
        </w:rPr>
        <w:t>(Accessed: 27 July 2025)</w:t>
      </w:r>
    </w:p>
    <w:p w14:paraId="34CBBFE0" w14:textId="77777777" w:rsidR="00E94180" w:rsidRPr="008B2EDF" w:rsidRDefault="00E94180" w:rsidP="004F17FF">
      <w:pPr>
        <w:pStyle w:val="NormalWeb"/>
        <w:spacing w:before="0" w:beforeAutospacing="0" w:after="0" w:afterAutospacing="0"/>
        <w:jc w:val="both"/>
        <w:rPr>
          <w:lang w:val="en-US"/>
        </w:rPr>
      </w:pPr>
      <w:r w:rsidRPr="008B2EDF">
        <w:rPr>
          <w:lang w:val="en-US"/>
        </w:rPr>
        <w:t xml:space="preserve">Stantcheva, S. (2022). How to Run Surveys: A Guide to Creating Your Own Identifying Variation and Revealing the Invisible. </w:t>
      </w:r>
      <w:r w:rsidRPr="008B2EDF">
        <w:rPr>
          <w:i/>
          <w:iCs/>
          <w:lang w:val="en-US"/>
        </w:rPr>
        <w:t>SSRN Electronic Journal</w:t>
      </w:r>
      <w:r w:rsidRPr="008B2EDF">
        <w:rPr>
          <w:lang w:val="en-US"/>
        </w:rPr>
        <w:t xml:space="preserve">. [online] </w:t>
      </w:r>
    </w:p>
    <w:p w14:paraId="078CC4ED" w14:textId="77777777" w:rsidR="00E94180" w:rsidRPr="008B2EDF" w:rsidRDefault="00E94180" w:rsidP="004F17FF">
      <w:pPr>
        <w:pStyle w:val="NormalWeb"/>
        <w:spacing w:before="0" w:beforeAutospacing="0" w:after="0" w:afterAutospacing="0"/>
        <w:jc w:val="both"/>
        <w:rPr>
          <w:lang w:val="en-US"/>
        </w:rPr>
      </w:pPr>
      <w:r w:rsidRPr="008B2EDF">
        <w:rPr>
          <w:lang w:val="en-US"/>
        </w:rPr>
        <w:t xml:space="preserve"> Available at: </w:t>
      </w:r>
      <w:hyperlink r:id="rId174" w:history="1">
        <w:r w:rsidRPr="008B2EDF">
          <w:rPr>
            <w:rStyle w:val="Hyperlink"/>
            <w:lang w:val="en-US"/>
          </w:rPr>
          <w:t>https://doi.org/10.2139/ssrn.4238254</w:t>
        </w:r>
      </w:hyperlink>
    </w:p>
    <w:p w14:paraId="3B8EC69E" w14:textId="6CD57D15" w:rsidR="00E94180" w:rsidRPr="008B2EDF" w:rsidRDefault="00E94180" w:rsidP="004F17FF">
      <w:pPr>
        <w:pStyle w:val="NormalWeb"/>
        <w:spacing w:before="0" w:beforeAutospacing="0" w:after="0" w:afterAutospacing="0"/>
        <w:jc w:val="both"/>
      </w:pPr>
      <w:r w:rsidRPr="008B2EDF">
        <w:t>(Accessed: 2 September 2025)</w:t>
      </w:r>
    </w:p>
    <w:p w14:paraId="6F666187" w14:textId="77777777" w:rsidR="00E94180" w:rsidRPr="008B2EDF" w:rsidRDefault="00E94180" w:rsidP="004F17FF">
      <w:pPr>
        <w:pStyle w:val="NormalWeb"/>
        <w:spacing w:before="0" w:beforeAutospacing="0" w:after="0" w:afterAutospacing="0"/>
        <w:jc w:val="both"/>
      </w:pPr>
      <w:r w:rsidRPr="008B2EDF">
        <w:t>Taylor, M. (2017). Good Work: the Taylor review of modern working practices. Journal of Applied Philosophy, [online] 34(1).</w:t>
      </w:r>
    </w:p>
    <w:p w14:paraId="5100D999" w14:textId="010946E5" w:rsidR="00E94180" w:rsidRPr="008B2EDF" w:rsidRDefault="00E94180" w:rsidP="004F17FF">
      <w:pPr>
        <w:pStyle w:val="NormalWeb"/>
        <w:spacing w:before="0" w:beforeAutospacing="0" w:after="0" w:afterAutospacing="0"/>
        <w:jc w:val="both"/>
      </w:pPr>
      <w:r w:rsidRPr="008B2EDF">
        <w:t xml:space="preserve">  Available at: </w:t>
      </w:r>
      <w:hyperlink r:id="rId175" w:history="1">
        <w:r w:rsidRPr="008B2EDF">
          <w:rPr>
            <w:rStyle w:val="Hyperlink"/>
          </w:rPr>
          <w:t>https://doi.org/10.1111/japp.12137</w:t>
        </w:r>
      </w:hyperlink>
      <w:r w:rsidRPr="008B2EDF">
        <w:t xml:space="preserve"> </w:t>
      </w:r>
    </w:p>
    <w:p w14:paraId="694EB857" w14:textId="7F145A08" w:rsidR="00E94180" w:rsidRPr="008B2EDF" w:rsidRDefault="00E94180" w:rsidP="004F17FF">
      <w:pPr>
        <w:pStyle w:val="NormalWeb"/>
        <w:spacing w:before="0" w:beforeAutospacing="0" w:after="0" w:afterAutospacing="0"/>
        <w:jc w:val="both"/>
      </w:pPr>
      <w:r w:rsidRPr="008B2EDF">
        <w:t>(Accessed: 20 September 2025)</w:t>
      </w:r>
    </w:p>
    <w:p w14:paraId="0C02DE4A" w14:textId="77777777" w:rsidR="00E94180" w:rsidRPr="008B2EDF" w:rsidRDefault="00E94180" w:rsidP="004F17FF">
      <w:pPr>
        <w:pStyle w:val="NormalWeb"/>
        <w:spacing w:before="0" w:beforeAutospacing="0" w:after="0" w:afterAutospacing="0"/>
        <w:jc w:val="both"/>
      </w:pPr>
      <w:r w:rsidRPr="008B2EDF">
        <w:t xml:space="preserve">The Pipeline (2024). The Pipeline Women Count Report 2024 | Women Count Reports. [online] Execpipeline.com. </w:t>
      </w:r>
    </w:p>
    <w:p w14:paraId="651679F3" w14:textId="77777777" w:rsidR="00E94180" w:rsidRPr="008B2EDF" w:rsidRDefault="00E94180" w:rsidP="004F17FF">
      <w:pPr>
        <w:pStyle w:val="NormalWeb"/>
        <w:spacing w:before="0" w:beforeAutospacing="0" w:after="0" w:afterAutospacing="0"/>
        <w:jc w:val="both"/>
      </w:pPr>
      <w:r w:rsidRPr="008B2EDF">
        <w:t xml:space="preserve">Available at: </w:t>
      </w:r>
      <w:hyperlink r:id="rId176" w:history="1">
        <w:r w:rsidRPr="008B2EDF">
          <w:rPr>
            <w:rStyle w:val="Hyperlink"/>
          </w:rPr>
          <w:t>https://www.execpipeline.com/women-count/women-count-2024/</w:t>
        </w:r>
      </w:hyperlink>
      <w:r w:rsidRPr="008B2EDF">
        <w:t xml:space="preserve"> </w:t>
      </w:r>
    </w:p>
    <w:p w14:paraId="093FA31E" w14:textId="4B511701" w:rsidR="00E94180" w:rsidRPr="008B2EDF" w:rsidRDefault="00E94180" w:rsidP="004F17FF">
      <w:pPr>
        <w:pStyle w:val="NormalWeb"/>
        <w:spacing w:before="0" w:beforeAutospacing="0" w:after="0" w:afterAutospacing="0"/>
        <w:jc w:val="both"/>
      </w:pPr>
      <w:r w:rsidRPr="008B2EDF">
        <w:t>(Accessed: 20 September 2025)</w:t>
      </w:r>
    </w:p>
    <w:p w14:paraId="69616759" w14:textId="77777777" w:rsidR="00E94180" w:rsidRPr="008B2EDF" w:rsidRDefault="00E94180" w:rsidP="004F17FF">
      <w:pPr>
        <w:pStyle w:val="NormalWeb"/>
        <w:spacing w:before="0" w:beforeAutospacing="0" w:after="0" w:afterAutospacing="0"/>
        <w:jc w:val="both"/>
      </w:pPr>
      <w:r w:rsidRPr="008B2EDF">
        <w:t xml:space="preserve">TheKnowledgeAcademy (2024). Equity in the workplace: What It Is and Why It’s Crucial. [online] Theknowledgeacademy.com. </w:t>
      </w:r>
    </w:p>
    <w:p w14:paraId="58C6BD0A" w14:textId="77777777" w:rsidR="00E94180" w:rsidRPr="008B2EDF" w:rsidRDefault="00E94180" w:rsidP="004F17FF">
      <w:pPr>
        <w:pStyle w:val="NormalWeb"/>
        <w:spacing w:before="0" w:beforeAutospacing="0" w:after="0" w:afterAutospacing="0"/>
        <w:jc w:val="both"/>
      </w:pPr>
      <w:r w:rsidRPr="008B2EDF">
        <w:t xml:space="preserve">Available at: </w:t>
      </w:r>
      <w:hyperlink r:id="rId177" w:history="1">
        <w:r w:rsidRPr="008B2EDF">
          <w:rPr>
            <w:rStyle w:val="Hyperlink"/>
          </w:rPr>
          <w:t>https://www.theknowledgeacademy.com/blog/equity-in-the-workplace/</w:t>
        </w:r>
      </w:hyperlink>
      <w:r w:rsidRPr="008B2EDF">
        <w:t xml:space="preserve"> </w:t>
      </w:r>
    </w:p>
    <w:p w14:paraId="007AD501" w14:textId="1F1E220F" w:rsidR="00E94180" w:rsidRPr="008B2EDF" w:rsidRDefault="00E94180" w:rsidP="004F17FF">
      <w:pPr>
        <w:pStyle w:val="NormalWeb"/>
        <w:spacing w:before="0" w:beforeAutospacing="0" w:after="0" w:afterAutospacing="0"/>
        <w:jc w:val="both"/>
      </w:pPr>
      <w:r w:rsidRPr="008B2EDF">
        <w:t>(Accessed: 20 September 2025)</w:t>
      </w:r>
    </w:p>
    <w:p w14:paraId="034A3F1D" w14:textId="77777777" w:rsidR="00E94180" w:rsidRPr="008B2EDF" w:rsidRDefault="00E94180" w:rsidP="004F17FF">
      <w:pPr>
        <w:pStyle w:val="NormalWeb"/>
        <w:spacing w:before="0" w:beforeAutospacing="0" w:after="0" w:afterAutospacing="0"/>
        <w:jc w:val="both"/>
      </w:pPr>
      <w:r w:rsidRPr="008B2EDF">
        <w:t xml:space="preserve">Ting, H., Memon, M.A., Thurasamy, R. and Cheah, J.-H. (2025). Snowball Sampling: a Review and Guidelines for Survey Research. Asian Journal of Business Research, [online] 15(1), pp.1–15. </w:t>
      </w:r>
    </w:p>
    <w:p w14:paraId="5263F468" w14:textId="77777777" w:rsidR="00E94180" w:rsidRPr="008B2EDF" w:rsidRDefault="00E94180" w:rsidP="004F17FF">
      <w:pPr>
        <w:pStyle w:val="NormalWeb"/>
        <w:spacing w:before="0" w:beforeAutospacing="0" w:after="0" w:afterAutospacing="0"/>
        <w:jc w:val="both"/>
      </w:pPr>
      <w:r w:rsidRPr="008B2EDF">
        <w:t xml:space="preserve"> Available at: </w:t>
      </w:r>
      <w:hyperlink r:id="rId178" w:history="1">
        <w:r w:rsidRPr="008B2EDF">
          <w:rPr>
            <w:rStyle w:val="Hyperlink"/>
          </w:rPr>
          <w:t>https://doi.org/10.14707/ajbr.250186</w:t>
        </w:r>
      </w:hyperlink>
      <w:r w:rsidRPr="008B2EDF">
        <w:t xml:space="preserve"> </w:t>
      </w:r>
    </w:p>
    <w:p w14:paraId="35845A8A" w14:textId="1F03DE1C" w:rsidR="00E94180" w:rsidRPr="008B2EDF" w:rsidRDefault="00E94180" w:rsidP="004F17FF">
      <w:pPr>
        <w:pStyle w:val="NormalWeb"/>
        <w:spacing w:before="0" w:beforeAutospacing="0" w:after="0" w:afterAutospacing="0"/>
        <w:jc w:val="both"/>
      </w:pPr>
      <w:r w:rsidRPr="008B2EDF">
        <w:t>(Accessed: 20 July 2025)</w:t>
      </w:r>
    </w:p>
    <w:p w14:paraId="3192431D" w14:textId="77777777" w:rsidR="00E94180" w:rsidRPr="008B2EDF" w:rsidRDefault="00E94180" w:rsidP="004F17FF">
      <w:pPr>
        <w:pStyle w:val="NormalWeb"/>
        <w:spacing w:before="0" w:beforeAutospacing="0" w:after="0" w:afterAutospacing="0"/>
        <w:jc w:val="both"/>
      </w:pPr>
      <w:r w:rsidRPr="008B2EDF">
        <w:t xml:space="preserve">Tomaselli, A. (2025). Intersectional analysis of gender employment gaps in multilingual wealthy regions. Cogent Social Sciences, 11(1). </w:t>
      </w:r>
    </w:p>
    <w:p w14:paraId="5325875A" w14:textId="77777777" w:rsidR="00E94180" w:rsidRPr="008B2EDF" w:rsidRDefault="00E94180" w:rsidP="004F17FF">
      <w:pPr>
        <w:pStyle w:val="NormalWeb"/>
        <w:spacing w:before="0" w:beforeAutospacing="0" w:after="0" w:afterAutospacing="0"/>
        <w:jc w:val="both"/>
      </w:pPr>
      <w:r w:rsidRPr="008B2EDF">
        <w:t xml:space="preserve"> Available at: </w:t>
      </w:r>
      <w:hyperlink r:id="rId179" w:history="1">
        <w:r w:rsidRPr="008B2EDF">
          <w:rPr>
            <w:rStyle w:val="Hyperlink"/>
          </w:rPr>
          <w:t>https://doi.org/10.1080/23311886.2025.2505127</w:t>
        </w:r>
      </w:hyperlink>
      <w:r w:rsidRPr="008B2EDF">
        <w:t xml:space="preserve"> </w:t>
      </w:r>
    </w:p>
    <w:p w14:paraId="11EC1E34" w14:textId="1BAE3FFA" w:rsidR="00E94180" w:rsidRPr="008B2EDF" w:rsidRDefault="00E94180" w:rsidP="004F17FF">
      <w:pPr>
        <w:pStyle w:val="NormalWeb"/>
        <w:spacing w:before="0" w:beforeAutospacing="0" w:after="0" w:afterAutospacing="0"/>
        <w:jc w:val="both"/>
      </w:pPr>
      <w:r w:rsidRPr="008B2EDF">
        <w:t>(Accessed: 2 September 2025)</w:t>
      </w:r>
    </w:p>
    <w:p w14:paraId="2A4F7501" w14:textId="77777777" w:rsidR="00E94180" w:rsidRPr="008B2EDF" w:rsidRDefault="00E94180" w:rsidP="004F17FF">
      <w:pPr>
        <w:pStyle w:val="NormalWeb"/>
        <w:spacing w:before="0" w:beforeAutospacing="0" w:after="0" w:afterAutospacing="0"/>
        <w:jc w:val="both"/>
      </w:pPr>
      <w:r w:rsidRPr="008B2EDF">
        <w:t>Tomlinson, M. and Souto‐Otero, M. (2025). Graduates’ conceptions of meaningful work. British Educational Research Journal. Wiley.</w:t>
      </w:r>
    </w:p>
    <w:p w14:paraId="45485F1C" w14:textId="77777777" w:rsidR="00E94180" w:rsidRPr="008B2EDF" w:rsidRDefault="00E94180" w:rsidP="004F17FF">
      <w:pPr>
        <w:pStyle w:val="NormalWeb"/>
        <w:spacing w:before="0" w:beforeAutospacing="0" w:after="0" w:afterAutospacing="0"/>
        <w:jc w:val="both"/>
      </w:pPr>
      <w:r w:rsidRPr="008B2EDF">
        <w:t xml:space="preserve">  Available at: </w:t>
      </w:r>
      <w:hyperlink r:id="rId180" w:history="1">
        <w:r w:rsidRPr="008B2EDF">
          <w:rPr>
            <w:rStyle w:val="Hyperlink"/>
          </w:rPr>
          <w:t>https://doi.org/10.1002/berj.4195</w:t>
        </w:r>
      </w:hyperlink>
      <w:r w:rsidRPr="008B2EDF">
        <w:t xml:space="preserve"> </w:t>
      </w:r>
    </w:p>
    <w:p w14:paraId="2DCB2E74" w14:textId="696BF697" w:rsidR="00E94180" w:rsidRPr="008B2EDF" w:rsidRDefault="00E94180" w:rsidP="004F17FF">
      <w:pPr>
        <w:pStyle w:val="NormalWeb"/>
        <w:spacing w:before="0" w:beforeAutospacing="0" w:after="0" w:afterAutospacing="0"/>
        <w:jc w:val="both"/>
      </w:pPr>
      <w:r w:rsidRPr="008B2EDF">
        <w:t>(Accessed: 2 September 2025)</w:t>
      </w:r>
    </w:p>
    <w:p w14:paraId="66C1D55B" w14:textId="77777777" w:rsidR="00E94180" w:rsidRPr="008B2EDF" w:rsidRDefault="00E94180" w:rsidP="004F17FF">
      <w:pPr>
        <w:pStyle w:val="NormalWeb"/>
        <w:spacing w:before="0" w:beforeAutospacing="0" w:after="0" w:afterAutospacing="0"/>
        <w:jc w:val="both"/>
      </w:pPr>
      <w:r w:rsidRPr="008B2EDF">
        <w:t xml:space="preserve">Tynan, L. (2024). How to Start a Cover Letter That Grabs Attention. [online] TopResume. Available at: </w:t>
      </w:r>
      <w:hyperlink r:id="rId181" w:history="1">
        <w:r w:rsidRPr="008B2EDF">
          <w:rPr>
            <w:rStyle w:val="Hyperlink"/>
          </w:rPr>
          <w:t>https://topcv.co.uk/career-advice/the-advantages-and-disadvantages-of-part-time-employment</w:t>
        </w:r>
      </w:hyperlink>
      <w:r w:rsidRPr="008B2EDF">
        <w:t>.</w:t>
      </w:r>
    </w:p>
    <w:p w14:paraId="17F4D7B8" w14:textId="71A46D33" w:rsidR="00E94180" w:rsidRPr="008B2EDF" w:rsidRDefault="00E94180" w:rsidP="004F17FF">
      <w:pPr>
        <w:pStyle w:val="NormalWeb"/>
        <w:spacing w:before="0" w:beforeAutospacing="0" w:after="0" w:afterAutospacing="0"/>
        <w:jc w:val="both"/>
      </w:pPr>
      <w:r w:rsidRPr="008B2EDF">
        <w:t>(Accessed: 27 July 2025)</w:t>
      </w:r>
    </w:p>
    <w:p w14:paraId="2704600C" w14:textId="77777777" w:rsidR="00E94180" w:rsidRPr="008B2EDF" w:rsidRDefault="00E94180" w:rsidP="004F17FF">
      <w:pPr>
        <w:pStyle w:val="NormalWeb"/>
        <w:spacing w:before="0" w:beforeAutospacing="0" w:after="0" w:afterAutospacing="0"/>
        <w:jc w:val="both"/>
      </w:pPr>
      <w:r w:rsidRPr="008B2EDF">
        <w:t xml:space="preserve">Timewise (2023). </w:t>
      </w:r>
      <w:r w:rsidRPr="008B2EDF">
        <w:rPr>
          <w:i/>
          <w:iCs/>
        </w:rPr>
        <w:t>A Question of Time: What is happening with part-time working in the UK?</w:t>
      </w:r>
      <w:r w:rsidRPr="008B2EDF">
        <w:t xml:space="preserve"> [online] Timewise. </w:t>
      </w:r>
    </w:p>
    <w:p w14:paraId="6DE57AA8" w14:textId="77777777" w:rsidR="00E94180" w:rsidRPr="008B2EDF" w:rsidRDefault="00E94180" w:rsidP="004F17FF">
      <w:pPr>
        <w:pStyle w:val="NormalWeb"/>
        <w:spacing w:before="0" w:beforeAutospacing="0" w:after="0" w:afterAutospacing="0"/>
        <w:jc w:val="both"/>
      </w:pPr>
      <w:r w:rsidRPr="008B2EDF">
        <w:lastRenderedPageBreak/>
        <w:t xml:space="preserve">Available at: </w:t>
      </w:r>
      <w:hyperlink r:id="rId182" w:history="1">
        <w:r w:rsidRPr="008B2EDF">
          <w:rPr>
            <w:rStyle w:val="Hyperlink"/>
          </w:rPr>
          <w:t>https://timewise.co.uk/article/a-question-of-time-whats-happening-with-part-time-working-in-the-uk/</w:t>
        </w:r>
      </w:hyperlink>
      <w:r w:rsidRPr="008B2EDF">
        <w:t xml:space="preserve"> </w:t>
      </w:r>
    </w:p>
    <w:p w14:paraId="5BCFDEC1" w14:textId="24DD2012" w:rsidR="00E94180" w:rsidRPr="008B2EDF" w:rsidRDefault="00E94180" w:rsidP="004F17FF">
      <w:pPr>
        <w:pStyle w:val="NormalWeb"/>
        <w:spacing w:before="0" w:beforeAutospacing="0" w:after="0" w:afterAutospacing="0"/>
        <w:jc w:val="both"/>
      </w:pPr>
      <w:r w:rsidRPr="008B2EDF">
        <w:t>(Accessed: 27 July 2025)</w:t>
      </w:r>
    </w:p>
    <w:p w14:paraId="50A1735F" w14:textId="77777777" w:rsidR="00E94180" w:rsidRPr="008B2EDF" w:rsidRDefault="00E94180" w:rsidP="004F17FF">
      <w:pPr>
        <w:pStyle w:val="NormalWeb"/>
        <w:spacing w:before="0" w:beforeAutospacing="0" w:after="0" w:afterAutospacing="0"/>
        <w:jc w:val="both"/>
      </w:pPr>
      <w:r w:rsidRPr="008B2EDF">
        <w:t xml:space="preserve">TUC (2022). </w:t>
      </w:r>
      <w:r w:rsidRPr="008B2EDF">
        <w:rPr>
          <w:i/>
          <w:iCs/>
        </w:rPr>
        <w:t>TUC: Women much more likely than men to have flexible work arrangements that lead to loss of hours and pay</w:t>
      </w:r>
      <w:r w:rsidRPr="008B2EDF">
        <w:t xml:space="preserve">. [online] </w:t>
      </w:r>
      <w:hyperlink r:id="rId183" w:history="1">
        <w:r w:rsidRPr="008B2EDF">
          <w:rPr>
            <w:rStyle w:val="Hyperlink"/>
          </w:rPr>
          <w:t>www.tuc.org.uk</w:t>
        </w:r>
      </w:hyperlink>
      <w:r w:rsidRPr="008B2EDF">
        <w:t xml:space="preserve">. </w:t>
      </w:r>
    </w:p>
    <w:p w14:paraId="5CD3D482" w14:textId="77777777" w:rsidR="00E94180" w:rsidRPr="008B2EDF" w:rsidRDefault="00E94180" w:rsidP="004F17FF">
      <w:pPr>
        <w:pStyle w:val="NormalWeb"/>
        <w:spacing w:before="0" w:beforeAutospacing="0" w:after="0" w:afterAutospacing="0"/>
        <w:jc w:val="both"/>
      </w:pPr>
      <w:r w:rsidRPr="008B2EDF">
        <w:t xml:space="preserve">Available at: </w:t>
      </w:r>
      <w:hyperlink r:id="rId184" w:history="1">
        <w:r w:rsidRPr="008B2EDF">
          <w:rPr>
            <w:rStyle w:val="Hyperlink"/>
          </w:rPr>
          <w:t>https://www.tuc.org.uk/news/tuc-women-much-more-likely-men-have-flexible-work-arrangements-lead-loss-hours-and-pay</w:t>
        </w:r>
      </w:hyperlink>
      <w:r w:rsidRPr="008B2EDF">
        <w:t xml:space="preserve"> </w:t>
      </w:r>
    </w:p>
    <w:p w14:paraId="3649FB71" w14:textId="74C3A9C3" w:rsidR="00E94180" w:rsidRPr="008B2EDF" w:rsidRDefault="00E94180" w:rsidP="004F17FF">
      <w:pPr>
        <w:pStyle w:val="NormalWeb"/>
        <w:spacing w:before="0" w:beforeAutospacing="0" w:after="0" w:afterAutospacing="0"/>
        <w:jc w:val="both"/>
      </w:pPr>
      <w:r w:rsidRPr="008B2EDF">
        <w:t>(Accessed: 27 July 2025)</w:t>
      </w:r>
    </w:p>
    <w:p w14:paraId="6177F5A2" w14:textId="21F9D7E9" w:rsidR="00E94180" w:rsidRPr="008B2EDF" w:rsidRDefault="00E94180" w:rsidP="004F17FF">
      <w:pPr>
        <w:pStyle w:val="NormalWeb"/>
        <w:spacing w:before="0" w:beforeAutospacing="0" w:after="0" w:afterAutospacing="0"/>
        <w:jc w:val="both"/>
      </w:pPr>
      <w:r w:rsidRPr="008B2EDF">
        <w:t xml:space="preserve">Tsindos, T. (2023). </w:t>
      </w:r>
      <w:r w:rsidRPr="008B2EDF">
        <w:rPr>
          <w:i/>
          <w:iCs/>
        </w:rPr>
        <w:t>Chapter 29: Recruitment and sampling</w:t>
      </w:r>
      <w:r w:rsidRPr="008B2EDF">
        <w:t xml:space="preserve">. [online] oercollective.caul.edu.au </w:t>
      </w:r>
    </w:p>
    <w:p w14:paraId="5217225D" w14:textId="77777777" w:rsidR="00E94180" w:rsidRPr="008B2EDF" w:rsidRDefault="00E94180" w:rsidP="004F17FF">
      <w:pPr>
        <w:pStyle w:val="NormalWeb"/>
        <w:spacing w:before="0" w:beforeAutospacing="0" w:after="0" w:afterAutospacing="0"/>
        <w:jc w:val="both"/>
      </w:pPr>
      <w:r w:rsidRPr="008B2EDF">
        <w:t xml:space="preserve">Available at: </w:t>
      </w:r>
      <w:hyperlink r:id="rId185" w:history="1">
        <w:r w:rsidRPr="008B2EDF">
          <w:rPr>
            <w:rStyle w:val="Hyperlink"/>
          </w:rPr>
          <w:t>https://oercollective.caul.edu.au/qualitative-research/chapter/__unknown__-29/</w:t>
        </w:r>
      </w:hyperlink>
      <w:r w:rsidRPr="008B2EDF">
        <w:t xml:space="preserve"> </w:t>
      </w:r>
    </w:p>
    <w:p w14:paraId="5C8E33CF" w14:textId="77777777" w:rsidR="00E94180" w:rsidRPr="008B2EDF" w:rsidRDefault="00E94180" w:rsidP="004F17FF">
      <w:pPr>
        <w:pStyle w:val="NormalWeb"/>
        <w:spacing w:before="0" w:beforeAutospacing="0" w:after="0" w:afterAutospacing="0"/>
        <w:jc w:val="both"/>
      </w:pPr>
      <w:r w:rsidRPr="008B2EDF">
        <w:t>(Accessed: 20 July 2025)</w:t>
      </w:r>
    </w:p>
    <w:p w14:paraId="566666DD" w14:textId="77777777" w:rsidR="00E94180" w:rsidRPr="008B2EDF" w:rsidRDefault="00E94180" w:rsidP="004F17FF">
      <w:pPr>
        <w:pStyle w:val="NormalWeb"/>
        <w:spacing w:before="0" w:beforeAutospacing="0" w:after="0" w:afterAutospacing="0"/>
        <w:jc w:val="both"/>
        <w:rPr>
          <w:lang w:val="en-US"/>
        </w:rPr>
      </w:pPr>
      <w:r w:rsidRPr="008B2EDF">
        <w:rPr>
          <w:lang w:val="en-US"/>
        </w:rPr>
        <w:t xml:space="preserve">Varghese, J. (2024). </w:t>
      </w:r>
      <w:r w:rsidRPr="008B2EDF">
        <w:rPr>
          <w:i/>
          <w:iCs/>
          <w:lang w:val="en-US"/>
        </w:rPr>
        <w:t xml:space="preserve">Why </w:t>
      </w:r>
      <w:proofErr w:type="gramStart"/>
      <w:r w:rsidRPr="008B2EDF">
        <w:rPr>
          <w:i/>
          <w:iCs/>
          <w:lang w:val="en-US"/>
        </w:rPr>
        <w:t>Work-Life Balance Doesn’t</w:t>
      </w:r>
      <w:proofErr w:type="gramEnd"/>
      <w:r w:rsidRPr="008B2EDF">
        <w:rPr>
          <w:i/>
          <w:iCs/>
          <w:lang w:val="en-US"/>
        </w:rPr>
        <w:t xml:space="preserve"> Equal Work-Life Success</w:t>
      </w:r>
      <w:r w:rsidRPr="008B2EDF">
        <w:rPr>
          <w:lang w:val="en-US"/>
        </w:rPr>
        <w:t xml:space="preserve">? [online] AgencyAnalytics. </w:t>
      </w:r>
    </w:p>
    <w:p w14:paraId="3184FDE2" w14:textId="77777777" w:rsidR="00E94180" w:rsidRPr="008B2EDF" w:rsidRDefault="00E94180" w:rsidP="004F17FF">
      <w:pPr>
        <w:pStyle w:val="NormalWeb"/>
        <w:spacing w:before="0" w:beforeAutospacing="0" w:after="0" w:afterAutospacing="0"/>
        <w:jc w:val="both"/>
        <w:rPr>
          <w:lang w:val="en-US"/>
        </w:rPr>
      </w:pPr>
      <w:r w:rsidRPr="008B2EDF">
        <w:rPr>
          <w:lang w:val="en-US"/>
        </w:rPr>
        <w:t xml:space="preserve">Available at: </w:t>
      </w:r>
      <w:hyperlink r:id="rId186" w:history="1">
        <w:r w:rsidRPr="008B2EDF">
          <w:rPr>
            <w:rStyle w:val="Hyperlink"/>
            <w:lang w:val="en-US"/>
          </w:rPr>
          <w:t>https://agencyanalytics.com/blog/work-life-balance-vs-work-life-success</w:t>
        </w:r>
      </w:hyperlink>
      <w:r w:rsidRPr="008B2EDF">
        <w:rPr>
          <w:lang w:val="en-US"/>
        </w:rPr>
        <w:t>.</w:t>
      </w:r>
    </w:p>
    <w:p w14:paraId="3C6A7C07" w14:textId="5DD5BA93" w:rsidR="00E94180" w:rsidRPr="008B2EDF" w:rsidRDefault="00E94180" w:rsidP="004F17FF">
      <w:pPr>
        <w:pStyle w:val="NormalWeb"/>
        <w:spacing w:before="0" w:beforeAutospacing="0" w:after="0" w:afterAutospacing="0"/>
        <w:jc w:val="both"/>
      </w:pPr>
      <w:r w:rsidRPr="008B2EDF">
        <w:t>(Accessed: 12 July 2025)</w:t>
      </w:r>
    </w:p>
    <w:p w14:paraId="0A1A4A05" w14:textId="77777777" w:rsidR="00D853FC" w:rsidRPr="008B2EDF" w:rsidRDefault="00D853FC" w:rsidP="004F17FF">
      <w:pPr>
        <w:pStyle w:val="NormalWeb"/>
        <w:spacing w:before="0" w:beforeAutospacing="0"/>
        <w:contextualSpacing/>
        <w:jc w:val="both"/>
      </w:pPr>
      <w:r w:rsidRPr="008B2EDF">
        <w:t xml:space="preserve">Verdin, R. (2024). </w:t>
      </w:r>
      <w:r w:rsidRPr="008B2EDF">
        <w:rPr>
          <w:i/>
          <w:iCs/>
        </w:rPr>
        <w:t>Regulating Equal Pay in Britain: The Equality Act 2010 and Beyond</w:t>
      </w:r>
      <w:r w:rsidRPr="008B2EDF">
        <w:t xml:space="preserve">. [online] bristoluniversitypressdigital.com. </w:t>
      </w:r>
    </w:p>
    <w:p w14:paraId="1DA9F8AB" w14:textId="1D6C6DAC" w:rsidR="00D853FC" w:rsidRPr="008B2EDF" w:rsidRDefault="00D853FC" w:rsidP="004F17FF">
      <w:pPr>
        <w:pStyle w:val="NormalWeb"/>
        <w:spacing w:before="0" w:beforeAutospacing="0"/>
        <w:contextualSpacing/>
        <w:jc w:val="both"/>
      </w:pPr>
      <w:r w:rsidRPr="008B2EDF">
        <w:t xml:space="preserve">Available at: </w:t>
      </w:r>
      <w:hyperlink r:id="rId187" w:history="1">
        <w:r w:rsidRPr="008B2EDF">
          <w:rPr>
            <w:rStyle w:val="Hyperlink"/>
          </w:rPr>
          <w:t>https://bristoluniversitypressdigital.com/monochap-oa/book/9781529241129/ch003.xml</w:t>
        </w:r>
      </w:hyperlink>
      <w:r w:rsidRPr="008B2EDF">
        <w:t xml:space="preserve"> </w:t>
      </w:r>
    </w:p>
    <w:p w14:paraId="45EEF5F5" w14:textId="26AE4BFB" w:rsidR="00D853FC" w:rsidRPr="008B2EDF" w:rsidRDefault="00D853FC" w:rsidP="004F17FF">
      <w:pPr>
        <w:pStyle w:val="NormalWeb"/>
        <w:spacing w:before="0" w:beforeAutospacing="0"/>
        <w:contextualSpacing/>
        <w:jc w:val="both"/>
      </w:pPr>
      <w:r w:rsidRPr="008B2EDF">
        <w:t>(Accessed: 20 September 2025)</w:t>
      </w:r>
    </w:p>
    <w:p w14:paraId="0E48A43D" w14:textId="636E5149" w:rsidR="00E94180" w:rsidRPr="008B2EDF" w:rsidRDefault="00E94180" w:rsidP="004F17FF">
      <w:pPr>
        <w:pStyle w:val="NormalWeb"/>
        <w:spacing w:before="0" w:beforeAutospacing="0" w:after="0" w:afterAutospacing="0"/>
        <w:jc w:val="both"/>
      </w:pPr>
      <w:r w:rsidRPr="008B2EDF">
        <w:t xml:space="preserve">UK Research and Innovation (2021). </w:t>
      </w:r>
      <w:r w:rsidRPr="008B2EDF">
        <w:rPr>
          <w:i/>
          <w:iCs/>
        </w:rPr>
        <w:t>Our core principles</w:t>
      </w:r>
      <w:r w:rsidRPr="008B2EDF">
        <w:t xml:space="preserve">. [online] www.ukri.org. </w:t>
      </w:r>
    </w:p>
    <w:p w14:paraId="13D160ED" w14:textId="77777777" w:rsidR="00E94180" w:rsidRPr="008B2EDF" w:rsidRDefault="00E94180" w:rsidP="004F17FF">
      <w:pPr>
        <w:pStyle w:val="NormalWeb"/>
        <w:spacing w:before="0" w:beforeAutospacing="0" w:after="0" w:afterAutospacing="0"/>
        <w:jc w:val="both"/>
      </w:pPr>
      <w:r w:rsidRPr="008B2EDF">
        <w:t xml:space="preserve">Available at: </w:t>
      </w:r>
      <w:hyperlink r:id="rId188" w:history="1">
        <w:r w:rsidRPr="008B2EDF">
          <w:rPr>
            <w:rStyle w:val="Hyperlink"/>
          </w:rPr>
          <w:t>https://www.ukri.org/councils/esrc/guidance-for-applicants/research-ethics-guidance/framework-for-research-ethics/our-core-principles/</w:t>
        </w:r>
      </w:hyperlink>
      <w:r w:rsidRPr="008B2EDF">
        <w:t xml:space="preserve"> </w:t>
      </w:r>
    </w:p>
    <w:p w14:paraId="6601407D" w14:textId="350D4BC8" w:rsidR="00E94180" w:rsidRPr="008B2EDF" w:rsidRDefault="00E94180" w:rsidP="004F17FF">
      <w:pPr>
        <w:pStyle w:val="NormalWeb"/>
        <w:spacing w:before="0" w:beforeAutospacing="0" w:after="0" w:afterAutospacing="0"/>
        <w:jc w:val="both"/>
      </w:pPr>
      <w:r w:rsidRPr="008B2EDF">
        <w:t>(Accessed: 20 September 2025)</w:t>
      </w:r>
    </w:p>
    <w:p w14:paraId="5913E0C9" w14:textId="77777777" w:rsidR="00E94180" w:rsidRPr="008B2EDF" w:rsidRDefault="00E94180" w:rsidP="004F17FF">
      <w:pPr>
        <w:pStyle w:val="NormalWeb"/>
        <w:spacing w:before="0" w:beforeAutospacing="0" w:after="0" w:afterAutospacing="0"/>
        <w:jc w:val="both"/>
      </w:pPr>
      <w:r w:rsidRPr="008B2EDF">
        <w:t xml:space="preserve">University of Warwick (2016). Inductive or Deductive approaches. [online] university of warwick. </w:t>
      </w:r>
    </w:p>
    <w:p w14:paraId="6AA37601" w14:textId="77777777" w:rsidR="00E94180" w:rsidRPr="008B2EDF" w:rsidRDefault="00E94180" w:rsidP="004F17FF">
      <w:pPr>
        <w:pStyle w:val="NormalWeb"/>
        <w:spacing w:before="0" w:beforeAutospacing="0" w:after="0" w:afterAutospacing="0"/>
        <w:jc w:val="both"/>
      </w:pPr>
      <w:r w:rsidRPr="008B2EDF">
        <w:t xml:space="preserve">Available at: </w:t>
      </w:r>
      <w:hyperlink r:id="rId189" w:history="1">
        <w:r w:rsidRPr="008B2EDF">
          <w:rPr>
            <w:rStyle w:val="Hyperlink"/>
          </w:rPr>
          <w:t>https://warwick.ac.uk/fac/soc/ces/research/current/socialtheory/maps/when/</w:t>
        </w:r>
      </w:hyperlink>
      <w:r w:rsidRPr="008B2EDF">
        <w:t xml:space="preserve"> </w:t>
      </w:r>
    </w:p>
    <w:p w14:paraId="1BF2EF4A" w14:textId="77777777" w:rsidR="00E94180" w:rsidRPr="008B2EDF" w:rsidRDefault="00E94180" w:rsidP="004F17FF">
      <w:pPr>
        <w:pStyle w:val="NormalWeb"/>
        <w:spacing w:before="0" w:beforeAutospacing="0" w:after="0" w:afterAutospacing="0"/>
        <w:jc w:val="both"/>
      </w:pPr>
      <w:r w:rsidRPr="008B2EDF">
        <w:t>(Accessed: 25 July 2025)</w:t>
      </w:r>
    </w:p>
    <w:p w14:paraId="1913B6C7" w14:textId="77777777" w:rsidR="00E94180" w:rsidRPr="008B2EDF" w:rsidRDefault="00E94180" w:rsidP="004F17FF">
      <w:pPr>
        <w:pStyle w:val="NormalWeb"/>
        <w:spacing w:before="0" w:beforeAutospacing="0" w:after="0" w:afterAutospacing="0"/>
        <w:jc w:val="both"/>
      </w:pPr>
      <w:r w:rsidRPr="008B2EDF">
        <w:t xml:space="preserve">Watkins, D. and Gioia, D. (2015). </w:t>
      </w:r>
      <w:r w:rsidRPr="008B2EDF">
        <w:rPr>
          <w:i/>
          <w:iCs/>
        </w:rPr>
        <w:t>Mixed Methods Research</w:t>
      </w:r>
      <w:r w:rsidRPr="008B2EDF">
        <w:t xml:space="preserve">. </w:t>
      </w:r>
    </w:p>
    <w:p w14:paraId="2457A0D9" w14:textId="77777777" w:rsidR="00E94180" w:rsidRPr="008B2EDF" w:rsidRDefault="00E94180" w:rsidP="004F17FF">
      <w:pPr>
        <w:pStyle w:val="NormalWeb"/>
        <w:spacing w:before="0" w:beforeAutospacing="0" w:after="0" w:afterAutospacing="0"/>
        <w:jc w:val="both"/>
      </w:pPr>
      <w:r w:rsidRPr="008B2EDF">
        <w:t>New York: Oxford University Press</w:t>
      </w:r>
    </w:p>
    <w:p w14:paraId="50C27348" w14:textId="77777777" w:rsidR="00E94180" w:rsidRPr="008B2EDF" w:rsidRDefault="00E94180" w:rsidP="004F17FF">
      <w:pPr>
        <w:pStyle w:val="NormalWeb"/>
        <w:spacing w:before="0" w:beforeAutospacing="0" w:after="0" w:afterAutospacing="0"/>
        <w:jc w:val="both"/>
      </w:pPr>
      <w:r w:rsidRPr="008B2EDF">
        <w:t xml:space="preserve">Wells, J.E., MacAulay, D. and Quirk, M. (2024). What ‘Invisible Work’ Looks Like in the 21st Century. [online] Psychology Today. </w:t>
      </w:r>
    </w:p>
    <w:p w14:paraId="4ECD71D0" w14:textId="77777777" w:rsidR="00E94180" w:rsidRPr="008B2EDF" w:rsidRDefault="00E94180" w:rsidP="004F17FF">
      <w:pPr>
        <w:pStyle w:val="NormalWeb"/>
        <w:spacing w:before="0" w:beforeAutospacing="0" w:after="0" w:afterAutospacing="0"/>
        <w:jc w:val="both"/>
      </w:pPr>
      <w:r w:rsidRPr="008B2EDF">
        <w:t xml:space="preserve">Available at: </w:t>
      </w:r>
      <w:hyperlink r:id="rId190" w:history="1">
        <w:r w:rsidRPr="008B2EDF">
          <w:rPr>
            <w:rStyle w:val="Hyperlink"/>
          </w:rPr>
          <w:t>https://www.psychologytoday.com/gb/blog/our-invisible-work/202406/what-invisible-work-looks-like-in-the-21st-century</w:t>
        </w:r>
      </w:hyperlink>
      <w:r w:rsidRPr="008B2EDF">
        <w:t xml:space="preserve"> </w:t>
      </w:r>
    </w:p>
    <w:p w14:paraId="3A941E8A" w14:textId="77777777" w:rsidR="00E94180" w:rsidRPr="008B2EDF" w:rsidRDefault="00E94180" w:rsidP="004F17FF">
      <w:pPr>
        <w:pStyle w:val="NormalWeb"/>
        <w:spacing w:before="0" w:beforeAutospacing="0" w:after="0" w:afterAutospacing="0"/>
        <w:jc w:val="both"/>
      </w:pPr>
      <w:r w:rsidRPr="008B2EDF">
        <w:t>(Accessed: 29 July 2025)</w:t>
      </w:r>
    </w:p>
    <w:p w14:paraId="5F647623" w14:textId="77777777" w:rsidR="00E94180" w:rsidRPr="008B2EDF" w:rsidRDefault="00E94180" w:rsidP="004F17FF">
      <w:pPr>
        <w:pStyle w:val="NormalWeb"/>
        <w:spacing w:before="0" w:beforeAutospacing="0" w:after="0" w:afterAutospacing="0"/>
        <w:jc w:val="both"/>
      </w:pPr>
      <w:r w:rsidRPr="008B2EDF">
        <w:t xml:space="preserve">Welman, M.E. (2021). Securing Upward Career Mobility For Professional Women With Caregiving Responsibilities? A Critique Of The UK’s Right To Request Flexible Working. [online] </w:t>
      </w:r>
    </w:p>
    <w:p w14:paraId="2C150D09" w14:textId="77777777" w:rsidR="00E94180" w:rsidRPr="008B2EDF" w:rsidRDefault="00E94180" w:rsidP="004F17FF">
      <w:pPr>
        <w:pStyle w:val="NormalWeb"/>
        <w:spacing w:before="0" w:beforeAutospacing="0" w:after="0" w:afterAutospacing="0"/>
        <w:jc w:val="both"/>
      </w:pPr>
      <w:r w:rsidRPr="008B2EDF">
        <w:t xml:space="preserve">Available at: </w:t>
      </w:r>
      <w:hyperlink r:id="rId191" w:history="1">
        <w:r w:rsidRPr="008B2EDF">
          <w:rPr>
            <w:rStyle w:val="Hyperlink"/>
          </w:rPr>
          <w:t>https://centaur.reading.ac.uk/106944/1/23862128_Welman_thesis.pdf</w:t>
        </w:r>
      </w:hyperlink>
      <w:r w:rsidRPr="008B2EDF">
        <w:t xml:space="preserve"> </w:t>
      </w:r>
    </w:p>
    <w:p w14:paraId="3EA1D076" w14:textId="77777777" w:rsidR="00E94180" w:rsidRPr="008B2EDF" w:rsidRDefault="00E94180" w:rsidP="004F17FF">
      <w:pPr>
        <w:pStyle w:val="NormalWeb"/>
        <w:spacing w:before="0" w:beforeAutospacing="0" w:after="0" w:afterAutospacing="0"/>
        <w:jc w:val="both"/>
      </w:pPr>
      <w:r w:rsidRPr="008B2EDF">
        <w:t>(Accessed: 27 July 2025)</w:t>
      </w:r>
    </w:p>
    <w:p w14:paraId="60C70F90" w14:textId="77777777" w:rsidR="00E94180" w:rsidRPr="008B2EDF" w:rsidRDefault="00E94180" w:rsidP="004F17FF">
      <w:pPr>
        <w:pStyle w:val="NormalWeb"/>
        <w:spacing w:before="0" w:beforeAutospacing="0" w:after="0" w:afterAutospacing="0"/>
        <w:jc w:val="both"/>
      </w:pPr>
      <w:r w:rsidRPr="008B2EDF">
        <w:t xml:space="preserve">Wharton, B. (2024). Breaking Barriers: Initiatives Supporting Women’s Growth. [online] Deliberate Directions. </w:t>
      </w:r>
    </w:p>
    <w:p w14:paraId="4FACF934" w14:textId="77777777" w:rsidR="00E94180" w:rsidRPr="008B2EDF" w:rsidRDefault="00E94180" w:rsidP="004F17FF">
      <w:pPr>
        <w:pStyle w:val="NormalWeb"/>
        <w:spacing w:before="0" w:beforeAutospacing="0" w:after="0" w:afterAutospacing="0"/>
        <w:jc w:val="both"/>
      </w:pPr>
      <w:r w:rsidRPr="008B2EDF">
        <w:t xml:space="preserve">Available at: </w:t>
      </w:r>
      <w:hyperlink r:id="rId192" w:history="1">
        <w:r w:rsidRPr="008B2EDF">
          <w:rPr>
            <w:rStyle w:val="Hyperlink"/>
          </w:rPr>
          <w:t>https://deliberatedirections.com/employer-initiatives-that-support-womens-growth</w:t>
        </w:r>
      </w:hyperlink>
      <w:r w:rsidRPr="008B2EDF">
        <w:t xml:space="preserve"> </w:t>
      </w:r>
    </w:p>
    <w:p w14:paraId="39E11D54" w14:textId="77777777" w:rsidR="00E94180" w:rsidRPr="008B2EDF" w:rsidRDefault="00E94180" w:rsidP="004F17FF">
      <w:pPr>
        <w:pStyle w:val="NormalWeb"/>
        <w:spacing w:before="0" w:beforeAutospacing="0" w:after="0" w:afterAutospacing="0"/>
        <w:jc w:val="both"/>
      </w:pPr>
      <w:r w:rsidRPr="008B2EDF">
        <w:t>(Accessed: 25 July 2025)</w:t>
      </w:r>
    </w:p>
    <w:p w14:paraId="0C2EE667" w14:textId="77777777" w:rsidR="00E94180" w:rsidRPr="008B2EDF" w:rsidRDefault="00E94180" w:rsidP="004F17FF">
      <w:pPr>
        <w:pStyle w:val="NormalWeb"/>
        <w:spacing w:before="0" w:beforeAutospacing="0" w:after="0" w:afterAutospacing="0"/>
        <w:jc w:val="both"/>
      </w:pPr>
      <w:r w:rsidRPr="008B2EDF">
        <w:t xml:space="preserve">Williams, B. (2024). Market Research Sustainability: 5 Eco-Friendly Practices - Insight7 - AI Tool For Interview Analysis &amp; Market Research. [online] Insight7 - AI Tool for Interview Analysis &amp; Market Research. </w:t>
      </w:r>
    </w:p>
    <w:p w14:paraId="6B1CDDFC" w14:textId="17D9CD25" w:rsidR="00E94180" w:rsidRPr="008B2EDF" w:rsidRDefault="00E94180" w:rsidP="004F17FF">
      <w:pPr>
        <w:pStyle w:val="NormalWeb"/>
        <w:spacing w:before="0" w:beforeAutospacing="0" w:after="0" w:afterAutospacing="0"/>
        <w:jc w:val="both"/>
      </w:pPr>
      <w:r w:rsidRPr="008B2EDF">
        <w:t xml:space="preserve">Available at: </w:t>
      </w:r>
      <w:hyperlink r:id="rId193" w:history="1">
        <w:r w:rsidRPr="008B2EDF">
          <w:rPr>
            <w:rStyle w:val="Hyperlink"/>
          </w:rPr>
          <w:t>https://insight7.io/market-research-sustainability-5-eco-friendly-practices/</w:t>
        </w:r>
      </w:hyperlink>
      <w:r w:rsidRPr="008B2EDF">
        <w:t xml:space="preserve"> (Accessed: 20 July 2025)</w:t>
      </w:r>
    </w:p>
    <w:p w14:paraId="4D7CEF14" w14:textId="77777777" w:rsidR="00E94180" w:rsidRPr="008B2EDF" w:rsidRDefault="00E94180" w:rsidP="004F17FF">
      <w:pPr>
        <w:pStyle w:val="NormalWeb"/>
        <w:spacing w:before="0" w:beforeAutospacing="0" w:after="0" w:afterAutospacing="0"/>
        <w:jc w:val="both"/>
      </w:pPr>
      <w:r w:rsidRPr="008B2EDF">
        <w:lastRenderedPageBreak/>
        <w:t>Williams, C.L. (2013). The Glass Escalator, Revisited. Gender &amp; Society, 27(5), pp.609–629.</w:t>
      </w:r>
    </w:p>
    <w:p w14:paraId="4CECA6B6" w14:textId="77777777" w:rsidR="00E94180" w:rsidRPr="008B2EDF" w:rsidRDefault="00E94180" w:rsidP="004F17FF">
      <w:pPr>
        <w:pStyle w:val="NormalWeb"/>
        <w:spacing w:before="0" w:beforeAutospacing="0" w:after="0" w:afterAutospacing="0"/>
        <w:jc w:val="both"/>
      </w:pPr>
      <w:r w:rsidRPr="008B2EDF">
        <w:t xml:space="preserve">  Available at: </w:t>
      </w:r>
      <w:hyperlink r:id="rId194" w:history="1">
        <w:r w:rsidRPr="008B2EDF">
          <w:rPr>
            <w:rStyle w:val="Hyperlink"/>
          </w:rPr>
          <w:t>https://doi.org/10.1177/0891243213490232</w:t>
        </w:r>
      </w:hyperlink>
      <w:r w:rsidRPr="008B2EDF">
        <w:t xml:space="preserve"> </w:t>
      </w:r>
    </w:p>
    <w:p w14:paraId="620ED4F2" w14:textId="78EE76D7" w:rsidR="00E94180" w:rsidRPr="008B2EDF" w:rsidRDefault="00E94180" w:rsidP="004F17FF">
      <w:pPr>
        <w:pStyle w:val="NormalWeb"/>
        <w:spacing w:before="0" w:beforeAutospacing="0" w:after="0" w:afterAutospacing="0"/>
        <w:jc w:val="both"/>
      </w:pPr>
      <w:r w:rsidRPr="008B2EDF">
        <w:t>(Accessed: 12 July 2025)</w:t>
      </w:r>
    </w:p>
    <w:p w14:paraId="6E0C2187" w14:textId="77777777" w:rsidR="00E94180" w:rsidRPr="008B2EDF" w:rsidRDefault="00E94180" w:rsidP="004F17FF">
      <w:pPr>
        <w:pStyle w:val="NormalWeb"/>
        <w:spacing w:before="0" w:beforeAutospacing="0" w:after="0" w:afterAutospacing="0"/>
        <w:jc w:val="both"/>
      </w:pPr>
      <w:r w:rsidRPr="008B2EDF">
        <w:t xml:space="preserve">Wood, S. (2018). Work-life balance supports do improve employee wellbeing. </w:t>
      </w:r>
      <w:r w:rsidRPr="008B2EDF">
        <w:rPr>
          <w:i/>
          <w:iCs/>
        </w:rPr>
        <w:t>The Work Life Balance Bulletin: a DOP Publication</w:t>
      </w:r>
      <w:r w:rsidRPr="008B2EDF">
        <w:t xml:space="preserve">, [online] 2(1), pp.5–7. </w:t>
      </w:r>
    </w:p>
    <w:p w14:paraId="626F1B2C" w14:textId="77777777" w:rsidR="00E94180" w:rsidRPr="008B2EDF" w:rsidRDefault="00E94180" w:rsidP="004F17FF">
      <w:pPr>
        <w:pStyle w:val="NormalWeb"/>
        <w:spacing w:before="0" w:beforeAutospacing="0" w:after="0" w:afterAutospacing="0"/>
        <w:jc w:val="both"/>
      </w:pPr>
      <w:r w:rsidRPr="008B2EDF">
        <w:t xml:space="preserve"> Available at: </w:t>
      </w:r>
      <w:hyperlink r:id="rId195" w:history="1">
        <w:r w:rsidRPr="008B2EDF">
          <w:rPr>
            <w:rStyle w:val="Hyperlink"/>
          </w:rPr>
          <w:t>https://doi.org/10.53841/bpswlb.2018.2.1.5</w:t>
        </w:r>
      </w:hyperlink>
      <w:r w:rsidRPr="008B2EDF">
        <w:t xml:space="preserve"> </w:t>
      </w:r>
    </w:p>
    <w:p w14:paraId="4AF99BA2" w14:textId="2B277011" w:rsidR="00E94180" w:rsidRPr="008B2EDF" w:rsidRDefault="00E94180" w:rsidP="004F17FF">
      <w:pPr>
        <w:pStyle w:val="NormalWeb"/>
        <w:spacing w:before="0" w:beforeAutospacing="0" w:after="0" w:afterAutospacing="0"/>
        <w:jc w:val="both"/>
      </w:pPr>
      <w:r w:rsidRPr="008B2EDF">
        <w:t>(Accessed: 23 June 2025)</w:t>
      </w:r>
    </w:p>
    <w:p w14:paraId="64D4680C" w14:textId="77777777" w:rsidR="00E94180" w:rsidRPr="008B2EDF" w:rsidRDefault="00E94180" w:rsidP="004F17FF">
      <w:pPr>
        <w:pStyle w:val="NormalWeb"/>
        <w:spacing w:before="0" w:beforeAutospacing="0" w:after="0" w:afterAutospacing="0"/>
        <w:jc w:val="both"/>
      </w:pPr>
      <w:r w:rsidRPr="008B2EDF">
        <w:t xml:space="preserve">Working Families (2023). </w:t>
      </w:r>
      <w:r w:rsidRPr="008B2EDF">
        <w:rPr>
          <w:i/>
          <w:iCs/>
        </w:rPr>
        <w:t>‘She only works part-time’ - Let Us call time on the part-time penalty</w:t>
      </w:r>
      <w:r w:rsidRPr="008B2EDF">
        <w:t xml:space="preserve">. [online] Working Families. </w:t>
      </w:r>
    </w:p>
    <w:p w14:paraId="43A8782A" w14:textId="77777777" w:rsidR="00E94180" w:rsidRPr="008B2EDF" w:rsidRDefault="00E94180" w:rsidP="004F17FF">
      <w:pPr>
        <w:pStyle w:val="NormalWeb"/>
        <w:spacing w:before="0" w:beforeAutospacing="0" w:after="0" w:afterAutospacing="0"/>
        <w:jc w:val="both"/>
      </w:pPr>
      <w:r w:rsidRPr="008B2EDF">
        <w:t xml:space="preserve">Available at: </w:t>
      </w:r>
      <w:hyperlink r:id="rId196" w:history="1">
        <w:r w:rsidRPr="008B2EDF">
          <w:rPr>
            <w:rStyle w:val="Hyperlink"/>
          </w:rPr>
          <w:t>https://workingfamilies.org.uk/news-events/blogs/iwd2023_parttimepenalty/</w:t>
        </w:r>
      </w:hyperlink>
      <w:r w:rsidRPr="008B2EDF">
        <w:t xml:space="preserve"> </w:t>
      </w:r>
    </w:p>
    <w:p w14:paraId="3116BB00" w14:textId="77777777" w:rsidR="00E94180" w:rsidRPr="008B2EDF" w:rsidRDefault="00E94180" w:rsidP="004F17FF">
      <w:pPr>
        <w:pStyle w:val="NormalWeb"/>
        <w:spacing w:before="0" w:beforeAutospacing="0" w:after="0" w:afterAutospacing="0"/>
        <w:jc w:val="both"/>
      </w:pPr>
      <w:r w:rsidRPr="008B2EDF">
        <w:t>(Accessed: 22 June 2025)</w:t>
      </w:r>
    </w:p>
    <w:p w14:paraId="5010BD60" w14:textId="77777777" w:rsidR="00E94180" w:rsidRPr="008B2EDF" w:rsidRDefault="00E94180" w:rsidP="004F17FF">
      <w:pPr>
        <w:pStyle w:val="NormalWeb"/>
        <w:spacing w:before="0" w:beforeAutospacing="0" w:after="0" w:afterAutospacing="0"/>
        <w:jc w:val="both"/>
      </w:pPr>
      <w:r w:rsidRPr="008B2EDF">
        <w:t xml:space="preserve">World of Work Project (2019). </w:t>
      </w:r>
      <w:r w:rsidRPr="008B2EDF">
        <w:rPr>
          <w:i/>
          <w:iCs/>
        </w:rPr>
        <w:t>Adams’ Equity Theory of Motivation – The World of Work Project</w:t>
      </w:r>
      <w:r w:rsidRPr="008B2EDF">
        <w:t xml:space="preserve">. [online] World of Work Project. </w:t>
      </w:r>
    </w:p>
    <w:p w14:paraId="2D3DE591" w14:textId="77777777" w:rsidR="00E94180" w:rsidRPr="008B2EDF" w:rsidRDefault="00E94180" w:rsidP="004F17FF">
      <w:pPr>
        <w:pStyle w:val="NormalWeb"/>
        <w:spacing w:before="0" w:beforeAutospacing="0" w:after="0" w:afterAutospacing="0"/>
        <w:jc w:val="both"/>
      </w:pPr>
      <w:r w:rsidRPr="008B2EDF">
        <w:t xml:space="preserve">Available at: </w:t>
      </w:r>
      <w:hyperlink r:id="rId197" w:history="1">
        <w:r w:rsidRPr="008B2EDF">
          <w:rPr>
            <w:rStyle w:val="Hyperlink"/>
          </w:rPr>
          <w:t>https://worldofwork.io/2019/02/adams-equity-theory-of-motivation/</w:t>
        </w:r>
      </w:hyperlink>
      <w:r w:rsidRPr="008B2EDF">
        <w:t xml:space="preserve"> </w:t>
      </w:r>
    </w:p>
    <w:p w14:paraId="3A9CAF69" w14:textId="77777777" w:rsidR="00E94180" w:rsidRPr="008B2EDF" w:rsidRDefault="00E94180" w:rsidP="004F17FF">
      <w:pPr>
        <w:pStyle w:val="NormalWeb"/>
        <w:spacing w:before="0" w:beforeAutospacing="0" w:after="0" w:afterAutospacing="0"/>
        <w:jc w:val="both"/>
      </w:pPr>
      <w:r w:rsidRPr="008B2EDF">
        <w:t>(Accessed: 23 June 2025)</w:t>
      </w:r>
    </w:p>
    <w:p w14:paraId="280230C7" w14:textId="77777777" w:rsidR="00E94180" w:rsidRPr="008B2EDF" w:rsidRDefault="00E94180" w:rsidP="004F17FF">
      <w:pPr>
        <w:pStyle w:val="NormalWeb"/>
        <w:spacing w:before="0" w:beforeAutospacing="0" w:after="0" w:afterAutospacing="0"/>
        <w:jc w:val="both"/>
      </w:pPr>
      <w:r w:rsidRPr="008B2EDF">
        <w:t xml:space="preserve">Xiong, X. (2022). </w:t>
      </w:r>
      <w:r w:rsidRPr="008B2EDF">
        <w:rPr>
          <w:i/>
          <w:iCs/>
        </w:rPr>
        <w:t>Critical Review of Quantitative and Qualitative Research</w:t>
      </w:r>
      <w:r w:rsidRPr="008B2EDF">
        <w:t xml:space="preserve">. [online] </w:t>
      </w:r>
      <w:r w:rsidRPr="008B2EDF">
        <w:rPr>
          <w:i/>
          <w:iCs/>
        </w:rPr>
        <w:t xml:space="preserve">Atlantis Press </w:t>
      </w:r>
      <w:r w:rsidRPr="008B2EDF">
        <w:t xml:space="preserve">. </w:t>
      </w:r>
    </w:p>
    <w:p w14:paraId="77160FC4" w14:textId="77777777" w:rsidR="00E94180" w:rsidRPr="008B2EDF" w:rsidRDefault="00E94180" w:rsidP="004F17FF">
      <w:pPr>
        <w:pStyle w:val="NormalWeb"/>
        <w:spacing w:before="0" w:beforeAutospacing="0" w:after="0" w:afterAutospacing="0"/>
        <w:jc w:val="both"/>
      </w:pPr>
      <w:r w:rsidRPr="008B2EDF">
        <w:t xml:space="preserve">Available at: </w:t>
      </w:r>
      <w:hyperlink r:id="rId198" w:history="1">
        <w:r w:rsidRPr="008B2EDF">
          <w:rPr>
            <w:rStyle w:val="Hyperlink"/>
          </w:rPr>
          <w:t>https://www.atlantis-press.com/article/125975791.pdf</w:t>
        </w:r>
      </w:hyperlink>
      <w:r w:rsidRPr="008B2EDF">
        <w:t xml:space="preserve"> </w:t>
      </w:r>
    </w:p>
    <w:p w14:paraId="2467CB5D" w14:textId="77777777" w:rsidR="00E94180" w:rsidRPr="008B2EDF" w:rsidRDefault="00E94180" w:rsidP="004F17FF">
      <w:pPr>
        <w:pStyle w:val="NormalWeb"/>
        <w:spacing w:before="0" w:beforeAutospacing="0" w:after="0" w:afterAutospacing="0"/>
        <w:jc w:val="both"/>
      </w:pPr>
      <w:r w:rsidRPr="008B2EDF">
        <w:t>(Accessed: 2 July 2025).</w:t>
      </w:r>
    </w:p>
    <w:p w14:paraId="3CF17DAF" w14:textId="77777777" w:rsidR="00E94180" w:rsidRPr="008B2EDF" w:rsidRDefault="00E94180" w:rsidP="004F17FF">
      <w:pPr>
        <w:pStyle w:val="NormalWeb"/>
        <w:spacing w:before="0" w:beforeAutospacing="0" w:after="0" w:afterAutospacing="0"/>
        <w:jc w:val="both"/>
      </w:pPr>
      <w:r w:rsidRPr="008B2EDF">
        <w:t>Yin, R.K. (2018) Case Study Research and Applications: Design and Methods. 6th Edition, Sage Publications.</w:t>
      </w:r>
    </w:p>
    <w:p w14:paraId="176F86AE" w14:textId="77777777" w:rsidR="00E94180" w:rsidRPr="008B2EDF" w:rsidRDefault="00E94180" w:rsidP="004F17FF">
      <w:pPr>
        <w:pStyle w:val="NormalWeb"/>
        <w:spacing w:before="0" w:beforeAutospacing="0" w:after="0" w:afterAutospacing="0"/>
        <w:jc w:val="both"/>
        <w:rPr>
          <w:lang w:val="en-US"/>
        </w:rPr>
      </w:pPr>
      <w:r w:rsidRPr="008B2EDF">
        <w:rPr>
          <w:lang w:val="en-US"/>
        </w:rPr>
        <w:t xml:space="preserve">Yuwono, M.A. and Rachmawati, D. (2024). Combined Methods. Can This Solve the Differences between Deductive and Inductive Methods in Qualitative... [online] ResearchGate. </w:t>
      </w:r>
    </w:p>
    <w:p w14:paraId="2C8E8E77" w14:textId="77777777" w:rsidR="00E94180" w:rsidRPr="008B2EDF" w:rsidRDefault="00E94180" w:rsidP="004F17FF">
      <w:pPr>
        <w:pStyle w:val="NormalWeb"/>
        <w:spacing w:before="0" w:beforeAutospacing="0" w:after="0" w:afterAutospacing="0"/>
        <w:jc w:val="both"/>
        <w:rPr>
          <w:lang w:val="en-US"/>
        </w:rPr>
      </w:pPr>
      <w:r w:rsidRPr="008B2EDF">
        <w:rPr>
          <w:lang w:val="en-US"/>
        </w:rPr>
        <w:t xml:space="preserve">Available at: </w:t>
      </w:r>
      <w:hyperlink r:id="rId199" w:history="1">
        <w:r w:rsidRPr="008B2EDF">
          <w:rPr>
            <w:rStyle w:val="Hyperlink"/>
            <w:lang w:val="en-US"/>
          </w:rPr>
          <w:t>https://www.researchgate.net/publication/380168755_Combined_Methods_Can_This_Solve_The_Differences_Between_Deductive_and_Inductive_Methods_in_Qualitative_Research</w:t>
        </w:r>
      </w:hyperlink>
    </w:p>
    <w:p w14:paraId="2BC26573" w14:textId="668F41E6" w:rsidR="00E94180" w:rsidRPr="008B2EDF" w:rsidRDefault="00E94180" w:rsidP="004F17FF">
      <w:pPr>
        <w:pStyle w:val="NormalWeb"/>
        <w:spacing w:before="0" w:beforeAutospacing="0" w:after="0" w:afterAutospacing="0"/>
        <w:jc w:val="both"/>
        <w:rPr>
          <w:lang w:val="en-US"/>
        </w:rPr>
      </w:pPr>
      <w:r w:rsidRPr="008B2EDF">
        <w:rPr>
          <w:lang w:val="en-US"/>
        </w:rPr>
        <w:t xml:space="preserve">(Accessed: 27 July 2025)  </w:t>
      </w:r>
    </w:p>
    <w:p w14:paraId="5BBAC8DD" w14:textId="77777777" w:rsidR="00E94180" w:rsidRPr="008B2EDF" w:rsidRDefault="00E94180" w:rsidP="004F17FF">
      <w:pPr>
        <w:pStyle w:val="NormalWeb"/>
        <w:spacing w:before="0" w:beforeAutospacing="0" w:after="0" w:afterAutospacing="0"/>
        <w:jc w:val="both"/>
      </w:pPr>
      <w:r w:rsidRPr="008B2EDF">
        <w:t xml:space="preserve">Zaitouni, M., Hewapathirana, G., Mostafa, M., Al Hajj, R. and ElMelegy, A.R. (2024). Work-Life Balance: A Landscape Mapping of Two Decades of Scholarly Research. </w:t>
      </w:r>
      <w:r w:rsidRPr="008B2EDF">
        <w:rPr>
          <w:i/>
          <w:iCs/>
        </w:rPr>
        <w:t>Heliyon</w:t>
      </w:r>
      <w:r w:rsidRPr="008B2EDF">
        <w:t>, 10(14), pp.e34084–e34084.</w:t>
      </w:r>
    </w:p>
    <w:p w14:paraId="27B8A931" w14:textId="77777777" w:rsidR="00E94180" w:rsidRPr="008B2EDF" w:rsidRDefault="00E94180" w:rsidP="00F96159">
      <w:pPr>
        <w:pStyle w:val="NormalWeb"/>
        <w:spacing w:before="0" w:beforeAutospacing="0" w:after="0" w:afterAutospacing="0"/>
        <w:jc w:val="both"/>
      </w:pPr>
      <w:r w:rsidRPr="008B2EDF">
        <w:t xml:space="preserve">  Available at: </w:t>
      </w:r>
      <w:hyperlink r:id="rId200" w:history="1">
        <w:r w:rsidRPr="008B2EDF">
          <w:rPr>
            <w:rStyle w:val="Hyperlink"/>
          </w:rPr>
          <w:t>https://doi.org/10.1016/j.heliyon.2024.e34084</w:t>
        </w:r>
      </w:hyperlink>
      <w:r w:rsidRPr="008B2EDF">
        <w:t xml:space="preserve"> </w:t>
      </w:r>
    </w:p>
    <w:p w14:paraId="723F8DA5" w14:textId="77777777" w:rsidR="00E94180" w:rsidRPr="008B2EDF" w:rsidRDefault="00E94180" w:rsidP="00F96159">
      <w:pPr>
        <w:pStyle w:val="NormalWeb"/>
        <w:spacing w:before="0" w:beforeAutospacing="0" w:after="0" w:afterAutospacing="0"/>
        <w:jc w:val="both"/>
      </w:pPr>
      <w:r w:rsidRPr="008B2EDF">
        <w:t xml:space="preserve">(Accessed: 27 July 2025) </w:t>
      </w:r>
    </w:p>
    <w:p w14:paraId="22F6F894" w14:textId="77777777" w:rsidR="00016865" w:rsidRPr="008B2EDF" w:rsidRDefault="00016865" w:rsidP="00F96159">
      <w:pPr>
        <w:pStyle w:val="NormalWeb"/>
        <w:jc w:val="both"/>
      </w:pPr>
      <w:r w:rsidRPr="008B2EDF">
        <w:t xml:space="preserve">Attride-Stirling, J. (2001) ‘Thematic networks: An analytic tool for qualitative research’, </w:t>
      </w:r>
      <w:r w:rsidRPr="008B2EDF">
        <w:rPr>
          <w:i/>
          <w:iCs/>
        </w:rPr>
        <w:t>Qualitative Research</w:t>
      </w:r>
      <w:r w:rsidRPr="008B2EDF">
        <w:t>, 1(3), pp. 385–405.</w:t>
      </w:r>
    </w:p>
    <w:p w14:paraId="77AB08C0" w14:textId="77777777" w:rsidR="00016865" w:rsidRPr="008B2EDF" w:rsidRDefault="00016865" w:rsidP="00F96159">
      <w:pPr>
        <w:pStyle w:val="NormalWeb"/>
        <w:jc w:val="both"/>
      </w:pPr>
      <w:r w:rsidRPr="008B2EDF">
        <w:t xml:space="preserve">Braun, V. and Clarke, V. (2006) ‘Using thematic analysis in psychology’, </w:t>
      </w:r>
      <w:r w:rsidRPr="008B2EDF">
        <w:rPr>
          <w:i/>
          <w:iCs/>
        </w:rPr>
        <w:t>Qualitative Research in Psychology</w:t>
      </w:r>
      <w:r w:rsidRPr="008B2EDF">
        <w:t>, 3(2), pp. 77–101.</w:t>
      </w:r>
    </w:p>
    <w:p w14:paraId="777B966C" w14:textId="77777777" w:rsidR="00016865" w:rsidRPr="008B2EDF" w:rsidRDefault="00016865" w:rsidP="00F96159">
      <w:pPr>
        <w:pStyle w:val="NormalWeb"/>
        <w:jc w:val="both"/>
      </w:pPr>
      <w:r w:rsidRPr="008B2EDF">
        <w:t xml:space="preserve">Braun, V. and Clarke, V. (2022) </w:t>
      </w:r>
      <w:r w:rsidRPr="008B2EDF">
        <w:rPr>
          <w:i/>
          <w:iCs/>
        </w:rPr>
        <w:t>Thematic Analysis: A Practical Guide</w:t>
      </w:r>
      <w:r w:rsidRPr="008B2EDF">
        <w:t>. London: SAGE.</w:t>
      </w:r>
    </w:p>
    <w:p w14:paraId="5B46A3FF" w14:textId="77777777" w:rsidR="00016865" w:rsidRPr="008B2EDF" w:rsidRDefault="00016865" w:rsidP="00F96159">
      <w:pPr>
        <w:pStyle w:val="NormalWeb"/>
        <w:jc w:val="both"/>
      </w:pPr>
      <w:r w:rsidRPr="008B2EDF">
        <w:t xml:space="preserve">Guest, G., Namey, E. and Mitchell, M. (2012) </w:t>
      </w:r>
      <w:r w:rsidRPr="008B2EDF">
        <w:rPr>
          <w:i/>
          <w:iCs/>
        </w:rPr>
        <w:t>Collecting Qualitative Data: A Field Manual for Applied Research</w:t>
      </w:r>
      <w:r w:rsidRPr="008B2EDF">
        <w:t>. London: SAGE.</w:t>
      </w:r>
    </w:p>
    <w:p w14:paraId="400E43BB" w14:textId="77777777" w:rsidR="00016865" w:rsidRPr="008B2EDF" w:rsidRDefault="00016865" w:rsidP="004F17FF">
      <w:pPr>
        <w:pStyle w:val="NormalWeb"/>
        <w:spacing w:line="360" w:lineRule="auto"/>
        <w:jc w:val="both"/>
      </w:pPr>
      <w:r w:rsidRPr="008B2EDF">
        <w:t xml:space="preserve">Nowell, L.S., Norris, J.M., White, D.E. and Moules, N.J. (2017) ‘Thematic analysis: Striving to meet the trustworthiness criteria’, </w:t>
      </w:r>
      <w:r w:rsidRPr="008B2EDF">
        <w:rPr>
          <w:i/>
          <w:iCs/>
        </w:rPr>
        <w:t>International Journal of Qualitative Methods</w:t>
      </w:r>
      <w:r w:rsidRPr="008B2EDF">
        <w:t>, 16(1), pp. 1–13.</w:t>
      </w:r>
    </w:p>
    <w:p w14:paraId="0B29F2C6" w14:textId="77777777" w:rsidR="00E94180" w:rsidRPr="008B2EDF" w:rsidRDefault="00E94180" w:rsidP="004F17FF">
      <w:pPr>
        <w:pStyle w:val="NormalWeb"/>
        <w:spacing w:line="360" w:lineRule="auto"/>
        <w:jc w:val="both"/>
      </w:pPr>
    </w:p>
    <w:p w14:paraId="635344E8" w14:textId="77777777" w:rsidR="00E94180" w:rsidRPr="008B2EDF" w:rsidRDefault="00E94180" w:rsidP="004F17FF">
      <w:pPr>
        <w:pStyle w:val="NormalWeb"/>
        <w:spacing w:line="360" w:lineRule="auto"/>
        <w:jc w:val="both"/>
      </w:pPr>
    </w:p>
    <w:p w14:paraId="2A508221" w14:textId="77777777" w:rsidR="00B83923" w:rsidRPr="008B2EDF" w:rsidRDefault="00B83923" w:rsidP="004F17FF">
      <w:pPr>
        <w:pStyle w:val="NormalWeb"/>
        <w:spacing w:line="360" w:lineRule="auto"/>
        <w:jc w:val="both"/>
      </w:pPr>
    </w:p>
    <w:p w14:paraId="634F2AD1" w14:textId="77777777" w:rsidR="00C02F15" w:rsidRPr="008B2EDF" w:rsidRDefault="00C02F15" w:rsidP="004F17FF">
      <w:pPr>
        <w:pStyle w:val="NormalWeb"/>
        <w:spacing w:line="360" w:lineRule="auto"/>
        <w:jc w:val="both"/>
      </w:pPr>
    </w:p>
    <w:p w14:paraId="23BB69EF" w14:textId="77777777" w:rsidR="004F676A" w:rsidRPr="008B2EDF" w:rsidRDefault="004F676A" w:rsidP="004F17FF">
      <w:pPr>
        <w:pStyle w:val="NormalWeb"/>
        <w:spacing w:line="360" w:lineRule="auto"/>
        <w:jc w:val="both"/>
      </w:pPr>
    </w:p>
    <w:p w14:paraId="3284C156" w14:textId="77777777" w:rsidR="00721AE9" w:rsidRPr="008B2EDF" w:rsidRDefault="00721AE9" w:rsidP="004F17FF">
      <w:pPr>
        <w:pStyle w:val="NormalWeb"/>
        <w:spacing w:before="0" w:beforeAutospacing="0" w:after="240" w:afterAutospacing="0" w:line="360" w:lineRule="auto"/>
        <w:jc w:val="both"/>
      </w:pPr>
    </w:p>
    <w:p w14:paraId="74003D56" w14:textId="7D60E9BD" w:rsidR="00331D47" w:rsidRPr="008B2EDF" w:rsidRDefault="00331D47" w:rsidP="004F17FF">
      <w:pPr>
        <w:spacing w:line="360" w:lineRule="auto"/>
        <w:jc w:val="both"/>
        <w:rPr>
          <w:rFonts w:ascii="Times New Roman" w:hAnsi="Times New Roman" w:cs="Times New Roman"/>
          <w:sz w:val="24"/>
          <w:szCs w:val="24"/>
        </w:rPr>
      </w:pPr>
    </w:p>
    <w:p w14:paraId="09F400EF" w14:textId="77777777" w:rsidR="00331D47" w:rsidRPr="008B2EDF" w:rsidRDefault="00331D47">
      <w:pPr>
        <w:rPr>
          <w:rFonts w:ascii="Times New Roman" w:hAnsi="Times New Roman" w:cs="Times New Roman"/>
          <w:sz w:val="24"/>
          <w:szCs w:val="24"/>
        </w:rPr>
      </w:pPr>
      <w:r w:rsidRPr="008B2EDF">
        <w:rPr>
          <w:rFonts w:ascii="Times New Roman" w:hAnsi="Times New Roman" w:cs="Times New Roman"/>
          <w:sz w:val="24"/>
          <w:szCs w:val="24"/>
        </w:rPr>
        <w:br w:type="page"/>
      </w:r>
    </w:p>
    <w:p w14:paraId="22E319C9" w14:textId="746F7CB8" w:rsidR="00721AE9" w:rsidRPr="008B2EDF" w:rsidRDefault="0050229D" w:rsidP="004F17FF">
      <w:pPr>
        <w:spacing w:line="360" w:lineRule="auto"/>
        <w:jc w:val="both"/>
        <w:rPr>
          <w:rFonts w:ascii="Times New Roman" w:hAnsi="Times New Roman" w:cs="Times New Roman"/>
          <w:sz w:val="24"/>
          <w:szCs w:val="24"/>
        </w:rPr>
      </w:pPr>
      <w:r w:rsidRPr="008B2EDF">
        <w:rPr>
          <w:rFonts w:ascii="Times New Roman" w:hAnsi="Times New Roman" w:cs="Times New Roman"/>
          <w:sz w:val="24"/>
          <w:szCs w:val="24"/>
        </w:rPr>
        <w:lastRenderedPageBreak/>
        <w:t>Appendix</w:t>
      </w:r>
      <w:r w:rsidR="00F96159" w:rsidRPr="008B2EDF">
        <w:rPr>
          <w:rFonts w:ascii="Times New Roman" w:hAnsi="Times New Roman" w:cs="Times New Roman"/>
          <w:sz w:val="24"/>
          <w:szCs w:val="24"/>
        </w:rPr>
        <w:t xml:space="preserve"> A</w:t>
      </w:r>
      <w:r w:rsidRPr="008B2EDF">
        <w:rPr>
          <w:rFonts w:ascii="Times New Roman" w:hAnsi="Times New Roman" w:cs="Times New Roman"/>
          <w:sz w:val="24"/>
          <w:szCs w:val="24"/>
        </w:rPr>
        <w:t xml:space="preserve"> </w:t>
      </w:r>
      <w:r w:rsidR="00F96159" w:rsidRPr="008B2EDF">
        <w:rPr>
          <w:rFonts w:ascii="Times New Roman" w:hAnsi="Times New Roman" w:cs="Times New Roman"/>
          <w:sz w:val="24"/>
          <w:szCs w:val="24"/>
        </w:rPr>
        <w:t xml:space="preserve"> Responses</w:t>
      </w:r>
    </w:p>
    <w:p w14:paraId="68E30AE9" w14:textId="77777777" w:rsidR="00F96159" w:rsidRPr="008B2EDF" w:rsidRDefault="00ED5541" w:rsidP="004F17FF">
      <w:pPr>
        <w:spacing w:line="360" w:lineRule="auto"/>
        <w:jc w:val="both"/>
        <w:rPr>
          <w:rFonts w:ascii="Times New Roman" w:hAnsi="Times New Roman" w:cs="Times New Roman"/>
          <w:sz w:val="24"/>
          <w:szCs w:val="24"/>
        </w:rPr>
      </w:pPr>
      <w:r w:rsidRPr="008B2EDF">
        <w:rPr>
          <w:rFonts w:ascii="Times New Roman" w:hAnsi="Times New Roman" w:cs="Times New Roman"/>
          <w:noProof/>
          <w:sz w:val="24"/>
          <w:szCs w:val="24"/>
        </w:rPr>
        <w:drawing>
          <wp:inline distT="0" distB="0" distL="0" distR="0" wp14:anchorId="3364CBB7" wp14:editId="7606AD71">
            <wp:extent cx="5986874" cy="2009775"/>
            <wp:effectExtent l="0" t="0" r="0" b="0"/>
            <wp:docPr id="801624984"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1624984" name="Picture 801624984"/>
                    <pic:cNvPicPr/>
                  </pic:nvPicPr>
                  <pic:blipFill>
                    <a:blip r:embed="rId201" cstate="print">
                      <a:extLst>
                        <a:ext uri="{28A0092B-C50C-407E-A947-70E740481C1C}">
                          <a14:useLocalDpi xmlns:a14="http://schemas.microsoft.com/office/drawing/2010/main" val="0"/>
                        </a:ext>
                      </a:extLst>
                    </a:blip>
                    <a:stretch>
                      <a:fillRect/>
                    </a:stretch>
                  </pic:blipFill>
                  <pic:spPr>
                    <a:xfrm>
                      <a:off x="0" y="0"/>
                      <a:ext cx="5990978" cy="2011153"/>
                    </a:xfrm>
                    <a:prstGeom prst="rect">
                      <a:avLst/>
                    </a:prstGeom>
                  </pic:spPr>
                </pic:pic>
              </a:graphicData>
            </a:graphic>
          </wp:inline>
        </w:drawing>
      </w:r>
    </w:p>
    <w:p w14:paraId="033EBD51" w14:textId="77777777" w:rsidR="00F96159" w:rsidRPr="008B2EDF" w:rsidRDefault="00F96159">
      <w:pPr>
        <w:rPr>
          <w:rFonts w:ascii="Times New Roman" w:hAnsi="Times New Roman" w:cs="Times New Roman"/>
          <w:sz w:val="24"/>
          <w:szCs w:val="24"/>
        </w:rPr>
      </w:pPr>
      <w:r w:rsidRPr="008B2EDF">
        <w:rPr>
          <w:rFonts w:ascii="Times New Roman" w:hAnsi="Times New Roman" w:cs="Times New Roman"/>
          <w:sz w:val="24"/>
          <w:szCs w:val="24"/>
        </w:rPr>
        <w:br w:type="page"/>
      </w:r>
    </w:p>
    <w:p w14:paraId="1D38EA83" w14:textId="0D8F6068" w:rsidR="00ED5541" w:rsidRPr="008B2EDF" w:rsidRDefault="005B0BF0" w:rsidP="004F17FF">
      <w:pPr>
        <w:spacing w:line="360" w:lineRule="auto"/>
        <w:jc w:val="both"/>
        <w:rPr>
          <w:rFonts w:ascii="Times New Roman" w:hAnsi="Times New Roman" w:cs="Times New Roman"/>
          <w:sz w:val="24"/>
          <w:szCs w:val="24"/>
        </w:rPr>
      </w:pPr>
      <w:r w:rsidRPr="008B2EDF">
        <w:rPr>
          <w:rFonts w:ascii="Times New Roman" w:hAnsi="Times New Roman" w:cs="Times New Roman"/>
          <w:sz w:val="24"/>
          <w:szCs w:val="24"/>
        </w:rPr>
        <w:lastRenderedPageBreak/>
        <w:t>Appendix</w:t>
      </w:r>
      <w:r w:rsidR="00ED5541" w:rsidRPr="008B2EDF">
        <w:rPr>
          <w:rFonts w:ascii="Times New Roman" w:hAnsi="Times New Roman" w:cs="Times New Roman"/>
          <w:sz w:val="24"/>
          <w:szCs w:val="24"/>
        </w:rPr>
        <w:t xml:space="preserve"> </w:t>
      </w:r>
      <w:r w:rsidR="00F96159" w:rsidRPr="008B2EDF">
        <w:rPr>
          <w:rFonts w:ascii="Times New Roman" w:hAnsi="Times New Roman" w:cs="Times New Roman"/>
          <w:sz w:val="24"/>
          <w:szCs w:val="24"/>
        </w:rPr>
        <w:t>B</w:t>
      </w:r>
      <w:r w:rsidR="00ED5541" w:rsidRPr="008B2EDF">
        <w:rPr>
          <w:rFonts w:ascii="Times New Roman" w:hAnsi="Times New Roman" w:cs="Times New Roman"/>
          <w:sz w:val="24"/>
          <w:szCs w:val="24"/>
        </w:rPr>
        <w:t xml:space="preserve"> </w:t>
      </w:r>
      <w:r w:rsidR="00F96159" w:rsidRPr="008B2EDF">
        <w:rPr>
          <w:rFonts w:ascii="Times New Roman" w:hAnsi="Times New Roman" w:cs="Times New Roman"/>
          <w:sz w:val="24"/>
          <w:szCs w:val="24"/>
        </w:rPr>
        <w:t>-Questionnaire</w:t>
      </w:r>
    </w:p>
    <w:p w14:paraId="28288593" w14:textId="4F351CB3" w:rsidR="00ED5541" w:rsidRPr="008B2EDF" w:rsidRDefault="00ED5541" w:rsidP="004F17FF">
      <w:pPr>
        <w:spacing w:line="360" w:lineRule="auto"/>
        <w:jc w:val="both"/>
        <w:rPr>
          <w:rFonts w:ascii="Times New Roman" w:hAnsi="Times New Roman" w:cs="Times New Roman"/>
          <w:sz w:val="24"/>
          <w:szCs w:val="24"/>
        </w:rPr>
      </w:pPr>
      <w:r w:rsidRPr="008B2EDF">
        <w:rPr>
          <w:rFonts w:ascii="Times New Roman" w:hAnsi="Times New Roman" w:cs="Times New Roman"/>
          <w:noProof/>
          <w:sz w:val="24"/>
          <w:szCs w:val="24"/>
        </w:rPr>
        <w:drawing>
          <wp:inline distT="0" distB="0" distL="0" distR="0" wp14:anchorId="439ACC94" wp14:editId="3AB6B56D">
            <wp:extent cx="5731510" cy="8076565"/>
            <wp:effectExtent l="0" t="0" r="2540" b="635"/>
            <wp:docPr id="58066062"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066062" name="Picture 58066062"/>
                    <pic:cNvPicPr/>
                  </pic:nvPicPr>
                  <pic:blipFill>
                    <a:blip r:embed="rId202">
                      <a:extLst>
                        <a:ext uri="{28A0092B-C50C-407E-A947-70E740481C1C}">
                          <a14:useLocalDpi xmlns:a14="http://schemas.microsoft.com/office/drawing/2010/main" val="0"/>
                        </a:ext>
                      </a:extLst>
                    </a:blip>
                    <a:stretch>
                      <a:fillRect/>
                    </a:stretch>
                  </pic:blipFill>
                  <pic:spPr>
                    <a:xfrm>
                      <a:off x="0" y="0"/>
                      <a:ext cx="5731510" cy="8076565"/>
                    </a:xfrm>
                    <a:prstGeom prst="rect">
                      <a:avLst/>
                    </a:prstGeom>
                  </pic:spPr>
                </pic:pic>
              </a:graphicData>
            </a:graphic>
          </wp:inline>
        </w:drawing>
      </w:r>
    </w:p>
    <w:p w14:paraId="50317C98" w14:textId="45134133" w:rsidR="00ED5541" w:rsidRPr="008B2EDF" w:rsidRDefault="00ED5541" w:rsidP="004F17FF">
      <w:pPr>
        <w:spacing w:line="360" w:lineRule="auto"/>
        <w:jc w:val="both"/>
        <w:rPr>
          <w:rFonts w:ascii="Times New Roman" w:hAnsi="Times New Roman" w:cs="Times New Roman"/>
          <w:sz w:val="24"/>
          <w:szCs w:val="24"/>
        </w:rPr>
      </w:pPr>
      <w:r w:rsidRPr="008B2EDF">
        <w:rPr>
          <w:rFonts w:ascii="Times New Roman" w:hAnsi="Times New Roman" w:cs="Times New Roman"/>
          <w:noProof/>
          <w:sz w:val="24"/>
          <w:szCs w:val="24"/>
        </w:rPr>
        <w:lastRenderedPageBreak/>
        <w:drawing>
          <wp:inline distT="0" distB="0" distL="0" distR="0" wp14:anchorId="0EB90B1C" wp14:editId="6BDFE95E">
            <wp:extent cx="5731510" cy="7907655"/>
            <wp:effectExtent l="0" t="0" r="2540" b="0"/>
            <wp:docPr id="27157998"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157998" name="Picture 27157998"/>
                    <pic:cNvPicPr/>
                  </pic:nvPicPr>
                  <pic:blipFill>
                    <a:blip r:embed="rId203">
                      <a:extLst>
                        <a:ext uri="{28A0092B-C50C-407E-A947-70E740481C1C}">
                          <a14:useLocalDpi xmlns:a14="http://schemas.microsoft.com/office/drawing/2010/main" val="0"/>
                        </a:ext>
                      </a:extLst>
                    </a:blip>
                    <a:stretch>
                      <a:fillRect/>
                    </a:stretch>
                  </pic:blipFill>
                  <pic:spPr>
                    <a:xfrm>
                      <a:off x="0" y="0"/>
                      <a:ext cx="5731510" cy="7907655"/>
                    </a:xfrm>
                    <a:prstGeom prst="rect">
                      <a:avLst/>
                    </a:prstGeom>
                  </pic:spPr>
                </pic:pic>
              </a:graphicData>
            </a:graphic>
          </wp:inline>
        </w:drawing>
      </w:r>
    </w:p>
    <w:p w14:paraId="4D6232FC" w14:textId="31B7DC74" w:rsidR="00ED5541" w:rsidRPr="008B2EDF" w:rsidRDefault="00ED5541" w:rsidP="004F17FF">
      <w:pPr>
        <w:spacing w:line="360" w:lineRule="auto"/>
        <w:jc w:val="both"/>
        <w:rPr>
          <w:rFonts w:ascii="Times New Roman" w:hAnsi="Times New Roman" w:cs="Times New Roman"/>
          <w:sz w:val="24"/>
          <w:szCs w:val="24"/>
        </w:rPr>
      </w:pPr>
      <w:r w:rsidRPr="008B2EDF">
        <w:rPr>
          <w:rFonts w:ascii="Times New Roman" w:hAnsi="Times New Roman" w:cs="Times New Roman"/>
          <w:noProof/>
          <w:sz w:val="24"/>
          <w:szCs w:val="24"/>
        </w:rPr>
        <w:lastRenderedPageBreak/>
        <w:drawing>
          <wp:inline distT="0" distB="0" distL="0" distR="0" wp14:anchorId="75912A4D" wp14:editId="7D62B6AD">
            <wp:extent cx="5731510" cy="7748905"/>
            <wp:effectExtent l="0" t="0" r="2540" b="4445"/>
            <wp:docPr id="1389722268"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9722268" name="Picture 1389722268"/>
                    <pic:cNvPicPr/>
                  </pic:nvPicPr>
                  <pic:blipFill>
                    <a:blip r:embed="rId204">
                      <a:extLst>
                        <a:ext uri="{28A0092B-C50C-407E-A947-70E740481C1C}">
                          <a14:useLocalDpi xmlns:a14="http://schemas.microsoft.com/office/drawing/2010/main" val="0"/>
                        </a:ext>
                      </a:extLst>
                    </a:blip>
                    <a:stretch>
                      <a:fillRect/>
                    </a:stretch>
                  </pic:blipFill>
                  <pic:spPr>
                    <a:xfrm>
                      <a:off x="0" y="0"/>
                      <a:ext cx="5731510" cy="7748905"/>
                    </a:xfrm>
                    <a:prstGeom prst="rect">
                      <a:avLst/>
                    </a:prstGeom>
                  </pic:spPr>
                </pic:pic>
              </a:graphicData>
            </a:graphic>
          </wp:inline>
        </w:drawing>
      </w:r>
      <w:r w:rsidRPr="008B2EDF">
        <w:rPr>
          <w:rFonts w:ascii="Times New Roman" w:hAnsi="Times New Roman" w:cs="Times New Roman"/>
          <w:noProof/>
          <w:sz w:val="24"/>
          <w:szCs w:val="24"/>
        </w:rPr>
        <w:lastRenderedPageBreak/>
        <w:drawing>
          <wp:inline distT="0" distB="0" distL="0" distR="0" wp14:anchorId="5974236D" wp14:editId="7412EC99">
            <wp:extent cx="5731510" cy="7576185"/>
            <wp:effectExtent l="0" t="0" r="2540" b="5715"/>
            <wp:docPr id="1218557058"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8557058" name="Picture 1218557058"/>
                    <pic:cNvPicPr/>
                  </pic:nvPicPr>
                  <pic:blipFill>
                    <a:blip r:embed="rId205">
                      <a:extLst>
                        <a:ext uri="{28A0092B-C50C-407E-A947-70E740481C1C}">
                          <a14:useLocalDpi xmlns:a14="http://schemas.microsoft.com/office/drawing/2010/main" val="0"/>
                        </a:ext>
                      </a:extLst>
                    </a:blip>
                    <a:stretch>
                      <a:fillRect/>
                    </a:stretch>
                  </pic:blipFill>
                  <pic:spPr>
                    <a:xfrm>
                      <a:off x="0" y="0"/>
                      <a:ext cx="5731510" cy="7576185"/>
                    </a:xfrm>
                    <a:prstGeom prst="rect">
                      <a:avLst/>
                    </a:prstGeom>
                  </pic:spPr>
                </pic:pic>
              </a:graphicData>
            </a:graphic>
          </wp:inline>
        </w:drawing>
      </w:r>
    </w:p>
    <w:p w14:paraId="29D0E4CE" w14:textId="202E4057" w:rsidR="00ED5541" w:rsidRPr="008B2EDF" w:rsidRDefault="00ED5541" w:rsidP="004F17FF">
      <w:pPr>
        <w:spacing w:line="360" w:lineRule="auto"/>
        <w:jc w:val="both"/>
        <w:rPr>
          <w:rFonts w:ascii="Times New Roman" w:hAnsi="Times New Roman" w:cs="Times New Roman"/>
          <w:sz w:val="24"/>
          <w:szCs w:val="24"/>
        </w:rPr>
      </w:pPr>
      <w:r w:rsidRPr="008B2EDF">
        <w:rPr>
          <w:rFonts w:ascii="Times New Roman" w:hAnsi="Times New Roman" w:cs="Times New Roman"/>
          <w:noProof/>
          <w:sz w:val="24"/>
          <w:szCs w:val="24"/>
        </w:rPr>
        <w:lastRenderedPageBreak/>
        <w:drawing>
          <wp:inline distT="0" distB="0" distL="0" distR="0" wp14:anchorId="29671CA1" wp14:editId="68E44E01">
            <wp:extent cx="5731510" cy="8152765"/>
            <wp:effectExtent l="0" t="0" r="2540" b="635"/>
            <wp:docPr id="517426402"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7426402" name="Picture 517426402"/>
                    <pic:cNvPicPr/>
                  </pic:nvPicPr>
                  <pic:blipFill>
                    <a:blip r:embed="rId206">
                      <a:extLst>
                        <a:ext uri="{28A0092B-C50C-407E-A947-70E740481C1C}">
                          <a14:useLocalDpi xmlns:a14="http://schemas.microsoft.com/office/drawing/2010/main" val="0"/>
                        </a:ext>
                      </a:extLst>
                    </a:blip>
                    <a:stretch>
                      <a:fillRect/>
                    </a:stretch>
                  </pic:blipFill>
                  <pic:spPr>
                    <a:xfrm>
                      <a:off x="0" y="0"/>
                      <a:ext cx="5731510" cy="8152765"/>
                    </a:xfrm>
                    <a:prstGeom prst="rect">
                      <a:avLst/>
                    </a:prstGeom>
                  </pic:spPr>
                </pic:pic>
              </a:graphicData>
            </a:graphic>
          </wp:inline>
        </w:drawing>
      </w:r>
    </w:p>
    <w:p w14:paraId="69E6FE0E" w14:textId="767B05B3" w:rsidR="00ED5541" w:rsidRPr="008B2EDF" w:rsidRDefault="00ED5541" w:rsidP="004F17FF">
      <w:pPr>
        <w:spacing w:line="360" w:lineRule="auto"/>
        <w:jc w:val="both"/>
        <w:rPr>
          <w:rFonts w:ascii="Times New Roman" w:hAnsi="Times New Roman" w:cs="Times New Roman"/>
          <w:sz w:val="24"/>
          <w:szCs w:val="24"/>
        </w:rPr>
      </w:pPr>
      <w:r w:rsidRPr="008B2EDF">
        <w:rPr>
          <w:rFonts w:ascii="Times New Roman" w:hAnsi="Times New Roman" w:cs="Times New Roman"/>
          <w:noProof/>
          <w:sz w:val="24"/>
          <w:szCs w:val="24"/>
        </w:rPr>
        <w:lastRenderedPageBreak/>
        <w:drawing>
          <wp:inline distT="0" distB="0" distL="0" distR="0" wp14:anchorId="6896A487" wp14:editId="714E0A66">
            <wp:extent cx="5731510" cy="7586980"/>
            <wp:effectExtent l="0" t="0" r="2540" b="0"/>
            <wp:docPr id="507695751"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7695751" name="Picture 507695751"/>
                    <pic:cNvPicPr/>
                  </pic:nvPicPr>
                  <pic:blipFill>
                    <a:blip r:embed="rId207">
                      <a:extLst>
                        <a:ext uri="{28A0092B-C50C-407E-A947-70E740481C1C}">
                          <a14:useLocalDpi xmlns:a14="http://schemas.microsoft.com/office/drawing/2010/main" val="0"/>
                        </a:ext>
                      </a:extLst>
                    </a:blip>
                    <a:stretch>
                      <a:fillRect/>
                    </a:stretch>
                  </pic:blipFill>
                  <pic:spPr>
                    <a:xfrm>
                      <a:off x="0" y="0"/>
                      <a:ext cx="5731510" cy="7586980"/>
                    </a:xfrm>
                    <a:prstGeom prst="rect">
                      <a:avLst/>
                    </a:prstGeom>
                  </pic:spPr>
                </pic:pic>
              </a:graphicData>
            </a:graphic>
          </wp:inline>
        </w:drawing>
      </w:r>
      <w:r w:rsidRPr="008B2EDF">
        <w:rPr>
          <w:rFonts w:ascii="Times New Roman" w:hAnsi="Times New Roman" w:cs="Times New Roman"/>
          <w:noProof/>
          <w:sz w:val="24"/>
          <w:szCs w:val="24"/>
        </w:rPr>
        <w:lastRenderedPageBreak/>
        <w:drawing>
          <wp:inline distT="0" distB="0" distL="0" distR="0" wp14:anchorId="627416E3" wp14:editId="141A8B10">
            <wp:extent cx="5687219" cy="8449854"/>
            <wp:effectExtent l="0" t="0" r="8890" b="8890"/>
            <wp:docPr id="1618522833"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8522833" name="Picture 1618522833"/>
                    <pic:cNvPicPr/>
                  </pic:nvPicPr>
                  <pic:blipFill>
                    <a:blip r:embed="rId208">
                      <a:extLst>
                        <a:ext uri="{28A0092B-C50C-407E-A947-70E740481C1C}">
                          <a14:useLocalDpi xmlns:a14="http://schemas.microsoft.com/office/drawing/2010/main" val="0"/>
                        </a:ext>
                      </a:extLst>
                    </a:blip>
                    <a:stretch>
                      <a:fillRect/>
                    </a:stretch>
                  </pic:blipFill>
                  <pic:spPr>
                    <a:xfrm>
                      <a:off x="0" y="0"/>
                      <a:ext cx="5687219" cy="8449854"/>
                    </a:xfrm>
                    <a:prstGeom prst="rect">
                      <a:avLst/>
                    </a:prstGeom>
                  </pic:spPr>
                </pic:pic>
              </a:graphicData>
            </a:graphic>
          </wp:inline>
        </w:drawing>
      </w:r>
    </w:p>
    <w:p w14:paraId="300EFDD5" w14:textId="0A4DAE27" w:rsidR="00ED5541" w:rsidRPr="008B2EDF" w:rsidRDefault="00ED5541" w:rsidP="004F17FF">
      <w:pPr>
        <w:spacing w:line="360" w:lineRule="auto"/>
        <w:jc w:val="both"/>
        <w:rPr>
          <w:rFonts w:ascii="Times New Roman" w:hAnsi="Times New Roman" w:cs="Times New Roman"/>
          <w:sz w:val="24"/>
          <w:szCs w:val="24"/>
        </w:rPr>
      </w:pPr>
      <w:r w:rsidRPr="008B2EDF">
        <w:rPr>
          <w:rFonts w:ascii="Times New Roman" w:hAnsi="Times New Roman" w:cs="Times New Roman"/>
          <w:noProof/>
          <w:sz w:val="24"/>
          <w:szCs w:val="24"/>
        </w:rPr>
        <w:lastRenderedPageBreak/>
        <w:drawing>
          <wp:inline distT="0" distB="0" distL="0" distR="0" wp14:anchorId="611EBF78" wp14:editId="094163B5">
            <wp:extent cx="5731510" cy="8404225"/>
            <wp:effectExtent l="0" t="0" r="2540" b="0"/>
            <wp:docPr id="731690742"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1690742" name="Picture 731690742"/>
                    <pic:cNvPicPr/>
                  </pic:nvPicPr>
                  <pic:blipFill>
                    <a:blip r:embed="rId209">
                      <a:extLst>
                        <a:ext uri="{28A0092B-C50C-407E-A947-70E740481C1C}">
                          <a14:useLocalDpi xmlns:a14="http://schemas.microsoft.com/office/drawing/2010/main" val="0"/>
                        </a:ext>
                      </a:extLst>
                    </a:blip>
                    <a:stretch>
                      <a:fillRect/>
                    </a:stretch>
                  </pic:blipFill>
                  <pic:spPr>
                    <a:xfrm>
                      <a:off x="0" y="0"/>
                      <a:ext cx="5731510" cy="8404225"/>
                    </a:xfrm>
                    <a:prstGeom prst="rect">
                      <a:avLst/>
                    </a:prstGeom>
                  </pic:spPr>
                </pic:pic>
              </a:graphicData>
            </a:graphic>
          </wp:inline>
        </w:drawing>
      </w:r>
    </w:p>
    <w:p w14:paraId="4C410918" w14:textId="535AB57A" w:rsidR="00ED5541" w:rsidRPr="008B2EDF" w:rsidRDefault="00F96159" w:rsidP="004F17FF">
      <w:pPr>
        <w:spacing w:line="360" w:lineRule="auto"/>
        <w:jc w:val="both"/>
        <w:rPr>
          <w:rFonts w:ascii="Times New Roman" w:hAnsi="Times New Roman" w:cs="Times New Roman"/>
          <w:sz w:val="24"/>
          <w:szCs w:val="24"/>
        </w:rPr>
      </w:pPr>
      <w:r w:rsidRPr="008B2EDF">
        <w:rPr>
          <w:rFonts w:ascii="Times New Roman" w:hAnsi="Times New Roman" w:cs="Times New Roman"/>
          <w:noProof/>
          <w:sz w:val="24"/>
          <w:szCs w:val="24"/>
        </w:rPr>
        <w:lastRenderedPageBreak/>
        <w:drawing>
          <wp:inline distT="0" distB="0" distL="0" distR="0" wp14:anchorId="59F0F1D8" wp14:editId="5E28267F">
            <wp:extent cx="5731510" cy="7566660"/>
            <wp:effectExtent l="0" t="0" r="2540" b="0"/>
            <wp:docPr id="359514943"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9514943" name="Picture 359514943"/>
                    <pic:cNvPicPr/>
                  </pic:nvPicPr>
                  <pic:blipFill>
                    <a:blip r:embed="rId210">
                      <a:extLst>
                        <a:ext uri="{28A0092B-C50C-407E-A947-70E740481C1C}">
                          <a14:useLocalDpi xmlns:a14="http://schemas.microsoft.com/office/drawing/2010/main" val="0"/>
                        </a:ext>
                      </a:extLst>
                    </a:blip>
                    <a:stretch>
                      <a:fillRect/>
                    </a:stretch>
                  </pic:blipFill>
                  <pic:spPr>
                    <a:xfrm>
                      <a:off x="0" y="0"/>
                      <a:ext cx="5731510" cy="7566660"/>
                    </a:xfrm>
                    <a:prstGeom prst="rect">
                      <a:avLst/>
                    </a:prstGeom>
                  </pic:spPr>
                </pic:pic>
              </a:graphicData>
            </a:graphic>
          </wp:inline>
        </w:drawing>
      </w:r>
    </w:p>
    <w:p w14:paraId="1C8D1DD3" w14:textId="4A1957D5" w:rsidR="00F96159" w:rsidRDefault="00F96159" w:rsidP="004F17FF">
      <w:pPr>
        <w:spacing w:line="360" w:lineRule="auto"/>
        <w:jc w:val="both"/>
        <w:rPr>
          <w:rFonts w:ascii="Times New Roman" w:hAnsi="Times New Roman" w:cs="Times New Roman"/>
          <w:sz w:val="24"/>
          <w:szCs w:val="24"/>
        </w:rPr>
      </w:pPr>
      <w:r w:rsidRPr="008B2EDF">
        <w:rPr>
          <w:rFonts w:ascii="Times New Roman" w:hAnsi="Times New Roman" w:cs="Times New Roman"/>
          <w:noProof/>
          <w:sz w:val="24"/>
          <w:szCs w:val="24"/>
        </w:rPr>
        <w:lastRenderedPageBreak/>
        <w:drawing>
          <wp:inline distT="0" distB="0" distL="0" distR="0" wp14:anchorId="494B6B4F" wp14:editId="0293C6E7">
            <wp:extent cx="5731510" cy="6384925"/>
            <wp:effectExtent l="0" t="0" r="2540" b="0"/>
            <wp:docPr id="889359042"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9359042" name="Picture 889359042"/>
                    <pic:cNvPicPr/>
                  </pic:nvPicPr>
                  <pic:blipFill>
                    <a:blip r:embed="rId211">
                      <a:extLst>
                        <a:ext uri="{28A0092B-C50C-407E-A947-70E740481C1C}">
                          <a14:useLocalDpi xmlns:a14="http://schemas.microsoft.com/office/drawing/2010/main" val="0"/>
                        </a:ext>
                      </a:extLst>
                    </a:blip>
                    <a:stretch>
                      <a:fillRect/>
                    </a:stretch>
                  </pic:blipFill>
                  <pic:spPr>
                    <a:xfrm>
                      <a:off x="0" y="0"/>
                      <a:ext cx="5731510" cy="6384925"/>
                    </a:xfrm>
                    <a:prstGeom prst="rect">
                      <a:avLst/>
                    </a:prstGeom>
                  </pic:spPr>
                </pic:pic>
              </a:graphicData>
            </a:graphic>
          </wp:inline>
        </w:drawing>
      </w:r>
    </w:p>
    <w:p w14:paraId="26BC6ED9" w14:textId="35A98BBB" w:rsidR="00A43E90" w:rsidRDefault="00A43E90" w:rsidP="00A43E90">
      <w:pPr>
        <w:rPr>
          <w:rFonts w:ascii="Times New Roman" w:hAnsi="Times New Roman" w:cs="Times New Roman"/>
          <w:sz w:val="24"/>
          <w:szCs w:val="24"/>
        </w:rPr>
      </w:pPr>
      <w:r>
        <w:rPr>
          <w:rFonts w:ascii="Times New Roman" w:hAnsi="Times New Roman" w:cs="Times New Roman"/>
          <w:sz w:val="24"/>
          <w:szCs w:val="24"/>
        </w:rPr>
        <w:t xml:space="preserve">Appendix C -Ethics </w:t>
      </w:r>
    </w:p>
    <w:p w14:paraId="0C5389AF" w14:textId="7BD5B378" w:rsidR="00A43E90" w:rsidRPr="008B2EDF" w:rsidRDefault="00A43E90" w:rsidP="004F17FF">
      <w:pPr>
        <w:spacing w:line="360" w:lineRule="auto"/>
        <w:jc w:val="both"/>
        <w:rPr>
          <w:rFonts w:ascii="Times New Roman" w:hAnsi="Times New Roman" w:cs="Times New Roman"/>
          <w:sz w:val="24"/>
          <w:szCs w:val="24"/>
        </w:rPr>
      </w:pPr>
      <w:r w:rsidRPr="008B2EDF">
        <w:rPr>
          <w:rFonts w:ascii="Times New Roman" w:hAnsi="Times New Roman" w:cs="Times New Roman"/>
          <w:noProof/>
          <w:sz w:val="24"/>
          <w:szCs w:val="24"/>
        </w:rPr>
        <w:lastRenderedPageBreak/>
        <w:drawing>
          <wp:anchor distT="0" distB="0" distL="114300" distR="114300" simplePos="0" relativeHeight="251665411" behindDoc="0" locked="0" layoutInCell="1" allowOverlap="1" wp14:anchorId="50530BF0" wp14:editId="1CFDCE15">
            <wp:simplePos x="0" y="0"/>
            <wp:positionH relativeFrom="column">
              <wp:posOffset>0</wp:posOffset>
            </wp:positionH>
            <wp:positionV relativeFrom="paragraph">
              <wp:posOffset>314325</wp:posOffset>
            </wp:positionV>
            <wp:extent cx="6198436" cy="5638800"/>
            <wp:effectExtent l="0" t="0" r="0" b="0"/>
            <wp:wrapSquare wrapText="bothSides"/>
            <wp:docPr id="1469398003" name="Picture 28" descr="A documen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9398003" name="Picture 28" descr="A document with text on it&#10;&#10;Description automatically generated"/>
                    <pic:cNvPicPr/>
                  </pic:nvPicPr>
                  <pic:blipFill>
                    <a:blip r:embed="rId212">
                      <a:extLst>
                        <a:ext uri="{28A0092B-C50C-407E-A947-70E740481C1C}">
                          <a14:useLocalDpi xmlns:a14="http://schemas.microsoft.com/office/drawing/2010/main" val="0"/>
                        </a:ext>
                      </a:extLst>
                    </a:blip>
                    <a:stretch>
                      <a:fillRect/>
                    </a:stretch>
                  </pic:blipFill>
                  <pic:spPr>
                    <a:xfrm>
                      <a:off x="0" y="0"/>
                      <a:ext cx="6198436" cy="5638800"/>
                    </a:xfrm>
                    <a:prstGeom prst="rect">
                      <a:avLst/>
                    </a:prstGeom>
                  </pic:spPr>
                </pic:pic>
              </a:graphicData>
            </a:graphic>
            <wp14:sizeRelH relativeFrom="page">
              <wp14:pctWidth>0</wp14:pctWidth>
            </wp14:sizeRelH>
            <wp14:sizeRelV relativeFrom="page">
              <wp14:pctHeight>0</wp14:pctHeight>
            </wp14:sizeRelV>
          </wp:anchor>
        </w:drawing>
      </w:r>
    </w:p>
    <w:sectPr w:rsidR="00A43E90" w:rsidRPr="008B2EDF" w:rsidSect="00571BE7">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5BA8F5" w14:textId="77777777" w:rsidR="00115B3C" w:rsidRDefault="00115B3C" w:rsidP="002E54C0">
      <w:pPr>
        <w:spacing w:after="0"/>
      </w:pPr>
      <w:r>
        <w:separator/>
      </w:r>
    </w:p>
  </w:endnote>
  <w:endnote w:type="continuationSeparator" w:id="0">
    <w:p w14:paraId="1A40D0B2" w14:textId="77777777" w:rsidR="00115B3C" w:rsidRDefault="00115B3C" w:rsidP="002E54C0">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altName w:val="Times New Roman PSMT"/>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26623218"/>
      <w:docPartObj>
        <w:docPartGallery w:val="Page Numbers (Bottom of Page)"/>
        <w:docPartUnique/>
      </w:docPartObj>
    </w:sdtPr>
    <w:sdtEndPr/>
    <w:sdtContent>
      <w:p w14:paraId="3C9EB09D" w14:textId="0C0554FF" w:rsidR="005D684D" w:rsidRDefault="005D684D">
        <w:pPr>
          <w:pStyle w:val="Footer"/>
          <w:jc w:val="right"/>
        </w:pPr>
        <w:r>
          <w:fldChar w:fldCharType="begin"/>
        </w:r>
        <w:r>
          <w:instrText>PAGE   \* MERGEFORMAT</w:instrText>
        </w:r>
        <w:r>
          <w:fldChar w:fldCharType="separate"/>
        </w:r>
        <w:r>
          <w:t>2</w:t>
        </w:r>
        <w:r>
          <w:fldChar w:fldCharType="end"/>
        </w:r>
      </w:p>
    </w:sdtContent>
  </w:sdt>
  <w:p w14:paraId="2361B3A5" w14:textId="77777777" w:rsidR="005D684D" w:rsidRDefault="005D684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08947337"/>
      <w:docPartObj>
        <w:docPartGallery w:val="Page Numbers (Bottom of Page)"/>
        <w:docPartUnique/>
      </w:docPartObj>
    </w:sdtPr>
    <w:sdtEndPr/>
    <w:sdtContent>
      <w:p w14:paraId="7D595030" w14:textId="4D25E09C" w:rsidR="005D684D" w:rsidRDefault="005D684D">
        <w:pPr>
          <w:pStyle w:val="Footer"/>
          <w:jc w:val="right"/>
        </w:pPr>
        <w:r>
          <w:fldChar w:fldCharType="begin"/>
        </w:r>
        <w:r>
          <w:instrText>PAGE   \* MERGEFORMAT</w:instrText>
        </w:r>
        <w:r>
          <w:fldChar w:fldCharType="separate"/>
        </w:r>
        <w:r>
          <w:t>2</w:t>
        </w:r>
        <w:r>
          <w:fldChar w:fldCharType="end"/>
        </w:r>
      </w:p>
    </w:sdtContent>
  </w:sdt>
  <w:p w14:paraId="749E8195" w14:textId="225BA250" w:rsidR="00845C69" w:rsidRDefault="00845C6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3C1CA0" w14:textId="72B061EB" w:rsidR="006535FF" w:rsidRDefault="006535FF">
    <w:pPr>
      <w:pStyle w:val="Footer"/>
      <w:jc w:val="center"/>
      <w:rPr>
        <w:caps/>
        <w:color w:val="156082" w:themeColor="accent1"/>
      </w:rPr>
    </w:pPr>
    <w:r>
      <w:rPr>
        <w:caps/>
        <w:color w:val="156082" w:themeColor="accent1"/>
      </w:rPr>
      <w:fldChar w:fldCharType="begin"/>
    </w:r>
    <w:r>
      <w:rPr>
        <w:caps/>
        <w:color w:val="156082" w:themeColor="accent1"/>
      </w:rPr>
      <w:instrText>PAGE   \* MERGEFORMAT</w:instrText>
    </w:r>
    <w:r>
      <w:rPr>
        <w:caps/>
        <w:color w:val="156082" w:themeColor="accent1"/>
      </w:rPr>
      <w:fldChar w:fldCharType="separate"/>
    </w:r>
    <w:r>
      <w:rPr>
        <w:caps/>
        <w:color w:val="156082" w:themeColor="accent1"/>
      </w:rPr>
      <w:t>2</w:t>
    </w:r>
    <w:r>
      <w:rPr>
        <w:caps/>
        <w:color w:val="156082" w:themeColor="accent1"/>
      </w:rPr>
      <w:fldChar w:fldCharType="end"/>
    </w:r>
  </w:p>
  <w:p w14:paraId="37A6E002" w14:textId="09C97CAF" w:rsidR="009B7333" w:rsidRPr="006A6FCD" w:rsidRDefault="009B7333" w:rsidP="006A6FCD">
    <w:pPr>
      <w:pStyle w:val="Footer"/>
      <w:rPr>
        <w:caps/>
        <w:color w:val="156082" w:themeColor="accent1"/>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1F0672" w14:textId="77777777" w:rsidR="009B7333" w:rsidRDefault="009B7333">
    <w:pPr>
      <w:pStyle w:val="Footer"/>
      <w:jc w:val="right"/>
    </w:pPr>
  </w:p>
  <w:p w14:paraId="15473502" w14:textId="77777777" w:rsidR="009B7333" w:rsidRDefault="009B7333">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AA626D" w14:textId="77777777" w:rsidR="00571BE7" w:rsidRDefault="00571BE7">
    <w:pPr>
      <w:pStyle w:val="Footer"/>
      <w:jc w:val="center"/>
      <w:rPr>
        <w:caps/>
        <w:color w:val="156082" w:themeColor="accent1"/>
      </w:rPr>
    </w:pPr>
    <w:r>
      <w:rPr>
        <w:caps/>
        <w:color w:val="156082" w:themeColor="accent1"/>
      </w:rPr>
      <w:fldChar w:fldCharType="begin"/>
    </w:r>
    <w:r>
      <w:rPr>
        <w:caps/>
        <w:color w:val="156082" w:themeColor="accent1"/>
      </w:rPr>
      <w:instrText>PAGE   \* MERGEFORMAT</w:instrText>
    </w:r>
    <w:r>
      <w:rPr>
        <w:caps/>
        <w:color w:val="156082" w:themeColor="accent1"/>
      </w:rPr>
      <w:fldChar w:fldCharType="separate"/>
    </w:r>
    <w:r>
      <w:rPr>
        <w:caps/>
        <w:color w:val="156082" w:themeColor="accent1"/>
      </w:rPr>
      <w:t>2</w:t>
    </w:r>
    <w:r>
      <w:rPr>
        <w:caps/>
        <w:color w:val="156082" w:themeColor="accent1"/>
      </w:rPr>
      <w:fldChar w:fldCharType="end"/>
    </w:r>
  </w:p>
  <w:p w14:paraId="5695F1EE" w14:textId="6046AEBD" w:rsidR="005C6CDA" w:rsidRPr="006A6FCD" w:rsidRDefault="005C6CDA" w:rsidP="006A6FCD">
    <w:pPr>
      <w:pStyle w:val="Footer"/>
      <w:rPr>
        <w:caps/>
        <w:color w:val="156082" w:themeColor="accent1"/>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FEB902" w14:textId="77777777" w:rsidR="00115B3C" w:rsidRDefault="00115B3C" w:rsidP="002E54C0">
      <w:pPr>
        <w:spacing w:after="0"/>
      </w:pPr>
      <w:r>
        <w:separator/>
      </w:r>
    </w:p>
  </w:footnote>
  <w:footnote w:type="continuationSeparator" w:id="0">
    <w:p w14:paraId="44FF4869" w14:textId="77777777" w:rsidR="00115B3C" w:rsidRDefault="00115B3C" w:rsidP="002E54C0">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CDFDC4" w14:textId="1C209D6C" w:rsidR="002E54C0" w:rsidRDefault="002E54C0" w:rsidP="002E54C0">
    <w:pPr>
      <w:pStyle w:val="Header"/>
      <w:jc w:val="right"/>
    </w:pPr>
  </w:p>
</w:hdr>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F47800"/>
    <w:multiLevelType w:val="hybridMultilevel"/>
    <w:tmpl w:val="C6122A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D151932"/>
    <w:multiLevelType w:val="multilevel"/>
    <w:tmpl w:val="638A0A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584A88"/>
    <w:multiLevelType w:val="multilevel"/>
    <w:tmpl w:val="8F60B9D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Symbol" w:hAnsi="Symbo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2E58CF"/>
    <w:multiLevelType w:val="hybridMultilevel"/>
    <w:tmpl w:val="B126B67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4" w15:restartNumberingAfterBreak="0">
    <w:nsid w:val="122C5EA7"/>
    <w:multiLevelType w:val="hybridMultilevel"/>
    <w:tmpl w:val="EA44DE1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5C256B7"/>
    <w:multiLevelType w:val="multilevel"/>
    <w:tmpl w:val="8F60B9D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Symbol" w:hAnsi="Symbo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7612310"/>
    <w:multiLevelType w:val="hybridMultilevel"/>
    <w:tmpl w:val="9B4E652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1ECF2011"/>
    <w:multiLevelType w:val="multilevel"/>
    <w:tmpl w:val="C97C17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EF84747"/>
    <w:multiLevelType w:val="multilevel"/>
    <w:tmpl w:val="6F0444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FAE1970"/>
    <w:multiLevelType w:val="hybridMultilevel"/>
    <w:tmpl w:val="FEF83520"/>
    <w:lvl w:ilvl="0" w:tplc="0809000B">
      <w:start w:val="1"/>
      <w:numFmt w:val="bullet"/>
      <w:lvlText w:val=""/>
      <w:lvlJc w:val="left"/>
      <w:pPr>
        <w:ind w:left="144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0" w15:restartNumberingAfterBreak="0">
    <w:nsid w:val="1FB50E20"/>
    <w:multiLevelType w:val="multilevel"/>
    <w:tmpl w:val="638A0A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1142F2A"/>
    <w:multiLevelType w:val="multilevel"/>
    <w:tmpl w:val="638A0A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2C2211F"/>
    <w:multiLevelType w:val="hybridMultilevel"/>
    <w:tmpl w:val="A9F6C17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232F0C89"/>
    <w:multiLevelType w:val="hybridMultilevel"/>
    <w:tmpl w:val="081C61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3900B6E"/>
    <w:multiLevelType w:val="multilevel"/>
    <w:tmpl w:val="4D922D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7395FA4"/>
    <w:multiLevelType w:val="hybridMultilevel"/>
    <w:tmpl w:val="B8CC11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A052BF8"/>
    <w:multiLevelType w:val="hybridMultilevel"/>
    <w:tmpl w:val="FAF42A84"/>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7" w15:restartNumberingAfterBreak="0">
    <w:nsid w:val="2B8D6E47"/>
    <w:multiLevelType w:val="hybridMultilevel"/>
    <w:tmpl w:val="4E92B68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2C271CF7"/>
    <w:multiLevelType w:val="multilevel"/>
    <w:tmpl w:val="638A0A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F7C5431"/>
    <w:multiLevelType w:val="multilevel"/>
    <w:tmpl w:val="36F608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FD36539"/>
    <w:multiLevelType w:val="hybridMultilevel"/>
    <w:tmpl w:val="F95871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5F10D5B"/>
    <w:multiLevelType w:val="hybridMultilevel"/>
    <w:tmpl w:val="98A46E7E"/>
    <w:lvl w:ilvl="0" w:tplc="08090001">
      <w:start w:val="1"/>
      <w:numFmt w:val="bullet"/>
      <w:lvlText w:val=""/>
      <w:lvlJc w:val="left"/>
      <w:pPr>
        <w:ind w:left="720" w:hanging="360"/>
      </w:pPr>
      <w:rPr>
        <w:rFonts w:ascii="Symbol" w:hAnsi="Symbol" w:hint="default"/>
      </w:rPr>
    </w:lvl>
    <w:lvl w:ilvl="1" w:tplc="0809000B">
      <w:start w:val="1"/>
      <w:numFmt w:val="bullet"/>
      <w:lvlText w:val=""/>
      <w:lvlJc w:val="left"/>
      <w:pPr>
        <w:ind w:left="1440" w:hanging="360"/>
      </w:pPr>
      <w:rPr>
        <w:rFonts w:ascii="Wingdings" w:hAnsi="Wingding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7D23CAF"/>
    <w:multiLevelType w:val="hybridMultilevel"/>
    <w:tmpl w:val="1BA62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CEC63AC"/>
    <w:multiLevelType w:val="hybridMultilevel"/>
    <w:tmpl w:val="EEFE0B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677064B"/>
    <w:multiLevelType w:val="hybridMultilevel"/>
    <w:tmpl w:val="1FCC363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8E67342"/>
    <w:multiLevelType w:val="hybridMultilevel"/>
    <w:tmpl w:val="11CE8B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95638E1"/>
    <w:multiLevelType w:val="hybridMultilevel"/>
    <w:tmpl w:val="9976B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DFD2B54"/>
    <w:multiLevelType w:val="multilevel"/>
    <w:tmpl w:val="8F60B9D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Symbol" w:hAnsi="Symbo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EA42A71"/>
    <w:multiLevelType w:val="multilevel"/>
    <w:tmpl w:val="2692FCB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Symbol" w:hAnsi="Symbo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3436A9B"/>
    <w:multiLevelType w:val="multilevel"/>
    <w:tmpl w:val="638A0A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AA54831"/>
    <w:multiLevelType w:val="multilevel"/>
    <w:tmpl w:val="638A0A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AF8367D"/>
    <w:multiLevelType w:val="multilevel"/>
    <w:tmpl w:val="449451E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Wingdings" w:hAnsi="Wingding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C9C0B20"/>
    <w:multiLevelType w:val="multilevel"/>
    <w:tmpl w:val="638A0A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0277FD0"/>
    <w:multiLevelType w:val="multilevel"/>
    <w:tmpl w:val="523E6A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1B77880"/>
    <w:multiLevelType w:val="multilevel"/>
    <w:tmpl w:val="638A0AB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69C408D"/>
    <w:multiLevelType w:val="hybridMultilevel"/>
    <w:tmpl w:val="2DFEDFD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85C5F1D"/>
    <w:multiLevelType w:val="hybridMultilevel"/>
    <w:tmpl w:val="2DFEEA4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AE9378A"/>
    <w:multiLevelType w:val="hybridMultilevel"/>
    <w:tmpl w:val="EA2C2A04"/>
    <w:lvl w:ilvl="0" w:tplc="92D2E57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EF15D21"/>
    <w:multiLevelType w:val="multilevel"/>
    <w:tmpl w:val="0C1E5D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1465B6D"/>
    <w:multiLevelType w:val="hybridMultilevel"/>
    <w:tmpl w:val="390619B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36D7925"/>
    <w:multiLevelType w:val="multilevel"/>
    <w:tmpl w:val="638A0A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94C3817"/>
    <w:multiLevelType w:val="hybridMultilevel"/>
    <w:tmpl w:val="F68AD3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A6B1F05"/>
    <w:multiLevelType w:val="hybridMultilevel"/>
    <w:tmpl w:val="C3063E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DB54BEB"/>
    <w:multiLevelType w:val="multilevel"/>
    <w:tmpl w:val="638A0A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67531488">
    <w:abstractNumId w:val="5"/>
  </w:num>
  <w:num w:numId="2" w16cid:durableId="1353989431">
    <w:abstractNumId w:val="21"/>
  </w:num>
  <w:num w:numId="3" w16cid:durableId="1981184604">
    <w:abstractNumId w:val="42"/>
  </w:num>
  <w:num w:numId="4" w16cid:durableId="990787862">
    <w:abstractNumId w:val="25"/>
  </w:num>
  <w:num w:numId="5" w16cid:durableId="92366728">
    <w:abstractNumId w:val="13"/>
  </w:num>
  <w:num w:numId="6" w16cid:durableId="2042970160">
    <w:abstractNumId w:val="15"/>
  </w:num>
  <w:num w:numId="7" w16cid:durableId="1655139820">
    <w:abstractNumId w:val="23"/>
  </w:num>
  <w:num w:numId="8" w16cid:durableId="895048791">
    <w:abstractNumId w:val="26"/>
  </w:num>
  <w:num w:numId="9" w16cid:durableId="2105421273">
    <w:abstractNumId w:val="2"/>
  </w:num>
  <w:num w:numId="10" w16cid:durableId="1334837442">
    <w:abstractNumId w:val="27"/>
  </w:num>
  <w:num w:numId="11" w16cid:durableId="495151642">
    <w:abstractNumId w:val="8"/>
  </w:num>
  <w:num w:numId="12" w16cid:durableId="680274818">
    <w:abstractNumId w:val="14"/>
  </w:num>
  <w:num w:numId="13" w16cid:durableId="1618487438">
    <w:abstractNumId w:val="6"/>
  </w:num>
  <w:num w:numId="14" w16cid:durableId="1360155870">
    <w:abstractNumId w:val="4"/>
  </w:num>
  <w:num w:numId="15" w16cid:durableId="1963878366">
    <w:abstractNumId w:val="3"/>
  </w:num>
  <w:num w:numId="16" w16cid:durableId="1774520330">
    <w:abstractNumId w:val="16"/>
  </w:num>
  <w:num w:numId="17" w16cid:durableId="266624669">
    <w:abstractNumId w:val="41"/>
  </w:num>
  <w:num w:numId="18" w16cid:durableId="122118314">
    <w:abstractNumId w:val="22"/>
  </w:num>
  <w:num w:numId="19" w16cid:durableId="264191874">
    <w:abstractNumId w:val="12"/>
  </w:num>
  <w:num w:numId="20" w16cid:durableId="1663776621">
    <w:abstractNumId w:val="0"/>
  </w:num>
  <w:num w:numId="21" w16cid:durableId="531501948">
    <w:abstractNumId w:val="38"/>
  </w:num>
  <w:num w:numId="22" w16cid:durableId="158036114">
    <w:abstractNumId w:val="19"/>
  </w:num>
  <w:num w:numId="23" w16cid:durableId="1109008061">
    <w:abstractNumId w:val="33"/>
  </w:num>
  <w:num w:numId="24" w16cid:durableId="1840653535">
    <w:abstractNumId w:val="17"/>
  </w:num>
  <w:num w:numId="25" w16cid:durableId="62989326">
    <w:abstractNumId w:val="37"/>
  </w:num>
  <w:num w:numId="26" w16cid:durableId="177551544">
    <w:abstractNumId w:val="20"/>
  </w:num>
  <w:num w:numId="27" w16cid:durableId="538398900">
    <w:abstractNumId w:val="28"/>
  </w:num>
  <w:num w:numId="28" w16cid:durableId="152575243">
    <w:abstractNumId w:val="7"/>
  </w:num>
  <w:num w:numId="29" w16cid:durableId="819999553">
    <w:abstractNumId w:val="30"/>
  </w:num>
  <w:num w:numId="30" w16cid:durableId="1111364274">
    <w:abstractNumId w:val="34"/>
  </w:num>
  <w:num w:numId="31" w16cid:durableId="2019231309">
    <w:abstractNumId w:val="31"/>
  </w:num>
  <w:num w:numId="32" w16cid:durableId="273951692">
    <w:abstractNumId w:val="29"/>
  </w:num>
  <w:num w:numId="33" w16cid:durableId="1045065459">
    <w:abstractNumId w:val="1"/>
  </w:num>
  <w:num w:numId="34" w16cid:durableId="1416591251">
    <w:abstractNumId w:val="40"/>
  </w:num>
  <w:num w:numId="35" w16cid:durableId="610556332">
    <w:abstractNumId w:val="35"/>
  </w:num>
  <w:num w:numId="36" w16cid:durableId="1922329049">
    <w:abstractNumId w:val="36"/>
  </w:num>
  <w:num w:numId="37" w16cid:durableId="1755659517">
    <w:abstractNumId w:val="39"/>
  </w:num>
  <w:num w:numId="38" w16cid:durableId="531307843">
    <w:abstractNumId w:val="11"/>
  </w:num>
  <w:num w:numId="39" w16cid:durableId="1854758226">
    <w:abstractNumId w:val="18"/>
  </w:num>
  <w:num w:numId="40" w16cid:durableId="361906168">
    <w:abstractNumId w:val="10"/>
  </w:num>
  <w:num w:numId="41" w16cid:durableId="1908606769">
    <w:abstractNumId w:val="32"/>
  </w:num>
  <w:num w:numId="42" w16cid:durableId="821122989">
    <w:abstractNumId w:val="24"/>
  </w:num>
  <w:num w:numId="43" w16cid:durableId="497575862">
    <w:abstractNumId w:val="9"/>
  </w:num>
  <w:num w:numId="44" w16cid:durableId="912545071">
    <w:abstractNumId w:val="43"/>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5B23"/>
    <w:rsid w:val="00001326"/>
    <w:rsid w:val="0000356B"/>
    <w:rsid w:val="0000442C"/>
    <w:rsid w:val="0000583B"/>
    <w:rsid w:val="00010244"/>
    <w:rsid w:val="00010DFC"/>
    <w:rsid w:val="00011B4D"/>
    <w:rsid w:val="000137CA"/>
    <w:rsid w:val="0001535D"/>
    <w:rsid w:val="00016865"/>
    <w:rsid w:val="000171D2"/>
    <w:rsid w:val="000217E9"/>
    <w:rsid w:val="00022752"/>
    <w:rsid w:val="00022BE2"/>
    <w:rsid w:val="00022DED"/>
    <w:rsid w:val="0002378A"/>
    <w:rsid w:val="00024ACD"/>
    <w:rsid w:val="00025216"/>
    <w:rsid w:val="00025697"/>
    <w:rsid w:val="00025EA1"/>
    <w:rsid w:val="00026235"/>
    <w:rsid w:val="00026853"/>
    <w:rsid w:val="00026D2F"/>
    <w:rsid w:val="000275C3"/>
    <w:rsid w:val="00030F82"/>
    <w:rsid w:val="000315EF"/>
    <w:rsid w:val="00031E48"/>
    <w:rsid w:val="0003335A"/>
    <w:rsid w:val="00033492"/>
    <w:rsid w:val="00033744"/>
    <w:rsid w:val="00033865"/>
    <w:rsid w:val="00033C19"/>
    <w:rsid w:val="00034D3B"/>
    <w:rsid w:val="000351B3"/>
    <w:rsid w:val="00035728"/>
    <w:rsid w:val="000361CF"/>
    <w:rsid w:val="00037016"/>
    <w:rsid w:val="000373D7"/>
    <w:rsid w:val="000375B3"/>
    <w:rsid w:val="00040814"/>
    <w:rsid w:val="00041D64"/>
    <w:rsid w:val="00042A2D"/>
    <w:rsid w:val="00042CB1"/>
    <w:rsid w:val="00043D5E"/>
    <w:rsid w:val="00052865"/>
    <w:rsid w:val="00052D46"/>
    <w:rsid w:val="00052EC1"/>
    <w:rsid w:val="00052FE7"/>
    <w:rsid w:val="000533A8"/>
    <w:rsid w:val="000554A3"/>
    <w:rsid w:val="00055949"/>
    <w:rsid w:val="000564D9"/>
    <w:rsid w:val="00056E07"/>
    <w:rsid w:val="00060B94"/>
    <w:rsid w:val="00060D18"/>
    <w:rsid w:val="00061C96"/>
    <w:rsid w:val="00062702"/>
    <w:rsid w:val="000629A8"/>
    <w:rsid w:val="00063628"/>
    <w:rsid w:val="0006465C"/>
    <w:rsid w:val="00065904"/>
    <w:rsid w:val="000704B4"/>
    <w:rsid w:val="00070BC2"/>
    <w:rsid w:val="000710B8"/>
    <w:rsid w:val="00071988"/>
    <w:rsid w:val="0007226D"/>
    <w:rsid w:val="00072287"/>
    <w:rsid w:val="00073A6B"/>
    <w:rsid w:val="00073BEF"/>
    <w:rsid w:val="000753E2"/>
    <w:rsid w:val="00075F99"/>
    <w:rsid w:val="000768BC"/>
    <w:rsid w:val="00076C22"/>
    <w:rsid w:val="00077873"/>
    <w:rsid w:val="000802E6"/>
    <w:rsid w:val="000818E0"/>
    <w:rsid w:val="00081B5E"/>
    <w:rsid w:val="00082EA2"/>
    <w:rsid w:val="000854D6"/>
    <w:rsid w:val="0008570F"/>
    <w:rsid w:val="00086857"/>
    <w:rsid w:val="00087165"/>
    <w:rsid w:val="00087E46"/>
    <w:rsid w:val="00090370"/>
    <w:rsid w:val="00090DE5"/>
    <w:rsid w:val="000911C7"/>
    <w:rsid w:val="000926ED"/>
    <w:rsid w:val="000965FF"/>
    <w:rsid w:val="000973D2"/>
    <w:rsid w:val="000A131C"/>
    <w:rsid w:val="000A23DA"/>
    <w:rsid w:val="000A3361"/>
    <w:rsid w:val="000A3FEF"/>
    <w:rsid w:val="000A4FD9"/>
    <w:rsid w:val="000A5B00"/>
    <w:rsid w:val="000A7857"/>
    <w:rsid w:val="000B0397"/>
    <w:rsid w:val="000B097D"/>
    <w:rsid w:val="000B1DCD"/>
    <w:rsid w:val="000B3A40"/>
    <w:rsid w:val="000B49F2"/>
    <w:rsid w:val="000B535B"/>
    <w:rsid w:val="000B5FE6"/>
    <w:rsid w:val="000B63A8"/>
    <w:rsid w:val="000C3462"/>
    <w:rsid w:val="000C3484"/>
    <w:rsid w:val="000C4B35"/>
    <w:rsid w:val="000C5FEB"/>
    <w:rsid w:val="000C7913"/>
    <w:rsid w:val="000D3C10"/>
    <w:rsid w:val="000D4A10"/>
    <w:rsid w:val="000D5154"/>
    <w:rsid w:val="000D5F2E"/>
    <w:rsid w:val="000D64A4"/>
    <w:rsid w:val="000D6EBA"/>
    <w:rsid w:val="000D7023"/>
    <w:rsid w:val="000D74E4"/>
    <w:rsid w:val="000E01BA"/>
    <w:rsid w:val="000E03E8"/>
    <w:rsid w:val="000E143C"/>
    <w:rsid w:val="000E2D1D"/>
    <w:rsid w:val="000E326E"/>
    <w:rsid w:val="000E4284"/>
    <w:rsid w:val="000E45FC"/>
    <w:rsid w:val="000E4A31"/>
    <w:rsid w:val="000E525A"/>
    <w:rsid w:val="000F2BDA"/>
    <w:rsid w:val="000F3007"/>
    <w:rsid w:val="000F3F0B"/>
    <w:rsid w:val="000F6720"/>
    <w:rsid w:val="000F67F0"/>
    <w:rsid w:val="000F750E"/>
    <w:rsid w:val="001004BC"/>
    <w:rsid w:val="00100D08"/>
    <w:rsid w:val="00100D65"/>
    <w:rsid w:val="00100DBE"/>
    <w:rsid w:val="00100E9E"/>
    <w:rsid w:val="00101756"/>
    <w:rsid w:val="00101986"/>
    <w:rsid w:val="00101BC3"/>
    <w:rsid w:val="001025A6"/>
    <w:rsid w:val="00102A00"/>
    <w:rsid w:val="00102CC2"/>
    <w:rsid w:val="00102E95"/>
    <w:rsid w:val="00103295"/>
    <w:rsid w:val="001037CD"/>
    <w:rsid w:val="001042E1"/>
    <w:rsid w:val="001045C3"/>
    <w:rsid w:val="00105D22"/>
    <w:rsid w:val="001101C4"/>
    <w:rsid w:val="00110824"/>
    <w:rsid w:val="00110B3D"/>
    <w:rsid w:val="0011152A"/>
    <w:rsid w:val="0011164F"/>
    <w:rsid w:val="0011174A"/>
    <w:rsid w:val="001139D6"/>
    <w:rsid w:val="001143A2"/>
    <w:rsid w:val="00115B3C"/>
    <w:rsid w:val="00117746"/>
    <w:rsid w:val="001205D5"/>
    <w:rsid w:val="00121670"/>
    <w:rsid w:val="0012606C"/>
    <w:rsid w:val="00126FF9"/>
    <w:rsid w:val="0012755E"/>
    <w:rsid w:val="001279B2"/>
    <w:rsid w:val="00131AF4"/>
    <w:rsid w:val="001336C7"/>
    <w:rsid w:val="00134BC9"/>
    <w:rsid w:val="00134CF6"/>
    <w:rsid w:val="0013626B"/>
    <w:rsid w:val="00136EFF"/>
    <w:rsid w:val="00136FD1"/>
    <w:rsid w:val="001372D1"/>
    <w:rsid w:val="001400D4"/>
    <w:rsid w:val="00140563"/>
    <w:rsid w:val="00140685"/>
    <w:rsid w:val="00141B81"/>
    <w:rsid w:val="00142AB0"/>
    <w:rsid w:val="00142F45"/>
    <w:rsid w:val="0014344A"/>
    <w:rsid w:val="001438E5"/>
    <w:rsid w:val="00143AC4"/>
    <w:rsid w:val="00144DCF"/>
    <w:rsid w:val="001455E7"/>
    <w:rsid w:val="001457FE"/>
    <w:rsid w:val="00146146"/>
    <w:rsid w:val="00147A32"/>
    <w:rsid w:val="00147B9E"/>
    <w:rsid w:val="00151B93"/>
    <w:rsid w:val="0015237B"/>
    <w:rsid w:val="00152784"/>
    <w:rsid w:val="00153150"/>
    <w:rsid w:val="00153780"/>
    <w:rsid w:val="0015381E"/>
    <w:rsid w:val="00156315"/>
    <w:rsid w:val="00156853"/>
    <w:rsid w:val="00156FE2"/>
    <w:rsid w:val="001579CF"/>
    <w:rsid w:val="001600B1"/>
    <w:rsid w:val="00160D4C"/>
    <w:rsid w:val="00161270"/>
    <w:rsid w:val="00164976"/>
    <w:rsid w:val="00166AE4"/>
    <w:rsid w:val="001677A6"/>
    <w:rsid w:val="00167E32"/>
    <w:rsid w:val="00170081"/>
    <w:rsid w:val="001708E9"/>
    <w:rsid w:val="00172173"/>
    <w:rsid w:val="00172740"/>
    <w:rsid w:val="00172FA1"/>
    <w:rsid w:val="00174F4A"/>
    <w:rsid w:val="00175423"/>
    <w:rsid w:val="001759C6"/>
    <w:rsid w:val="00175ACC"/>
    <w:rsid w:val="00176176"/>
    <w:rsid w:val="0017667A"/>
    <w:rsid w:val="0018346D"/>
    <w:rsid w:val="00184840"/>
    <w:rsid w:val="00184A0D"/>
    <w:rsid w:val="00186465"/>
    <w:rsid w:val="00187FDE"/>
    <w:rsid w:val="00190FE7"/>
    <w:rsid w:val="001922FD"/>
    <w:rsid w:val="0019278C"/>
    <w:rsid w:val="00192E27"/>
    <w:rsid w:val="00195EE6"/>
    <w:rsid w:val="00196D22"/>
    <w:rsid w:val="001976C8"/>
    <w:rsid w:val="001A10AD"/>
    <w:rsid w:val="001A33BA"/>
    <w:rsid w:val="001A4574"/>
    <w:rsid w:val="001A4B78"/>
    <w:rsid w:val="001A55B5"/>
    <w:rsid w:val="001A69E1"/>
    <w:rsid w:val="001A7009"/>
    <w:rsid w:val="001A7036"/>
    <w:rsid w:val="001A749D"/>
    <w:rsid w:val="001B0A1B"/>
    <w:rsid w:val="001B696A"/>
    <w:rsid w:val="001B7003"/>
    <w:rsid w:val="001C1821"/>
    <w:rsid w:val="001C18D5"/>
    <w:rsid w:val="001C2218"/>
    <w:rsid w:val="001C40A9"/>
    <w:rsid w:val="001C43D1"/>
    <w:rsid w:val="001C4706"/>
    <w:rsid w:val="001C4F5E"/>
    <w:rsid w:val="001D0378"/>
    <w:rsid w:val="001D0D86"/>
    <w:rsid w:val="001D2477"/>
    <w:rsid w:val="001D2505"/>
    <w:rsid w:val="001D2EFD"/>
    <w:rsid w:val="001D2F65"/>
    <w:rsid w:val="001D3A0A"/>
    <w:rsid w:val="001D40E1"/>
    <w:rsid w:val="001D6525"/>
    <w:rsid w:val="001D668C"/>
    <w:rsid w:val="001D6B18"/>
    <w:rsid w:val="001E051E"/>
    <w:rsid w:val="001E200B"/>
    <w:rsid w:val="001E279B"/>
    <w:rsid w:val="001E30BD"/>
    <w:rsid w:val="001E31D9"/>
    <w:rsid w:val="001E35AC"/>
    <w:rsid w:val="001E3BAD"/>
    <w:rsid w:val="001E42ED"/>
    <w:rsid w:val="001E4712"/>
    <w:rsid w:val="001E763C"/>
    <w:rsid w:val="001E7CBF"/>
    <w:rsid w:val="001F208E"/>
    <w:rsid w:val="001F34AD"/>
    <w:rsid w:val="001F5010"/>
    <w:rsid w:val="001F53EC"/>
    <w:rsid w:val="00200DEE"/>
    <w:rsid w:val="002012EB"/>
    <w:rsid w:val="002033C5"/>
    <w:rsid w:val="00203A87"/>
    <w:rsid w:val="0020638C"/>
    <w:rsid w:val="002077D1"/>
    <w:rsid w:val="002112D5"/>
    <w:rsid w:val="002117EF"/>
    <w:rsid w:val="00212B36"/>
    <w:rsid w:val="00212BF5"/>
    <w:rsid w:val="00214E10"/>
    <w:rsid w:val="0021501F"/>
    <w:rsid w:val="00216025"/>
    <w:rsid w:val="002171AB"/>
    <w:rsid w:val="002175C3"/>
    <w:rsid w:val="00217A33"/>
    <w:rsid w:val="002209C2"/>
    <w:rsid w:val="002218FF"/>
    <w:rsid w:val="00222276"/>
    <w:rsid w:val="00222589"/>
    <w:rsid w:val="002231F8"/>
    <w:rsid w:val="00223E38"/>
    <w:rsid w:val="002240CF"/>
    <w:rsid w:val="0022476D"/>
    <w:rsid w:val="002253D5"/>
    <w:rsid w:val="00225506"/>
    <w:rsid w:val="002267AB"/>
    <w:rsid w:val="00231806"/>
    <w:rsid w:val="00231EA6"/>
    <w:rsid w:val="002322D1"/>
    <w:rsid w:val="00232D67"/>
    <w:rsid w:val="00235B1A"/>
    <w:rsid w:val="00236511"/>
    <w:rsid w:val="002368C7"/>
    <w:rsid w:val="00240FFE"/>
    <w:rsid w:val="00241244"/>
    <w:rsid w:val="0024241D"/>
    <w:rsid w:val="00242FFE"/>
    <w:rsid w:val="002439E2"/>
    <w:rsid w:val="00243E51"/>
    <w:rsid w:val="00244062"/>
    <w:rsid w:val="00246ABA"/>
    <w:rsid w:val="00247715"/>
    <w:rsid w:val="00247A5E"/>
    <w:rsid w:val="002515B3"/>
    <w:rsid w:val="00251E90"/>
    <w:rsid w:val="00252376"/>
    <w:rsid w:val="00253DEA"/>
    <w:rsid w:val="00254F9D"/>
    <w:rsid w:val="002560A5"/>
    <w:rsid w:val="00257051"/>
    <w:rsid w:val="00260151"/>
    <w:rsid w:val="00260583"/>
    <w:rsid w:val="002612DF"/>
    <w:rsid w:val="002615A3"/>
    <w:rsid w:val="00261D54"/>
    <w:rsid w:val="00263183"/>
    <w:rsid w:val="002637EB"/>
    <w:rsid w:val="002645F7"/>
    <w:rsid w:val="00266861"/>
    <w:rsid w:val="00266C7E"/>
    <w:rsid w:val="0027000F"/>
    <w:rsid w:val="0027178F"/>
    <w:rsid w:val="00271E22"/>
    <w:rsid w:val="00272C45"/>
    <w:rsid w:val="002731E8"/>
    <w:rsid w:val="00273D2D"/>
    <w:rsid w:val="00275719"/>
    <w:rsid w:val="00275956"/>
    <w:rsid w:val="002760B8"/>
    <w:rsid w:val="002766C9"/>
    <w:rsid w:val="00276CF2"/>
    <w:rsid w:val="00280666"/>
    <w:rsid w:val="00280DE4"/>
    <w:rsid w:val="0028286F"/>
    <w:rsid w:val="00282F95"/>
    <w:rsid w:val="00284248"/>
    <w:rsid w:val="00285F0A"/>
    <w:rsid w:val="00287BF9"/>
    <w:rsid w:val="00290C7D"/>
    <w:rsid w:val="00290DC3"/>
    <w:rsid w:val="00291828"/>
    <w:rsid w:val="002931E6"/>
    <w:rsid w:val="002938D7"/>
    <w:rsid w:val="00294DF3"/>
    <w:rsid w:val="00294EE4"/>
    <w:rsid w:val="002961F2"/>
    <w:rsid w:val="00296292"/>
    <w:rsid w:val="002976EE"/>
    <w:rsid w:val="00297C94"/>
    <w:rsid w:val="00297CDF"/>
    <w:rsid w:val="002A00B0"/>
    <w:rsid w:val="002A0640"/>
    <w:rsid w:val="002A289B"/>
    <w:rsid w:val="002A466B"/>
    <w:rsid w:val="002A4DDD"/>
    <w:rsid w:val="002A5834"/>
    <w:rsid w:val="002A60A7"/>
    <w:rsid w:val="002A654F"/>
    <w:rsid w:val="002A6D43"/>
    <w:rsid w:val="002B09D1"/>
    <w:rsid w:val="002B1392"/>
    <w:rsid w:val="002B1BA6"/>
    <w:rsid w:val="002B2894"/>
    <w:rsid w:val="002B3E3F"/>
    <w:rsid w:val="002B4E54"/>
    <w:rsid w:val="002B52A5"/>
    <w:rsid w:val="002B7106"/>
    <w:rsid w:val="002C0701"/>
    <w:rsid w:val="002C0E0E"/>
    <w:rsid w:val="002C2091"/>
    <w:rsid w:val="002C2E4D"/>
    <w:rsid w:val="002C4B8E"/>
    <w:rsid w:val="002C4C94"/>
    <w:rsid w:val="002C7F09"/>
    <w:rsid w:val="002D2298"/>
    <w:rsid w:val="002D3ED3"/>
    <w:rsid w:val="002D4FFA"/>
    <w:rsid w:val="002D6E82"/>
    <w:rsid w:val="002D6EE6"/>
    <w:rsid w:val="002D7CBD"/>
    <w:rsid w:val="002E07D5"/>
    <w:rsid w:val="002E106E"/>
    <w:rsid w:val="002E2E90"/>
    <w:rsid w:val="002E3A32"/>
    <w:rsid w:val="002E43E3"/>
    <w:rsid w:val="002E45A3"/>
    <w:rsid w:val="002E54C0"/>
    <w:rsid w:val="002F22D2"/>
    <w:rsid w:val="002F2865"/>
    <w:rsid w:val="002F29B5"/>
    <w:rsid w:val="002F2AE5"/>
    <w:rsid w:val="002F2E55"/>
    <w:rsid w:val="002F37D9"/>
    <w:rsid w:val="002F4030"/>
    <w:rsid w:val="002F5DAC"/>
    <w:rsid w:val="002F61F9"/>
    <w:rsid w:val="002F78E6"/>
    <w:rsid w:val="002F7B81"/>
    <w:rsid w:val="00300296"/>
    <w:rsid w:val="00300ACD"/>
    <w:rsid w:val="00301EA3"/>
    <w:rsid w:val="003042CF"/>
    <w:rsid w:val="00305469"/>
    <w:rsid w:val="0031133F"/>
    <w:rsid w:val="00312604"/>
    <w:rsid w:val="00312EEA"/>
    <w:rsid w:val="00314A77"/>
    <w:rsid w:val="00314CB0"/>
    <w:rsid w:val="00314E06"/>
    <w:rsid w:val="00317CB1"/>
    <w:rsid w:val="00320A93"/>
    <w:rsid w:val="003212B1"/>
    <w:rsid w:val="00322E09"/>
    <w:rsid w:val="003242B8"/>
    <w:rsid w:val="00325871"/>
    <w:rsid w:val="00326AF8"/>
    <w:rsid w:val="00326FEF"/>
    <w:rsid w:val="00327599"/>
    <w:rsid w:val="00331115"/>
    <w:rsid w:val="00331919"/>
    <w:rsid w:val="003319DB"/>
    <w:rsid w:val="00331D47"/>
    <w:rsid w:val="003320C9"/>
    <w:rsid w:val="003321CC"/>
    <w:rsid w:val="00333729"/>
    <w:rsid w:val="003345C9"/>
    <w:rsid w:val="00334C01"/>
    <w:rsid w:val="0033546B"/>
    <w:rsid w:val="00335D0E"/>
    <w:rsid w:val="00336A9D"/>
    <w:rsid w:val="00340793"/>
    <w:rsid w:val="00341940"/>
    <w:rsid w:val="003432F6"/>
    <w:rsid w:val="0034373C"/>
    <w:rsid w:val="00344EDE"/>
    <w:rsid w:val="00345632"/>
    <w:rsid w:val="00345B54"/>
    <w:rsid w:val="003469AA"/>
    <w:rsid w:val="00347265"/>
    <w:rsid w:val="00347BF4"/>
    <w:rsid w:val="003504A6"/>
    <w:rsid w:val="00350EAE"/>
    <w:rsid w:val="00351A95"/>
    <w:rsid w:val="0035230A"/>
    <w:rsid w:val="00352A87"/>
    <w:rsid w:val="00353DA9"/>
    <w:rsid w:val="00354A36"/>
    <w:rsid w:val="003550DE"/>
    <w:rsid w:val="003551B8"/>
    <w:rsid w:val="0035582E"/>
    <w:rsid w:val="003565AD"/>
    <w:rsid w:val="00356870"/>
    <w:rsid w:val="003570C2"/>
    <w:rsid w:val="00363638"/>
    <w:rsid w:val="00364A28"/>
    <w:rsid w:val="0036522F"/>
    <w:rsid w:val="00366533"/>
    <w:rsid w:val="003667F4"/>
    <w:rsid w:val="00366A5D"/>
    <w:rsid w:val="0036780C"/>
    <w:rsid w:val="00367AE9"/>
    <w:rsid w:val="00367AFF"/>
    <w:rsid w:val="00370082"/>
    <w:rsid w:val="003707A2"/>
    <w:rsid w:val="00370FA8"/>
    <w:rsid w:val="003711BE"/>
    <w:rsid w:val="0037120F"/>
    <w:rsid w:val="00372E66"/>
    <w:rsid w:val="00373AE1"/>
    <w:rsid w:val="003741B6"/>
    <w:rsid w:val="003741D0"/>
    <w:rsid w:val="00374544"/>
    <w:rsid w:val="0037587E"/>
    <w:rsid w:val="00375D88"/>
    <w:rsid w:val="00376674"/>
    <w:rsid w:val="003776C1"/>
    <w:rsid w:val="00381CDD"/>
    <w:rsid w:val="003841FF"/>
    <w:rsid w:val="0038475A"/>
    <w:rsid w:val="00384FC0"/>
    <w:rsid w:val="003861FF"/>
    <w:rsid w:val="00387BD4"/>
    <w:rsid w:val="003900E2"/>
    <w:rsid w:val="003905C5"/>
    <w:rsid w:val="00390AEA"/>
    <w:rsid w:val="003916D9"/>
    <w:rsid w:val="00393AD2"/>
    <w:rsid w:val="003A0DC5"/>
    <w:rsid w:val="003A1737"/>
    <w:rsid w:val="003A17C2"/>
    <w:rsid w:val="003A20F9"/>
    <w:rsid w:val="003A3738"/>
    <w:rsid w:val="003A3F71"/>
    <w:rsid w:val="003A55F3"/>
    <w:rsid w:val="003A6681"/>
    <w:rsid w:val="003A6863"/>
    <w:rsid w:val="003A7D8F"/>
    <w:rsid w:val="003B0AD4"/>
    <w:rsid w:val="003B16DF"/>
    <w:rsid w:val="003B26CB"/>
    <w:rsid w:val="003B3C15"/>
    <w:rsid w:val="003B474B"/>
    <w:rsid w:val="003B4E5C"/>
    <w:rsid w:val="003B4F5B"/>
    <w:rsid w:val="003B52DD"/>
    <w:rsid w:val="003B7E24"/>
    <w:rsid w:val="003B7E4E"/>
    <w:rsid w:val="003C19E8"/>
    <w:rsid w:val="003C3AD1"/>
    <w:rsid w:val="003C60F0"/>
    <w:rsid w:val="003C6CC2"/>
    <w:rsid w:val="003D0959"/>
    <w:rsid w:val="003D1358"/>
    <w:rsid w:val="003D2B32"/>
    <w:rsid w:val="003D39B8"/>
    <w:rsid w:val="003D55DD"/>
    <w:rsid w:val="003D59DF"/>
    <w:rsid w:val="003D7DEE"/>
    <w:rsid w:val="003E0B46"/>
    <w:rsid w:val="003E2A7F"/>
    <w:rsid w:val="003E2C38"/>
    <w:rsid w:val="003E39AA"/>
    <w:rsid w:val="003E40AB"/>
    <w:rsid w:val="003E6000"/>
    <w:rsid w:val="003E796F"/>
    <w:rsid w:val="003E7A92"/>
    <w:rsid w:val="003E7EA4"/>
    <w:rsid w:val="003E7F85"/>
    <w:rsid w:val="003F022C"/>
    <w:rsid w:val="003F077D"/>
    <w:rsid w:val="003F0D35"/>
    <w:rsid w:val="003F1A35"/>
    <w:rsid w:val="003F219B"/>
    <w:rsid w:val="003F3B53"/>
    <w:rsid w:val="003F3E50"/>
    <w:rsid w:val="003F6B22"/>
    <w:rsid w:val="00400A2D"/>
    <w:rsid w:val="00401465"/>
    <w:rsid w:val="00402904"/>
    <w:rsid w:val="004048D5"/>
    <w:rsid w:val="00404A0B"/>
    <w:rsid w:val="00404A91"/>
    <w:rsid w:val="00404D6E"/>
    <w:rsid w:val="004055FD"/>
    <w:rsid w:val="00410953"/>
    <w:rsid w:val="004117E0"/>
    <w:rsid w:val="0041304F"/>
    <w:rsid w:val="00413284"/>
    <w:rsid w:val="004136AB"/>
    <w:rsid w:val="004173E0"/>
    <w:rsid w:val="0042160B"/>
    <w:rsid w:val="00422948"/>
    <w:rsid w:val="00423115"/>
    <w:rsid w:val="0042529E"/>
    <w:rsid w:val="004271B2"/>
    <w:rsid w:val="004311A4"/>
    <w:rsid w:val="00432386"/>
    <w:rsid w:val="0043255F"/>
    <w:rsid w:val="00432F6C"/>
    <w:rsid w:val="00433119"/>
    <w:rsid w:val="004335D1"/>
    <w:rsid w:val="00434EE3"/>
    <w:rsid w:val="00435B44"/>
    <w:rsid w:val="00436B0B"/>
    <w:rsid w:val="00437916"/>
    <w:rsid w:val="0043795A"/>
    <w:rsid w:val="00437A22"/>
    <w:rsid w:val="0044060F"/>
    <w:rsid w:val="00440983"/>
    <w:rsid w:val="00440C33"/>
    <w:rsid w:val="00443A9E"/>
    <w:rsid w:val="00447413"/>
    <w:rsid w:val="00450F67"/>
    <w:rsid w:val="004512D4"/>
    <w:rsid w:val="0045508B"/>
    <w:rsid w:val="00462489"/>
    <w:rsid w:val="00463E55"/>
    <w:rsid w:val="0046477D"/>
    <w:rsid w:val="00464DAD"/>
    <w:rsid w:val="004651DC"/>
    <w:rsid w:val="00465394"/>
    <w:rsid w:val="0046772D"/>
    <w:rsid w:val="00467B74"/>
    <w:rsid w:val="00467F55"/>
    <w:rsid w:val="004710D2"/>
    <w:rsid w:val="004719B2"/>
    <w:rsid w:val="00472DE2"/>
    <w:rsid w:val="004732D0"/>
    <w:rsid w:val="004734E2"/>
    <w:rsid w:val="00473680"/>
    <w:rsid w:val="0047413B"/>
    <w:rsid w:val="00476525"/>
    <w:rsid w:val="00480AF0"/>
    <w:rsid w:val="00482F09"/>
    <w:rsid w:val="00483A8A"/>
    <w:rsid w:val="00483CCA"/>
    <w:rsid w:val="00483D6E"/>
    <w:rsid w:val="00483F80"/>
    <w:rsid w:val="00484A9E"/>
    <w:rsid w:val="00484B8C"/>
    <w:rsid w:val="00485ACC"/>
    <w:rsid w:val="004863FF"/>
    <w:rsid w:val="004872D5"/>
    <w:rsid w:val="0048753B"/>
    <w:rsid w:val="0049058B"/>
    <w:rsid w:val="00491A5A"/>
    <w:rsid w:val="0049512A"/>
    <w:rsid w:val="00495E69"/>
    <w:rsid w:val="00495EBF"/>
    <w:rsid w:val="004974E8"/>
    <w:rsid w:val="00497633"/>
    <w:rsid w:val="0049797D"/>
    <w:rsid w:val="00497E9C"/>
    <w:rsid w:val="004A177B"/>
    <w:rsid w:val="004A20C4"/>
    <w:rsid w:val="004A287D"/>
    <w:rsid w:val="004A2ADC"/>
    <w:rsid w:val="004A318F"/>
    <w:rsid w:val="004A326C"/>
    <w:rsid w:val="004A4B3E"/>
    <w:rsid w:val="004A53CB"/>
    <w:rsid w:val="004A61DA"/>
    <w:rsid w:val="004A6AB6"/>
    <w:rsid w:val="004B0298"/>
    <w:rsid w:val="004B367B"/>
    <w:rsid w:val="004B3D88"/>
    <w:rsid w:val="004B5862"/>
    <w:rsid w:val="004B70CE"/>
    <w:rsid w:val="004B76A0"/>
    <w:rsid w:val="004C04FF"/>
    <w:rsid w:val="004C0586"/>
    <w:rsid w:val="004C3EAE"/>
    <w:rsid w:val="004C54B7"/>
    <w:rsid w:val="004C5C08"/>
    <w:rsid w:val="004C5C51"/>
    <w:rsid w:val="004C5E5D"/>
    <w:rsid w:val="004C6D08"/>
    <w:rsid w:val="004C7682"/>
    <w:rsid w:val="004C7D90"/>
    <w:rsid w:val="004C7E79"/>
    <w:rsid w:val="004D0E81"/>
    <w:rsid w:val="004D108C"/>
    <w:rsid w:val="004D140F"/>
    <w:rsid w:val="004D3C37"/>
    <w:rsid w:val="004D42C4"/>
    <w:rsid w:val="004D47B7"/>
    <w:rsid w:val="004E17BD"/>
    <w:rsid w:val="004E1A6B"/>
    <w:rsid w:val="004E209C"/>
    <w:rsid w:val="004E3C0D"/>
    <w:rsid w:val="004E3CCC"/>
    <w:rsid w:val="004E4281"/>
    <w:rsid w:val="004E4287"/>
    <w:rsid w:val="004E641F"/>
    <w:rsid w:val="004E658D"/>
    <w:rsid w:val="004F06E9"/>
    <w:rsid w:val="004F0D98"/>
    <w:rsid w:val="004F1023"/>
    <w:rsid w:val="004F17FF"/>
    <w:rsid w:val="004F31D8"/>
    <w:rsid w:val="004F3E4F"/>
    <w:rsid w:val="004F40A3"/>
    <w:rsid w:val="004F433A"/>
    <w:rsid w:val="004F5217"/>
    <w:rsid w:val="004F676A"/>
    <w:rsid w:val="004F6B78"/>
    <w:rsid w:val="004F727B"/>
    <w:rsid w:val="005005B2"/>
    <w:rsid w:val="00501950"/>
    <w:rsid w:val="0050229D"/>
    <w:rsid w:val="00502BE5"/>
    <w:rsid w:val="005034BF"/>
    <w:rsid w:val="00503C6D"/>
    <w:rsid w:val="005049C1"/>
    <w:rsid w:val="00504C56"/>
    <w:rsid w:val="00504FD4"/>
    <w:rsid w:val="00505128"/>
    <w:rsid w:val="00505B93"/>
    <w:rsid w:val="005061A6"/>
    <w:rsid w:val="00510015"/>
    <w:rsid w:val="00510EE7"/>
    <w:rsid w:val="00515848"/>
    <w:rsid w:val="00515C0B"/>
    <w:rsid w:val="00516721"/>
    <w:rsid w:val="00516745"/>
    <w:rsid w:val="00516B2D"/>
    <w:rsid w:val="005172AA"/>
    <w:rsid w:val="00520F5D"/>
    <w:rsid w:val="00522DF6"/>
    <w:rsid w:val="005233B9"/>
    <w:rsid w:val="0052382B"/>
    <w:rsid w:val="0052424F"/>
    <w:rsid w:val="0052695B"/>
    <w:rsid w:val="00526A7A"/>
    <w:rsid w:val="00534314"/>
    <w:rsid w:val="0053486F"/>
    <w:rsid w:val="00534B5A"/>
    <w:rsid w:val="00534D12"/>
    <w:rsid w:val="00536494"/>
    <w:rsid w:val="0053789A"/>
    <w:rsid w:val="00540CF0"/>
    <w:rsid w:val="00540D48"/>
    <w:rsid w:val="00542DC3"/>
    <w:rsid w:val="00542E60"/>
    <w:rsid w:val="0054480F"/>
    <w:rsid w:val="00544D51"/>
    <w:rsid w:val="00545711"/>
    <w:rsid w:val="005470EF"/>
    <w:rsid w:val="00547547"/>
    <w:rsid w:val="005515DF"/>
    <w:rsid w:val="00551DF9"/>
    <w:rsid w:val="0055295D"/>
    <w:rsid w:val="0055304B"/>
    <w:rsid w:val="00556BA1"/>
    <w:rsid w:val="00556C47"/>
    <w:rsid w:val="00556CBF"/>
    <w:rsid w:val="0056049F"/>
    <w:rsid w:val="00560F10"/>
    <w:rsid w:val="00561B98"/>
    <w:rsid w:val="00561F04"/>
    <w:rsid w:val="00563091"/>
    <w:rsid w:val="00565522"/>
    <w:rsid w:val="005657AD"/>
    <w:rsid w:val="0056587E"/>
    <w:rsid w:val="005658D5"/>
    <w:rsid w:val="00565B0A"/>
    <w:rsid w:val="00566EAD"/>
    <w:rsid w:val="005675B7"/>
    <w:rsid w:val="00567F80"/>
    <w:rsid w:val="00567FC5"/>
    <w:rsid w:val="005704DB"/>
    <w:rsid w:val="0057066D"/>
    <w:rsid w:val="00570CA8"/>
    <w:rsid w:val="00571494"/>
    <w:rsid w:val="00571BE7"/>
    <w:rsid w:val="00571C31"/>
    <w:rsid w:val="0057220C"/>
    <w:rsid w:val="005747A0"/>
    <w:rsid w:val="005752D9"/>
    <w:rsid w:val="00575A1B"/>
    <w:rsid w:val="0058134D"/>
    <w:rsid w:val="00582E46"/>
    <w:rsid w:val="005840C8"/>
    <w:rsid w:val="0058592F"/>
    <w:rsid w:val="005859A3"/>
    <w:rsid w:val="00586F3F"/>
    <w:rsid w:val="0058763C"/>
    <w:rsid w:val="00587AE6"/>
    <w:rsid w:val="00590CEA"/>
    <w:rsid w:val="00591507"/>
    <w:rsid w:val="005919C6"/>
    <w:rsid w:val="00591A29"/>
    <w:rsid w:val="005974C0"/>
    <w:rsid w:val="005A12BB"/>
    <w:rsid w:val="005A17F0"/>
    <w:rsid w:val="005A2877"/>
    <w:rsid w:val="005A30C5"/>
    <w:rsid w:val="005A30DE"/>
    <w:rsid w:val="005A3E0D"/>
    <w:rsid w:val="005A3FCA"/>
    <w:rsid w:val="005A44B3"/>
    <w:rsid w:val="005A585F"/>
    <w:rsid w:val="005A58FB"/>
    <w:rsid w:val="005A60B4"/>
    <w:rsid w:val="005A6EE0"/>
    <w:rsid w:val="005A7757"/>
    <w:rsid w:val="005B078C"/>
    <w:rsid w:val="005B0BF0"/>
    <w:rsid w:val="005B0EC4"/>
    <w:rsid w:val="005B1D0D"/>
    <w:rsid w:val="005B21A0"/>
    <w:rsid w:val="005B2586"/>
    <w:rsid w:val="005B27F8"/>
    <w:rsid w:val="005B3255"/>
    <w:rsid w:val="005B37A2"/>
    <w:rsid w:val="005B4B4C"/>
    <w:rsid w:val="005B54E7"/>
    <w:rsid w:val="005B5DEE"/>
    <w:rsid w:val="005B6614"/>
    <w:rsid w:val="005B6C27"/>
    <w:rsid w:val="005C0CE3"/>
    <w:rsid w:val="005C0F25"/>
    <w:rsid w:val="005C1417"/>
    <w:rsid w:val="005C2958"/>
    <w:rsid w:val="005C35A0"/>
    <w:rsid w:val="005C3B58"/>
    <w:rsid w:val="005C45FF"/>
    <w:rsid w:val="005C5865"/>
    <w:rsid w:val="005C5F55"/>
    <w:rsid w:val="005C5F98"/>
    <w:rsid w:val="005C62F8"/>
    <w:rsid w:val="005C6CDA"/>
    <w:rsid w:val="005D0769"/>
    <w:rsid w:val="005D12F7"/>
    <w:rsid w:val="005D1736"/>
    <w:rsid w:val="005D1BD1"/>
    <w:rsid w:val="005D2178"/>
    <w:rsid w:val="005D464E"/>
    <w:rsid w:val="005D583A"/>
    <w:rsid w:val="005D684D"/>
    <w:rsid w:val="005E23C8"/>
    <w:rsid w:val="005E3553"/>
    <w:rsid w:val="005E38EA"/>
    <w:rsid w:val="005E3FAA"/>
    <w:rsid w:val="005E5F31"/>
    <w:rsid w:val="005E6465"/>
    <w:rsid w:val="005E656C"/>
    <w:rsid w:val="005E7133"/>
    <w:rsid w:val="005F055D"/>
    <w:rsid w:val="005F0D4B"/>
    <w:rsid w:val="005F2941"/>
    <w:rsid w:val="005F3505"/>
    <w:rsid w:val="005F448C"/>
    <w:rsid w:val="005F6B80"/>
    <w:rsid w:val="005F733A"/>
    <w:rsid w:val="005F7C93"/>
    <w:rsid w:val="00600DF4"/>
    <w:rsid w:val="00601A18"/>
    <w:rsid w:val="006033F1"/>
    <w:rsid w:val="00604482"/>
    <w:rsid w:val="00604606"/>
    <w:rsid w:val="006054AF"/>
    <w:rsid w:val="006075C8"/>
    <w:rsid w:val="006112D8"/>
    <w:rsid w:val="00611F49"/>
    <w:rsid w:val="0061394A"/>
    <w:rsid w:val="00614495"/>
    <w:rsid w:val="00616AC0"/>
    <w:rsid w:val="006172D1"/>
    <w:rsid w:val="00617A17"/>
    <w:rsid w:val="006231B5"/>
    <w:rsid w:val="0062414D"/>
    <w:rsid w:val="0062578F"/>
    <w:rsid w:val="006259B6"/>
    <w:rsid w:val="00625EEA"/>
    <w:rsid w:val="00626877"/>
    <w:rsid w:val="006269E0"/>
    <w:rsid w:val="00630C44"/>
    <w:rsid w:val="006314BD"/>
    <w:rsid w:val="00632CA4"/>
    <w:rsid w:val="00634878"/>
    <w:rsid w:val="00635179"/>
    <w:rsid w:val="006351C9"/>
    <w:rsid w:val="00635D3A"/>
    <w:rsid w:val="00636B5D"/>
    <w:rsid w:val="006374C6"/>
    <w:rsid w:val="00637F79"/>
    <w:rsid w:val="0064186B"/>
    <w:rsid w:val="00642293"/>
    <w:rsid w:val="00643291"/>
    <w:rsid w:val="006471BA"/>
    <w:rsid w:val="00647241"/>
    <w:rsid w:val="00647E0B"/>
    <w:rsid w:val="00647E3D"/>
    <w:rsid w:val="0065156D"/>
    <w:rsid w:val="00651F1B"/>
    <w:rsid w:val="006535FF"/>
    <w:rsid w:val="00653603"/>
    <w:rsid w:val="00655B69"/>
    <w:rsid w:val="00661072"/>
    <w:rsid w:val="00661475"/>
    <w:rsid w:val="00661924"/>
    <w:rsid w:val="00661A0D"/>
    <w:rsid w:val="00661DED"/>
    <w:rsid w:val="00662233"/>
    <w:rsid w:val="00662566"/>
    <w:rsid w:val="006645D8"/>
    <w:rsid w:val="006648E2"/>
    <w:rsid w:val="00664AD5"/>
    <w:rsid w:val="00665EFE"/>
    <w:rsid w:val="00665F93"/>
    <w:rsid w:val="00666A59"/>
    <w:rsid w:val="00666A73"/>
    <w:rsid w:val="00667110"/>
    <w:rsid w:val="00671718"/>
    <w:rsid w:val="00671ADD"/>
    <w:rsid w:val="00673528"/>
    <w:rsid w:val="00673F27"/>
    <w:rsid w:val="00674576"/>
    <w:rsid w:val="00674A74"/>
    <w:rsid w:val="00675FB9"/>
    <w:rsid w:val="006761FD"/>
    <w:rsid w:val="006816AF"/>
    <w:rsid w:val="006820C8"/>
    <w:rsid w:val="00682DCA"/>
    <w:rsid w:val="0068323F"/>
    <w:rsid w:val="00683CF8"/>
    <w:rsid w:val="006846A0"/>
    <w:rsid w:val="0068518E"/>
    <w:rsid w:val="00686444"/>
    <w:rsid w:val="006867B0"/>
    <w:rsid w:val="0068790A"/>
    <w:rsid w:val="00687E81"/>
    <w:rsid w:val="00687EC4"/>
    <w:rsid w:val="006907A7"/>
    <w:rsid w:val="00692B4E"/>
    <w:rsid w:val="0069349E"/>
    <w:rsid w:val="006936B0"/>
    <w:rsid w:val="006936CD"/>
    <w:rsid w:val="00694828"/>
    <w:rsid w:val="00695B1B"/>
    <w:rsid w:val="006969A3"/>
    <w:rsid w:val="0069704C"/>
    <w:rsid w:val="00697D43"/>
    <w:rsid w:val="006A0F17"/>
    <w:rsid w:val="006A1D6C"/>
    <w:rsid w:val="006A3362"/>
    <w:rsid w:val="006A3C15"/>
    <w:rsid w:val="006A47F4"/>
    <w:rsid w:val="006A49D7"/>
    <w:rsid w:val="006A531C"/>
    <w:rsid w:val="006A5548"/>
    <w:rsid w:val="006A636D"/>
    <w:rsid w:val="006A6FC1"/>
    <w:rsid w:val="006A6FCD"/>
    <w:rsid w:val="006A7F5F"/>
    <w:rsid w:val="006B13C1"/>
    <w:rsid w:val="006B2A3C"/>
    <w:rsid w:val="006B2AED"/>
    <w:rsid w:val="006B3062"/>
    <w:rsid w:val="006B312F"/>
    <w:rsid w:val="006B4CB3"/>
    <w:rsid w:val="006B534C"/>
    <w:rsid w:val="006B5820"/>
    <w:rsid w:val="006B6EBE"/>
    <w:rsid w:val="006B74FA"/>
    <w:rsid w:val="006B76CA"/>
    <w:rsid w:val="006C15CD"/>
    <w:rsid w:val="006C1FDB"/>
    <w:rsid w:val="006C2336"/>
    <w:rsid w:val="006C269A"/>
    <w:rsid w:val="006C3FB0"/>
    <w:rsid w:val="006C42CB"/>
    <w:rsid w:val="006C50E2"/>
    <w:rsid w:val="006C5A31"/>
    <w:rsid w:val="006C5D22"/>
    <w:rsid w:val="006C60FC"/>
    <w:rsid w:val="006C63B9"/>
    <w:rsid w:val="006C6585"/>
    <w:rsid w:val="006C7E66"/>
    <w:rsid w:val="006D09D9"/>
    <w:rsid w:val="006D1336"/>
    <w:rsid w:val="006D3521"/>
    <w:rsid w:val="006D3F1D"/>
    <w:rsid w:val="006D422A"/>
    <w:rsid w:val="006D57E5"/>
    <w:rsid w:val="006D58CE"/>
    <w:rsid w:val="006D66E1"/>
    <w:rsid w:val="006D6DAF"/>
    <w:rsid w:val="006E0586"/>
    <w:rsid w:val="006E07CE"/>
    <w:rsid w:val="006E0A68"/>
    <w:rsid w:val="006E0C80"/>
    <w:rsid w:val="006E0E2E"/>
    <w:rsid w:val="006E0EAA"/>
    <w:rsid w:val="006E100A"/>
    <w:rsid w:val="006E2B0A"/>
    <w:rsid w:val="006E390C"/>
    <w:rsid w:val="006E3C7A"/>
    <w:rsid w:val="006E4B72"/>
    <w:rsid w:val="006E585D"/>
    <w:rsid w:val="006E65C9"/>
    <w:rsid w:val="006E74F6"/>
    <w:rsid w:val="006E7F2D"/>
    <w:rsid w:val="006F068B"/>
    <w:rsid w:val="006F105A"/>
    <w:rsid w:val="006F14F7"/>
    <w:rsid w:val="006F15A0"/>
    <w:rsid w:val="006F2489"/>
    <w:rsid w:val="006F55B8"/>
    <w:rsid w:val="006F58AA"/>
    <w:rsid w:val="006F693E"/>
    <w:rsid w:val="006F7A36"/>
    <w:rsid w:val="006F7DC1"/>
    <w:rsid w:val="006F7F23"/>
    <w:rsid w:val="006F7FBA"/>
    <w:rsid w:val="00701B6A"/>
    <w:rsid w:val="00702048"/>
    <w:rsid w:val="00702142"/>
    <w:rsid w:val="007022C2"/>
    <w:rsid w:val="00702DBD"/>
    <w:rsid w:val="00702FFB"/>
    <w:rsid w:val="00703BC6"/>
    <w:rsid w:val="00704DBD"/>
    <w:rsid w:val="00704FDE"/>
    <w:rsid w:val="00710447"/>
    <w:rsid w:val="00710FCC"/>
    <w:rsid w:val="00711CB3"/>
    <w:rsid w:val="00711F5A"/>
    <w:rsid w:val="007140AE"/>
    <w:rsid w:val="00714560"/>
    <w:rsid w:val="007170D3"/>
    <w:rsid w:val="00717100"/>
    <w:rsid w:val="00717EDA"/>
    <w:rsid w:val="00720445"/>
    <w:rsid w:val="00720DEF"/>
    <w:rsid w:val="00721AE9"/>
    <w:rsid w:val="0072261E"/>
    <w:rsid w:val="00722832"/>
    <w:rsid w:val="00722905"/>
    <w:rsid w:val="00722C8B"/>
    <w:rsid w:val="00723009"/>
    <w:rsid w:val="00724026"/>
    <w:rsid w:val="0072403B"/>
    <w:rsid w:val="007241FF"/>
    <w:rsid w:val="00724389"/>
    <w:rsid w:val="00725209"/>
    <w:rsid w:val="0072604C"/>
    <w:rsid w:val="00726813"/>
    <w:rsid w:val="0072755F"/>
    <w:rsid w:val="00732096"/>
    <w:rsid w:val="007328A7"/>
    <w:rsid w:val="00733696"/>
    <w:rsid w:val="00734338"/>
    <w:rsid w:val="00734DBC"/>
    <w:rsid w:val="00735369"/>
    <w:rsid w:val="00736000"/>
    <w:rsid w:val="007365C2"/>
    <w:rsid w:val="0073667C"/>
    <w:rsid w:val="007369F2"/>
    <w:rsid w:val="00737846"/>
    <w:rsid w:val="00737A77"/>
    <w:rsid w:val="00737E41"/>
    <w:rsid w:val="00740AEC"/>
    <w:rsid w:val="007410E0"/>
    <w:rsid w:val="0074306D"/>
    <w:rsid w:val="0074383D"/>
    <w:rsid w:val="007449F7"/>
    <w:rsid w:val="00744D24"/>
    <w:rsid w:val="00747045"/>
    <w:rsid w:val="00747F09"/>
    <w:rsid w:val="00751A36"/>
    <w:rsid w:val="00753688"/>
    <w:rsid w:val="007545B1"/>
    <w:rsid w:val="00754E3B"/>
    <w:rsid w:val="00757D18"/>
    <w:rsid w:val="00761E4D"/>
    <w:rsid w:val="00763E1D"/>
    <w:rsid w:val="00763E49"/>
    <w:rsid w:val="00763EEB"/>
    <w:rsid w:val="007643E7"/>
    <w:rsid w:val="007645F8"/>
    <w:rsid w:val="0076518C"/>
    <w:rsid w:val="007658C9"/>
    <w:rsid w:val="0077039A"/>
    <w:rsid w:val="00771742"/>
    <w:rsid w:val="00771BBF"/>
    <w:rsid w:val="00771F26"/>
    <w:rsid w:val="00772C29"/>
    <w:rsid w:val="00772D4D"/>
    <w:rsid w:val="00773AAA"/>
    <w:rsid w:val="00774040"/>
    <w:rsid w:val="00777BCB"/>
    <w:rsid w:val="00780968"/>
    <w:rsid w:val="007824A9"/>
    <w:rsid w:val="00782B1D"/>
    <w:rsid w:val="00782CFD"/>
    <w:rsid w:val="00783973"/>
    <w:rsid w:val="00784249"/>
    <w:rsid w:val="00785DE0"/>
    <w:rsid w:val="00786D13"/>
    <w:rsid w:val="007871B2"/>
    <w:rsid w:val="007873B8"/>
    <w:rsid w:val="00791848"/>
    <w:rsid w:val="00793669"/>
    <w:rsid w:val="007979C4"/>
    <w:rsid w:val="007A1772"/>
    <w:rsid w:val="007A256C"/>
    <w:rsid w:val="007A3146"/>
    <w:rsid w:val="007A3B17"/>
    <w:rsid w:val="007A520F"/>
    <w:rsid w:val="007A5DF8"/>
    <w:rsid w:val="007A5FD8"/>
    <w:rsid w:val="007A7886"/>
    <w:rsid w:val="007B314C"/>
    <w:rsid w:val="007B393E"/>
    <w:rsid w:val="007B46F8"/>
    <w:rsid w:val="007B4DCE"/>
    <w:rsid w:val="007B4FD1"/>
    <w:rsid w:val="007B5B1E"/>
    <w:rsid w:val="007C04DF"/>
    <w:rsid w:val="007C0D98"/>
    <w:rsid w:val="007C21F3"/>
    <w:rsid w:val="007C286B"/>
    <w:rsid w:val="007C3189"/>
    <w:rsid w:val="007C4851"/>
    <w:rsid w:val="007C48F8"/>
    <w:rsid w:val="007C7012"/>
    <w:rsid w:val="007D0290"/>
    <w:rsid w:val="007D0BC0"/>
    <w:rsid w:val="007D1843"/>
    <w:rsid w:val="007D3A58"/>
    <w:rsid w:val="007D3C05"/>
    <w:rsid w:val="007D3CC2"/>
    <w:rsid w:val="007D50BB"/>
    <w:rsid w:val="007D621B"/>
    <w:rsid w:val="007D706C"/>
    <w:rsid w:val="007D75BA"/>
    <w:rsid w:val="007E2108"/>
    <w:rsid w:val="007E3C79"/>
    <w:rsid w:val="007E3E6A"/>
    <w:rsid w:val="007E470B"/>
    <w:rsid w:val="007E4A70"/>
    <w:rsid w:val="007E55B7"/>
    <w:rsid w:val="007E6137"/>
    <w:rsid w:val="007E63E0"/>
    <w:rsid w:val="007E6C64"/>
    <w:rsid w:val="007E7757"/>
    <w:rsid w:val="007F00C3"/>
    <w:rsid w:val="007F08FE"/>
    <w:rsid w:val="007F0906"/>
    <w:rsid w:val="007F0E1C"/>
    <w:rsid w:val="007F13F0"/>
    <w:rsid w:val="007F1B74"/>
    <w:rsid w:val="007F23E1"/>
    <w:rsid w:val="007F2C98"/>
    <w:rsid w:val="007F3179"/>
    <w:rsid w:val="007F5FEF"/>
    <w:rsid w:val="007F6170"/>
    <w:rsid w:val="007F6FE4"/>
    <w:rsid w:val="007F7F8B"/>
    <w:rsid w:val="0080316D"/>
    <w:rsid w:val="008033C7"/>
    <w:rsid w:val="00804D28"/>
    <w:rsid w:val="008065C1"/>
    <w:rsid w:val="00812603"/>
    <w:rsid w:val="0081260C"/>
    <w:rsid w:val="00813AF1"/>
    <w:rsid w:val="00814468"/>
    <w:rsid w:val="00814D9B"/>
    <w:rsid w:val="00815467"/>
    <w:rsid w:val="00815DE9"/>
    <w:rsid w:val="008164C4"/>
    <w:rsid w:val="00816555"/>
    <w:rsid w:val="00816C30"/>
    <w:rsid w:val="00816D85"/>
    <w:rsid w:val="008170C9"/>
    <w:rsid w:val="00820417"/>
    <w:rsid w:val="00824610"/>
    <w:rsid w:val="00824788"/>
    <w:rsid w:val="00824DD5"/>
    <w:rsid w:val="00825262"/>
    <w:rsid w:val="00825B1A"/>
    <w:rsid w:val="00825DBF"/>
    <w:rsid w:val="00826753"/>
    <w:rsid w:val="008274B2"/>
    <w:rsid w:val="00830E00"/>
    <w:rsid w:val="00831B2A"/>
    <w:rsid w:val="00832148"/>
    <w:rsid w:val="0083216B"/>
    <w:rsid w:val="008321AB"/>
    <w:rsid w:val="008406F6"/>
    <w:rsid w:val="00840756"/>
    <w:rsid w:val="0084101C"/>
    <w:rsid w:val="008444B2"/>
    <w:rsid w:val="00845193"/>
    <w:rsid w:val="00845C69"/>
    <w:rsid w:val="00845CA7"/>
    <w:rsid w:val="00846061"/>
    <w:rsid w:val="008518BF"/>
    <w:rsid w:val="00852B81"/>
    <w:rsid w:val="008559F2"/>
    <w:rsid w:val="00855B23"/>
    <w:rsid w:val="00861944"/>
    <w:rsid w:val="008619C6"/>
    <w:rsid w:val="00863F6E"/>
    <w:rsid w:val="00864953"/>
    <w:rsid w:val="00864CAF"/>
    <w:rsid w:val="00864EDA"/>
    <w:rsid w:val="00865F9E"/>
    <w:rsid w:val="00866415"/>
    <w:rsid w:val="00866F8E"/>
    <w:rsid w:val="00870FC5"/>
    <w:rsid w:val="0087250A"/>
    <w:rsid w:val="00872726"/>
    <w:rsid w:val="00872D88"/>
    <w:rsid w:val="00873FD5"/>
    <w:rsid w:val="00874DA2"/>
    <w:rsid w:val="00875BC9"/>
    <w:rsid w:val="0087657A"/>
    <w:rsid w:val="00876F34"/>
    <w:rsid w:val="00880107"/>
    <w:rsid w:val="00881DFC"/>
    <w:rsid w:val="0088205E"/>
    <w:rsid w:val="008834F8"/>
    <w:rsid w:val="0088465C"/>
    <w:rsid w:val="008872D1"/>
    <w:rsid w:val="008902AD"/>
    <w:rsid w:val="008921F2"/>
    <w:rsid w:val="0089367D"/>
    <w:rsid w:val="00893AEC"/>
    <w:rsid w:val="00894AE1"/>
    <w:rsid w:val="00896A36"/>
    <w:rsid w:val="008A0024"/>
    <w:rsid w:val="008A05CF"/>
    <w:rsid w:val="008A09A9"/>
    <w:rsid w:val="008A0D9A"/>
    <w:rsid w:val="008A2B50"/>
    <w:rsid w:val="008A453F"/>
    <w:rsid w:val="008A4D21"/>
    <w:rsid w:val="008A513F"/>
    <w:rsid w:val="008A579B"/>
    <w:rsid w:val="008A5A54"/>
    <w:rsid w:val="008A5F1F"/>
    <w:rsid w:val="008B12A9"/>
    <w:rsid w:val="008B162D"/>
    <w:rsid w:val="008B18E4"/>
    <w:rsid w:val="008B2EDF"/>
    <w:rsid w:val="008B2FBA"/>
    <w:rsid w:val="008B3044"/>
    <w:rsid w:val="008B32D9"/>
    <w:rsid w:val="008B5250"/>
    <w:rsid w:val="008B6234"/>
    <w:rsid w:val="008B6535"/>
    <w:rsid w:val="008B6C24"/>
    <w:rsid w:val="008B7350"/>
    <w:rsid w:val="008B7C56"/>
    <w:rsid w:val="008C019D"/>
    <w:rsid w:val="008C1FE0"/>
    <w:rsid w:val="008C211A"/>
    <w:rsid w:val="008C28D6"/>
    <w:rsid w:val="008C3BB8"/>
    <w:rsid w:val="008C4AE7"/>
    <w:rsid w:val="008C600C"/>
    <w:rsid w:val="008C6B15"/>
    <w:rsid w:val="008C71B3"/>
    <w:rsid w:val="008C777F"/>
    <w:rsid w:val="008C7853"/>
    <w:rsid w:val="008D0E3A"/>
    <w:rsid w:val="008D0EC8"/>
    <w:rsid w:val="008D0F9D"/>
    <w:rsid w:val="008D1385"/>
    <w:rsid w:val="008D20AB"/>
    <w:rsid w:val="008D3AA9"/>
    <w:rsid w:val="008D519A"/>
    <w:rsid w:val="008D5515"/>
    <w:rsid w:val="008D6804"/>
    <w:rsid w:val="008D6BA9"/>
    <w:rsid w:val="008D75B5"/>
    <w:rsid w:val="008D7FA3"/>
    <w:rsid w:val="008E1DE7"/>
    <w:rsid w:val="008E1E3A"/>
    <w:rsid w:val="008E3925"/>
    <w:rsid w:val="008E5116"/>
    <w:rsid w:val="008E651E"/>
    <w:rsid w:val="008E7656"/>
    <w:rsid w:val="008F069D"/>
    <w:rsid w:val="008F0E29"/>
    <w:rsid w:val="008F3772"/>
    <w:rsid w:val="008F4DC8"/>
    <w:rsid w:val="008F56CA"/>
    <w:rsid w:val="008F6DD9"/>
    <w:rsid w:val="008F7D87"/>
    <w:rsid w:val="00902E5C"/>
    <w:rsid w:val="00904E2B"/>
    <w:rsid w:val="00905F1F"/>
    <w:rsid w:val="00910855"/>
    <w:rsid w:val="00913BB1"/>
    <w:rsid w:val="00914FF4"/>
    <w:rsid w:val="0091709F"/>
    <w:rsid w:val="00921169"/>
    <w:rsid w:val="00921FAA"/>
    <w:rsid w:val="0092455C"/>
    <w:rsid w:val="0092495B"/>
    <w:rsid w:val="00924B53"/>
    <w:rsid w:val="00924BEE"/>
    <w:rsid w:val="00925410"/>
    <w:rsid w:val="00925C88"/>
    <w:rsid w:val="009271BC"/>
    <w:rsid w:val="00927F7D"/>
    <w:rsid w:val="00927F94"/>
    <w:rsid w:val="009300C6"/>
    <w:rsid w:val="009302E1"/>
    <w:rsid w:val="009307E8"/>
    <w:rsid w:val="009312DF"/>
    <w:rsid w:val="009314A9"/>
    <w:rsid w:val="00933A01"/>
    <w:rsid w:val="00934630"/>
    <w:rsid w:val="00934ED3"/>
    <w:rsid w:val="0093530B"/>
    <w:rsid w:val="009402DB"/>
    <w:rsid w:val="00940D27"/>
    <w:rsid w:val="009416D0"/>
    <w:rsid w:val="0094299E"/>
    <w:rsid w:val="00943FA9"/>
    <w:rsid w:val="009447C6"/>
    <w:rsid w:val="00945792"/>
    <w:rsid w:val="00950162"/>
    <w:rsid w:val="00951B68"/>
    <w:rsid w:val="009537AF"/>
    <w:rsid w:val="009538D1"/>
    <w:rsid w:val="0095541C"/>
    <w:rsid w:val="00956CF5"/>
    <w:rsid w:val="00957699"/>
    <w:rsid w:val="009600C1"/>
    <w:rsid w:val="0096042D"/>
    <w:rsid w:val="009612EB"/>
    <w:rsid w:val="009629F4"/>
    <w:rsid w:val="00962D5D"/>
    <w:rsid w:val="0096578C"/>
    <w:rsid w:val="009658A9"/>
    <w:rsid w:val="00965C26"/>
    <w:rsid w:val="009717D4"/>
    <w:rsid w:val="00973791"/>
    <w:rsid w:val="00973950"/>
    <w:rsid w:val="00973D8C"/>
    <w:rsid w:val="00975DBF"/>
    <w:rsid w:val="00975DD6"/>
    <w:rsid w:val="00975F04"/>
    <w:rsid w:val="00976A5A"/>
    <w:rsid w:val="00976F2B"/>
    <w:rsid w:val="00977CA1"/>
    <w:rsid w:val="00977D03"/>
    <w:rsid w:val="00980709"/>
    <w:rsid w:val="00981624"/>
    <w:rsid w:val="00982908"/>
    <w:rsid w:val="00983B60"/>
    <w:rsid w:val="00984037"/>
    <w:rsid w:val="009849C9"/>
    <w:rsid w:val="00986F6A"/>
    <w:rsid w:val="00987325"/>
    <w:rsid w:val="00987D3A"/>
    <w:rsid w:val="00990A7B"/>
    <w:rsid w:val="00991DFB"/>
    <w:rsid w:val="00993B4F"/>
    <w:rsid w:val="00993B50"/>
    <w:rsid w:val="00994031"/>
    <w:rsid w:val="009957BD"/>
    <w:rsid w:val="00995CEB"/>
    <w:rsid w:val="00997155"/>
    <w:rsid w:val="009A2059"/>
    <w:rsid w:val="009A221F"/>
    <w:rsid w:val="009A26CA"/>
    <w:rsid w:val="009A4631"/>
    <w:rsid w:val="009A6B4C"/>
    <w:rsid w:val="009A6C6A"/>
    <w:rsid w:val="009B0C84"/>
    <w:rsid w:val="009B1473"/>
    <w:rsid w:val="009B2B50"/>
    <w:rsid w:val="009B3C4F"/>
    <w:rsid w:val="009B5414"/>
    <w:rsid w:val="009B5F97"/>
    <w:rsid w:val="009B61F2"/>
    <w:rsid w:val="009B62A5"/>
    <w:rsid w:val="009B64CE"/>
    <w:rsid w:val="009B7333"/>
    <w:rsid w:val="009B78A6"/>
    <w:rsid w:val="009B7948"/>
    <w:rsid w:val="009B7A27"/>
    <w:rsid w:val="009B7E71"/>
    <w:rsid w:val="009C019C"/>
    <w:rsid w:val="009C104A"/>
    <w:rsid w:val="009C14E9"/>
    <w:rsid w:val="009C1B31"/>
    <w:rsid w:val="009C38CE"/>
    <w:rsid w:val="009C40B6"/>
    <w:rsid w:val="009C45A3"/>
    <w:rsid w:val="009C6057"/>
    <w:rsid w:val="009C7DF6"/>
    <w:rsid w:val="009D118E"/>
    <w:rsid w:val="009D2869"/>
    <w:rsid w:val="009D2891"/>
    <w:rsid w:val="009D3C7D"/>
    <w:rsid w:val="009D40A0"/>
    <w:rsid w:val="009D47A3"/>
    <w:rsid w:val="009D6B33"/>
    <w:rsid w:val="009D72E7"/>
    <w:rsid w:val="009D7AC6"/>
    <w:rsid w:val="009E096B"/>
    <w:rsid w:val="009E171A"/>
    <w:rsid w:val="009E2C05"/>
    <w:rsid w:val="009E34DF"/>
    <w:rsid w:val="009E497C"/>
    <w:rsid w:val="009E5348"/>
    <w:rsid w:val="009E6250"/>
    <w:rsid w:val="009E6D08"/>
    <w:rsid w:val="009F0430"/>
    <w:rsid w:val="009F1518"/>
    <w:rsid w:val="009F1FC9"/>
    <w:rsid w:val="009F346B"/>
    <w:rsid w:val="009F4261"/>
    <w:rsid w:val="009F4838"/>
    <w:rsid w:val="009F4C02"/>
    <w:rsid w:val="009F6D83"/>
    <w:rsid w:val="009F7648"/>
    <w:rsid w:val="00A02562"/>
    <w:rsid w:val="00A03047"/>
    <w:rsid w:val="00A0340C"/>
    <w:rsid w:val="00A05C96"/>
    <w:rsid w:val="00A05F7D"/>
    <w:rsid w:val="00A1087E"/>
    <w:rsid w:val="00A10AA2"/>
    <w:rsid w:val="00A11083"/>
    <w:rsid w:val="00A127E2"/>
    <w:rsid w:val="00A134F8"/>
    <w:rsid w:val="00A14A48"/>
    <w:rsid w:val="00A160B3"/>
    <w:rsid w:val="00A2493A"/>
    <w:rsid w:val="00A26FF1"/>
    <w:rsid w:val="00A3143D"/>
    <w:rsid w:val="00A3185C"/>
    <w:rsid w:val="00A32886"/>
    <w:rsid w:val="00A33C01"/>
    <w:rsid w:val="00A3443F"/>
    <w:rsid w:val="00A34D40"/>
    <w:rsid w:val="00A3681F"/>
    <w:rsid w:val="00A36ACE"/>
    <w:rsid w:val="00A37CD5"/>
    <w:rsid w:val="00A41928"/>
    <w:rsid w:val="00A42FC3"/>
    <w:rsid w:val="00A43DE7"/>
    <w:rsid w:val="00A43E90"/>
    <w:rsid w:val="00A43EF9"/>
    <w:rsid w:val="00A443E0"/>
    <w:rsid w:val="00A44EF7"/>
    <w:rsid w:val="00A4523C"/>
    <w:rsid w:val="00A45EBA"/>
    <w:rsid w:val="00A46B20"/>
    <w:rsid w:val="00A5016C"/>
    <w:rsid w:val="00A5305E"/>
    <w:rsid w:val="00A53928"/>
    <w:rsid w:val="00A546CD"/>
    <w:rsid w:val="00A55A66"/>
    <w:rsid w:val="00A5720E"/>
    <w:rsid w:val="00A601E2"/>
    <w:rsid w:val="00A6057B"/>
    <w:rsid w:val="00A64BB8"/>
    <w:rsid w:val="00A64F80"/>
    <w:rsid w:val="00A671A4"/>
    <w:rsid w:val="00A67F9F"/>
    <w:rsid w:val="00A71985"/>
    <w:rsid w:val="00A72DD1"/>
    <w:rsid w:val="00A73134"/>
    <w:rsid w:val="00A750C1"/>
    <w:rsid w:val="00A753E1"/>
    <w:rsid w:val="00A75C76"/>
    <w:rsid w:val="00A760B4"/>
    <w:rsid w:val="00A777FC"/>
    <w:rsid w:val="00A82E31"/>
    <w:rsid w:val="00A84F61"/>
    <w:rsid w:val="00A85C1D"/>
    <w:rsid w:val="00A85CDD"/>
    <w:rsid w:val="00A8674C"/>
    <w:rsid w:val="00A923AA"/>
    <w:rsid w:val="00A95902"/>
    <w:rsid w:val="00AA0886"/>
    <w:rsid w:val="00AA09BF"/>
    <w:rsid w:val="00AA241A"/>
    <w:rsid w:val="00AA2BAC"/>
    <w:rsid w:val="00AA3F0C"/>
    <w:rsid w:val="00AA554E"/>
    <w:rsid w:val="00AA64B1"/>
    <w:rsid w:val="00AA7E49"/>
    <w:rsid w:val="00AA7FAD"/>
    <w:rsid w:val="00AB0535"/>
    <w:rsid w:val="00AB0F2D"/>
    <w:rsid w:val="00AB1EFF"/>
    <w:rsid w:val="00AB21EB"/>
    <w:rsid w:val="00AB2EF7"/>
    <w:rsid w:val="00AB45A1"/>
    <w:rsid w:val="00AB5BD4"/>
    <w:rsid w:val="00AB7AC8"/>
    <w:rsid w:val="00AC0138"/>
    <w:rsid w:val="00AC0E3B"/>
    <w:rsid w:val="00AC130C"/>
    <w:rsid w:val="00AC176A"/>
    <w:rsid w:val="00AC19AF"/>
    <w:rsid w:val="00AC1AAB"/>
    <w:rsid w:val="00AC2010"/>
    <w:rsid w:val="00AC3DF3"/>
    <w:rsid w:val="00AC42D8"/>
    <w:rsid w:val="00AC5C1D"/>
    <w:rsid w:val="00AC5F4F"/>
    <w:rsid w:val="00AD0438"/>
    <w:rsid w:val="00AD13E8"/>
    <w:rsid w:val="00AD2348"/>
    <w:rsid w:val="00AD25E0"/>
    <w:rsid w:val="00AD2672"/>
    <w:rsid w:val="00AD3340"/>
    <w:rsid w:val="00AD578A"/>
    <w:rsid w:val="00AE06EE"/>
    <w:rsid w:val="00AE3672"/>
    <w:rsid w:val="00AE379E"/>
    <w:rsid w:val="00AE4AEC"/>
    <w:rsid w:val="00AE5218"/>
    <w:rsid w:val="00AF1326"/>
    <w:rsid w:val="00AF35A1"/>
    <w:rsid w:val="00AF3872"/>
    <w:rsid w:val="00AF3962"/>
    <w:rsid w:val="00AF3DA3"/>
    <w:rsid w:val="00AF4801"/>
    <w:rsid w:val="00AF54B9"/>
    <w:rsid w:val="00AF5E37"/>
    <w:rsid w:val="00AF5F05"/>
    <w:rsid w:val="00AF681B"/>
    <w:rsid w:val="00AF68D2"/>
    <w:rsid w:val="00AF6EF7"/>
    <w:rsid w:val="00AF7DAC"/>
    <w:rsid w:val="00B00F14"/>
    <w:rsid w:val="00B0266B"/>
    <w:rsid w:val="00B06A5F"/>
    <w:rsid w:val="00B106D4"/>
    <w:rsid w:val="00B1100F"/>
    <w:rsid w:val="00B11DCF"/>
    <w:rsid w:val="00B12B39"/>
    <w:rsid w:val="00B13099"/>
    <w:rsid w:val="00B1315C"/>
    <w:rsid w:val="00B1376C"/>
    <w:rsid w:val="00B14515"/>
    <w:rsid w:val="00B15574"/>
    <w:rsid w:val="00B1646D"/>
    <w:rsid w:val="00B16D45"/>
    <w:rsid w:val="00B17395"/>
    <w:rsid w:val="00B173A6"/>
    <w:rsid w:val="00B17E33"/>
    <w:rsid w:val="00B2058E"/>
    <w:rsid w:val="00B20A95"/>
    <w:rsid w:val="00B22DC0"/>
    <w:rsid w:val="00B252A3"/>
    <w:rsid w:val="00B27A6D"/>
    <w:rsid w:val="00B31622"/>
    <w:rsid w:val="00B32929"/>
    <w:rsid w:val="00B329E1"/>
    <w:rsid w:val="00B35945"/>
    <w:rsid w:val="00B374AF"/>
    <w:rsid w:val="00B4009E"/>
    <w:rsid w:val="00B401D9"/>
    <w:rsid w:val="00B4127A"/>
    <w:rsid w:val="00B418F1"/>
    <w:rsid w:val="00B43495"/>
    <w:rsid w:val="00B435F3"/>
    <w:rsid w:val="00B43802"/>
    <w:rsid w:val="00B44DC1"/>
    <w:rsid w:val="00B45445"/>
    <w:rsid w:val="00B50F9C"/>
    <w:rsid w:val="00B5134E"/>
    <w:rsid w:val="00B51F18"/>
    <w:rsid w:val="00B51F49"/>
    <w:rsid w:val="00B522F0"/>
    <w:rsid w:val="00B529B0"/>
    <w:rsid w:val="00B5375D"/>
    <w:rsid w:val="00B55714"/>
    <w:rsid w:val="00B558E9"/>
    <w:rsid w:val="00B55B10"/>
    <w:rsid w:val="00B55C20"/>
    <w:rsid w:val="00B561B3"/>
    <w:rsid w:val="00B56EE3"/>
    <w:rsid w:val="00B601F3"/>
    <w:rsid w:val="00B6081F"/>
    <w:rsid w:val="00B60F1B"/>
    <w:rsid w:val="00B60FBE"/>
    <w:rsid w:val="00B61792"/>
    <w:rsid w:val="00B6399D"/>
    <w:rsid w:val="00B651DB"/>
    <w:rsid w:val="00B6554E"/>
    <w:rsid w:val="00B65D97"/>
    <w:rsid w:val="00B66632"/>
    <w:rsid w:val="00B667A1"/>
    <w:rsid w:val="00B67ECC"/>
    <w:rsid w:val="00B67ED8"/>
    <w:rsid w:val="00B708C3"/>
    <w:rsid w:val="00B71DC6"/>
    <w:rsid w:val="00B75BAE"/>
    <w:rsid w:val="00B75C4A"/>
    <w:rsid w:val="00B77E60"/>
    <w:rsid w:val="00B8369D"/>
    <w:rsid w:val="00B83923"/>
    <w:rsid w:val="00B83DB1"/>
    <w:rsid w:val="00B8702A"/>
    <w:rsid w:val="00B8730C"/>
    <w:rsid w:val="00B94A76"/>
    <w:rsid w:val="00B94B85"/>
    <w:rsid w:val="00B95CA1"/>
    <w:rsid w:val="00B9656E"/>
    <w:rsid w:val="00B9777C"/>
    <w:rsid w:val="00BA22F6"/>
    <w:rsid w:val="00BA2840"/>
    <w:rsid w:val="00BA3208"/>
    <w:rsid w:val="00BA42C8"/>
    <w:rsid w:val="00BA5BCD"/>
    <w:rsid w:val="00BA63C5"/>
    <w:rsid w:val="00BA64AD"/>
    <w:rsid w:val="00BA6BCC"/>
    <w:rsid w:val="00BA758B"/>
    <w:rsid w:val="00BB1E11"/>
    <w:rsid w:val="00BB21D3"/>
    <w:rsid w:val="00BB3B65"/>
    <w:rsid w:val="00BB59E1"/>
    <w:rsid w:val="00BB68B8"/>
    <w:rsid w:val="00BB7293"/>
    <w:rsid w:val="00BC1F92"/>
    <w:rsid w:val="00BC332A"/>
    <w:rsid w:val="00BC4BAE"/>
    <w:rsid w:val="00BC548F"/>
    <w:rsid w:val="00BC6E3D"/>
    <w:rsid w:val="00BC72CD"/>
    <w:rsid w:val="00BD1EB0"/>
    <w:rsid w:val="00BD3029"/>
    <w:rsid w:val="00BD3C92"/>
    <w:rsid w:val="00BD4D9D"/>
    <w:rsid w:val="00BD584A"/>
    <w:rsid w:val="00BD5EEC"/>
    <w:rsid w:val="00BD6A77"/>
    <w:rsid w:val="00BE0B5C"/>
    <w:rsid w:val="00BE0E73"/>
    <w:rsid w:val="00BE139B"/>
    <w:rsid w:val="00BE166C"/>
    <w:rsid w:val="00BE1932"/>
    <w:rsid w:val="00BE1940"/>
    <w:rsid w:val="00BE2D86"/>
    <w:rsid w:val="00BE5A85"/>
    <w:rsid w:val="00BE5F7A"/>
    <w:rsid w:val="00BE70F7"/>
    <w:rsid w:val="00BE7A62"/>
    <w:rsid w:val="00BF0303"/>
    <w:rsid w:val="00BF2A4F"/>
    <w:rsid w:val="00BF30F6"/>
    <w:rsid w:val="00BF3360"/>
    <w:rsid w:val="00BF371A"/>
    <w:rsid w:val="00BF463A"/>
    <w:rsid w:val="00BF4C62"/>
    <w:rsid w:val="00BF53FC"/>
    <w:rsid w:val="00BF7912"/>
    <w:rsid w:val="00BF7BB3"/>
    <w:rsid w:val="00C01D1D"/>
    <w:rsid w:val="00C028B1"/>
    <w:rsid w:val="00C02F15"/>
    <w:rsid w:val="00C02FAF"/>
    <w:rsid w:val="00C053C6"/>
    <w:rsid w:val="00C059F3"/>
    <w:rsid w:val="00C05B6B"/>
    <w:rsid w:val="00C060DD"/>
    <w:rsid w:val="00C06663"/>
    <w:rsid w:val="00C07475"/>
    <w:rsid w:val="00C0762E"/>
    <w:rsid w:val="00C07A76"/>
    <w:rsid w:val="00C10682"/>
    <w:rsid w:val="00C10AB1"/>
    <w:rsid w:val="00C1327B"/>
    <w:rsid w:val="00C13565"/>
    <w:rsid w:val="00C137AD"/>
    <w:rsid w:val="00C13BBD"/>
    <w:rsid w:val="00C16A10"/>
    <w:rsid w:val="00C202E6"/>
    <w:rsid w:val="00C22BDA"/>
    <w:rsid w:val="00C2315F"/>
    <w:rsid w:val="00C244EC"/>
    <w:rsid w:val="00C247D9"/>
    <w:rsid w:val="00C24FB3"/>
    <w:rsid w:val="00C25733"/>
    <w:rsid w:val="00C27D78"/>
    <w:rsid w:val="00C30944"/>
    <w:rsid w:val="00C30BB3"/>
    <w:rsid w:val="00C31479"/>
    <w:rsid w:val="00C329E7"/>
    <w:rsid w:val="00C33FEC"/>
    <w:rsid w:val="00C34297"/>
    <w:rsid w:val="00C34431"/>
    <w:rsid w:val="00C36873"/>
    <w:rsid w:val="00C370EC"/>
    <w:rsid w:val="00C408C0"/>
    <w:rsid w:val="00C40AC6"/>
    <w:rsid w:val="00C417B8"/>
    <w:rsid w:val="00C43EDC"/>
    <w:rsid w:val="00C441DD"/>
    <w:rsid w:val="00C44324"/>
    <w:rsid w:val="00C44740"/>
    <w:rsid w:val="00C44878"/>
    <w:rsid w:val="00C462CA"/>
    <w:rsid w:val="00C465B8"/>
    <w:rsid w:val="00C46BA1"/>
    <w:rsid w:val="00C46E40"/>
    <w:rsid w:val="00C47EF0"/>
    <w:rsid w:val="00C5049C"/>
    <w:rsid w:val="00C5141C"/>
    <w:rsid w:val="00C515B9"/>
    <w:rsid w:val="00C5288F"/>
    <w:rsid w:val="00C52896"/>
    <w:rsid w:val="00C52F02"/>
    <w:rsid w:val="00C53E15"/>
    <w:rsid w:val="00C53F79"/>
    <w:rsid w:val="00C54B99"/>
    <w:rsid w:val="00C54E79"/>
    <w:rsid w:val="00C555AC"/>
    <w:rsid w:val="00C555CE"/>
    <w:rsid w:val="00C55D3A"/>
    <w:rsid w:val="00C56555"/>
    <w:rsid w:val="00C56A14"/>
    <w:rsid w:val="00C57702"/>
    <w:rsid w:val="00C61721"/>
    <w:rsid w:val="00C61E70"/>
    <w:rsid w:val="00C61F10"/>
    <w:rsid w:val="00C62347"/>
    <w:rsid w:val="00C64229"/>
    <w:rsid w:val="00C656E0"/>
    <w:rsid w:val="00C67A1B"/>
    <w:rsid w:val="00C70DFB"/>
    <w:rsid w:val="00C719E6"/>
    <w:rsid w:val="00C72709"/>
    <w:rsid w:val="00C732C0"/>
    <w:rsid w:val="00C732EC"/>
    <w:rsid w:val="00C73CE0"/>
    <w:rsid w:val="00C74825"/>
    <w:rsid w:val="00C7556D"/>
    <w:rsid w:val="00C800F8"/>
    <w:rsid w:val="00C80AFC"/>
    <w:rsid w:val="00C80C69"/>
    <w:rsid w:val="00C81048"/>
    <w:rsid w:val="00C81591"/>
    <w:rsid w:val="00C82261"/>
    <w:rsid w:val="00C825DD"/>
    <w:rsid w:val="00C826C7"/>
    <w:rsid w:val="00C826FE"/>
    <w:rsid w:val="00C83122"/>
    <w:rsid w:val="00C83C0F"/>
    <w:rsid w:val="00C85E17"/>
    <w:rsid w:val="00C85F28"/>
    <w:rsid w:val="00C91128"/>
    <w:rsid w:val="00C93453"/>
    <w:rsid w:val="00C93BF8"/>
    <w:rsid w:val="00C93E0C"/>
    <w:rsid w:val="00C948FD"/>
    <w:rsid w:val="00C96320"/>
    <w:rsid w:val="00CA044D"/>
    <w:rsid w:val="00CA24E2"/>
    <w:rsid w:val="00CA303D"/>
    <w:rsid w:val="00CA4944"/>
    <w:rsid w:val="00CA4D79"/>
    <w:rsid w:val="00CA64D7"/>
    <w:rsid w:val="00CA6AF4"/>
    <w:rsid w:val="00CB0663"/>
    <w:rsid w:val="00CB1186"/>
    <w:rsid w:val="00CB149C"/>
    <w:rsid w:val="00CB1EC7"/>
    <w:rsid w:val="00CB3B15"/>
    <w:rsid w:val="00CB4A62"/>
    <w:rsid w:val="00CB5893"/>
    <w:rsid w:val="00CB5B79"/>
    <w:rsid w:val="00CB67AC"/>
    <w:rsid w:val="00CB68F9"/>
    <w:rsid w:val="00CB6D41"/>
    <w:rsid w:val="00CB7BF3"/>
    <w:rsid w:val="00CC0B84"/>
    <w:rsid w:val="00CC1799"/>
    <w:rsid w:val="00CC26E2"/>
    <w:rsid w:val="00CC2F1E"/>
    <w:rsid w:val="00CC3790"/>
    <w:rsid w:val="00CC5314"/>
    <w:rsid w:val="00CC5F9B"/>
    <w:rsid w:val="00CC6BDF"/>
    <w:rsid w:val="00CC6C01"/>
    <w:rsid w:val="00CC7AF0"/>
    <w:rsid w:val="00CD07F4"/>
    <w:rsid w:val="00CD210B"/>
    <w:rsid w:val="00CD38A1"/>
    <w:rsid w:val="00CD3B9C"/>
    <w:rsid w:val="00CD414B"/>
    <w:rsid w:val="00CD4449"/>
    <w:rsid w:val="00CD63BA"/>
    <w:rsid w:val="00CD74F1"/>
    <w:rsid w:val="00CE03E6"/>
    <w:rsid w:val="00CE08DB"/>
    <w:rsid w:val="00CE242B"/>
    <w:rsid w:val="00CE34F6"/>
    <w:rsid w:val="00CE3871"/>
    <w:rsid w:val="00CE4486"/>
    <w:rsid w:val="00CE45D8"/>
    <w:rsid w:val="00CE5E75"/>
    <w:rsid w:val="00CE6908"/>
    <w:rsid w:val="00CF120C"/>
    <w:rsid w:val="00CF1F7A"/>
    <w:rsid w:val="00CF31FD"/>
    <w:rsid w:val="00CF4EF1"/>
    <w:rsid w:val="00CF6D21"/>
    <w:rsid w:val="00D00709"/>
    <w:rsid w:val="00D01670"/>
    <w:rsid w:val="00D01C44"/>
    <w:rsid w:val="00D02119"/>
    <w:rsid w:val="00D026D5"/>
    <w:rsid w:val="00D033CD"/>
    <w:rsid w:val="00D04C7A"/>
    <w:rsid w:val="00D051E6"/>
    <w:rsid w:val="00D058A2"/>
    <w:rsid w:val="00D058C7"/>
    <w:rsid w:val="00D05CE9"/>
    <w:rsid w:val="00D10AEA"/>
    <w:rsid w:val="00D11D27"/>
    <w:rsid w:val="00D12E45"/>
    <w:rsid w:val="00D13DC8"/>
    <w:rsid w:val="00D14000"/>
    <w:rsid w:val="00D14993"/>
    <w:rsid w:val="00D153F4"/>
    <w:rsid w:val="00D17A5A"/>
    <w:rsid w:val="00D2011E"/>
    <w:rsid w:val="00D22044"/>
    <w:rsid w:val="00D24000"/>
    <w:rsid w:val="00D25CA2"/>
    <w:rsid w:val="00D321CD"/>
    <w:rsid w:val="00D3291B"/>
    <w:rsid w:val="00D32A20"/>
    <w:rsid w:val="00D349AD"/>
    <w:rsid w:val="00D35673"/>
    <w:rsid w:val="00D36242"/>
    <w:rsid w:val="00D3695D"/>
    <w:rsid w:val="00D411DF"/>
    <w:rsid w:val="00D41AB0"/>
    <w:rsid w:val="00D41E27"/>
    <w:rsid w:val="00D431C6"/>
    <w:rsid w:val="00D43444"/>
    <w:rsid w:val="00D46AB4"/>
    <w:rsid w:val="00D50A5A"/>
    <w:rsid w:val="00D50D2F"/>
    <w:rsid w:val="00D51FD4"/>
    <w:rsid w:val="00D5225D"/>
    <w:rsid w:val="00D56719"/>
    <w:rsid w:val="00D60607"/>
    <w:rsid w:val="00D60D38"/>
    <w:rsid w:val="00D60E9A"/>
    <w:rsid w:val="00D63BCC"/>
    <w:rsid w:val="00D649E2"/>
    <w:rsid w:val="00D664C0"/>
    <w:rsid w:val="00D671D6"/>
    <w:rsid w:val="00D673E1"/>
    <w:rsid w:val="00D6742A"/>
    <w:rsid w:val="00D7139C"/>
    <w:rsid w:val="00D71502"/>
    <w:rsid w:val="00D72B40"/>
    <w:rsid w:val="00D736AD"/>
    <w:rsid w:val="00D7398C"/>
    <w:rsid w:val="00D74657"/>
    <w:rsid w:val="00D752A1"/>
    <w:rsid w:val="00D77120"/>
    <w:rsid w:val="00D77264"/>
    <w:rsid w:val="00D775CF"/>
    <w:rsid w:val="00D777B5"/>
    <w:rsid w:val="00D8152D"/>
    <w:rsid w:val="00D8196C"/>
    <w:rsid w:val="00D820C4"/>
    <w:rsid w:val="00D83DAD"/>
    <w:rsid w:val="00D853FC"/>
    <w:rsid w:val="00D85B0D"/>
    <w:rsid w:val="00D85C19"/>
    <w:rsid w:val="00D86B83"/>
    <w:rsid w:val="00D876FC"/>
    <w:rsid w:val="00D877C5"/>
    <w:rsid w:val="00D90388"/>
    <w:rsid w:val="00D908A2"/>
    <w:rsid w:val="00D94FEE"/>
    <w:rsid w:val="00D95C68"/>
    <w:rsid w:val="00D97BBD"/>
    <w:rsid w:val="00DA0309"/>
    <w:rsid w:val="00DA08F9"/>
    <w:rsid w:val="00DA147E"/>
    <w:rsid w:val="00DA1588"/>
    <w:rsid w:val="00DA415E"/>
    <w:rsid w:val="00DA4298"/>
    <w:rsid w:val="00DA52DE"/>
    <w:rsid w:val="00DA570B"/>
    <w:rsid w:val="00DA5EE5"/>
    <w:rsid w:val="00DA5FA6"/>
    <w:rsid w:val="00DA66B3"/>
    <w:rsid w:val="00DA70A5"/>
    <w:rsid w:val="00DB0443"/>
    <w:rsid w:val="00DB0A57"/>
    <w:rsid w:val="00DB4AC8"/>
    <w:rsid w:val="00DB5CAE"/>
    <w:rsid w:val="00DB6420"/>
    <w:rsid w:val="00DB6DD0"/>
    <w:rsid w:val="00DB7165"/>
    <w:rsid w:val="00DB7ECF"/>
    <w:rsid w:val="00DC3A1C"/>
    <w:rsid w:val="00DC4EC3"/>
    <w:rsid w:val="00DC526A"/>
    <w:rsid w:val="00DC5887"/>
    <w:rsid w:val="00DC5A65"/>
    <w:rsid w:val="00DD068D"/>
    <w:rsid w:val="00DD08DB"/>
    <w:rsid w:val="00DD09AC"/>
    <w:rsid w:val="00DD0E6D"/>
    <w:rsid w:val="00DD199F"/>
    <w:rsid w:val="00DD55C8"/>
    <w:rsid w:val="00DD57C1"/>
    <w:rsid w:val="00DD6A9A"/>
    <w:rsid w:val="00DD7B53"/>
    <w:rsid w:val="00DE0665"/>
    <w:rsid w:val="00DE1AA7"/>
    <w:rsid w:val="00DE1AD4"/>
    <w:rsid w:val="00DE350A"/>
    <w:rsid w:val="00DE3C90"/>
    <w:rsid w:val="00DE3CED"/>
    <w:rsid w:val="00DE420A"/>
    <w:rsid w:val="00DE4549"/>
    <w:rsid w:val="00DE5137"/>
    <w:rsid w:val="00DE5185"/>
    <w:rsid w:val="00DE5989"/>
    <w:rsid w:val="00DE628E"/>
    <w:rsid w:val="00DE6692"/>
    <w:rsid w:val="00DE7C48"/>
    <w:rsid w:val="00DF18B7"/>
    <w:rsid w:val="00DF2AE2"/>
    <w:rsid w:val="00DF2EB2"/>
    <w:rsid w:val="00DF336E"/>
    <w:rsid w:val="00DF6576"/>
    <w:rsid w:val="00E004FD"/>
    <w:rsid w:val="00E00DB5"/>
    <w:rsid w:val="00E02F24"/>
    <w:rsid w:val="00E032D2"/>
    <w:rsid w:val="00E03550"/>
    <w:rsid w:val="00E0486D"/>
    <w:rsid w:val="00E04CBE"/>
    <w:rsid w:val="00E07C45"/>
    <w:rsid w:val="00E1320D"/>
    <w:rsid w:val="00E13AF8"/>
    <w:rsid w:val="00E16EBE"/>
    <w:rsid w:val="00E17B1C"/>
    <w:rsid w:val="00E20847"/>
    <w:rsid w:val="00E20DB8"/>
    <w:rsid w:val="00E215EB"/>
    <w:rsid w:val="00E2289D"/>
    <w:rsid w:val="00E22D12"/>
    <w:rsid w:val="00E242D4"/>
    <w:rsid w:val="00E2441F"/>
    <w:rsid w:val="00E244D1"/>
    <w:rsid w:val="00E252BA"/>
    <w:rsid w:val="00E256E4"/>
    <w:rsid w:val="00E25877"/>
    <w:rsid w:val="00E260BD"/>
    <w:rsid w:val="00E26435"/>
    <w:rsid w:val="00E271C4"/>
    <w:rsid w:val="00E324D3"/>
    <w:rsid w:val="00E356F6"/>
    <w:rsid w:val="00E40114"/>
    <w:rsid w:val="00E402D7"/>
    <w:rsid w:val="00E41111"/>
    <w:rsid w:val="00E41356"/>
    <w:rsid w:val="00E4288A"/>
    <w:rsid w:val="00E4510D"/>
    <w:rsid w:val="00E451C8"/>
    <w:rsid w:val="00E46BF9"/>
    <w:rsid w:val="00E476AE"/>
    <w:rsid w:val="00E47CDB"/>
    <w:rsid w:val="00E50677"/>
    <w:rsid w:val="00E52488"/>
    <w:rsid w:val="00E524AD"/>
    <w:rsid w:val="00E52673"/>
    <w:rsid w:val="00E56627"/>
    <w:rsid w:val="00E56BBE"/>
    <w:rsid w:val="00E5706A"/>
    <w:rsid w:val="00E60681"/>
    <w:rsid w:val="00E62298"/>
    <w:rsid w:val="00E622F6"/>
    <w:rsid w:val="00E632CD"/>
    <w:rsid w:val="00E645F3"/>
    <w:rsid w:val="00E656FF"/>
    <w:rsid w:val="00E65F87"/>
    <w:rsid w:val="00E666CC"/>
    <w:rsid w:val="00E66B74"/>
    <w:rsid w:val="00E677EB"/>
    <w:rsid w:val="00E679B8"/>
    <w:rsid w:val="00E70399"/>
    <w:rsid w:val="00E71800"/>
    <w:rsid w:val="00E71E0C"/>
    <w:rsid w:val="00E7216B"/>
    <w:rsid w:val="00E72A48"/>
    <w:rsid w:val="00E77846"/>
    <w:rsid w:val="00E77EA2"/>
    <w:rsid w:val="00E80056"/>
    <w:rsid w:val="00E80840"/>
    <w:rsid w:val="00E80BF9"/>
    <w:rsid w:val="00E812C2"/>
    <w:rsid w:val="00E81742"/>
    <w:rsid w:val="00E853F1"/>
    <w:rsid w:val="00E86662"/>
    <w:rsid w:val="00E866A6"/>
    <w:rsid w:val="00E8774B"/>
    <w:rsid w:val="00E909A1"/>
    <w:rsid w:val="00E90F82"/>
    <w:rsid w:val="00E927C7"/>
    <w:rsid w:val="00E92FC4"/>
    <w:rsid w:val="00E9316A"/>
    <w:rsid w:val="00E93D6F"/>
    <w:rsid w:val="00E94180"/>
    <w:rsid w:val="00E95766"/>
    <w:rsid w:val="00E95805"/>
    <w:rsid w:val="00E959FC"/>
    <w:rsid w:val="00E960E8"/>
    <w:rsid w:val="00E97688"/>
    <w:rsid w:val="00EA1DA9"/>
    <w:rsid w:val="00EA27FC"/>
    <w:rsid w:val="00EA3531"/>
    <w:rsid w:val="00EA39F9"/>
    <w:rsid w:val="00EA442A"/>
    <w:rsid w:val="00EA482B"/>
    <w:rsid w:val="00EA5478"/>
    <w:rsid w:val="00EA6350"/>
    <w:rsid w:val="00EA6A64"/>
    <w:rsid w:val="00EA7A93"/>
    <w:rsid w:val="00EB028E"/>
    <w:rsid w:val="00EB239C"/>
    <w:rsid w:val="00EB3D15"/>
    <w:rsid w:val="00EB50F8"/>
    <w:rsid w:val="00EB70E6"/>
    <w:rsid w:val="00EB78FB"/>
    <w:rsid w:val="00EC0130"/>
    <w:rsid w:val="00EC0759"/>
    <w:rsid w:val="00EC07FF"/>
    <w:rsid w:val="00EC205E"/>
    <w:rsid w:val="00EC243F"/>
    <w:rsid w:val="00EC3BD0"/>
    <w:rsid w:val="00EC4716"/>
    <w:rsid w:val="00ED2453"/>
    <w:rsid w:val="00ED2C10"/>
    <w:rsid w:val="00ED2CB6"/>
    <w:rsid w:val="00ED468A"/>
    <w:rsid w:val="00ED5541"/>
    <w:rsid w:val="00EE0497"/>
    <w:rsid w:val="00EE1BB9"/>
    <w:rsid w:val="00EE2132"/>
    <w:rsid w:val="00EE220E"/>
    <w:rsid w:val="00EE66E6"/>
    <w:rsid w:val="00EE7818"/>
    <w:rsid w:val="00EE787F"/>
    <w:rsid w:val="00EF0E8C"/>
    <w:rsid w:val="00EF1CFA"/>
    <w:rsid w:val="00EF1D05"/>
    <w:rsid w:val="00EF1E45"/>
    <w:rsid w:val="00EF35C5"/>
    <w:rsid w:val="00EF586E"/>
    <w:rsid w:val="00EF7351"/>
    <w:rsid w:val="00EF7D24"/>
    <w:rsid w:val="00F0066F"/>
    <w:rsid w:val="00F0162A"/>
    <w:rsid w:val="00F01757"/>
    <w:rsid w:val="00F03012"/>
    <w:rsid w:val="00F064EE"/>
    <w:rsid w:val="00F077E2"/>
    <w:rsid w:val="00F07E86"/>
    <w:rsid w:val="00F103EA"/>
    <w:rsid w:val="00F1084A"/>
    <w:rsid w:val="00F109D4"/>
    <w:rsid w:val="00F10ADB"/>
    <w:rsid w:val="00F11EE6"/>
    <w:rsid w:val="00F12D64"/>
    <w:rsid w:val="00F166FA"/>
    <w:rsid w:val="00F179AE"/>
    <w:rsid w:val="00F17A55"/>
    <w:rsid w:val="00F17B1C"/>
    <w:rsid w:val="00F21489"/>
    <w:rsid w:val="00F231AD"/>
    <w:rsid w:val="00F23C40"/>
    <w:rsid w:val="00F24CF2"/>
    <w:rsid w:val="00F25DDD"/>
    <w:rsid w:val="00F314D3"/>
    <w:rsid w:val="00F31F28"/>
    <w:rsid w:val="00F322D7"/>
    <w:rsid w:val="00F329BC"/>
    <w:rsid w:val="00F32B15"/>
    <w:rsid w:val="00F33B18"/>
    <w:rsid w:val="00F3418E"/>
    <w:rsid w:val="00F34EDA"/>
    <w:rsid w:val="00F35B10"/>
    <w:rsid w:val="00F37C9C"/>
    <w:rsid w:val="00F4018C"/>
    <w:rsid w:val="00F40547"/>
    <w:rsid w:val="00F43973"/>
    <w:rsid w:val="00F44664"/>
    <w:rsid w:val="00F47022"/>
    <w:rsid w:val="00F475E5"/>
    <w:rsid w:val="00F51878"/>
    <w:rsid w:val="00F526F4"/>
    <w:rsid w:val="00F52B3C"/>
    <w:rsid w:val="00F5304A"/>
    <w:rsid w:val="00F530B8"/>
    <w:rsid w:val="00F54344"/>
    <w:rsid w:val="00F547A5"/>
    <w:rsid w:val="00F568FE"/>
    <w:rsid w:val="00F60916"/>
    <w:rsid w:val="00F61D92"/>
    <w:rsid w:val="00F62030"/>
    <w:rsid w:val="00F628D2"/>
    <w:rsid w:val="00F63A15"/>
    <w:rsid w:val="00F63CA0"/>
    <w:rsid w:val="00F64427"/>
    <w:rsid w:val="00F6579A"/>
    <w:rsid w:val="00F66DD9"/>
    <w:rsid w:val="00F706A4"/>
    <w:rsid w:val="00F70965"/>
    <w:rsid w:val="00F7126C"/>
    <w:rsid w:val="00F7248A"/>
    <w:rsid w:val="00F7428F"/>
    <w:rsid w:val="00F75448"/>
    <w:rsid w:val="00F77956"/>
    <w:rsid w:val="00F77D75"/>
    <w:rsid w:val="00F81FB1"/>
    <w:rsid w:val="00F82E31"/>
    <w:rsid w:val="00F830E2"/>
    <w:rsid w:val="00F83500"/>
    <w:rsid w:val="00F863BF"/>
    <w:rsid w:val="00F866F5"/>
    <w:rsid w:val="00F875B8"/>
    <w:rsid w:val="00F906C9"/>
    <w:rsid w:val="00F90D28"/>
    <w:rsid w:val="00F91360"/>
    <w:rsid w:val="00F94BA7"/>
    <w:rsid w:val="00F95957"/>
    <w:rsid w:val="00F95A72"/>
    <w:rsid w:val="00F96159"/>
    <w:rsid w:val="00F96B63"/>
    <w:rsid w:val="00F97872"/>
    <w:rsid w:val="00FA1921"/>
    <w:rsid w:val="00FA1D4D"/>
    <w:rsid w:val="00FA53F9"/>
    <w:rsid w:val="00FA55C9"/>
    <w:rsid w:val="00FA585E"/>
    <w:rsid w:val="00FA5BFC"/>
    <w:rsid w:val="00FB02AA"/>
    <w:rsid w:val="00FB06E5"/>
    <w:rsid w:val="00FB0D1D"/>
    <w:rsid w:val="00FB1530"/>
    <w:rsid w:val="00FB3162"/>
    <w:rsid w:val="00FB335C"/>
    <w:rsid w:val="00FB42DA"/>
    <w:rsid w:val="00FB4E7E"/>
    <w:rsid w:val="00FB6382"/>
    <w:rsid w:val="00FC22EF"/>
    <w:rsid w:val="00FC32A6"/>
    <w:rsid w:val="00FC4C65"/>
    <w:rsid w:val="00FC5E7D"/>
    <w:rsid w:val="00FC61DD"/>
    <w:rsid w:val="00FC6746"/>
    <w:rsid w:val="00FC6AEE"/>
    <w:rsid w:val="00FC7581"/>
    <w:rsid w:val="00FC7681"/>
    <w:rsid w:val="00FC7683"/>
    <w:rsid w:val="00FD04C7"/>
    <w:rsid w:val="00FD1937"/>
    <w:rsid w:val="00FD3B1C"/>
    <w:rsid w:val="00FD640F"/>
    <w:rsid w:val="00FD6435"/>
    <w:rsid w:val="00FD737F"/>
    <w:rsid w:val="00FE2F18"/>
    <w:rsid w:val="00FE3592"/>
    <w:rsid w:val="00FE503F"/>
    <w:rsid w:val="00FE6AFB"/>
    <w:rsid w:val="00FE7C7D"/>
    <w:rsid w:val="00FF0F80"/>
    <w:rsid w:val="00FF2C75"/>
    <w:rsid w:val="00FF3F07"/>
    <w:rsid w:val="00FF6375"/>
    <w:rsid w:val="00FF6879"/>
    <w:rsid w:val="00FF77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6245B58"/>
  <w15:chartTrackingRefBased/>
  <w15:docId w15:val="{38A0251C-286D-4978-9EB9-5D27D9D233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8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08C0"/>
  </w:style>
  <w:style w:type="paragraph" w:styleId="Heading1">
    <w:name w:val="heading 1"/>
    <w:basedOn w:val="Normal"/>
    <w:next w:val="Normal"/>
    <w:link w:val="Heading1Char"/>
    <w:uiPriority w:val="9"/>
    <w:qFormat/>
    <w:rsid w:val="00C408C0"/>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unhideWhenUsed/>
    <w:qFormat/>
    <w:rsid w:val="00C408C0"/>
    <w:pPr>
      <w:keepNext/>
      <w:keepLines/>
      <w:spacing w:before="40" w:after="0"/>
      <w:outlineLvl w:val="1"/>
    </w:pPr>
    <w:rPr>
      <w:rFonts w:asciiTheme="majorHAnsi" w:eastAsiaTheme="majorEastAsia" w:hAnsiTheme="majorHAnsi" w:cstheme="majorBidi"/>
      <w:color w:val="0F4761" w:themeColor="accent1" w:themeShade="BF"/>
      <w:sz w:val="26"/>
      <w:szCs w:val="26"/>
    </w:rPr>
  </w:style>
  <w:style w:type="paragraph" w:styleId="Heading3">
    <w:name w:val="heading 3"/>
    <w:basedOn w:val="Normal"/>
    <w:next w:val="Normal"/>
    <w:link w:val="Heading3Char"/>
    <w:uiPriority w:val="9"/>
    <w:unhideWhenUsed/>
    <w:qFormat/>
    <w:rsid w:val="00855B23"/>
    <w:pPr>
      <w:keepNext/>
      <w:keepLines/>
      <w:spacing w:before="16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55B2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55B2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55B2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55B2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55B2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55B2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08C0"/>
    <w:rPr>
      <w:rFonts w:asciiTheme="majorHAnsi" w:eastAsiaTheme="majorEastAsia" w:hAnsiTheme="majorHAnsi" w:cstheme="majorBidi"/>
      <w:color w:val="0F4761" w:themeColor="accent1" w:themeShade="BF"/>
      <w:sz w:val="32"/>
      <w:szCs w:val="32"/>
    </w:rPr>
  </w:style>
  <w:style w:type="character" w:customStyle="1" w:styleId="Heading2Char">
    <w:name w:val="Heading 2 Char"/>
    <w:basedOn w:val="DefaultParagraphFont"/>
    <w:link w:val="Heading2"/>
    <w:uiPriority w:val="9"/>
    <w:rsid w:val="00C408C0"/>
    <w:rPr>
      <w:rFonts w:asciiTheme="majorHAnsi" w:eastAsiaTheme="majorEastAsia" w:hAnsiTheme="majorHAnsi" w:cstheme="majorBidi"/>
      <w:color w:val="0F4761" w:themeColor="accent1" w:themeShade="BF"/>
      <w:sz w:val="26"/>
      <w:szCs w:val="26"/>
    </w:rPr>
  </w:style>
  <w:style w:type="paragraph" w:styleId="ListParagraph">
    <w:name w:val="List Paragraph"/>
    <w:basedOn w:val="Normal"/>
    <w:uiPriority w:val="34"/>
    <w:qFormat/>
    <w:rsid w:val="00C408C0"/>
    <w:pPr>
      <w:ind w:left="720"/>
      <w:contextualSpacing/>
    </w:pPr>
  </w:style>
  <w:style w:type="character" w:customStyle="1" w:styleId="Heading3Char">
    <w:name w:val="Heading 3 Char"/>
    <w:basedOn w:val="DefaultParagraphFont"/>
    <w:link w:val="Heading3"/>
    <w:uiPriority w:val="9"/>
    <w:rsid w:val="00855B2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55B2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55B2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55B2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55B2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55B2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55B23"/>
    <w:rPr>
      <w:rFonts w:eastAsiaTheme="majorEastAsia" w:cstheme="majorBidi"/>
      <w:color w:val="272727" w:themeColor="text1" w:themeTint="D8"/>
    </w:rPr>
  </w:style>
  <w:style w:type="paragraph" w:styleId="Title">
    <w:name w:val="Title"/>
    <w:basedOn w:val="Normal"/>
    <w:next w:val="Normal"/>
    <w:link w:val="TitleChar"/>
    <w:uiPriority w:val="10"/>
    <w:qFormat/>
    <w:rsid w:val="00855B23"/>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55B2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55B23"/>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55B2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55B2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55B23"/>
    <w:rPr>
      <w:i/>
      <w:iCs/>
      <w:color w:val="404040" w:themeColor="text1" w:themeTint="BF"/>
    </w:rPr>
  </w:style>
  <w:style w:type="character" w:styleId="IntenseEmphasis">
    <w:name w:val="Intense Emphasis"/>
    <w:basedOn w:val="DefaultParagraphFont"/>
    <w:uiPriority w:val="21"/>
    <w:qFormat/>
    <w:rsid w:val="00855B23"/>
    <w:rPr>
      <w:i/>
      <w:iCs/>
      <w:color w:val="0F4761" w:themeColor="accent1" w:themeShade="BF"/>
    </w:rPr>
  </w:style>
  <w:style w:type="paragraph" w:styleId="IntenseQuote">
    <w:name w:val="Intense Quote"/>
    <w:basedOn w:val="Normal"/>
    <w:next w:val="Normal"/>
    <w:link w:val="IntenseQuoteChar"/>
    <w:uiPriority w:val="30"/>
    <w:qFormat/>
    <w:rsid w:val="00855B2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55B23"/>
    <w:rPr>
      <w:i/>
      <w:iCs/>
      <w:color w:val="0F4761" w:themeColor="accent1" w:themeShade="BF"/>
    </w:rPr>
  </w:style>
  <w:style w:type="character" w:styleId="IntenseReference">
    <w:name w:val="Intense Reference"/>
    <w:basedOn w:val="DefaultParagraphFont"/>
    <w:uiPriority w:val="32"/>
    <w:qFormat/>
    <w:rsid w:val="00855B23"/>
    <w:rPr>
      <w:b/>
      <w:bCs/>
      <w:smallCaps/>
      <w:color w:val="0F4761" w:themeColor="accent1" w:themeShade="BF"/>
      <w:spacing w:val="5"/>
    </w:rPr>
  </w:style>
  <w:style w:type="paragraph" w:styleId="NoSpacing">
    <w:name w:val="No Spacing"/>
    <w:link w:val="NoSpacingChar"/>
    <w:uiPriority w:val="1"/>
    <w:qFormat/>
    <w:rsid w:val="007658C9"/>
    <w:pPr>
      <w:spacing w:after="0"/>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7658C9"/>
    <w:rPr>
      <w:rFonts w:eastAsiaTheme="minorEastAsia"/>
      <w:kern w:val="0"/>
      <w:lang w:eastAsia="en-GB"/>
      <w14:ligatures w14:val="none"/>
    </w:rPr>
  </w:style>
  <w:style w:type="character" w:styleId="Hyperlink">
    <w:name w:val="Hyperlink"/>
    <w:basedOn w:val="DefaultParagraphFont"/>
    <w:uiPriority w:val="99"/>
    <w:unhideWhenUsed/>
    <w:rsid w:val="00AF681B"/>
    <w:rPr>
      <w:color w:val="467886" w:themeColor="hyperlink"/>
      <w:u w:val="single"/>
    </w:rPr>
  </w:style>
  <w:style w:type="character" w:styleId="UnresolvedMention">
    <w:name w:val="Unresolved Mention"/>
    <w:basedOn w:val="DefaultParagraphFont"/>
    <w:uiPriority w:val="99"/>
    <w:semiHidden/>
    <w:unhideWhenUsed/>
    <w:rsid w:val="00AF681B"/>
    <w:rPr>
      <w:color w:val="605E5C"/>
      <w:shd w:val="clear" w:color="auto" w:fill="E1DFDD"/>
    </w:rPr>
  </w:style>
  <w:style w:type="table" w:styleId="TableGrid">
    <w:name w:val="Table Grid"/>
    <w:basedOn w:val="TableNormal"/>
    <w:uiPriority w:val="39"/>
    <w:rsid w:val="00C05B6B"/>
    <w:pPr>
      <w:spacing w:after="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semiHidden/>
    <w:rsid w:val="00B32929"/>
    <w:pPr>
      <w:spacing w:after="0"/>
    </w:pPr>
  </w:style>
  <w:style w:type="paragraph" w:styleId="Caption">
    <w:name w:val="caption"/>
    <w:basedOn w:val="Normal"/>
    <w:next w:val="Normal"/>
    <w:uiPriority w:val="35"/>
    <w:unhideWhenUsed/>
    <w:qFormat/>
    <w:rsid w:val="00331919"/>
    <w:pPr>
      <w:spacing w:after="200"/>
    </w:pPr>
    <w:rPr>
      <w:i/>
      <w:iCs/>
      <w:color w:val="0E2841" w:themeColor="text2"/>
      <w:sz w:val="18"/>
      <w:szCs w:val="18"/>
    </w:rPr>
  </w:style>
  <w:style w:type="paragraph" w:styleId="TOCHeading">
    <w:name w:val="TOC Heading"/>
    <w:basedOn w:val="Heading1"/>
    <w:next w:val="Normal"/>
    <w:uiPriority w:val="39"/>
    <w:unhideWhenUsed/>
    <w:qFormat/>
    <w:rsid w:val="00F166FA"/>
    <w:pPr>
      <w:spacing w:line="259" w:lineRule="auto"/>
      <w:outlineLvl w:val="9"/>
    </w:pPr>
    <w:rPr>
      <w:kern w:val="0"/>
      <w:lang w:eastAsia="en-GB"/>
      <w14:ligatures w14:val="none"/>
    </w:rPr>
  </w:style>
  <w:style w:type="paragraph" w:styleId="TOC1">
    <w:name w:val="toc 1"/>
    <w:basedOn w:val="Normal"/>
    <w:next w:val="Normal"/>
    <w:autoRedefine/>
    <w:uiPriority w:val="39"/>
    <w:unhideWhenUsed/>
    <w:rsid w:val="00CD63BA"/>
    <w:pPr>
      <w:tabs>
        <w:tab w:val="right" w:leader="dot" w:pos="9016"/>
      </w:tabs>
      <w:spacing w:after="100"/>
    </w:pPr>
    <w:rPr>
      <w:rFonts w:ascii="Times New Roman" w:hAnsi="Times New Roman" w:cs="Times New Roman"/>
      <w:noProof/>
    </w:rPr>
  </w:style>
  <w:style w:type="paragraph" w:styleId="TOC2">
    <w:name w:val="toc 2"/>
    <w:basedOn w:val="Normal"/>
    <w:next w:val="Normal"/>
    <w:autoRedefine/>
    <w:uiPriority w:val="39"/>
    <w:unhideWhenUsed/>
    <w:rsid w:val="00F166FA"/>
    <w:pPr>
      <w:spacing w:after="100"/>
      <w:ind w:left="220"/>
    </w:pPr>
  </w:style>
  <w:style w:type="paragraph" w:styleId="NormalWeb">
    <w:name w:val="Normal (Web)"/>
    <w:basedOn w:val="Normal"/>
    <w:uiPriority w:val="99"/>
    <w:unhideWhenUsed/>
    <w:rsid w:val="00721AE9"/>
    <w:pPr>
      <w:spacing w:before="100" w:beforeAutospacing="1" w:after="100" w:afterAutospacing="1"/>
    </w:pPr>
    <w:rPr>
      <w:rFonts w:ascii="Times New Roman" w:eastAsia="Times New Roman" w:hAnsi="Times New Roman" w:cs="Times New Roman"/>
      <w:kern w:val="0"/>
      <w:sz w:val="24"/>
      <w:szCs w:val="24"/>
      <w:lang w:eastAsia="en-GB"/>
      <w14:ligatures w14:val="none"/>
    </w:rPr>
  </w:style>
  <w:style w:type="character" w:styleId="FollowedHyperlink">
    <w:name w:val="FollowedHyperlink"/>
    <w:basedOn w:val="DefaultParagraphFont"/>
    <w:uiPriority w:val="99"/>
    <w:semiHidden/>
    <w:unhideWhenUsed/>
    <w:rsid w:val="006B534C"/>
    <w:rPr>
      <w:color w:val="96607D" w:themeColor="followedHyperlink"/>
      <w:u w:val="single"/>
    </w:rPr>
  </w:style>
  <w:style w:type="paragraph" w:styleId="TableofFigures">
    <w:name w:val="table of figures"/>
    <w:basedOn w:val="Normal"/>
    <w:next w:val="Normal"/>
    <w:uiPriority w:val="99"/>
    <w:unhideWhenUsed/>
    <w:rsid w:val="004B3D88"/>
    <w:pPr>
      <w:spacing w:after="0"/>
    </w:pPr>
  </w:style>
  <w:style w:type="paragraph" w:styleId="Header">
    <w:name w:val="header"/>
    <w:basedOn w:val="Normal"/>
    <w:link w:val="HeaderChar"/>
    <w:uiPriority w:val="99"/>
    <w:unhideWhenUsed/>
    <w:rsid w:val="002E54C0"/>
    <w:pPr>
      <w:tabs>
        <w:tab w:val="center" w:pos="4513"/>
        <w:tab w:val="right" w:pos="9026"/>
      </w:tabs>
      <w:spacing w:after="0"/>
    </w:pPr>
  </w:style>
  <w:style w:type="character" w:customStyle="1" w:styleId="HeaderChar">
    <w:name w:val="Header Char"/>
    <w:basedOn w:val="DefaultParagraphFont"/>
    <w:link w:val="Header"/>
    <w:uiPriority w:val="99"/>
    <w:rsid w:val="002E54C0"/>
  </w:style>
  <w:style w:type="paragraph" w:styleId="Footer">
    <w:name w:val="footer"/>
    <w:basedOn w:val="Normal"/>
    <w:link w:val="FooterChar"/>
    <w:uiPriority w:val="99"/>
    <w:unhideWhenUsed/>
    <w:rsid w:val="002E54C0"/>
    <w:pPr>
      <w:tabs>
        <w:tab w:val="center" w:pos="4513"/>
        <w:tab w:val="right" w:pos="9026"/>
      </w:tabs>
      <w:spacing w:after="0"/>
    </w:pPr>
  </w:style>
  <w:style w:type="character" w:customStyle="1" w:styleId="FooterChar">
    <w:name w:val="Footer Char"/>
    <w:basedOn w:val="DefaultParagraphFont"/>
    <w:link w:val="Footer"/>
    <w:uiPriority w:val="99"/>
    <w:rsid w:val="002E54C0"/>
  </w:style>
  <w:style w:type="character" w:styleId="LineNumber">
    <w:name w:val="line number"/>
    <w:basedOn w:val="DefaultParagraphFont"/>
    <w:uiPriority w:val="99"/>
    <w:semiHidden/>
    <w:unhideWhenUsed/>
    <w:rsid w:val="008D5515"/>
  </w:style>
  <w:style w:type="paragraph" w:styleId="TOC3">
    <w:name w:val="toc 3"/>
    <w:basedOn w:val="Normal"/>
    <w:next w:val="Normal"/>
    <w:autoRedefine/>
    <w:uiPriority w:val="39"/>
    <w:unhideWhenUsed/>
    <w:rsid w:val="00CD63BA"/>
    <w:pPr>
      <w:spacing w:after="100"/>
      <w:ind w:left="440"/>
    </w:pPr>
  </w:style>
  <w:style w:type="paragraph" w:customStyle="1" w:styleId="msonormal0">
    <w:name w:val="msonormal"/>
    <w:basedOn w:val="Normal"/>
    <w:uiPriority w:val="99"/>
    <w:rsid w:val="00E94180"/>
    <w:pPr>
      <w:spacing w:before="100" w:beforeAutospacing="1" w:after="100" w:afterAutospacing="1"/>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982908"/>
    <w:rPr>
      <w:b/>
      <w:bCs/>
    </w:rPr>
  </w:style>
  <w:style w:type="table" w:styleId="TableGridLight">
    <w:name w:val="Grid Table Light"/>
    <w:basedOn w:val="TableNormal"/>
    <w:uiPriority w:val="40"/>
    <w:rsid w:val="0048753B"/>
    <w:pPr>
      <w:spacing w:after="0"/>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48753B"/>
    <w:pPr>
      <w:spacing w:after="0"/>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48753B"/>
    <w:pPr>
      <w:spacing w:after="0"/>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4284658">
      <w:bodyDiv w:val="1"/>
      <w:marLeft w:val="0"/>
      <w:marRight w:val="0"/>
      <w:marTop w:val="0"/>
      <w:marBottom w:val="0"/>
      <w:divBdr>
        <w:top w:val="none" w:sz="0" w:space="0" w:color="auto"/>
        <w:left w:val="none" w:sz="0" w:space="0" w:color="auto"/>
        <w:bottom w:val="none" w:sz="0" w:space="0" w:color="auto"/>
        <w:right w:val="none" w:sz="0" w:space="0" w:color="auto"/>
      </w:divBdr>
      <w:divsChild>
        <w:div w:id="352998179">
          <w:marLeft w:val="0"/>
          <w:marRight w:val="0"/>
          <w:marTop w:val="0"/>
          <w:marBottom w:val="0"/>
          <w:divBdr>
            <w:top w:val="none" w:sz="0" w:space="0" w:color="auto"/>
            <w:left w:val="none" w:sz="0" w:space="0" w:color="auto"/>
            <w:bottom w:val="none" w:sz="0" w:space="0" w:color="auto"/>
            <w:right w:val="none" w:sz="0" w:space="0" w:color="auto"/>
          </w:divBdr>
        </w:div>
      </w:divsChild>
    </w:div>
    <w:div w:id="97918477">
      <w:bodyDiv w:val="1"/>
      <w:marLeft w:val="0"/>
      <w:marRight w:val="0"/>
      <w:marTop w:val="0"/>
      <w:marBottom w:val="0"/>
      <w:divBdr>
        <w:top w:val="none" w:sz="0" w:space="0" w:color="auto"/>
        <w:left w:val="none" w:sz="0" w:space="0" w:color="auto"/>
        <w:bottom w:val="none" w:sz="0" w:space="0" w:color="auto"/>
        <w:right w:val="none" w:sz="0" w:space="0" w:color="auto"/>
      </w:divBdr>
      <w:divsChild>
        <w:div w:id="1824737876">
          <w:marLeft w:val="0"/>
          <w:marRight w:val="0"/>
          <w:marTop w:val="0"/>
          <w:marBottom w:val="0"/>
          <w:divBdr>
            <w:top w:val="none" w:sz="0" w:space="0" w:color="auto"/>
            <w:left w:val="none" w:sz="0" w:space="0" w:color="auto"/>
            <w:bottom w:val="none" w:sz="0" w:space="0" w:color="auto"/>
            <w:right w:val="none" w:sz="0" w:space="0" w:color="auto"/>
          </w:divBdr>
        </w:div>
      </w:divsChild>
    </w:div>
    <w:div w:id="130952567">
      <w:bodyDiv w:val="1"/>
      <w:marLeft w:val="0"/>
      <w:marRight w:val="0"/>
      <w:marTop w:val="0"/>
      <w:marBottom w:val="0"/>
      <w:divBdr>
        <w:top w:val="none" w:sz="0" w:space="0" w:color="auto"/>
        <w:left w:val="none" w:sz="0" w:space="0" w:color="auto"/>
        <w:bottom w:val="none" w:sz="0" w:space="0" w:color="auto"/>
        <w:right w:val="none" w:sz="0" w:space="0" w:color="auto"/>
      </w:divBdr>
    </w:div>
    <w:div w:id="163403512">
      <w:bodyDiv w:val="1"/>
      <w:marLeft w:val="0"/>
      <w:marRight w:val="0"/>
      <w:marTop w:val="0"/>
      <w:marBottom w:val="0"/>
      <w:divBdr>
        <w:top w:val="none" w:sz="0" w:space="0" w:color="auto"/>
        <w:left w:val="none" w:sz="0" w:space="0" w:color="auto"/>
        <w:bottom w:val="none" w:sz="0" w:space="0" w:color="auto"/>
        <w:right w:val="none" w:sz="0" w:space="0" w:color="auto"/>
      </w:divBdr>
      <w:divsChild>
        <w:div w:id="1153908437">
          <w:marLeft w:val="0"/>
          <w:marRight w:val="0"/>
          <w:marTop w:val="0"/>
          <w:marBottom w:val="0"/>
          <w:divBdr>
            <w:top w:val="none" w:sz="0" w:space="0" w:color="auto"/>
            <w:left w:val="none" w:sz="0" w:space="0" w:color="auto"/>
            <w:bottom w:val="none" w:sz="0" w:space="0" w:color="auto"/>
            <w:right w:val="none" w:sz="0" w:space="0" w:color="auto"/>
          </w:divBdr>
        </w:div>
      </w:divsChild>
    </w:div>
    <w:div w:id="188224648">
      <w:bodyDiv w:val="1"/>
      <w:marLeft w:val="0"/>
      <w:marRight w:val="0"/>
      <w:marTop w:val="0"/>
      <w:marBottom w:val="0"/>
      <w:divBdr>
        <w:top w:val="none" w:sz="0" w:space="0" w:color="auto"/>
        <w:left w:val="none" w:sz="0" w:space="0" w:color="auto"/>
        <w:bottom w:val="none" w:sz="0" w:space="0" w:color="auto"/>
        <w:right w:val="none" w:sz="0" w:space="0" w:color="auto"/>
      </w:divBdr>
    </w:div>
    <w:div w:id="252981384">
      <w:bodyDiv w:val="1"/>
      <w:marLeft w:val="0"/>
      <w:marRight w:val="0"/>
      <w:marTop w:val="0"/>
      <w:marBottom w:val="0"/>
      <w:divBdr>
        <w:top w:val="none" w:sz="0" w:space="0" w:color="auto"/>
        <w:left w:val="none" w:sz="0" w:space="0" w:color="auto"/>
        <w:bottom w:val="none" w:sz="0" w:space="0" w:color="auto"/>
        <w:right w:val="none" w:sz="0" w:space="0" w:color="auto"/>
      </w:divBdr>
    </w:div>
    <w:div w:id="284041409">
      <w:bodyDiv w:val="1"/>
      <w:marLeft w:val="0"/>
      <w:marRight w:val="0"/>
      <w:marTop w:val="0"/>
      <w:marBottom w:val="0"/>
      <w:divBdr>
        <w:top w:val="none" w:sz="0" w:space="0" w:color="auto"/>
        <w:left w:val="none" w:sz="0" w:space="0" w:color="auto"/>
        <w:bottom w:val="none" w:sz="0" w:space="0" w:color="auto"/>
        <w:right w:val="none" w:sz="0" w:space="0" w:color="auto"/>
      </w:divBdr>
      <w:divsChild>
        <w:div w:id="1846045050">
          <w:marLeft w:val="0"/>
          <w:marRight w:val="0"/>
          <w:marTop w:val="0"/>
          <w:marBottom w:val="0"/>
          <w:divBdr>
            <w:top w:val="none" w:sz="0" w:space="0" w:color="auto"/>
            <w:left w:val="none" w:sz="0" w:space="0" w:color="auto"/>
            <w:bottom w:val="none" w:sz="0" w:space="0" w:color="auto"/>
            <w:right w:val="none" w:sz="0" w:space="0" w:color="auto"/>
          </w:divBdr>
        </w:div>
      </w:divsChild>
    </w:div>
    <w:div w:id="376509133">
      <w:bodyDiv w:val="1"/>
      <w:marLeft w:val="0"/>
      <w:marRight w:val="0"/>
      <w:marTop w:val="0"/>
      <w:marBottom w:val="0"/>
      <w:divBdr>
        <w:top w:val="none" w:sz="0" w:space="0" w:color="auto"/>
        <w:left w:val="none" w:sz="0" w:space="0" w:color="auto"/>
        <w:bottom w:val="none" w:sz="0" w:space="0" w:color="auto"/>
        <w:right w:val="none" w:sz="0" w:space="0" w:color="auto"/>
      </w:divBdr>
      <w:divsChild>
        <w:div w:id="1387608385">
          <w:marLeft w:val="0"/>
          <w:marRight w:val="0"/>
          <w:marTop w:val="0"/>
          <w:marBottom w:val="0"/>
          <w:divBdr>
            <w:top w:val="none" w:sz="0" w:space="0" w:color="auto"/>
            <w:left w:val="none" w:sz="0" w:space="0" w:color="auto"/>
            <w:bottom w:val="none" w:sz="0" w:space="0" w:color="auto"/>
            <w:right w:val="none" w:sz="0" w:space="0" w:color="auto"/>
          </w:divBdr>
        </w:div>
      </w:divsChild>
    </w:div>
    <w:div w:id="386297522">
      <w:bodyDiv w:val="1"/>
      <w:marLeft w:val="0"/>
      <w:marRight w:val="0"/>
      <w:marTop w:val="0"/>
      <w:marBottom w:val="0"/>
      <w:divBdr>
        <w:top w:val="none" w:sz="0" w:space="0" w:color="auto"/>
        <w:left w:val="none" w:sz="0" w:space="0" w:color="auto"/>
        <w:bottom w:val="none" w:sz="0" w:space="0" w:color="auto"/>
        <w:right w:val="none" w:sz="0" w:space="0" w:color="auto"/>
      </w:divBdr>
    </w:div>
    <w:div w:id="397217327">
      <w:bodyDiv w:val="1"/>
      <w:marLeft w:val="0"/>
      <w:marRight w:val="0"/>
      <w:marTop w:val="0"/>
      <w:marBottom w:val="0"/>
      <w:divBdr>
        <w:top w:val="none" w:sz="0" w:space="0" w:color="auto"/>
        <w:left w:val="none" w:sz="0" w:space="0" w:color="auto"/>
        <w:bottom w:val="none" w:sz="0" w:space="0" w:color="auto"/>
        <w:right w:val="none" w:sz="0" w:space="0" w:color="auto"/>
      </w:divBdr>
    </w:div>
    <w:div w:id="420875170">
      <w:bodyDiv w:val="1"/>
      <w:marLeft w:val="0"/>
      <w:marRight w:val="0"/>
      <w:marTop w:val="0"/>
      <w:marBottom w:val="0"/>
      <w:divBdr>
        <w:top w:val="none" w:sz="0" w:space="0" w:color="auto"/>
        <w:left w:val="none" w:sz="0" w:space="0" w:color="auto"/>
        <w:bottom w:val="none" w:sz="0" w:space="0" w:color="auto"/>
        <w:right w:val="none" w:sz="0" w:space="0" w:color="auto"/>
      </w:divBdr>
    </w:div>
    <w:div w:id="468784255">
      <w:bodyDiv w:val="1"/>
      <w:marLeft w:val="0"/>
      <w:marRight w:val="0"/>
      <w:marTop w:val="0"/>
      <w:marBottom w:val="0"/>
      <w:divBdr>
        <w:top w:val="none" w:sz="0" w:space="0" w:color="auto"/>
        <w:left w:val="none" w:sz="0" w:space="0" w:color="auto"/>
        <w:bottom w:val="none" w:sz="0" w:space="0" w:color="auto"/>
        <w:right w:val="none" w:sz="0" w:space="0" w:color="auto"/>
      </w:divBdr>
      <w:divsChild>
        <w:div w:id="388111653">
          <w:marLeft w:val="0"/>
          <w:marRight w:val="0"/>
          <w:marTop w:val="0"/>
          <w:marBottom w:val="0"/>
          <w:divBdr>
            <w:top w:val="none" w:sz="0" w:space="0" w:color="auto"/>
            <w:left w:val="none" w:sz="0" w:space="0" w:color="auto"/>
            <w:bottom w:val="none" w:sz="0" w:space="0" w:color="auto"/>
            <w:right w:val="none" w:sz="0" w:space="0" w:color="auto"/>
          </w:divBdr>
        </w:div>
      </w:divsChild>
    </w:div>
    <w:div w:id="480462426">
      <w:bodyDiv w:val="1"/>
      <w:marLeft w:val="0"/>
      <w:marRight w:val="0"/>
      <w:marTop w:val="0"/>
      <w:marBottom w:val="0"/>
      <w:divBdr>
        <w:top w:val="none" w:sz="0" w:space="0" w:color="auto"/>
        <w:left w:val="none" w:sz="0" w:space="0" w:color="auto"/>
        <w:bottom w:val="none" w:sz="0" w:space="0" w:color="auto"/>
        <w:right w:val="none" w:sz="0" w:space="0" w:color="auto"/>
      </w:divBdr>
    </w:div>
    <w:div w:id="488638407">
      <w:bodyDiv w:val="1"/>
      <w:marLeft w:val="0"/>
      <w:marRight w:val="0"/>
      <w:marTop w:val="0"/>
      <w:marBottom w:val="0"/>
      <w:divBdr>
        <w:top w:val="none" w:sz="0" w:space="0" w:color="auto"/>
        <w:left w:val="none" w:sz="0" w:space="0" w:color="auto"/>
        <w:bottom w:val="none" w:sz="0" w:space="0" w:color="auto"/>
        <w:right w:val="none" w:sz="0" w:space="0" w:color="auto"/>
      </w:divBdr>
      <w:divsChild>
        <w:div w:id="337928136">
          <w:marLeft w:val="0"/>
          <w:marRight w:val="0"/>
          <w:marTop w:val="0"/>
          <w:marBottom w:val="0"/>
          <w:divBdr>
            <w:top w:val="none" w:sz="0" w:space="0" w:color="auto"/>
            <w:left w:val="none" w:sz="0" w:space="0" w:color="auto"/>
            <w:bottom w:val="none" w:sz="0" w:space="0" w:color="auto"/>
            <w:right w:val="none" w:sz="0" w:space="0" w:color="auto"/>
          </w:divBdr>
        </w:div>
      </w:divsChild>
    </w:div>
    <w:div w:id="491916501">
      <w:bodyDiv w:val="1"/>
      <w:marLeft w:val="0"/>
      <w:marRight w:val="0"/>
      <w:marTop w:val="0"/>
      <w:marBottom w:val="0"/>
      <w:divBdr>
        <w:top w:val="none" w:sz="0" w:space="0" w:color="auto"/>
        <w:left w:val="none" w:sz="0" w:space="0" w:color="auto"/>
        <w:bottom w:val="none" w:sz="0" w:space="0" w:color="auto"/>
        <w:right w:val="none" w:sz="0" w:space="0" w:color="auto"/>
      </w:divBdr>
      <w:divsChild>
        <w:div w:id="1417942448">
          <w:marLeft w:val="0"/>
          <w:marRight w:val="0"/>
          <w:marTop w:val="0"/>
          <w:marBottom w:val="0"/>
          <w:divBdr>
            <w:top w:val="none" w:sz="0" w:space="0" w:color="auto"/>
            <w:left w:val="none" w:sz="0" w:space="0" w:color="auto"/>
            <w:bottom w:val="none" w:sz="0" w:space="0" w:color="auto"/>
            <w:right w:val="none" w:sz="0" w:space="0" w:color="auto"/>
          </w:divBdr>
        </w:div>
      </w:divsChild>
    </w:div>
    <w:div w:id="570846407">
      <w:bodyDiv w:val="1"/>
      <w:marLeft w:val="0"/>
      <w:marRight w:val="0"/>
      <w:marTop w:val="0"/>
      <w:marBottom w:val="0"/>
      <w:divBdr>
        <w:top w:val="none" w:sz="0" w:space="0" w:color="auto"/>
        <w:left w:val="none" w:sz="0" w:space="0" w:color="auto"/>
        <w:bottom w:val="none" w:sz="0" w:space="0" w:color="auto"/>
        <w:right w:val="none" w:sz="0" w:space="0" w:color="auto"/>
      </w:divBdr>
    </w:div>
    <w:div w:id="586573008">
      <w:bodyDiv w:val="1"/>
      <w:marLeft w:val="0"/>
      <w:marRight w:val="0"/>
      <w:marTop w:val="0"/>
      <w:marBottom w:val="0"/>
      <w:divBdr>
        <w:top w:val="none" w:sz="0" w:space="0" w:color="auto"/>
        <w:left w:val="none" w:sz="0" w:space="0" w:color="auto"/>
        <w:bottom w:val="none" w:sz="0" w:space="0" w:color="auto"/>
        <w:right w:val="none" w:sz="0" w:space="0" w:color="auto"/>
      </w:divBdr>
    </w:div>
    <w:div w:id="609556498">
      <w:bodyDiv w:val="1"/>
      <w:marLeft w:val="0"/>
      <w:marRight w:val="0"/>
      <w:marTop w:val="0"/>
      <w:marBottom w:val="0"/>
      <w:divBdr>
        <w:top w:val="none" w:sz="0" w:space="0" w:color="auto"/>
        <w:left w:val="none" w:sz="0" w:space="0" w:color="auto"/>
        <w:bottom w:val="none" w:sz="0" w:space="0" w:color="auto"/>
        <w:right w:val="none" w:sz="0" w:space="0" w:color="auto"/>
      </w:divBdr>
    </w:div>
    <w:div w:id="639381771">
      <w:bodyDiv w:val="1"/>
      <w:marLeft w:val="0"/>
      <w:marRight w:val="0"/>
      <w:marTop w:val="0"/>
      <w:marBottom w:val="0"/>
      <w:divBdr>
        <w:top w:val="none" w:sz="0" w:space="0" w:color="auto"/>
        <w:left w:val="none" w:sz="0" w:space="0" w:color="auto"/>
        <w:bottom w:val="none" w:sz="0" w:space="0" w:color="auto"/>
        <w:right w:val="none" w:sz="0" w:space="0" w:color="auto"/>
      </w:divBdr>
      <w:divsChild>
        <w:div w:id="91173322">
          <w:marLeft w:val="0"/>
          <w:marRight w:val="0"/>
          <w:marTop w:val="0"/>
          <w:marBottom w:val="0"/>
          <w:divBdr>
            <w:top w:val="none" w:sz="0" w:space="0" w:color="auto"/>
            <w:left w:val="none" w:sz="0" w:space="0" w:color="auto"/>
            <w:bottom w:val="none" w:sz="0" w:space="0" w:color="auto"/>
            <w:right w:val="none" w:sz="0" w:space="0" w:color="auto"/>
          </w:divBdr>
        </w:div>
      </w:divsChild>
    </w:div>
    <w:div w:id="654603613">
      <w:bodyDiv w:val="1"/>
      <w:marLeft w:val="0"/>
      <w:marRight w:val="0"/>
      <w:marTop w:val="0"/>
      <w:marBottom w:val="0"/>
      <w:divBdr>
        <w:top w:val="none" w:sz="0" w:space="0" w:color="auto"/>
        <w:left w:val="none" w:sz="0" w:space="0" w:color="auto"/>
        <w:bottom w:val="none" w:sz="0" w:space="0" w:color="auto"/>
        <w:right w:val="none" w:sz="0" w:space="0" w:color="auto"/>
      </w:divBdr>
    </w:div>
    <w:div w:id="662585957">
      <w:bodyDiv w:val="1"/>
      <w:marLeft w:val="0"/>
      <w:marRight w:val="0"/>
      <w:marTop w:val="0"/>
      <w:marBottom w:val="0"/>
      <w:divBdr>
        <w:top w:val="none" w:sz="0" w:space="0" w:color="auto"/>
        <w:left w:val="none" w:sz="0" w:space="0" w:color="auto"/>
        <w:bottom w:val="none" w:sz="0" w:space="0" w:color="auto"/>
        <w:right w:val="none" w:sz="0" w:space="0" w:color="auto"/>
      </w:divBdr>
    </w:div>
    <w:div w:id="745952241">
      <w:bodyDiv w:val="1"/>
      <w:marLeft w:val="0"/>
      <w:marRight w:val="0"/>
      <w:marTop w:val="0"/>
      <w:marBottom w:val="0"/>
      <w:divBdr>
        <w:top w:val="none" w:sz="0" w:space="0" w:color="auto"/>
        <w:left w:val="none" w:sz="0" w:space="0" w:color="auto"/>
        <w:bottom w:val="none" w:sz="0" w:space="0" w:color="auto"/>
        <w:right w:val="none" w:sz="0" w:space="0" w:color="auto"/>
      </w:divBdr>
      <w:divsChild>
        <w:div w:id="177045020">
          <w:marLeft w:val="0"/>
          <w:marRight w:val="0"/>
          <w:marTop w:val="0"/>
          <w:marBottom w:val="0"/>
          <w:divBdr>
            <w:top w:val="none" w:sz="0" w:space="0" w:color="auto"/>
            <w:left w:val="none" w:sz="0" w:space="0" w:color="auto"/>
            <w:bottom w:val="none" w:sz="0" w:space="0" w:color="auto"/>
            <w:right w:val="none" w:sz="0" w:space="0" w:color="auto"/>
          </w:divBdr>
        </w:div>
      </w:divsChild>
    </w:div>
    <w:div w:id="746805407">
      <w:bodyDiv w:val="1"/>
      <w:marLeft w:val="0"/>
      <w:marRight w:val="0"/>
      <w:marTop w:val="0"/>
      <w:marBottom w:val="0"/>
      <w:divBdr>
        <w:top w:val="none" w:sz="0" w:space="0" w:color="auto"/>
        <w:left w:val="none" w:sz="0" w:space="0" w:color="auto"/>
        <w:bottom w:val="none" w:sz="0" w:space="0" w:color="auto"/>
        <w:right w:val="none" w:sz="0" w:space="0" w:color="auto"/>
      </w:divBdr>
    </w:div>
    <w:div w:id="753355921">
      <w:bodyDiv w:val="1"/>
      <w:marLeft w:val="0"/>
      <w:marRight w:val="0"/>
      <w:marTop w:val="0"/>
      <w:marBottom w:val="0"/>
      <w:divBdr>
        <w:top w:val="none" w:sz="0" w:space="0" w:color="auto"/>
        <w:left w:val="none" w:sz="0" w:space="0" w:color="auto"/>
        <w:bottom w:val="none" w:sz="0" w:space="0" w:color="auto"/>
        <w:right w:val="none" w:sz="0" w:space="0" w:color="auto"/>
      </w:divBdr>
      <w:divsChild>
        <w:div w:id="1401908263">
          <w:marLeft w:val="0"/>
          <w:marRight w:val="0"/>
          <w:marTop w:val="0"/>
          <w:marBottom w:val="0"/>
          <w:divBdr>
            <w:top w:val="none" w:sz="0" w:space="0" w:color="auto"/>
            <w:left w:val="none" w:sz="0" w:space="0" w:color="auto"/>
            <w:bottom w:val="none" w:sz="0" w:space="0" w:color="auto"/>
            <w:right w:val="none" w:sz="0" w:space="0" w:color="auto"/>
          </w:divBdr>
        </w:div>
      </w:divsChild>
    </w:div>
    <w:div w:id="798183569">
      <w:bodyDiv w:val="1"/>
      <w:marLeft w:val="0"/>
      <w:marRight w:val="0"/>
      <w:marTop w:val="0"/>
      <w:marBottom w:val="0"/>
      <w:divBdr>
        <w:top w:val="none" w:sz="0" w:space="0" w:color="auto"/>
        <w:left w:val="none" w:sz="0" w:space="0" w:color="auto"/>
        <w:bottom w:val="none" w:sz="0" w:space="0" w:color="auto"/>
        <w:right w:val="none" w:sz="0" w:space="0" w:color="auto"/>
      </w:divBdr>
      <w:divsChild>
        <w:div w:id="998340124">
          <w:marLeft w:val="0"/>
          <w:marRight w:val="0"/>
          <w:marTop w:val="0"/>
          <w:marBottom w:val="0"/>
          <w:divBdr>
            <w:top w:val="none" w:sz="0" w:space="0" w:color="auto"/>
            <w:left w:val="none" w:sz="0" w:space="0" w:color="auto"/>
            <w:bottom w:val="none" w:sz="0" w:space="0" w:color="auto"/>
            <w:right w:val="none" w:sz="0" w:space="0" w:color="auto"/>
          </w:divBdr>
        </w:div>
      </w:divsChild>
    </w:div>
    <w:div w:id="823009841">
      <w:bodyDiv w:val="1"/>
      <w:marLeft w:val="0"/>
      <w:marRight w:val="0"/>
      <w:marTop w:val="0"/>
      <w:marBottom w:val="0"/>
      <w:divBdr>
        <w:top w:val="none" w:sz="0" w:space="0" w:color="auto"/>
        <w:left w:val="none" w:sz="0" w:space="0" w:color="auto"/>
        <w:bottom w:val="none" w:sz="0" w:space="0" w:color="auto"/>
        <w:right w:val="none" w:sz="0" w:space="0" w:color="auto"/>
      </w:divBdr>
    </w:div>
    <w:div w:id="848832728">
      <w:bodyDiv w:val="1"/>
      <w:marLeft w:val="0"/>
      <w:marRight w:val="0"/>
      <w:marTop w:val="0"/>
      <w:marBottom w:val="0"/>
      <w:divBdr>
        <w:top w:val="none" w:sz="0" w:space="0" w:color="auto"/>
        <w:left w:val="none" w:sz="0" w:space="0" w:color="auto"/>
        <w:bottom w:val="none" w:sz="0" w:space="0" w:color="auto"/>
        <w:right w:val="none" w:sz="0" w:space="0" w:color="auto"/>
      </w:divBdr>
    </w:div>
    <w:div w:id="876091567">
      <w:bodyDiv w:val="1"/>
      <w:marLeft w:val="0"/>
      <w:marRight w:val="0"/>
      <w:marTop w:val="0"/>
      <w:marBottom w:val="0"/>
      <w:divBdr>
        <w:top w:val="none" w:sz="0" w:space="0" w:color="auto"/>
        <w:left w:val="none" w:sz="0" w:space="0" w:color="auto"/>
        <w:bottom w:val="none" w:sz="0" w:space="0" w:color="auto"/>
        <w:right w:val="none" w:sz="0" w:space="0" w:color="auto"/>
      </w:divBdr>
    </w:div>
    <w:div w:id="987854613">
      <w:bodyDiv w:val="1"/>
      <w:marLeft w:val="0"/>
      <w:marRight w:val="0"/>
      <w:marTop w:val="0"/>
      <w:marBottom w:val="0"/>
      <w:divBdr>
        <w:top w:val="none" w:sz="0" w:space="0" w:color="auto"/>
        <w:left w:val="none" w:sz="0" w:space="0" w:color="auto"/>
        <w:bottom w:val="none" w:sz="0" w:space="0" w:color="auto"/>
        <w:right w:val="none" w:sz="0" w:space="0" w:color="auto"/>
      </w:divBdr>
    </w:div>
    <w:div w:id="1025448530">
      <w:bodyDiv w:val="1"/>
      <w:marLeft w:val="0"/>
      <w:marRight w:val="0"/>
      <w:marTop w:val="0"/>
      <w:marBottom w:val="0"/>
      <w:divBdr>
        <w:top w:val="none" w:sz="0" w:space="0" w:color="auto"/>
        <w:left w:val="none" w:sz="0" w:space="0" w:color="auto"/>
        <w:bottom w:val="none" w:sz="0" w:space="0" w:color="auto"/>
        <w:right w:val="none" w:sz="0" w:space="0" w:color="auto"/>
      </w:divBdr>
    </w:div>
    <w:div w:id="1047023416">
      <w:bodyDiv w:val="1"/>
      <w:marLeft w:val="0"/>
      <w:marRight w:val="0"/>
      <w:marTop w:val="0"/>
      <w:marBottom w:val="0"/>
      <w:divBdr>
        <w:top w:val="none" w:sz="0" w:space="0" w:color="auto"/>
        <w:left w:val="none" w:sz="0" w:space="0" w:color="auto"/>
        <w:bottom w:val="none" w:sz="0" w:space="0" w:color="auto"/>
        <w:right w:val="none" w:sz="0" w:space="0" w:color="auto"/>
      </w:divBdr>
      <w:divsChild>
        <w:div w:id="1058477122">
          <w:marLeft w:val="0"/>
          <w:marRight w:val="0"/>
          <w:marTop w:val="0"/>
          <w:marBottom w:val="0"/>
          <w:divBdr>
            <w:top w:val="none" w:sz="0" w:space="0" w:color="auto"/>
            <w:left w:val="none" w:sz="0" w:space="0" w:color="auto"/>
            <w:bottom w:val="none" w:sz="0" w:space="0" w:color="auto"/>
            <w:right w:val="none" w:sz="0" w:space="0" w:color="auto"/>
          </w:divBdr>
        </w:div>
      </w:divsChild>
    </w:div>
    <w:div w:id="1070885380">
      <w:bodyDiv w:val="1"/>
      <w:marLeft w:val="0"/>
      <w:marRight w:val="0"/>
      <w:marTop w:val="0"/>
      <w:marBottom w:val="0"/>
      <w:divBdr>
        <w:top w:val="none" w:sz="0" w:space="0" w:color="auto"/>
        <w:left w:val="none" w:sz="0" w:space="0" w:color="auto"/>
        <w:bottom w:val="none" w:sz="0" w:space="0" w:color="auto"/>
        <w:right w:val="none" w:sz="0" w:space="0" w:color="auto"/>
      </w:divBdr>
    </w:div>
    <w:div w:id="1111631371">
      <w:bodyDiv w:val="1"/>
      <w:marLeft w:val="0"/>
      <w:marRight w:val="0"/>
      <w:marTop w:val="0"/>
      <w:marBottom w:val="0"/>
      <w:divBdr>
        <w:top w:val="none" w:sz="0" w:space="0" w:color="auto"/>
        <w:left w:val="none" w:sz="0" w:space="0" w:color="auto"/>
        <w:bottom w:val="none" w:sz="0" w:space="0" w:color="auto"/>
        <w:right w:val="none" w:sz="0" w:space="0" w:color="auto"/>
      </w:divBdr>
    </w:div>
    <w:div w:id="1199465567">
      <w:bodyDiv w:val="1"/>
      <w:marLeft w:val="0"/>
      <w:marRight w:val="0"/>
      <w:marTop w:val="0"/>
      <w:marBottom w:val="0"/>
      <w:divBdr>
        <w:top w:val="none" w:sz="0" w:space="0" w:color="auto"/>
        <w:left w:val="none" w:sz="0" w:space="0" w:color="auto"/>
        <w:bottom w:val="none" w:sz="0" w:space="0" w:color="auto"/>
        <w:right w:val="none" w:sz="0" w:space="0" w:color="auto"/>
      </w:divBdr>
    </w:div>
    <w:div w:id="1230769442">
      <w:bodyDiv w:val="1"/>
      <w:marLeft w:val="0"/>
      <w:marRight w:val="0"/>
      <w:marTop w:val="0"/>
      <w:marBottom w:val="0"/>
      <w:divBdr>
        <w:top w:val="none" w:sz="0" w:space="0" w:color="auto"/>
        <w:left w:val="none" w:sz="0" w:space="0" w:color="auto"/>
        <w:bottom w:val="none" w:sz="0" w:space="0" w:color="auto"/>
        <w:right w:val="none" w:sz="0" w:space="0" w:color="auto"/>
      </w:divBdr>
    </w:div>
    <w:div w:id="1231841951">
      <w:bodyDiv w:val="1"/>
      <w:marLeft w:val="0"/>
      <w:marRight w:val="0"/>
      <w:marTop w:val="0"/>
      <w:marBottom w:val="0"/>
      <w:divBdr>
        <w:top w:val="none" w:sz="0" w:space="0" w:color="auto"/>
        <w:left w:val="none" w:sz="0" w:space="0" w:color="auto"/>
        <w:bottom w:val="none" w:sz="0" w:space="0" w:color="auto"/>
        <w:right w:val="none" w:sz="0" w:space="0" w:color="auto"/>
      </w:divBdr>
    </w:div>
    <w:div w:id="1232500736">
      <w:bodyDiv w:val="1"/>
      <w:marLeft w:val="0"/>
      <w:marRight w:val="0"/>
      <w:marTop w:val="0"/>
      <w:marBottom w:val="0"/>
      <w:divBdr>
        <w:top w:val="none" w:sz="0" w:space="0" w:color="auto"/>
        <w:left w:val="none" w:sz="0" w:space="0" w:color="auto"/>
        <w:bottom w:val="none" w:sz="0" w:space="0" w:color="auto"/>
        <w:right w:val="none" w:sz="0" w:space="0" w:color="auto"/>
      </w:divBdr>
    </w:div>
    <w:div w:id="1283806434">
      <w:bodyDiv w:val="1"/>
      <w:marLeft w:val="0"/>
      <w:marRight w:val="0"/>
      <w:marTop w:val="0"/>
      <w:marBottom w:val="0"/>
      <w:divBdr>
        <w:top w:val="none" w:sz="0" w:space="0" w:color="auto"/>
        <w:left w:val="none" w:sz="0" w:space="0" w:color="auto"/>
        <w:bottom w:val="none" w:sz="0" w:space="0" w:color="auto"/>
        <w:right w:val="none" w:sz="0" w:space="0" w:color="auto"/>
      </w:divBdr>
    </w:div>
    <w:div w:id="1291939555">
      <w:bodyDiv w:val="1"/>
      <w:marLeft w:val="0"/>
      <w:marRight w:val="0"/>
      <w:marTop w:val="0"/>
      <w:marBottom w:val="0"/>
      <w:divBdr>
        <w:top w:val="none" w:sz="0" w:space="0" w:color="auto"/>
        <w:left w:val="none" w:sz="0" w:space="0" w:color="auto"/>
        <w:bottom w:val="none" w:sz="0" w:space="0" w:color="auto"/>
        <w:right w:val="none" w:sz="0" w:space="0" w:color="auto"/>
      </w:divBdr>
    </w:div>
    <w:div w:id="1308129004">
      <w:bodyDiv w:val="1"/>
      <w:marLeft w:val="0"/>
      <w:marRight w:val="0"/>
      <w:marTop w:val="0"/>
      <w:marBottom w:val="0"/>
      <w:divBdr>
        <w:top w:val="none" w:sz="0" w:space="0" w:color="auto"/>
        <w:left w:val="none" w:sz="0" w:space="0" w:color="auto"/>
        <w:bottom w:val="none" w:sz="0" w:space="0" w:color="auto"/>
        <w:right w:val="none" w:sz="0" w:space="0" w:color="auto"/>
      </w:divBdr>
    </w:div>
    <w:div w:id="1366370741">
      <w:bodyDiv w:val="1"/>
      <w:marLeft w:val="0"/>
      <w:marRight w:val="0"/>
      <w:marTop w:val="0"/>
      <w:marBottom w:val="0"/>
      <w:divBdr>
        <w:top w:val="none" w:sz="0" w:space="0" w:color="auto"/>
        <w:left w:val="none" w:sz="0" w:space="0" w:color="auto"/>
        <w:bottom w:val="none" w:sz="0" w:space="0" w:color="auto"/>
        <w:right w:val="none" w:sz="0" w:space="0" w:color="auto"/>
      </w:divBdr>
    </w:div>
    <w:div w:id="1368676598">
      <w:bodyDiv w:val="1"/>
      <w:marLeft w:val="0"/>
      <w:marRight w:val="0"/>
      <w:marTop w:val="0"/>
      <w:marBottom w:val="0"/>
      <w:divBdr>
        <w:top w:val="none" w:sz="0" w:space="0" w:color="auto"/>
        <w:left w:val="none" w:sz="0" w:space="0" w:color="auto"/>
        <w:bottom w:val="none" w:sz="0" w:space="0" w:color="auto"/>
        <w:right w:val="none" w:sz="0" w:space="0" w:color="auto"/>
      </w:divBdr>
    </w:div>
    <w:div w:id="1372412518">
      <w:bodyDiv w:val="1"/>
      <w:marLeft w:val="0"/>
      <w:marRight w:val="0"/>
      <w:marTop w:val="0"/>
      <w:marBottom w:val="0"/>
      <w:divBdr>
        <w:top w:val="none" w:sz="0" w:space="0" w:color="auto"/>
        <w:left w:val="none" w:sz="0" w:space="0" w:color="auto"/>
        <w:bottom w:val="none" w:sz="0" w:space="0" w:color="auto"/>
        <w:right w:val="none" w:sz="0" w:space="0" w:color="auto"/>
      </w:divBdr>
      <w:divsChild>
        <w:div w:id="1108235485">
          <w:marLeft w:val="0"/>
          <w:marRight w:val="0"/>
          <w:marTop w:val="0"/>
          <w:marBottom w:val="0"/>
          <w:divBdr>
            <w:top w:val="none" w:sz="0" w:space="0" w:color="auto"/>
            <w:left w:val="none" w:sz="0" w:space="0" w:color="auto"/>
            <w:bottom w:val="none" w:sz="0" w:space="0" w:color="auto"/>
            <w:right w:val="none" w:sz="0" w:space="0" w:color="auto"/>
          </w:divBdr>
        </w:div>
      </w:divsChild>
    </w:div>
    <w:div w:id="1380277238">
      <w:bodyDiv w:val="1"/>
      <w:marLeft w:val="0"/>
      <w:marRight w:val="0"/>
      <w:marTop w:val="0"/>
      <w:marBottom w:val="0"/>
      <w:divBdr>
        <w:top w:val="none" w:sz="0" w:space="0" w:color="auto"/>
        <w:left w:val="none" w:sz="0" w:space="0" w:color="auto"/>
        <w:bottom w:val="none" w:sz="0" w:space="0" w:color="auto"/>
        <w:right w:val="none" w:sz="0" w:space="0" w:color="auto"/>
      </w:divBdr>
      <w:divsChild>
        <w:div w:id="261450551">
          <w:marLeft w:val="0"/>
          <w:marRight w:val="0"/>
          <w:marTop w:val="0"/>
          <w:marBottom w:val="0"/>
          <w:divBdr>
            <w:top w:val="none" w:sz="0" w:space="0" w:color="auto"/>
            <w:left w:val="none" w:sz="0" w:space="0" w:color="auto"/>
            <w:bottom w:val="none" w:sz="0" w:space="0" w:color="auto"/>
            <w:right w:val="none" w:sz="0" w:space="0" w:color="auto"/>
          </w:divBdr>
        </w:div>
      </w:divsChild>
    </w:div>
    <w:div w:id="1380980964">
      <w:bodyDiv w:val="1"/>
      <w:marLeft w:val="0"/>
      <w:marRight w:val="0"/>
      <w:marTop w:val="0"/>
      <w:marBottom w:val="0"/>
      <w:divBdr>
        <w:top w:val="none" w:sz="0" w:space="0" w:color="auto"/>
        <w:left w:val="none" w:sz="0" w:space="0" w:color="auto"/>
        <w:bottom w:val="none" w:sz="0" w:space="0" w:color="auto"/>
        <w:right w:val="none" w:sz="0" w:space="0" w:color="auto"/>
      </w:divBdr>
      <w:divsChild>
        <w:div w:id="1394888735">
          <w:marLeft w:val="0"/>
          <w:marRight w:val="0"/>
          <w:marTop w:val="0"/>
          <w:marBottom w:val="0"/>
          <w:divBdr>
            <w:top w:val="none" w:sz="0" w:space="0" w:color="auto"/>
            <w:left w:val="none" w:sz="0" w:space="0" w:color="auto"/>
            <w:bottom w:val="none" w:sz="0" w:space="0" w:color="auto"/>
            <w:right w:val="none" w:sz="0" w:space="0" w:color="auto"/>
          </w:divBdr>
        </w:div>
      </w:divsChild>
    </w:div>
    <w:div w:id="1453018294">
      <w:bodyDiv w:val="1"/>
      <w:marLeft w:val="0"/>
      <w:marRight w:val="0"/>
      <w:marTop w:val="0"/>
      <w:marBottom w:val="0"/>
      <w:divBdr>
        <w:top w:val="none" w:sz="0" w:space="0" w:color="auto"/>
        <w:left w:val="none" w:sz="0" w:space="0" w:color="auto"/>
        <w:bottom w:val="none" w:sz="0" w:space="0" w:color="auto"/>
        <w:right w:val="none" w:sz="0" w:space="0" w:color="auto"/>
      </w:divBdr>
      <w:divsChild>
        <w:div w:id="55208299">
          <w:marLeft w:val="0"/>
          <w:marRight w:val="0"/>
          <w:marTop w:val="0"/>
          <w:marBottom w:val="0"/>
          <w:divBdr>
            <w:top w:val="none" w:sz="0" w:space="0" w:color="auto"/>
            <w:left w:val="none" w:sz="0" w:space="0" w:color="auto"/>
            <w:bottom w:val="none" w:sz="0" w:space="0" w:color="auto"/>
            <w:right w:val="none" w:sz="0" w:space="0" w:color="auto"/>
          </w:divBdr>
        </w:div>
      </w:divsChild>
    </w:div>
    <w:div w:id="1496141191">
      <w:bodyDiv w:val="1"/>
      <w:marLeft w:val="0"/>
      <w:marRight w:val="0"/>
      <w:marTop w:val="0"/>
      <w:marBottom w:val="0"/>
      <w:divBdr>
        <w:top w:val="none" w:sz="0" w:space="0" w:color="auto"/>
        <w:left w:val="none" w:sz="0" w:space="0" w:color="auto"/>
        <w:bottom w:val="none" w:sz="0" w:space="0" w:color="auto"/>
        <w:right w:val="none" w:sz="0" w:space="0" w:color="auto"/>
      </w:divBdr>
    </w:div>
    <w:div w:id="1500925038">
      <w:bodyDiv w:val="1"/>
      <w:marLeft w:val="0"/>
      <w:marRight w:val="0"/>
      <w:marTop w:val="0"/>
      <w:marBottom w:val="0"/>
      <w:divBdr>
        <w:top w:val="none" w:sz="0" w:space="0" w:color="auto"/>
        <w:left w:val="none" w:sz="0" w:space="0" w:color="auto"/>
        <w:bottom w:val="none" w:sz="0" w:space="0" w:color="auto"/>
        <w:right w:val="none" w:sz="0" w:space="0" w:color="auto"/>
      </w:divBdr>
      <w:divsChild>
        <w:div w:id="1160077024">
          <w:marLeft w:val="0"/>
          <w:marRight w:val="0"/>
          <w:marTop w:val="0"/>
          <w:marBottom w:val="0"/>
          <w:divBdr>
            <w:top w:val="none" w:sz="0" w:space="0" w:color="auto"/>
            <w:left w:val="none" w:sz="0" w:space="0" w:color="auto"/>
            <w:bottom w:val="none" w:sz="0" w:space="0" w:color="auto"/>
            <w:right w:val="none" w:sz="0" w:space="0" w:color="auto"/>
          </w:divBdr>
        </w:div>
      </w:divsChild>
    </w:div>
    <w:div w:id="1514684259">
      <w:bodyDiv w:val="1"/>
      <w:marLeft w:val="0"/>
      <w:marRight w:val="0"/>
      <w:marTop w:val="0"/>
      <w:marBottom w:val="0"/>
      <w:divBdr>
        <w:top w:val="none" w:sz="0" w:space="0" w:color="auto"/>
        <w:left w:val="none" w:sz="0" w:space="0" w:color="auto"/>
        <w:bottom w:val="none" w:sz="0" w:space="0" w:color="auto"/>
        <w:right w:val="none" w:sz="0" w:space="0" w:color="auto"/>
      </w:divBdr>
    </w:div>
    <w:div w:id="1553078141">
      <w:bodyDiv w:val="1"/>
      <w:marLeft w:val="0"/>
      <w:marRight w:val="0"/>
      <w:marTop w:val="0"/>
      <w:marBottom w:val="0"/>
      <w:divBdr>
        <w:top w:val="none" w:sz="0" w:space="0" w:color="auto"/>
        <w:left w:val="none" w:sz="0" w:space="0" w:color="auto"/>
        <w:bottom w:val="none" w:sz="0" w:space="0" w:color="auto"/>
        <w:right w:val="none" w:sz="0" w:space="0" w:color="auto"/>
      </w:divBdr>
    </w:div>
    <w:div w:id="1620606066">
      <w:bodyDiv w:val="1"/>
      <w:marLeft w:val="0"/>
      <w:marRight w:val="0"/>
      <w:marTop w:val="0"/>
      <w:marBottom w:val="0"/>
      <w:divBdr>
        <w:top w:val="none" w:sz="0" w:space="0" w:color="auto"/>
        <w:left w:val="none" w:sz="0" w:space="0" w:color="auto"/>
        <w:bottom w:val="none" w:sz="0" w:space="0" w:color="auto"/>
        <w:right w:val="none" w:sz="0" w:space="0" w:color="auto"/>
      </w:divBdr>
    </w:div>
    <w:div w:id="1622151457">
      <w:bodyDiv w:val="1"/>
      <w:marLeft w:val="0"/>
      <w:marRight w:val="0"/>
      <w:marTop w:val="0"/>
      <w:marBottom w:val="0"/>
      <w:divBdr>
        <w:top w:val="none" w:sz="0" w:space="0" w:color="auto"/>
        <w:left w:val="none" w:sz="0" w:space="0" w:color="auto"/>
        <w:bottom w:val="none" w:sz="0" w:space="0" w:color="auto"/>
        <w:right w:val="none" w:sz="0" w:space="0" w:color="auto"/>
      </w:divBdr>
    </w:div>
    <w:div w:id="1657489959">
      <w:bodyDiv w:val="1"/>
      <w:marLeft w:val="0"/>
      <w:marRight w:val="0"/>
      <w:marTop w:val="0"/>
      <w:marBottom w:val="0"/>
      <w:divBdr>
        <w:top w:val="none" w:sz="0" w:space="0" w:color="auto"/>
        <w:left w:val="none" w:sz="0" w:space="0" w:color="auto"/>
        <w:bottom w:val="none" w:sz="0" w:space="0" w:color="auto"/>
        <w:right w:val="none" w:sz="0" w:space="0" w:color="auto"/>
      </w:divBdr>
    </w:div>
    <w:div w:id="1698849171">
      <w:bodyDiv w:val="1"/>
      <w:marLeft w:val="0"/>
      <w:marRight w:val="0"/>
      <w:marTop w:val="0"/>
      <w:marBottom w:val="0"/>
      <w:divBdr>
        <w:top w:val="none" w:sz="0" w:space="0" w:color="auto"/>
        <w:left w:val="none" w:sz="0" w:space="0" w:color="auto"/>
        <w:bottom w:val="none" w:sz="0" w:space="0" w:color="auto"/>
        <w:right w:val="none" w:sz="0" w:space="0" w:color="auto"/>
      </w:divBdr>
      <w:divsChild>
        <w:div w:id="1259753156">
          <w:marLeft w:val="0"/>
          <w:marRight w:val="0"/>
          <w:marTop w:val="0"/>
          <w:marBottom w:val="0"/>
          <w:divBdr>
            <w:top w:val="none" w:sz="0" w:space="0" w:color="auto"/>
            <w:left w:val="none" w:sz="0" w:space="0" w:color="auto"/>
            <w:bottom w:val="none" w:sz="0" w:space="0" w:color="auto"/>
            <w:right w:val="none" w:sz="0" w:space="0" w:color="auto"/>
          </w:divBdr>
        </w:div>
      </w:divsChild>
    </w:div>
    <w:div w:id="1814981309">
      <w:bodyDiv w:val="1"/>
      <w:marLeft w:val="0"/>
      <w:marRight w:val="0"/>
      <w:marTop w:val="0"/>
      <w:marBottom w:val="0"/>
      <w:divBdr>
        <w:top w:val="none" w:sz="0" w:space="0" w:color="auto"/>
        <w:left w:val="none" w:sz="0" w:space="0" w:color="auto"/>
        <w:bottom w:val="none" w:sz="0" w:space="0" w:color="auto"/>
        <w:right w:val="none" w:sz="0" w:space="0" w:color="auto"/>
      </w:divBdr>
    </w:div>
    <w:div w:id="1833175568">
      <w:bodyDiv w:val="1"/>
      <w:marLeft w:val="0"/>
      <w:marRight w:val="0"/>
      <w:marTop w:val="0"/>
      <w:marBottom w:val="0"/>
      <w:divBdr>
        <w:top w:val="none" w:sz="0" w:space="0" w:color="auto"/>
        <w:left w:val="none" w:sz="0" w:space="0" w:color="auto"/>
        <w:bottom w:val="none" w:sz="0" w:space="0" w:color="auto"/>
        <w:right w:val="none" w:sz="0" w:space="0" w:color="auto"/>
      </w:divBdr>
    </w:div>
    <w:div w:id="1838685887">
      <w:bodyDiv w:val="1"/>
      <w:marLeft w:val="0"/>
      <w:marRight w:val="0"/>
      <w:marTop w:val="0"/>
      <w:marBottom w:val="0"/>
      <w:divBdr>
        <w:top w:val="none" w:sz="0" w:space="0" w:color="auto"/>
        <w:left w:val="none" w:sz="0" w:space="0" w:color="auto"/>
        <w:bottom w:val="none" w:sz="0" w:space="0" w:color="auto"/>
        <w:right w:val="none" w:sz="0" w:space="0" w:color="auto"/>
      </w:divBdr>
      <w:divsChild>
        <w:div w:id="1378893948">
          <w:marLeft w:val="0"/>
          <w:marRight w:val="0"/>
          <w:marTop w:val="0"/>
          <w:marBottom w:val="0"/>
          <w:divBdr>
            <w:top w:val="none" w:sz="0" w:space="0" w:color="auto"/>
            <w:left w:val="none" w:sz="0" w:space="0" w:color="auto"/>
            <w:bottom w:val="none" w:sz="0" w:space="0" w:color="auto"/>
            <w:right w:val="none" w:sz="0" w:space="0" w:color="auto"/>
          </w:divBdr>
        </w:div>
      </w:divsChild>
    </w:div>
    <w:div w:id="1878354383">
      <w:bodyDiv w:val="1"/>
      <w:marLeft w:val="0"/>
      <w:marRight w:val="0"/>
      <w:marTop w:val="0"/>
      <w:marBottom w:val="0"/>
      <w:divBdr>
        <w:top w:val="none" w:sz="0" w:space="0" w:color="auto"/>
        <w:left w:val="none" w:sz="0" w:space="0" w:color="auto"/>
        <w:bottom w:val="none" w:sz="0" w:space="0" w:color="auto"/>
        <w:right w:val="none" w:sz="0" w:space="0" w:color="auto"/>
      </w:divBdr>
      <w:divsChild>
        <w:div w:id="561216714">
          <w:marLeft w:val="0"/>
          <w:marRight w:val="0"/>
          <w:marTop w:val="0"/>
          <w:marBottom w:val="0"/>
          <w:divBdr>
            <w:top w:val="none" w:sz="0" w:space="0" w:color="auto"/>
            <w:left w:val="none" w:sz="0" w:space="0" w:color="auto"/>
            <w:bottom w:val="none" w:sz="0" w:space="0" w:color="auto"/>
            <w:right w:val="none" w:sz="0" w:space="0" w:color="auto"/>
          </w:divBdr>
        </w:div>
      </w:divsChild>
    </w:div>
    <w:div w:id="1882135090">
      <w:bodyDiv w:val="1"/>
      <w:marLeft w:val="0"/>
      <w:marRight w:val="0"/>
      <w:marTop w:val="0"/>
      <w:marBottom w:val="0"/>
      <w:divBdr>
        <w:top w:val="none" w:sz="0" w:space="0" w:color="auto"/>
        <w:left w:val="none" w:sz="0" w:space="0" w:color="auto"/>
        <w:bottom w:val="none" w:sz="0" w:space="0" w:color="auto"/>
        <w:right w:val="none" w:sz="0" w:space="0" w:color="auto"/>
      </w:divBdr>
      <w:divsChild>
        <w:div w:id="686519651">
          <w:marLeft w:val="0"/>
          <w:marRight w:val="0"/>
          <w:marTop w:val="0"/>
          <w:marBottom w:val="0"/>
          <w:divBdr>
            <w:top w:val="none" w:sz="0" w:space="0" w:color="auto"/>
            <w:left w:val="none" w:sz="0" w:space="0" w:color="auto"/>
            <w:bottom w:val="none" w:sz="0" w:space="0" w:color="auto"/>
            <w:right w:val="none" w:sz="0" w:space="0" w:color="auto"/>
          </w:divBdr>
        </w:div>
      </w:divsChild>
    </w:div>
    <w:div w:id="1905144099">
      <w:bodyDiv w:val="1"/>
      <w:marLeft w:val="0"/>
      <w:marRight w:val="0"/>
      <w:marTop w:val="0"/>
      <w:marBottom w:val="0"/>
      <w:divBdr>
        <w:top w:val="none" w:sz="0" w:space="0" w:color="auto"/>
        <w:left w:val="none" w:sz="0" w:space="0" w:color="auto"/>
        <w:bottom w:val="none" w:sz="0" w:space="0" w:color="auto"/>
        <w:right w:val="none" w:sz="0" w:space="0" w:color="auto"/>
      </w:divBdr>
    </w:div>
    <w:div w:id="1939169241">
      <w:bodyDiv w:val="1"/>
      <w:marLeft w:val="0"/>
      <w:marRight w:val="0"/>
      <w:marTop w:val="0"/>
      <w:marBottom w:val="0"/>
      <w:divBdr>
        <w:top w:val="none" w:sz="0" w:space="0" w:color="auto"/>
        <w:left w:val="none" w:sz="0" w:space="0" w:color="auto"/>
        <w:bottom w:val="none" w:sz="0" w:space="0" w:color="auto"/>
        <w:right w:val="none" w:sz="0" w:space="0" w:color="auto"/>
      </w:divBdr>
      <w:divsChild>
        <w:div w:id="2121870582">
          <w:marLeft w:val="0"/>
          <w:marRight w:val="0"/>
          <w:marTop w:val="0"/>
          <w:marBottom w:val="0"/>
          <w:divBdr>
            <w:top w:val="none" w:sz="0" w:space="0" w:color="auto"/>
            <w:left w:val="none" w:sz="0" w:space="0" w:color="auto"/>
            <w:bottom w:val="none" w:sz="0" w:space="0" w:color="auto"/>
            <w:right w:val="none" w:sz="0" w:space="0" w:color="auto"/>
          </w:divBdr>
        </w:div>
      </w:divsChild>
    </w:div>
    <w:div w:id="1961110208">
      <w:bodyDiv w:val="1"/>
      <w:marLeft w:val="0"/>
      <w:marRight w:val="0"/>
      <w:marTop w:val="0"/>
      <w:marBottom w:val="0"/>
      <w:divBdr>
        <w:top w:val="none" w:sz="0" w:space="0" w:color="auto"/>
        <w:left w:val="none" w:sz="0" w:space="0" w:color="auto"/>
        <w:bottom w:val="none" w:sz="0" w:space="0" w:color="auto"/>
        <w:right w:val="none" w:sz="0" w:space="0" w:color="auto"/>
      </w:divBdr>
    </w:div>
    <w:div w:id="1976567902">
      <w:bodyDiv w:val="1"/>
      <w:marLeft w:val="0"/>
      <w:marRight w:val="0"/>
      <w:marTop w:val="0"/>
      <w:marBottom w:val="0"/>
      <w:divBdr>
        <w:top w:val="none" w:sz="0" w:space="0" w:color="auto"/>
        <w:left w:val="none" w:sz="0" w:space="0" w:color="auto"/>
        <w:bottom w:val="none" w:sz="0" w:space="0" w:color="auto"/>
        <w:right w:val="none" w:sz="0" w:space="0" w:color="auto"/>
      </w:divBdr>
    </w:div>
    <w:div w:id="1980187260">
      <w:bodyDiv w:val="1"/>
      <w:marLeft w:val="0"/>
      <w:marRight w:val="0"/>
      <w:marTop w:val="0"/>
      <w:marBottom w:val="0"/>
      <w:divBdr>
        <w:top w:val="none" w:sz="0" w:space="0" w:color="auto"/>
        <w:left w:val="none" w:sz="0" w:space="0" w:color="auto"/>
        <w:bottom w:val="none" w:sz="0" w:space="0" w:color="auto"/>
        <w:right w:val="none" w:sz="0" w:space="0" w:color="auto"/>
      </w:divBdr>
    </w:div>
    <w:div w:id="2001691251">
      <w:bodyDiv w:val="1"/>
      <w:marLeft w:val="0"/>
      <w:marRight w:val="0"/>
      <w:marTop w:val="0"/>
      <w:marBottom w:val="0"/>
      <w:divBdr>
        <w:top w:val="none" w:sz="0" w:space="0" w:color="auto"/>
        <w:left w:val="none" w:sz="0" w:space="0" w:color="auto"/>
        <w:bottom w:val="none" w:sz="0" w:space="0" w:color="auto"/>
        <w:right w:val="none" w:sz="0" w:space="0" w:color="auto"/>
      </w:divBdr>
      <w:divsChild>
        <w:div w:id="13577252">
          <w:marLeft w:val="0"/>
          <w:marRight w:val="0"/>
          <w:marTop w:val="0"/>
          <w:marBottom w:val="0"/>
          <w:divBdr>
            <w:top w:val="none" w:sz="0" w:space="0" w:color="auto"/>
            <w:left w:val="none" w:sz="0" w:space="0" w:color="auto"/>
            <w:bottom w:val="none" w:sz="0" w:space="0" w:color="auto"/>
            <w:right w:val="none" w:sz="0" w:space="0" w:color="auto"/>
          </w:divBdr>
        </w:div>
      </w:divsChild>
    </w:div>
    <w:div w:id="2011103333">
      <w:bodyDiv w:val="1"/>
      <w:marLeft w:val="0"/>
      <w:marRight w:val="0"/>
      <w:marTop w:val="0"/>
      <w:marBottom w:val="0"/>
      <w:divBdr>
        <w:top w:val="none" w:sz="0" w:space="0" w:color="auto"/>
        <w:left w:val="none" w:sz="0" w:space="0" w:color="auto"/>
        <w:bottom w:val="none" w:sz="0" w:space="0" w:color="auto"/>
        <w:right w:val="none" w:sz="0" w:space="0" w:color="auto"/>
      </w:divBdr>
      <w:divsChild>
        <w:div w:id="759253123">
          <w:marLeft w:val="0"/>
          <w:marRight w:val="0"/>
          <w:marTop w:val="0"/>
          <w:marBottom w:val="0"/>
          <w:divBdr>
            <w:top w:val="none" w:sz="0" w:space="0" w:color="auto"/>
            <w:left w:val="none" w:sz="0" w:space="0" w:color="auto"/>
            <w:bottom w:val="none" w:sz="0" w:space="0" w:color="auto"/>
            <w:right w:val="none" w:sz="0" w:space="0" w:color="auto"/>
          </w:divBdr>
        </w:div>
      </w:divsChild>
    </w:div>
    <w:div w:id="2017878165">
      <w:bodyDiv w:val="1"/>
      <w:marLeft w:val="0"/>
      <w:marRight w:val="0"/>
      <w:marTop w:val="0"/>
      <w:marBottom w:val="0"/>
      <w:divBdr>
        <w:top w:val="none" w:sz="0" w:space="0" w:color="auto"/>
        <w:left w:val="none" w:sz="0" w:space="0" w:color="auto"/>
        <w:bottom w:val="none" w:sz="0" w:space="0" w:color="auto"/>
        <w:right w:val="none" w:sz="0" w:space="0" w:color="auto"/>
      </w:divBdr>
    </w:div>
    <w:div w:id="2070571022">
      <w:bodyDiv w:val="1"/>
      <w:marLeft w:val="0"/>
      <w:marRight w:val="0"/>
      <w:marTop w:val="0"/>
      <w:marBottom w:val="0"/>
      <w:divBdr>
        <w:top w:val="none" w:sz="0" w:space="0" w:color="auto"/>
        <w:left w:val="none" w:sz="0" w:space="0" w:color="auto"/>
        <w:bottom w:val="none" w:sz="0" w:space="0" w:color="auto"/>
        <w:right w:val="none" w:sz="0" w:space="0" w:color="auto"/>
      </w:divBdr>
      <w:divsChild>
        <w:div w:id="259264766">
          <w:marLeft w:val="0"/>
          <w:marRight w:val="0"/>
          <w:marTop w:val="0"/>
          <w:marBottom w:val="0"/>
          <w:divBdr>
            <w:top w:val="none" w:sz="0" w:space="0" w:color="auto"/>
            <w:left w:val="none" w:sz="0" w:space="0" w:color="auto"/>
            <w:bottom w:val="none" w:sz="0" w:space="0" w:color="auto"/>
            <w:right w:val="none" w:sz="0" w:space="0" w:color="auto"/>
          </w:divBdr>
        </w:div>
      </w:divsChild>
    </w:div>
    <w:div w:id="2078891984">
      <w:bodyDiv w:val="1"/>
      <w:marLeft w:val="0"/>
      <w:marRight w:val="0"/>
      <w:marTop w:val="0"/>
      <w:marBottom w:val="0"/>
      <w:divBdr>
        <w:top w:val="none" w:sz="0" w:space="0" w:color="auto"/>
        <w:left w:val="none" w:sz="0" w:space="0" w:color="auto"/>
        <w:bottom w:val="none" w:sz="0" w:space="0" w:color="auto"/>
        <w:right w:val="none" w:sz="0" w:space="0" w:color="auto"/>
      </w:divBdr>
    </w:div>
    <w:div w:id="2085451809">
      <w:bodyDiv w:val="1"/>
      <w:marLeft w:val="0"/>
      <w:marRight w:val="0"/>
      <w:marTop w:val="0"/>
      <w:marBottom w:val="0"/>
      <w:divBdr>
        <w:top w:val="none" w:sz="0" w:space="0" w:color="auto"/>
        <w:left w:val="none" w:sz="0" w:space="0" w:color="auto"/>
        <w:bottom w:val="none" w:sz="0" w:space="0" w:color="auto"/>
        <w:right w:val="none" w:sz="0" w:space="0" w:color="auto"/>
      </w:divBdr>
      <w:divsChild>
        <w:div w:id="82184526">
          <w:marLeft w:val="0"/>
          <w:marRight w:val="0"/>
          <w:marTop w:val="0"/>
          <w:marBottom w:val="0"/>
          <w:divBdr>
            <w:top w:val="none" w:sz="0" w:space="0" w:color="auto"/>
            <w:left w:val="none" w:sz="0" w:space="0" w:color="auto"/>
            <w:bottom w:val="none" w:sz="0" w:space="0" w:color="auto"/>
            <w:right w:val="none" w:sz="0" w:space="0" w:color="auto"/>
          </w:divBdr>
        </w:div>
      </w:divsChild>
    </w:div>
    <w:div w:id="2110663977">
      <w:bodyDiv w:val="1"/>
      <w:marLeft w:val="0"/>
      <w:marRight w:val="0"/>
      <w:marTop w:val="0"/>
      <w:marBottom w:val="0"/>
      <w:divBdr>
        <w:top w:val="none" w:sz="0" w:space="0" w:color="auto"/>
        <w:left w:val="none" w:sz="0" w:space="0" w:color="auto"/>
        <w:bottom w:val="none" w:sz="0" w:space="0" w:color="auto"/>
        <w:right w:val="none" w:sz="0" w:space="0" w:color="auto"/>
      </w:divBdr>
      <w:divsChild>
        <w:div w:id="998387452">
          <w:marLeft w:val="0"/>
          <w:marRight w:val="0"/>
          <w:marTop w:val="0"/>
          <w:marBottom w:val="0"/>
          <w:divBdr>
            <w:top w:val="none" w:sz="0" w:space="0" w:color="auto"/>
            <w:left w:val="none" w:sz="0" w:space="0" w:color="auto"/>
            <w:bottom w:val="none" w:sz="0" w:space="0" w:color="auto"/>
            <w:right w:val="none" w:sz="0" w:space="0" w:color="auto"/>
          </w:divBdr>
        </w:div>
      </w:divsChild>
    </w:div>
    <w:div w:id="21142048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doi.org/10.1177/09589287221148336" TargetMode="External"/><Relationship Id="rId21" Type="http://schemas.openxmlformats.org/officeDocument/2006/relationships/image" Target="media/image8.png"/><Relationship Id="rId42" Type="http://schemas.openxmlformats.org/officeDocument/2006/relationships/hyperlink" Target="https://www.google.co.uk/books/edition/Social_Research_Methods/N2zQCgAAQBAJ?hl=en&amp;gbpv=0" TargetMode="External"/><Relationship Id="rId63" Type="http://schemas.openxmlformats.org/officeDocument/2006/relationships/hyperlink" Target="https://doi.org/10.2307/3089834" TargetMode="External"/><Relationship Id="rId84" Type="http://schemas.openxmlformats.org/officeDocument/2006/relationships/hyperlink" Target="https://www.researchgate.net/publication/378162359_Breaking_Barriers_Strategies_for_Fostering_Inclusivity_in_The_Workplace" TargetMode="External"/><Relationship Id="rId138" Type="http://schemas.openxmlformats.org/officeDocument/2006/relationships/hyperlink" Target="HTTPs://doi.org/10.1186/s12913-024-11348-7" TargetMode="External"/><Relationship Id="rId159" Type="http://schemas.openxmlformats.org/officeDocument/2006/relationships/hyperlink" Target="https://doi.org/10.5281/zenodo.887089" TargetMode="External"/><Relationship Id="rId170" Type="http://schemas.openxmlformats.org/officeDocument/2006/relationships/hyperlink" Target="https://www.researchgate.net/publication/240218229_Research_Methods_for_Business_Students" TargetMode="External"/><Relationship Id="rId191" Type="http://schemas.openxmlformats.org/officeDocument/2006/relationships/hyperlink" Target="https://centaur.reading.ac.uk/106944/1/23862128_Welman_thesis.pdf" TargetMode="External"/><Relationship Id="rId205" Type="http://schemas.openxmlformats.org/officeDocument/2006/relationships/image" Target="media/image13.png"/><Relationship Id="rId107" Type="http://schemas.openxmlformats.org/officeDocument/2006/relationships/hyperlink" Target="https://www.peoplemanagement.co.uk/article/1850024/half-employees-disagree-part-time-workers-unambitious-report-shows" TargetMode="External"/><Relationship Id="rId11" Type="http://schemas.openxmlformats.org/officeDocument/2006/relationships/footer" Target="footer2.xml"/><Relationship Id="rId32" Type="http://schemas.openxmlformats.org/officeDocument/2006/relationships/footer" Target="footer5.xml"/><Relationship Id="rId53" Type="http://schemas.openxmlformats.org/officeDocument/2006/relationships/hyperlink" Target="https://engage.ifm.eng.cam.ac.uk/wp-content/uploads/Women-in-Manufacturing-report-2024.pdf" TargetMode="External"/><Relationship Id="rId74" Type="http://schemas.openxmlformats.org/officeDocument/2006/relationships/hyperlink" Target="https://doi.org/10.1002/hpja.70023" TargetMode="External"/><Relationship Id="rId128" Type="http://schemas.openxmlformats.org/officeDocument/2006/relationships/hyperlink" Target="https://doi.org/10.1177/21582440231210690" TargetMode="External"/><Relationship Id="rId149" Type="http://schemas.openxmlformats.org/officeDocument/2006/relationships/hyperlink" Target="https://www.ons.gov.uk/economy/nationalaccounts/uksectoraccounts/compendium/economicreview/april2019/longtermtrendsinukemployment1861to2018" TargetMode="External"/><Relationship Id="rId5" Type="http://schemas.openxmlformats.org/officeDocument/2006/relationships/settings" Target="settings.xml"/><Relationship Id="rId95" Type="http://schemas.openxmlformats.org/officeDocument/2006/relationships/hyperlink" Target="http://www.catherinehakim.org/wp-content/uploads/2023/02/BJGC-2006-article.pdf" TargetMode="External"/><Relationship Id="rId160" Type="http://schemas.openxmlformats.org/officeDocument/2006/relationships/hyperlink" Target="https://www.investopedia.com/ask/answers/032715/what-human-capital-and-how-it-used.asp" TargetMode="External"/><Relationship Id="rId181" Type="http://schemas.openxmlformats.org/officeDocument/2006/relationships/hyperlink" Target="https://topcv.co.uk/career-advice/the-advantages-and-disadvantages-of-part-time-employment" TargetMode="External"/><Relationship Id="rId22" Type="http://schemas.openxmlformats.org/officeDocument/2006/relationships/hyperlink" Target="https://www.ssoar.info/ssoar/bitstream/handle/document/88769/ssoar-jfr-2022-4-abendroth-Transitions_to_parenthood_flexible_working.pdf" TargetMode="External"/><Relationship Id="rId43" Type="http://schemas.openxmlformats.org/officeDocument/2006/relationships/hyperlink" Target="https://businesscasestudies.co.uk/human-capital-theory-education-training/" TargetMode="External"/><Relationship Id="rId64" Type="http://schemas.openxmlformats.org/officeDocument/2006/relationships/hyperlink" Target="https://www.mdh.co.uk/insights/how-can-organisations-help-ensure-gender-parity-in-the-workplace" TargetMode="External"/><Relationship Id="rId118" Type="http://schemas.openxmlformats.org/officeDocument/2006/relationships/hyperlink" Target="https://doi.org/10.1016/j.jbusres.2023.114464" TargetMode="External"/><Relationship Id="rId139" Type="http://schemas.openxmlformats.org/officeDocument/2006/relationships/hyperlink" Target="https://www.nsiprojects.co.uk/news/challenges-facing-women-working-in-the-warehouse-industry-in-the-uk/" TargetMode="External"/><Relationship Id="rId85" Type="http://schemas.openxmlformats.org/officeDocument/2006/relationships/hyperlink" Target="https://doi.org/10.1016/j.joitmc.2024.100427" TargetMode="External"/><Relationship Id="rId150" Type="http://schemas.openxmlformats.org/officeDocument/2006/relationships/hyperlink" Target="https://www.managers.org.uk/knowledge-and-insights/blog/building-your-informal-networks-strategies-for-middle-managers-to-boost-their-influence-iq-eq-pq/" TargetMode="External"/><Relationship Id="rId171" Type="http://schemas.openxmlformats.org/officeDocument/2006/relationships/hyperlink" Target="https://www.simplypsychology.org/anova.html" TargetMode="External"/><Relationship Id="rId192" Type="http://schemas.openxmlformats.org/officeDocument/2006/relationships/hyperlink" Target="https://deliberatedirections.com/employer-initiatives-that-support-womens-growth" TargetMode="External"/><Relationship Id="rId206" Type="http://schemas.openxmlformats.org/officeDocument/2006/relationships/image" Target="media/image14.png"/><Relationship Id="rId12" Type="http://schemas.openxmlformats.org/officeDocument/2006/relationships/image" Target="media/image1.png"/><Relationship Id="rId33" Type="http://schemas.openxmlformats.org/officeDocument/2006/relationships/hyperlink" Target="http://www.peoplemanagement.co.uk" TargetMode="External"/><Relationship Id="rId108" Type="http://schemas.openxmlformats.org/officeDocument/2006/relationships/hyperlink" Target="https://doi.org/10.1371/journal.pone.0312951" TargetMode="External"/><Relationship Id="rId129" Type="http://schemas.openxmlformats.org/officeDocument/2006/relationships/hyperlink" Target="http://10.1080/13545701.2023.2251991" TargetMode="External"/><Relationship Id="rId54" Type="http://schemas.openxmlformats.org/officeDocument/2006/relationships/hyperlink" Target="https://www.cipd.org/globalassets/media/knowledge/knowledge-hub/reports/human-capital-theory-assessing-the-evidence_tcm18-22292.pdf" TargetMode="External"/><Relationship Id="rId75" Type="http://schemas.openxmlformats.org/officeDocument/2006/relationships/hyperlink" Target="https://www.womenintech.co.uk/getting-the-most-out-of-training-for-female-employees/" TargetMode="External"/><Relationship Id="rId96" Type="http://schemas.openxmlformats.org/officeDocument/2006/relationships/hyperlink" Target="http://www.hiscox.co.uk" TargetMode="External"/><Relationship Id="rId140" Type="http://schemas.openxmlformats.org/officeDocument/2006/relationships/hyperlink" Target="https://doi.org/10.1177/16094069231205789" TargetMode="External"/><Relationship Id="rId161" Type="http://schemas.openxmlformats.org/officeDocument/2006/relationships/hyperlink" Target="https://doi.org/10.5195/jmla.2021.1226" TargetMode="External"/><Relationship Id="rId182" Type="http://schemas.openxmlformats.org/officeDocument/2006/relationships/hyperlink" Target="https://timewise.co.uk/article/a-question-of-time-whats-happening-with-part-time-working-in-the-uk/" TargetMode="External"/><Relationship Id="rId6" Type="http://schemas.openxmlformats.org/officeDocument/2006/relationships/webSettings" Target="webSettings.xml"/><Relationship Id="rId23" Type="http://schemas.openxmlformats.org/officeDocument/2006/relationships/hyperlink" Target="https://sago.com/en/resources/blog/different-types-of-sampling-techniques-in-qualitative-research/" TargetMode="External"/><Relationship Id="rId119" Type="http://schemas.openxmlformats.org/officeDocument/2006/relationships/hyperlink" Target="https://www.evidencebasedmentoring.org/cracks-in-the-glass-ceiling-the-effects-of-gender-on-career-support-and-relationship-quality-in-mentoring/" TargetMode="External"/><Relationship Id="rId44" Type="http://schemas.openxmlformats.org/officeDocument/2006/relationships/hyperlink" Target="https://www.cipd.org/uk/knowledge/reports/flexible-working-trends/" TargetMode="External"/><Relationship Id="rId65" Type="http://schemas.openxmlformats.org/officeDocument/2006/relationships/hyperlink" Target="https://www.deloitte.com/content/dam/assets-shared/docs/collections/2024/deloitte-women-at-work-2024-a-global-outlook.pdf?dl=2" TargetMode="External"/><Relationship Id="rId86" Type="http://schemas.openxmlformats.org/officeDocument/2006/relationships/hyperlink" Target="https://www.geeksforgeeks.org/hr/adams-equity-theory-concept-merits-and-demerits/" TargetMode="External"/><Relationship Id="rId130" Type="http://schemas.openxmlformats.org/officeDocument/2006/relationships/hyperlink" Target="https://doi.org/10.1136/bmj.c4587" TargetMode="External"/><Relationship Id="rId151" Type="http://schemas.openxmlformats.org/officeDocument/2006/relationships/hyperlink" Target="https://www.oxbridgeediting.co.uk/blog/how-to-write-a-results-section-tips-examples/" TargetMode="External"/><Relationship Id="rId172" Type="http://schemas.openxmlformats.org/officeDocument/2006/relationships/hyperlink" Target="https://uk.finance.yahoo.com/news/stigma-part-time-work-damages-womens-careers-060032993.html?guccounter=1&amp;guce_referrer=aHR0cHM6Ly93d3cuZ29vZ2xlLmNvbS8&amp;guce_referrer_sig=AQAAAI99ZqF2R8oame4LiYXfAaoexN04LVAOc1nT8Yb4svIkg5XGTEkJtT_gXCLo5p5YhzvMys-t0zf9MlH-nIqt9qpY89pHVN04XRbdHBqW6OpEPDj_tn6wGZjr91IrgdqORkV_ex9lriujVl1FYUaTeL27yeMFU4hhv19JDbACFdxs" TargetMode="External"/><Relationship Id="rId193" Type="http://schemas.openxmlformats.org/officeDocument/2006/relationships/hyperlink" Target="https://insight7.io/market-research-sustainability-5-eco-friendly-practices/" TargetMode="External"/><Relationship Id="rId207" Type="http://schemas.openxmlformats.org/officeDocument/2006/relationships/image" Target="media/image15.png"/><Relationship Id="rId13" Type="http://schemas.openxmlformats.org/officeDocument/2006/relationships/image" Target="media/image2.png"/><Relationship Id="rId109" Type="http://schemas.openxmlformats.org/officeDocument/2006/relationships/hyperlink" Target="https://www.kcl.ac.uk/giwl/assets/womens-progression-in-the-workplace.pdf" TargetMode="External"/><Relationship Id="rId34" Type="http://schemas.openxmlformats.org/officeDocument/2006/relationships/hyperlink" Target="https://www.peoplemanagement.co.uk/article/1747027/women-less-likely-to-be-promoted-after-having-children" TargetMode="External"/><Relationship Id="rId55" Type="http://schemas.openxmlformats.org/officeDocument/2006/relationships/hyperlink" Target="https://www.cipd.org/globalassets/media/knowledge/knowledge-hub/reports/the-future-of-technology-and-learning_2017_tcm18-29348.pdf" TargetMode="External"/><Relationship Id="rId76" Type="http://schemas.openxmlformats.org/officeDocument/2006/relationships/hyperlink" Target="https://dileaders.com/blog/why-has-womens-progress-in-executive-roles-gone-backwards" TargetMode="External"/><Relationship Id="rId97" Type="http://schemas.openxmlformats.org/officeDocument/2006/relationships/hyperlink" Target="https://www.hiscox.co.uk/business-blog/employment-contract-types" TargetMode="External"/><Relationship Id="rId120" Type="http://schemas.openxmlformats.org/officeDocument/2006/relationships/hyperlink" Target="https://www.betterworks.com/magazine/workplace-transparency-alignment-trust/" TargetMode="External"/><Relationship Id="rId141" Type="http://schemas.openxmlformats.org/officeDocument/2006/relationships/hyperlink" Target="https://doi.org/10.1201/9781032616681" TargetMode="External"/><Relationship Id="rId7" Type="http://schemas.openxmlformats.org/officeDocument/2006/relationships/footnotes" Target="footnotes.xml"/><Relationship Id="rId162" Type="http://schemas.openxmlformats.org/officeDocument/2006/relationships/hyperlink" Target="https://doi.org/10.5195/jmla.2021.1226" TargetMode="External"/><Relationship Id="rId183" Type="http://schemas.openxmlformats.org/officeDocument/2006/relationships/hyperlink" Target="http://www.tuc.org.uk" TargetMode="External"/><Relationship Id="rId24" Type="http://schemas.openxmlformats.org/officeDocument/2006/relationships/hyperlink" Target="https://www.acas.org.uk/acas-code-of-practice-on-flexible-working-requests/html" TargetMode="External"/><Relationship Id="rId45" Type="http://schemas.openxmlformats.org/officeDocument/2006/relationships/hyperlink" Target="https://www.cipd.org/uk/knowledge/guides/flexible-working-manager-guide/" TargetMode="External"/><Relationship Id="rId66" Type="http://schemas.openxmlformats.org/officeDocument/2006/relationships/hyperlink" Target="https://www.forbes.com/sites/karadennison/2023/10/24/why-companies-should-prioritize-employee-health-and-happiness-in-2024/" TargetMode="External"/><Relationship Id="rId87" Type="http://schemas.openxmlformats.org/officeDocument/2006/relationships/hyperlink" Target="https://www.scribbr.com/methodology/exploratory-research/" TargetMode="External"/><Relationship Id="rId110" Type="http://schemas.openxmlformats.org/officeDocument/2006/relationships/hyperlink" Target="https://www.leadershiptrust.co/insights/nurturing-women-in-leadership/" TargetMode="External"/><Relationship Id="rId131" Type="http://schemas.openxmlformats.org/officeDocument/2006/relationships/hyperlink" Target="https://doi.org/10.1111/bjir.12787" TargetMode="External"/><Relationship Id="rId152" Type="http://schemas.openxmlformats.org/officeDocument/2006/relationships/hyperlink" Target="https://oxford-management.com/articles/a-guide-to-understanding-and-addressing-unconscious-bias" TargetMode="External"/><Relationship Id="rId173" Type="http://schemas.openxmlformats.org/officeDocument/2006/relationships/hyperlink" Target="https://timewise.co.uk/article/why-employers-dont-offer-flexible-jobs-up-front-and-why-they-should/" TargetMode="External"/><Relationship Id="rId194" Type="http://schemas.openxmlformats.org/officeDocument/2006/relationships/hyperlink" Target="https://doi.org/10.1177/0891243213490232" TargetMode="External"/><Relationship Id="rId208" Type="http://schemas.openxmlformats.org/officeDocument/2006/relationships/image" Target="media/image16.png"/><Relationship Id="rId19" Type="http://schemas.openxmlformats.org/officeDocument/2006/relationships/image" Target="media/image6.png"/><Relationship Id="rId14" Type="http://schemas.openxmlformats.org/officeDocument/2006/relationships/footer" Target="footer3.xml"/><Relationship Id="rId30" Type="http://schemas.openxmlformats.org/officeDocument/2006/relationships/hyperlink" Target="https://doi.org/10.12688/aasopenres.13117.1" TargetMode="External"/><Relationship Id="rId35" Type="http://schemas.openxmlformats.org/officeDocument/2006/relationships/hyperlink" Target="https://dx.doi.org/10.2139/ssrn.3947215" TargetMode="External"/><Relationship Id="rId56" Type="http://schemas.openxmlformats.org/officeDocument/2006/relationships/hyperlink" Target="https://www.cipd.org/globalassets/media/knowledge/knowledge-hub/reports/flexible-hybrid-working-practices-report_tcm18-108941.pdf" TargetMode="External"/><Relationship Id="rId77" Type="http://schemas.openxmlformats.org/officeDocument/2006/relationships/hyperlink" Target="https://researchbriefings.files.parliament.uk/documents/SN06838/SN06838.pdf" TargetMode="External"/><Relationship Id="rId100" Type="http://schemas.openxmlformats.org/officeDocument/2006/relationships/hyperlink" Target="https://doi.org/10.1111/ejed.12722" TargetMode="External"/><Relationship Id="rId105" Type="http://schemas.openxmlformats.org/officeDocument/2006/relationships/hyperlink" Target="https://www.intelligenthq.com/the-capabilities-and-limitations-of-anova/" TargetMode="External"/><Relationship Id="rId126" Type="http://schemas.openxmlformats.org/officeDocument/2006/relationships/hyperlink" Target="https://www.scribbr.co.uk/research-methods/reliability-or-validity/" TargetMode="External"/><Relationship Id="rId147" Type="http://schemas.openxmlformats.org/officeDocument/2006/relationships/hyperlink" Target="https://doi.org/10.2139/ssrn.5069987" TargetMode="External"/><Relationship Id="rId168" Type="http://schemas.openxmlformats.org/officeDocument/2006/relationships/hyperlink" Target="https://kclpure.kcl.ac.uk/portal/en/publications/career-progression-and-flexible-working-making-it-work-for-women" TargetMode="External"/><Relationship Id="rId8" Type="http://schemas.openxmlformats.org/officeDocument/2006/relationships/endnotes" Target="endnotes.xml"/><Relationship Id="rId51" Type="http://schemas.openxmlformats.org/officeDocument/2006/relationships/hyperlink" Target="https://doi.org/10.1016/j.ssresearch.2025.103192" TargetMode="External"/><Relationship Id="rId72" Type="http://schemas.openxmlformats.org/officeDocument/2006/relationships/hyperlink" Target="https://business.leeds.ac.uk/research-ceric/dir-record/research-blog/2264/how-are-employers-in-warehousing-and-food-manufacturing-dealing-with-ongoing-workforce-pressures" TargetMode="External"/><Relationship Id="rId93" Type="http://schemas.openxmlformats.org/officeDocument/2006/relationships/hyperlink" Target="https://doi.org/10.1080/09585192.2023.2258335" TargetMode="External"/><Relationship Id="rId98" Type="http://schemas.openxmlformats.org/officeDocument/2006/relationships/hyperlink" Target="https://doi.org/10.1016/j.ssaho.2024.101023" TargetMode="External"/><Relationship Id="rId121" Type="http://schemas.openxmlformats.org/officeDocument/2006/relationships/hyperlink" Target="https://doi.org/10.1111/gwao.12839" TargetMode="External"/><Relationship Id="rId142" Type="http://schemas.openxmlformats.org/officeDocument/2006/relationships/hyperlink" Target="https://www.iese.edu/insight/articles/part-time-work-productivity/" TargetMode="External"/><Relationship Id="rId163" Type="http://schemas.openxmlformats.org/officeDocument/2006/relationships/hyperlink" Target="https://doi.org/10.1177/0961463x05050300" TargetMode="External"/><Relationship Id="rId184" Type="http://schemas.openxmlformats.org/officeDocument/2006/relationships/hyperlink" Target="https://www.tuc.org.uk/news/tuc-women-much-more-likely-men-have-flexible-work-arrangements-lead-loss-hours-and-pay" TargetMode="External"/><Relationship Id="rId189" Type="http://schemas.openxmlformats.org/officeDocument/2006/relationships/hyperlink" Target="https://warwick.ac.uk/fac/soc/ces/research/current/socialtheory/maps/when/" TargetMode="External"/><Relationship Id="rId3" Type="http://schemas.openxmlformats.org/officeDocument/2006/relationships/numbering" Target="numbering.xml"/><Relationship Id="rId214" Type="http://schemas.openxmlformats.org/officeDocument/2006/relationships/theme" Target="theme/theme1.xml"/><Relationship Id="rId25" Type="http://schemas.openxmlformats.org/officeDocument/2006/relationships/hyperlink" Target="https://www.acas.org.uk/research-and-commentary/organisational-case-studies-on-flexible-working/report" TargetMode="External"/><Relationship Id="rId46" Type="http://schemas.openxmlformats.org/officeDocument/2006/relationships/hyperlink" Target="https://www.cipd.org/uk/knowledge/reports/flexible-hybrid-working/" TargetMode="External"/><Relationship Id="rId67" Type="http://schemas.openxmlformats.org/officeDocument/2006/relationships/hyperlink" Target="https://viewhr.co.uk/how-to-make-job-share-work-well/" TargetMode="External"/><Relationship Id="rId116" Type="http://schemas.openxmlformats.org/officeDocument/2006/relationships/hyperlink" Target="https://doi.org/10.1108/s0742-730120230000041008" TargetMode="External"/><Relationship Id="rId137" Type="http://schemas.openxmlformats.org/officeDocument/2006/relationships/hyperlink" Target="https://doi.org/10.1001/jamanetworkopen.2023.3532" TargetMode="External"/><Relationship Id="rId158" Type="http://schemas.openxmlformats.org/officeDocument/2006/relationships/hyperlink" Target="https://www.researchgate.net/publication/354269686_The_Impact_of_Part-Time_and_Full-Time_Work_on_Employees" TargetMode="External"/><Relationship Id="rId20" Type="http://schemas.openxmlformats.org/officeDocument/2006/relationships/image" Target="media/image7.png"/><Relationship Id="rId41" Type="http://schemas.openxmlformats.org/officeDocument/2006/relationships/hyperlink" Target="https://doi.org/10.1177/09589287231224607" TargetMode="External"/><Relationship Id="rId62" Type="http://schemas.openxmlformats.org/officeDocument/2006/relationships/hyperlink" Target="https://www.cipd.org/uk/knowledge/reports/flexible-hybrid-working/" TargetMode="External"/><Relationship Id="rId83" Type="http://schemas.openxmlformats.org/officeDocument/2006/relationships/hyperlink" Target="https://www.analyticssteps.com/blogs/analysis-variance-anova-types-and-limitations" TargetMode="External"/><Relationship Id="rId88" Type="http://schemas.openxmlformats.org/officeDocument/2006/relationships/hyperlink" Target="https://www.legislation.gov.uk/uksi/2000/1551/regulation/6" TargetMode="External"/><Relationship Id="rId111" Type="http://schemas.openxmlformats.org/officeDocument/2006/relationships/hyperlink" Target="https://www.cipd.org/uk/views-and-insights/thought-leadership/cipd-voice/part-time-work/" TargetMode="External"/><Relationship Id="rId132" Type="http://schemas.openxmlformats.org/officeDocument/2006/relationships/hyperlink" Target="https://www.talentedladiesclub.com/articles/addressing-workplace-challenges-faced-by-women-in-the-warehouse-industry/" TargetMode="External"/><Relationship Id="rId153" Type="http://schemas.openxmlformats.org/officeDocument/2006/relationships/hyperlink" Target="https://www.theguardian.com/money/2025/jan/27/inequality-in-flexible-working-dividing-britain-into-two-tier-workforce?utm_source=chatgpt.com" TargetMode="External"/><Relationship Id="rId174" Type="http://schemas.openxmlformats.org/officeDocument/2006/relationships/hyperlink" Target="https://doi.org/10.2139/ssrn.4238254" TargetMode="External"/><Relationship Id="rId179" Type="http://schemas.openxmlformats.org/officeDocument/2006/relationships/hyperlink" Target="https://doi.org/10.1080/23311886.2025.2505127" TargetMode="External"/><Relationship Id="rId195" Type="http://schemas.openxmlformats.org/officeDocument/2006/relationships/hyperlink" Target="https://doi.org/10.53841/bpswlb.2018.2.1.5" TargetMode="External"/><Relationship Id="rId209" Type="http://schemas.openxmlformats.org/officeDocument/2006/relationships/image" Target="media/image17.png"/><Relationship Id="rId190" Type="http://schemas.openxmlformats.org/officeDocument/2006/relationships/hyperlink" Target="https://www.psychologytoday.com/gb/blog/our-invisible-work/202406/what-invisible-work-looks-like-in-the-21st-century" TargetMode="External"/><Relationship Id="rId204" Type="http://schemas.openxmlformats.org/officeDocument/2006/relationships/image" Target="media/image12.png"/><Relationship Id="rId15" Type="http://schemas.openxmlformats.org/officeDocument/2006/relationships/footer" Target="footer4.xml"/><Relationship Id="rId36" Type="http://schemas.openxmlformats.org/officeDocument/2006/relationships/hyperlink" Target="https://doi.org/10.1016/j.heliyon.2024.e28286" TargetMode="External"/><Relationship Id="rId57" Type="http://schemas.openxmlformats.org/officeDocument/2006/relationships/hyperlink" Target="https://www.cipd.org/globalassets/media/knowledge/knowledge-hub/reports/zero-hours-contracts-report-aug-2022_tcm18-110465.pdf" TargetMode="External"/><Relationship Id="rId106" Type="http://schemas.openxmlformats.org/officeDocument/2006/relationships/hyperlink" Target="https://doi.org/10.22495/cgobrv8i3p4" TargetMode="External"/><Relationship Id="rId127" Type="http://schemas.openxmlformats.org/officeDocument/2006/relationships/hyperlink" Target="https://www.structural-learning.com/post/equity-theory" TargetMode="External"/><Relationship Id="rId10" Type="http://schemas.openxmlformats.org/officeDocument/2006/relationships/footer" Target="footer1.xml"/><Relationship Id="rId31" Type="http://schemas.openxmlformats.org/officeDocument/2006/relationships/hyperlink" Target="https://ifs.org.uk/news/barely-any-change-gender-earnings-gap-last-25-years-once-you-account-increases-womens" TargetMode="External"/><Relationship Id="rId52" Type="http://schemas.openxmlformats.org/officeDocument/2006/relationships/hyperlink" Target="https://doi.org/10.1016/j.tourman.2024.104913" TargetMode="External"/><Relationship Id="rId73" Type="http://schemas.openxmlformats.org/officeDocument/2006/relationships/hyperlink" Target="https://doi.org/10.1016/j.ssmph.2021.100891" TargetMode="External"/><Relationship Id="rId78" Type="http://schemas.openxmlformats.org/officeDocument/2006/relationships/hyperlink" Target="https://doi.org/10.1007/s00737-024-01464-y" TargetMode="External"/><Relationship Id="rId94" Type="http://schemas.openxmlformats.org/officeDocument/2006/relationships/hyperlink" Target="https://doi.org/10.1080/09585192.2023.2258335" TargetMode="External"/><Relationship Id="rId99" Type="http://schemas.openxmlformats.org/officeDocument/2006/relationships/hyperlink" Target="https://hrzone.com/blog/formal-and-informal-employee-recognition-which-works-best/" TargetMode="External"/><Relationship Id="rId101" Type="http://schemas.openxmlformats.org/officeDocument/2006/relationships/hyperlink" Target="https://www.instride.com/insights/examples-equity-in-the-workplace/" TargetMode="External"/><Relationship Id="rId122" Type="http://schemas.openxmlformats.org/officeDocument/2006/relationships/hyperlink" Target="https://doi.org/10.1007/s00181-024-02611-1" TargetMode="External"/><Relationship Id="rId143" Type="http://schemas.openxmlformats.org/officeDocument/2006/relationships/hyperlink" Target="https://www.sciencedirect.com/topics/computer-science/pearson-correlation" TargetMode="External"/><Relationship Id="rId148" Type="http://schemas.openxmlformats.org/officeDocument/2006/relationships/hyperlink" Target="https://www.rfberlin.com/wp-content/uploads/2024/12/24033.pdf" TargetMode="External"/><Relationship Id="rId164" Type="http://schemas.openxmlformats.org/officeDocument/2006/relationships/hyperlink" Target="https://www.productivity.ac.uk/research/part-time-work-and-productivity/" TargetMode="External"/><Relationship Id="rId169" Type="http://schemas.openxmlformats.org/officeDocument/2006/relationships/hyperlink" Target="https://uk.finance.yahoo.com/news/stigma-part-time-work-damages-womens-careers-060032993.html" TargetMode="External"/><Relationship Id="rId185" Type="http://schemas.openxmlformats.org/officeDocument/2006/relationships/hyperlink" Target="https://oercollective.caul.edu.au/qualitative-research/chapter/__unknown__-29/" TargetMode="External"/><Relationship Id="rId4" Type="http://schemas.openxmlformats.org/officeDocument/2006/relationships/styles" Target="styles.xml"/><Relationship Id="rId9" Type="http://schemas.openxmlformats.org/officeDocument/2006/relationships/header" Target="header1.xml"/><Relationship Id="rId180" Type="http://schemas.openxmlformats.org/officeDocument/2006/relationships/hyperlink" Target="https://doi.org/10.1002/berj.4195" TargetMode="External"/><Relationship Id="rId210" Type="http://schemas.openxmlformats.org/officeDocument/2006/relationships/image" Target="media/image18.png"/><Relationship Id="rId215" Type="http://schemas.microsoft.com/office/2020/10/relationships/intelligence" Target="intelligence2.xml"/><Relationship Id="rId26" Type="http://schemas.openxmlformats.org/officeDocument/2006/relationships/hyperlink" Target="https://doi.org/10.1016/S0065-2601(08)60108-2" TargetMode="External"/><Relationship Id="rId47" Type="http://schemas.openxmlformats.org/officeDocument/2006/relationships/hyperlink" Target="https://www.cipd.org/uk/knowledge/reports/flexible-working-trends/" TargetMode="External"/><Relationship Id="rId68" Type="http://schemas.openxmlformats.org/officeDocument/2006/relationships/hyperlink" Target="https://www.proprofssurvey.com/blog/advantages-disadvantages-of-questionnaires/" TargetMode="External"/><Relationship Id="rId89" Type="http://schemas.openxmlformats.org/officeDocument/2006/relationships/hyperlink" Target="https://www.theanalysisfactor.com/when-unequal-sample-sizes-are-and-are-not-a-problem-in-anova/" TargetMode="External"/><Relationship Id="rId112" Type="http://schemas.openxmlformats.org/officeDocument/2006/relationships/hyperlink" Target="https://www.cipd.org/uk/views-and-insights/thought-leadership/cipd-voice/part-time-work/" TargetMode="External"/><Relationship Id="rId133" Type="http://schemas.openxmlformats.org/officeDocument/2006/relationships/hyperlink" Target="https://rcademy.com/male-vs-female-employment-statistics-in-the-uk/" TargetMode="External"/><Relationship Id="rId154" Type="http://schemas.openxmlformats.org/officeDocument/2006/relationships/hyperlink" Target="https://link.springer.com/article/10.1007/s43545-023-00774-9" TargetMode="External"/><Relationship Id="rId175" Type="http://schemas.openxmlformats.org/officeDocument/2006/relationships/hyperlink" Target="https://doi.org/10.1111/japp.12137" TargetMode="External"/><Relationship Id="rId196" Type="http://schemas.openxmlformats.org/officeDocument/2006/relationships/hyperlink" Target="https://workingfamilies.org.uk/news-events/blogs/iwd2023_parttimepenalty/" TargetMode="External"/><Relationship Id="rId200" Type="http://schemas.openxmlformats.org/officeDocument/2006/relationships/hyperlink" Target="https://doi.org/10.1016/j.heliyon.2024.e34084" TargetMode="External"/><Relationship Id="rId16" Type="http://schemas.openxmlformats.org/officeDocument/2006/relationships/image" Target="media/image3.png"/><Relationship Id="rId37" Type="http://schemas.openxmlformats.org/officeDocument/2006/relationships/hyperlink" Target="https://doi.org/10.1080/09593969.2024.2411201" TargetMode="External"/><Relationship Id="rId58" Type="http://schemas.openxmlformats.org/officeDocument/2006/relationships/hyperlink" Target="https://www.cipd.org/uk/knowledge/reports/flexible-working-trends/" TargetMode="External"/><Relationship Id="rId79" Type="http://schemas.openxmlformats.org/officeDocument/2006/relationships/hyperlink" Target="https://doi.org/10.1016/j.emj.2024.09.002" TargetMode="External"/><Relationship Id="rId102" Type="http://schemas.openxmlformats.org/officeDocument/2006/relationships/hyperlink" Target="https://www.peoplemanagement.co.uk/article/1856168/new-flexible-working-laws-employers-guide" TargetMode="External"/><Relationship Id="rId123" Type="http://schemas.openxmlformats.org/officeDocument/2006/relationships/hyperlink" Target="https://www.employment-studies.co.uk/system/files/resources/files/CHWL%20international%20report%20-%20final.pdf" TargetMode="External"/><Relationship Id="rId144" Type="http://schemas.openxmlformats.org/officeDocument/2006/relationships/hyperlink" Target="https://doi.org/10.1002/sd.2982" TargetMode="External"/><Relationship Id="rId90" Type="http://schemas.openxmlformats.org/officeDocument/2006/relationships/hyperlink" Target="https://doi.org/10.1787/122123571425" TargetMode="External"/><Relationship Id="rId165" Type="http://schemas.openxmlformats.org/officeDocument/2006/relationships/hyperlink" Target="https://doi.org/10.1093/annweh/wxac098" TargetMode="External"/><Relationship Id="rId186" Type="http://schemas.openxmlformats.org/officeDocument/2006/relationships/hyperlink" Target="https://agencyanalytics.com/blog/work-life-balance-vs-work-life-success" TargetMode="External"/><Relationship Id="rId211" Type="http://schemas.openxmlformats.org/officeDocument/2006/relationships/image" Target="media/image19.png"/><Relationship Id="rId27" Type="http://schemas.openxmlformats.org/officeDocument/2006/relationships/hyperlink" Target="https://doi.org/10.1177/07308884221127636" TargetMode="External"/><Relationship Id="rId48" Type="http://schemas.openxmlformats.org/officeDocument/2006/relationships/hyperlink" Target="https://www.cipd.org/uk/knowledge/guides/flexible-working-manager-guide/" TargetMode="External"/><Relationship Id="rId69" Type="http://schemas.openxmlformats.org/officeDocument/2006/relationships/hyperlink" Target="https://open.ncl.ac.uk/theories/5/equity-theory/" TargetMode="External"/><Relationship Id="rId113" Type="http://schemas.openxmlformats.org/officeDocument/2006/relationships/hyperlink" Target="https://www.cipd.org/uk/views-and-insights/thought-leadership/cipd-voice/part-time-work/" TargetMode="External"/><Relationship Id="rId134" Type="http://schemas.openxmlformats.org/officeDocument/2006/relationships/hyperlink" Target="https://doi.org/10.1177/0950017014538337" TargetMode="External"/><Relationship Id="rId80" Type="http://schemas.openxmlformats.org/officeDocument/2006/relationships/hyperlink" Target="https://doi.org/10.1002/hbm.70287" TargetMode="External"/><Relationship Id="rId155" Type="http://schemas.openxmlformats.org/officeDocument/2006/relationships/hyperlink" Target="https://doi.org/10.1177/0038022920970318" TargetMode="External"/><Relationship Id="rId176" Type="http://schemas.openxmlformats.org/officeDocument/2006/relationships/hyperlink" Target="https://www.execpipeline.com/women-count/women-count-2024/" TargetMode="External"/><Relationship Id="rId197" Type="http://schemas.openxmlformats.org/officeDocument/2006/relationships/hyperlink" Target="https://worldofwork.io/2019/02/adams-equity-theory-of-motivation/" TargetMode="External"/><Relationship Id="rId201" Type="http://schemas.openxmlformats.org/officeDocument/2006/relationships/image" Target="media/image9.png"/><Relationship Id="rId17" Type="http://schemas.openxmlformats.org/officeDocument/2006/relationships/image" Target="media/image4.png"/><Relationship Id="rId38" Type="http://schemas.openxmlformats.org/officeDocument/2006/relationships/hyperlink" Target="https://doi.org/10.58970/IJSB.2471" TargetMode="External"/><Relationship Id="rId59" Type="http://schemas.openxmlformats.org/officeDocument/2006/relationships/hyperlink" Target="https://www.cipd.org/uk/topics/flexible-hybrid-working/" TargetMode="External"/><Relationship Id="rId103" Type="http://schemas.openxmlformats.org/officeDocument/2006/relationships/hyperlink" Target="https://doi.org/10.30574/msarr.2024.10.1.0025" TargetMode="External"/><Relationship Id="rId124" Type="http://schemas.openxmlformats.org/officeDocument/2006/relationships/hyperlink" Target="https://doi.org/10.1186/s40359-024-02029-5" TargetMode="External"/><Relationship Id="rId70" Type="http://schemas.openxmlformats.org/officeDocument/2006/relationships/hyperlink" Target="https://www.deloitte.com/us/en/insights/topics/talent/human-capital-trends/2024/transparency-in-the-workplace.html" TargetMode="External"/><Relationship Id="rId91" Type="http://schemas.openxmlformats.org/officeDocument/2006/relationships/hyperlink" Target="https://www.peoplemanagement.co.uk/article/1876463/why-women-leave-jobs-%E2%80%93-retain" TargetMode="External"/><Relationship Id="rId145" Type="http://schemas.openxmlformats.org/officeDocument/2006/relationships/hyperlink" Target="https://www.ons.gov.uk/employmentandlabourmarket/peopleinwork/earningsandworkinghours/bulletins/genderpaygapintheuk/2023" TargetMode="External"/><Relationship Id="rId166" Type="http://schemas.openxmlformats.org/officeDocument/2006/relationships/hyperlink" Target="https://doi.org/10.4324/9781003203308" TargetMode="External"/><Relationship Id="rId187" Type="http://schemas.openxmlformats.org/officeDocument/2006/relationships/hyperlink" Target="https://bristoluniversitypressdigital.com/monochap-oa/book/9781529241129/ch003.xml" TargetMode="External"/><Relationship Id="rId1" Type="http://schemas.openxmlformats.org/officeDocument/2006/relationships/customXml" Target="../customXml/item1.xml"/><Relationship Id="rId212" Type="http://schemas.openxmlformats.org/officeDocument/2006/relationships/image" Target="media/image20.png"/><Relationship Id="rId28" Type="http://schemas.openxmlformats.org/officeDocument/2006/relationships/hyperlink" Target="https://www.sjsu.edu/writingcenter/docs/handouts/Results%20Section%20for%20Research%20Papers.pdf" TargetMode="External"/><Relationship Id="rId49" Type="http://schemas.openxmlformats.org/officeDocument/2006/relationships/hyperlink" Target="https://www.thoughtco.com/sociological-perspective-3026642" TargetMode="External"/><Relationship Id="rId114" Type="http://schemas.openxmlformats.org/officeDocument/2006/relationships/hyperlink" Target="https://doi.org/10.1007/s12144-022-03070-6" TargetMode="External"/><Relationship Id="rId60" Type="http://schemas.openxmlformats.org/officeDocument/2006/relationships/hyperlink" Target="https://www.cipd.org/globalassets/media/knowledge/knowledge-hub/evidence-reviews/2023-pdfs/2023-people-managers-scientific-summary-8431.pdf" TargetMode="External"/><Relationship Id="rId81" Type="http://schemas.openxmlformats.org/officeDocument/2006/relationships/hyperlink" Target="https://www.gov.uk/government/publications/womens-progression-in-the-workplace-actions-for-employers" TargetMode="External"/><Relationship Id="rId135" Type="http://schemas.openxmlformats.org/officeDocument/2006/relationships/hyperlink" Target="https://www.mckinsey.com/featured-insights/diversity-and-inclusion/women-in-the-workplace" TargetMode="External"/><Relationship Id="rId156" Type="http://schemas.openxmlformats.org/officeDocument/2006/relationships/hyperlink" Target="https://doi.org/10.3390/economies13010020" TargetMode="External"/><Relationship Id="rId177" Type="http://schemas.openxmlformats.org/officeDocument/2006/relationships/hyperlink" Target="https://www.theknowledgeacademy.com/blog/equity-in-the-workplace/" TargetMode="External"/><Relationship Id="rId198" Type="http://schemas.openxmlformats.org/officeDocument/2006/relationships/hyperlink" Target="https://www.atlantis-press.com/article/125975791.pdf" TargetMode="External"/><Relationship Id="rId202" Type="http://schemas.openxmlformats.org/officeDocument/2006/relationships/image" Target="media/image10.png"/><Relationship Id="rId18" Type="http://schemas.openxmlformats.org/officeDocument/2006/relationships/image" Target="media/image5.png"/><Relationship Id="rId39" Type="http://schemas.openxmlformats.org/officeDocument/2006/relationships/hyperlink" Target="https://doi.org/10.1093/ooec/odad030" TargetMode="External"/><Relationship Id="rId50" Type="http://schemas.openxmlformats.org/officeDocument/2006/relationships/hyperlink" Target="https://www.thoughtco.com/feminist-theory-3026624" TargetMode="External"/><Relationship Id="rId104" Type="http://schemas.openxmlformats.org/officeDocument/2006/relationships/hyperlink" Target="https://www.imd.org/blog/leadership/gender-inequality-in-the-workplace/" TargetMode="External"/><Relationship Id="rId125" Type="http://schemas.openxmlformats.org/officeDocument/2006/relationships/hyperlink" Target="https://doi.org/10.1111/joop.12488" TargetMode="External"/><Relationship Id="rId146" Type="http://schemas.openxmlformats.org/officeDocument/2006/relationships/hyperlink" Target="https://doi.org/10.1787/204235cf-en" TargetMode="External"/><Relationship Id="rId167" Type="http://schemas.openxmlformats.org/officeDocument/2006/relationships/hyperlink" Target="HTTPs://doi.org/10.1016/j.actpsy.2025.105019" TargetMode="External"/><Relationship Id="rId188" Type="http://schemas.openxmlformats.org/officeDocument/2006/relationships/hyperlink" Target="https://www.ukri.org/councils/esrc/guidance-for-applicants/research-ethics-guidance/framework-for-research-ethics/our-core-principles/" TargetMode="External"/><Relationship Id="rId71" Type="http://schemas.openxmlformats.org/officeDocument/2006/relationships/hyperlink" Target="https://www.descartes.com/resources/news/descartes-study-reveals-76-supply-chain-and-logistics-operations-are-experiencing" TargetMode="External"/><Relationship Id="rId92" Type="http://schemas.openxmlformats.org/officeDocument/2006/relationships/hyperlink" Target="https://www.healthknowledge.org.uk" TargetMode="External"/><Relationship Id="rId213" Type="http://schemas.openxmlformats.org/officeDocument/2006/relationships/fontTable" Target="fontTable.xml"/><Relationship Id="rId2" Type="http://schemas.openxmlformats.org/officeDocument/2006/relationships/customXml" Target="../customXml/item2.xml"/><Relationship Id="rId29" Type="http://schemas.openxmlformats.org/officeDocument/2006/relationships/hyperlink" Target="https://doi.org/10.1093/sf/soae068" TargetMode="External"/><Relationship Id="rId40" Type="http://schemas.openxmlformats.org/officeDocument/2006/relationships/hyperlink" Target="https://doi.org/10.1080/26895269.2022.2129597" TargetMode="External"/><Relationship Id="rId115" Type="http://schemas.openxmlformats.org/officeDocument/2006/relationships/hyperlink" Target="https://doi.org/10.1080/00472778.2022.2082456" TargetMode="External"/><Relationship Id="rId136" Type="http://schemas.openxmlformats.org/officeDocument/2006/relationships/hyperlink" Target="https://www.recruitmint.com/why-your-warehouse-struggles-to-attract-younger-workers-and-what-to-do-about-it" TargetMode="External"/><Relationship Id="rId157" Type="http://schemas.openxmlformats.org/officeDocument/2006/relationships/hyperlink" Target="https://link.springer.com/article/10.1007/s43545-023-00774-9" TargetMode="External"/><Relationship Id="rId178" Type="http://schemas.openxmlformats.org/officeDocument/2006/relationships/hyperlink" Target="https://doi.org/10.14707/ajbr.250186" TargetMode="External"/><Relationship Id="rId61" Type="http://schemas.openxmlformats.org/officeDocument/2006/relationships/hyperlink" Target="https://www.cipd.org/globalassets/media/knowledge/knowledge-hub/reports/2024-pdfs/8625-good-work-index-2024-summary-report-1-web.pdf" TargetMode="External"/><Relationship Id="rId82" Type="http://schemas.openxmlformats.org/officeDocument/2006/relationships/hyperlink" Target="http://www.analyticssteps.com" TargetMode="External"/><Relationship Id="rId199" Type="http://schemas.openxmlformats.org/officeDocument/2006/relationships/hyperlink" Target="https://www.researchgate.net/publication/380168755_Combined_Methods_Can_This_Solve_The_Differences_Between_Deductive_and_Inductive_Methods_in_Qualitative_Research" TargetMode="External"/><Relationship Id="rId203"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2026-05-06T00:00:00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A12EF42-CA01-410A-9034-F0F88FD6BF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351</TotalTime>
  <Pages>82</Pages>
  <Words>25172</Words>
  <Characters>143486</Characters>
  <Application>Microsoft Office Word</Application>
  <DocSecurity>0</DocSecurity>
  <Lines>1195</Lines>
  <Paragraphs>336</Paragraphs>
  <ScaleCrop>false</ScaleCrop>
  <HeadingPairs>
    <vt:vector size="2" baseType="variant">
      <vt:variant>
        <vt:lpstr>Title</vt:lpstr>
      </vt:variant>
      <vt:variant>
        <vt:i4>1</vt:i4>
      </vt:variant>
    </vt:vector>
  </HeadingPairs>
  <TitlesOfParts>
    <vt:vector size="1" baseType="lpstr">
      <vt:lpstr>Research Proposal Report</vt:lpstr>
    </vt:vector>
  </TitlesOfParts>
  <Company/>
  <LinksUpToDate>false</LinksUpToDate>
  <CharactersWithSpaces>168322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Report</dc:title>
  <dc:subject>How Part-Time Working Women Can Advance in a UK Warehouse Research Proposal</dc:subject>
  <dc:creator>Sandra Diana Boscaneanu (2016826)</dc:creator>
  <cp:keywords/>
  <dc:description/>
  <cp:lastModifiedBy>Sandra Diana Boscaneanu (2016826)</cp:lastModifiedBy>
  <cp:revision>109</cp:revision>
  <dcterms:created xsi:type="dcterms:W3CDTF">2026-05-03T20:28:00Z</dcterms:created>
  <dcterms:modified xsi:type="dcterms:W3CDTF">2026-05-06T13:42:00Z</dcterms:modified>
</cp:coreProperties>
</file>