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eastAsia="Times New Roman"/>
          <w:b/>
          <w:bCs/>
        </w:rPr>
      </w:pPr>
    </w:p>
    <w:p>
      <w:pPr>
        <w:jc w:val="center"/>
        <w:rPr>
          <w:rFonts w:eastAsia="Times New Roman"/>
          <w:b/>
          <w:bCs/>
        </w:rPr>
      </w:pPr>
    </w:p>
    <w:p>
      <w:pPr>
        <w:jc w:val="center"/>
        <w:rPr>
          <w:rFonts w:eastAsia="Times New Roman"/>
          <w:b/>
          <w:bCs/>
        </w:rPr>
      </w:pPr>
    </w:p>
    <w:p>
      <w:pPr>
        <w:jc w:val="center"/>
        <w:rPr>
          <w:rFonts w:eastAsia="Times New Roman"/>
          <w:b/>
          <w:bCs/>
        </w:rPr>
      </w:pPr>
    </w:p>
    <w:p>
      <w:pPr>
        <w:jc w:val="center"/>
        <w:rPr>
          <w:rFonts w:eastAsia="Times New Roman"/>
          <w:b/>
          <w:bCs/>
        </w:rPr>
      </w:pPr>
    </w:p>
    <w:p>
      <w:pPr>
        <w:jc w:val="center"/>
        <w:rPr>
          <w:rFonts w:eastAsia="Times New Roman"/>
          <w:b/>
          <w:bCs/>
        </w:rPr>
      </w:pPr>
    </w:p>
    <w:p>
      <w:pPr>
        <w:jc w:val="center"/>
        <w:rPr>
          <w:rFonts w:eastAsia="Times New Roman"/>
          <w:b/>
          <w:bCs/>
        </w:rPr>
      </w:pPr>
    </w:p>
    <w:p>
      <w:pPr>
        <w:jc w:val="center"/>
        <w:rPr>
          <w:rFonts w:eastAsia="Times New Roman"/>
          <w:b/>
          <w:bCs/>
        </w:rPr>
      </w:pPr>
    </w:p>
    <w:p>
      <w:pPr>
        <w:jc w:val="center"/>
        <w:rPr>
          <w:rFonts w:eastAsia="Times New Roman"/>
          <w:b/>
          <w:bCs/>
        </w:rPr>
      </w:pPr>
    </w:p>
    <w:p>
      <w:pPr>
        <w:jc w:val="center"/>
        <w:rPr>
          <w:rFonts w:hint="default" w:eastAsia="宋体"/>
          <w:b/>
          <w:bCs/>
          <w:lang w:val="en-US" w:eastAsia="zh-CN"/>
        </w:rPr>
      </w:pPr>
      <w:r>
        <w:rPr>
          <w:rFonts w:eastAsia="Times New Roman"/>
          <w:b/>
          <w:bCs/>
        </w:rPr>
        <w:t xml:space="preserve">CORPORATE SOCIAL RESPONSIBILITY IN THE PUBLIC SECTOR- CLIMATE </w:t>
      </w:r>
      <w:r>
        <w:rPr>
          <w:rFonts w:hint="eastAsia" w:eastAsia="宋体"/>
          <w:b/>
          <w:bCs/>
          <w:lang w:val="en-US" w:eastAsia="zh-CN"/>
        </w:rPr>
        <w:t>CHANGE</w:t>
      </w:r>
    </w:p>
    <w:p>
      <w:pPr>
        <w:jc w:val="center"/>
        <w:rPr>
          <w:rFonts w:hint="default" w:eastAsia="宋体"/>
          <w:b/>
          <w:bCs/>
          <w:lang w:val="en-US" w:eastAsia="zh-CN"/>
        </w:rPr>
      </w:pPr>
    </w:p>
    <w:p>
      <w:pPr>
        <w:jc w:val="both"/>
        <w:rPr>
          <w:rFonts w:hint="default" w:eastAsia="宋体"/>
          <w:b/>
          <w:bCs/>
          <w:lang w:val="en-US" w:eastAsia="zh-CN"/>
        </w:rPr>
      </w:pPr>
    </w:p>
    <w:p>
      <w:pPr>
        <w:jc w:val="center"/>
        <w:rPr>
          <w:rFonts w:hint="default"/>
          <w:bCs/>
          <w:lang w:val="en-GB"/>
        </w:rPr>
      </w:pPr>
      <w:r>
        <w:rPr>
          <w:bCs/>
        </w:rPr>
        <w:t>Student Name</w:t>
      </w:r>
      <w:r>
        <w:rPr>
          <w:rFonts w:hint="default"/>
          <w:bCs/>
          <w:lang w:val="en-GB"/>
        </w:rPr>
        <w:t xml:space="preserve">:SiXiang Chen </w:t>
      </w:r>
    </w:p>
    <w:p>
      <w:pPr>
        <w:jc w:val="center"/>
        <w:rPr>
          <w:rFonts w:hint="default"/>
          <w:bCs/>
          <w:lang w:val="en-GB"/>
        </w:rPr>
      </w:pPr>
      <w:r>
        <w:rPr>
          <w:rFonts w:hint="default"/>
          <w:bCs/>
          <w:lang w:val="en-GB"/>
        </w:rPr>
        <w:t>Student number:1900930</w:t>
      </w:r>
    </w:p>
    <w:p>
      <w:pPr>
        <w:jc w:val="center"/>
        <w:rPr>
          <w:rFonts w:hint="default"/>
          <w:bCs/>
          <w:lang w:val="en-GB"/>
        </w:rPr>
      </w:pPr>
      <w:r>
        <w:rPr>
          <w:bCs/>
        </w:rPr>
        <w:t>University</w:t>
      </w:r>
      <w:r>
        <w:rPr>
          <w:rFonts w:hint="default"/>
          <w:bCs/>
          <w:lang w:val="en-GB"/>
        </w:rPr>
        <w:t>:</w:t>
      </w:r>
      <w:r>
        <w:rPr>
          <w:rFonts w:hint="eastAsia" w:eastAsia="宋体" w:cs="Times New Roman"/>
          <w:szCs w:val="24"/>
          <w:lang w:val="en-US" w:eastAsia="zh-CN"/>
        </w:rPr>
        <w:t>University of Walrs Trinity saint David</w:t>
      </w:r>
    </w:p>
    <w:p>
      <w:pPr>
        <w:pStyle w:val="2"/>
        <w:rPr>
          <w:szCs w:val="24"/>
        </w:rPr>
        <w:sectPr>
          <w:headerReference r:id="rId4" w:type="first"/>
          <w:footerReference r:id="rId6" w:type="first"/>
          <w:headerReference r:id="rId3" w:type="default"/>
          <w:footerReference r:id="rId5" w:type="default"/>
          <w:pgSz w:w="12240" w:h="15840"/>
          <w:pgMar w:top="1440" w:right="1440" w:bottom="1440" w:left="1440" w:header="720" w:footer="720" w:gutter="0"/>
          <w:pgNumType w:fmt="decimal"/>
          <w:cols w:space="720" w:num="1"/>
          <w:titlePg/>
          <w:docGrid w:linePitch="360" w:charSpace="0"/>
        </w:sectPr>
      </w:pPr>
      <w:bookmarkStart w:id="0" w:name="_Toc38063350"/>
    </w:p>
    <w:p>
      <w:pPr>
        <w:pStyle w:val="2"/>
        <w:rPr>
          <w:szCs w:val="24"/>
        </w:rPr>
      </w:pPr>
      <w:r>
        <w:rPr>
          <w:szCs w:val="24"/>
        </w:rPr>
        <w:t>Executive Summary</w:t>
      </w:r>
      <w:bookmarkEnd w:id="0"/>
    </w:p>
    <w:p>
      <w:pPr>
        <w:rPr>
          <w:rFonts w:eastAsia="Times New Roman"/>
          <w:b/>
          <w:bCs/>
        </w:rPr>
      </w:pPr>
      <w:r>
        <w:rPr>
          <w:rFonts w:eastAsia="Times New Roman"/>
        </w:rPr>
        <w:t>Climate change is one of the biggest challenges faced in the world. The following report is written to analyse the role of the public sector in implementing policies of climate change. The government is an important public sector body which plays a vital role in implementing policies towards sustainable development. Several barriers to sustainable development are overcome by government. The effectiveness of the initiatives conducted by the government are studied. It is found that the programs and policies developed by the government focus on different aspects of climate change. However, collaboration and integration of the functions of different government bodies is crucial for the successful implementation of these policies. The successes and failures of the policies are discussed. The public sector faces several challenges while achieving sustainable goals. The report concludes with a summary of the findings. Recommendations for the improvement of government measures are also provided at the end of the report.</w:t>
      </w:r>
      <w:r>
        <w:rPr>
          <w:rFonts w:eastAsia="Times New Roman"/>
          <w:b/>
          <w:bCs/>
        </w:rPr>
        <w:t xml:space="preserve"> </w:t>
      </w:r>
    </w:p>
    <w:p>
      <w:pPr>
        <w:jc w:val="center"/>
        <w:rPr>
          <w:b/>
        </w:rPr>
        <w:sectPr>
          <w:footerReference r:id="rId8" w:type="first"/>
          <w:footerReference r:id="rId7" w:type="default"/>
          <w:pgSz w:w="12240" w:h="15840"/>
          <w:pgMar w:top="1440" w:right="1440" w:bottom="1440" w:left="1440" w:header="720" w:footer="720" w:gutter="0"/>
          <w:pgNumType w:fmt="decimal" w:start="0"/>
          <w:cols w:space="720" w:num="1"/>
          <w:titlePg/>
          <w:docGrid w:linePitch="360" w:charSpace="0"/>
        </w:sectPr>
      </w:pPr>
    </w:p>
    <w:sdt>
      <w:sdtPr>
        <w:rPr>
          <w:b/>
        </w:rPr>
        <w:id w:val="-1344241245"/>
        <w:docPartObj>
          <w:docPartGallery w:val="Table of Contents"/>
          <w:docPartUnique/>
        </w:docPartObj>
      </w:sdtPr>
      <w:sdtEndPr>
        <w:rPr>
          <w:b/>
          <w:bCs/>
        </w:rPr>
      </w:sdtEndPr>
      <w:sdtContent>
        <w:p>
          <w:pPr>
            <w:jc w:val="center"/>
            <w:rPr>
              <w:b/>
            </w:rPr>
          </w:pPr>
          <w:r>
            <w:rPr>
              <w:b/>
            </w:rPr>
            <w:t>Table of Contents</w:t>
          </w:r>
        </w:p>
        <w:p>
          <w:pPr>
            <w:pStyle w:val="12"/>
            <w:tabs>
              <w:tab w:val="right" w:leader="dot" w:pos="9350"/>
            </w:tabs>
            <w:rPr>
              <w:rFonts w:ascii="Times New Roman" w:hAnsi="Times New Roman" w:eastAsiaTheme="minorEastAsia"/>
              <w:b w:val="0"/>
              <w:bCs w:val="0"/>
              <w:i w:val="0"/>
              <w:iCs w:val="0"/>
              <w:lang w:val="en-IN"/>
            </w:rPr>
          </w:pPr>
          <w:r>
            <w:rPr>
              <w:rFonts w:ascii="Times New Roman" w:hAnsi="Times New Roman"/>
              <w:b w:val="0"/>
              <w:bCs w:val="0"/>
              <w:i w:val="0"/>
              <w:iCs w:val="0"/>
            </w:rPr>
            <w:fldChar w:fldCharType="begin"/>
          </w:r>
          <w:r>
            <w:rPr>
              <w:rFonts w:ascii="Times New Roman" w:hAnsi="Times New Roman"/>
              <w:i w:val="0"/>
              <w:iCs w:val="0"/>
            </w:rPr>
            <w:instrText xml:space="preserve"> TOC \o "1-3" \h \z \u </w:instrText>
          </w:r>
          <w:r>
            <w:rPr>
              <w:rFonts w:ascii="Times New Roman" w:hAnsi="Times New Roman"/>
              <w:b w:val="0"/>
              <w:bCs w:val="0"/>
              <w:i w:val="0"/>
              <w:iCs w:val="0"/>
            </w:rPr>
            <w:fldChar w:fldCharType="separate"/>
          </w:r>
          <w:r>
            <w:fldChar w:fldCharType="begin"/>
          </w:r>
          <w:r>
            <w:instrText xml:space="preserve"> HYPERLINK \l "_Toc38063350" </w:instrText>
          </w:r>
          <w:r>
            <w:fldChar w:fldCharType="separate"/>
          </w:r>
          <w:r>
            <w:rPr>
              <w:rStyle w:val="20"/>
              <w:rFonts w:ascii="Times New Roman" w:hAnsi="Times New Roman"/>
              <w:i w:val="0"/>
              <w:iCs w:val="0"/>
            </w:rPr>
            <w:t>Executive Summary</w:t>
          </w:r>
          <w:r>
            <w:rPr>
              <w:rFonts w:ascii="Times New Roman" w:hAnsi="Times New Roman"/>
              <w:i w:val="0"/>
              <w:iCs w:val="0"/>
            </w:rPr>
            <w:tab/>
          </w:r>
          <w:r>
            <w:rPr>
              <w:rFonts w:ascii="Times New Roman" w:hAnsi="Times New Roman"/>
              <w:i w:val="0"/>
              <w:iCs w:val="0"/>
            </w:rPr>
            <w:fldChar w:fldCharType="begin"/>
          </w:r>
          <w:r>
            <w:rPr>
              <w:rFonts w:ascii="Times New Roman" w:hAnsi="Times New Roman"/>
              <w:i w:val="0"/>
              <w:iCs w:val="0"/>
            </w:rPr>
            <w:instrText xml:space="preserve"> PAGEREF _Toc38063350 \h </w:instrText>
          </w:r>
          <w:r>
            <w:rPr>
              <w:rFonts w:ascii="Times New Roman" w:hAnsi="Times New Roman"/>
              <w:i w:val="0"/>
              <w:iCs w:val="0"/>
            </w:rPr>
            <w:fldChar w:fldCharType="separate"/>
          </w:r>
          <w:r>
            <w:rPr>
              <w:rFonts w:ascii="Times New Roman" w:hAnsi="Times New Roman"/>
              <w:i w:val="0"/>
              <w:iCs w:val="0"/>
            </w:rPr>
            <w:t>0</w:t>
          </w:r>
          <w:r>
            <w:rPr>
              <w:rFonts w:ascii="Times New Roman" w:hAnsi="Times New Roman"/>
              <w:i w:val="0"/>
              <w:iCs w:val="0"/>
            </w:rPr>
            <w:fldChar w:fldCharType="end"/>
          </w:r>
          <w:r>
            <w:rPr>
              <w:rFonts w:ascii="Times New Roman" w:hAnsi="Times New Roman"/>
              <w:i w:val="0"/>
              <w:iCs w:val="0"/>
            </w:rPr>
            <w:fldChar w:fldCharType="end"/>
          </w:r>
        </w:p>
        <w:p>
          <w:pPr>
            <w:pStyle w:val="12"/>
            <w:tabs>
              <w:tab w:val="right" w:leader="dot" w:pos="9350"/>
            </w:tabs>
            <w:rPr>
              <w:rFonts w:ascii="Times New Roman" w:hAnsi="Times New Roman" w:eastAsiaTheme="minorEastAsia"/>
              <w:b w:val="0"/>
              <w:bCs w:val="0"/>
              <w:i w:val="0"/>
              <w:iCs w:val="0"/>
              <w:lang w:val="en-IN"/>
            </w:rPr>
          </w:pPr>
          <w:r>
            <w:fldChar w:fldCharType="begin"/>
          </w:r>
          <w:r>
            <w:instrText xml:space="preserve"> HYPERLINK \l "_Toc38063351" </w:instrText>
          </w:r>
          <w:r>
            <w:fldChar w:fldCharType="separate"/>
          </w:r>
          <w:r>
            <w:rPr>
              <w:rStyle w:val="20"/>
              <w:rFonts w:ascii="Times New Roman" w:hAnsi="Times New Roman"/>
              <w:i w:val="0"/>
              <w:iCs w:val="0"/>
            </w:rPr>
            <w:t>Introduction</w:t>
          </w:r>
          <w:r>
            <w:rPr>
              <w:rFonts w:ascii="Times New Roman" w:hAnsi="Times New Roman"/>
              <w:i w:val="0"/>
              <w:iCs w:val="0"/>
            </w:rPr>
            <w:tab/>
          </w:r>
          <w:r>
            <w:rPr>
              <w:rFonts w:ascii="Times New Roman" w:hAnsi="Times New Roman"/>
              <w:i w:val="0"/>
              <w:iCs w:val="0"/>
            </w:rPr>
            <w:fldChar w:fldCharType="begin"/>
          </w:r>
          <w:r>
            <w:rPr>
              <w:rFonts w:ascii="Times New Roman" w:hAnsi="Times New Roman"/>
              <w:i w:val="0"/>
              <w:iCs w:val="0"/>
            </w:rPr>
            <w:instrText xml:space="preserve"> PAGEREF _Toc38063351 \h </w:instrText>
          </w:r>
          <w:r>
            <w:rPr>
              <w:rFonts w:ascii="Times New Roman" w:hAnsi="Times New Roman"/>
              <w:i w:val="0"/>
              <w:iCs w:val="0"/>
            </w:rPr>
            <w:fldChar w:fldCharType="separate"/>
          </w:r>
          <w:r>
            <w:rPr>
              <w:rFonts w:ascii="Times New Roman" w:hAnsi="Times New Roman"/>
              <w:i w:val="0"/>
              <w:iCs w:val="0"/>
            </w:rPr>
            <w:t>1</w:t>
          </w:r>
          <w:r>
            <w:rPr>
              <w:rFonts w:ascii="Times New Roman" w:hAnsi="Times New Roman"/>
              <w:i w:val="0"/>
              <w:iCs w:val="0"/>
            </w:rPr>
            <w:fldChar w:fldCharType="end"/>
          </w:r>
          <w:r>
            <w:rPr>
              <w:rFonts w:ascii="Times New Roman" w:hAnsi="Times New Roman"/>
              <w:i w:val="0"/>
              <w:iCs w:val="0"/>
            </w:rPr>
            <w:fldChar w:fldCharType="end"/>
          </w:r>
        </w:p>
        <w:p>
          <w:pPr>
            <w:pStyle w:val="12"/>
            <w:tabs>
              <w:tab w:val="right" w:leader="dot" w:pos="9350"/>
            </w:tabs>
            <w:rPr>
              <w:rFonts w:ascii="Times New Roman" w:hAnsi="Times New Roman" w:eastAsiaTheme="minorEastAsia"/>
              <w:b w:val="0"/>
              <w:bCs w:val="0"/>
              <w:i w:val="0"/>
              <w:iCs w:val="0"/>
              <w:lang w:val="en-IN"/>
            </w:rPr>
          </w:pPr>
          <w:r>
            <w:fldChar w:fldCharType="begin"/>
          </w:r>
          <w:r>
            <w:instrText xml:space="preserve"> HYPERLINK \l "_Toc38063352" </w:instrText>
          </w:r>
          <w:r>
            <w:fldChar w:fldCharType="separate"/>
          </w:r>
          <w:r>
            <w:rPr>
              <w:rStyle w:val="20"/>
              <w:rFonts w:ascii="Times New Roman" w:hAnsi="Times New Roman"/>
              <w:i w:val="0"/>
              <w:iCs w:val="0"/>
            </w:rPr>
            <w:t>Method</w:t>
          </w:r>
          <w:r>
            <w:rPr>
              <w:rFonts w:ascii="Times New Roman" w:hAnsi="Times New Roman"/>
              <w:i w:val="0"/>
              <w:iCs w:val="0"/>
            </w:rPr>
            <w:tab/>
          </w:r>
          <w:r>
            <w:rPr>
              <w:rFonts w:ascii="Times New Roman" w:hAnsi="Times New Roman"/>
              <w:i w:val="0"/>
              <w:iCs w:val="0"/>
            </w:rPr>
            <w:fldChar w:fldCharType="begin"/>
          </w:r>
          <w:r>
            <w:rPr>
              <w:rFonts w:ascii="Times New Roman" w:hAnsi="Times New Roman"/>
              <w:i w:val="0"/>
              <w:iCs w:val="0"/>
            </w:rPr>
            <w:instrText xml:space="preserve"> PAGEREF _Toc38063352 \h </w:instrText>
          </w:r>
          <w:r>
            <w:rPr>
              <w:rFonts w:ascii="Times New Roman" w:hAnsi="Times New Roman"/>
              <w:i w:val="0"/>
              <w:iCs w:val="0"/>
            </w:rPr>
            <w:fldChar w:fldCharType="separate"/>
          </w:r>
          <w:r>
            <w:rPr>
              <w:rFonts w:ascii="Times New Roman" w:hAnsi="Times New Roman"/>
              <w:i w:val="0"/>
              <w:iCs w:val="0"/>
            </w:rPr>
            <w:t>1</w:t>
          </w:r>
          <w:r>
            <w:rPr>
              <w:rFonts w:ascii="Times New Roman" w:hAnsi="Times New Roman"/>
              <w:i w:val="0"/>
              <w:iCs w:val="0"/>
            </w:rPr>
            <w:fldChar w:fldCharType="end"/>
          </w:r>
          <w:r>
            <w:rPr>
              <w:rFonts w:ascii="Times New Roman" w:hAnsi="Times New Roman"/>
              <w:i w:val="0"/>
              <w:iCs w:val="0"/>
            </w:rPr>
            <w:fldChar w:fldCharType="end"/>
          </w:r>
        </w:p>
        <w:p>
          <w:pPr>
            <w:pStyle w:val="12"/>
            <w:tabs>
              <w:tab w:val="right" w:leader="dot" w:pos="9350"/>
            </w:tabs>
            <w:rPr>
              <w:rFonts w:ascii="Times New Roman" w:hAnsi="Times New Roman" w:eastAsiaTheme="minorEastAsia"/>
              <w:b w:val="0"/>
              <w:bCs w:val="0"/>
              <w:i w:val="0"/>
              <w:iCs w:val="0"/>
              <w:lang w:val="en-IN"/>
            </w:rPr>
          </w:pPr>
          <w:r>
            <w:fldChar w:fldCharType="begin"/>
          </w:r>
          <w:r>
            <w:instrText xml:space="preserve"> HYPERLINK \l "_Toc38063353" </w:instrText>
          </w:r>
          <w:r>
            <w:fldChar w:fldCharType="separate"/>
          </w:r>
          <w:r>
            <w:rPr>
              <w:rStyle w:val="20"/>
              <w:rFonts w:ascii="Times New Roman" w:hAnsi="Times New Roman"/>
              <w:i w:val="0"/>
              <w:iCs w:val="0"/>
            </w:rPr>
            <w:t>Findings</w:t>
          </w:r>
          <w:r>
            <w:rPr>
              <w:rFonts w:ascii="Times New Roman" w:hAnsi="Times New Roman"/>
              <w:i w:val="0"/>
              <w:iCs w:val="0"/>
            </w:rPr>
            <w:tab/>
          </w:r>
          <w:r>
            <w:rPr>
              <w:rFonts w:ascii="Times New Roman" w:hAnsi="Times New Roman"/>
              <w:i w:val="0"/>
              <w:iCs w:val="0"/>
            </w:rPr>
            <w:fldChar w:fldCharType="begin"/>
          </w:r>
          <w:r>
            <w:rPr>
              <w:rFonts w:ascii="Times New Roman" w:hAnsi="Times New Roman"/>
              <w:i w:val="0"/>
              <w:iCs w:val="0"/>
            </w:rPr>
            <w:instrText xml:space="preserve"> PAGEREF _Toc38063353 \h </w:instrText>
          </w:r>
          <w:r>
            <w:rPr>
              <w:rFonts w:ascii="Times New Roman" w:hAnsi="Times New Roman"/>
              <w:i w:val="0"/>
              <w:iCs w:val="0"/>
            </w:rPr>
            <w:fldChar w:fldCharType="separate"/>
          </w:r>
          <w:r>
            <w:rPr>
              <w:rFonts w:ascii="Times New Roman" w:hAnsi="Times New Roman"/>
              <w:i w:val="0"/>
              <w:iCs w:val="0"/>
            </w:rPr>
            <w:t>1</w:t>
          </w:r>
          <w:r>
            <w:rPr>
              <w:rFonts w:ascii="Times New Roman" w:hAnsi="Times New Roman"/>
              <w:i w:val="0"/>
              <w:iCs w:val="0"/>
            </w:rPr>
            <w:fldChar w:fldCharType="end"/>
          </w:r>
          <w:r>
            <w:rPr>
              <w:rFonts w:ascii="Times New Roman" w:hAnsi="Times New Roman"/>
              <w:i w:val="0"/>
              <w:iCs w:val="0"/>
            </w:rPr>
            <w:fldChar w:fldCharType="end"/>
          </w:r>
        </w:p>
        <w:p>
          <w:pPr>
            <w:pStyle w:val="12"/>
            <w:tabs>
              <w:tab w:val="right" w:leader="dot" w:pos="9350"/>
            </w:tabs>
            <w:rPr>
              <w:rFonts w:ascii="Times New Roman" w:hAnsi="Times New Roman" w:eastAsiaTheme="minorEastAsia"/>
              <w:b w:val="0"/>
              <w:bCs w:val="0"/>
              <w:i w:val="0"/>
              <w:iCs w:val="0"/>
              <w:lang w:val="en-IN"/>
            </w:rPr>
          </w:pPr>
          <w:r>
            <w:fldChar w:fldCharType="begin"/>
          </w:r>
          <w:r>
            <w:instrText xml:space="preserve"> HYPERLINK \l "_Toc38063354" </w:instrText>
          </w:r>
          <w:r>
            <w:fldChar w:fldCharType="separate"/>
          </w:r>
          <w:r>
            <w:rPr>
              <w:rStyle w:val="20"/>
              <w:rFonts w:ascii="Times New Roman" w:hAnsi="Times New Roman"/>
              <w:i w:val="0"/>
              <w:iCs w:val="0"/>
            </w:rPr>
            <w:t>Discussion</w:t>
          </w:r>
          <w:r>
            <w:rPr>
              <w:rFonts w:ascii="Times New Roman" w:hAnsi="Times New Roman"/>
              <w:i w:val="0"/>
              <w:iCs w:val="0"/>
            </w:rPr>
            <w:tab/>
          </w:r>
          <w:r>
            <w:rPr>
              <w:rFonts w:ascii="Times New Roman" w:hAnsi="Times New Roman"/>
              <w:i w:val="0"/>
              <w:iCs w:val="0"/>
            </w:rPr>
            <w:fldChar w:fldCharType="begin"/>
          </w:r>
          <w:r>
            <w:rPr>
              <w:rFonts w:ascii="Times New Roman" w:hAnsi="Times New Roman"/>
              <w:i w:val="0"/>
              <w:iCs w:val="0"/>
            </w:rPr>
            <w:instrText xml:space="preserve"> PAGEREF _Toc38063354 \h </w:instrText>
          </w:r>
          <w:r>
            <w:rPr>
              <w:rFonts w:ascii="Times New Roman" w:hAnsi="Times New Roman"/>
              <w:i w:val="0"/>
              <w:iCs w:val="0"/>
            </w:rPr>
            <w:fldChar w:fldCharType="separate"/>
          </w:r>
          <w:r>
            <w:rPr>
              <w:rFonts w:ascii="Times New Roman" w:hAnsi="Times New Roman"/>
              <w:i w:val="0"/>
              <w:iCs w:val="0"/>
            </w:rPr>
            <w:t>5</w:t>
          </w:r>
          <w:r>
            <w:rPr>
              <w:rFonts w:ascii="Times New Roman" w:hAnsi="Times New Roman"/>
              <w:i w:val="0"/>
              <w:iCs w:val="0"/>
            </w:rPr>
            <w:fldChar w:fldCharType="end"/>
          </w:r>
          <w:r>
            <w:rPr>
              <w:rFonts w:ascii="Times New Roman" w:hAnsi="Times New Roman"/>
              <w:i w:val="0"/>
              <w:iCs w:val="0"/>
            </w:rPr>
            <w:fldChar w:fldCharType="end"/>
          </w:r>
        </w:p>
        <w:p>
          <w:pPr>
            <w:pStyle w:val="12"/>
            <w:tabs>
              <w:tab w:val="right" w:leader="dot" w:pos="9350"/>
            </w:tabs>
            <w:rPr>
              <w:rFonts w:ascii="Times New Roman" w:hAnsi="Times New Roman" w:eastAsiaTheme="minorEastAsia"/>
              <w:b w:val="0"/>
              <w:bCs w:val="0"/>
              <w:i w:val="0"/>
              <w:iCs w:val="0"/>
              <w:lang w:val="en-IN"/>
            </w:rPr>
          </w:pPr>
          <w:r>
            <w:fldChar w:fldCharType="begin"/>
          </w:r>
          <w:r>
            <w:instrText xml:space="preserve"> HYPERLINK \l "_Toc38063355" </w:instrText>
          </w:r>
          <w:r>
            <w:fldChar w:fldCharType="separate"/>
          </w:r>
          <w:r>
            <w:rPr>
              <w:rStyle w:val="20"/>
              <w:rFonts w:ascii="Times New Roman" w:hAnsi="Times New Roman"/>
              <w:i w:val="0"/>
              <w:iCs w:val="0"/>
            </w:rPr>
            <w:t>Conclusion</w:t>
          </w:r>
          <w:r>
            <w:rPr>
              <w:rFonts w:ascii="Times New Roman" w:hAnsi="Times New Roman"/>
              <w:i w:val="0"/>
              <w:iCs w:val="0"/>
            </w:rPr>
            <w:tab/>
          </w:r>
          <w:r>
            <w:rPr>
              <w:rFonts w:ascii="Times New Roman" w:hAnsi="Times New Roman"/>
              <w:i w:val="0"/>
              <w:iCs w:val="0"/>
            </w:rPr>
            <w:fldChar w:fldCharType="begin"/>
          </w:r>
          <w:r>
            <w:rPr>
              <w:rFonts w:ascii="Times New Roman" w:hAnsi="Times New Roman"/>
              <w:i w:val="0"/>
              <w:iCs w:val="0"/>
            </w:rPr>
            <w:instrText xml:space="preserve"> PAGEREF _Toc38063355 \h </w:instrText>
          </w:r>
          <w:r>
            <w:rPr>
              <w:rFonts w:ascii="Times New Roman" w:hAnsi="Times New Roman"/>
              <w:i w:val="0"/>
              <w:iCs w:val="0"/>
            </w:rPr>
            <w:fldChar w:fldCharType="separate"/>
          </w:r>
          <w:r>
            <w:rPr>
              <w:rFonts w:ascii="Times New Roman" w:hAnsi="Times New Roman"/>
              <w:i w:val="0"/>
              <w:iCs w:val="0"/>
            </w:rPr>
            <w:t>6</w:t>
          </w:r>
          <w:r>
            <w:rPr>
              <w:rFonts w:ascii="Times New Roman" w:hAnsi="Times New Roman"/>
              <w:i w:val="0"/>
              <w:iCs w:val="0"/>
            </w:rPr>
            <w:fldChar w:fldCharType="end"/>
          </w:r>
          <w:r>
            <w:rPr>
              <w:rFonts w:ascii="Times New Roman" w:hAnsi="Times New Roman"/>
              <w:i w:val="0"/>
              <w:iCs w:val="0"/>
            </w:rPr>
            <w:fldChar w:fldCharType="end"/>
          </w:r>
        </w:p>
        <w:p>
          <w:pPr>
            <w:pStyle w:val="12"/>
            <w:tabs>
              <w:tab w:val="right" w:leader="dot" w:pos="9350"/>
            </w:tabs>
            <w:rPr>
              <w:rFonts w:ascii="Times New Roman" w:hAnsi="Times New Roman" w:eastAsiaTheme="minorEastAsia"/>
              <w:b w:val="0"/>
              <w:bCs w:val="0"/>
              <w:i w:val="0"/>
              <w:iCs w:val="0"/>
              <w:lang w:val="en-IN"/>
            </w:rPr>
          </w:pPr>
          <w:r>
            <w:fldChar w:fldCharType="begin"/>
          </w:r>
          <w:r>
            <w:instrText xml:space="preserve"> HYPERLINK \l "_Toc38063356" </w:instrText>
          </w:r>
          <w:r>
            <w:fldChar w:fldCharType="separate"/>
          </w:r>
          <w:r>
            <w:rPr>
              <w:rStyle w:val="20"/>
              <w:rFonts w:ascii="Times New Roman" w:hAnsi="Times New Roman"/>
              <w:i w:val="0"/>
              <w:iCs w:val="0"/>
            </w:rPr>
            <w:t>Recommendations</w:t>
          </w:r>
          <w:r>
            <w:rPr>
              <w:rFonts w:ascii="Times New Roman" w:hAnsi="Times New Roman"/>
              <w:i w:val="0"/>
              <w:iCs w:val="0"/>
            </w:rPr>
            <w:tab/>
          </w:r>
          <w:r>
            <w:rPr>
              <w:rFonts w:ascii="Times New Roman" w:hAnsi="Times New Roman"/>
              <w:i w:val="0"/>
              <w:iCs w:val="0"/>
            </w:rPr>
            <w:fldChar w:fldCharType="begin"/>
          </w:r>
          <w:r>
            <w:rPr>
              <w:rFonts w:ascii="Times New Roman" w:hAnsi="Times New Roman"/>
              <w:i w:val="0"/>
              <w:iCs w:val="0"/>
            </w:rPr>
            <w:instrText xml:space="preserve"> PAGEREF _Toc38063356 \h </w:instrText>
          </w:r>
          <w:r>
            <w:rPr>
              <w:rFonts w:ascii="Times New Roman" w:hAnsi="Times New Roman"/>
              <w:i w:val="0"/>
              <w:iCs w:val="0"/>
            </w:rPr>
            <w:fldChar w:fldCharType="separate"/>
          </w:r>
          <w:r>
            <w:rPr>
              <w:rFonts w:ascii="Times New Roman" w:hAnsi="Times New Roman"/>
              <w:i w:val="0"/>
              <w:iCs w:val="0"/>
            </w:rPr>
            <w:t>7</w:t>
          </w:r>
          <w:r>
            <w:rPr>
              <w:rFonts w:ascii="Times New Roman" w:hAnsi="Times New Roman"/>
              <w:i w:val="0"/>
              <w:iCs w:val="0"/>
            </w:rPr>
            <w:fldChar w:fldCharType="end"/>
          </w:r>
          <w:r>
            <w:rPr>
              <w:rFonts w:ascii="Times New Roman" w:hAnsi="Times New Roman"/>
              <w:i w:val="0"/>
              <w:iCs w:val="0"/>
            </w:rPr>
            <w:fldChar w:fldCharType="end"/>
          </w:r>
        </w:p>
        <w:p>
          <w:pPr>
            <w:pStyle w:val="12"/>
            <w:tabs>
              <w:tab w:val="right" w:leader="dot" w:pos="9350"/>
            </w:tabs>
            <w:rPr>
              <w:rFonts w:ascii="Times New Roman" w:hAnsi="Times New Roman" w:eastAsiaTheme="minorEastAsia"/>
              <w:b w:val="0"/>
              <w:bCs w:val="0"/>
              <w:i w:val="0"/>
              <w:iCs w:val="0"/>
              <w:lang w:val="en-IN"/>
            </w:rPr>
          </w:pPr>
          <w:r>
            <w:fldChar w:fldCharType="begin"/>
          </w:r>
          <w:r>
            <w:instrText xml:space="preserve"> HYPERLINK \l "_Toc38063357" </w:instrText>
          </w:r>
          <w:r>
            <w:fldChar w:fldCharType="separate"/>
          </w:r>
          <w:r>
            <w:rPr>
              <w:rStyle w:val="20"/>
              <w:rFonts w:ascii="Times New Roman" w:hAnsi="Times New Roman"/>
              <w:i w:val="0"/>
              <w:iCs w:val="0"/>
            </w:rPr>
            <w:t>References</w:t>
          </w:r>
          <w:r>
            <w:rPr>
              <w:rFonts w:ascii="Times New Roman" w:hAnsi="Times New Roman"/>
              <w:i w:val="0"/>
              <w:iCs w:val="0"/>
            </w:rPr>
            <w:tab/>
          </w:r>
          <w:r>
            <w:rPr>
              <w:rFonts w:ascii="Times New Roman" w:hAnsi="Times New Roman"/>
              <w:i w:val="0"/>
              <w:iCs w:val="0"/>
            </w:rPr>
            <w:fldChar w:fldCharType="begin"/>
          </w:r>
          <w:r>
            <w:rPr>
              <w:rFonts w:ascii="Times New Roman" w:hAnsi="Times New Roman"/>
              <w:i w:val="0"/>
              <w:iCs w:val="0"/>
            </w:rPr>
            <w:instrText xml:space="preserve"> PAGEREF _Toc38063357 \h </w:instrText>
          </w:r>
          <w:r>
            <w:rPr>
              <w:rFonts w:ascii="Times New Roman" w:hAnsi="Times New Roman"/>
              <w:i w:val="0"/>
              <w:iCs w:val="0"/>
            </w:rPr>
            <w:fldChar w:fldCharType="separate"/>
          </w:r>
          <w:r>
            <w:rPr>
              <w:rFonts w:ascii="Times New Roman" w:hAnsi="Times New Roman"/>
              <w:i w:val="0"/>
              <w:iCs w:val="0"/>
            </w:rPr>
            <w:t>8</w:t>
          </w:r>
          <w:r>
            <w:rPr>
              <w:rFonts w:ascii="Times New Roman" w:hAnsi="Times New Roman"/>
              <w:i w:val="0"/>
              <w:iCs w:val="0"/>
            </w:rPr>
            <w:fldChar w:fldCharType="end"/>
          </w:r>
          <w:r>
            <w:rPr>
              <w:rFonts w:ascii="Times New Roman" w:hAnsi="Times New Roman"/>
              <w:i w:val="0"/>
              <w:iCs w:val="0"/>
            </w:rPr>
            <w:fldChar w:fldCharType="end"/>
          </w:r>
        </w:p>
        <w:p>
          <w:pPr>
            <w:rPr>
              <w:b/>
              <w:bCs/>
            </w:rPr>
          </w:pPr>
          <w:r>
            <w:rPr>
              <w:b/>
              <w:bCs/>
            </w:rPr>
            <w:fldChar w:fldCharType="end"/>
          </w:r>
        </w:p>
        <w:p>
          <w:pPr>
            <w:spacing w:after="0" w:line="240" w:lineRule="auto"/>
            <w:jc w:val="left"/>
            <w:rPr>
              <w:rFonts w:ascii="Times New Roman" w:hAnsi="Times New Roman" w:eastAsia="Calibri" w:cs="Times New Roman"/>
              <w:sz w:val="24"/>
              <w:szCs w:val="24"/>
              <w:lang w:val="en-GB" w:eastAsia="en-US" w:bidi="ar-SA"/>
            </w:rPr>
            <w:sectPr>
              <w:footerReference r:id="rId10" w:type="first"/>
              <w:footerReference r:id="rId9" w:type="default"/>
              <w:pgSz w:w="12240" w:h="15840"/>
              <w:pgMar w:top="1440" w:right="1440" w:bottom="1440" w:left="1440" w:header="720" w:footer="720" w:gutter="0"/>
              <w:pgNumType w:fmt="decimal" w:start="0"/>
              <w:cols w:space="720" w:num="1"/>
              <w:titlePg/>
              <w:docGrid w:linePitch="360" w:charSpace="0"/>
            </w:sectPr>
          </w:pPr>
          <w:r>
            <w:rPr>
              <w:b/>
              <w:bCs/>
            </w:rPr>
            <w:br w:type="page"/>
          </w:r>
          <w:bookmarkStart w:id="1" w:name="_Toc38063351"/>
        </w:p>
      </w:sdtContent>
    </w:sdt>
    <w:p>
      <w:pPr>
        <w:pStyle w:val="2"/>
        <w:rPr>
          <w:szCs w:val="24"/>
        </w:rPr>
      </w:pPr>
      <w:r>
        <w:rPr>
          <w:szCs w:val="24"/>
        </w:rPr>
        <w:t>Introduction</w:t>
      </w:r>
      <w:bookmarkEnd w:id="1"/>
    </w:p>
    <w:p>
      <w:r>
        <w:rPr>
          <w:rFonts w:eastAsia="Times New Roman"/>
        </w:rPr>
        <w:t xml:space="preserve">The earth's climate is continuously changing. The increase in emissions have caused the global temperatures to rise which has led to changes in weather patterns and rising sea levels. The role of the government is central in defining the roles and responsibilities of all the stakeholders in society towards the environment. Governments all over the world are actively promoting the agendas to curb the effects of climate change. The purpose of this essay is to study the importance of the role of public sector organisations in handling climate change issues. Government policies and directives provide a CSR framework to people. Governments have started viewing climate change as an important subject and are including it in their public policies (Callway, 2013). The inclusion of environmental protection in national objectives have enabled governments to enhance sustainability, promote overall development, increase national competitiveness and increase inflow of foreign investment (Gollagher and Hartz-Karp, 2013). The initiatives taken by different government bodies are listed and the effectiveness of these initiatives are discussed. The study concludes by summarizing the findings of the report and making recommendations for improvement. </w:t>
      </w:r>
    </w:p>
    <w:p>
      <w:pPr>
        <w:pStyle w:val="2"/>
        <w:rPr>
          <w:szCs w:val="24"/>
        </w:rPr>
      </w:pPr>
      <w:bookmarkStart w:id="2" w:name="_Toc38063352"/>
      <w:r>
        <w:rPr>
          <w:szCs w:val="24"/>
        </w:rPr>
        <w:t>Method</w:t>
      </w:r>
      <w:bookmarkEnd w:id="2"/>
    </w:p>
    <w:p>
      <w:r>
        <w:rPr>
          <w:rFonts w:eastAsia="Times New Roman"/>
        </w:rPr>
        <w:t xml:space="preserve">The project uses public sources for data collection. Secondary data is collected from books, journals, internet articles and databases. The literature in several articles are reviewed to analyse the impact of the public sector on corporate social responsibility goals. Reliable and valid data collected through this method helps us to adequately capture past developments on this topic. A critical evaluation of the information collected is done to draw conclusions and make relevant recommendations that are practical and logical to implement. </w:t>
      </w:r>
    </w:p>
    <w:p>
      <w:pPr>
        <w:pStyle w:val="2"/>
        <w:rPr>
          <w:szCs w:val="24"/>
        </w:rPr>
      </w:pPr>
      <w:bookmarkStart w:id="3" w:name="_Toc38063353"/>
      <w:r>
        <w:rPr>
          <w:szCs w:val="24"/>
        </w:rPr>
        <w:t>Findings</w:t>
      </w:r>
      <w:bookmarkEnd w:id="3"/>
    </w:p>
    <w:p>
      <w:r>
        <w:t xml:space="preserve">Social Responsibility is a collective approach taken by the different stakeholders of society in ensuring that the decisions and activities of the different stakeholders keep in mind environmental concerns. It is essential that ethical and transparent behaviour is promoted by society to ensure sustainable development for the welfare of society. The application of law and international norms need to be integrated by public bodies for the betterment of the society and the environment (Biermann, Kanie and Kim, 2017). The concept of CSR has become increasingly important in today's world due to globalization. It is found that the concept of social responsibility is constantly evolving due to the changing nature of issues. The role of the public sector in tackling climate change issues remains crucial. It is found that the government of different countries along with several other public bodies work in collaboration towards achieving the sustainable development goals of the United Nations. The leadership provided by the government is prominent in increasing awareness of the negative impacts of climate change. Governments are committed towards ensuring that society is continuously adapting to climate change (Montecalvo, Farneti and De Villiers, 2018). For this purpose, governments take several actions in design and implementing policies, programmes and investments that account for the impact of climate change. </w:t>
      </w:r>
    </w:p>
    <w:p>
      <w:r>
        <w:t>The complex relationship between macroeconomics and climate change has been found which needs to be kept in mind. The monetary impact of climate change will eventually be borne by the society at large thus, governments need to keep in mind the risk involved. The government can help reduce the risk by integrating national objectives with environmental objectives. A decentralised approach based on the efficient distribution of resources would ensure that the policies of the government are successful (Ansell and Gash, 2018). Developing strong support from local and regional bodies enables the government to create an environment in which strategies to reduce environmental impact can be adopted. The role of the public sector involves the creation of a framework that sets targets and incentives across different organizations towards sustainable practices (Bodin, 2017). Governments promote coordination of activities at local, regional and national level. By raising funds and providing information on sustainable development practices the government would be able to incorporate adaptation into their strategies and processes (VijayaVenkataRaman et. al., 2012). It is found that the government already takes several initiatives in key areas that are affected by climate change due to the nature of goods or ownership terms. The federal government passes numerous laws and regulations regarding the protection of the natural environment. It also creates regulations to enforce those laws. The government also has the authority to delegate responsibilities to the state governments in this aspect. The vast scope of activities of the government has made the involvement of public sectors in planning climate change initiatives vital (Bendell, Miller and Wortmann, 2011). The governments ensure that the regulatory policies keep in mind the risk due to climate change.</w:t>
      </w:r>
    </w:p>
    <w:p>
      <w:r>
        <w:rPr>
          <w:rFonts w:eastAsia="Times New Roman"/>
        </w:rPr>
        <w:t xml:space="preserve"> The integration of such measures at a national level have a ripple effect on regional development agencies and local authorities. The government builds the adaptive capacity of people by providing the tools and necessary support required for sustainable practices (Powell, 2017). Initiatives taken by the U.S government involve the creation of the U.S Climate Resilience Toolkit. This toolkit lays down the processes and steps for communities to identify, assess and confront climate change issues. Resources in the form of data, tools and case studies across the globe are given to the people so that they are able put their plans into action. The government also conducts climate adaptation training to local governments (Aldy and Pizer, 2015). Community based training on climate change also helps people to plan and strategize towards sustainable development activities (Klein, et. al., 2018). The main purpose of this toolkit was to ensure that many states in the country were able to have resources to assist their communities in adapting to the changing climate. The Environmental Protection Agency of the U.S has launched several projects for sustainable usage of energy sources. The EPA also sponsors and coordinates research on a wide range of issues associated with climate change. Most of the efforts of the EPA are directed towards the regulation of green-house gases. One major initiative taken by the EPA is called the 'Energy Star' which is a voluntary program that encourages low energy demand designs for buildings and appliances (Environmental Protection Agency, 2020). The company also runs an Environmental Technology Verification (ETV) Program that evaluates and checks the application of environmental technologies so that they can be applied by the general public.</w:t>
      </w:r>
    </w:p>
    <w:p>
      <w:r>
        <w:rPr>
          <w:rFonts w:eastAsia="Times New Roman"/>
        </w:rPr>
        <w:t xml:space="preserve"> Partnerships will federal agencies enable the EPA to improve their research on several theories such as ' Green Buildings'. The Creation of Resilient Water Utilities (CRWU) aimed at drinking water, wastewater and stormwater utilities. By providing practical training and assistance, infrastructure for long term water utilisation was developed. This helped the people to combat extreme weather conditions. Climate ready estuaries program launched by the coastal management community helps the government to identify groups vulnerable to rising sea levels (Duarte, et. al., 2013). A Superfund Climate Resilience Program launched by the EPA was developed to mitigate the effects of climate change on health. A screening analysis enabled EPA to understand the changes in the soil, sediments and groundwater due to climate changes. Technologies such as soil vapour extraction and bioremediation were used to treat systems. </w:t>
      </w:r>
    </w:p>
    <w:p>
      <w:r>
        <w:rPr>
          <w:rFonts w:eastAsia="Times New Roman"/>
        </w:rPr>
        <w:t xml:space="preserve">Waste management planning to reduce the impact of climate changes was also done by governments. As climate change is expected to produce more frequent and powerful disasters it is important for communities to plan for such incidents. By preparing for these disasters the effective removal of waste during or after such incidents can be done quickly. This would help in reducing the danger of fire, personal injury and diseases during and after such disasters. To maintain the indoor quality of products necessary structural changes, need to be made so that the designs of the buildings are able to withstand the environmental impact of climate change. The government has taken several measures to promote energy efficient homes and buildings so that the negative impact on health can be avoided. Some of the measures include source control, ventilation and air cleaning. Certain methods of ventilating buildings and maintaining acceptable thermal conditions can only be regulated by the government. To implement these methods the government has to plan the layout of its cities and modify strategies for future constructions. </w:t>
      </w:r>
    </w:p>
    <w:p>
      <w:r>
        <w:rPr>
          <w:rFonts w:eastAsia="Times New Roman"/>
        </w:rPr>
        <w:t xml:space="preserve">The Scottish government has also allocated funds to develop a 'Climate Solutions' qualification to help organisations to incorporate actions that have a positive impact in reversing the impact of climate change. Several policies and guidelines have also been released by the government to strategically lower carbon emissions. The National Institute of Health (NIH) is another such body that works along with the Department of Health and Human Services (HHS) to research on health impacts of climate change. The research conducted by these bodies helped us to understand and prepare the health effects of climate change so that the most healthy and efficient approach to climate change adaptation could be taken. The centre for Disease Control and Prevention (CDC) also takes many initiatives related to health towards climate change related policies. Tracking of data on disease occurrence due to changing environmental conditions is one of the functions performed by this organisation. The CDC also forecasts health effects that may be related to variations in the climate. A study of the scientific aspects of health and climate is also done by this body. The CDC blends initiatives of the health departments to assess, plan and build the capacity to respond to climate change in the health sector. The National Institute for Occupational Safety and Health (NIOSH) is another body that examines the health consequences of occupational environments. </w:t>
      </w:r>
    </w:p>
    <w:p>
      <w:r>
        <w:rPr>
          <w:rFonts w:eastAsia="Times New Roman"/>
        </w:rPr>
        <w:t>The effects of ' Green jobs' on health are studied by NIOSH which recognizes the conditions related to job designs that have an impact on energy resources. The NIOSH supports jobs that lead to activities that use energy efficiently and have a low impact on the environment. The Department of Energy (DOE) is another public organisation that addresses climate change by promoting programs that seek to reduce energy consumption (Purdy, 2012). The International Institute for Sustainable Development (IISD) is another such body that makes recommendations on economic policies and trade relations keeping in mind sustainable management of natural resources. The mission of this body is to use innovation as an important tool for sustainable development. It is found that the national competitive advantage of countries is higher by adopting policies that lead to sustainable development (Owusu and Asumadu-Sarkodie, 2016). The IISD works in collaboration with the World Business Council for Sustainable Development (WBCSD) to integrate corporate social responsibility at a global level. The role of the governments in business regulation is found to be essential. The governments build a base for business for compliance with legislation and regulations. Corporate governance is another important function performed by the government in regulating business activities (Bisogno and Cuadrado-Ballesteros, 2019). As businesses in the private and public sector play a pivotal role in job and wealth creation in society, they have a major impact on the utilisation of resources.</w:t>
      </w:r>
    </w:p>
    <w:p>
      <w:r>
        <w:rPr>
          <w:rFonts w:eastAsia="Times New Roman"/>
        </w:rPr>
        <w:t xml:space="preserve"> Several governments and intergovernmental bodies such as the Organisation for Economic Co-operation and Development (OECD) and International Labour Organisation (ILO) have developed several agreements and principles that define acceptable business conduct. These guidelines help the businesses in adhering to the internationally accepted environmental standards. Thus, it is found that several initiatives and programs have been launched by the government which aim at protecting the environment and reducing the impact of climate change from different aspects. </w:t>
      </w:r>
    </w:p>
    <w:p>
      <w:pPr>
        <w:pStyle w:val="2"/>
        <w:rPr>
          <w:szCs w:val="24"/>
        </w:rPr>
      </w:pPr>
      <w:bookmarkStart w:id="4" w:name="_Toc38063354"/>
      <w:r>
        <w:rPr>
          <w:szCs w:val="24"/>
        </w:rPr>
        <w:t>Discussion</w:t>
      </w:r>
      <w:bookmarkEnd w:id="4"/>
    </w:p>
    <w:p>
      <w:r>
        <w:rPr>
          <w:rFonts w:eastAsia="Times New Roman"/>
        </w:rPr>
        <w:t xml:space="preserve">Governments today face a number of challenges in implementing corporate social responsibility objectives. The findings above indicate that the efforts taken by the government bodies have been found to be successful in raising awareness among the people in relation to climate change. These initiatives have helped indigenous and remotely located people to be identified and protected against the changing environment conditions (Newig et. al., 2018). The integration of policies at a regional and national level have ensured that goals of environmental sustainability could be achieved. By tracking and monitoring climate changes the government was able to identify high risk areas and take necessary steps to mitigate the risk (O’Brien, 2018). It is found that the initiatives taken by the EPA have been successful. The EPA has been instrumental in setting policies priorities and enforcing laws that have made a positive impact on the planet (Currie and Walker, 2019). The activities of the EPA have also managed to inspire the environmental agencies in other countries by adopting effective methods of environmental protection measures. The 'Energy Star' program is cited as one of the most successful programs in helping the country to find and implement remedies for several global challenges such as ozone depletion and climate change. </w:t>
      </w:r>
    </w:p>
    <w:p>
      <w:r>
        <w:rPr>
          <w:rFonts w:eastAsia="Times New Roman"/>
        </w:rPr>
        <w:t xml:space="preserve">The EPA has also been successful in changing public perceptions towards waste generation. This has led to the rise of innovations that make use of waste to create energy and new products. It is found that by increasing public information about its activities the EPA has managed to operate in a transparent and ethical manner. It is found that the EPA initiatives have set high standards of environmental protection measures. By using technology, the organisation had managed to lower carbon emissions levels over a period of time. However, even though carbon emissions were lowered the use of technology caused an increase in mercury levels in the atmosphere. Thus, it can be concluded that technology benefited the environment to a certain extent beyond which a negative economic impact was created due to the extensive use of technology (Newbold et. al., 2018). A failure of the EPA was also found while executing their superfund program. Even though this program was designed to clean up the country's most contaminated areas two toxic areas were left out. High levels of lead dioxin, mercury and other toxic chemicals were found in these areas which posed a threat to the lives of the people living nearby. This case was concluded by providing environmental justice to the communities by the federal government. </w:t>
      </w:r>
    </w:p>
    <w:p>
      <w:pPr>
        <w:pStyle w:val="2"/>
        <w:rPr>
          <w:szCs w:val="24"/>
        </w:rPr>
      </w:pPr>
      <w:bookmarkStart w:id="5" w:name="_Toc38063355"/>
      <w:r>
        <w:rPr>
          <w:szCs w:val="24"/>
        </w:rPr>
        <w:t>Conclusion</w:t>
      </w:r>
      <w:bookmarkEnd w:id="5"/>
    </w:p>
    <w:p>
      <w:r>
        <w:rPr>
          <w:rFonts w:eastAsia="Times New Roman"/>
        </w:rPr>
        <w:t xml:space="preserve">The above analysis shows the importance of various public sector bodies in adopting an integrated approach towards factors that affect the climate. The report contributes to the existing research by analysing the role of the public sector in supporting adaptation to climate change. In order to promote sustainable development, planning to reduce the potential impact of climate change is essential for the government. The policies of the government are designed using adaptative strategies to reduce the risk of climate changes on society and business. The government initiatives reduce the pressure on essential services such as transport, energy, water and health care during disruptions caused during extreme weather conditions. Moreover, the government spreads awareness on the usage of resources. It is found that the initiatives taken by the government have a national, regional and local impact. The initiatives taken by government bodies in the form of programs ensure that long term goals of environmental sustainability are achieved. </w:t>
      </w:r>
    </w:p>
    <w:p>
      <w:pPr>
        <w:pStyle w:val="2"/>
        <w:rPr>
          <w:szCs w:val="24"/>
        </w:rPr>
      </w:pPr>
      <w:bookmarkStart w:id="6" w:name="_Toc38063356"/>
      <w:r>
        <w:rPr>
          <w:szCs w:val="24"/>
        </w:rPr>
        <w:t>Recommendations</w:t>
      </w:r>
      <w:bookmarkEnd w:id="6"/>
      <w:bookmarkStart w:id="8" w:name="_GoBack"/>
      <w:bookmarkEnd w:id="8"/>
    </w:p>
    <w:p>
      <w:r>
        <w:rPr>
          <w:rFonts w:eastAsia="Times New Roman"/>
        </w:rPr>
        <w:t xml:space="preserve">A number of policies and measures have already been implemented by the government to protect the environment against climate changes. These changes help the society directly or indirectly in adapting to environmental changes. It is recommended that the governments continuously conduct research and developmental activities so that the changes in the environment can be monitored. By keeping in mind, the environmental costs, the objectives of environmental sustainability should be formulated so that the utilisation of resources is at an optimal level. To improve participation of people it is recommended that the government creates consistent incentives across policies. </w:t>
      </w:r>
    </w:p>
    <w:p>
      <w:r>
        <w:br w:type="page"/>
      </w:r>
    </w:p>
    <w:p>
      <w:pPr>
        <w:pStyle w:val="2"/>
      </w:pPr>
      <w:bookmarkStart w:id="7" w:name="_Toc38063357"/>
      <w:r>
        <w:t>REFERENCES</w:t>
      </w:r>
      <w:bookmarkEnd w:id="7"/>
      <w:r>
        <w:t xml:space="preserve"> </w:t>
      </w:r>
    </w:p>
    <w:p>
      <w:pPr>
        <w:numPr>
          <w:ilvl w:val="0"/>
          <w:numId w:val="1"/>
        </w:numPr>
        <w:ind w:left="425" w:leftChars="0" w:hanging="425" w:firstLineChars="0"/>
        <w:jc w:val="left"/>
      </w:pPr>
      <w:r>
        <w:t>Aldy, J.E. and Pizer, W.A.(2015). The competitiveness impacts of climate change mitigation policies. Journal of the Association of Environmental and Resource Economists, 2(4), pp.565-595.</w:t>
      </w:r>
    </w:p>
    <w:p>
      <w:pPr>
        <w:numPr>
          <w:ilvl w:val="0"/>
          <w:numId w:val="1"/>
        </w:numPr>
        <w:ind w:left="425" w:leftChars="0" w:hanging="425" w:firstLineChars="0"/>
        <w:jc w:val="left"/>
      </w:pPr>
      <w:r>
        <w:t>Ansell, C. and Gash, A.(2018). Collaborative platforms as a governance strategy. Journal of Public Administration Research and Theory, 28(1), pp.16-32.</w:t>
      </w:r>
    </w:p>
    <w:p>
      <w:pPr>
        <w:numPr>
          <w:ilvl w:val="0"/>
          <w:numId w:val="1"/>
        </w:numPr>
        <w:ind w:left="425" w:leftChars="0" w:hanging="425" w:firstLineChars="0"/>
        <w:jc w:val="left"/>
      </w:pPr>
      <w:r>
        <w:t>Bendell, J., Miller, A. and Wortmann, K. (2011). Public policies for scaling corporate responsibility standards: Expanding collaborative governance for sustainable development. Sustainability Accounting, Management and Policy Journal, 2(2), pp.263-293.</w:t>
      </w:r>
    </w:p>
    <w:p>
      <w:pPr>
        <w:numPr>
          <w:ilvl w:val="0"/>
          <w:numId w:val="1"/>
        </w:numPr>
        <w:ind w:left="425" w:leftChars="0" w:hanging="425" w:firstLineChars="0"/>
        <w:jc w:val="left"/>
      </w:pPr>
      <w:r>
        <w:t>Biermann, F., Kanie, N. and Kim, R.E.(2017). Global governance by goal-setting: the novel approach of the UN Sustainable Development Goals. Current Opinion in Environmental Sustainability, 26, pp.26-31.</w:t>
      </w:r>
    </w:p>
    <w:p>
      <w:pPr>
        <w:numPr>
          <w:ilvl w:val="0"/>
          <w:numId w:val="1"/>
        </w:numPr>
        <w:ind w:left="425" w:leftChars="0" w:hanging="425" w:firstLineChars="0"/>
        <w:jc w:val="left"/>
      </w:pPr>
      <w:r>
        <w:t>Bisogno, M. and Cuadrado-Ballesteros, B.(2019). The Role of Public Sector Accounting on Financial Sustainability and Governmental Effectiveness. In Financial Sustainability of Public Sector Entities (pp. 123-144). Palgrave Macmillan, Cham.</w:t>
      </w:r>
    </w:p>
    <w:p>
      <w:pPr>
        <w:numPr>
          <w:ilvl w:val="0"/>
          <w:numId w:val="1"/>
        </w:numPr>
        <w:ind w:left="425" w:leftChars="0" w:hanging="425" w:firstLineChars="0"/>
        <w:jc w:val="left"/>
      </w:pPr>
      <w:r>
        <w:t>Bodin, Ö.(2017). Collaborative environmental governance: achieving collective action in social-ecological systems. Science, 357(6352), p. eaan1114.</w:t>
      </w:r>
    </w:p>
    <w:p>
      <w:pPr>
        <w:numPr>
          <w:ilvl w:val="0"/>
          <w:numId w:val="1"/>
        </w:numPr>
        <w:ind w:left="425" w:leftChars="0" w:hanging="425" w:firstLineChars="0"/>
        <w:jc w:val="left"/>
      </w:pPr>
      <w:r>
        <w:t>Callway, R.(2013). Governance for sustainable development: a foundation for the future. Earthscan.</w:t>
      </w:r>
    </w:p>
    <w:p>
      <w:pPr>
        <w:numPr>
          <w:ilvl w:val="0"/>
          <w:numId w:val="1"/>
        </w:numPr>
        <w:ind w:left="425" w:leftChars="0" w:hanging="425" w:firstLineChars="0"/>
        <w:jc w:val="left"/>
      </w:pPr>
      <w:r>
        <w:t>Currie, J. and Walker, R. (2019). What Do Economists Have to Say about the Clean Air Act 50 Years after the Establishment of the Environmental Protection Agency? Journal of Economic Perspectives, 33(4), pp.3-26.</w:t>
      </w:r>
    </w:p>
    <w:p>
      <w:pPr>
        <w:numPr>
          <w:ilvl w:val="0"/>
          <w:numId w:val="1"/>
        </w:numPr>
        <w:ind w:left="425" w:leftChars="0" w:hanging="425" w:firstLineChars="0"/>
        <w:jc w:val="left"/>
      </w:pPr>
      <w:r>
        <w:t>Duarte, C.M., Losada, I.J., Hendriks, I.E., Mazarrasa, I. and Marbà, N.(2013). The role of coastal plant communities for climate change mitigation and adaptation. Nature Climate Change, 3(11), pp.961-968.</w:t>
      </w:r>
    </w:p>
    <w:p>
      <w:pPr>
        <w:numPr>
          <w:ilvl w:val="0"/>
          <w:numId w:val="1"/>
        </w:numPr>
        <w:ind w:left="425" w:leftChars="0" w:hanging="425" w:firstLineChars="0"/>
        <w:jc w:val="left"/>
      </w:pPr>
      <w:r>
        <w:t>Gollagher, M. and Hartz-Karp, J.(2013). The role of deliberative collaborative governance in achieving sustainable cities. Sustainability, 5(6), pp.2343-2366.</w:t>
      </w:r>
    </w:p>
    <w:p>
      <w:pPr>
        <w:numPr>
          <w:ilvl w:val="0"/>
          <w:numId w:val="1"/>
        </w:numPr>
        <w:ind w:left="425" w:leftChars="0" w:hanging="425" w:firstLineChars="0"/>
        <w:jc w:val="left"/>
      </w:pPr>
      <w:r>
        <w:t>Klein, J., Araos, M., Karimo, A., Heikkinen, M., Ylä-Anttila, T. and Juhola, S.(2018). The role of the private sector and citizens in urban climate change adaptation: Evidence from a global assessment of large cities. Global environmental change, 53, pp.127-136.</w:t>
      </w:r>
    </w:p>
    <w:p>
      <w:pPr>
        <w:numPr>
          <w:ilvl w:val="0"/>
          <w:numId w:val="1"/>
        </w:numPr>
        <w:ind w:left="425" w:leftChars="0" w:hanging="425" w:firstLineChars="0"/>
        <w:jc w:val="left"/>
      </w:pPr>
      <w:r>
        <w:t>Montecalvo, M., Farneti, F. and De Villiers, C.(2018). The potential of integrated reporting to enhance sustainability reporting in the public sector. Public Money &amp; Management, 38(5), pp.365-374.</w:t>
      </w:r>
    </w:p>
    <w:p>
      <w:pPr>
        <w:numPr>
          <w:ilvl w:val="0"/>
          <w:numId w:val="1"/>
        </w:numPr>
        <w:ind w:left="425" w:leftChars="0" w:hanging="425" w:firstLineChars="0"/>
        <w:jc w:val="left"/>
      </w:pPr>
      <w:r>
        <w:t>Newbold, S., Simpson, R.D., Massey, D.M., Heberling, M.T., Wheeler, W., Corona, J. and Hewitt, J.(2018). Benefit transfer challenges: a US Environmental Protection Agency perspective. Environmental &amp; resource economics, 69(3), p.467.</w:t>
      </w:r>
    </w:p>
    <w:p>
      <w:pPr>
        <w:numPr>
          <w:ilvl w:val="0"/>
          <w:numId w:val="1"/>
        </w:numPr>
        <w:ind w:left="425" w:leftChars="0" w:hanging="425" w:firstLineChars="0"/>
        <w:jc w:val="left"/>
      </w:pPr>
      <w:r>
        <w:t>Newig, J., Challies, E., Jager, N.W., Kochskaemper, E. and Adzersen, A.(2018). The environmental performance of participatory and collaborative governance: A framework of causal mechanisms. Policy Studies Journal, 46(2), pp.269-297.</w:t>
      </w:r>
    </w:p>
    <w:p>
      <w:pPr>
        <w:numPr>
          <w:ilvl w:val="0"/>
          <w:numId w:val="1"/>
        </w:numPr>
        <w:ind w:left="425" w:leftChars="0" w:hanging="425" w:firstLineChars="0"/>
        <w:jc w:val="left"/>
      </w:pPr>
      <w:r>
        <w:t>Nytimes.com. (2020). Environmental Protection Agency. [online] Available at: https://www.nytimes.com/topic/organization/environmental-protection-agency [Accessed 17 April 2020].</w:t>
      </w:r>
    </w:p>
    <w:p>
      <w:pPr>
        <w:numPr>
          <w:ilvl w:val="0"/>
          <w:numId w:val="1"/>
        </w:numPr>
        <w:ind w:left="425" w:leftChars="0" w:hanging="425" w:firstLineChars="0"/>
        <w:jc w:val="left"/>
      </w:pPr>
      <w:r>
        <w:t>O’Brien, T.(2018). Government approaches to catalyse MSME resilience to climate change. Private-sector action in adaptation: Perspectives on the role of micro, small and medium size enterprises, p.111.</w:t>
      </w:r>
    </w:p>
    <w:p>
      <w:pPr>
        <w:numPr>
          <w:ilvl w:val="0"/>
          <w:numId w:val="1"/>
        </w:numPr>
        <w:ind w:left="425" w:leftChars="0" w:hanging="425" w:firstLineChars="0"/>
        <w:jc w:val="left"/>
      </w:pPr>
      <w:r>
        <w:t>Owusu, P.A. and Asumadu-Sarkodie, S.(2016). A review of renewable energy sources, sustainability issues and climate change mitigation. Cogent Engineering, 3(1), p.1167990.</w:t>
      </w:r>
    </w:p>
    <w:p>
      <w:pPr>
        <w:numPr>
          <w:ilvl w:val="0"/>
          <w:numId w:val="1"/>
        </w:numPr>
        <w:ind w:left="425" w:leftChars="0" w:hanging="425" w:firstLineChars="0"/>
        <w:jc w:val="left"/>
      </w:pPr>
      <w:r>
        <w:t>Powell, S.(2017). Sustainability in the Public Sector: An Essential Briefing for Stakeholders. Routledge.</w:t>
      </w:r>
    </w:p>
    <w:p>
      <w:pPr>
        <w:numPr>
          <w:ilvl w:val="0"/>
          <w:numId w:val="1"/>
        </w:numPr>
        <w:ind w:left="425" w:leftChars="0" w:hanging="425" w:firstLineChars="0"/>
        <w:jc w:val="left"/>
      </w:pPr>
      <w:r>
        <w:t>Purdy, J.M.(2012). A framework for assessing power in collaborative governance processes. Public administration review, 72(3), pp.409-417.</w:t>
      </w:r>
    </w:p>
    <w:p>
      <w:pPr>
        <w:numPr>
          <w:ilvl w:val="0"/>
          <w:numId w:val="1"/>
        </w:numPr>
        <w:ind w:left="425" w:leftChars="0" w:hanging="425" w:firstLineChars="0"/>
        <w:jc w:val="left"/>
      </w:pPr>
      <w:r>
        <w:t>VijayaVenkataRaman, S., Iniyan, S. and Goic, R.(2012). A review of climate change, mitigation and adaptation. Renewable and Sustainable Energy Reviews, 16(1), pp.878-897.</w:t>
      </w:r>
    </w:p>
    <w:sectPr>
      <w:footerReference r:id="rId12" w:type="first"/>
      <w:footerReference r:id="rId11" w:type="default"/>
      <w:pgSz w:w="12240" w:h="15840"/>
      <w:pgMar w:top="1440" w:right="1440" w:bottom="1440" w:left="1440" w:header="720" w:footer="720" w:gutter="0"/>
      <w:pgNumType w:fmt="decimal" w:start="1"/>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Segoe UI">
    <w:panose1 w:val="020B0502040204020203"/>
    <w:charset w:val="00"/>
    <w:family w:val="swiss"/>
    <w:pitch w:val="default"/>
    <w:sig w:usb0="E4002EFF" w:usb1="C000E47F" w:usb2="00000009" w:usb3="00000000" w:csb0="200001FF" w:csb1="0000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fzsLH8ICAADYBQAADgAAAAAA&#10;AAABACAAAAAfAQAAZHJzL2Uyb0RvYy54bWxQSwUGAAAAAAYABgBZAQAAUwYAAAAA&#10;">
              <v:fill on="f" focussize="0,0"/>
              <v:stroke on="f" weight="0.5pt"/>
              <v:imagedata o:title=""/>
              <o:lock v:ext="edit" aspectratio="f"/>
              <v:textbox inset="0mm,0mm,0mm,0mm" style="mso-fit-shape-to-text:t;">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">
              <v:fill on="f" focussize="0,0"/>
              <v:stroke on="f" weight="0.5pt"/>
              <v:imagedata o:title=""/>
              <o:lock v:ext="edit" aspectratio="f"/>
              <v:textbox inset="0mm,0mm,0mm,0mm" style="mso-fit-shape-to-text:t;">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4"/>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43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CjsqfhQCAAAVBAAADgAAAAAAAAAB&#10;ACAAAAAfAQAAZHJzL2Uyb0RvYy54bWxQSwUGAAAAAAYABgBZAQAApQUAAAAA&#10;">
              <v:fill on="f" focussize="0,0"/>
              <v:stroke on="f" weight="0.5pt"/>
              <v:imagedata o:title=""/>
              <o:lock v:ext="edit" aspectratio="f"/>
              <v:textbox inset="0mm,0mm,0mm,0mm" style="mso-fit-shape-to-text:t;">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4"/>
      </w:rPr>
      <mc:AlternateContent>
        <mc:Choice Requires="wps">
          <w:drawing>
            <wp:anchor distT="0" distB="0" distL="114300" distR="114300" simplePos="0" relativeHeight="251668480"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848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B2hfnRQCAAAVBAAADgAAAAAAAAAB&#10;ACAAAAAfAQAAZHJzL2Uyb0RvYy54bWxQSwUGAAAAAAYABgBZAQAApQUAAAAA&#10;">
              <v:fill on="f" focussize="0,0"/>
              <v:stroke on="f" weight="0.5pt"/>
              <v:imagedata o:title=""/>
              <o:lock v:ext="edit" aspectratio="f"/>
              <v:textbox inset="0mm,0mm,0mm,0mm" style="mso-fit-shape-to-text:t;">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4"/>
      </w:rPr>
      <mc:AlternateContent>
        <mc:Choice Requires="wps">
          <w:drawing>
            <wp:anchor distT="0" distB="0" distL="114300" distR="114300" simplePos="0" relativeHeight="251675648" behindDoc="0" locked="0" layoutInCell="1" allowOverlap="1">
              <wp:simplePos x="0" y="0"/>
              <wp:positionH relativeFrom="margin">
                <wp:align>center</wp:align>
              </wp:positionH>
              <wp:positionV relativeFrom="paragraph">
                <wp:posOffset>0</wp:posOffset>
              </wp:positionV>
              <wp:extent cx="1828800" cy="1828800"/>
              <wp:effectExtent l="0" t="0" r="0" b="0"/>
              <wp:wrapNone/>
              <wp:docPr id="15" name="文本框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7564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RcDIchQCAAAVBAAADgAAAAAAAAAB&#10;ACAAAAAfAQAAZHJzL2Uyb0RvYy54bWxQSwUGAAAAAAYABgBZAQAApQUAAAAA&#10;">
              <v:fill on="f" focussize="0,0"/>
              <v:stroke on="f" weight="0.5pt"/>
              <v:imagedata o:title=""/>
              <o:lock v:ext="edit" aspectratio="f"/>
              <v:textbox inset="0mm,0mm,0mm,0mm" style="mso-fit-shape-to-text:t;">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v:textbox>
            </v:shape>
          </w:pict>
        </mc:Fallback>
      </mc:AlternateConten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4"/>
      </w:rPr>
      <mc:AlternateContent>
        <mc:Choice Requires="wps">
          <w:drawing>
            <wp:anchor distT="0" distB="0" distL="114300" distR="114300" simplePos="0" relativeHeight="2516869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6" name="文本框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869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wj4BmRQCAAAVBAAADgAAAAAAAAAB&#10;ACAAAAAfAQAAZHJzL2Uyb0RvYy54bWxQSwUGAAAAAAYABgBZAQAApQUAAAAA&#10;">
              <v:fill on="f" focussize="0,0"/>
              <v:stroke on="f" weight="0.5pt"/>
              <v:imagedata o:title=""/>
              <o:lock v:ext="edit" aspectratio="f"/>
              <v:textbox inset="0mm,0mm,0mm,0mm" style="mso-fit-shape-to-text:t;">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4"/>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6</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6</w:t>
                    </w:r>
                    <w:r>
                      <w:rPr>
                        <w:rFonts w:hint="eastAsia" w:eastAsia="宋体"/>
                        <w:lang w:eastAsia="zh-CN"/>
                      </w:rPr>
                      <w:fldChar w:fldCharType="end"/>
                    </w:r>
                  </w:p>
                </w:txbxContent>
              </v:textbox>
            </v:shape>
          </w:pict>
        </mc:Fallback>
      </mc:AlternateConten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DzzfY5wQIAANYFAAAOAAAAAAAA&#10;AAEAIAAAAB8BAABkcnMvZTJvRG9jLnhtbFBLBQYAAAAABgAGAFkBAABSBgAAAAA=&#10;">
              <v:fill on="f" focussize="0,0"/>
              <v:stroke on="f" weight="0.5pt"/>
              <v:imagedata o:title=""/>
              <o:lock v:ext="edit" aspectratio="f"/>
              <v:textbox inset="0mm,0mm,0mm,0mm" style="mso-fit-shape-to-text:t;">
                <w:txbxContent>
                  <w:p>
                    <w:pPr>
                      <w:pStyle w:val="10"/>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97727792"/>
      <w:docPartObj>
        <w:docPartGallery w:val="autotext"/>
      </w:docPartObj>
    </w:sdtPr>
    <w:sdtContent>
      <w:p>
        <w:pPr>
          <w:pStyle w:val="11"/>
          <w:tabs>
            <w:tab w:val="left" w:pos="903"/>
            <w:tab w:val="right" w:pos="9360"/>
          </w:tabs>
          <w:jc w:val="left"/>
        </w:pPr>
        <w:r>
          <w:t xml:space="preserve">Corporate social responsibility in the public sector- </w:t>
        </w:r>
        <w:r>
          <w:rPr>
            <w:rFonts w:hint="eastAsia" w:eastAsia="宋体"/>
            <w:lang w:val="en-US" w:eastAsia="zh-CN"/>
          </w:rPr>
          <w:t>C</w:t>
        </w:r>
        <w:r>
          <w:t xml:space="preserve">limate </w:t>
        </w:r>
        <w:r>
          <w:rPr>
            <w:rFonts w:hint="eastAsia" w:eastAsia="宋体"/>
            <w:lang w:val="en-US" w:eastAsia="zh-CN"/>
          </w:rPr>
          <w:t>Action</w:t>
        </w:r>
      </w:p>
    </w:sdtContent>
  </w:sdt>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rPr>
        <w:rFonts w:hint="default" w:eastAsia="宋体"/>
        <w:b/>
        <w:bCs/>
        <w:lang w:val="en-US" w:eastAsia="zh-CN"/>
      </w:rPr>
    </w:pPr>
    <w:r>
      <w:rPr>
        <w:lang w:val="en-US"/>
      </w:rPr>
      <w:t>Running head:</w:t>
    </w:r>
    <w:r>
      <w:rPr>
        <w:rFonts w:eastAsia="Times New Roman"/>
        <w:b/>
        <w:bCs/>
      </w:rPr>
      <w:t xml:space="preserve"> </w:t>
    </w:r>
    <w:r>
      <w:rPr>
        <w:b/>
        <w:bCs/>
      </w:rPr>
      <w:t xml:space="preserve">Corporate social responsibility in the public sector- </w:t>
    </w:r>
    <w:r>
      <w:rPr>
        <w:rFonts w:hint="eastAsia" w:eastAsia="宋体"/>
        <w:b/>
        <w:bCs/>
        <w:lang w:val="en-US" w:eastAsia="zh-CN"/>
      </w:rPr>
      <w:t>C</w:t>
    </w:r>
    <w:r>
      <w:rPr>
        <w:b/>
        <w:bCs/>
      </w:rPr>
      <w:t xml:space="preserve">limate </w:t>
    </w:r>
    <w:r>
      <w:rPr>
        <w:rFonts w:hint="eastAsia" w:eastAsia="宋体"/>
        <w:b/>
        <w:bCs/>
        <w:lang w:val="en-US" w:eastAsia="zh-CN"/>
      </w:rPr>
      <w:t>Change</w:t>
    </w:r>
  </w:p>
  <w:p>
    <w:pPr>
      <w:pStyle w:val="11"/>
      <w:rPr>
        <w:b/>
        <w:bCs/>
        <w:lang w:val="en-US"/>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173B196"/>
    <w:multiLevelType w:val="singleLevel"/>
    <w:tmpl w:val="A173B196"/>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8FA"/>
    <w:rsid w:val="00003531"/>
    <w:rsid w:val="00014BB7"/>
    <w:rsid w:val="0002146A"/>
    <w:rsid w:val="000277AD"/>
    <w:rsid w:val="00054973"/>
    <w:rsid w:val="00067044"/>
    <w:rsid w:val="000B2885"/>
    <w:rsid w:val="000C14E4"/>
    <w:rsid w:val="000C58CD"/>
    <w:rsid w:val="00103B37"/>
    <w:rsid w:val="0012123E"/>
    <w:rsid w:val="00142916"/>
    <w:rsid w:val="00145C41"/>
    <w:rsid w:val="00164FE6"/>
    <w:rsid w:val="001955D3"/>
    <w:rsid w:val="00195635"/>
    <w:rsid w:val="001B0EFA"/>
    <w:rsid w:val="001C135C"/>
    <w:rsid w:val="001D1000"/>
    <w:rsid w:val="001F1238"/>
    <w:rsid w:val="002156D8"/>
    <w:rsid w:val="00232BAF"/>
    <w:rsid w:val="00241AE8"/>
    <w:rsid w:val="00252C45"/>
    <w:rsid w:val="00277399"/>
    <w:rsid w:val="0027794A"/>
    <w:rsid w:val="00285992"/>
    <w:rsid w:val="002E3AEF"/>
    <w:rsid w:val="002E3ED7"/>
    <w:rsid w:val="00310897"/>
    <w:rsid w:val="0031704D"/>
    <w:rsid w:val="003201F1"/>
    <w:rsid w:val="003310CC"/>
    <w:rsid w:val="00331D81"/>
    <w:rsid w:val="00335320"/>
    <w:rsid w:val="003558AD"/>
    <w:rsid w:val="00377211"/>
    <w:rsid w:val="00381BAD"/>
    <w:rsid w:val="00392E3F"/>
    <w:rsid w:val="003A0D8C"/>
    <w:rsid w:val="003A5C1E"/>
    <w:rsid w:val="003C2AAC"/>
    <w:rsid w:val="003C7508"/>
    <w:rsid w:val="003D27B4"/>
    <w:rsid w:val="003F3794"/>
    <w:rsid w:val="0042453C"/>
    <w:rsid w:val="00455830"/>
    <w:rsid w:val="0045791C"/>
    <w:rsid w:val="004C0B8F"/>
    <w:rsid w:val="00506DD8"/>
    <w:rsid w:val="0056138A"/>
    <w:rsid w:val="00561609"/>
    <w:rsid w:val="00573883"/>
    <w:rsid w:val="005A3DF4"/>
    <w:rsid w:val="005F3FC2"/>
    <w:rsid w:val="00651DF7"/>
    <w:rsid w:val="00667479"/>
    <w:rsid w:val="006C4B70"/>
    <w:rsid w:val="006D43D7"/>
    <w:rsid w:val="006D4A57"/>
    <w:rsid w:val="00710521"/>
    <w:rsid w:val="00795EA7"/>
    <w:rsid w:val="007B4402"/>
    <w:rsid w:val="007B56EC"/>
    <w:rsid w:val="007C74D7"/>
    <w:rsid w:val="008018AB"/>
    <w:rsid w:val="008D28FA"/>
    <w:rsid w:val="008E0EED"/>
    <w:rsid w:val="008E4D00"/>
    <w:rsid w:val="0090587E"/>
    <w:rsid w:val="00950A2F"/>
    <w:rsid w:val="00971CCF"/>
    <w:rsid w:val="009724C6"/>
    <w:rsid w:val="00973CFB"/>
    <w:rsid w:val="009A1CCF"/>
    <w:rsid w:val="009B262D"/>
    <w:rsid w:val="009C019E"/>
    <w:rsid w:val="009C7586"/>
    <w:rsid w:val="00A0005B"/>
    <w:rsid w:val="00A06EF9"/>
    <w:rsid w:val="00A243C5"/>
    <w:rsid w:val="00A30C68"/>
    <w:rsid w:val="00A450B6"/>
    <w:rsid w:val="00A45665"/>
    <w:rsid w:val="00A54163"/>
    <w:rsid w:val="00A62D00"/>
    <w:rsid w:val="00A72471"/>
    <w:rsid w:val="00AB1C1E"/>
    <w:rsid w:val="00AB1C67"/>
    <w:rsid w:val="00AC0320"/>
    <w:rsid w:val="00B174BC"/>
    <w:rsid w:val="00B35D95"/>
    <w:rsid w:val="00B51321"/>
    <w:rsid w:val="00B673F2"/>
    <w:rsid w:val="00BA5CD8"/>
    <w:rsid w:val="00BC3AF4"/>
    <w:rsid w:val="00BD3C9D"/>
    <w:rsid w:val="00BE4812"/>
    <w:rsid w:val="00C45D09"/>
    <w:rsid w:val="00C774E7"/>
    <w:rsid w:val="00C94EFD"/>
    <w:rsid w:val="00C95322"/>
    <w:rsid w:val="00CE0269"/>
    <w:rsid w:val="00CE51E5"/>
    <w:rsid w:val="00D45225"/>
    <w:rsid w:val="00D703EE"/>
    <w:rsid w:val="00D9551C"/>
    <w:rsid w:val="00DA33EB"/>
    <w:rsid w:val="00DD0374"/>
    <w:rsid w:val="00E20842"/>
    <w:rsid w:val="00E57FAA"/>
    <w:rsid w:val="00E624C0"/>
    <w:rsid w:val="00E75EEB"/>
    <w:rsid w:val="00E8101E"/>
    <w:rsid w:val="00EB16B3"/>
    <w:rsid w:val="00EB1DEA"/>
    <w:rsid w:val="00EC728D"/>
    <w:rsid w:val="00EF05DD"/>
    <w:rsid w:val="00EF6154"/>
    <w:rsid w:val="00F05467"/>
    <w:rsid w:val="00F057B6"/>
    <w:rsid w:val="00F10E7F"/>
    <w:rsid w:val="00F10FD5"/>
    <w:rsid w:val="00F27CA2"/>
    <w:rsid w:val="00FF76FD"/>
    <w:rsid w:val="02086D69"/>
    <w:rsid w:val="06D07023"/>
    <w:rsid w:val="0B715104"/>
    <w:rsid w:val="109B0228"/>
    <w:rsid w:val="124227DE"/>
    <w:rsid w:val="14C0C7AC"/>
    <w:rsid w:val="186A749B"/>
    <w:rsid w:val="1BBB6DB5"/>
    <w:rsid w:val="1BC608CA"/>
    <w:rsid w:val="2642CBF7"/>
    <w:rsid w:val="2AD8D407"/>
    <w:rsid w:val="2FC52702"/>
    <w:rsid w:val="2FD633D3"/>
    <w:rsid w:val="33EE81CE"/>
    <w:rsid w:val="3C1F1593"/>
    <w:rsid w:val="3F6B51C0"/>
    <w:rsid w:val="4701623F"/>
    <w:rsid w:val="47CCC866"/>
    <w:rsid w:val="4AADAB08"/>
    <w:rsid w:val="50FF43F4"/>
    <w:rsid w:val="5D72B830"/>
    <w:rsid w:val="696B6EF2"/>
    <w:rsid w:val="7A912A19"/>
    <w:rsid w:val="7D05A36C"/>
    <w:rsid w:val="7D5B58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qFormat="1" w:uiPriority="39" w:name="toc 4"/>
    <w:lsdException w:qFormat="1" w:uiPriority="39" w:name="toc 5"/>
    <w:lsdException w:qFormat="1" w:uiPriority="39" w:name="toc 6"/>
    <w:lsdException w:qFormat="1" w:uiPriority="39" w:name="toc 7"/>
    <w:lsdException w:qFormat="1" w:uiPriority="39" w:name="toc 8"/>
    <w:lsdException w:qFormat="1"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Calibri" w:cs="Times New Roman"/>
      <w:sz w:val="24"/>
      <w:szCs w:val="24"/>
      <w:lang w:val="en-GB" w:eastAsia="en-US" w:bidi="ar-SA"/>
    </w:rPr>
  </w:style>
  <w:style w:type="paragraph" w:styleId="2">
    <w:name w:val="heading 1"/>
    <w:basedOn w:val="1"/>
    <w:next w:val="1"/>
    <w:link w:val="21"/>
    <w:qFormat/>
    <w:uiPriority w:val="9"/>
    <w:pPr>
      <w:keepNext/>
      <w:keepLines/>
      <w:spacing w:before="480" w:after="0"/>
      <w:jc w:val="left"/>
      <w:outlineLvl w:val="0"/>
    </w:pPr>
    <w:rPr>
      <w:rFonts w:eastAsia="Times New Roman"/>
      <w:b/>
      <w:bCs/>
      <w:szCs w:val="28"/>
    </w:rPr>
  </w:style>
  <w:style w:type="paragraph" w:styleId="3">
    <w:name w:val="heading 2"/>
    <w:basedOn w:val="1"/>
    <w:next w:val="1"/>
    <w:link w:val="22"/>
    <w:unhideWhenUsed/>
    <w:qFormat/>
    <w:uiPriority w:val="9"/>
    <w:pPr>
      <w:keepNext/>
      <w:keepLines/>
      <w:spacing w:before="200" w:after="0"/>
      <w:jc w:val="left"/>
      <w:outlineLvl w:val="1"/>
    </w:pPr>
    <w:rPr>
      <w:rFonts w:eastAsia="Times New Roman"/>
      <w:b/>
      <w:bCs/>
      <w:szCs w:val="26"/>
    </w:rPr>
  </w:style>
  <w:style w:type="character" w:default="1" w:styleId="19">
    <w:name w:val="Default Paragraph Font"/>
    <w:unhideWhenUsed/>
    <w:uiPriority w:val="1"/>
  </w:style>
  <w:style w:type="table" w:default="1" w:styleId="17">
    <w:name w:val="Normal Table"/>
    <w:semiHidden/>
    <w:unhideWhenUsed/>
    <w:uiPriority w:val="99"/>
    <w:tblPr>
      <w:tblCellMar>
        <w:top w:w="0" w:type="dxa"/>
        <w:left w:w="108" w:type="dxa"/>
        <w:bottom w:w="0" w:type="dxa"/>
        <w:right w:w="108" w:type="dxa"/>
      </w:tblCellMar>
    </w:tblPr>
  </w:style>
  <w:style w:type="paragraph" w:styleId="4">
    <w:name w:val="toc 7"/>
    <w:basedOn w:val="1"/>
    <w:next w:val="1"/>
    <w:semiHidden/>
    <w:unhideWhenUsed/>
    <w:qFormat/>
    <w:uiPriority w:val="39"/>
    <w:pPr>
      <w:spacing w:after="0"/>
      <w:ind w:left="1440"/>
      <w:jc w:val="left"/>
    </w:pPr>
    <w:rPr>
      <w:rFonts w:asciiTheme="minorHAnsi" w:hAnsiTheme="minorHAnsi"/>
      <w:sz w:val="20"/>
      <w:szCs w:val="20"/>
    </w:rPr>
  </w:style>
  <w:style w:type="paragraph" w:styleId="5">
    <w:name w:val="Document Map"/>
    <w:basedOn w:val="1"/>
    <w:link w:val="23"/>
    <w:semiHidden/>
    <w:unhideWhenUsed/>
    <w:uiPriority w:val="99"/>
    <w:pPr>
      <w:spacing w:after="0" w:line="240" w:lineRule="auto"/>
    </w:pPr>
    <w:rPr>
      <w:rFonts w:ascii="Tahoma" w:hAnsi="Tahoma" w:cs="Tahoma"/>
      <w:sz w:val="16"/>
      <w:szCs w:val="16"/>
    </w:rPr>
  </w:style>
  <w:style w:type="paragraph" w:styleId="6">
    <w:name w:val="toc 5"/>
    <w:basedOn w:val="1"/>
    <w:next w:val="1"/>
    <w:semiHidden/>
    <w:unhideWhenUsed/>
    <w:qFormat/>
    <w:uiPriority w:val="39"/>
    <w:pPr>
      <w:spacing w:after="0"/>
      <w:ind w:left="960"/>
      <w:jc w:val="left"/>
    </w:pPr>
    <w:rPr>
      <w:rFonts w:asciiTheme="minorHAnsi" w:hAnsiTheme="minorHAnsi"/>
      <w:sz w:val="20"/>
      <w:szCs w:val="20"/>
    </w:rPr>
  </w:style>
  <w:style w:type="paragraph" w:styleId="7">
    <w:name w:val="toc 3"/>
    <w:basedOn w:val="1"/>
    <w:next w:val="1"/>
    <w:semiHidden/>
    <w:unhideWhenUsed/>
    <w:qFormat/>
    <w:uiPriority w:val="39"/>
    <w:pPr>
      <w:spacing w:after="0"/>
      <w:ind w:left="480"/>
      <w:jc w:val="left"/>
    </w:pPr>
    <w:rPr>
      <w:rFonts w:asciiTheme="minorHAnsi" w:hAnsiTheme="minorHAnsi"/>
      <w:sz w:val="20"/>
      <w:szCs w:val="20"/>
    </w:rPr>
  </w:style>
  <w:style w:type="paragraph" w:styleId="8">
    <w:name w:val="toc 8"/>
    <w:basedOn w:val="1"/>
    <w:next w:val="1"/>
    <w:semiHidden/>
    <w:unhideWhenUsed/>
    <w:qFormat/>
    <w:uiPriority w:val="39"/>
    <w:pPr>
      <w:spacing w:after="0"/>
      <w:ind w:left="1680"/>
      <w:jc w:val="left"/>
    </w:pPr>
    <w:rPr>
      <w:rFonts w:asciiTheme="minorHAnsi" w:hAnsiTheme="minorHAnsi"/>
      <w:sz w:val="20"/>
      <w:szCs w:val="20"/>
    </w:rPr>
  </w:style>
  <w:style w:type="paragraph" w:styleId="9">
    <w:name w:val="Balloon Text"/>
    <w:basedOn w:val="1"/>
    <w:link w:val="32"/>
    <w:semiHidden/>
    <w:unhideWhenUsed/>
    <w:qFormat/>
    <w:uiPriority w:val="99"/>
    <w:pPr>
      <w:spacing w:after="0" w:line="240" w:lineRule="auto"/>
    </w:pPr>
    <w:rPr>
      <w:rFonts w:ascii="Segoe UI" w:hAnsi="Segoe UI" w:cs="Segoe UI"/>
      <w:sz w:val="18"/>
      <w:szCs w:val="18"/>
    </w:rPr>
  </w:style>
  <w:style w:type="paragraph" w:styleId="10">
    <w:name w:val="footer"/>
    <w:basedOn w:val="1"/>
    <w:link w:val="26"/>
    <w:unhideWhenUsed/>
    <w:uiPriority w:val="99"/>
    <w:pPr>
      <w:tabs>
        <w:tab w:val="center" w:pos="4513"/>
        <w:tab w:val="right" w:pos="9026"/>
      </w:tabs>
      <w:spacing w:after="0" w:line="240" w:lineRule="auto"/>
    </w:pPr>
  </w:style>
  <w:style w:type="paragraph" w:styleId="11">
    <w:name w:val="header"/>
    <w:basedOn w:val="1"/>
    <w:link w:val="25"/>
    <w:unhideWhenUsed/>
    <w:uiPriority w:val="99"/>
    <w:pPr>
      <w:tabs>
        <w:tab w:val="center" w:pos="4513"/>
        <w:tab w:val="right" w:pos="9026"/>
      </w:tabs>
      <w:spacing w:after="0" w:line="240" w:lineRule="auto"/>
    </w:pPr>
  </w:style>
  <w:style w:type="paragraph" w:styleId="12">
    <w:name w:val="toc 1"/>
    <w:basedOn w:val="1"/>
    <w:next w:val="1"/>
    <w:unhideWhenUsed/>
    <w:qFormat/>
    <w:uiPriority w:val="39"/>
    <w:pPr>
      <w:spacing w:before="120" w:after="0"/>
      <w:jc w:val="left"/>
    </w:pPr>
    <w:rPr>
      <w:rFonts w:asciiTheme="minorHAnsi" w:hAnsiTheme="minorHAnsi"/>
      <w:b/>
      <w:bCs/>
      <w:i/>
      <w:iCs/>
    </w:rPr>
  </w:style>
  <w:style w:type="paragraph" w:styleId="13">
    <w:name w:val="toc 4"/>
    <w:basedOn w:val="1"/>
    <w:next w:val="1"/>
    <w:semiHidden/>
    <w:unhideWhenUsed/>
    <w:qFormat/>
    <w:uiPriority w:val="39"/>
    <w:pPr>
      <w:spacing w:after="0"/>
      <w:ind w:left="720"/>
      <w:jc w:val="left"/>
    </w:pPr>
    <w:rPr>
      <w:rFonts w:asciiTheme="minorHAnsi" w:hAnsiTheme="minorHAnsi"/>
      <w:sz w:val="20"/>
      <w:szCs w:val="20"/>
    </w:rPr>
  </w:style>
  <w:style w:type="paragraph" w:styleId="14">
    <w:name w:val="toc 6"/>
    <w:basedOn w:val="1"/>
    <w:next w:val="1"/>
    <w:semiHidden/>
    <w:unhideWhenUsed/>
    <w:qFormat/>
    <w:uiPriority w:val="39"/>
    <w:pPr>
      <w:spacing w:after="0"/>
      <w:ind w:left="1200"/>
      <w:jc w:val="left"/>
    </w:pPr>
    <w:rPr>
      <w:rFonts w:asciiTheme="minorHAnsi" w:hAnsiTheme="minorHAnsi"/>
      <w:sz w:val="20"/>
      <w:szCs w:val="20"/>
    </w:rPr>
  </w:style>
  <w:style w:type="paragraph" w:styleId="15">
    <w:name w:val="toc 2"/>
    <w:basedOn w:val="1"/>
    <w:next w:val="1"/>
    <w:unhideWhenUsed/>
    <w:qFormat/>
    <w:uiPriority w:val="39"/>
    <w:pPr>
      <w:spacing w:before="120" w:after="0"/>
      <w:ind w:left="240"/>
      <w:jc w:val="left"/>
    </w:pPr>
    <w:rPr>
      <w:rFonts w:asciiTheme="minorHAnsi" w:hAnsiTheme="minorHAnsi"/>
      <w:b/>
      <w:bCs/>
      <w:sz w:val="22"/>
      <w:szCs w:val="22"/>
    </w:rPr>
  </w:style>
  <w:style w:type="paragraph" w:styleId="16">
    <w:name w:val="toc 9"/>
    <w:basedOn w:val="1"/>
    <w:next w:val="1"/>
    <w:semiHidden/>
    <w:unhideWhenUsed/>
    <w:qFormat/>
    <w:uiPriority w:val="39"/>
    <w:pPr>
      <w:spacing w:after="0"/>
      <w:ind w:left="1920"/>
      <w:jc w:val="left"/>
    </w:pPr>
    <w:rPr>
      <w:rFonts w:asciiTheme="minorHAnsi" w:hAnsiTheme="minorHAnsi"/>
      <w:sz w:val="20"/>
      <w:szCs w:val="20"/>
    </w:rPr>
  </w:style>
  <w:style w:type="table" w:styleId="18">
    <w:name w:val="Table Grid"/>
    <w:basedOn w:val="17"/>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0">
    <w:name w:val="Hyperlink"/>
    <w:basedOn w:val="19"/>
    <w:unhideWhenUsed/>
    <w:uiPriority w:val="99"/>
    <w:rPr>
      <w:color w:val="0000FF"/>
      <w:u w:val="single"/>
    </w:rPr>
  </w:style>
  <w:style w:type="character" w:customStyle="1" w:styleId="21">
    <w:name w:val="Heading 1 Char"/>
    <w:basedOn w:val="19"/>
    <w:link w:val="2"/>
    <w:uiPriority w:val="9"/>
    <w:rPr>
      <w:rFonts w:ascii="Times New Roman" w:hAnsi="Times New Roman" w:eastAsia="Times New Roman" w:cs="Times New Roman"/>
      <w:b/>
      <w:bCs/>
      <w:sz w:val="24"/>
      <w:szCs w:val="28"/>
      <w:lang w:val="en-GB"/>
    </w:rPr>
  </w:style>
  <w:style w:type="character" w:customStyle="1" w:styleId="22">
    <w:name w:val="Heading 2 Char"/>
    <w:basedOn w:val="19"/>
    <w:link w:val="3"/>
    <w:uiPriority w:val="9"/>
    <w:rPr>
      <w:rFonts w:ascii="Times New Roman" w:hAnsi="Times New Roman" w:eastAsia="Times New Roman" w:cs="Times New Roman"/>
      <w:b/>
      <w:bCs/>
      <w:sz w:val="24"/>
      <w:szCs w:val="26"/>
      <w:lang w:val="en-GB"/>
    </w:rPr>
  </w:style>
  <w:style w:type="character" w:customStyle="1" w:styleId="23">
    <w:name w:val="Document Map Char"/>
    <w:basedOn w:val="19"/>
    <w:link w:val="5"/>
    <w:semiHidden/>
    <w:uiPriority w:val="99"/>
    <w:rPr>
      <w:rFonts w:ascii="Tahoma" w:hAnsi="Tahoma" w:cs="Tahoma"/>
      <w:sz w:val="16"/>
      <w:szCs w:val="16"/>
      <w:lang w:val="en-GB"/>
    </w:rPr>
  </w:style>
  <w:style w:type="paragraph" w:styleId="24">
    <w:name w:val="List Paragraph"/>
    <w:basedOn w:val="1"/>
    <w:qFormat/>
    <w:uiPriority w:val="34"/>
    <w:pPr>
      <w:ind w:left="720"/>
      <w:contextualSpacing/>
    </w:pPr>
  </w:style>
  <w:style w:type="character" w:customStyle="1" w:styleId="25">
    <w:name w:val="Header Char"/>
    <w:basedOn w:val="19"/>
    <w:link w:val="11"/>
    <w:uiPriority w:val="99"/>
    <w:rPr>
      <w:rFonts w:ascii="Times New Roman" w:hAnsi="Times New Roman"/>
      <w:sz w:val="24"/>
      <w:szCs w:val="22"/>
      <w:lang w:val="en-GB"/>
    </w:rPr>
  </w:style>
  <w:style w:type="character" w:customStyle="1" w:styleId="26">
    <w:name w:val="Footer Char"/>
    <w:basedOn w:val="19"/>
    <w:link w:val="10"/>
    <w:uiPriority w:val="99"/>
    <w:rPr>
      <w:rFonts w:ascii="Times New Roman" w:hAnsi="Times New Roman"/>
      <w:sz w:val="24"/>
      <w:szCs w:val="22"/>
      <w:lang w:val="en-GB"/>
    </w:rPr>
  </w:style>
  <w:style w:type="table" w:customStyle="1" w:styleId="27">
    <w:name w:val="Plain Table 1"/>
    <w:basedOn w:val="17"/>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paragraph" w:customStyle="1" w:styleId="28">
    <w:name w:val="TOC Heading"/>
    <w:basedOn w:val="2"/>
    <w:next w:val="1"/>
    <w:unhideWhenUsed/>
    <w:qFormat/>
    <w:uiPriority w:val="39"/>
    <w:pPr>
      <w:spacing w:before="240" w:line="259" w:lineRule="auto"/>
      <w:outlineLvl w:val="9"/>
    </w:pPr>
    <w:rPr>
      <w:rFonts w:asciiTheme="majorHAnsi" w:hAnsiTheme="majorHAnsi" w:eastAsiaTheme="majorEastAsia" w:cstheme="majorBidi"/>
      <w:b w:val="0"/>
      <w:bCs w:val="0"/>
      <w:color w:val="376092" w:themeColor="accent1" w:themeShade="BF"/>
      <w:sz w:val="32"/>
      <w:szCs w:val="32"/>
      <w:lang w:val="en-US"/>
    </w:rPr>
  </w:style>
  <w:style w:type="character" w:customStyle="1" w:styleId="29">
    <w:name w:val="Unresolved Mention"/>
    <w:basedOn w:val="19"/>
    <w:semiHidden/>
    <w:unhideWhenUsed/>
    <w:qFormat/>
    <w:uiPriority w:val="99"/>
    <w:rPr>
      <w:color w:val="605E5C"/>
      <w:shd w:val="clear" w:color="auto" w:fill="E1DFDD"/>
    </w:rPr>
  </w:style>
  <w:style w:type="table" w:customStyle="1" w:styleId="30">
    <w:name w:val="Grid Table 1 Light"/>
    <w:basedOn w:val="17"/>
    <w:qFormat/>
    <w:uiPriority w:val="46"/>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table" w:customStyle="1" w:styleId="31">
    <w:name w:val="Grid Table 1 Light Accent 1"/>
    <w:basedOn w:val="17"/>
    <w:qFormat/>
    <w:uiPriority w:val="46"/>
    <w:tblPr>
      <w:tblBorders>
        <w:top w:val="single" w:color="B8CCE4" w:themeColor="accent1" w:themeTint="66" w:sz="4" w:space="0"/>
        <w:left w:val="single" w:color="B8CCE4" w:themeColor="accent1" w:themeTint="66" w:sz="4" w:space="0"/>
        <w:bottom w:val="single" w:color="B8CCE4" w:themeColor="accent1" w:themeTint="66" w:sz="4" w:space="0"/>
        <w:right w:val="single" w:color="B8CCE4" w:themeColor="accent1" w:themeTint="66" w:sz="4" w:space="0"/>
        <w:insideH w:val="single" w:color="B8CCE4" w:themeColor="accent1" w:themeTint="66" w:sz="4" w:space="0"/>
        <w:insideV w:val="single" w:color="B8CCE4" w:themeColor="accent1" w:themeTint="66" w:sz="4" w:space="0"/>
      </w:tblBorders>
    </w:tblPr>
    <w:tblStylePr w:type="firstRow">
      <w:rPr>
        <w:b/>
        <w:bCs/>
      </w:rPr>
      <w:tcPr>
        <w:tcBorders>
          <w:bottom w:val="single" w:color="95B3D7" w:themeColor="accent1" w:themeTint="99" w:sz="12" w:space="0"/>
        </w:tcBorders>
      </w:tcPr>
    </w:tblStylePr>
    <w:tblStylePr w:type="lastRow">
      <w:rPr>
        <w:b/>
        <w:bCs/>
      </w:rPr>
      <w:tcPr>
        <w:tcBorders>
          <w:top w:val="double" w:color="95B3D7" w:themeColor="accent1" w:themeTint="99" w:sz="2" w:space="0"/>
        </w:tcBorders>
      </w:tcPr>
    </w:tblStylePr>
    <w:tblStylePr w:type="firstCol">
      <w:rPr>
        <w:b/>
        <w:bCs/>
      </w:rPr>
    </w:tblStylePr>
    <w:tblStylePr w:type="lastCol">
      <w:rPr>
        <w:b/>
        <w:bCs/>
      </w:rPr>
    </w:tblStylePr>
  </w:style>
  <w:style w:type="character" w:customStyle="1" w:styleId="32">
    <w:name w:val="Balloon Text Char"/>
    <w:basedOn w:val="19"/>
    <w:link w:val="9"/>
    <w:semiHidden/>
    <w:qFormat/>
    <w:uiPriority w:val="99"/>
    <w:rPr>
      <w:rFonts w:ascii="Segoe UI" w:hAnsi="Segoe UI" w:cs="Segoe UI"/>
      <w:sz w:val="18"/>
      <w:szCs w:val="18"/>
      <w:lang w:val="en-GB"/>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2.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theme" Target="theme/theme1.xml"/><Relationship Id="rId12" Type="http://schemas.openxmlformats.org/officeDocument/2006/relationships/footer" Target="footer8.xml"/><Relationship Id="rId11" Type="http://schemas.openxmlformats.org/officeDocument/2006/relationships/footer" Target="footer7.xml"/><Relationship Id="rId10" Type="http://schemas.openxmlformats.org/officeDocument/2006/relationships/footer" Target="footer6.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2E5438B-C327-034A-88DB-0799B0211FE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3312</Words>
  <Characters>19248</Characters>
  <Lines>287</Lines>
  <Paragraphs>63</Paragraphs>
  <TotalTime>5</TotalTime>
  <ScaleCrop>false</ScaleCrop>
  <LinksUpToDate>false</LinksUpToDate>
  <CharactersWithSpaces>22497</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2020-04-17T19:23:00Z</dcterms:created>
  <dc:creator>Andy</dc:creator>
  <cp:lastModifiedBy>Andy</cp:lastModifiedBy>
  <dcterms:modified xsi:type="dcterms:W3CDTF">2020-05-14T16:52:14Z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