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67F4B" w:rsidRDefault="004F7421">
      <w:pPr>
        <w:jc w:val="center"/>
        <w:rPr>
          <w:rFonts w:cs="Times New Roman"/>
        </w:rPr>
      </w:pPr>
      <w:r>
        <w:rPr>
          <w:rFonts w:cs="Times New Roman"/>
          <w:noProof/>
        </w:rPr>
        <w:drawing>
          <wp:inline distT="0" distB="0" distL="0" distR="0">
            <wp:extent cx="2157095" cy="862965"/>
            <wp:effectExtent l="0" t="0" r="6985" b="571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rsidR="00167F4B" w:rsidRDefault="00167F4B">
      <w:pPr>
        <w:rPr>
          <w:rFonts w:cs="Times New Roman"/>
        </w:rPr>
      </w:pPr>
    </w:p>
    <w:p w:rsidR="00167F4B" w:rsidRDefault="00167F4B">
      <w:pPr>
        <w:jc w:val="right"/>
        <w:rPr>
          <w:rFonts w:cs="Times New Roman"/>
          <w:szCs w:val="24"/>
        </w:rPr>
      </w:pPr>
    </w:p>
    <w:p w:rsidR="00167F4B" w:rsidRDefault="004F7421">
      <w:pPr>
        <w:jc w:val="right"/>
        <w:rPr>
          <w:sz w:val="40"/>
          <w:szCs w:val="40"/>
        </w:rPr>
      </w:pPr>
      <w:r>
        <w:rPr>
          <w:sz w:val="40"/>
          <w:szCs w:val="40"/>
        </w:rPr>
        <w:t>Banking Financial Management and Financial Markets</w:t>
      </w:r>
    </w:p>
    <w:p w:rsidR="00167F4B" w:rsidRDefault="004F7421">
      <w:pPr>
        <w:ind w:firstLineChars="900" w:firstLine="2160"/>
        <w:jc w:val="both"/>
        <w:rPr>
          <w:sz w:val="40"/>
          <w:szCs w:val="40"/>
          <w:lang w:val="en-IN"/>
        </w:rPr>
      </w:pPr>
      <w:r>
        <w:rPr>
          <w:sz w:val="40"/>
          <w:szCs w:val="40"/>
          <w:lang w:val="en-IN"/>
        </w:rPr>
        <w:t>(LCMB7012)</w:t>
      </w:r>
    </w:p>
    <w:p w:rsidR="00167F4B" w:rsidRDefault="004F7421">
      <w:pPr>
        <w:spacing w:after="0" w:line="480" w:lineRule="auto"/>
        <w:ind w:firstLineChars="1700" w:firstLine="2530"/>
        <w:jc w:val="both"/>
        <w:rPr>
          <w:rFonts w:ascii="Times New Roman" w:hAnsi="Times New Roman" w:cs="Times New Roman"/>
          <w:b/>
          <w:bCs/>
          <w:sz w:val="24"/>
          <w:szCs w:val="24"/>
        </w:rPr>
      </w:pPr>
      <w:r>
        <w:rPr>
          <w:rFonts w:ascii="Times New Roman" w:hAnsi="Times New Roman" w:cs="Times New Roman"/>
          <w:b/>
          <w:bCs/>
          <w:sz w:val="24"/>
          <w:szCs w:val="24"/>
        </w:rPr>
        <w:t>JP Morgan</w:t>
      </w:r>
    </w:p>
    <w:p w:rsidR="00167F4B" w:rsidRDefault="00167F4B">
      <w:pPr>
        <w:rPr>
          <w:rFonts w:cs="Times New Roman"/>
          <w:szCs w:val="24"/>
        </w:rPr>
      </w:pPr>
    </w:p>
    <w:p w:rsidR="00167F4B" w:rsidRDefault="004F7421">
      <w:pPr>
        <w:rPr>
          <w:rFonts w:cs="Times New Roman"/>
          <w:sz w:val="28"/>
          <w:szCs w:val="28"/>
        </w:rPr>
      </w:pPr>
      <w:r>
        <w:rPr>
          <w:rFonts w:cs="Times New Roman"/>
          <w:sz w:val="28"/>
          <w:szCs w:val="28"/>
        </w:rPr>
        <w:t xml:space="preserve">Student name: </w:t>
      </w:r>
      <w:r w:rsidR="001A1031">
        <w:rPr>
          <w:rFonts w:cs="Times New Roman"/>
          <w:sz w:val="28"/>
          <w:szCs w:val="28"/>
        </w:rPr>
        <w:t xml:space="preserve"> Ibrahim </w:t>
      </w:r>
      <w:proofErr w:type="spellStart"/>
      <w:r w:rsidR="001A1031">
        <w:rPr>
          <w:rFonts w:cs="Times New Roman"/>
          <w:sz w:val="28"/>
          <w:szCs w:val="28"/>
        </w:rPr>
        <w:t>Hazrat</w:t>
      </w:r>
      <w:proofErr w:type="spellEnd"/>
      <w:r w:rsidR="001A1031">
        <w:rPr>
          <w:rFonts w:cs="Times New Roman"/>
          <w:sz w:val="28"/>
          <w:szCs w:val="28"/>
        </w:rPr>
        <w:t xml:space="preserve"> Ali </w:t>
      </w:r>
      <w:proofErr w:type="spellStart"/>
      <w:r w:rsidR="00F73AC1">
        <w:rPr>
          <w:rFonts w:cs="Times New Roman"/>
          <w:sz w:val="28"/>
          <w:szCs w:val="28"/>
        </w:rPr>
        <w:t>Sardar</w:t>
      </w:r>
      <w:proofErr w:type="spellEnd"/>
    </w:p>
    <w:p w:rsidR="00167F4B" w:rsidRDefault="004F7421">
      <w:pPr>
        <w:rPr>
          <w:rFonts w:cs="Times New Roman"/>
          <w:sz w:val="28"/>
          <w:szCs w:val="28"/>
        </w:rPr>
      </w:pPr>
      <w:r>
        <w:rPr>
          <w:rFonts w:cs="Times New Roman"/>
          <w:sz w:val="28"/>
          <w:szCs w:val="28"/>
        </w:rPr>
        <w:t xml:space="preserve">Student Number: </w:t>
      </w:r>
      <w:r w:rsidR="00F73AC1">
        <w:rPr>
          <w:rFonts w:cs="Times New Roman"/>
          <w:sz w:val="28"/>
          <w:szCs w:val="28"/>
        </w:rPr>
        <w:t>2215769</w:t>
      </w:r>
    </w:p>
    <w:p w:rsidR="00167F4B" w:rsidRDefault="004F7421">
      <w:pPr>
        <w:rPr>
          <w:rFonts w:cs="Times New Roman"/>
          <w:sz w:val="28"/>
          <w:szCs w:val="28"/>
        </w:rPr>
      </w:pPr>
      <w:r>
        <w:rPr>
          <w:rFonts w:cs="Times New Roman"/>
          <w:sz w:val="28"/>
          <w:szCs w:val="28"/>
        </w:rPr>
        <w:t xml:space="preserve">Lecturer: </w:t>
      </w:r>
      <w:r w:rsidR="00F73AC1">
        <w:rPr>
          <w:rFonts w:cs="Times New Roman"/>
          <w:sz w:val="28"/>
          <w:szCs w:val="28"/>
        </w:rPr>
        <w:t>David Coker</w:t>
      </w:r>
    </w:p>
    <w:p w:rsidR="00167F4B" w:rsidRDefault="004F7421">
      <w:pPr>
        <w:rPr>
          <w:rFonts w:ascii="Times New Roman" w:hAnsi="Times New Roman"/>
          <w:sz w:val="24"/>
        </w:rPr>
      </w:pPr>
      <w:r>
        <w:rPr>
          <w:rFonts w:cs="Times New Roman"/>
          <w:sz w:val="28"/>
          <w:szCs w:val="28"/>
        </w:rPr>
        <w:t xml:space="preserve">Submission Date: </w:t>
      </w:r>
    </w:p>
    <w:p w:rsidR="00167F4B" w:rsidRDefault="00167F4B">
      <w:pPr>
        <w:spacing w:after="0" w:line="480" w:lineRule="auto"/>
        <w:jc w:val="both"/>
        <w:rPr>
          <w:rFonts w:ascii="Times New Roman" w:hAnsi="Times New Roman"/>
          <w:sz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rPr>
        <w:id w:val="-1514369374"/>
        <w:docPartObj>
          <w:docPartGallery w:val="Table of Contents"/>
          <w:docPartUnique/>
        </w:docPartObj>
      </w:sdtPr>
      <w:sdtEndPr/>
      <w:sdtContent>
        <w:p w:rsidR="00167F4B" w:rsidRDefault="004F7421">
          <w:pPr>
            <w:pStyle w:val="TOCHeading1"/>
            <w:jc w:val="center"/>
            <w:rPr>
              <w:rFonts w:ascii="Times New Roman" w:hAnsi="Times New Roman" w:cs="Times New Roman"/>
              <w:sz w:val="24"/>
              <w:szCs w:val="24"/>
            </w:rPr>
          </w:pPr>
          <w:r>
            <w:rPr>
              <w:rFonts w:ascii="Times New Roman" w:hAnsi="Times New Roman" w:cs="Times New Roman"/>
              <w:sz w:val="24"/>
              <w:szCs w:val="24"/>
            </w:rPr>
            <w:t>Table of Contents</w:t>
          </w:r>
        </w:p>
        <w:p w:rsidR="00167F4B" w:rsidRDefault="004F7421">
          <w:pPr>
            <w:pStyle w:val="TOC1"/>
            <w:tabs>
              <w:tab w:val="right" w:leader="dot" w:pos="9350"/>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53989658"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_Toc153989658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rsidR="00167F4B" w:rsidRDefault="00FD1589">
          <w:pPr>
            <w:pStyle w:val="TOC1"/>
            <w:tabs>
              <w:tab w:val="right" w:leader="dot" w:pos="9350"/>
            </w:tabs>
            <w:rPr>
              <w:rFonts w:ascii="Times New Roman" w:hAnsi="Times New Roman" w:cs="Times New Roman"/>
              <w:sz w:val="24"/>
              <w:szCs w:val="24"/>
            </w:rPr>
          </w:pPr>
          <w:hyperlink w:anchor="_Toc153989659" w:history="1">
            <w:r w:rsidR="004F7421">
              <w:rPr>
                <w:rStyle w:val="Hyperlink"/>
                <w:rFonts w:ascii="Times New Roman" w:hAnsi="Times New Roman" w:cs="Times New Roman"/>
                <w:sz w:val="24"/>
                <w:szCs w:val="24"/>
              </w:rPr>
              <w:t>Laws and Regulations of USA that were enacted After 2008 Financial Crisis:</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_Toc153989659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4</w:t>
            </w:r>
            <w:r w:rsidR="004F7421">
              <w:rPr>
                <w:rFonts w:ascii="Times New Roman" w:hAnsi="Times New Roman" w:cs="Times New Roman"/>
                <w:sz w:val="24"/>
                <w:szCs w:val="24"/>
              </w:rPr>
              <w:fldChar w:fldCharType="end"/>
            </w:r>
          </w:hyperlink>
        </w:p>
        <w:p w:rsidR="00167F4B" w:rsidRDefault="00FD1589">
          <w:pPr>
            <w:pStyle w:val="TOC1"/>
            <w:tabs>
              <w:tab w:val="right" w:leader="dot" w:pos="9350"/>
            </w:tabs>
            <w:rPr>
              <w:rFonts w:ascii="Times New Roman" w:hAnsi="Times New Roman" w:cs="Times New Roman"/>
              <w:sz w:val="24"/>
              <w:szCs w:val="24"/>
            </w:rPr>
          </w:pPr>
          <w:hyperlink w:anchor="_Toc153989660" w:history="1">
            <w:r w:rsidR="004F7421">
              <w:rPr>
                <w:rStyle w:val="Hyperlink"/>
                <w:rFonts w:ascii="Times New Roman" w:hAnsi="Times New Roman" w:cs="Times New Roman"/>
                <w:sz w:val="24"/>
                <w:szCs w:val="24"/>
              </w:rPr>
              <w:t>Regulatory Reforms of another Selected Country after 2008 Financial Crisis:</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_Toc153989660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10</w:t>
            </w:r>
            <w:r w:rsidR="004F7421">
              <w:rPr>
                <w:rFonts w:ascii="Times New Roman" w:hAnsi="Times New Roman" w:cs="Times New Roman"/>
                <w:sz w:val="24"/>
                <w:szCs w:val="24"/>
              </w:rPr>
              <w:fldChar w:fldCharType="end"/>
            </w:r>
          </w:hyperlink>
        </w:p>
        <w:p w:rsidR="00167F4B" w:rsidRDefault="00FD1589">
          <w:pPr>
            <w:pStyle w:val="TOC1"/>
            <w:tabs>
              <w:tab w:val="right" w:leader="dot" w:pos="9350"/>
            </w:tabs>
            <w:rPr>
              <w:rFonts w:ascii="Times New Roman" w:hAnsi="Times New Roman" w:cs="Times New Roman"/>
              <w:sz w:val="24"/>
              <w:szCs w:val="24"/>
            </w:rPr>
          </w:pPr>
          <w:hyperlink w:anchor="_Toc153989661" w:history="1">
            <w:r w:rsidR="004F7421">
              <w:rPr>
                <w:rStyle w:val="Hyperlink"/>
                <w:rFonts w:ascii="Times New Roman" w:hAnsi="Times New Roman" w:cs="Times New Roman"/>
                <w:sz w:val="24"/>
                <w:szCs w:val="24"/>
              </w:rPr>
              <w:t>Effectiveness of Different Reforms to Stabilize the Financial System:</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_Toc153989661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16</w:t>
            </w:r>
            <w:r w:rsidR="004F7421">
              <w:rPr>
                <w:rFonts w:ascii="Times New Roman" w:hAnsi="Times New Roman" w:cs="Times New Roman"/>
                <w:sz w:val="24"/>
                <w:szCs w:val="24"/>
              </w:rPr>
              <w:fldChar w:fldCharType="end"/>
            </w:r>
          </w:hyperlink>
        </w:p>
        <w:p w:rsidR="00167F4B" w:rsidRDefault="00FD1589">
          <w:pPr>
            <w:pStyle w:val="TOC1"/>
            <w:tabs>
              <w:tab w:val="right" w:leader="dot" w:pos="9350"/>
            </w:tabs>
            <w:rPr>
              <w:rFonts w:ascii="Times New Roman" w:hAnsi="Times New Roman" w:cs="Times New Roman"/>
              <w:sz w:val="24"/>
              <w:szCs w:val="24"/>
            </w:rPr>
          </w:pPr>
          <w:hyperlink w:anchor="_Toc153989662" w:history="1">
            <w:r w:rsidR="004F7421">
              <w:rPr>
                <w:rStyle w:val="Hyperlink"/>
                <w:rFonts w:ascii="Times New Roman" w:hAnsi="Times New Roman" w:cs="Times New Roman"/>
                <w:sz w:val="24"/>
                <w:szCs w:val="24"/>
              </w:rPr>
              <w:t>Impact of the Identified Reforms on Selected Company (i.e. JP Morgan):</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_Toc153989662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18</w:t>
            </w:r>
            <w:r w:rsidR="004F7421">
              <w:rPr>
                <w:rFonts w:ascii="Times New Roman" w:hAnsi="Times New Roman" w:cs="Times New Roman"/>
                <w:sz w:val="24"/>
                <w:szCs w:val="24"/>
              </w:rPr>
              <w:fldChar w:fldCharType="end"/>
            </w:r>
          </w:hyperlink>
        </w:p>
        <w:p w:rsidR="00167F4B" w:rsidRDefault="00FD1589">
          <w:pPr>
            <w:pStyle w:val="TOC1"/>
            <w:tabs>
              <w:tab w:val="right" w:leader="dot" w:pos="9350"/>
            </w:tabs>
            <w:rPr>
              <w:rFonts w:ascii="Times New Roman" w:hAnsi="Times New Roman" w:cs="Times New Roman"/>
              <w:sz w:val="24"/>
              <w:szCs w:val="24"/>
            </w:rPr>
          </w:pPr>
          <w:hyperlink w:anchor="_Toc153989663" w:history="1">
            <w:r w:rsidR="004F7421">
              <w:rPr>
                <w:rStyle w:val="Hyperlink"/>
                <w:rFonts w:ascii="Times New Roman" w:hAnsi="Times New Roman" w:cs="Times New Roman"/>
                <w:sz w:val="24"/>
                <w:szCs w:val="24"/>
              </w:rPr>
              <w:t>Conclusion</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_Toc153989663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20</w:t>
            </w:r>
            <w:r w:rsidR="004F7421">
              <w:rPr>
                <w:rFonts w:ascii="Times New Roman" w:hAnsi="Times New Roman" w:cs="Times New Roman"/>
                <w:sz w:val="24"/>
                <w:szCs w:val="24"/>
              </w:rPr>
              <w:fldChar w:fldCharType="end"/>
            </w:r>
          </w:hyperlink>
        </w:p>
        <w:p w:rsidR="00167F4B" w:rsidRDefault="00FD1589">
          <w:pPr>
            <w:pStyle w:val="TOC1"/>
            <w:tabs>
              <w:tab w:val="right" w:leader="dot" w:pos="9350"/>
            </w:tabs>
            <w:rPr>
              <w:rFonts w:ascii="Times New Roman" w:hAnsi="Times New Roman" w:cs="Times New Roman"/>
              <w:sz w:val="24"/>
              <w:szCs w:val="24"/>
            </w:rPr>
          </w:pPr>
          <w:hyperlink w:anchor="_Toc153989664" w:history="1">
            <w:r w:rsidR="004F7421">
              <w:rPr>
                <w:rStyle w:val="Hyperlink"/>
                <w:rFonts w:ascii="Times New Roman" w:hAnsi="Times New Roman" w:cs="Times New Roman"/>
                <w:sz w:val="24"/>
                <w:szCs w:val="24"/>
              </w:rPr>
              <w:t>References</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_Toc153989664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21</w:t>
            </w:r>
            <w:r w:rsidR="004F7421">
              <w:rPr>
                <w:rFonts w:ascii="Times New Roman" w:hAnsi="Times New Roman" w:cs="Times New Roman"/>
                <w:sz w:val="24"/>
                <w:szCs w:val="24"/>
              </w:rPr>
              <w:fldChar w:fldCharType="end"/>
            </w:r>
          </w:hyperlink>
        </w:p>
        <w:p w:rsidR="00167F4B" w:rsidRDefault="004F7421">
          <w:pPr>
            <w:rPr>
              <w:rFonts w:ascii="Times New Roman" w:hAnsi="Times New Roman" w:cs="Times New Roman"/>
              <w:sz w:val="24"/>
              <w:szCs w:val="24"/>
            </w:rPr>
          </w:pPr>
          <w:r>
            <w:rPr>
              <w:rFonts w:ascii="Times New Roman" w:hAnsi="Times New Roman" w:cs="Times New Roman"/>
              <w:sz w:val="24"/>
              <w:szCs w:val="24"/>
            </w:rPr>
            <w:fldChar w:fldCharType="end"/>
          </w:r>
        </w:p>
      </w:sdtContent>
    </w:sdt>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4F7421">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167F4B" w:rsidRDefault="004F7421">
      <w:pPr>
        <w:pStyle w:val="Heading1"/>
        <w:spacing w:before="0" w:line="480" w:lineRule="auto"/>
        <w:jc w:val="center"/>
        <w:rPr>
          <w:rFonts w:ascii="Times New Roman" w:hAnsi="Times New Roman" w:cs="Times New Roman"/>
          <w:sz w:val="24"/>
          <w:szCs w:val="24"/>
        </w:rPr>
      </w:pPr>
      <w:bookmarkStart w:id="0" w:name="_Toc153989658"/>
      <w:r>
        <w:rPr>
          <w:rFonts w:ascii="Times New Roman" w:hAnsi="Times New Roman" w:cs="Times New Roman"/>
          <w:sz w:val="24"/>
          <w:szCs w:val="24"/>
        </w:rPr>
        <w:lastRenderedPageBreak/>
        <w:t>Introduction</w:t>
      </w:r>
      <w:bookmarkEnd w:id="0"/>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report is prepared with the purpose of evaluation of key concepts related to the field of financial markets and banking financial management. In order to design this report, JP Morgan Company has been selected. This company operates in financial service industry. Main purpose of this report is to identify and evaluate different regulatory change and legal reforms that have taken place in United States of America after the incident of financial crisis of 2008. It is also an important aim of this report to compare the legal and regulatory changes or reforms of USA with similar advancements or reforms of other selected country after the incident of financial crisis of 2008. Main purpose of this report is to identify and evaluate influence of such regulations to stabilize the financial system of countries after the 2008 financial crisis. It is an also important aim of this report to evaluate the impact of identified reforms on the business model of JP Morgan.</w:t>
      </w:r>
    </w:p>
    <w:p w:rsidR="00167F4B" w:rsidRDefault="004F7421">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167F4B" w:rsidRDefault="004F7421">
      <w:pPr>
        <w:pStyle w:val="Heading1"/>
        <w:spacing w:before="0" w:line="480" w:lineRule="auto"/>
        <w:rPr>
          <w:rFonts w:ascii="Times New Roman" w:hAnsi="Times New Roman" w:cs="Times New Roman"/>
          <w:sz w:val="24"/>
          <w:szCs w:val="24"/>
        </w:rPr>
      </w:pPr>
      <w:bookmarkStart w:id="1" w:name="_Toc153989659"/>
      <w:r>
        <w:rPr>
          <w:rFonts w:ascii="Times New Roman" w:hAnsi="Times New Roman" w:cs="Times New Roman"/>
          <w:sz w:val="24"/>
          <w:szCs w:val="24"/>
        </w:rPr>
        <w:lastRenderedPageBreak/>
        <w:t>Laws and Regulations of USA that were enacted After 2008 Financial Crisis:</w:t>
      </w:r>
      <w:bookmarkEnd w:id="1"/>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financial crisis of 2008 has significantly impacted the economy and financial system of United States of America. The government and regulatory bodies of USA have taken active steps for reducing the likelihood of occurrence of similar incidents in the future. In this regard, the government has focused on development and passing of legislation of Dodd-Frank Act (i.e. Dodd-Frank Wall Street Reform and Consumer Protection Act) after the incident of 2008 financial crisis. Due to this legislation, USA has experienced faster and effective recovery of economy from the financial crisis of 2008. After this financial crisis, the economy of USA has observed bull market for very long timeline as compared to the past records of capital market. This was longest ever bull market in the economy of USA. This bull market f the country was started on 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2009. Total duration or length of this bull market was 9 years, 5 months, and 13 days (</w:t>
      </w:r>
      <w:proofErr w:type="spellStart"/>
      <w:r>
        <w:rPr>
          <w:rFonts w:ascii="Times New Roman" w:hAnsi="Times New Roman" w:cs="Times New Roman"/>
          <w:sz w:val="24"/>
          <w:szCs w:val="24"/>
        </w:rPr>
        <w:t>Cazenove</w:t>
      </w:r>
      <w:proofErr w:type="spellEnd"/>
      <w:r>
        <w:rPr>
          <w:rFonts w:ascii="Times New Roman" w:hAnsi="Times New Roman" w:cs="Times New Roman"/>
          <w:sz w:val="24"/>
          <w:szCs w:val="24"/>
        </w:rPr>
        <w:t xml:space="preserve"> Capital, 2023). This kind of performance of capital market has also </w:t>
      </w:r>
      <w:proofErr w:type="spellStart"/>
      <w:r>
        <w:rPr>
          <w:rFonts w:ascii="Times New Roman" w:hAnsi="Times New Roman" w:cs="Times New Roman"/>
          <w:sz w:val="24"/>
          <w:szCs w:val="24"/>
        </w:rPr>
        <w:t>beated</w:t>
      </w:r>
      <w:proofErr w:type="spellEnd"/>
      <w:r>
        <w:rPr>
          <w:rFonts w:ascii="Times New Roman" w:hAnsi="Times New Roman" w:cs="Times New Roman"/>
          <w:sz w:val="24"/>
          <w:szCs w:val="24"/>
        </w:rPr>
        <w:t xml:space="preserve"> the great equity performance of 1990s. In general, the bull market can be defined as market performance, in which the capital market of country rises with time without more than 20% fall from peak during the time period. As reported on 22 August 2018, the capital market of United States of America has arisen by 323%. Total return of the market index of US stocks including the dividend payments was observed as 415% since the financial crisis.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financial crisis was faced by economy of USA during 2007 to 2008. Main reason behind occurrence of this financial crisis was identified as the inappropriate banking behavior of large banks of the country. Dodd-Frank Act was designed with the aim of eliminating banking behavior and risk factors that may be responsible for occurrence of similar financial crisis in future. In simple words, it can be said that designed legislation encourages market players of financial system of USA to run banking transactions in ethical and regulated manner (LA Times, 2023). Following diagram is helpful to demonstrate change in housing prices of US economy during financial crisis of 2008:</w:t>
      </w:r>
    </w:p>
    <w:p w:rsidR="00167F4B" w:rsidRDefault="004F7421">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238500" cy="22479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rcRect/>
                    <a:stretch>
                      <a:fillRect/>
                    </a:stretch>
                  </pic:blipFill>
                  <pic:spPr>
                    <a:xfrm>
                      <a:off x="0" y="0"/>
                      <a:ext cx="3238500" cy="2247900"/>
                    </a:xfrm>
                    <a:prstGeom prst="rect">
                      <a:avLst/>
                    </a:prstGeom>
                    <a:noFill/>
                    <a:ln w="9525">
                      <a:noFill/>
                      <a:miter lim="800000"/>
                      <a:headEnd/>
                      <a:tailEnd/>
                    </a:ln>
                  </pic:spPr>
                </pic:pic>
              </a:graphicData>
            </a:graphic>
          </wp:inline>
        </w:drawing>
      </w:r>
    </w:p>
    <w:p w:rsidR="00167F4B" w:rsidRDefault="004F742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(LA Times,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 basis of analysis of above chart, it is evidential that during 1995 to 2008, the level of outstanding mortgage debt of US economy increased significantly. Similar to this, the level of housing price index of USA increased during timeline of 1995 to 2008 (LA Times, 2023). These are some important factors, which have caused situation of financial crisis of 2008.</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economy of United States of America has experienced deregulations in financial sector of economy during period prior to 2008 financial crisis. This incident has also encouraged the banks or financing organizations to focus on generating extra ordinary business in the market. In order to compete the other market players in banking business, many market players had started undertaking bigger gambles. For example, the banks started providing financing facility in market to clients with high risk of default also. In other words, the banks started giving loan in riskier way in the market (LA Times, 2023). This kind of competitive market environment of USA has caused the occurrence of situation of pricing bubble across key industries like housing sector. The incident of housing pricing bubble had ultimately caused incident of wrecking of banking and financing industry of USA as well as the crash of capital market of country. This incident is also identified as an event responsible for global recession.</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Dodd-Frank Act was signed by former US president Barak Obama in 2010. It was passed in legislative assembly of USA by Congress. This legislation focuses on achieving higher stability of financial industry as well as the financial system of US economy. In reality, the government and regulatory bodies of USA have taken various types of regulatory reforms and actions for achieving higher stability of financial system of country (LA Times, 2023). It is also an important purpose of the Dodd-Frank Act to provide protection to the customers of banking and finance sector from unethical behavior of banking practices of banks or financial organizations.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and regulatory bodies of USA have focused on development of Office of Credit Ratings (i.e. OCR) at SEC. The OCR is responsible for effective monitoring of core processes and business activities of the bond rating agencies of country. Example of such organizations involves Standard &amp; Poor’s, Moody’s, and Fitch Ratings. In reality, the bond rating agencies have duty to offer valuable information about risks of making investment in specific bond or other type of credit issuing instruments. The behavior of credit rating agencies of USA was also identified as an important factor as cause of higher risk of financial crisis of 2008 (Kim et al., 2020). It is so because the bond rating agencies of United States have reported the special financial products with best ratings. In reality, these financial products were too risky as compared to other debt instruments. Due to wrong rating of such financing instruments, the banks or financial institutions have sold these products as safe debt instruments.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It was also main task of OCR</w:t>
      </w:r>
      <w:r>
        <w:rPr>
          <w:rFonts w:ascii="Times New Roman" w:hAnsi="Times New Roman" w:cs="Times New Roman"/>
          <w:sz w:val="24"/>
          <w:szCs w:val="24"/>
        </w:rPr>
        <w:tab/>
        <w:t>to develop effective rules and policies for measurement of risk associated with different credit instruments. In simple words, it may be said that OCR focuses on protection of the interest and welfare of the customers in financial service sector. It is important for banks to ensure proper disclosure of terms and conditions related to different credit instruments or debt instruments (LA Times, 2023). The banks and financing authorities have prime duty to disclose information about risk associated with a credit instrument before selling the same to them. Proper power has been given to OCR for inquiry of methodology or technique used by different credit rating agencies for rating of different financing instruments. Moreover to this, the OCR has right to cancel registration of credit rating agencies, if they method of rating is found faulty or bad.</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FIO (i.e. Federal Insurance Office) is the name of another regulatory body, which was established by regulators in USA after 2008 financial crisis. This organization operates its activities under the Treasury department of country. Main task of this agency is to effectively monitor activities of different insurance companies operating across USA. It aims at ensuring that all the insurance companies of country comply with applicable legislations and industry standards while planning and carrying out their core business operations. In reality, the FIO is also a member at advisor level of FSOC (Kim et al., 2020). FIO also focuses on analysis of access of different people like underserved communities and consumers of the country to different affordable non-health insurance products. It is prime responsibility of the FIO to detect and evaluate key signs of possible collapse financial and insurance market of country. It provides valuable suggestions on different national and international matters of the market.</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Financial crisis of 2008 has significantly affected the economy and investors in economy of USA. Hedge fund is also observed and reported by different agencies as a factor, which is responsible for increased risk of financial crisis of 2008 in USA. Hedge fund is highly complex and confusing concept in the financing sector. After development of Dodd-Frank Act, it has been mandated for all banks and financing organizations in USA to register their hedge funds with SEC (</w:t>
      </w:r>
      <w:proofErr w:type="spellStart"/>
      <w:r>
        <w:rPr>
          <w:rFonts w:ascii="Times New Roman" w:hAnsi="Times New Roman" w:cs="Times New Roman"/>
          <w:sz w:val="24"/>
          <w:szCs w:val="24"/>
        </w:rPr>
        <w:t>Spano</w:t>
      </w:r>
      <w:proofErr w:type="spellEnd"/>
      <w:r>
        <w:rPr>
          <w:rFonts w:ascii="Times New Roman" w:hAnsi="Times New Roman" w:cs="Times New Roman"/>
          <w:sz w:val="24"/>
          <w:szCs w:val="24"/>
        </w:rPr>
        <w:t>, 2021). It is important for the banks and financial organizations to disclose information about key trades and portfolios associated with the hedge funds. Main purpose this practice is to inform SEC about risks associated with the hedge funds.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and regulatory authorities of United States of America have focused on strengthening the regulations and provisions of the Sarbanes-Oxley Act. The legislation of the Sarbanes-Oxley Act was originally developed in 2002 in order to decrease risk of corporate scandals in public limited companies in the USA. It is so because corporate scandals like Enron significantly impact the welfare of investors and economy in nation. Corporate responsibility has been modified and reformed by the legislation of the Sarbanes-Oxley Act (</w:t>
      </w:r>
      <w:proofErr w:type="spellStart"/>
      <w:r>
        <w:rPr>
          <w:rFonts w:ascii="Times New Roman" w:hAnsi="Times New Roman" w:cs="Times New Roman"/>
          <w:sz w:val="24"/>
          <w:szCs w:val="24"/>
        </w:rPr>
        <w:t>Notteboom</w:t>
      </w:r>
      <w:proofErr w:type="spellEnd"/>
      <w:r>
        <w:rPr>
          <w:rFonts w:ascii="Times New Roman" w:hAnsi="Times New Roman" w:cs="Times New Roman"/>
          <w:sz w:val="24"/>
          <w:szCs w:val="24"/>
        </w:rPr>
        <w:t xml:space="preserve"> et al., 2021). Higher authorities of large public limited companies like CEOs have been made personally liable for incidents of accounting in company by the legislation of the Sarbanes-Oxley Act. This decision would encourage higher authorities to adopt strict monitoring and policies for minimizing the risk f corporate scandals. This legislation has also highlighted significance of providing protection to Whistleblowers in public limited organizations.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legislation has designed an effective bounty program for motivation of whistleblowers to report the incidents of accounting error or possible scandals. According to this bounty program, the individuals, who reports such incidents are entitled for receiving 10 to 30% of proceeds resulting from successful litigation settlement of incident reported by them (Kim et al., 2020). This kind of program is considered effective for motivating the employees and staff members for informing relevant regulatory bodies about detected bad behavior in company. The time limit of duration available for raising complaint has been enhanced from 90 days to 180 days.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regulations and provisions of Dodd-Frank Act have provided authority to SEC in USA for monitoring and regulation of trading related to derivative instruments. This legislation emphasizes on proper regulation and control of trading of derivative contracts in financial market of the country. Example of different derivative contracts includes exchange of bonds, commodities, currencies, interest rates, market indexes, and stocks (</w:t>
      </w:r>
      <w:proofErr w:type="spellStart"/>
      <w:r>
        <w:rPr>
          <w:rFonts w:ascii="Times New Roman" w:hAnsi="Times New Roman" w:cs="Times New Roman"/>
          <w:sz w:val="24"/>
          <w:szCs w:val="24"/>
        </w:rPr>
        <w:t>Notteboom</w:t>
      </w:r>
      <w:proofErr w:type="spellEnd"/>
      <w:r>
        <w:rPr>
          <w:rFonts w:ascii="Times New Roman" w:hAnsi="Times New Roman" w:cs="Times New Roman"/>
          <w:sz w:val="24"/>
          <w:szCs w:val="24"/>
        </w:rPr>
        <w:t xml:space="preserve"> et al., 2021). The regulatory agencies are developed in the country for taking effective actions in order to minimize risk of financial crisis in timely manner.</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One of the most effective regulations identified in USA after financial crisis of 2008 is the implementation of The Volcker Rule. This regulation is developed and introduced in the country for prohibiting banks from undertaking speculative trading practices. The banks or financing organizations have not authority or right of the proprietary trading. These organizations do not have any authority to undertake activities of purchase or selling of securities, derivatives, futures, or commodities in the bank’s accounts (Li, 2019). This kind of practice was also reported during the financial crisis of 2008. The financing organizations were identified engaged in activities of account creation and trading of derivative instruments. These kinds of trading practices have caused increased liabilities as well as the increase in number of incidents of bankruptcy of financing organizations.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Volcker rule depicts that banks and financial organizations are not allowed to conduct the trading practices by use of own funds for purpose of making profit. According to the Volcker rule, banks or financing organizations should become a boring entity same like the situation of prior of addiction to trading profits. However, the banks and financial organization may carry out trading of key commodities, which is necessary for running the core banking operations like trading of foreign currencies. The banks and financial organizations are also provided authority to undertake the trading on behalf of their client or customer (Li, 2019). This activity is done by banks or financial institutions in the form of role of broker or custodian of the client. Volcker rule has also prevented banks or similar organizations in USA from the activities of sponsorship of hedge funds, private equity firms, etc.</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Dodd-Frank Act of USA has focused on development of CFPB (i.e. Consumer Financial Protection Bureau) in country. Primary purpose behind set-up of this organization is to provide high level of protection to customers from risky financial products. CFPB has authority to regulate the behavior of organizations selling financial products in USA. It also has power to implement laws related to elimination of eliminate discriminatory practices with consumers in financial sector (</w:t>
      </w:r>
      <w:proofErr w:type="spellStart"/>
      <w:r>
        <w:rPr>
          <w:rFonts w:ascii="Times New Roman" w:hAnsi="Times New Roman" w:cs="Times New Roman"/>
          <w:sz w:val="24"/>
          <w:szCs w:val="24"/>
        </w:rPr>
        <w:t>Spano</w:t>
      </w:r>
      <w:proofErr w:type="spellEnd"/>
      <w:r>
        <w:rPr>
          <w:rFonts w:ascii="Times New Roman" w:hAnsi="Times New Roman" w:cs="Times New Roman"/>
          <w:sz w:val="24"/>
          <w:szCs w:val="24"/>
        </w:rPr>
        <w:t>, 2021). This agency has power to impose fines on financial organizations that have breached the applicable industry regulations. Customers can directly make complain in CFPB for inappropriate behavior of financial organizations in USA.</w:t>
      </w:r>
    </w:p>
    <w:p w:rsidR="00167F4B" w:rsidRDefault="004F7421">
      <w:pPr>
        <w:pStyle w:val="Heading1"/>
        <w:spacing w:before="0" w:line="480" w:lineRule="auto"/>
        <w:rPr>
          <w:rFonts w:ascii="Times New Roman" w:hAnsi="Times New Roman" w:cs="Times New Roman"/>
          <w:sz w:val="24"/>
          <w:szCs w:val="24"/>
        </w:rPr>
      </w:pPr>
      <w:bookmarkStart w:id="2" w:name="_Toc153989660"/>
      <w:r>
        <w:rPr>
          <w:rFonts w:ascii="Times New Roman" w:hAnsi="Times New Roman" w:cs="Times New Roman"/>
          <w:sz w:val="24"/>
          <w:szCs w:val="24"/>
        </w:rPr>
        <w:t>Regulatory Reforms of another Selected Country after 2008 Financial Crisis:</w:t>
      </w:r>
      <w:bookmarkEnd w:id="2"/>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It has been finalized that legislative reforms and policy development initiatives of on-US agencies will be discussed and evaluated n context of United Kingdom. It is so because the financial crisis of 2008 has badly impacted the housing market and capital market of UK. An important type of legislative reform, which was seen in UK, is the Ring-fencing regime. This ring-fencing regime was launched by regulatory authorities of country for purpose of separating the retail banking activities of banks from investment bank activities. Due to this initiative, the regulatory bodies of United Kingdom have focused on minimizing impact of investment banking market over retail banking activities (CNBC, 2023). This initiative is also aimed at minimizing risk of occurrence of failure of retail banks in United Kingdom. The ring fencing regime also focuses on ensuring that state can directly support the retail bank, if it fails without putting the tax payer’s money. In reality, the ring-fencing regime was developed across rulebook, FSMA, and specific legislations. This regime will apply to all the banks of United Kingdom with the value of minimum deposit amount of £25 million. This investment amount of the banks is composed of deposits done from both retail customers and business customers. The ring-fencing regime has provided restrictions over fenced banks from the involvement in purchase or sell of investment banking products and services such as stocks, derivatives, and investment funds.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Example of another important initiative, which was undertaken by government bodies in UK during post 2008-financial crisis era, is imposing requirement of minimum ratio of capital to total assets. In addition to this, all the banks in country are required to maintain minimum 6.5% value of common equity capital of total risk weighted assets. It is also mandatory for all the banking organizations of UK to maintain leverage ratio of 3% in the business. There is strict focus on separation of retail banks from investment banking practices in market (Parliament UK, 2023). It is also an important requirement that there should be focus on implementation of strict regulations of banking and investment practices of the financial organizations in UK for minimizing risk of likelihood of occurrence of similar financial crisis in future. There should be restrictions or ban over trading of high risk lending and financial products in banking sector of the country. It is so because high risk lending products can enhance level of total NPAs of the banking and financing organizations.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a true fact that there is higher need of imposing effective regulations and restrictions over unethical banking practices of the banks or financial organizations. In addition to this, government and regulatory authorities of United Kingdom have expressed concerns that there should be restrictions over banking entities that provide online access to trading venues and relevant services of the European Union (CNBC, 2023). Moreover to this, there is emphasis on introducing strong capital standards for the banks. It is so because there is higher significance of resilience of banking and financial companies towards the events related to variation in the total value of their assets. It is so because the banking firms often experience change in value of their assets due to circumstances of economic downturn in economy. ‘The Financial Conduct Authority’ (i.e. FCA) is example of an important regulatory authority, which was set-up by the government of UK after incident of 2008 financial crisis (Parliament UK, 2023). The responsibility of FCA is to regulate and monitor the banking activities of different banks and financial organizations of country. It also emphasizes on monitoring the conduct and decisions of key employees working across banking organizations. In reality, the FCA has increased accountability of senior employees of banks and financial organizations like CEO, directors,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for the situation of short-termism and excessive risk taking behavior.</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Similar to this, the government of UK has established the body known as Prudential Regulation Authority. This authority was set-up in 2013. It is also considered as an active arm of the Bank of England in UK. This regulatory authority ensures that all the banks and financial institutions of country have written will that that would entirely support the regulatory authority in the event of failure of their business for eliminating the risk of failure (OBR UK, 2023). This agency is also responsible for enhancing likelihood of stability of the banking and financial system of United Kingdom. New financial committee uses its power and authorities from time to time for evaluating the incidents of high risk like housing bubble in country, high risk lending practices, etc.</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of UK and central bank of United Kingdom have been actively working for improving the regulatory environment of country in order to minimize risk of market failures and financial system. The enhanced regulatory environment emphasizes on eliminating risk factors of bank failure and to minimize impact of such failures on financial system and economy of country as a whole (Parliament UK, 2023). Example of an important regulatory reform in financial system of United Kingdom is the development of Financial Policy Committee (i.e. FPC). This committee focuses on identification of risks exposed to stability of financial system of country and to take appropriate decisions for eliminating such kinds of risk factors. It is very important to ensure that all the banking organizations as well as regulatory agencies of country follow holistic approach for enhancing the stability of financial system of UK (CNBC, 2023). The banking organizations of UK have emphasized on creation of capital resources after the event of 2008 financial crisis. The value of risk weighted capital ratio of banking organizations in UK has increased significantly after this financial crisis. The value of this ratio is very consistent with the regulatory requirements being described by regulatory agencies.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An important type of tool, which was used by regulatory authorities in United Kingdom, is the annual stress test. This stress test is conducted by central bank of country (i.e. Bank of England) for the banking and financial organizations of country. This test is helpful to evaluate and ensure that particular banking organization is able to continue its banking activities during crisis of financial stress. In 2016, the FPC has outlined that banking and financial system of country is god based on outcomes of this test. It is so because the banking system of UK economy is highly capitalized and is capable to support the economy in severe, broad, and synchronized financial stress situations (OBR UK, 2023). Example of different possible situations of financial stress includes global recession, misconduct of any banking organization, etc. The central banks of country as well as other regulatory authorities of UK have used the exploratory scenario approach for evaluation of resilience of the banking and financial sector of country for different possible market risks. But, this approach is not linked with financial cycles experienced from time to time in an economy or country.</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and other regulatory bodies of United Kingdom have developed legislative and regulatory reforms for ensuring that financial system of country can be effectively protected in the event of failure of banks. There is focus on taking effective actions in timely manner in the event of banking failures or capital market crash (GLI, 2023). Main purpose behind such actions is to prevent situation of complete fall-down and bankruptcy of organization. In other words, the government and regulatory authorities focus on avoiding situation of disorderly insolvency of different organizations in banking sector.</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Moreover to this, the Financial Services (Banking Reform) Act 2013 was developed and passed by the government of UK in 2013 for protection of the economy of country in future from the future financial crisis. This legislation also focuses on separation of the retail banking practices from investment banking practices in the economy of UK. This separation need to be done by all banking and financial organization by end of 2019 (Frank, 2019). This kind of action is called as ring-fencing reform. The resolution authority of UK has right and authority to provide solution, if any banking organization require for process of separation of the retail banking from investment banking. Main purpose behind such separation is to provide separate treatment of the retail banking transactions in organizations. It is so because banks are involved in development of large balance sheets related to investment banking.</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of UK has also designed and introduced the regime of comprehensive banking resolution after the era of financial crisis of 2008. This resolution was created with the purpose of managing possible situations of banking failures in financial system of UK. Bank of England has been given authority of “bail-in” to the shareholders and creditors for the banking organizations with incidents of failure (GLI, 2023). Under the arrangement of “bail-in”, the bank of England focuses on recapitalizing of bank by the use of own resources of bank and for purpose of absorbing the losses resulting from incident of failure. In this regard, the regulatory authorities and banks issue the debt absorbing debt instruments in market.</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It is also clarified by the government authorities of UK that responses related to response to financial crisis of 2008 would not influence the banking operations of retail focused banks in country. It was also clarified that rules and policies related to accountability of senior authorities of banks would be reviewed and updated. In this regard, the senior manager regime was designed and launched by UK government in 2016 for the banking organizations. In accordance to this regulation, the senior managers and directors of the large banking organizations of country can directly be made liable for poor decision making in the organization, poor quality of work culture, accounting errors, and their own actions (Frank, 2019). They can face penalties and other actions for their inappropriate actions taken in the banking organizations. This kind of change or reform was introduced by UK government under the Edinburgh Reforms. The document of Edinburgh Reforms has provided rules and regulations related to insurer’s balance sheets, real estate investment trusts, short selling, and listing of new stocks over capital market or stock exchanges of country.</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regulatory authorities of UK have also focused on enhancing competitiveness of financial system of United Kingdom for domestic as well as foreign market players in banking sector. However, the regulatory authorities have focused on identification and elimination of bottlenecks of financial system of country for minimizing risk of financial crisis in future (</w:t>
      </w:r>
      <w:proofErr w:type="spellStart"/>
      <w:r>
        <w:rPr>
          <w:rFonts w:ascii="Times New Roman" w:hAnsi="Times New Roman" w:cs="Times New Roman"/>
          <w:sz w:val="24"/>
          <w:szCs w:val="24"/>
        </w:rPr>
        <w:t>Malewska</w:t>
      </w:r>
      <w:proofErr w:type="spellEnd"/>
      <w:r>
        <w:rPr>
          <w:rFonts w:ascii="Times New Roman" w:hAnsi="Times New Roman" w:cs="Times New Roman"/>
          <w:sz w:val="24"/>
          <w:szCs w:val="24"/>
        </w:rPr>
        <w:t>, 2021). These authorities focus on achievement of sustainable financial performance of the banking and financial organizations. The limitation or cap of bonus of the bankers was also removed by the regulatory bodies of country. Effective regulatory reform is also important in financial system of country for achievement of sustainable performance of economy and financial system in the nation.</w:t>
      </w:r>
    </w:p>
    <w:p w:rsidR="00AE2A08" w:rsidRDefault="00AE2A08">
      <w:pPr>
        <w:spacing w:after="0" w:line="480" w:lineRule="auto"/>
        <w:jc w:val="both"/>
        <w:rPr>
          <w:rFonts w:ascii="Times New Roman" w:hAnsi="Times New Roman" w:cs="Times New Roman"/>
          <w:sz w:val="24"/>
          <w:szCs w:val="24"/>
        </w:rPr>
      </w:pPr>
    </w:p>
    <w:p w:rsidR="00A2629C" w:rsidRDefault="00A2629C" w:rsidP="00A2629C">
      <w:pPr>
        <w:rPr>
          <w:rFonts w:ascii="Times New Roman" w:hAnsi="Times New Roman" w:cs="Times New Roman"/>
          <w:sz w:val="24"/>
          <w:szCs w:val="24"/>
        </w:rPr>
      </w:pPr>
      <w:bookmarkStart w:id="3" w:name="_Toc153209400"/>
      <w:bookmarkStart w:id="4" w:name="_Toc153989661"/>
    </w:p>
    <w:p w:rsidR="000D2875" w:rsidRDefault="000D2875">
      <w:pPr>
        <w:pStyle w:val="Heading1"/>
        <w:spacing w:before="0" w:line="480" w:lineRule="auto"/>
        <w:rPr>
          <w:rFonts w:ascii="Times New Roman" w:hAnsi="Times New Roman" w:cs="Times New Roman"/>
          <w:sz w:val="24"/>
          <w:szCs w:val="24"/>
        </w:rPr>
      </w:pPr>
    </w:p>
    <w:p w:rsidR="000D2875" w:rsidRPr="000D2875" w:rsidRDefault="000D2875" w:rsidP="000D2875"/>
    <w:p w:rsidR="00167F4B" w:rsidRDefault="004F7421">
      <w:pPr>
        <w:pStyle w:val="Heading1"/>
        <w:spacing w:before="0" w:line="480" w:lineRule="auto"/>
        <w:rPr>
          <w:rFonts w:ascii="Times New Roman" w:hAnsi="Times New Roman" w:cs="Times New Roman"/>
          <w:sz w:val="24"/>
          <w:szCs w:val="24"/>
        </w:rPr>
      </w:pPr>
      <w:r>
        <w:rPr>
          <w:rFonts w:ascii="Times New Roman" w:hAnsi="Times New Roman" w:cs="Times New Roman"/>
          <w:sz w:val="24"/>
          <w:szCs w:val="24"/>
        </w:rPr>
        <w:t>Effectiveness of Different Reforms to Stabilize the Financial System</w:t>
      </w:r>
      <w:bookmarkEnd w:id="3"/>
      <w:r>
        <w:rPr>
          <w:rFonts w:ascii="Times New Roman" w:hAnsi="Times New Roman" w:cs="Times New Roman"/>
          <w:sz w:val="24"/>
          <w:szCs w:val="24"/>
        </w:rPr>
        <w:t>:</w:t>
      </w:r>
      <w:bookmarkEnd w:id="4"/>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 basis of review and analysis of regulatory reforms of USA and UK, it is observed that reforms and legislations of both countries are effective. It is so because both regulations have emphasized on enhancing regulation and control of banking practices of the banks and financial entities. The regulations of both countries are focused on ensuring that banks run the banking operations in well disciplined manner. It is an important finding of the analysis of regulatory reforms, there is similarity in different actions of the USA and UK. For example, governments of both countries have focused on nationalization of the banks (Frank, 2019). This decision was also taken for enhancing stability of financial system of country. There are various banks that were nationalized in UK involves Royal Bank of Scotland (RBS) and Lloyds Banking Group. Example of bank that was nationalized after crisis of 2008 in USA is Citigroup. Main purpose of nationalization of banks is to ensure sustainable operations of banks after crisis.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of UK has also launched the deposit protection scheme after the incident of financial crisis of 2008. This scheme has been designed by government for purpose of ensuring insurance of the depositor’s money across different banks and financial organizations of country. This protection scheme aims at ensuring security of the households and business firms from events of failure of one or more banks in country (GLI, 2023). In addition to this, government of UK has launched the enterprise finance guarantee scheme. This scheme aims at providing guarantee for the loan provided to different SME firms in country by the banks. Another important regulatory reform of banking industry of UK is Financial Services Act of 2012. This legislation emphasizes on increasing transparency and oversight of financial organizations for better protection of consumers.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In reality, the legislation of Dodd-Frank Act of USA is very effective for monitoring of banking organizations in country. It has made the monitoring of such organizations by Federal Reserve f country mandatory. Similar to this, the annual stress test of such organization was also made mandatory. It is so because annual stress test helps to ensure that banking organizations of country are well prepared to survive in events of potential unforeseen financial stress. The financial stress is carried out for different banking organizations for possible or hypothetical financial stress situations (Federal Reserve, 2023). The federal reserve of USA has power to impose restrictions on suspension of decisions related to buyback of shares, dividend decisions, etc. The regulatory authorities emphasize on ensuring that banking organizations in financial system of country are capable to survive in any potential situation of financial stress.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regulatory authorities of USA have developed FSOC for purpose of ensuring that any banks or financial organizations do not become ‘too large to fail’. Main reason behind such decision was that recent incident of financial crisis of 2008 has evidenced that several banking organizations were too large to be managed in financial system of USA. So, the decision of avoiding situation of banking organizations to become too large was motivated with aim of enhancing their effectiveness during the financial crisis (Hood and </w:t>
      </w: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2023). FSOC also obtains the valuable insights from academic experts and industry experts for taking high quality of decisions for enhancing stability of financial system. FSOC has use its powers for imposing restrictions on banks and financial organizations that are found engaged in risky banking behavior.</w:t>
      </w:r>
    </w:p>
    <w:p w:rsidR="00FD1754" w:rsidRDefault="00FD1754" w:rsidP="00FD1754">
      <w:bookmarkStart w:id="5" w:name="_Toc153209401"/>
      <w:bookmarkStart w:id="6" w:name="_Toc153989662"/>
    </w:p>
    <w:p w:rsidR="00B35210" w:rsidRDefault="00B35210" w:rsidP="00FD1754"/>
    <w:p w:rsidR="00B35210" w:rsidRDefault="00B35210" w:rsidP="00FD1754"/>
    <w:p w:rsidR="00FD1754" w:rsidRDefault="00FD1754">
      <w:pPr>
        <w:pStyle w:val="Heading1"/>
        <w:spacing w:before="0" w:line="480" w:lineRule="auto"/>
        <w:rPr>
          <w:rFonts w:ascii="Times New Roman" w:hAnsi="Times New Roman" w:cs="Times New Roman"/>
          <w:b w:val="0"/>
          <w:bCs w:val="0"/>
          <w:sz w:val="24"/>
          <w:szCs w:val="24"/>
        </w:rPr>
      </w:pPr>
    </w:p>
    <w:p w:rsidR="001F09AF" w:rsidRPr="001F09AF" w:rsidRDefault="001F09AF" w:rsidP="001F09AF"/>
    <w:p w:rsidR="00167F4B" w:rsidRDefault="004F7421">
      <w:pPr>
        <w:pStyle w:val="Heading1"/>
        <w:spacing w:before="0" w:line="480" w:lineRule="auto"/>
        <w:rPr>
          <w:rFonts w:ascii="Times New Roman" w:hAnsi="Times New Roman" w:cs="Times New Roman"/>
          <w:sz w:val="24"/>
          <w:szCs w:val="24"/>
        </w:rPr>
      </w:pPr>
      <w:r>
        <w:rPr>
          <w:rFonts w:ascii="Times New Roman" w:hAnsi="Times New Roman" w:cs="Times New Roman"/>
          <w:sz w:val="24"/>
          <w:szCs w:val="24"/>
        </w:rPr>
        <w:t>Impact of the Identified Reforms on Selected Company (i.e. JP Morgan)</w:t>
      </w:r>
      <w:bookmarkEnd w:id="5"/>
      <w:r>
        <w:rPr>
          <w:rFonts w:ascii="Times New Roman" w:hAnsi="Times New Roman" w:cs="Times New Roman"/>
          <w:sz w:val="24"/>
          <w:szCs w:val="24"/>
        </w:rPr>
        <w:t>:</w:t>
      </w:r>
      <w:bookmarkEnd w:id="6"/>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JP Morgan is a public listed company of USA, which operates in banking and financial sector of country. This company is specialized in different types of banking practices such as private banking, asset management, and investment banking. This company was established in 1871 by JP Morgan. The stock of JP Morgan is listed on NASDAQ. The business practices of JP Morgan were significantly influenced by the regulatory reforms of USA after 2008 financial crisis. Prior to the incident of 2008 financial crisis, JP Morgan was committed to its “universal bank” strategy (</w:t>
      </w:r>
      <w:proofErr w:type="spellStart"/>
      <w:r>
        <w:rPr>
          <w:rFonts w:ascii="Times New Roman" w:hAnsi="Times New Roman" w:cs="Times New Roman"/>
          <w:sz w:val="24"/>
          <w:szCs w:val="24"/>
        </w:rPr>
        <w:t>Malewska</w:t>
      </w:r>
      <w:proofErr w:type="spellEnd"/>
      <w:r>
        <w:rPr>
          <w:rFonts w:ascii="Times New Roman" w:hAnsi="Times New Roman" w:cs="Times New Roman"/>
          <w:sz w:val="24"/>
          <w:szCs w:val="24"/>
        </w:rPr>
        <w:t>, 2021). Under this strategy, the bank has focused on selling full range of banking products and services to wholesale as well as retail banking clients. The incident of financial crisis of 2008 has significantly damaged the banking practices of JP Morgan. In addition to this, the further recession occurred after the financial crisis had also affected the banking practices of the JP Morgan.</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regulations like Dodd-Frank bill have significantly affected the banking practices of JP Morgan. It has enhanced that capital requirement for bank. In addition to this, the banking practices of JP Morgan were also influenced by Volcker rule, as it influenced ability of the bank to pursue proprietary trading (Hood and </w:t>
      </w: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2023). In response to the reforms of government of USA, the banking organizations like JP Morgan have focused on reshaping their scope and product and service portfolio.</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Since 2011, JP Morgan has been identified as largest bank of USA by the size of total assets. It had effectively weathered the situation of financial crisis of 2008. It is so because the business practices of JP Morgan were attributed by fortress balance sheet and diversification. JP Morgan has also experienced pressure from various directions like analyst’s arguments elated to conglomerate discounts, large civil fines for settlement, and the regulations that penalized the size of business (Collis and Hartman, 2023). JP Morgan has focused on effective allocation of its resources across diverse lines of business for better survival of business in dynamic market environment.</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420116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rcRect/>
                    <a:stretch>
                      <a:fillRect/>
                    </a:stretch>
                  </pic:blipFill>
                  <pic:spPr>
                    <a:xfrm>
                      <a:off x="0" y="0"/>
                      <a:ext cx="5943600" cy="4201510"/>
                    </a:xfrm>
                    <a:prstGeom prst="rect">
                      <a:avLst/>
                    </a:prstGeom>
                    <a:noFill/>
                    <a:ln w="9525">
                      <a:noFill/>
                      <a:miter lim="800000"/>
                      <a:headEnd/>
                      <a:tailEnd/>
                    </a:ln>
                  </pic:spPr>
                </pic:pic>
              </a:graphicData>
            </a:graphic>
          </wp:inline>
        </w:drawing>
      </w:r>
    </w:p>
    <w:p w:rsidR="00167F4B" w:rsidRDefault="004F742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(Source: JP Morgan,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 basis of analysis of above chart, the decrease is experienced in total household leverage in US-economy. However, the increase was experienced in total corporate leverage (JP Morgan, 2023). The top authorities of JP Morgan have dedicated major financial resources of the bank in advanced research and development activities. This kind of investment helps it to find out best ways to survive in banking industry according to current market situation and future possible circumstances.</w:t>
      </w:r>
    </w:p>
    <w:p w:rsidR="00167F4B" w:rsidRDefault="004F7421">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167F4B" w:rsidRDefault="004F7421">
      <w:pPr>
        <w:pStyle w:val="Heading1"/>
        <w:spacing w:before="0" w:line="480" w:lineRule="auto"/>
        <w:jc w:val="center"/>
        <w:rPr>
          <w:rFonts w:ascii="Times New Roman" w:hAnsi="Times New Roman" w:cs="Times New Roman"/>
          <w:sz w:val="24"/>
          <w:szCs w:val="24"/>
        </w:rPr>
      </w:pPr>
      <w:bookmarkStart w:id="7" w:name="_Toc153209402"/>
      <w:bookmarkStart w:id="8" w:name="_Toc153989663"/>
      <w:r>
        <w:rPr>
          <w:rFonts w:ascii="Times New Roman" w:hAnsi="Times New Roman" w:cs="Times New Roman"/>
          <w:sz w:val="24"/>
          <w:szCs w:val="24"/>
        </w:rPr>
        <w:t>Conclusion</w:t>
      </w:r>
      <w:bookmarkEnd w:id="7"/>
      <w:bookmarkEnd w:id="8"/>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After completion of above report, it is found that detrimental impact was created by the financial crisis of 2008 over banking and financial system of USA. One of the reasons behind occurrence was identified as inappropriate banking behavior of banks and financial organizations. For example, banks had started giving loans with higher risk of default. The credit rating agencies of USA have not performed their role properly while rating of financial credit or debt instruments. Government of USA has introduced various reforms after financial crisis of 2008 like updating provisions of Sarbanes Oxley Act, development and passing of Dodd-Frank Act, nationalization of banks, etc.</w:t>
      </w:r>
    </w:p>
    <w:p w:rsidR="00167F4B" w:rsidRDefault="004F7421">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167F4B" w:rsidRDefault="004F7421">
      <w:pPr>
        <w:pStyle w:val="Heading1"/>
        <w:spacing w:before="0" w:line="480" w:lineRule="auto"/>
        <w:jc w:val="center"/>
        <w:rPr>
          <w:rFonts w:ascii="Times New Roman" w:hAnsi="Times New Roman" w:cs="Times New Roman"/>
          <w:sz w:val="24"/>
          <w:szCs w:val="24"/>
        </w:rPr>
      </w:pPr>
      <w:bookmarkStart w:id="9" w:name="_Toc153989664"/>
      <w:r>
        <w:rPr>
          <w:rFonts w:ascii="Times New Roman" w:hAnsi="Times New Roman" w:cs="Times New Roman"/>
          <w:sz w:val="24"/>
          <w:szCs w:val="24"/>
        </w:rPr>
        <w:t>References</w:t>
      </w:r>
      <w:bookmarkEnd w:id="9"/>
    </w:p>
    <w:p w:rsidR="00167F4B" w:rsidRDefault="004F7421">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Cazenove</w:t>
      </w:r>
      <w:proofErr w:type="spellEnd"/>
      <w:r>
        <w:rPr>
          <w:rFonts w:ascii="Times New Roman" w:hAnsi="Times New Roman" w:cs="Times New Roman"/>
          <w:sz w:val="24"/>
          <w:szCs w:val="24"/>
        </w:rPr>
        <w:t xml:space="preserve"> Capital (2023) </w:t>
      </w:r>
      <w:r>
        <w:rPr>
          <w:rFonts w:ascii="Times New Roman" w:hAnsi="Times New Roman" w:cs="Times New Roman"/>
          <w:i/>
          <w:sz w:val="24"/>
          <w:szCs w:val="24"/>
        </w:rPr>
        <w:t>The longest bull market in history: five charts that tell the story.</w:t>
      </w:r>
      <w:r>
        <w:rPr>
          <w:rFonts w:ascii="Times New Roman" w:hAnsi="Times New Roman" w:cs="Times New Roman"/>
          <w:sz w:val="24"/>
          <w:szCs w:val="24"/>
        </w:rPr>
        <w:t xml:space="preserve"> [Online]. Available at: </w:t>
      </w:r>
      <w:hyperlink r:id="rId10" w:history="1">
        <w:r>
          <w:rPr>
            <w:rStyle w:val="Hyperlink"/>
            <w:rFonts w:ascii="Times New Roman" w:hAnsi="Times New Roman" w:cs="Times New Roman"/>
            <w:sz w:val="24"/>
            <w:szCs w:val="24"/>
          </w:rPr>
          <w:t>https://www.cazenovecapital.com/en-gb/uk/wealth-management/insights/the-longest-bull-market-in-history-in-five-charts/</w:t>
        </w:r>
      </w:hyperlink>
      <w:r>
        <w:rPr>
          <w:rFonts w:ascii="Times New Roman" w:hAnsi="Times New Roman" w:cs="Times New Roman"/>
          <w:sz w:val="24"/>
          <w:szCs w:val="24"/>
        </w:rPr>
        <w:t xml:space="preserve"> (Accessed: 19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CNBC (2023) </w:t>
      </w:r>
      <w:r>
        <w:rPr>
          <w:rFonts w:ascii="Times New Roman" w:hAnsi="Times New Roman" w:cs="Times New Roman"/>
          <w:i/>
          <w:sz w:val="24"/>
          <w:szCs w:val="24"/>
        </w:rPr>
        <w:t>UK announces major overhaul of its financial sector in attempt to spur growth.</w:t>
      </w:r>
      <w:r>
        <w:rPr>
          <w:rFonts w:ascii="Times New Roman" w:hAnsi="Times New Roman" w:cs="Times New Roman"/>
          <w:sz w:val="24"/>
          <w:szCs w:val="24"/>
        </w:rPr>
        <w:t xml:space="preserve"> [Online]. Available at: </w:t>
      </w:r>
      <w:hyperlink r:id="rId11" w:history="1">
        <w:r>
          <w:rPr>
            <w:rStyle w:val="Hyperlink"/>
            <w:rFonts w:ascii="Times New Roman" w:hAnsi="Times New Roman" w:cs="Times New Roman"/>
            <w:sz w:val="24"/>
            <w:szCs w:val="24"/>
          </w:rPr>
          <w:t>https://www.cnbc.com/2022/12/09/uk-announces-major-overhaul-of-its-financial-sector-in-attempt-to-spur-growth.html</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Collis, D. and Hartman, A. (2023) </w:t>
      </w:r>
      <w:r>
        <w:rPr>
          <w:rFonts w:ascii="Times New Roman" w:hAnsi="Times New Roman" w:cs="Times New Roman"/>
          <w:i/>
          <w:sz w:val="24"/>
          <w:szCs w:val="24"/>
        </w:rPr>
        <w:t>JPMorgan Chase after the Financial Crisis: What Is the Optimal Scope of the Largest Bank in the U.S.?.</w:t>
      </w:r>
      <w:r>
        <w:rPr>
          <w:rFonts w:ascii="Times New Roman" w:hAnsi="Times New Roman" w:cs="Times New Roman"/>
          <w:sz w:val="24"/>
          <w:szCs w:val="24"/>
        </w:rPr>
        <w:t xml:space="preserve"> [</w:t>
      </w:r>
      <w:proofErr w:type="spellStart"/>
      <w:r>
        <w:rPr>
          <w:rFonts w:ascii="Times New Roman" w:hAnsi="Times New Roman" w:cs="Times New Roman"/>
          <w:sz w:val="24"/>
          <w:szCs w:val="24"/>
        </w:rPr>
        <w:t>Onlne</w:t>
      </w:r>
      <w:proofErr w:type="spellEnd"/>
      <w:r>
        <w:rPr>
          <w:rFonts w:ascii="Times New Roman" w:hAnsi="Times New Roman" w:cs="Times New Roman"/>
          <w:sz w:val="24"/>
          <w:szCs w:val="24"/>
        </w:rPr>
        <w:t xml:space="preserve">]. Available at: </w:t>
      </w:r>
      <w:hyperlink r:id="rId12" w:history="1">
        <w:r>
          <w:rPr>
            <w:rStyle w:val="Hyperlink"/>
            <w:rFonts w:ascii="Times New Roman" w:hAnsi="Times New Roman" w:cs="Times New Roman"/>
            <w:sz w:val="24"/>
            <w:szCs w:val="24"/>
          </w:rPr>
          <w:t>https://www.hbs.edu/faculty/Pages/item.aspx?num=50835</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Federal Reserve (2023) </w:t>
      </w:r>
      <w:r>
        <w:rPr>
          <w:rFonts w:ascii="Times New Roman" w:hAnsi="Times New Roman" w:cs="Times New Roman"/>
          <w:i/>
          <w:sz w:val="24"/>
          <w:szCs w:val="24"/>
        </w:rPr>
        <w:t>Agencies announce results of resolution plan review for largest and most complex domestic banks.</w:t>
      </w:r>
      <w:r>
        <w:rPr>
          <w:rFonts w:ascii="Times New Roman" w:hAnsi="Times New Roman" w:cs="Times New Roman"/>
          <w:sz w:val="24"/>
          <w:szCs w:val="24"/>
        </w:rPr>
        <w:t xml:space="preserve"> [Online]. Available at: </w:t>
      </w:r>
      <w:hyperlink r:id="rId13" w:anchor=":~:text=In%20Citigroup's%20resolution%20plan%2C%20the,its%20October%202020%20enforcement%20action" w:history="1">
        <w:r>
          <w:rPr>
            <w:rStyle w:val="Hyperlink"/>
            <w:rFonts w:ascii="Times New Roman" w:hAnsi="Times New Roman" w:cs="Times New Roman"/>
            <w:sz w:val="24"/>
            <w:szCs w:val="24"/>
          </w:rPr>
          <w:t>https://www.federalreserve.gov/newsevents/pressreleases/bcreg20221123a.htm#:~:text=In%20Citigroup's%20resolution%20plan%2C%20the,its%20October%202020%20enforcement%20action</w:t>
        </w:r>
      </w:hyperlink>
      <w:r>
        <w:rPr>
          <w:rFonts w:ascii="Times New Roman" w:hAnsi="Times New Roman" w:cs="Times New Roman"/>
          <w:sz w:val="24"/>
          <w:szCs w:val="24"/>
        </w:rPr>
        <w:t>.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Frank, B. (2019) The economic and political implications of the Dodd-Frank Act. In </w:t>
      </w:r>
      <w:r>
        <w:rPr>
          <w:rFonts w:ascii="Times New Roman" w:hAnsi="Times New Roman" w:cs="Times New Roman"/>
          <w:i/>
          <w:iCs/>
          <w:sz w:val="24"/>
          <w:szCs w:val="24"/>
        </w:rPr>
        <w:t>After the crash: Financial crises and regulatory responses</w:t>
      </w:r>
      <w:r>
        <w:rPr>
          <w:rFonts w:ascii="Times New Roman" w:hAnsi="Times New Roman" w:cs="Times New Roman"/>
          <w:sz w:val="24"/>
          <w:szCs w:val="24"/>
        </w:rPr>
        <w:t> (pp. 261-280). Columbia University Press.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GLI (2023) </w:t>
      </w:r>
      <w:r>
        <w:rPr>
          <w:rFonts w:ascii="Times New Roman" w:hAnsi="Times New Roman" w:cs="Times New Roman"/>
          <w:i/>
          <w:sz w:val="24"/>
          <w:szCs w:val="24"/>
        </w:rPr>
        <w:t>Banking Laws and Regulations 2023 | United Kingdom.</w:t>
      </w:r>
      <w:r>
        <w:rPr>
          <w:rFonts w:ascii="Times New Roman" w:hAnsi="Times New Roman" w:cs="Times New Roman"/>
          <w:sz w:val="24"/>
          <w:szCs w:val="24"/>
        </w:rPr>
        <w:t xml:space="preserve"> [Online]. Available at: </w:t>
      </w:r>
      <w:hyperlink r:id="rId14" w:anchor=":~:text=In%20the%20aftermath%20of%20the,activities%20from%20retail%20banking%20activities" w:history="1">
        <w:r>
          <w:rPr>
            <w:rStyle w:val="Hyperlink"/>
            <w:rFonts w:ascii="Times New Roman" w:hAnsi="Times New Roman" w:cs="Times New Roman"/>
            <w:sz w:val="24"/>
            <w:szCs w:val="24"/>
          </w:rPr>
          <w:t>https://www.globallegalinsights.com/practice-areas/banking-and-finance-laws-and-regulations/united-kingdom#:~:text=In%20the%20aftermath%20of%20the,activities%20from%20retail%20banking%20activities</w:t>
        </w:r>
      </w:hyperlink>
      <w:r>
        <w:rPr>
          <w:rFonts w:ascii="Times New Roman" w:hAnsi="Times New Roman" w:cs="Times New Roman"/>
          <w:sz w:val="24"/>
          <w:szCs w:val="24"/>
        </w:rPr>
        <w:t>.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Hood, C. and </w:t>
      </w: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B.M. (2023) Who loves input controls? What happened to “outputs not inputs” in UK Public Financial Management, and why?. </w:t>
      </w:r>
      <w:r>
        <w:rPr>
          <w:rFonts w:ascii="Times New Roman" w:hAnsi="Times New Roman" w:cs="Times New Roman"/>
          <w:i/>
          <w:iCs/>
          <w:sz w:val="24"/>
          <w:szCs w:val="24"/>
        </w:rPr>
        <w:t>Public Administration</w:t>
      </w:r>
      <w:r>
        <w:rPr>
          <w:rFonts w:ascii="Times New Roman" w:hAnsi="Times New Roman" w:cs="Times New Roman"/>
          <w:sz w:val="24"/>
          <w:szCs w:val="24"/>
        </w:rPr>
        <w:t>, </w:t>
      </w:r>
      <w:r>
        <w:rPr>
          <w:rFonts w:ascii="Times New Roman" w:hAnsi="Times New Roman" w:cs="Times New Roman"/>
          <w:i/>
          <w:iCs/>
          <w:sz w:val="24"/>
          <w:szCs w:val="24"/>
        </w:rPr>
        <w:t>101</w:t>
      </w:r>
      <w:r>
        <w:rPr>
          <w:rFonts w:ascii="Times New Roman" w:hAnsi="Times New Roman" w:cs="Times New Roman"/>
          <w:sz w:val="24"/>
          <w:szCs w:val="24"/>
        </w:rPr>
        <w:t>(1), pp. 303-317.</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JP Morgan (2023) </w:t>
      </w:r>
      <w:r>
        <w:rPr>
          <w:rFonts w:ascii="Times New Roman" w:hAnsi="Times New Roman" w:cs="Times New Roman"/>
          <w:i/>
          <w:sz w:val="24"/>
          <w:szCs w:val="24"/>
        </w:rPr>
        <w:t>10 years after the financial crisis.</w:t>
      </w:r>
      <w:r>
        <w:rPr>
          <w:rFonts w:ascii="Times New Roman" w:hAnsi="Times New Roman" w:cs="Times New Roman"/>
          <w:sz w:val="24"/>
          <w:szCs w:val="24"/>
        </w:rPr>
        <w:t xml:space="preserve"> [Online]. Available at: </w:t>
      </w:r>
      <w:hyperlink r:id="rId15" w:history="1">
        <w:r>
          <w:rPr>
            <w:rStyle w:val="Hyperlink"/>
            <w:rFonts w:ascii="Times New Roman" w:hAnsi="Times New Roman" w:cs="Times New Roman"/>
            <w:sz w:val="24"/>
            <w:szCs w:val="24"/>
          </w:rPr>
          <w:t>https://www.jpmorgan.com/insights/global-research/markets/10-years-after-financial-crisis</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Kim, H., Batten, J.A. and </w:t>
      </w:r>
      <w:proofErr w:type="spellStart"/>
      <w:r>
        <w:rPr>
          <w:rFonts w:ascii="Times New Roman" w:hAnsi="Times New Roman" w:cs="Times New Roman"/>
          <w:sz w:val="24"/>
          <w:szCs w:val="24"/>
        </w:rPr>
        <w:t>Ryu</w:t>
      </w:r>
      <w:proofErr w:type="spellEnd"/>
      <w:r>
        <w:rPr>
          <w:rFonts w:ascii="Times New Roman" w:hAnsi="Times New Roman" w:cs="Times New Roman"/>
          <w:sz w:val="24"/>
          <w:szCs w:val="24"/>
        </w:rPr>
        <w:t>, D. (2020) Financial crisis, bank diversification, and financial stability: OECD countries. </w:t>
      </w:r>
      <w:r>
        <w:rPr>
          <w:rFonts w:ascii="Times New Roman" w:hAnsi="Times New Roman" w:cs="Times New Roman"/>
          <w:i/>
          <w:iCs/>
          <w:sz w:val="24"/>
          <w:szCs w:val="24"/>
        </w:rPr>
        <w:t>International Review of Economics &amp; Finance</w:t>
      </w:r>
      <w:r>
        <w:rPr>
          <w:rFonts w:ascii="Times New Roman" w:hAnsi="Times New Roman" w:cs="Times New Roman"/>
          <w:sz w:val="24"/>
          <w:szCs w:val="24"/>
        </w:rPr>
        <w:t>, </w:t>
      </w:r>
      <w:r>
        <w:rPr>
          <w:rFonts w:ascii="Times New Roman" w:hAnsi="Times New Roman" w:cs="Times New Roman"/>
          <w:i/>
          <w:iCs/>
          <w:sz w:val="24"/>
          <w:szCs w:val="24"/>
        </w:rPr>
        <w:t>65</w:t>
      </w:r>
      <w:r>
        <w:rPr>
          <w:rFonts w:ascii="Times New Roman" w:hAnsi="Times New Roman" w:cs="Times New Roman"/>
          <w:sz w:val="24"/>
          <w:szCs w:val="24"/>
        </w:rPr>
        <w:t>, pp. 94-104.</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LA Times (2023) </w:t>
      </w:r>
      <w:r>
        <w:rPr>
          <w:rFonts w:ascii="Times New Roman" w:hAnsi="Times New Roman" w:cs="Times New Roman"/>
          <w:i/>
          <w:sz w:val="24"/>
          <w:szCs w:val="24"/>
        </w:rPr>
        <w:t>U.S. turns a $12-billion profit on Citigroup bailout.</w:t>
      </w:r>
      <w:r>
        <w:rPr>
          <w:rFonts w:ascii="Times New Roman" w:hAnsi="Times New Roman" w:cs="Times New Roman"/>
          <w:sz w:val="24"/>
          <w:szCs w:val="24"/>
        </w:rPr>
        <w:t xml:space="preserve"> [Online]. Available at: </w:t>
      </w:r>
      <w:hyperlink r:id="rId16" w:anchor=":~:text=Taxpayers%20earned%20a%20%2412%2Dbillion,%244.35%20apiece%2C%20raising%20%2410.5%20billion" w:history="1">
        <w:r>
          <w:rPr>
            <w:rStyle w:val="Hyperlink"/>
            <w:rFonts w:ascii="Times New Roman" w:hAnsi="Times New Roman" w:cs="Times New Roman"/>
            <w:sz w:val="24"/>
            <w:szCs w:val="24"/>
          </w:rPr>
          <w:t>https://www.latimes.com/archives/la-xpm-2010-dec-08-la-fi-citigroup-treasury-20101208-story.html#:~:text=Taxpayers%20earned%20a%20%2412%2Dbillion,%244.35%20apiece%2C%20raising%20%2410.5%20billion</w:t>
        </w:r>
      </w:hyperlink>
      <w:r>
        <w:rPr>
          <w:rFonts w:ascii="Times New Roman" w:hAnsi="Times New Roman" w:cs="Times New Roman"/>
          <w:sz w:val="24"/>
          <w:szCs w:val="24"/>
        </w:rPr>
        <w:t>.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Li, C. (2019) Examining the Influence of the Volcker Rule On Post-Crisis Credit Risk Management Conditions in the US Financial Institutions, pp. 01-18.</w:t>
      </w:r>
    </w:p>
    <w:p w:rsidR="00167F4B" w:rsidRDefault="004F7421">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Malewska</w:t>
      </w:r>
      <w:proofErr w:type="spellEnd"/>
      <w:r>
        <w:rPr>
          <w:rFonts w:ascii="Times New Roman" w:hAnsi="Times New Roman" w:cs="Times New Roman"/>
          <w:sz w:val="24"/>
          <w:szCs w:val="24"/>
        </w:rPr>
        <w:t>, A. (2021) Failed Attempt to Break Up the Oligopoly in Sovereign Credit Rating Market after Financial Crises. </w:t>
      </w:r>
      <w:r>
        <w:rPr>
          <w:rFonts w:ascii="Times New Roman" w:hAnsi="Times New Roman" w:cs="Times New Roman"/>
          <w:i/>
          <w:iCs/>
          <w:sz w:val="24"/>
          <w:szCs w:val="24"/>
        </w:rPr>
        <w:t>Contemporary Economics</w:t>
      </w:r>
      <w:r>
        <w:rPr>
          <w:rFonts w:ascii="Times New Roman" w:hAnsi="Times New Roman" w:cs="Times New Roman"/>
          <w:sz w:val="24"/>
          <w:szCs w:val="24"/>
        </w:rPr>
        <w:t>, </w:t>
      </w:r>
      <w:r>
        <w:rPr>
          <w:rFonts w:ascii="Times New Roman" w:hAnsi="Times New Roman" w:cs="Times New Roman"/>
          <w:i/>
          <w:iCs/>
          <w:sz w:val="24"/>
          <w:szCs w:val="24"/>
        </w:rPr>
        <w:t>15</w:t>
      </w:r>
      <w:r>
        <w:rPr>
          <w:rFonts w:ascii="Times New Roman" w:hAnsi="Times New Roman" w:cs="Times New Roman"/>
          <w:sz w:val="24"/>
          <w:szCs w:val="24"/>
        </w:rPr>
        <w:t>(2), pp. 153-163.</w:t>
      </w:r>
    </w:p>
    <w:p w:rsidR="00167F4B" w:rsidRDefault="004F7421">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Notteboom</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Pallis</w:t>
      </w:r>
      <w:proofErr w:type="spellEnd"/>
      <w:r>
        <w:rPr>
          <w:rFonts w:ascii="Times New Roman" w:hAnsi="Times New Roman" w:cs="Times New Roman"/>
          <w:sz w:val="24"/>
          <w:szCs w:val="24"/>
        </w:rPr>
        <w:t xml:space="preserve">, T. and </w:t>
      </w:r>
      <w:proofErr w:type="spellStart"/>
      <w:r>
        <w:rPr>
          <w:rFonts w:ascii="Times New Roman" w:hAnsi="Times New Roman" w:cs="Times New Roman"/>
          <w:sz w:val="24"/>
          <w:szCs w:val="24"/>
        </w:rPr>
        <w:t>Rodrigue</w:t>
      </w:r>
      <w:proofErr w:type="spellEnd"/>
      <w:r>
        <w:rPr>
          <w:rFonts w:ascii="Times New Roman" w:hAnsi="Times New Roman" w:cs="Times New Roman"/>
          <w:sz w:val="24"/>
          <w:szCs w:val="24"/>
        </w:rPr>
        <w:t>, J.P. (2021) Disruptions and resilience in global container shipping and ports: the COVID-19 pandemic versus the 2008–2009 financial crisis. </w:t>
      </w:r>
      <w:r>
        <w:rPr>
          <w:rFonts w:ascii="Times New Roman" w:hAnsi="Times New Roman" w:cs="Times New Roman"/>
          <w:i/>
          <w:iCs/>
          <w:sz w:val="24"/>
          <w:szCs w:val="24"/>
        </w:rPr>
        <w:t>Maritime Economics &amp; Logistics</w:t>
      </w:r>
      <w:r>
        <w:rPr>
          <w:rFonts w:ascii="Times New Roman" w:hAnsi="Times New Roman" w:cs="Times New Roman"/>
          <w:sz w:val="24"/>
          <w:szCs w:val="24"/>
        </w:rPr>
        <w:t>, </w:t>
      </w:r>
      <w:r>
        <w:rPr>
          <w:rFonts w:ascii="Times New Roman" w:hAnsi="Times New Roman" w:cs="Times New Roman"/>
          <w:i/>
          <w:iCs/>
          <w:sz w:val="24"/>
          <w:szCs w:val="24"/>
        </w:rPr>
        <w:t>23</w:t>
      </w:r>
      <w:r>
        <w:rPr>
          <w:rFonts w:ascii="Times New Roman" w:hAnsi="Times New Roman" w:cs="Times New Roman"/>
          <w:sz w:val="24"/>
          <w:szCs w:val="24"/>
        </w:rPr>
        <w:t>, pp. 179-210.</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OBR UK (2023) </w:t>
      </w:r>
      <w:r>
        <w:rPr>
          <w:rFonts w:ascii="Times New Roman" w:hAnsi="Times New Roman" w:cs="Times New Roman"/>
          <w:i/>
          <w:sz w:val="24"/>
          <w:szCs w:val="24"/>
        </w:rPr>
        <w:t>The Government’s regulatory response to the financial crisis.</w:t>
      </w:r>
      <w:r>
        <w:rPr>
          <w:rFonts w:ascii="Times New Roman" w:hAnsi="Times New Roman" w:cs="Times New Roman"/>
          <w:sz w:val="24"/>
          <w:szCs w:val="24"/>
        </w:rPr>
        <w:t xml:space="preserve"> [Online]. Available at: </w:t>
      </w:r>
      <w:hyperlink r:id="rId17" w:history="1">
        <w:r>
          <w:rPr>
            <w:rStyle w:val="Hyperlink"/>
            <w:rFonts w:ascii="Times New Roman" w:hAnsi="Times New Roman" w:cs="Times New Roman"/>
            <w:sz w:val="24"/>
            <w:szCs w:val="24"/>
          </w:rPr>
          <w:t>https://obr.uk/box/the-governments-regulatory-response-to-the-financial-crisis/</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Parliament UK (2023) </w:t>
      </w:r>
      <w:r>
        <w:rPr>
          <w:rFonts w:ascii="Times New Roman" w:hAnsi="Times New Roman" w:cs="Times New Roman"/>
          <w:i/>
          <w:sz w:val="24"/>
          <w:szCs w:val="24"/>
        </w:rPr>
        <w:t>Regulating banks after 2008: Key issues for the 2015 Parliament.</w:t>
      </w:r>
      <w:r>
        <w:rPr>
          <w:rFonts w:ascii="Times New Roman" w:hAnsi="Times New Roman" w:cs="Times New Roman"/>
          <w:sz w:val="24"/>
          <w:szCs w:val="24"/>
        </w:rPr>
        <w:t xml:space="preserve"> [Online]. Available at: </w:t>
      </w:r>
      <w:hyperlink r:id="rId18" w:history="1">
        <w:r>
          <w:rPr>
            <w:rStyle w:val="Hyperlink"/>
            <w:rFonts w:ascii="Times New Roman" w:hAnsi="Times New Roman" w:cs="Times New Roman"/>
            <w:sz w:val="24"/>
            <w:szCs w:val="24"/>
          </w:rPr>
          <w:t>https://www.parliament.uk/business/publications/research/key-issues-parliament-2015/economy-public-finances/regulating-banks/</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Spano</w:t>
      </w:r>
      <w:proofErr w:type="spellEnd"/>
      <w:r>
        <w:rPr>
          <w:rFonts w:ascii="Times New Roman" w:hAnsi="Times New Roman" w:cs="Times New Roman"/>
          <w:sz w:val="24"/>
          <w:szCs w:val="24"/>
        </w:rPr>
        <w:t>, D. (2021) The 2008 financial recession and the Dodd-Frank act. </w:t>
      </w:r>
      <w:r>
        <w:rPr>
          <w:rFonts w:ascii="Times New Roman" w:hAnsi="Times New Roman" w:cs="Times New Roman"/>
          <w:i/>
          <w:iCs/>
          <w:sz w:val="24"/>
          <w:szCs w:val="24"/>
        </w:rPr>
        <w:t>HOLISTICA–Journal of Business and Public Administration</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(1), pp. 1-10.</w:t>
      </w:r>
    </w:p>
    <w:sectPr w:rsidR="00167F4B">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67F4B" w:rsidRDefault="004F7421">
      <w:pPr>
        <w:spacing w:line="240" w:lineRule="auto"/>
      </w:pPr>
      <w:r>
        <w:separator/>
      </w:r>
    </w:p>
  </w:endnote>
  <w:endnote w:type="continuationSeparator" w:id="0">
    <w:p w:rsidR="00167F4B" w:rsidRDefault="004F74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Noto Sans Coptic"/>
    <w:panose1 w:val="02010600030101010101"/>
    <w:charset w:val="86"/>
    <w:family w:val="auto"/>
    <w:pitch w:val="variable"/>
    <w:sig w:usb0="00000000" w:usb1="288F0000" w:usb2="00000016" w:usb3="00000000" w:csb0="00040001" w:csb1="00000000"/>
  </w:font>
  <w:font w:name="Times New Roman">
    <w:altName w:val="Arial"/>
    <w:panose1 w:val="02020603050405020304"/>
    <w:charset w:val="00"/>
    <w:family w:val="roman"/>
    <w:pitch w:val="variable"/>
    <w:sig w:usb0="00000000"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67F4B" w:rsidRDefault="004F7421">
      <w:pPr>
        <w:spacing w:after="0"/>
      </w:pPr>
      <w:r>
        <w:separator/>
      </w:r>
    </w:p>
  </w:footnote>
  <w:footnote w:type="continuationSeparator" w:id="0">
    <w:p w:rsidR="00167F4B" w:rsidRDefault="004F742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sz w:val="24"/>
      </w:rPr>
      <w:id w:val="1728228657"/>
    </w:sdtPr>
    <w:sdtEndPr/>
    <w:sdtContent>
      <w:p w:rsidR="00167F4B" w:rsidRDefault="004F7421">
        <w:pPr>
          <w:pStyle w:val="Header"/>
          <w:jc w:val="right"/>
          <w:rPr>
            <w:rFonts w:ascii="Times New Roman" w:hAnsi="Times New Roman"/>
            <w:sz w:val="24"/>
          </w:rPr>
        </w:pPr>
        <w:r>
          <w:rPr>
            <w:rFonts w:ascii="Times New Roman" w:hAnsi="Times New Roman"/>
            <w:sz w:val="24"/>
          </w:rPr>
          <w:t xml:space="preserve">Banking Financial Management and Financial Markets     </w:t>
        </w:r>
        <w:r>
          <w:rPr>
            <w:rFonts w:ascii="Times New Roman" w:hAnsi="Times New Roman"/>
            <w:sz w:val="24"/>
          </w:rPr>
          <w:fldChar w:fldCharType="begin"/>
        </w:r>
        <w:r>
          <w:rPr>
            <w:rFonts w:ascii="Times New Roman" w:hAnsi="Times New Roman"/>
            <w:sz w:val="24"/>
          </w:rPr>
          <w:instrText xml:space="preserve"> PAGE   \* MERGEFORMAT </w:instrText>
        </w:r>
        <w:r>
          <w:rPr>
            <w:rFonts w:ascii="Times New Roman" w:hAnsi="Times New Roman"/>
            <w:sz w:val="24"/>
          </w:rPr>
          <w:fldChar w:fldCharType="separate"/>
        </w:r>
        <w:r>
          <w:rPr>
            <w:rFonts w:ascii="Times New Roman" w:hAnsi="Times New Roman"/>
            <w:sz w:val="24"/>
          </w:rPr>
          <w:t>18</w:t>
        </w:r>
        <w:r>
          <w:rPr>
            <w:rFonts w:ascii="Times New Roman" w:hAnsi="Times New Roman"/>
            <w:sz w:val="24"/>
          </w:rPr>
          <w:fldChar w:fldCharType="end"/>
        </w:r>
      </w:p>
    </w:sdtContent>
  </w:sdt>
  <w:p w:rsidR="00167F4B" w:rsidRDefault="00167F4B">
    <w:pPr>
      <w:pStyle w:val="Header"/>
      <w:rPr>
        <w:rFonts w:ascii="Times New Roman" w:hAnsi="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7734"/>
    <w:rsid w:val="000270B7"/>
    <w:rsid w:val="000332FD"/>
    <w:rsid w:val="00035554"/>
    <w:rsid w:val="00035B37"/>
    <w:rsid w:val="000369EB"/>
    <w:rsid w:val="0005097E"/>
    <w:rsid w:val="00053C3F"/>
    <w:rsid w:val="00053E69"/>
    <w:rsid w:val="00066BA0"/>
    <w:rsid w:val="00073C0B"/>
    <w:rsid w:val="0008163C"/>
    <w:rsid w:val="00082550"/>
    <w:rsid w:val="00090303"/>
    <w:rsid w:val="000A34CD"/>
    <w:rsid w:val="000A4371"/>
    <w:rsid w:val="000B3EA3"/>
    <w:rsid w:val="000D2875"/>
    <w:rsid w:val="000F500B"/>
    <w:rsid w:val="00100C7A"/>
    <w:rsid w:val="0010100B"/>
    <w:rsid w:val="00104F5D"/>
    <w:rsid w:val="001178D7"/>
    <w:rsid w:val="00122B10"/>
    <w:rsid w:val="00125C9E"/>
    <w:rsid w:val="00137F21"/>
    <w:rsid w:val="0014045F"/>
    <w:rsid w:val="00142B08"/>
    <w:rsid w:val="00142E3F"/>
    <w:rsid w:val="00150331"/>
    <w:rsid w:val="001538A1"/>
    <w:rsid w:val="0015781E"/>
    <w:rsid w:val="00161E64"/>
    <w:rsid w:val="00167F4B"/>
    <w:rsid w:val="001706E9"/>
    <w:rsid w:val="001766A8"/>
    <w:rsid w:val="001A0FF5"/>
    <w:rsid w:val="001A1031"/>
    <w:rsid w:val="001A2B92"/>
    <w:rsid w:val="001B6D28"/>
    <w:rsid w:val="001C3B1F"/>
    <w:rsid w:val="001D0F47"/>
    <w:rsid w:val="001D32DB"/>
    <w:rsid w:val="001D5785"/>
    <w:rsid w:val="001F09AF"/>
    <w:rsid w:val="001F43A6"/>
    <w:rsid w:val="001F7ED7"/>
    <w:rsid w:val="00210445"/>
    <w:rsid w:val="00220D70"/>
    <w:rsid w:val="00221289"/>
    <w:rsid w:val="00246C4B"/>
    <w:rsid w:val="00247859"/>
    <w:rsid w:val="00262147"/>
    <w:rsid w:val="00270700"/>
    <w:rsid w:val="00271445"/>
    <w:rsid w:val="0028550A"/>
    <w:rsid w:val="002B1DCC"/>
    <w:rsid w:val="002B4FC0"/>
    <w:rsid w:val="002B6D79"/>
    <w:rsid w:val="002C112E"/>
    <w:rsid w:val="002C4365"/>
    <w:rsid w:val="002C6632"/>
    <w:rsid w:val="002D10BD"/>
    <w:rsid w:val="002D149D"/>
    <w:rsid w:val="002D7CE4"/>
    <w:rsid w:val="002E0224"/>
    <w:rsid w:val="002E1465"/>
    <w:rsid w:val="002E4EFA"/>
    <w:rsid w:val="002E67D0"/>
    <w:rsid w:val="002F6739"/>
    <w:rsid w:val="00302C87"/>
    <w:rsid w:val="00302CD3"/>
    <w:rsid w:val="003174ED"/>
    <w:rsid w:val="00332217"/>
    <w:rsid w:val="003358EB"/>
    <w:rsid w:val="0033710A"/>
    <w:rsid w:val="003422B6"/>
    <w:rsid w:val="00352445"/>
    <w:rsid w:val="00356B60"/>
    <w:rsid w:val="00362900"/>
    <w:rsid w:val="00364976"/>
    <w:rsid w:val="0037580C"/>
    <w:rsid w:val="0038249A"/>
    <w:rsid w:val="00392753"/>
    <w:rsid w:val="003A22C7"/>
    <w:rsid w:val="003B3EA4"/>
    <w:rsid w:val="003B4626"/>
    <w:rsid w:val="003C35D7"/>
    <w:rsid w:val="003C6B00"/>
    <w:rsid w:val="003D0600"/>
    <w:rsid w:val="003E1BA4"/>
    <w:rsid w:val="003E5B85"/>
    <w:rsid w:val="00422E14"/>
    <w:rsid w:val="00437543"/>
    <w:rsid w:val="00441A6B"/>
    <w:rsid w:val="00456B33"/>
    <w:rsid w:val="00463CF5"/>
    <w:rsid w:val="00471542"/>
    <w:rsid w:val="00491F33"/>
    <w:rsid w:val="004B1742"/>
    <w:rsid w:val="004B7743"/>
    <w:rsid w:val="004C4ECF"/>
    <w:rsid w:val="004D5862"/>
    <w:rsid w:val="004E69AD"/>
    <w:rsid w:val="004F4BB7"/>
    <w:rsid w:val="004F7421"/>
    <w:rsid w:val="00500BBD"/>
    <w:rsid w:val="00503067"/>
    <w:rsid w:val="005044E2"/>
    <w:rsid w:val="00504CA5"/>
    <w:rsid w:val="00530D9C"/>
    <w:rsid w:val="00533912"/>
    <w:rsid w:val="00542B9C"/>
    <w:rsid w:val="005448AA"/>
    <w:rsid w:val="00544C47"/>
    <w:rsid w:val="00554FBA"/>
    <w:rsid w:val="0056632E"/>
    <w:rsid w:val="0057608D"/>
    <w:rsid w:val="005774D2"/>
    <w:rsid w:val="005820DB"/>
    <w:rsid w:val="00584DB1"/>
    <w:rsid w:val="00595A50"/>
    <w:rsid w:val="005B0CC7"/>
    <w:rsid w:val="005B3C95"/>
    <w:rsid w:val="005E393C"/>
    <w:rsid w:val="005F761A"/>
    <w:rsid w:val="005F7D9B"/>
    <w:rsid w:val="006031B9"/>
    <w:rsid w:val="00604625"/>
    <w:rsid w:val="00606A55"/>
    <w:rsid w:val="006114E6"/>
    <w:rsid w:val="0063304D"/>
    <w:rsid w:val="00637776"/>
    <w:rsid w:val="006400E5"/>
    <w:rsid w:val="00646F70"/>
    <w:rsid w:val="00650E71"/>
    <w:rsid w:val="00662AFF"/>
    <w:rsid w:val="00672BA5"/>
    <w:rsid w:val="00672FC4"/>
    <w:rsid w:val="00697FC2"/>
    <w:rsid w:val="006A39E6"/>
    <w:rsid w:val="006B5A82"/>
    <w:rsid w:val="006B79D8"/>
    <w:rsid w:val="006C3A51"/>
    <w:rsid w:val="006C79C8"/>
    <w:rsid w:val="006E46FB"/>
    <w:rsid w:val="006F0A72"/>
    <w:rsid w:val="006F4218"/>
    <w:rsid w:val="006F49C2"/>
    <w:rsid w:val="00711E3F"/>
    <w:rsid w:val="00717345"/>
    <w:rsid w:val="00720A0D"/>
    <w:rsid w:val="0072395B"/>
    <w:rsid w:val="00746200"/>
    <w:rsid w:val="007469F4"/>
    <w:rsid w:val="00757FD8"/>
    <w:rsid w:val="00762522"/>
    <w:rsid w:val="00771C21"/>
    <w:rsid w:val="0077709F"/>
    <w:rsid w:val="007851BC"/>
    <w:rsid w:val="0078614D"/>
    <w:rsid w:val="007B355E"/>
    <w:rsid w:val="007C3A84"/>
    <w:rsid w:val="007C5C9E"/>
    <w:rsid w:val="00821F08"/>
    <w:rsid w:val="00825963"/>
    <w:rsid w:val="0082629C"/>
    <w:rsid w:val="00843981"/>
    <w:rsid w:val="008555AA"/>
    <w:rsid w:val="0086129F"/>
    <w:rsid w:val="00862023"/>
    <w:rsid w:val="008746D4"/>
    <w:rsid w:val="008811B8"/>
    <w:rsid w:val="008849E8"/>
    <w:rsid w:val="008913BF"/>
    <w:rsid w:val="0089258D"/>
    <w:rsid w:val="00893AD1"/>
    <w:rsid w:val="008B72A8"/>
    <w:rsid w:val="008D3E35"/>
    <w:rsid w:val="008D55EC"/>
    <w:rsid w:val="008E18DD"/>
    <w:rsid w:val="008F21DB"/>
    <w:rsid w:val="008F4DD3"/>
    <w:rsid w:val="00923E0C"/>
    <w:rsid w:val="00924F57"/>
    <w:rsid w:val="00932C33"/>
    <w:rsid w:val="00935DD5"/>
    <w:rsid w:val="0094079E"/>
    <w:rsid w:val="0094478E"/>
    <w:rsid w:val="0094532E"/>
    <w:rsid w:val="00977F34"/>
    <w:rsid w:val="00980FC9"/>
    <w:rsid w:val="00981426"/>
    <w:rsid w:val="00991F3A"/>
    <w:rsid w:val="009B0211"/>
    <w:rsid w:val="009B3A28"/>
    <w:rsid w:val="009D0D3F"/>
    <w:rsid w:val="009D2542"/>
    <w:rsid w:val="009E5F6F"/>
    <w:rsid w:val="009F0721"/>
    <w:rsid w:val="00A057C8"/>
    <w:rsid w:val="00A2287F"/>
    <w:rsid w:val="00A23535"/>
    <w:rsid w:val="00A246D3"/>
    <w:rsid w:val="00A257A3"/>
    <w:rsid w:val="00A2629C"/>
    <w:rsid w:val="00A269F9"/>
    <w:rsid w:val="00A36984"/>
    <w:rsid w:val="00A418A4"/>
    <w:rsid w:val="00A704C6"/>
    <w:rsid w:val="00A75A56"/>
    <w:rsid w:val="00A75B4D"/>
    <w:rsid w:val="00A80C7E"/>
    <w:rsid w:val="00A87203"/>
    <w:rsid w:val="00A93285"/>
    <w:rsid w:val="00AA1C03"/>
    <w:rsid w:val="00AD2702"/>
    <w:rsid w:val="00AE1AC8"/>
    <w:rsid w:val="00AE28C6"/>
    <w:rsid w:val="00AE2A08"/>
    <w:rsid w:val="00AF1645"/>
    <w:rsid w:val="00AF5446"/>
    <w:rsid w:val="00B02E86"/>
    <w:rsid w:val="00B11F00"/>
    <w:rsid w:val="00B17324"/>
    <w:rsid w:val="00B213EF"/>
    <w:rsid w:val="00B2182A"/>
    <w:rsid w:val="00B21B8B"/>
    <w:rsid w:val="00B27734"/>
    <w:rsid w:val="00B30B99"/>
    <w:rsid w:val="00B35210"/>
    <w:rsid w:val="00B43EA6"/>
    <w:rsid w:val="00B46488"/>
    <w:rsid w:val="00B50491"/>
    <w:rsid w:val="00B51A45"/>
    <w:rsid w:val="00B606B8"/>
    <w:rsid w:val="00B6087A"/>
    <w:rsid w:val="00B70052"/>
    <w:rsid w:val="00B744B9"/>
    <w:rsid w:val="00B75FC1"/>
    <w:rsid w:val="00B959A4"/>
    <w:rsid w:val="00BA70B9"/>
    <w:rsid w:val="00BB3457"/>
    <w:rsid w:val="00BE21DE"/>
    <w:rsid w:val="00BF0A28"/>
    <w:rsid w:val="00BF4B0C"/>
    <w:rsid w:val="00C032A1"/>
    <w:rsid w:val="00C05521"/>
    <w:rsid w:val="00C07BC6"/>
    <w:rsid w:val="00C20958"/>
    <w:rsid w:val="00C3283B"/>
    <w:rsid w:val="00C42C32"/>
    <w:rsid w:val="00C433EE"/>
    <w:rsid w:val="00C44881"/>
    <w:rsid w:val="00C47532"/>
    <w:rsid w:val="00C51F26"/>
    <w:rsid w:val="00C53986"/>
    <w:rsid w:val="00C62DEC"/>
    <w:rsid w:val="00C732E9"/>
    <w:rsid w:val="00C74ACC"/>
    <w:rsid w:val="00C7580F"/>
    <w:rsid w:val="00C76AF5"/>
    <w:rsid w:val="00C819EC"/>
    <w:rsid w:val="00C81C31"/>
    <w:rsid w:val="00C83E21"/>
    <w:rsid w:val="00C93E30"/>
    <w:rsid w:val="00C95DF2"/>
    <w:rsid w:val="00CA107F"/>
    <w:rsid w:val="00CA4B9B"/>
    <w:rsid w:val="00CC0D6B"/>
    <w:rsid w:val="00CD1BE1"/>
    <w:rsid w:val="00CE1756"/>
    <w:rsid w:val="00CE27BB"/>
    <w:rsid w:val="00CE613E"/>
    <w:rsid w:val="00CE7E44"/>
    <w:rsid w:val="00CF0788"/>
    <w:rsid w:val="00D02145"/>
    <w:rsid w:val="00D02FA6"/>
    <w:rsid w:val="00D10EC1"/>
    <w:rsid w:val="00D1350F"/>
    <w:rsid w:val="00D16AE6"/>
    <w:rsid w:val="00D2520C"/>
    <w:rsid w:val="00D323AC"/>
    <w:rsid w:val="00D35D3B"/>
    <w:rsid w:val="00D47EF5"/>
    <w:rsid w:val="00D649F8"/>
    <w:rsid w:val="00D779F3"/>
    <w:rsid w:val="00D83291"/>
    <w:rsid w:val="00D9099F"/>
    <w:rsid w:val="00D94AFF"/>
    <w:rsid w:val="00D96C89"/>
    <w:rsid w:val="00DA6E2A"/>
    <w:rsid w:val="00DB7C46"/>
    <w:rsid w:val="00DC3318"/>
    <w:rsid w:val="00DD6B4B"/>
    <w:rsid w:val="00DE122A"/>
    <w:rsid w:val="00DE59ED"/>
    <w:rsid w:val="00DF3601"/>
    <w:rsid w:val="00E32F9B"/>
    <w:rsid w:val="00E33FB7"/>
    <w:rsid w:val="00E37C9A"/>
    <w:rsid w:val="00E404CB"/>
    <w:rsid w:val="00E54314"/>
    <w:rsid w:val="00E71F3F"/>
    <w:rsid w:val="00E7786C"/>
    <w:rsid w:val="00E83EFB"/>
    <w:rsid w:val="00E85005"/>
    <w:rsid w:val="00E91BCC"/>
    <w:rsid w:val="00E9445C"/>
    <w:rsid w:val="00EB6826"/>
    <w:rsid w:val="00EB762F"/>
    <w:rsid w:val="00EC5A15"/>
    <w:rsid w:val="00ED0D37"/>
    <w:rsid w:val="00ED68B2"/>
    <w:rsid w:val="00EE37B5"/>
    <w:rsid w:val="00EE3AC3"/>
    <w:rsid w:val="00EE652A"/>
    <w:rsid w:val="00EF63E0"/>
    <w:rsid w:val="00F03EE6"/>
    <w:rsid w:val="00F06A49"/>
    <w:rsid w:val="00F2141E"/>
    <w:rsid w:val="00F2183D"/>
    <w:rsid w:val="00F35A6A"/>
    <w:rsid w:val="00F36786"/>
    <w:rsid w:val="00F4514E"/>
    <w:rsid w:val="00F45176"/>
    <w:rsid w:val="00F57CA7"/>
    <w:rsid w:val="00F63D6D"/>
    <w:rsid w:val="00F648FB"/>
    <w:rsid w:val="00F65914"/>
    <w:rsid w:val="00F73AC1"/>
    <w:rsid w:val="00F80AAF"/>
    <w:rsid w:val="00F935AD"/>
    <w:rsid w:val="00FB0156"/>
    <w:rsid w:val="00FB33EB"/>
    <w:rsid w:val="00FC0E3D"/>
    <w:rsid w:val="00FC447C"/>
    <w:rsid w:val="00FD1589"/>
    <w:rsid w:val="00FD1754"/>
    <w:rsid w:val="00FE7647"/>
    <w:rsid w:val="00FF7390"/>
    <w:rsid w:val="75E529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docId w15:val="{F8E0B9C4-6E31-FD41-BA90-E8AEADF4E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Footer">
    <w:name w:val="footer"/>
    <w:basedOn w:val="Normal"/>
    <w:link w:val="FooterChar"/>
    <w:uiPriority w:val="99"/>
    <w:semiHidden/>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TOC1">
    <w:name w:val="toc 1"/>
    <w:basedOn w:val="Normal"/>
    <w:next w:val="Normal"/>
    <w:uiPriority w:val="39"/>
    <w:unhideWhenUsed/>
    <w:qFormat/>
    <w:pPr>
      <w:spacing w:after="100"/>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emiHidden/>
    <w:qFormat/>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customStyle="1" w:styleId="TOCHeading1">
    <w:name w:val="TOC Heading1"/>
    <w:basedOn w:val="Heading1"/>
    <w:next w:val="Normal"/>
    <w:uiPriority w:val="39"/>
    <w:semiHidden/>
    <w:unhideWhenUsed/>
    <w:qFormat/>
    <w:pPr>
      <w:outlineLvl w:val="9"/>
    </w:pPr>
  </w:style>
  <w:style w:type="character" w:styleId="FollowedHyperlink">
    <w:name w:val="FollowedHyperlink"/>
    <w:basedOn w:val="DefaultParagraphFont"/>
    <w:uiPriority w:val="99"/>
    <w:semiHidden/>
    <w:unhideWhenUsed/>
    <w:rsid w:val="00B21B8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federalreserve.gov/newsevents/pressreleases/bcreg20221123a.htm" TargetMode="External" /><Relationship Id="rId18" Type="http://schemas.openxmlformats.org/officeDocument/2006/relationships/hyperlink" Target="https://www.parliament.uk/business/publications/research/key-issues-parliament-2015/economy-public-finances/regulating-banks/"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jpeg" /><Relationship Id="rId12" Type="http://schemas.openxmlformats.org/officeDocument/2006/relationships/hyperlink" Target="https://www.hbs.edu/faculty/Pages/item.aspx?num=50835" TargetMode="External" /><Relationship Id="rId17" Type="http://schemas.openxmlformats.org/officeDocument/2006/relationships/hyperlink" Target="https://obr.uk/box/the-governments-regulatory-response-to-the-financial-crisis/" TargetMode="External" /><Relationship Id="rId2" Type="http://schemas.openxmlformats.org/officeDocument/2006/relationships/styles" Target="styles.xml" /><Relationship Id="rId16" Type="http://schemas.openxmlformats.org/officeDocument/2006/relationships/hyperlink" Target="https://www.latimes.com/archives/la-xpm-2010-dec-08-la-fi-citigroup-treasury-20101208-story.html"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cnbc.com/2022/12/09/uk-announces-major-overhaul-of-its-financial-sector-in-attempt-to-spur-growth.html" TargetMode="External" /><Relationship Id="rId5" Type="http://schemas.openxmlformats.org/officeDocument/2006/relationships/footnotes" Target="footnotes.xml" /><Relationship Id="rId15" Type="http://schemas.openxmlformats.org/officeDocument/2006/relationships/hyperlink" Target="https://www.jpmorgan.com/insights/global-research/markets/10-years-after-financial-crisis" TargetMode="External" /><Relationship Id="rId10" Type="http://schemas.openxmlformats.org/officeDocument/2006/relationships/hyperlink" Target="https://www.cazenovecapital.com/en-gb/uk/wealth-management/insights/the-longest-bull-market-in-history-in-five-charts/" TargetMode="External"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globallegalinsights.com/practice-areas/banking-and-finance-laws-and-regulations/united-kingd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C1C328-7A17-426B-AF2F-3E7A8931E8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5748</Words>
  <Characters>32768</Characters>
  <Application>Microsoft Office Word</Application>
  <DocSecurity>0</DocSecurity>
  <Lines>273</Lines>
  <Paragraphs>76</Paragraphs>
  <ScaleCrop>false</ScaleCrop>
  <Company>by adguard</Company>
  <LinksUpToDate>false</LinksUpToDate>
  <CharactersWithSpaces>38440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Ibrahim Hazratali Sardar (2215769)</cp:lastModifiedBy>
  <cp:revision>2</cp:revision>
  <dcterms:created xsi:type="dcterms:W3CDTF">2024-01-02T10:26:00Z</dcterms:created>
  <dcterms:modified xsi:type="dcterms:W3CDTF">2024-01-02T10:26:00Z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1033-12.2.0.13359</vt:lpwstr>
  </property>
  <property fmtid="{D5CDD505-2E9C-101B-9397-08002B2CF9AE}" pid="3" name="ICV">
    <vt:lpwstr>09DCEFEA1C1243639CC3DFE9443A2426_13</vt:lpwstr>
  </property>
</Properties>
</file>