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EBC3C" w14:textId="77777777" w:rsidR="00E56366" w:rsidRPr="00E56366" w:rsidRDefault="00E56366" w:rsidP="00E56366">
      <w:pPr>
        <w:spacing w:line="360" w:lineRule="auto"/>
        <w:jc w:val="center"/>
        <w:rPr>
          <w:rFonts w:ascii="Times New Roman" w:hAnsi="Times New Roman" w:cs="Times New Roman"/>
          <w:sz w:val="24"/>
          <w:szCs w:val="24"/>
        </w:rPr>
      </w:pPr>
      <w:r w:rsidRPr="00E56366">
        <w:rPr>
          <w:rFonts w:ascii="Oswald" w:hAnsi="Oswald" w:cs="Times New Roman"/>
          <w:b/>
          <w:bCs/>
          <w:i/>
          <w:iCs/>
          <w:color w:val="000000"/>
          <w:sz w:val="34"/>
          <w:szCs w:val="34"/>
          <w:u w:val="single"/>
        </w:rPr>
        <w:t>Using empirical evidence, evaluate the efficacy of a range of treatments for a depressive disorder of your choice</w:t>
      </w:r>
    </w:p>
    <w:p w14:paraId="48F80690" w14:textId="77777777" w:rsidR="00E56366" w:rsidRPr="00E56366" w:rsidRDefault="00E56366" w:rsidP="00E56366">
      <w:pPr>
        <w:spacing w:after="240" w:line="360" w:lineRule="auto"/>
        <w:rPr>
          <w:rFonts w:ascii="Times New Roman" w:eastAsia="Times New Roman" w:hAnsi="Times New Roman" w:cs="Times New Roman"/>
          <w:sz w:val="24"/>
          <w:szCs w:val="24"/>
        </w:rPr>
      </w:pPr>
    </w:p>
    <w:p w14:paraId="6E20A810"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Major Depressive Disorder (MDD) is a diagnosis given to those who are depressed or have lost interest in previously loved activities or hobbies. For a diagnosis to be made, this depressed feeling must occur on a daily basis for at least two weeks. Although the diagnosis is usually a recurrent one, it is feasible to make a diagnosis based on a single incident. As believed by, (</w:t>
      </w:r>
      <w:proofErr w:type="spellStart"/>
      <w:r w:rsidRPr="00E56366">
        <w:rPr>
          <w:rFonts w:ascii="Arial" w:hAnsi="Arial" w:cs="Arial"/>
          <w:color w:val="000000"/>
        </w:rPr>
        <w:t>Kraepelin,1886</w:t>
      </w:r>
      <w:proofErr w:type="spellEnd"/>
      <w:r w:rsidRPr="00E56366">
        <w:rPr>
          <w:rFonts w:ascii="Arial" w:hAnsi="Arial" w:cs="Arial"/>
          <w:color w:val="000000"/>
        </w:rPr>
        <w:t>) in the majority of instances, severe depressive episodes last 6 to 8 months. Furthermore, MDD remains a prominent cause of disability across the world, affecting one out of every six individuals at some point in their lives. </w:t>
      </w:r>
    </w:p>
    <w:p w14:paraId="75DC6146" w14:textId="77777777" w:rsidR="00E56366" w:rsidRPr="00E56366" w:rsidRDefault="00E56366" w:rsidP="00E56366">
      <w:pPr>
        <w:spacing w:line="360" w:lineRule="auto"/>
        <w:rPr>
          <w:rFonts w:ascii="Times New Roman" w:eastAsia="Times New Roman" w:hAnsi="Times New Roman" w:cs="Times New Roman"/>
          <w:sz w:val="24"/>
          <w:szCs w:val="24"/>
        </w:rPr>
      </w:pPr>
    </w:p>
    <w:p w14:paraId="228CB730"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The symptoms of major depressive disorder are characterised by emotional, motivational, behavioural, cognitive, and somatic problems. One of the most prevalent emotional indications of MDD is being in a dark, miserable or empty mood. This consists of being in a melancholy mood for the most of the day, almost daily, as proved by either subjective record . For instance, a sense of hopelessness, sadness, or emptiness, or a comment made by others (for example, seems to be crying) based on (Diagnostic And Statistical Manual Of Mental Disorder; DSM-5, 2013, p. 160). Moreover, MDD's motivational symptoms are a lack of initiative, drive, and naturalness within an individual. </w:t>
      </w:r>
    </w:p>
    <w:p w14:paraId="0B5C708D" w14:textId="77777777" w:rsidR="00E56366" w:rsidRPr="00E56366" w:rsidRDefault="00E56366" w:rsidP="00E56366">
      <w:pPr>
        <w:spacing w:line="360" w:lineRule="auto"/>
        <w:rPr>
          <w:rFonts w:ascii="Times New Roman" w:eastAsia="Times New Roman" w:hAnsi="Times New Roman" w:cs="Times New Roman"/>
          <w:sz w:val="24"/>
          <w:szCs w:val="24"/>
        </w:rPr>
      </w:pPr>
    </w:p>
    <w:p w14:paraId="745688F7"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One of the behavioural symptoms is being less active and productive. As an example, not performing daily activities, staying in bed for a few days, and a lack of energy. Additionally, MDD has a component of cognitive symptoms as well. To illustrate, having a pessimistic attitude toward themselves, blaming themselves for unforeseen situations. In addition, to holding unfavourable opinions on themselves. And lastly, somatic signs also contribute to MDD. Dizzy spells, weight loss and gain, overall body soreness and headaches are all examples of physical symptoms.</w:t>
      </w:r>
    </w:p>
    <w:p w14:paraId="36D17154" w14:textId="77777777" w:rsidR="00E56366" w:rsidRPr="00E56366" w:rsidRDefault="00E56366" w:rsidP="00E56366">
      <w:pPr>
        <w:spacing w:line="360" w:lineRule="auto"/>
        <w:rPr>
          <w:rFonts w:ascii="Times New Roman" w:eastAsia="Times New Roman" w:hAnsi="Times New Roman" w:cs="Times New Roman"/>
          <w:sz w:val="24"/>
          <w:szCs w:val="24"/>
        </w:rPr>
      </w:pPr>
    </w:p>
    <w:p w14:paraId="1BF57843"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Nevertheless, this essay will demonstrate how successful and powerful various sorts and forms of treatments or interventions are in treating severe major depressive disorder. Cognitive behavioural therapy (CBT) is the first accessible treatment for major depressive illness (CBT). Antidepressants are the second prospective medication to be examined in a similar way. As well as this, this essay will examine the contrasts and comparisons between two distinct therapies and trials in order to determine which is the most beneficial. </w:t>
      </w:r>
    </w:p>
    <w:p w14:paraId="33136687" w14:textId="77777777" w:rsidR="00E56366" w:rsidRPr="00E56366" w:rsidRDefault="00E56366" w:rsidP="00E56366">
      <w:pPr>
        <w:spacing w:after="240" w:line="360" w:lineRule="auto"/>
        <w:rPr>
          <w:rFonts w:ascii="Times New Roman" w:eastAsia="Times New Roman" w:hAnsi="Times New Roman" w:cs="Times New Roman"/>
          <w:sz w:val="24"/>
          <w:szCs w:val="24"/>
        </w:rPr>
      </w:pPr>
    </w:p>
    <w:p w14:paraId="0A5107C3"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On the basis of (</w:t>
      </w:r>
      <w:proofErr w:type="spellStart"/>
      <w:r w:rsidRPr="00E56366">
        <w:rPr>
          <w:rFonts w:ascii="Arial" w:hAnsi="Arial" w:cs="Arial"/>
          <w:color w:val="000000"/>
        </w:rPr>
        <w:t>Lukianoff</w:t>
      </w:r>
      <w:proofErr w:type="spellEnd"/>
      <w:r w:rsidRPr="00E56366">
        <w:rPr>
          <w:rFonts w:ascii="Arial" w:hAnsi="Arial" w:cs="Arial"/>
          <w:color w:val="000000"/>
        </w:rPr>
        <w:t xml:space="preserve"> &amp; </w:t>
      </w:r>
      <w:proofErr w:type="spellStart"/>
      <w:r w:rsidRPr="00E56366">
        <w:rPr>
          <w:rFonts w:ascii="Arial" w:hAnsi="Arial" w:cs="Arial"/>
          <w:color w:val="000000"/>
        </w:rPr>
        <w:t>Haidt</w:t>
      </w:r>
      <w:proofErr w:type="spellEnd"/>
      <w:r w:rsidRPr="00E56366">
        <w:rPr>
          <w:rFonts w:ascii="Arial" w:hAnsi="Arial" w:cs="Arial"/>
          <w:color w:val="000000"/>
        </w:rPr>
        <w:t>, 2011)</w:t>
      </w:r>
      <w:r w:rsidRPr="00E56366">
        <w:rPr>
          <w:rFonts w:ascii="Arial" w:hAnsi="Arial" w:cs="Arial"/>
          <w:color w:val="FF0000"/>
        </w:rPr>
        <w:t xml:space="preserve"> </w:t>
      </w:r>
      <w:r w:rsidRPr="00E56366">
        <w:rPr>
          <w:rFonts w:ascii="Arial" w:hAnsi="Arial" w:cs="Arial"/>
          <w:color w:val="000000"/>
        </w:rPr>
        <w:t>CBT functions as a type of psychotherapy intervention that was demonstrated to be effective and highly beneficial for a multitude of problems, such as depression with alcohol as well as drug use. Moreover, CBT significantly enhances function and standard of life claimed by several sources. In the same way, CBT improves functionality and standard of life in a major way. CBT has been implied to be as beneficial as ever, if not more effective than, other types of psychological intervention or psychiatric medications in several trials suggested by (</w:t>
      </w:r>
      <w:proofErr w:type="spellStart"/>
      <w:r w:rsidRPr="00E56366">
        <w:rPr>
          <w:rFonts w:ascii="Arial" w:hAnsi="Arial" w:cs="Arial"/>
          <w:color w:val="000000"/>
        </w:rPr>
        <w:t>Lukianoff</w:t>
      </w:r>
      <w:proofErr w:type="spellEnd"/>
      <w:r w:rsidRPr="00E56366">
        <w:rPr>
          <w:rFonts w:ascii="Arial" w:hAnsi="Arial" w:cs="Arial"/>
          <w:color w:val="000000"/>
        </w:rPr>
        <w:t xml:space="preserve"> &amp; </w:t>
      </w:r>
      <w:proofErr w:type="spellStart"/>
      <w:r w:rsidRPr="00E56366">
        <w:rPr>
          <w:rFonts w:ascii="Arial" w:hAnsi="Arial" w:cs="Arial"/>
          <w:color w:val="000000"/>
        </w:rPr>
        <w:t>Haidt</w:t>
      </w:r>
      <w:proofErr w:type="spellEnd"/>
      <w:r w:rsidRPr="00E56366">
        <w:rPr>
          <w:rFonts w:ascii="Arial" w:hAnsi="Arial" w:cs="Arial"/>
          <w:color w:val="000000"/>
        </w:rPr>
        <w:t>). CBT is built on a few essential concepts. To illustrate, individuals who struggle with psychological issues can improve and develop their coping abilities, which will help them to reduce their symptoms and be more productive in their everyday life. Another principle is that learned patterns of harmful behaviour are a part of the aetiology of psychological disorders (</w:t>
      </w:r>
      <w:proofErr w:type="spellStart"/>
      <w:r w:rsidRPr="00E56366">
        <w:rPr>
          <w:rFonts w:ascii="Arial" w:hAnsi="Arial" w:cs="Arial"/>
          <w:color w:val="000000"/>
        </w:rPr>
        <w:t>Lukianoff</w:t>
      </w:r>
      <w:proofErr w:type="spellEnd"/>
      <w:r w:rsidRPr="00E56366">
        <w:rPr>
          <w:rFonts w:ascii="Arial" w:hAnsi="Arial" w:cs="Arial"/>
          <w:color w:val="000000"/>
        </w:rPr>
        <w:t xml:space="preserve"> &amp; </w:t>
      </w:r>
      <w:proofErr w:type="spellStart"/>
      <w:r w:rsidRPr="00E56366">
        <w:rPr>
          <w:rFonts w:ascii="Arial" w:hAnsi="Arial" w:cs="Arial"/>
          <w:color w:val="000000"/>
        </w:rPr>
        <w:t>Haidt</w:t>
      </w:r>
      <w:proofErr w:type="spellEnd"/>
      <w:r w:rsidRPr="00E56366">
        <w:rPr>
          <w:rFonts w:ascii="Arial" w:hAnsi="Arial" w:cs="Arial"/>
          <w:color w:val="000000"/>
        </w:rPr>
        <w:t>). </w:t>
      </w:r>
    </w:p>
    <w:p w14:paraId="61A37896" w14:textId="77777777" w:rsidR="00E56366" w:rsidRPr="00E56366" w:rsidRDefault="00E56366" w:rsidP="00E56366">
      <w:pPr>
        <w:spacing w:line="360" w:lineRule="auto"/>
        <w:rPr>
          <w:rFonts w:ascii="Times New Roman" w:eastAsia="Times New Roman" w:hAnsi="Times New Roman" w:cs="Times New Roman"/>
          <w:sz w:val="24"/>
          <w:szCs w:val="24"/>
        </w:rPr>
      </w:pPr>
    </w:p>
    <w:p w14:paraId="57560DE6"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CBT typically includes efforts to change mental patterns. Some of these particular strategies might contain the following learning to relax an individual's body and quiet one's thoughts, enlarge a greater grasp of other individuals encouragement and performance and rather of avoiding an individual's worries, one should tackle them implied by (</w:t>
      </w:r>
      <w:proofErr w:type="spellStart"/>
      <w:r w:rsidRPr="00E56366">
        <w:rPr>
          <w:rFonts w:ascii="Arial" w:hAnsi="Arial" w:cs="Arial"/>
          <w:color w:val="000000"/>
        </w:rPr>
        <w:t>Lukianoff</w:t>
      </w:r>
      <w:proofErr w:type="spellEnd"/>
      <w:r w:rsidRPr="00E56366">
        <w:rPr>
          <w:rFonts w:ascii="Arial" w:hAnsi="Arial" w:cs="Arial"/>
          <w:color w:val="000000"/>
        </w:rPr>
        <w:t xml:space="preserve"> &amp; </w:t>
      </w:r>
      <w:proofErr w:type="spellStart"/>
      <w:r w:rsidRPr="00E56366">
        <w:rPr>
          <w:rFonts w:ascii="Arial" w:hAnsi="Arial" w:cs="Arial"/>
          <w:color w:val="000000"/>
        </w:rPr>
        <w:t>Haidt</w:t>
      </w:r>
      <w:proofErr w:type="spellEnd"/>
      <w:r w:rsidRPr="00E56366">
        <w:rPr>
          <w:rFonts w:ascii="Arial" w:hAnsi="Arial" w:cs="Arial"/>
          <w:color w:val="000000"/>
        </w:rPr>
        <w:t>, 2011). Furthermore, the CBT intervention will be put to the test with a mindfulness trial. This research gathered a variety of data in order to determine whether or not the treatment is effective, which is all included in the next section for the main body of this essay. </w:t>
      </w:r>
    </w:p>
    <w:p w14:paraId="1B60109E" w14:textId="77777777" w:rsidR="00E56366" w:rsidRPr="00E56366" w:rsidRDefault="00E56366" w:rsidP="00E56366">
      <w:pPr>
        <w:spacing w:line="360" w:lineRule="auto"/>
        <w:rPr>
          <w:rFonts w:ascii="Times New Roman" w:eastAsia="Times New Roman" w:hAnsi="Times New Roman" w:cs="Times New Roman"/>
          <w:sz w:val="24"/>
          <w:szCs w:val="24"/>
        </w:rPr>
      </w:pPr>
    </w:p>
    <w:p w14:paraId="4F6A2BA1"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CC0000"/>
        </w:rPr>
        <w:t> </w:t>
      </w:r>
      <w:r w:rsidRPr="00E56366">
        <w:rPr>
          <w:rFonts w:ascii="Arial" w:hAnsi="Arial" w:cs="Arial"/>
          <w:color w:val="000000"/>
        </w:rPr>
        <w:t xml:space="preserve">MDD can be dealt within a variety of ways. As an example, Cognitive Behavioural Therapy (CBT) and Electroconvulsive Therapy (ECT) are both successful therapeutic approaches. Additionally, antidepressants can also be utilised as a means of treatment. Antidepressants are divided into a number of important categories. To illustrate, antidepressants include selective serotonin </w:t>
      </w:r>
      <w:proofErr w:type="spellStart"/>
      <w:r w:rsidRPr="00E56366">
        <w:rPr>
          <w:rFonts w:ascii="Arial" w:hAnsi="Arial" w:cs="Arial"/>
          <w:color w:val="000000"/>
        </w:rPr>
        <w:t>reuptake</w:t>
      </w:r>
      <w:proofErr w:type="spellEnd"/>
      <w:r w:rsidRPr="00E56366">
        <w:rPr>
          <w:rFonts w:ascii="Arial" w:hAnsi="Arial" w:cs="Arial"/>
          <w:color w:val="000000"/>
        </w:rPr>
        <w:t xml:space="preserve"> inhibitors (SSRIs), tricyclic antidepressants, and serotonin and norepinephrine </w:t>
      </w:r>
      <w:proofErr w:type="spellStart"/>
      <w:r w:rsidRPr="00E56366">
        <w:rPr>
          <w:rFonts w:ascii="Arial" w:hAnsi="Arial" w:cs="Arial"/>
          <w:color w:val="000000"/>
        </w:rPr>
        <w:t>reuptake</w:t>
      </w:r>
      <w:proofErr w:type="spellEnd"/>
      <w:r w:rsidRPr="00E56366">
        <w:rPr>
          <w:rFonts w:ascii="Arial" w:hAnsi="Arial" w:cs="Arial"/>
          <w:color w:val="000000"/>
        </w:rPr>
        <w:t xml:space="preserve"> inhibitors (Helen &amp; Teasdale, 2004). </w:t>
      </w:r>
    </w:p>
    <w:p w14:paraId="37189C1A" w14:textId="77777777" w:rsidR="00E56366" w:rsidRPr="00E56366" w:rsidRDefault="00E56366" w:rsidP="00E56366">
      <w:pPr>
        <w:spacing w:line="360" w:lineRule="auto"/>
        <w:rPr>
          <w:rFonts w:ascii="Times New Roman" w:eastAsia="Times New Roman" w:hAnsi="Times New Roman" w:cs="Times New Roman"/>
          <w:sz w:val="24"/>
          <w:szCs w:val="24"/>
        </w:rPr>
      </w:pPr>
    </w:p>
    <w:p w14:paraId="46295867"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In addition, according to the treatment, two out of every five people with serious depression begin to recover within three months of beginning, and four out of five people recover within a year. The time from the onset of depression is a powerful predictor of short lasting recovery, and many individuals who have been depressed for only a few months can expect to recover on their own. The benefit of combining acute pharmacotherapy with psychological prophylaxis is that it takes advantage of antidepressant medication's cost effectiveness to decrease acute symptoms and signs while decreasing the need of individuals to endure on maintenance medication indefinitely to avoid recurrence and relapse in the future. </w:t>
      </w:r>
    </w:p>
    <w:p w14:paraId="3B3141C8" w14:textId="77777777" w:rsidR="00E56366" w:rsidRPr="00E56366" w:rsidRDefault="00E56366" w:rsidP="00E56366">
      <w:pPr>
        <w:spacing w:after="240" w:line="360" w:lineRule="auto"/>
        <w:rPr>
          <w:rFonts w:ascii="Times New Roman" w:eastAsia="Times New Roman" w:hAnsi="Times New Roman" w:cs="Times New Roman"/>
          <w:sz w:val="24"/>
          <w:szCs w:val="24"/>
        </w:rPr>
      </w:pPr>
      <w:r w:rsidRPr="00E56366">
        <w:rPr>
          <w:rFonts w:ascii="Times New Roman" w:eastAsia="Times New Roman" w:hAnsi="Times New Roman" w:cs="Times New Roman"/>
          <w:sz w:val="24"/>
          <w:szCs w:val="24"/>
        </w:rPr>
        <w:lastRenderedPageBreak/>
        <w:br/>
      </w:r>
      <w:r w:rsidRPr="00E56366">
        <w:rPr>
          <w:rFonts w:ascii="Times New Roman" w:eastAsia="Times New Roman" w:hAnsi="Times New Roman" w:cs="Times New Roman"/>
          <w:sz w:val="24"/>
          <w:szCs w:val="24"/>
        </w:rPr>
        <w:br/>
      </w:r>
    </w:p>
    <w:p w14:paraId="6BB571BE"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Cognitive behavioural therapy, in combination with mindfulness training, is a therapeutic option for severe depressive illness. (Helen &amp; Teasdale, 2004) “conducted a research that investigated the effectiveness of mindfulness study established cognitive therapy” (MBCT). MBCT strives to increase participants' awareness of undesired thoughts, feelings, and physical sensations, as well as their ability to change their connection with them. As a result, they reduce and decrease the possibilities of automatically avoiding or reacting to them, but rather respond to them with purpose alongside knowledge. CBT, on the other hand, is a sort of psychiatric intervention that has been proved to be useful as well as beneficial for a variety of conditions, including depression. </w:t>
      </w:r>
    </w:p>
    <w:p w14:paraId="2AD968EE" w14:textId="77777777" w:rsidR="00E56366" w:rsidRPr="00E56366" w:rsidRDefault="00E56366" w:rsidP="00E56366">
      <w:pPr>
        <w:spacing w:line="360" w:lineRule="auto"/>
        <w:rPr>
          <w:rFonts w:ascii="Times New Roman" w:eastAsia="Times New Roman" w:hAnsi="Times New Roman" w:cs="Times New Roman"/>
          <w:sz w:val="24"/>
          <w:szCs w:val="24"/>
        </w:rPr>
      </w:pPr>
    </w:p>
    <w:p w14:paraId="719B434E"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Seventy five participants with serious depression were enrolled in this study, all of them are presently in remission or recovery. In addition, up to 12 healed recurrently depressed individuals participated in the 8 week experiment. Before the mindfulness study took place, the Beck Depression Inventory (BDI) was commonly utilised to examine the participants. It included a twenty one item questionnaire that evaluated the intensity of emotional, cognitive, behavioural, and physical indication of depression. Similar to this, the ratings of the patients vary from 0 to 3, this has been shown by (Helen &amp; Teasdale, 2004). </w:t>
      </w:r>
    </w:p>
    <w:p w14:paraId="6C720729" w14:textId="77777777" w:rsidR="00E56366" w:rsidRPr="00E56366" w:rsidRDefault="00E56366" w:rsidP="00E56366">
      <w:pPr>
        <w:spacing w:line="360" w:lineRule="auto"/>
        <w:rPr>
          <w:rFonts w:ascii="Times New Roman" w:eastAsia="Times New Roman" w:hAnsi="Times New Roman" w:cs="Times New Roman"/>
          <w:sz w:val="24"/>
          <w:szCs w:val="24"/>
        </w:rPr>
      </w:pPr>
    </w:p>
    <w:p w14:paraId="6D89AB99"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Furthermore, general investigators and advertisements in local newspapers were </w:t>
      </w:r>
    </w:p>
    <w:p w14:paraId="55890896"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employed to recruit these individuals. According to the study's updated criteria, participants must be 18 to 65 years old and have a history of recurrent serious depression. Some of the fifty volunteers, as well as the recovered depressive participants, were chosen from a volunteer panel who answered no to the pairs of the following key depression screening inquiries. “Has there been a time when you were depressed or down just about daily for as long as a few weeks?” also “Has there been a moment when you were a lot less focused on the majority of things or powerless to appreciate things you used to adore for as long as a few weeks?” suggested by (Helen &amp; Teasdale, 2004). As well as this, patients were assigned to one of two groups. The groups are either randomised to intervention as normal (TAU) or MBCT.</w:t>
      </w:r>
    </w:p>
    <w:p w14:paraId="051B5403" w14:textId="77777777" w:rsidR="00E56366" w:rsidRPr="00E56366" w:rsidRDefault="00E56366" w:rsidP="00E56366">
      <w:pPr>
        <w:spacing w:line="360" w:lineRule="auto"/>
        <w:rPr>
          <w:rFonts w:ascii="Times New Roman" w:eastAsia="Times New Roman" w:hAnsi="Times New Roman" w:cs="Times New Roman"/>
          <w:sz w:val="24"/>
          <w:szCs w:val="24"/>
        </w:rPr>
      </w:pPr>
    </w:p>
    <w:p w14:paraId="0472B1B0"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 xml:space="preserve">Throughout the experiment, patients were advised to seek or look for care from their relatives, doctor, or other materials or information as they generally would if their symptoms </w:t>
      </w:r>
      <w:r w:rsidRPr="00E56366">
        <w:rPr>
          <w:rFonts w:ascii="Arial" w:hAnsi="Arial" w:cs="Arial"/>
          <w:color w:val="000000"/>
        </w:rPr>
        <w:lastRenderedPageBreak/>
        <w:t>worsened or they had additional problems. Moreover, every patients' medical care during the 3 month assessment meetings, the TAU and MBCT groups were evaluated. Likewise, two experienced cognitive therapists served as instructors in the study. Both therapists had previously facilitated the MBCT treatment for at least two groups of depressive patients who had fully made a safe recovery. </w:t>
      </w:r>
    </w:p>
    <w:p w14:paraId="3F176210" w14:textId="77777777" w:rsidR="00E56366" w:rsidRPr="00E56366" w:rsidRDefault="00E56366" w:rsidP="00E56366">
      <w:pPr>
        <w:spacing w:line="360" w:lineRule="auto"/>
        <w:rPr>
          <w:rFonts w:ascii="Times New Roman" w:eastAsia="Times New Roman" w:hAnsi="Times New Roman" w:cs="Times New Roman"/>
          <w:sz w:val="24"/>
          <w:szCs w:val="24"/>
        </w:rPr>
      </w:pPr>
    </w:p>
    <w:p w14:paraId="7F19D155"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Finally, in the trimonthly interviews, the non-trial therapy (TAU) for major depression was investigated based on the findings. There is no significant difference between the two groups of MBCT and TAU, for any of the non-trial treatment measures.This indicates that the study conducted by (Helen &amp; Teasdale, 2004) was ineffective. </w:t>
      </w:r>
    </w:p>
    <w:p w14:paraId="1C809BB3" w14:textId="77777777" w:rsidR="00E56366" w:rsidRPr="00E56366" w:rsidRDefault="00E56366" w:rsidP="00E56366">
      <w:pPr>
        <w:spacing w:line="360" w:lineRule="auto"/>
        <w:rPr>
          <w:rFonts w:ascii="Times New Roman" w:eastAsia="Times New Roman" w:hAnsi="Times New Roman" w:cs="Times New Roman"/>
          <w:sz w:val="24"/>
          <w:szCs w:val="24"/>
        </w:rPr>
      </w:pPr>
    </w:p>
    <w:p w14:paraId="0CE1D236"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However, the medicine of antidepressants is the next therapy option for major depressive disorder, alongside the study of meta-analysis. Antidepressants (AD) are another type of treatment for MDD. This was briefly mentioned in the introduction. In randomised studies, AD medicines are familiar to handle severe major depressive incidents in 2 to 3 months, with remission momentum of 40 to 60%. On the other hand, long lasting depressed symptoms have a significant impact on patients' life, increasing suffering and the risk of suicide.</w:t>
      </w:r>
      <w:r w:rsidRPr="00E56366">
        <w:rPr>
          <w:rFonts w:ascii="Arial" w:hAnsi="Arial" w:cs="Arial"/>
          <w:color w:val="FF0000"/>
        </w:rPr>
        <w:t xml:space="preserve"> </w:t>
      </w:r>
      <w:r w:rsidRPr="00E56366">
        <w:rPr>
          <w:rFonts w:ascii="Arial" w:hAnsi="Arial" w:cs="Arial"/>
          <w:color w:val="000000"/>
        </w:rPr>
        <w:t>If the initial AD treatment is unsuccessful, the patient is given a second or third treatment.  Furthermore, a meta analysis was conducted by (</w:t>
      </w:r>
      <w:proofErr w:type="spellStart"/>
      <w:r w:rsidRPr="00E56366">
        <w:rPr>
          <w:rFonts w:ascii="Arial" w:hAnsi="Arial" w:cs="Arial"/>
          <w:color w:val="000000"/>
        </w:rPr>
        <w:t>Olgiati</w:t>
      </w:r>
      <w:proofErr w:type="spellEnd"/>
      <w:r w:rsidRPr="00E56366">
        <w:rPr>
          <w:rFonts w:ascii="Arial" w:hAnsi="Arial" w:cs="Arial"/>
          <w:color w:val="000000"/>
        </w:rPr>
        <w:t xml:space="preserve"> et al., 2018) in order to establish a relationship between AD and the study.The study's purpose was to see if a partial reduction in depression signs by week four was connected to MDD response and cancellation by weeks six to fourteen. </w:t>
      </w:r>
    </w:p>
    <w:p w14:paraId="4E4A0D3A" w14:textId="77777777" w:rsidR="00E56366" w:rsidRPr="00E56366" w:rsidRDefault="00E56366" w:rsidP="00E56366">
      <w:pPr>
        <w:spacing w:line="360" w:lineRule="auto"/>
        <w:rPr>
          <w:rFonts w:ascii="Times New Roman" w:eastAsia="Times New Roman" w:hAnsi="Times New Roman" w:cs="Times New Roman"/>
          <w:sz w:val="24"/>
          <w:szCs w:val="24"/>
        </w:rPr>
      </w:pPr>
    </w:p>
    <w:p w14:paraId="09EA38F9"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The sample size for meta analysis varied greatly between research, as did the length of treatment. Additionally, Antipsychotics, mood stabilisers were all used in different ways. According to (</w:t>
      </w:r>
      <w:proofErr w:type="spellStart"/>
      <w:r w:rsidRPr="00E56366">
        <w:rPr>
          <w:rFonts w:ascii="Arial" w:hAnsi="Arial" w:cs="Arial"/>
          <w:color w:val="000000"/>
        </w:rPr>
        <w:t>Olgiati</w:t>
      </w:r>
      <w:proofErr w:type="spellEnd"/>
      <w:r w:rsidRPr="00E56366">
        <w:rPr>
          <w:rFonts w:ascii="Arial" w:hAnsi="Arial" w:cs="Arial"/>
          <w:color w:val="000000"/>
        </w:rPr>
        <w:t xml:space="preserve"> et al., 2018) these traits highlight clinical practice commonalities, although there are also complicating effects due to different therapies. As a result, larger studies necessitate the division of subjects into homogenous treatment groups, allowing for independent analysis. </w:t>
      </w:r>
    </w:p>
    <w:p w14:paraId="79986632" w14:textId="77777777" w:rsidR="00E56366" w:rsidRPr="00E56366" w:rsidRDefault="00E56366" w:rsidP="00E56366">
      <w:pPr>
        <w:spacing w:line="360" w:lineRule="auto"/>
        <w:rPr>
          <w:rFonts w:ascii="Times New Roman" w:eastAsia="Times New Roman" w:hAnsi="Times New Roman" w:cs="Times New Roman"/>
          <w:sz w:val="24"/>
          <w:szCs w:val="24"/>
        </w:rPr>
      </w:pPr>
    </w:p>
    <w:p w14:paraId="66957FC7"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 xml:space="preserve">The study hypothesised that a lack of rapid development, as a dependable predictor of lack of last reply to AD intervention, might become beneficial towards change of AD dose or else medication. Nevertheless, the purpose of this experiment was to explore the corporation between sooner development and full AD response, but not the advantage of sooner alternation. Participants in the trial had to be between the ages of 18 and 65 and have been previously diagnosed with MDD, according to the researchers (DSM-5, 2013). The study did </w:t>
      </w:r>
      <w:r w:rsidRPr="00E56366">
        <w:rPr>
          <w:rFonts w:ascii="Arial" w:hAnsi="Arial" w:cs="Arial"/>
          <w:color w:val="000000"/>
        </w:rPr>
        <w:lastRenderedPageBreak/>
        <w:t>not include a Randomised Control Trial (RCT) because the treatment circumstances were by no means thought to be indicative of daily impersonal experience. However, “the planned examination of research was carried out linking to PRISMA suggestions” (</w:t>
      </w:r>
      <w:proofErr w:type="spellStart"/>
      <w:r w:rsidRPr="00E56366">
        <w:rPr>
          <w:rFonts w:ascii="Arial" w:hAnsi="Arial" w:cs="Arial"/>
          <w:color w:val="000000"/>
        </w:rPr>
        <w:t>Wagneretal</w:t>
      </w:r>
      <w:proofErr w:type="spellEnd"/>
      <w:r w:rsidRPr="00E56366">
        <w:rPr>
          <w:rFonts w:ascii="Arial" w:hAnsi="Arial" w:cs="Arial"/>
          <w:color w:val="000000"/>
        </w:rPr>
        <w:t>, 2017). </w:t>
      </w:r>
    </w:p>
    <w:p w14:paraId="1053D9A0" w14:textId="77777777" w:rsidR="00E56366" w:rsidRPr="00E56366" w:rsidRDefault="00E56366" w:rsidP="00E56366">
      <w:pPr>
        <w:spacing w:line="360" w:lineRule="auto"/>
        <w:rPr>
          <w:rFonts w:ascii="Times New Roman" w:eastAsia="Times New Roman" w:hAnsi="Times New Roman" w:cs="Times New Roman"/>
          <w:sz w:val="24"/>
          <w:szCs w:val="24"/>
        </w:rPr>
      </w:pPr>
    </w:p>
    <w:p w14:paraId="7BD08AEA"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The participants in the trial were divided into two groups. A control group and an antidepressant group (case group). Patients in the control groups were given either a placebo or an active medicine. As claimed by (</w:t>
      </w:r>
      <w:proofErr w:type="spellStart"/>
      <w:r w:rsidRPr="00E56366">
        <w:rPr>
          <w:rFonts w:ascii="Arial" w:hAnsi="Arial" w:cs="Arial"/>
          <w:color w:val="000000"/>
        </w:rPr>
        <w:t>Souery</w:t>
      </w:r>
      <w:proofErr w:type="spellEnd"/>
      <w:r w:rsidRPr="00E56366">
        <w:rPr>
          <w:rFonts w:ascii="Arial" w:hAnsi="Arial" w:cs="Arial"/>
          <w:color w:val="000000"/>
        </w:rPr>
        <w:t xml:space="preserve"> et al., 2015), “the model had a pre-switch and post-switch stage, as well as three treatment algorithms”. The first algorithm expresses the fact that until week 6, Venlafaxine (VEN) was given to the entire group. Patients who were in remission at this point continued to take VEN until the research ended within week 12. In place of those who did not set aside at the detached calculation point were exchanged to Escitalopram (ESC) also given a 6 week intervention addition. </w:t>
      </w:r>
    </w:p>
    <w:p w14:paraId="0A6E3144" w14:textId="77777777" w:rsidR="00E56366" w:rsidRPr="00E56366" w:rsidRDefault="00E56366" w:rsidP="00E56366">
      <w:pPr>
        <w:spacing w:line="360" w:lineRule="auto"/>
        <w:rPr>
          <w:rFonts w:ascii="Times New Roman" w:eastAsia="Times New Roman" w:hAnsi="Times New Roman" w:cs="Times New Roman"/>
          <w:sz w:val="24"/>
          <w:szCs w:val="24"/>
        </w:rPr>
      </w:pPr>
    </w:p>
    <w:p w14:paraId="4064B3BA"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 xml:space="preserve">According to the study's second algorithm, VEN would be given to the entire sample for two weeks, after which patients who did not show a significant improvement of at least 20% on the </w:t>
      </w:r>
      <w:proofErr w:type="spellStart"/>
      <w:r w:rsidRPr="00E56366">
        <w:rPr>
          <w:rFonts w:ascii="Arial" w:hAnsi="Arial" w:cs="Arial"/>
          <w:color w:val="000000"/>
        </w:rPr>
        <w:t>Montgomery-Asberg</w:t>
      </w:r>
      <w:proofErr w:type="spellEnd"/>
      <w:r w:rsidRPr="00E56366">
        <w:rPr>
          <w:rFonts w:ascii="Arial" w:hAnsi="Arial" w:cs="Arial"/>
          <w:color w:val="000000"/>
        </w:rPr>
        <w:t xml:space="preserve"> Depression Rating Scale (MADRS) in this rapid phase of intervention would be changed to another medication, ESC. However, if there was a significant improvement early on, VEN was extended before week 6. Furthermore, if no suspension occurred, VEN was substituted with ESC. </w:t>
      </w:r>
    </w:p>
    <w:p w14:paraId="724FBEFC" w14:textId="77777777" w:rsidR="00E56366" w:rsidRPr="00E56366" w:rsidRDefault="00E56366" w:rsidP="00E56366">
      <w:pPr>
        <w:spacing w:line="360" w:lineRule="auto"/>
        <w:rPr>
          <w:rFonts w:ascii="Times New Roman" w:eastAsia="Times New Roman" w:hAnsi="Times New Roman" w:cs="Times New Roman"/>
          <w:sz w:val="24"/>
          <w:szCs w:val="24"/>
        </w:rPr>
      </w:pPr>
    </w:p>
    <w:p w14:paraId="785EB045"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The third and final algorithm states that VEN was replaced by ESC in participants who did not remit after 6 weeks and did not exhibit a 30% development in MADRS after 4 weeks of VEN therapy in this modified variant of the second strategy. “The meta analysis study was used to determine the titration and mean dosages of VEN and ESC” implied by (</w:t>
      </w:r>
      <w:proofErr w:type="spellStart"/>
      <w:r w:rsidRPr="00E56366">
        <w:rPr>
          <w:rFonts w:ascii="Arial" w:hAnsi="Arial" w:cs="Arial"/>
          <w:color w:val="000000"/>
        </w:rPr>
        <w:t>Souery</w:t>
      </w:r>
      <w:proofErr w:type="spellEnd"/>
      <w:r w:rsidRPr="00E56366">
        <w:rPr>
          <w:rFonts w:ascii="Arial" w:hAnsi="Arial" w:cs="Arial"/>
          <w:color w:val="000000"/>
        </w:rPr>
        <w:t xml:space="preserve"> et al., 2015). Researchers utilised simulation results to predict the number of </w:t>
      </w:r>
      <w:proofErr w:type="spellStart"/>
      <w:r w:rsidRPr="00E56366">
        <w:rPr>
          <w:rFonts w:ascii="Arial" w:hAnsi="Arial" w:cs="Arial"/>
          <w:color w:val="000000"/>
        </w:rPr>
        <w:t>TRs</w:t>
      </w:r>
      <w:proofErr w:type="spellEnd"/>
      <w:r w:rsidRPr="00E56366">
        <w:rPr>
          <w:rFonts w:ascii="Arial" w:hAnsi="Arial" w:cs="Arial"/>
          <w:color w:val="000000"/>
        </w:rPr>
        <w:t xml:space="preserve"> who achieved a venlafaxine or escitalopram study with a MADRS results of 10 at the end, as well as those who remained depressed after therapy (treated non-remitters, TNR). </w:t>
      </w:r>
    </w:p>
    <w:p w14:paraId="639D4877" w14:textId="77777777" w:rsidR="00E56366" w:rsidRPr="00E56366" w:rsidRDefault="00E56366" w:rsidP="00E56366">
      <w:pPr>
        <w:spacing w:line="360" w:lineRule="auto"/>
        <w:rPr>
          <w:rFonts w:ascii="Times New Roman" w:eastAsia="Times New Roman" w:hAnsi="Times New Roman" w:cs="Times New Roman"/>
          <w:sz w:val="24"/>
          <w:szCs w:val="24"/>
        </w:rPr>
      </w:pPr>
    </w:p>
    <w:p w14:paraId="23F1F1BF"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 xml:space="preserve">To summarise, an enchantment in depression signs as quickly as two weeks following the foundation of the following AD does not allow a strong consequence predictor in resistant individuals with only one earlier ineffective AD study. Moreover, only after 4 weeks of no acceptable response to the initial AD is switching to the new AD is there a small even so constant improvement in the likelihood of attaining remission also improving standard of life. Nevertheless, the starting trail of symptoms or early signals of no response, resistant depression intervention should be proceeded for 4 to 6 weeks. These results, which are </w:t>
      </w:r>
      <w:r w:rsidRPr="00E56366">
        <w:rPr>
          <w:rFonts w:ascii="Arial" w:hAnsi="Arial" w:cs="Arial"/>
          <w:color w:val="000000"/>
        </w:rPr>
        <w:lastRenderedPageBreak/>
        <w:t>based on a theoretical model, must be confirmed through empirical research. Because TRD is so complex, and it's likely linked to several biological mechanisms. Participants who have not responded to their first AD drug should have a multiple of treatment options accessible shown by (</w:t>
      </w:r>
      <w:proofErr w:type="spellStart"/>
      <w:r w:rsidRPr="00E56366">
        <w:rPr>
          <w:rFonts w:ascii="Arial" w:hAnsi="Arial" w:cs="Arial"/>
          <w:color w:val="000000"/>
        </w:rPr>
        <w:t>Olgiati</w:t>
      </w:r>
      <w:proofErr w:type="spellEnd"/>
      <w:r w:rsidRPr="00E56366">
        <w:rPr>
          <w:rFonts w:ascii="Arial" w:hAnsi="Arial" w:cs="Arial"/>
          <w:color w:val="000000"/>
        </w:rPr>
        <w:t xml:space="preserve"> et al., 2018). </w:t>
      </w:r>
    </w:p>
    <w:p w14:paraId="13D3F12D" w14:textId="77777777" w:rsidR="00E56366" w:rsidRPr="00E56366" w:rsidRDefault="00E56366" w:rsidP="00E56366">
      <w:pPr>
        <w:spacing w:line="360" w:lineRule="auto"/>
        <w:rPr>
          <w:rFonts w:ascii="Times New Roman" w:eastAsia="Times New Roman" w:hAnsi="Times New Roman" w:cs="Times New Roman"/>
          <w:sz w:val="24"/>
          <w:szCs w:val="24"/>
        </w:rPr>
      </w:pPr>
    </w:p>
    <w:p w14:paraId="44D7F515"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Overall, the meta analysis revealed significant links between early development, response, and remission in general. The best strategy scenario was the third algorithm, which involved a switch after four weeks and resulted in a modestly higher remission rate. In comparison to the first algorithm, the second algorithm switched after two weeks resulted in a 4.3 percent drop in remission. This implies that the study by (</w:t>
      </w:r>
      <w:proofErr w:type="spellStart"/>
      <w:r w:rsidRPr="00E56366">
        <w:rPr>
          <w:rFonts w:ascii="Arial" w:hAnsi="Arial" w:cs="Arial"/>
          <w:color w:val="000000"/>
        </w:rPr>
        <w:t>Olgiati</w:t>
      </w:r>
      <w:proofErr w:type="spellEnd"/>
      <w:r w:rsidRPr="00E56366">
        <w:rPr>
          <w:rFonts w:ascii="Arial" w:hAnsi="Arial" w:cs="Arial"/>
          <w:color w:val="000000"/>
        </w:rPr>
        <w:t xml:space="preserve"> et al.,  2018) was successful in some aspects of antidepressant use. </w:t>
      </w:r>
    </w:p>
    <w:p w14:paraId="2BE20723" w14:textId="77777777" w:rsidR="00E56366" w:rsidRPr="00E56366" w:rsidRDefault="00E56366" w:rsidP="00E56366">
      <w:pPr>
        <w:spacing w:after="240" w:line="360" w:lineRule="auto"/>
        <w:rPr>
          <w:rFonts w:ascii="Times New Roman" w:eastAsia="Times New Roman" w:hAnsi="Times New Roman" w:cs="Times New Roman"/>
          <w:sz w:val="24"/>
          <w:szCs w:val="24"/>
        </w:rPr>
      </w:pPr>
      <w:r w:rsidRPr="00E56366">
        <w:rPr>
          <w:rFonts w:ascii="Times New Roman" w:eastAsia="Times New Roman" w:hAnsi="Times New Roman" w:cs="Times New Roman"/>
          <w:sz w:val="24"/>
          <w:szCs w:val="24"/>
        </w:rPr>
        <w:br/>
      </w:r>
      <w:r w:rsidRPr="00E56366">
        <w:rPr>
          <w:rFonts w:ascii="Times New Roman" w:eastAsia="Times New Roman" w:hAnsi="Times New Roman" w:cs="Times New Roman"/>
          <w:sz w:val="24"/>
          <w:szCs w:val="24"/>
        </w:rPr>
        <w:br/>
      </w:r>
    </w:p>
    <w:p w14:paraId="1938A1C2"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In conclusion, there are certain parallels and contrasts between mindfulness and the meta-analysis study. Both studies, for example, targeted the same age group and were open to both men and women. Furthermore, all of the participants in the study had a history of MDD or have either been in recovery, remission or fully healed. </w:t>
      </w:r>
    </w:p>
    <w:p w14:paraId="2CA2535D" w14:textId="77777777" w:rsidR="00E56366" w:rsidRPr="00E56366" w:rsidRDefault="00E56366" w:rsidP="00E56366">
      <w:pPr>
        <w:spacing w:line="360" w:lineRule="auto"/>
        <w:rPr>
          <w:rFonts w:ascii="Times New Roman" w:eastAsia="Times New Roman" w:hAnsi="Times New Roman" w:cs="Times New Roman"/>
          <w:sz w:val="24"/>
          <w:szCs w:val="24"/>
        </w:rPr>
      </w:pPr>
    </w:p>
    <w:p w14:paraId="6A64DFFD"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One the other hand,  there were some disparities between the two trials. The meta analysis, for instance, lasted 12 weeks, but mindfulness only lasted 8 weeks. Moreover, whereas the mindfulness study contained a BDI questionnaire, the meta analysis did not. Additionally, the benefit of this could be that the mindfulness study was already prepared before the investigation began. Despite this, the meta analysis was split into two groups: a control group and a case group. This could also be advantageous since testing one group while leaving the other untested will allow researchers to investigate if there are any differences between the two groups. </w:t>
      </w:r>
    </w:p>
    <w:p w14:paraId="3AF1D882" w14:textId="77777777" w:rsidR="00E56366" w:rsidRPr="00E56366" w:rsidRDefault="00E56366" w:rsidP="00E56366">
      <w:pPr>
        <w:spacing w:line="360" w:lineRule="auto"/>
        <w:rPr>
          <w:rFonts w:ascii="Times New Roman" w:eastAsia="Times New Roman" w:hAnsi="Times New Roman" w:cs="Times New Roman"/>
          <w:sz w:val="24"/>
          <w:szCs w:val="24"/>
        </w:rPr>
      </w:pPr>
    </w:p>
    <w:p w14:paraId="6B0BC6C5" w14:textId="77777777" w:rsidR="00E56366" w:rsidRPr="00E56366" w:rsidRDefault="00E56366" w:rsidP="00E56366">
      <w:pPr>
        <w:spacing w:line="360" w:lineRule="auto"/>
        <w:rPr>
          <w:rFonts w:ascii="Times New Roman" w:hAnsi="Times New Roman" w:cs="Times New Roman"/>
          <w:sz w:val="24"/>
          <w:szCs w:val="24"/>
        </w:rPr>
      </w:pPr>
      <w:r w:rsidRPr="00E56366">
        <w:rPr>
          <w:rFonts w:ascii="Arial" w:hAnsi="Arial" w:cs="Arial"/>
          <w:color w:val="000000"/>
        </w:rPr>
        <w:t xml:space="preserve">Finally, the meta analysis with antidepressants was not as effective as the mindfulness study based on cognitive behavioural therapy. However, patients who recover after receiving CBT for acute depression have fewer relapses and require less treatment in the future than patients who recover after receiving antidepressant medication and then being weaned off of it, suggested by (Helen &amp; Teasdale, 2004). This demonstrates that it may be entirely dependent on the individuals and their desire to recover. Similar to this, a recent technique that combines antidepressant drug treatment for the acute episode with CBT after healing </w:t>
      </w:r>
      <w:r w:rsidRPr="00E56366">
        <w:rPr>
          <w:rFonts w:ascii="Arial" w:hAnsi="Arial" w:cs="Arial"/>
          <w:color w:val="000000"/>
        </w:rPr>
        <w:lastRenderedPageBreak/>
        <w:t>while the antidepressant medication is slowly and gradually removed has given promising and accurate results. </w:t>
      </w:r>
    </w:p>
    <w:p w14:paraId="3DD561B6" w14:textId="77777777" w:rsidR="00E56366" w:rsidRPr="00E56366" w:rsidRDefault="00E56366" w:rsidP="00E56366">
      <w:pPr>
        <w:spacing w:after="240" w:line="360" w:lineRule="auto"/>
        <w:rPr>
          <w:rFonts w:ascii="Times New Roman" w:eastAsia="Times New Roman" w:hAnsi="Times New Roman" w:cs="Times New Roman"/>
          <w:sz w:val="24"/>
          <w:szCs w:val="24"/>
        </w:rPr>
      </w:pPr>
      <w:r w:rsidRPr="00E56366">
        <w:rPr>
          <w:rFonts w:ascii="Times New Roman" w:eastAsia="Times New Roman" w:hAnsi="Times New Roman" w:cs="Times New Roman"/>
          <w:sz w:val="24"/>
          <w:szCs w:val="24"/>
        </w:rPr>
        <w:br/>
      </w:r>
      <w:r w:rsidRPr="00E56366">
        <w:rPr>
          <w:rFonts w:ascii="Times New Roman" w:eastAsia="Times New Roman" w:hAnsi="Times New Roman" w:cs="Times New Roman"/>
          <w:sz w:val="24"/>
          <w:szCs w:val="24"/>
        </w:rPr>
        <w:br/>
      </w:r>
      <w:r w:rsidRPr="00E56366">
        <w:rPr>
          <w:rFonts w:ascii="Times New Roman" w:eastAsia="Times New Roman" w:hAnsi="Times New Roman" w:cs="Times New Roman"/>
          <w:sz w:val="24"/>
          <w:szCs w:val="24"/>
        </w:rPr>
        <w:br/>
      </w:r>
      <w:r w:rsidRPr="00E56366">
        <w:rPr>
          <w:rFonts w:ascii="Times New Roman" w:eastAsia="Times New Roman" w:hAnsi="Times New Roman" w:cs="Times New Roman"/>
          <w:sz w:val="24"/>
          <w:szCs w:val="24"/>
        </w:rPr>
        <w:br/>
      </w:r>
      <w:r w:rsidRPr="00E56366">
        <w:rPr>
          <w:rFonts w:ascii="Times New Roman" w:eastAsia="Times New Roman" w:hAnsi="Times New Roman" w:cs="Times New Roman"/>
          <w:sz w:val="24"/>
          <w:szCs w:val="24"/>
        </w:rPr>
        <w:br/>
      </w:r>
      <w:r w:rsidRPr="00E56366">
        <w:rPr>
          <w:rFonts w:ascii="Times New Roman" w:eastAsia="Times New Roman" w:hAnsi="Times New Roman" w:cs="Times New Roman"/>
          <w:sz w:val="24"/>
          <w:szCs w:val="24"/>
        </w:rPr>
        <w:br/>
      </w:r>
      <w:r w:rsidRPr="00E56366">
        <w:rPr>
          <w:rFonts w:ascii="Times New Roman" w:eastAsia="Times New Roman" w:hAnsi="Times New Roman" w:cs="Times New Roman"/>
          <w:sz w:val="24"/>
          <w:szCs w:val="24"/>
        </w:rPr>
        <w:br/>
      </w:r>
    </w:p>
    <w:p w14:paraId="140341B0" w14:textId="7AB343FE" w:rsidR="00FB15F2" w:rsidRPr="00FB15F2" w:rsidRDefault="00FB15F2" w:rsidP="00E56366">
      <w:pPr>
        <w:spacing w:after="240" w:line="360" w:lineRule="auto"/>
        <w:rPr>
          <w:rFonts w:ascii="Times New Roman" w:eastAsia="Times New Roman" w:hAnsi="Times New Roman" w:cs="Times New Roman"/>
          <w:sz w:val="24"/>
          <w:szCs w:val="24"/>
        </w:rPr>
      </w:pPr>
      <w:r w:rsidRPr="00FB15F2">
        <w:rPr>
          <w:rFonts w:ascii="Times New Roman" w:eastAsia="Times New Roman" w:hAnsi="Times New Roman" w:cs="Times New Roman"/>
          <w:sz w:val="24"/>
          <w:szCs w:val="24"/>
        </w:rPr>
        <w:br/>
      </w:r>
    </w:p>
    <w:p w14:paraId="280872AE" w14:textId="547B303E" w:rsidR="00A27201" w:rsidRPr="00A27201" w:rsidRDefault="00A27201" w:rsidP="00E56366">
      <w:pPr>
        <w:spacing w:after="240" w:line="360" w:lineRule="auto"/>
        <w:rPr>
          <w:rFonts w:ascii="Times New Roman" w:eastAsia="Times New Roman" w:hAnsi="Times New Roman" w:cs="Times New Roman"/>
          <w:sz w:val="24"/>
          <w:szCs w:val="24"/>
        </w:rPr>
      </w:pPr>
      <w:r w:rsidRPr="00A27201">
        <w:rPr>
          <w:rFonts w:ascii="Times New Roman" w:eastAsia="Times New Roman" w:hAnsi="Times New Roman" w:cs="Times New Roman"/>
          <w:sz w:val="24"/>
          <w:szCs w:val="24"/>
        </w:rPr>
        <w:br/>
      </w:r>
      <w:r w:rsidRPr="00A27201">
        <w:rPr>
          <w:rFonts w:ascii="Times New Roman" w:eastAsia="Times New Roman" w:hAnsi="Times New Roman" w:cs="Times New Roman"/>
          <w:sz w:val="24"/>
          <w:szCs w:val="24"/>
        </w:rPr>
        <w:br/>
      </w:r>
      <w:r w:rsidRPr="00A27201">
        <w:rPr>
          <w:rFonts w:ascii="Times New Roman" w:eastAsia="Times New Roman" w:hAnsi="Times New Roman" w:cs="Times New Roman"/>
          <w:sz w:val="24"/>
          <w:szCs w:val="24"/>
        </w:rPr>
        <w:br/>
      </w:r>
      <w:r w:rsidRPr="00A27201">
        <w:rPr>
          <w:rFonts w:ascii="Times New Roman" w:eastAsia="Times New Roman" w:hAnsi="Times New Roman" w:cs="Times New Roman"/>
          <w:sz w:val="24"/>
          <w:szCs w:val="24"/>
        </w:rPr>
        <w:br/>
      </w:r>
    </w:p>
    <w:p w14:paraId="7845D405" w14:textId="77777777" w:rsidR="00142BE7" w:rsidRPr="00142BE7" w:rsidRDefault="00142BE7" w:rsidP="00E56366">
      <w:pPr>
        <w:spacing w:line="360" w:lineRule="auto"/>
        <w:rPr>
          <w:rFonts w:ascii="Times New Roman" w:eastAsia="Times New Roman" w:hAnsi="Times New Roman" w:cs="Times New Roman"/>
          <w:sz w:val="24"/>
          <w:szCs w:val="24"/>
        </w:rPr>
      </w:pPr>
    </w:p>
    <w:p w14:paraId="433987AB" w14:textId="77777777" w:rsidR="00A03660" w:rsidRDefault="00A03660" w:rsidP="00E56366">
      <w:pPr>
        <w:spacing w:line="360" w:lineRule="auto"/>
        <w:jc w:val="center"/>
        <w:divId w:val="299306399"/>
        <w:rPr>
          <w:rFonts w:ascii="Oswald" w:hAnsi="Oswald" w:cs="Times New Roman"/>
          <w:b/>
          <w:bCs/>
          <w:i/>
          <w:iCs/>
          <w:color w:val="000000"/>
          <w:sz w:val="40"/>
          <w:szCs w:val="40"/>
          <w:u w:val="single"/>
        </w:rPr>
      </w:pPr>
    </w:p>
    <w:p w14:paraId="2698F2D2" w14:textId="77777777" w:rsidR="00A03660" w:rsidRDefault="00A03660" w:rsidP="007E1822">
      <w:pPr>
        <w:spacing w:line="360" w:lineRule="auto"/>
        <w:jc w:val="center"/>
        <w:divId w:val="299306399"/>
        <w:rPr>
          <w:rFonts w:ascii="Oswald" w:hAnsi="Oswald" w:cs="Times New Roman"/>
          <w:b/>
          <w:bCs/>
          <w:i/>
          <w:iCs/>
          <w:color w:val="000000"/>
          <w:sz w:val="40"/>
          <w:szCs w:val="40"/>
          <w:u w:val="single"/>
        </w:rPr>
      </w:pPr>
    </w:p>
    <w:p w14:paraId="4FE1CBAB" w14:textId="77777777" w:rsidR="00A03660" w:rsidRDefault="00A03660" w:rsidP="007E1822">
      <w:pPr>
        <w:spacing w:line="360" w:lineRule="auto"/>
        <w:jc w:val="center"/>
        <w:divId w:val="299306399"/>
        <w:rPr>
          <w:rFonts w:ascii="Oswald" w:hAnsi="Oswald" w:cs="Times New Roman"/>
          <w:b/>
          <w:bCs/>
          <w:i/>
          <w:iCs/>
          <w:color w:val="000000"/>
          <w:sz w:val="40"/>
          <w:szCs w:val="40"/>
          <w:u w:val="single"/>
        </w:rPr>
      </w:pPr>
    </w:p>
    <w:p w14:paraId="0D51D22A" w14:textId="77777777" w:rsidR="00A03660" w:rsidRDefault="00A03660" w:rsidP="007E1822">
      <w:pPr>
        <w:spacing w:line="360" w:lineRule="auto"/>
        <w:jc w:val="center"/>
        <w:divId w:val="299306399"/>
        <w:rPr>
          <w:rFonts w:ascii="Oswald" w:hAnsi="Oswald" w:cs="Times New Roman"/>
          <w:b/>
          <w:bCs/>
          <w:i/>
          <w:iCs/>
          <w:color w:val="000000"/>
          <w:sz w:val="40"/>
          <w:szCs w:val="40"/>
          <w:u w:val="single"/>
        </w:rPr>
      </w:pPr>
    </w:p>
    <w:p w14:paraId="48495912" w14:textId="77777777" w:rsidR="007E1822" w:rsidRDefault="007E1822" w:rsidP="007E1822">
      <w:pPr>
        <w:spacing w:line="360" w:lineRule="auto"/>
        <w:divId w:val="299306399"/>
        <w:rPr>
          <w:rFonts w:ascii="Oswald" w:hAnsi="Oswald" w:cs="Times New Roman"/>
          <w:b/>
          <w:bCs/>
          <w:i/>
          <w:iCs/>
          <w:color w:val="000000"/>
          <w:sz w:val="40"/>
          <w:szCs w:val="40"/>
          <w:u w:val="single"/>
        </w:rPr>
      </w:pPr>
    </w:p>
    <w:p w14:paraId="7642FD84" w14:textId="77777777" w:rsidR="00A73E94" w:rsidRDefault="00A73E94" w:rsidP="007E1822">
      <w:pPr>
        <w:spacing w:line="360" w:lineRule="auto"/>
        <w:jc w:val="center"/>
        <w:divId w:val="299306399"/>
        <w:rPr>
          <w:rFonts w:ascii="Oswald" w:hAnsi="Oswald" w:cs="Times New Roman"/>
          <w:b/>
          <w:bCs/>
          <w:i/>
          <w:iCs/>
          <w:color w:val="000000"/>
          <w:sz w:val="40"/>
          <w:szCs w:val="40"/>
          <w:u w:val="single"/>
        </w:rPr>
      </w:pPr>
    </w:p>
    <w:p w14:paraId="264A3286" w14:textId="6CA44DA1" w:rsidR="0017218A" w:rsidRPr="0017218A" w:rsidRDefault="0017218A" w:rsidP="007E1822">
      <w:pPr>
        <w:spacing w:line="360" w:lineRule="auto"/>
        <w:jc w:val="center"/>
        <w:divId w:val="299306399"/>
        <w:rPr>
          <w:rFonts w:ascii="Oswald" w:hAnsi="Oswald" w:cs="Times New Roman"/>
          <w:sz w:val="24"/>
          <w:szCs w:val="24"/>
        </w:rPr>
      </w:pPr>
      <w:r w:rsidRPr="0017218A">
        <w:rPr>
          <w:rFonts w:ascii="Oswald" w:hAnsi="Oswald" w:cs="Times New Roman"/>
          <w:b/>
          <w:bCs/>
          <w:i/>
          <w:iCs/>
          <w:color w:val="000000"/>
          <w:sz w:val="40"/>
          <w:szCs w:val="40"/>
          <w:u w:val="single"/>
        </w:rPr>
        <w:lastRenderedPageBreak/>
        <w:t>References</w:t>
      </w:r>
    </w:p>
    <w:p w14:paraId="0781093D" w14:textId="77777777" w:rsidR="0017218A" w:rsidRPr="0017218A" w:rsidRDefault="0017218A" w:rsidP="00A03660">
      <w:pPr>
        <w:spacing w:after="240" w:line="360" w:lineRule="auto"/>
        <w:divId w:val="299306399"/>
        <w:rPr>
          <w:rFonts w:ascii="Times New Roman" w:eastAsia="Times New Roman" w:hAnsi="Times New Roman" w:cs="Times New Roman"/>
          <w:sz w:val="24"/>
          <w:szCs w:val="24"/>
        </w:rPr>
      </w:pPr>
    </w:p>
    <w:p w14:paraId="7C4C125E" w14:textId="77777777" w:rsidR="0017218A" w:rsidRPr="0017218A" w:rsidRDefault="0017218A" w:rsidP="00A03660">
      <w:pPr>
        <w:spacing w:line="360" w:lineRule="auto"/>
        <w:divId w:val="299306399"/>
        <w:rPr>
          <w:rFonts w:ascii="Times New Roman" w:hAnsi="Times New Roman" w:cs="Times New Roman"/>
          <w:sz w:val="24"/>
          <w:szCs w:val="24"/>
        </w:rPr>
      </w:pPr>
      <w:r w:rsidRPr="0017218A">
        <w:rPr>
          <w:rFonts w:ascii="Arial" w:hAnsi="Arial" w:cs="Arial"/>
          <w:color w:val="000000"/>
        </w:rPr>
        <w:t xml:space="preserve">American Psychiatric Association. (2013) </w:t>
      </w:r>
      <w:r w:rsidRPr="0017218A">
        <w:rPr>
          <w:rFonts w:ascii="Arial" w:hAnsi="Arial" w:cs="Arial"/>
          <w:i/>
          <w:iCs/>
          <w:color w:val="000000"/>
        </w:rPr>
        <w:t xml:space="preserve">Diagnostic and Statistical Manual of Mental Disorders DSM-5 </w:t>
      </w:r>
      <w:r w:rsidRPr="0017218A">
        <w:rPr>
          <w:rFonts w:ascii="Arial" w:hAnsi="Arial" w:cs="Arial"/>
          <w:color w:val="000000"/>
        </w:rPr>
        <w:t>(5th Edition). Washington. DC.</w:t>
      </w:r>
    </w:p>
    <w:p w14:paraId="0D699C9C" w14:textId="77777777" w:rsidR="0017218A" w:rsidRPr="0017218A" w:rsidRDefault="0017218A" w:rsidP="00A03660">
      <w:pPr>
        <w:spacing w:after="240" w:line="360" w:lineRule="auto"/>
        <w:divId w:val="299306399"/>
        <w:rPr>
          <w:rFonts w:ascii="Times New Roman" w:eastAsia="Times New Roman" w:hAnsi="Times New Roman" w:cs="Times New Roman"/>
          <w:sz w:val="24"/>
          <w:szCs w:val="24"/>
        </w:rPr>
      </w:pPr>
    </w:p>
    <w:p w14:paraId="27A9B4E9" w14:textId="77777777" w:rsidR="0017218A" w:rsidRPr="0017218A" w:rsidRDefault="0017218A" w:rsidP="00A03660">
      <w:pPr>
        <w:spacing w:line="360" w:lineRule="auto"/>
        <w:divId w:val="299306399"/>
        <w:rPr>
          <w:rFonts w:ascii="Times New Roman" w:hAnsi="Times New Roman" w:cs="Times New Roman"/>
          <w:sz w:val="24"/>
          <w:szCs w:val="24"/>
        </w:rPr>
      </w:pPr>
      <w:r w:rsidRPr="0017218A">
        <w:rPr>
          <w:rFonts w:ascii="Arial" w:hAnsi="Arial" w:cs="Arial"/>
          <w:color w:val="000000"/>
        </w:rPr>
        <w:t xml:space="preserve">Beck, J. S. (2011). Cognitive-behavioural therapy. </w:t>
      </w:r>
      <w:r w:rsidRPr="0017218A">
        <w:rPr>
          <w:rFonts w:ascii="Arial" w:hAnsi="Arial" w:cs="Arial"/>
          <w:i/>
          <w:iCs/>
          <w:color w:val="000000"/>
        </w:rPr>
        <w:t>Clinical textbook of addictive disorders</w:t>
      </w:r>
      <w:r w:rsidRPr="0017218A">
        <w:rPr>
          <w:rFonts w:ascii="Arial" w:hAnsi="Arial" w:cs="Arial"/>
          <w:color w:val="000000"/>
        </w:rPr>
        <w:t xml:space="preserve">, </w:t>
      </w:r>
      <w:r w:rsidRPr="0017218A">
        <w:rPr>
          <w:rFonts w:ascii="Arial" w:hAnsi="Arial" w:cs="Arial"/>
          <w:i/>
          <w:iCs/>
          <w:color w:val="000000"/>
        </w:rPr>
        <w:t>491</w:t>
      </w:r>
      <w:r w:rsidRPr="0017218A">
        <w:rPr>
          <w:rFonts w:ascii="Arial" w:hAnsi="Arial" w:cs="Arial"/>
          <w:color w:val="000000"/>
        </w:rPr>
        <w:t>, 474-501.</w:t>
      </w:r>
    </w:p>
    <w:p w14:paraId="348E16E0" w14:textId="77777777" w:rsidR="0017218A" w:rsidRPr="0017218A" w:rsidRDefault="0017218A" w:rsidP="00A03660">
      <w:pPr>
        <w:spacing w:after="240" w:line="360" w:lineRule="auto"/>
        <w:divId w:val="299306399"/>
        <w:rPr>
          <w:rFonts w:ascii="Times New Roman" w:eastAsia="Times New Roman" w:hAnsi="Times New Roman" w:cs="Times New Roman"/>
          <w:sz w:val="24"/>
          <w:szCs w:val="24"/>
        </w:rPr>
      </w:pPr>
    </w:p>
    <w:p w14:paraId="4A106D1C" w14:textId="77777777" w:rsidR="0017218A" w:rsidRPr="0017218A" w:rsidRDefault="0017218A" w:rsidP="00A03660">
      <w:pPr>
        <w:spacing w:line="360" w:lineRule="auto"/>
        <w:divId w:val="299306399"/>
        <w:rPr>
          <w:rFonts w:ascii="Times New Roman" w:hAnsi="Times New Roman" w:cs="Times New Roman"/>
          <w:sz w:val="24"/>
          <w:szCs w:val="24"/>
        </w:rPr>
      </w:pPr>
      <w:r w:rsidRPr="0017218A">
        <w:rPr>
          <w:rFonts w:ascii="Arial" w:hAnsi="Arial" w:cs="Arial"/>
          <w:color w:val="000000"/>
        </w:rPr>
        <w:t xml:space="preserve"> Journal of Affective Disorders 277 (2018) </w:t>
      </w:r>
      <w:r w:rsidRPr="0017218A">
        <w:rPr>
          <w:rFonts w:ascii="Arial" w:hAnsi="Arial" w:cs="Arial"/>
          <w:i/>
          <w:iCs/>
          <w:color w:val="000000"/>
        </w:rPr>
        <w:t xml:space="preserve">Early improvement and response to antidepressant medications in adults with major depressive disorder. Meta-analysis and study of a sample with treatment-resistant depression. Available at: </w:t>
      </w:r>
      <w:hyperlink r:id="rId6" w:history="1">
        <w:r w:rsidRPr="0017218A">
          <w:rPr>
            <w:rFonts w:ascii="Arial" w:hAnsi="Arial" w:cs="Arial"/>
            <w:i/>
            <w:iCs/>
            <w:color w:val="1155CC"/>
            <w:u w:val="single"/>
          </w:rPr>
          <w:t>https://www.journals.elsevier.com/journal-of-affective-disorders</w:t>
        </w:r>
      </w:hyperlink>
      <w:r w:rsidRPr="0017218A">
        <w:rPr>
          <w:rFonts w:ascii="Arial" w:hAnsi="Arial" w:cs="Arial"/>
          <w:i/>
          <w:iCs/>
          <w:color w:val="000000"/>
        </w:rPr>
        <w:t xml:space="preserve"> (Accessed at 2 November 2017)</w:t>
      </w:r>
    </w:p>
    <w:p w14:paraId="7336ADED" w14:textId="77777777" w:rsidR="0017218A" w:rsidRPr="0017218A" w:rsidRDefault="0017218A" w:rsidP="00A03660">
      <w:pPr>
        <w:spacing w:after="240" w:line="360" w:lineRule="auto"/>
        <w:divId w:val="299306399"/>
        <w:rPr>
          <w:rFonts w:ascii="Times New Roman" w:eastAsia="Times New Roman" w:hAnsi="Times New Roman" w:cs="Times New Roman"/>
          <w:sz w:val="24"/>
          <w:szCs w:val="24"/>
        </w:rPr>
      </w:pPr>
    </w:p>
    <w:p w14:paraId="13BB4660" w14:textId="77777777" w:rsidR="0017218A" w:rsidRPr="0017218A" w:rsidRDefault="0017218A" w:rsidP="00A03660">
      <w:pPr>
        <w:spacing w:line="360" w:lineRule="auto"/>
        <w:divId w:val="299306399"/>
        <w:rPr>
          <w:rFonts w:ascii="Times New Roman" w:hAnsi="Times New Roman" w:cs="Times New Roman"/>
          <w:sz w:val="24"/>
          <w:szCs w:val="24"/>
        </w:rPr>
      </w:pPr>
      <w:r w:rsidRPr="0017218A">
        <w:rPr>
          <w:rFonts w:ascii="Arial" w:hAnsi="Arial" w:cs="Arial"/>
          <w:color w:val="000000"/>
        </w:rPr>
        <w:t xml:space="preserve">Ma, S. H., &amp; Teasdale, J. D. (2004). Mindfulness-based cognitive therapy for depression: replication and exploration of differential relapse prevention effects. </w:t>
      </w:r>
      <w:r w:rsidRPr="0017218A">
        <w:rPr>
          <w:rFonts w:ascii="Arial" w:hAnsi="Arial" w:cs="Arial"/>
          <w:i/>
          <w:iCs/>
          <w:color w:val="000000"/>
        </w:rPr>
        <w:t>Journal of consulting and clinical psychology</w:t>
      </w:r>
      <w:r w:rsidRPr="0017218A">
        <w:rPr>
          <w:rFonts w:ascii="Arial" w:hAnsi="Arial" w:cs="Arial"/>
          <w:color w:val="000000"/>
        </w:rPr>
        <w:t xml:space="preserve">, </w:t>
      </w:r>
      <w:r w:rsidRPr="0017218A">
        <w:rPr>
          <w:rFonts w:ascii="Arial" w:hAnsi="Arial" w:cs="Arial"/>
          <w:i/>
          <w:iCs/>
          <w:color w:val="000000"/>
        </w:rPr>
        <w:t>72</w:t>
      </w:r>
      <w:r w:rsidRPr="0017218A">
        <w:rPr>
          <w:rFonts w:ascii="Arial" w:hAnsi="Arial" w:cs="Arial"/>
          <w:color w:val="000000"/>
        </w:rPr>
        <w:t>(1), 31.</w:t>
      </w:r>
    </w:p>
    <w:p w14:paraId="2334165C" w14:textId="71D4F567" w:rsidR="00142BE7" w:rsidRPr="00142BE7" w:rsidRDefault="00142BE7" w:rsidP="00A03660">
      <w:pPr>
        <w:spacing w:after="240" w:line="360" w:lineRule="auto"/>
        <w:rPr>
          <w:rFonts w:ascii="Times New Roman" w:eastAsia="Times New Roman" w:hAnsi="Times New Roman" w:cs="Times New Roman"/>
          <w:sz w:val="24"/>
          <w:szCs w:val="24"/>
        </w:rPr>
      </w:pPr>
      <w:r w:rsidRPr="00142BE7">
        <w:rPr>
          <w:rFonts w:ascii="Times New Roman" w:eastAsia="Times New Roman" w:hAnsi="Times New Roman" w:cs="Times New Roman"/>
          <w:sz w:val="24"/>
          <w:szCs w:val="24"/>
        </w:rPr>
        <w:br/>
      </w:r>
      <w:r w:rsidRPr="00142BE7">
        <w:rPr>
          <w:rFonts w:ascii="Times New Roman" w:eastAsia="Times New Roman" w:hAnsi="Times New Roman" w:cs="Times New Roman"/>
          <w:sz w:val="24"/>
          <w:szCs w:val="24"/>
        </w:rPr>
        <w:br/>
      </w:r>
      <w:r w:rsidRPr="00142BE7">
        <w:rPr>
          <w:rFonts w:ascii="Times New Roman" w:eastAsia="Times New Roman" w:hAnsi="Times New Roman" w:cs="Times New Roman"/>
          <w:sz w:val="24"/>
          <w:szCs w:val="24"/>
        </w:rPr>
        <w:br/>
      </w:r>
    </w:p>
    <w:p w14:paraId="52ECBD39" w14:textId="77777777" w:rsidR="00142BE7" w:rsidRDefault="00142BE7" w:rsidP="00A03660">
      <w:pPr>
        <w:spacing w:line="360" w:lineRule="auto"/>
        <w:jc w:val="center"/>
        <w:rPr>
          <w:rFonts w:ascii="Arial" w:hAnsi="Arial" w:cs="Arial"/>
          <w:b/>
          <w:bCs/>
          <w:i/>
          <w:iCs/>
          <w:color w:val="000000"/>
          <w:sz w:val="34"/>
          <w:szCs w:val="34"/>
          <w:u w:val="single"/>
        </w:rPr>
      </w:pPr>
    </w:p>
    <w:p w14:paraId="071F8EE7" w14:textId="77777777" w:rsidR="00142BE7" w:rsidRDefault="00142BE7" w:rsidP="00A03660">
      <w:pPr>
        <w:spacing w:line="360" w:lineRule="auto"/>
        <w:jc w:val="center"/>
        <w:rPr>
          <w:rFonts w:ascii="Arial" w:hAnsi="Arial" w:cs="Arial"/>
          <w:b/>
          <w:bCs/>
          <w:i/>
          <w:iCs/>
          <w:color w:val="000000"/>
          <w:sz w:val="34"/>
          <w:szCs w:val="34"/>
          <w:u w:val="single"/>
        </w:rPr>
      </w:pPr>
    </w:p>
    <w:p w14:paraId="5805B2D1" w14:textId="77777777" w:rsidR="00142BE7" w:rsidRDefault="00142BE7" w:rsidP="00A03660">
      <w:pPr>
        <w:spacing w:line="360" w:lineRule="auto"/>
        <w:jc w:val="center"/>
        <w:rPr>
          <w:rFonts w:ascii="Arial" w:hAnsi="Arial" w:cs="Arial"/>
          <w:b/>
          <w:bCs/>
          <w:i/>
          <w:iCs/>
          <w:color w:val="000000"/>
          <w:sz w:val="34"/>
          <w:szCs w:val="34"/>
          <w:u w:val="single"/>
        </w:rPr>
      </w:pPr>
    </w:p>
    <w:p w14:paraId="1B826BEF" w14:textId="77777777" w:rsidR="00ED64D4" w:rsidRDefault="00ED64D4" w:rsidP="00A03660">
      <w:pPr>
        <w:spacing w:line="360" w:lineRule="auto"/>
      </w:pPr>
    </w:p>
    <w:sectPr w:rsidR="00ED64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19158" w14:textId="77777777" w:rsidR="00E56366" w:rsidRDefault="00E56366" w:rsidP="00E56366">
      <w:r>
        <w:separator/>
      </w:r>
    </w:p>
  </w:endnote>
  <w:endnote w:type="continuationSeparator" w:id="0">
    <w:p w14:paraId="0C7D4B53" w14:textId="77777777" w:rsidR="00E56366" w:rsidRDefault="00E56366" w:rsidP="00E563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swald">
    <w:altName w:val="Oswald"/>
    <w:panose1 w:val="00000500000000000000"/>
    <w:charset w:val="00"/>
    <w:family w:val="auto"/>
    <w:pitch w:val="variable"/>
    <w:sig w:usb0="2000020F" w:usb1="00000000" w:usb2="00000000" w:usb3="00000000" w:csb0="00000197"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F80AB" w14:textId="77777777" w:rsidR="00E56366" w:rsidRDefault="00E56366" w:rsidP="00E56366">
      <w:r>
        <w:separator/>
      </w:r>
    </w:p>
  </w:footnote>
  <w:footnote w:type="continuationSeparator" w:id="0">
    <w:p w14:paraId="11A9D48B" w14:textId="77777777" w:rsidR="00E56366" w:rsidRDefault="00E56366" w:rsidP="00E563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4D4"/>
    <w:rsid w:val="00142BE7"/>
    <w:rsid w:val="0017218A"/>
    <w:rsid w:val="0028627F"/>
    <w:rsid w:val="002E5B37"/>
    <w:rsid w:val="006F3FB0"/>
    <w:rsid w:val="007D4AD5"/>
    <w:rsid w:val="007E1822"/>
    <w:rsid w:val="00A03660"/>
    <w:rsid w:val="00A27201"/>
    <w:rsid w:val="00A73E94"/>
    <w:rsid w:val="00B42F9D"/>
    <w:rsid w:val="00DB513C"/>
    <w:rsid w:val="00E56366"/>
    <w:rsid w:val="00ED64D4"/>
    <w:rsid w:val="00FB15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DE9654C"/>
  <w15:chartTrackingRefBased/>
  <w15:docId w15:val="{0FCF15C0-F816-C44A-8E11-73AC5D39D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D64D4"/>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ED64D4"/>
    <w:rPr>
      <w:color w:val="0000FF"/>
      <w:u w:val="single"/>
    </w:rPr>
  </w:style>
  <w:style w:type="paragraph" w:styleId="Header">
    <w:name w:val="header"/>
    <w:basedOn w:val="Normal"/>
    <w:link w:val="HeaderChar"/>
    <w:uiPriority w:val="99"/>
    <w:unhideWhenUsed/>
    <w:rsid w:val="00E56366"/>
    <w:pPr>
      <w:tabs>
        <w:tab w:val="center" w:pos="4513"/>
        <w:tab w:val="right" w:pos="9026"/>
      </w:tabs>
    </w:pPr>
  </w:style>
  <w:style w:type="character" w:customStyle="1" w:styleId="HeaderChar">
    <w:name w:val="Header Char"/>
    <w:basedOn w:val="DefaultParagraphFont"/>
    <w:link w:val="Header"/>
    <w:uiPriority w:val="99"/>
    <w:rsid w:val="00E56366"/>
  </w:style>
  <w:style w:type="paragraph" w:styleId="Footer">
    <w:name w:val="footer"/>
    <w:basedOn w:val="Normal"/>
    <w:link w:val="FooterChar"/>
    <w:uiPriority w:val="99"/>
    <w:unhideWhenUsed/>
    <w:rsid w:val="00E56366"/>
    <w:pPr>
      <w:tabs>
        <w:tab w:val="center" w:pos="4513"/>
        <w:tab w:val="right" w:pos="9026"/>
      </w:tabs>
    </w:pPr>
  </w:style>
  <w:style w:type="character" w:customStyle="1" w:styleId="FooterChar">
    <w:name w:val="Footer Char"/>
    <w:basedOn w:val="DefaultParagraphFont"/>
    <w:link w:val="Footer"/>
    <w:uiPriority w:val="99"/>
    <w:rsid w:val="00E56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306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ournals.elsevier.com/journal-of-affective-disorders"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2488</Words>
  <Characters>14187</Characters>
  <Application>Microsoft Office Word</Application>
  <DocSecurity>0</DocSecurity>
  <Lines>118</Lines>
  <Paragraphs>33</Paragraphs>
  <ScaleCrop>false</ScaleCrop>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15</cp:revision>
  <dcterms:created xsi:type="dcterms:W3CDTF">2022-01-02T00:56:00Z</dcterms:created>
  <dcterms:modified xsi:type="dcterms:W3CDTF">2022-01-06T20:47:00Z</dcterms:modified>
</cp:coreProperties>
</file>