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02">
      <w:pPr>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03">
      <w:pPr>
        <w:spacing w:line="360" w:lineRule="auto"/>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04">
      <w:pPr>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05">
      <w:pPr>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06">
      <w:pPr>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07">
      <w:pPr>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08">
      <w:pPr>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09">
      <w:pPr>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0A">
      <w:pPr>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0B">
      <w:pPr>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0C">
      <w:pPr>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0D">
      <w:pPr>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0E">
      <w:pPr>
        <w:jc w:val="center"/>
        <w:rPr>
          <w:rFonts w:ascii="Merriweather" w:cs="Merriweather" w:eastAsia="Merriweather" w:hAnsi="Merriweather"/>
          <w:sz w:val="20"/>
          <w:szCs w:val="20"/>
          <w:u w:val="single"/>
        </w:rPr>
      </w:pPr>
      <w:r w:rsidDel="00000000" w:rsidR="00000000" w:rsidRPr="00000000">
        <w:rPr>
          <w:rFonts w:ascii="Merriweather" w:cs="Merriweather" w:eastAsia="Merriweather" w:hAnsi="Merriweather"/>
          <w:sz w:val="20"/>
          <w:szCs w:val="20"/>
          <w:u w:val="single"/>
          <w:rtl w:val="0"/>
        </w:rPr>
        <w:t xml:space="preserve">Swat analysis </w:t>
      </w:r>
    </w:p>
    <w:p w:rsidR="00000000" w:rsidDel="00000000" w:rsidP="00000000" w:rsidRDefault="00000000" w:rsidRPr="00000000" w14:paraId="0000000F">
      <w:pPr>
        <w:jc w:val="cente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0">
      <w:pPr>
        <w:jc w:val="cente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Menna Davies </w:t>
      </w:r>
    </w:p>
    <w:p w:rsidR="00000000" w:rsidDel="00000000" w:rsidP="00000000" w:rsidRDefault="00000000" w:rsidRPr="00000000" w14:paraId="00000011">
      <w:pPr>
        <w:jc w:val="cente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Student number: 2224913</w:t>
      </w:r>
    </w:p>
    <w:p w:rsidR="00000000" w:rsidDel="00000000" w:rsidP="00000000" w:rsidRDefault="00000000" w:rsidRPr="00000000" w14:paraId="00000012">
      <w:pPr>
        <w:jc w:val="cente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1472 Words </w:t>
      </w:r>
    </w:p>
    <w:p w:rsidR="00000000" w:rsidDel="00000000" w:rsidP="00000000" w:rsidRDefault="00000000" w:rsidRPr="00000000" w14:paraId="00000013">
      <w:pPr>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14">
      <w:pPr>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15">
      <w:pPr>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16">
      <w:pPr>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17">
      <w:pPr>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18">
      <w:pPr>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19">
      <w:pPr>
        <w:ind w:left="720" w:firstLine="0"/>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1A">
      <w:pPr>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1B">
      <w:pPr>
        <w:spacing w:line="360" w:lineRule="auto"/>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1C">
      <w:pPr>
        <w:spacing w:line="360" w:lineRule="auto"/>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1D">
      <w:pPr>
        <w:spacing w:line="360" w:lineRule="auto"/>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1E">
      <w:pPr>
        <w:spacing w:line="360" w:lineRule="auto"/>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1F">
      <w:pPr>
        <w:spacing w:line="360" w:lineRule="auto"/>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20">
      <w:pPr>
        <w:spacing w:line="360" w:lineRule="auto"/>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21">
      <w:pPr>
        <w:spacing w:line="360" w:lineRule="auto"/>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22">
      <w:pPr>
        <w:spacing w:line="360" w:lineRule="auto"/>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23">
      <w:pPr>
        <w:spacing w:line="360" w:lineRule="auto"/>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24">
      <w:pPr>
        <w:spacing w:line="360" w:lineRule="auto"/>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25">
      <w:pPr>
        <w:spacing w:line="360" w:lineRule="auto"/>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26">
      <w:pPr>
        <w:spacing w:line="360" w:lineRule="auto"/>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27">
      <w:pPr>
        <w:spacing w:line="360" w:lineRule="auto"/>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28">
      <w:pPr>
        <w:spacing w:line="360" w:lineRule="auto"/>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29">
      <w:pPr>
        <w:spacing w:line="360" w:lineRule="auto"/>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2A">
      <w:pPr>
        <w:spacing w:line="360" w:lineRule="auto"/>
        <w:jc w:val="left"/>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2B">
      <w:pPr>
        <w:spacing w:line="360" w:lineRule="auto"/>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2C">
      <w:pPr>
        <w:spacing w:line="360" w:lineRule="auto"/>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2D">
      <w:pPr>
        <w:spacing w:line="360" w:lineRule="auto"/>
        <w:jc w:val="cente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2E">
      <w:pPr>
        <w:spacing w:line="360" w:lineRule="auto"/>
        <w:jc w:val="left"/>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highlight w:val="white"/>
          <w:rtl w:val="0"/>
        </w:rPr>
        <w:t xml:space="preserve">This paper looks at the student’s experience using Harvard referencing through a SWOT analysis. It discusses what the student feels they are good at, such as taking clear notes and finding ways to build their academic skills. It also explores the difficulties they faced, including how long referencing can take and how outside responsibilities, like work, can add pressure. By examining these areas, the paper shows how the student’s habits and daily challenges can affect their learning and overall academic performance.</w:t>
      </w:r>
      <w:r w:rsidDel="00000000" w:rsidR="00000000" w:rsidRPr="00000000">
        <w:rPr>
          <w:rtl w:val="0"/>
        </w:rPr>
      </w:r>
    </w:p>
    <w:p w:rsidR="00000000" w:rsidDel="00000000" w:rsidP="00000000" w:rsidRDefault="00000000" w:rsidRPr="00000000" w14:paraId="0000002F">
      <w:pPr>
        <w:spacing w:line="360" w:lineRule="auto"/>
        <w:jc w:val="left"/>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30">
      <w:pPr>
        <w:spacing w:line="360" w:lineRule="auto"/>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31">
      <w:pPr>
        <w:spacing w:line="360" w:lineRule="auto"/>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32">
      <w:pPr>
        <w:spacing w:line="360" w:lineRule="auto"/>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33">
      <w:pPr>
        <w:spacing w:line="36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u w:val="single"/>
          <w:rtl w:val="0"/>
        </w:rPr>
        <w:t xml:space="preserve">Strengths </w:t>
      </w:r>
      <w:r w:rsidDel="00000000" w:rsidR="00000000" w:rsidRPr="00000000">
        <w:rPr>
          <w:rtl w:val="0"/>
        </w:rPr>
      </w:r>
    </w:p>
    <w:p w:rsidR="00000000" w:rsidDel="00000000" w:rsidP="00000000" w:rsidRDefault="00000000" w:rsidRPr="00000000" w14:paraId="00000034">
      <w:pPr>
        <w:spacing w:line="360" w:lineRule="auto"/>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35">
      <w:pPr>
        <w:spacing w:line="36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One of the strengths that the student identified when using Harvard refrencing was attending lectures consistently and taking clear and organised notes. This is something that has helped them strengthen their knowledge and gain a better understanding of the subject. The student found when taking organised notes it enabled them to learn more effectively during lectures, wanting to engage more which enhanced their learning. Effective note taking can improve students' learning . Bell and Hartley (2022) When students are documenting their notes, over time it enhances further connection for future learning.  This reinforces the students point by showing one of the benefits when taking notes in class. This is further supported by Scholarly (2023) as they believe effective note taking during lectures can help comprehensive learning as well as the ability for students to retain information. Scholarly wrote “taking notes during lectures helps students process and understand information being presented”. This helps overall performance for students. Although there are many benefits of note taking during class, the Oxford Royal (2025) takes an opposing view on this suggesting that some students rush their note taking which can cause setbacks. They back up this by noting “hurriedly scrawled notes from class can be difficult to make sense of when you come to revise from them, or even write an essay based on them”. This is why note taking is considered one of the students strengths as if it is not articulated properly, it could cause setbacks and confusion, especially when attending lectures about Harvard refrencing, as there are many rules and fine details which can’t afford to be missed. If they are, it can in some cases, be taken as plagiarism. Alvin (2023)  similarly says "plagiarism is the atkin to intellectual theft”. Linking back to why the student thinks that clear note taking is not just a strength, but an important strength, if you cant read notes clearly or miss read unorganised notes, it could potentially lead to plagiarism. Therefore the students ability to take clear and effective notes is not only a personal strength but essential when using Harvard refrencing.</w:t>
      </w:r>
    </w:p>
    <w:p w:rsidR="00000000" w:rsidDel="00000000" w:rsidP="00000000" w:rsidRDefault="00000000" w:rsidRPr="00000000" w14:paraId="00000036">
      <w:pPr>
        <w:spacing w:line="360" w:lineRule="auto"/>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37">
      <w:pPr>
        <w:spacing w:line="360" w:lineRule="auto"/>
        <w:rPr>
          <w:rFonts w:ascii="Merriweather" w:cs="Merriweather" w:eastAsia="Merriweather" w:hAnsi="Merriweather"/>
          <w:sz w:val="20"/>
          <w:szCs w:val="20"/>
          <w:u w:val="single"/>
        </w:rPr>
      </w:pPr>
      <w:r w:rsidDel="00000000" w:rsidR="00000000" w:rsidRPr="00000000">
        <w:rPr>
          <w:rFonts w:ascii="Merriweather" w:cs="Merriweather" w:eastAsia="Merriweather" w:hAnsi="Merriweather"/>
          <w:sz w:val="20"/>
          <w:szCs w:val="20"/>
          <w:u w:val="single"/>
          <w:rtl w:val="0"/>
        </w:rPr>
        <w:t xml:space="preserve">Weakness</w:t>
      </w:r>
    </w:p>
    <w:p w:rsidR="00000000" w:rsidDel="00000000" w:rsidP="00000000" w:rsidRDefault="00000000" w:rsidRPr="00000000" w14:paraId="00000038">
      <w:pPr>
        <w:spacing w:line="360" w:lineRule="auto"/>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39">
      <w:pPr>
        <w:spacing w:line="360" w:lineRule="auto"/>
        <w:rPr>
          <w:rFonts w:ascii="Merriweather" w:cs="Merriweather" w:eastAsia="Merriweather" w:hAnsi="Merriweather"/>
          <w:sz w:val="20"/>
          <w:szCs w:val="20"/>
          <w:u w:val="single"/>
        </w:rPr>
      </w:pPr>
      <w:r w:rsidDel="00000000" w:rsidR="00000000" w:rsidRPr="00000000">
        <w:rPr>
          <w:rFonts w:ascii="Merriweather" w:cs="Merriweather" w:eastAsia="Merriweather" w:hAnsi="Merriweather"/>
          <w:sz w:val="20"/>
          <w:szCs w:val="20"/>
          <w:rtl w:val="0"/>
        </w:rPr>
        <w:t xml:space="preserve">A weakness that the student found when using Harvard referencing was that they found it time consuming. This became a limitation for them as it caused them to spend more time than necessary when writing, causing them to focus more on refrencing than the main task and quality of their work. This meant that a large amount of the students' study time was taken up with constantly double checking their work, correcting small mistakes and looking back at sources to be completely sure they were correct.  Research shows that working students often struggle with limited study time and increased stress, making it harder to manage academic tasks effectively (Libago et al., 2024). This weakness also had the impact of potentially disqualifying their work, as incorrect or incomplete references could lead to the students' work being taken as plagiarism.  In many cases, students accused of plagiarism have often done so unintentionally, blaming poor time management and poor organisation  (The study space, 2025). Although the student understood the value of Harvard refrencing, learning to complete it efficiently remained an area for development. The student considers time management a weakness as it increased the students stress and reduced their confidence significantly. They also found that stopping and starting to check their references broke focus, making the whole task feel longer and more stressful. Because of this refrencing became something they were more worried about than the actual quality of their work. This showed even more that the student needed to improve their time management. The  knowledge academy (2025) supports that students who have poor time management deal with more stress by stating “Effectively managing time is crucial for maximising productivity, reducing stress levels, achieving goals, maintaining a healthy work- life balance and promoting personal growth”. Research also shows that many students struggle with time management.  Seventy-eight percent of students have experienced poor time management at some point during education which affected their ability to complete work on time and stay organised. (Buglione, K. 2024) Recognising this shared difficulty the student found it helpful to talk to classmates about this and exchange time management strategies, helping them to improve their overall performance.</w:t>
      </w:r>
      <w:r w:rsidDel="00000000" w:rsidR="00000000" w:rsidRPr="00000000">
        <w:rPr>
          <w:rtl w:val="0"/>
        </w:rPr>
      </w:r>
    </w:p>
    <w:p w:rsidR="00000000" w:rsidDel="00000000" w:rsidP="00000000" w:rsidRDefault="00000000" w:rsidRPr="00000000" w14:paraId="0000003A">
      <w:pPr>
        <w:spacing w:line="360" w:lineRule="auto"/>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3B">
      <w:pPr>
        <w:spacing w:line="360" w:lineRule="auto"/>
        <w:rPr>
          <w:rFonts w:ascii="Merriweather" w:cs="Merriweather" w:eastAsia="Merriweather" w:hAnsi="Merriweather"/>
          <w:sz w:val="20"/>
          <w:szCs w:val="20"/>
          <w:u w:val="single"/>
        </w:rPr>
      </w:pPr>
      <w:r w:rsidDel="00000000" w:rsidR="00000000" w:rsidRPr="00000000">
        <w:rPr>
          <w:rFonts w:ascii="Merriweather" w:cs="Merriweather" w:eastAsia="Merriweather" w:hAnsi="Merriweather"/>
          <w:sz w:val="20"/>
          <w:szCs w:val="20"/>
          <w:u w:val="single"/>
          <w:rtl w:val="0"/>
        </w:rPr>
        <w:t xml:space="preserve">Opportunities </w:t>
      </w:r>
    </w:p>
    <w:p w:rsidR="00000000" w:rsidDel="00000000" w:rsidP="00000000" w:rsidRDefault="00000000" w:rsidRPr="00000000" w14:paraId="0000003C">
      <w:pPr>
        <w:spacing w:line="360" w:lineRule="auto"/>
        <w:rPr>
          <w:rFonts w:ascii="Merriweather" w:cs="Merriweather" w:eastAsia="Merriweather" w:hAnsi="Merriweather"/>
          <w:sz w:val="20"/>
          <w:szCs w:val="20"/>
          <w:u w:val="single"/>
        </w:rPr>
      </w:pPr>
      <w:r w:rsidDel="00000000" w:rsidR="00000000" w:rsidRPr="00000000">
        <w:rPr>
          <w:rFonts w:ascii="Merriweather" w:cs="Merriweather" w:eastAsia="Merriweather" w:hAnsi="Merriweather"/>
          <w:sz w:val="20"/>
          <w:szCs w:val="20"/>
          <w:u w:val="single"/>
          <w:rtl w:val="0"/>
        </w:rPr>
        <w:t xml:space="preserve"> </w:t>
      </w:r>
    </w:p>
    <w:p w:rsidR="00000000" w:rsidDel="00000000" w:rsidP="00000000" w:rsidRDefault="00000000" w:rsidRPr="00000000" w14:paraId="0000003D">
      <w:pPr>
        <w:spacing w:line="36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An important opportunity that the student could take in order to improve themselves at Harvard referencing would be to practice in their spare time, ask their tutors for tasks online or grab sheets to revise. By setting aside extra time to practice and revise they can become more confident and familiar with the structure and rules of Harvard refrencing. Carroll (2023) highlights that reviewing notes plays an important role in improving learning outcomes, stating that note taking and doing extra  revision “increase students’ capacity for recall comprehension, and knowledge.” This shows that regular revision can significantly strengthen a student's understanding over time, allowing them to apply Harvard refrencing with more accuracy and confidence. In addition to developing their revision skills, another opportunity  for the student could be to reach out and seek feedback from their classmates, exchanging learning strategies, allowing others to highlight mistakes or blind spots. Research shows that peer feedback plays an important role in academic progression and supporting students' learning. Huang et al. (2023) found that constructive comments from classmates can reduce emotional exhaustion and improve learners' overall study behaviour. It shows that they feel more supported, motivated, and find it better to cope with academic demands. This is something that the student can relate with as they found reaching out for feedback and hearing what others had to say increased their confidence. This shows that receiving feedback from peers can be extremely valuable. However, research also shows that accepting feedback can have negative emotional effects on students. Kim and Lee (2019) found that negative or critical feedback can lead to poorer performance and negative emotional reactions. This shows that peer feedback needs to be given carefully so that it is not to discourage learners. Leenknecht and Carless (2023) support Kim and Lee's (2019) view by stating that some students often take feedback as overly critical or unhelpful which can discourage them from seeking more feedback in the future. </w:t>
      </w:r>
    </w:p>
    <w:p w:rsidR="00000000" w:rsidDel="00000000" w:rsidP="00000000" w:rsidRDefault="00000000" w:rsidRPr="00000000" w14:paraId="0000003E">
      <w:pPr>
        <w:spacing w:line="360" w:lineRule="auto"/>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3F">
      <w:pPr>
        <w:spacing w:line="360" w:lineRule="auto"/>
        <w:rPr>
          <w:rFonts w:ascii="Merriweather" w:cs="Merriweather" w:eastAsia="Merriweather" w:hAnsi="Merriweather"/>
          <w:sz w:val="20"/>
          <w:szCs w:val="20"/>
          <w:u w:val="single"/>
        </w:rPr>
      </w:pPr>
      <w:r w:rsidDel="00000000" w:rsidR="00000000" w:rsidRPr="00000000">
        <w:rPr>
          <w:rFonts w:ascii="Merriweather" w:cs="Merriweather" w:eastAsia="Merriweather" w:hAnsi="Merriweather"/>
          <w:sz w:val="20"/>
          <w:szCs w:val="20"/>
          <w:u w:val="single"/>
          <w:rtl w:val="0"/>
        </w:rPr>
        <w:t xml:space="preserve">Threats</w:t>
      </w:r>
    </w:p>
    <w:p w:rsidR="00000000" w:rsidDel="00000000" w:rsidP="00000000" w:rsidRDefault="00000000" w:rsidRPr="00000000" w14:paraId="00000040">
      <w:pPr>
        <w:spacing w:line="360" w:lineRule="auto"/>
        <w:rPr>
          <w:rFonts w:ascii="Merriweather" w:cs="Merriweather" w:eastAsia="Merriweather" w:hAnsi="Merriweather"/>
          <w:sz w:val="20"/>
          <w:szCs w:val="20"/>
          <w:u w:val="single"/>
        </w:rPr>
      </w:pPr>
      <w:r w:rsidDel="00000000" w:rsidR="00000000" w:rsidRPr="00000000">
        <w:rPr>
          <w:rFonts w:ascii="Merriweather" w:cs="Merriweather" w:eastAsia="Merriweather" w:hAnsi="Merriweather"/>
          <w:sz w:val="20"/>
          <w:szCs w:val="20"/>
          <w:u w:val="single"/>
          <w:rtl w:val="0"/>
        </w:rPr>
        <w:t xml:space="preserve"> </w:t>
      </w:r>
    </w:p>
    <w:p w:rsidR="00000000" w:rsidDel="00000000" w:rsidP="00000000" w:rsidRDefault="00000000" w:rsidRPr="00000000" w14:paraId="00000041">
      <w:pPr>
        <w:spacing w:line="36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highlight w:val="white"/>
          <w:rtl w:val="0"/>
        </w:rPr>
        <w:t xml:space="preserve"> An external threat that the students faced in order to develop strong Harvard referencing skills is the pressure of balancing work responsibilities alongside academic responsibilities. Working twelve hour shifts between classes can leave the student mentally and physically drained, making it difficult to switch off from work and concentrate on academic tasks, especially when focusing on Harvard refrencing as it requires attention to detail.  Recent research supports this, with Kanu, Emenalo and Alisigwe (2025) stating that students who juggle work, study, and personal life often experience physical and emotional strain, time conflicts, and reduced academic performance. Feeling exhausted from work can therefore make it easier to make mistakes when using Harvard referencing. This would include things, such as missing dates, using the wrong author, or forgetting small details within the reference. Accurate refrencing depends on attention to detail because it allows readers to locate sources and protects from academic integrity. Divecha, Tullu and Karande, 2023). Long and irregular shifts also leave the student with no structured time to practise or ask for feedback, which can slow their progress and reduce their confidence. In addition to this, stress from work could limit the time the student has for independent study or attending potential support. Research supports this by showing that excessive part time work can limit students time for independent study (Dawar, 2025). Over time, this pressure may lead to rushed assignments where referencing is completed quickly or at the last minute, causing more errors and poorer grades. Therefore, external responsibilities such as long working hours are a significant threat to the student’s ability to learn Harvard referencing effectively. </w:t>
      </w:r>
      <w:r w:rsidDel="00000000" w:rsidR="00000000" w:rsidRPr="00000000">
        <w:rPr>
          <w:rtl w:val="0"/>
        </w:rPr>
      </w:r>
    </w:p>
    <w:p w:rsidR="00000000" w:rsidDel="00000000" w:rsidP="00000000" w:rsidRDefault="00000000" w:rsidRPr="00000000" w14:paraId="00000042">
      <w:pPr>
        <w:shd w:fill="ffffff" w:val="clear"/>
        <w:spacing w:before="120" w:line="360" w:lineRule="auto"/>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43">
      <w:pPr>
        <w:spacing w:line="360" w:lineRule="auto"/>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44">
      <w:pPr>
        <w:spacing w:line="360" w:lineRule="auto"/>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45">
      <w:pPr>
        <w:spacing w:line="360" w:lineRule="auto"/>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46">
      <w:pPr>
        <w:spacing w:line="36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highlight w:val="white"/>
          <w:rtl w:val="0"/>
        </w:rPr>
        <w:t xml:space="preserve">Overall, this SWOT analysis shows that the student has strong skills in note taking and a clear motivation to improve. However, it also highlights challenges such as time pressure, work commitments, and the attention to detail required for Harvard referencing, all of which can slow their progress. By understanding these strengths and difficulties, the student can begin to make practical changes, such as improving time management, seeking help when needed, and practising their referencing skills. Taking these steps will help them build confidence, work more efficiently, and continue developing accuracy in Harvard referencing.</w:t>
      </w:r>
      <w:r w:rsidDel="00000000" w:rsidR="00000000" w:rsidRPr="00000000">
        <w:rPr>
          <w:rtl w:val="0"/>
        </w:rPr>
      </w:r>
    </w:p>
    <w:p w:rsidR="00000000" w:rsidDel="00000000" w:rsidP="00000000" w:rsidRDefault="00000000" w:rsidRPr="00000000" w14:paraId="00000047">
      <w:pPr>
        <w:spacing w:line="360" w:lineRule="auto"/>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48">
      <w:pPr>
        <w:spacing w:line="360" w:lineRule="auto"/>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49">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4A">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4B">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4C">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4D">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4E">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4F">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50">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51">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52">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53">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54">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55">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56">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57">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58">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59">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5A">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5B">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5C">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5D">
      <w:pPr>
        <w:rPr>
          <w:rFonts w:ascii="Merriweather" w:cs="Merriweather" w:eastAsia="Merriweather" w:hAnsi="Merriweather"/>
          <w:sz w:val="20"/>
          <w:szCs w:val="20"/>
          <w:u w:val="single"/>
        </w:rPr>
      </w:pPr>
      <w:r w:rsidDel="00000000" w:rsidR="00000000" w:rsidRPr="00000000">
        <w:rPr>
          <w:rFonts w:ascii="Merriweather" w:cs="Merriweather" w:eastAsia="Merriweather" w:hAnsi="Merriweather"/>
          <w:sz w:val="20"/>
          <w:szCs w:val="20"/>
          <w:u w:val="single"/>
          <w:rtl w:val="0"/>
        </w:rPr>
        <w:t xml:space="preserve">Reference list </w:t>
      </w:r>
    </w:p>
    <w:p w:rsidR="00000000" w:rsidDel="00000000" w:rsidP="00000000" w:rsidRDefault="00000000" w:rsidRPr="00000000" w14:paraId="0000005E">
      <w:pPr>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5F">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Alvin (2023) </w:t>
      </w:r>
      <w:r w:rsidDel="00000000" w:rsidR="00000000" w:rsidRPr="00000000">
        <w:rPr>
          <w:rFonts w:ascii="Merriweather" w:cs="Merriweather" w:eastAsia="Merriweather" w:hAnsi="Merriweather"/>
          <w:i w:val="1"/>
          <w:iCs w:val="1"/>
          <w:sz w:val="20"/>
          <w:szCs w:val="20"/>
          <w:rtl w:val="0"/>
        </w:rPr>
        <w:t xml:space="preserve">Essays UK: The importance of Harvard refrencing in academic writing. </w:t>
      </w:r>
      <w:r w:rsidDel="00000000" w:rsidR="00000000" w:rsidRPr="00000000">
        <w:rPr>
          <w:rFonts w:ascii="Merriweather" w:cs="Merriweather" w:eastAsia="Merriweather" w:hAnsi="Merriweather"/>
          <w:sz w:val="20"/>
          <w:szCs w:val="20"/>
          <w:rtl w:val="0"/>
        </w:rPr>
        <w:t xml:space="preserve">Available at: </w:t>
      </w:r>
      <w:hyperlink r:id="rId6">
        <w:r w:rsidDel="00000000" w:rsidR="00000000" w:rsidRPr="00000000">
          <w:rPr>
            <w:rFonts w:ascii="Merriweather" w:cs="Merriweather" w:eastAsia="Merriweather" w:hAnsi="Merriweather"/>
            <w:color w:val="1155cc"/>
            <w:sz w:val="20"/>
            <w:szCs w:val="20"/>
            <w:u w:val="single"/>
            <w:rtl w:val="0"/>
          </w:rPr>
          <w:t xml:space="preserve">https://essays.uk/importance-of-harvard-referencing-in-academic-writing/</w:t>
        </w:r>
      </w:hyperlink>
      <w:r w:rsidDel="00000000" w:rsidR="00000000" w:rsidRPr="00000000">
        <w:rPr>
          <w:rFonts w:ascii="Merriweather" w:cs="Merriweather" w:eastAsia="Merriweather" w:hAnsi="Merriweather"/>
          <w:sz w:val="20"/>
          <w:szCs w:val="20"/>
          <w:rtl w:val="0"/>
        </w:rPr>
        <w:t xml:space="preserve"> (Accessed on 28 November 2025). </w:t>
      </w:r>
    </w:p>
    <w:p w:rsidR="00000000" w:rsidDel="00000000" w:rsidP="00000000" w:rsidRDefault="00000000" w:rsidRPr="00000000" w14:paraId="00000060">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61">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Buglione, K. (2025) Timely care: </w:t>
      </w:r>
      <w:r w:rsidDel="00000000" w:rsidR="00000000" w:rsidRPr="00000000">
        <w:rPr>
          <w:rFonts w:ascii="Merriweather" w:cs="Merriweather" w:eastAsia="Merriweather" w:hAnsi="Merriweather"/>
          <w:i w:val="1"/>
          <w:iCs w:val="1"/>
          <w:sz w:val="20"/>
          <w:szCs w:val="20"/>
          <w:rtl w:val="0"/>
        </w:rPr>
        <w:t xml:space="preserve">Empowering student success through time management. </w:t>
      </w:r>
      <w:r w:rsidDel="00000000" w:rsidR="00000000" w:rsidRPr="00000000">
        <w:rPr>
          <w:rFonts w:ascii="Merriweather" w:cs="Merriweather" w:eastAsia="Merriweather" w:hAnsi="Merriweather"/>
          <w:sz w:val="20"/>
          <w:szCs w:val="20"/>
          <w:rtl w:val="0"/>
        </w:rPr>
        <w:t xml:space="preserve">Available at: </w:t>
      </w:r>
      <w:hyperlink r:id="rId7">
        <w:r w:rsidDel="00000000" w:rsidR="00000000" w:rsidRPr="00000000">
          <w:rPr>
            <w:rFonts w:ascii="Merriweather" w:cs="Merriweather" w:eastAsia="Merriweather" w:hAnsi="Merriweather"/>
            <w:color w:val="1155cc"/>
            <w:sz w:val="20"/>
            <w:szCs w:val="20"/>
            <w:u w:val="single"/>
            <w:rtl w:val="0"/>
          </w:rPr>
          <w:t xml:space="preserve">https://timelycare.com/blog/empowering-student-success-through-time-management/</w:t>
        </w:r>
      </w:hyperlink>
      <w:r w:rsidDel="00000000" w:rsidR="00000000" w:rsidRPr="00000000">
        <w:rPr>
          <w:rtl w:val="0"/>
        </w:rPr>
      </w:r>
    </w:p>
    <w:p w:rsidR="00000000" w:rsidDel="00000000" w:rsidP="00000000" w:rsidRDefault="00000000" w:rsidRPr="00000000" w14:paraId="00000062">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(Accessed on 2 December 2025).</w:t>
      </w:r>
    </w:p>
    <w:p w:rsidR="00000000" w:rsidDel="00000000" w:rsidP="00000000" w:rsidRDefault="00000000" w:rsidRPr="00000000" w14:paraId="00000063">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64">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Carroll, K. (2024) ‘The Relationship between Notetaking, Revision, and Learning in Tertiary Education: A Review of Literature, 1970-2023’</w:t>
      </w:r>
      <w:r w:rsidDel="00000000" w:rsidR="00000000" w:rsidRPr="00000000">
        <w:rPr>
          <w:rFonts w:ascii="Merriweather" w:cs="Merriweather" w:eastAsia="Merriweather" w:hAnsi="Merriweather"/>
          <w:i w:val="1"/>
          <w:iCs w:val="1"/>
          <w:sz w:val="20"/>
          <w:szCs w:val="20"/>
          <w:rtl w:val="0"/>
        </w:rPr>
        <w:t xml:space="preserve"> </w:t>
      </w:r>
      <w:r w:rsidDel="00000000" w:rsidR="00000000" w:rsidRPr="00000000">
        <w:rPr>
          <w:rFonts w:ascii="Merriweather" w:cs="Merriweather" w:eastAsia="Merriweather" w:hAnsi="Merriweather"/>
          <w:sz w:val="20"/>
          <w:szCs w:val="20"/>
          <w:rtl w:val="0"/>
        </w:rPr>
        <w:t xml:space="preserve">AISHE-J, 16 (1),pp 1. Available at: </w:t>
      </w:r>
      <w:hyperlink r:id="rId8">
        <w:r w:rsidDel="00000000" w:rsidR="00000000" w:rsidRPr="00000000">
          <w:rPr>
            <w:rFonts w:ascii="Merriweather" w:cs="Merriweather" w:eastAsia="Merriweather" w:hAnsi="Merriweather"/>
            <w:color w:val="1155cc"/>
            <w:sz w:val="20"/>
            <w:szCs w:val="20"/>
            <w:u w:val="single"/>
            <w:rtl w:val="0"/>
          </w:rPr>
          <w:t xml:space="preserve">https://doi.org/10.26707/aishe-j.16.1.781</w:t>
        </w:r>
      </w:hyperlink>
      <w:r w:rsidDel="00000000" w:rsidR="00000000" w:rsidRPr="00000000">
        <w:rPr>
          <w:rFonts w:ascii="Merriweather" w:cs="Merriweather" w:eastAsia="Merriweather" w:hAnsi="Merriweather"/>
          <w:sz w:val="20"/>
          <w:szCs w:val="20"/>
          <w:rtl w:val="0"/>
        </w:rPr>
        <w:t xml:space="preserve">. (Accessed on 10 December 2025).</w:t>
      </w:r>
    </w:p>
    <w:p w:rsidR="00000000" w:rsidDel="00000000" w:rsidP="00000000" w:rsidRDefault="00000000" w:rsidRPr="00000000" w14:paraId="00000065">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66">
      <w:pPr>
        <w:rPr>
          <w:rFonts w:ascii="Merriweather" w:cs="Merriweather" w:eastAsia="Merriweather" w:hAnsi="Merriweather"/>
          <w:sz w:val="20"/>
          <w:szCs w:val="20"/>
          <w:highlight w:val="white"/>
        </w:rPr>
      </w:pPr>
      <w:r w:rsidDel="00000000" w:rsidR="00000000" w:rsidRPr="00000000">
        <w:rPr>
          <w:rFonts w:ascii="Merriweather" w:cs="Merriweather" w:eastAsia="Merriweather" w:hAnsi="Merriweather"/>
          <w:sz w:val="20"/>
          <w:szCs w:val="20"/>
          <w:highlight w:val="white"/>
          <w:rtl w:val="0"/>
        </w:rPr>
        <w:t xml:space="preserve">Dawar, M. (2025) ‘The role of part-time work on college students’ time management, academic performance, and well-being’, </w:t>
      </w:r>
      <w:r w:rsidDel="00000000" w:rsidR="00000000" w:rsidRPr="00000000">
        <w:rPr>
          <w:rFonts w:ascii="Merriweather" w:cs="Merriweather" w:eastAsia="Merriweather" w:hAnsi="Merriweather"/>
          <w:i w:val="1"/>
          <w:iCs w:val="1"/>
          <w:sz w:val="20"/>
          <w:szCs w:val="20"/>
          <w:highlight w:val="white"/>
          <w:rtl w:val="0"/>
        </w:rPr>
        <w:t xml:space="preserve">International Journal for Multidisciplinary Research </w:t>
      </w:r>
      <w:r w:rsidDel="00000000" w:rsidR="00000000" w:rsidRPr="00000000">
        <w:rPr>
          <w:rFonts w:ascii="Merriweather" w:cs="Merriweather" w:eastAsia="Merriweather" w:hAnsi="Merriweather"/>
          <w:sz w:val="20"/>
          <w:szCs w:val="20"/>
          <w:highlight w:val="white"/>
          <w:rtl w:val="0"/>
        </w:rPr>
        <w:t xml:space="preserve">(IJFMR), 7(3), pp. 1. (Accessed: 10 December 2025). </w:t>
      </w:r>
    </w:p>
    <w:p w:rsidR="00000000" w:rsidDel="00000000" w:rsidP="00000000" w:rsidRDefault="00000000" w:rsidRPr="00000000" w14:paraId="00000067">
      <w:pPr>
        <w:rPr>
          <w:rFonts w:ascii="Merriweather" w:cs="Merriweather" w:eastAsia="Merriweather" w:hAnsi="Merriweather"/>
          <w:sz w:val="20"/>
          <w:szCs w:val="20"/>
          <w:highlight w:val="white"/>
        </w:rPr>
      </w:pPr>
      <w:r w:rsidDel="00000000" w:rsidR="00000000" w:rsidRPr="00000000">
        <w:rPr>
          <w:rtl w:val="0"/>
        </w:rPr>
      </w:r>
    </w:p>
    <w:p w:rsidR="00000000" w:rsidDel="00000000" w:rsidP="00000000" w:rsidRDefault="00000000" w:rsidRPr="00000000" w14:paraId="00000068">
      <w:pPr>
        <w:rPr>
          <w:rFonts w:ascii="Merriweather" w:cs="Merriweather" w:eastAsia="Merriweather" w:hAnsi="Merriweather"/>
          <w:sz w:val="20"/>
          <w:szCs w:val="20"/>
          <w:highlight w:val="white"/>
        </w:rPr>
      </w:pPr>
      <w:r w:rsidDel="00000000" w:rsidR="00000000" w:rsidRPr="00000000">
        <w:rPr>
          <w:rFonts w:ascii="Merriweather" w:cs="Merriweather" w:eastAsia="Merriweather" w:hAnsi="Merriweather"/>
          <w:sz w:val="20"/>
          <w:szCs w:val="20"/>
          <w:highlight w:val="white"/>
          <w:rtl w:val="0"/>
        </w:rPr>
        <w:t xml:space="preserve">Divecha, C.A., Tullu, M.S. and Karande, S. (2023) ‘The art of referencing: Well begun is half done!’,</w:t>
      </w:r>
      <w:r w:rsidDel="00000000" w:rsidR="00000000" w:rsidRPr="00000000">
        <w:rPr>
          <w:rFonts w:ascii="Merriweather" w:cs="Merriweather" w:eastAsia="Merriweather" w:hAnsi="Merriweather"/>
          <w:i w:val="1"/>
          <w:iCs w:val="1"/>
          <w:sz w:val="20"/>
          <w:szCs w:val="20"/>
          <w:highlight w:val="white"/>
          <w:rtl w:val="0"/>
        </w:rPr>
        <w:t xml:space="preserve"> Journal of Postgraduate Medicine</w:t>
      </w:r>
      <w:r w:rsidDel="00000000" w:rsidR="00000000" w:rsidRPr="00000000">
        <w:rPr>
          <w:rFonts w:ascii="Merriweather" w:cs="Merriweather" w:eastAsia="Merriweather" w:hAnsi="Merriweather"/>
          <w:sz w:val="20"/>
          <w:szCs w:val="20"/>
          <w:highlight w:val="white"/>
          <w:rtl w:val="0"/>
        </w:rPr>
        <w:t xml:space="preserve">, 69(1), pp. 1–6. Available at: </w:t>
      </w:r>
      <w:r w:rsidDel="00000000" w:rsidR="00000000" w:rsidRPr="00000000">
        <w:rPr>
          <w:highlight w:val="white"/>
          <w:rtl w:val="0"/>
        </w:rPr>
        <w:t xml:space="preserve">doi:10.4103/jpgm.jpgm_908_22</w:t>
      </w:r>
      <w:r w:rsidDel="00000000" w:rsidR="00000000" w:rsidRPr="00000000">
        <w:rPr>
          <w:rFonts w:ascii="Merriweather" w:cs="Merriweather" w:eastAsia="Merriweather" w:hAnsi="Merriweather"/>
          <w:sz w:val="20"/>
          <w:szCs w:val="20"/>
          <w:highlight w:val="white"/>
          <w:rtl w:val="0"/>
        </w:rPr>
        <w:t xml:space="preserve">. (Accessed: 10 December 2025).  </w:t>
      </w:r>
    </w:p>
    <w:p w:rsidR="00000000" w:rsidDel="00000000" w:rsidP="00000000" w:rsidRDefault="00000000" w:rsidRPr="00000000" w14:paraId="00000069">
      <w:pPr>
        <w:rPr>
          <w:rFonts w:ascii="Merriweather" w:cs="Merriweather" w:eastAsia="Merriweather" w:hAnsi="Merriweather"/>
          <w:sz w:val="20"/>
          <w:szCs w:val="20"/>
          <w:highlight w:val="white"/>
        </w:rPr>
      </w:pPr>
      <w:r w:rsidDel="00000000" w:rsidR="00000000" w:rsidRPr="00000000">
        <w:rPr>
          <w:rtl w:val="0"/>
        </w:rPr>
      </w:r>
    </w:p>
    <w:p w:rsidR="00000000" w:rsidDel="00000000" w:rsidP="00000000" w:rsidRDefault="00000000" w:rsidRPr="00000000" w14:paraId="0000006A">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Huaang, C., Tu, Y., Han, Z., Jiang, F., Wu, F. and Jiang, Y. (2023) ‘Examining the relationship between peer feedback classified by deep learning and online learning burnout’, </w:t>
      </w:r>
      <w:r w:rsidDel="00000000" w:rsidR="00000000" w:rsidRPr="00000000">
        <w:rPr>
          <w:rFonts w:ascii="Merriweather" w:cs="Merriweather" w:eastAsia="Merriweather" w:hAnsi="Merriweather"/>
          <w:i w:val="1"/>
          <w:iCs w:val="1"/>
          <w:sz w:val="20"/>
          <w:szCs w:val="20"/>
          <w:rtl w:val="0"/>
        </w:rPr>
        <w:t xml:space="preserve">computers and education. </w:t>
      </w:r>
      <w:r w:rsidDel="00000000" w:rsidR="00000000" w:rsidRPr="00000000">
        <w:rPr>
          <w:rFonts w:ascii="Merriweather" w:cs="Merriweather" w:eastAsia="Merriweather" w:hAnsi="Merriweather"/>
          <w:sz w:val="20"/>
          <w:szCs w:val="20"/>
          <w:rtl w:val="0"/>
        </w:rPr>
        <w:t xml:space="preserve">207, 104910. Available at: </w:t>
      </w:r>
      <w:hyperlink r:id="rId9">
        <w:r w:rsidDel="00000000" w:rsidR="00000000" w:rsidRPr="00000000">
          <w:rPr>
            <w:rFonts w:ascii="Merriweather" w:cs="Merriweather" w:eastAsia="Merriweather" w:hAnsi="Merriweather"/>
            <w:color w:val="1155cc"/>
            <w:sz w:val="20"/>
            <w:szCs w:val="20"/>
            <w:u w:val="single"/>
            <w:rtl w:val="0"/>
          </w:rPr>
          <w:t xml:space="preserve">https://doi.org/10.1016/j.compedu.2023.104910</w:t>
        </w:r>
      </w:hyperlink>
      <w:r w:rsidDel="00000000" w:rsidR="00000000" w:rsidRPr="00000000">
        <w:rPr>
          <w:rFonts w:ascii="Merriweather" w:cs="Merriweather" w:eastAsia="Merriweather" w:hAnsi="Merriweather"/>
          <w:sz w:val="20"/>
          <w:szCs w:val="20"/>
          <w:rtl w:val="0"/>
        </w:rPr>
        <w:t xml:space="preserve"> (Accessed on 10 December 2025).</w:t>
      </w:r>
    </w:p>
    <w:p w:rsidR="00000000" w:rsidDel="00000000" w:rsidP="00000000" w:rsidRDefault="00000000" w:rsidRPr="00000000" w14:paraId="0000006B">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6C">
      <w:pPr>
        <w:rPr>
          <w:color w:val="222222"/>
          <w:highlight w:val="white"/>
        </w:rPr>
      </w:pPr>
      <w:r w:rsidDel="00000000" w:rsidR="00000000" w:rsidRPr="00000000">
        <w:rPr>
          <w:rFonts w:ascii="Merriweather" w:cs="Merriweather" w:eastAsia="Merriweather" w:hAnsi="Merriweather"/>
          <w:sz w:val="20"/>
          <w:szCs w:val="20"/>
          <w:rtl w:val="0"/>
        </w:rPr>
        <w:t xml:space="preserve">Irving-Bell, D. and Hartley, P. (2022) ‘Visual thinking: Exploring current practices and perspectives re student note taking’, </w:t>
      </w:r>
      <w:r w:rsidDel="00000000" w:rsidR="00000000" w:rsidRPr="00000000">
        <w:rPr>
          <w:rFonts w:ascii="Merriweather" w:cs="Merriweather" w:eastAsia="Merriweather" w:hAnsi="Merriweather"/>
          <w:i w:val="1"/>
          <w:iCs w:val="1"/>
          <w:sz w:val="20"/>
          <w:szCs w:val="20"/>
          <w:rtl w:val="0"/>
        </w:rPr>
        <w:t xml:space="preserve">Journal of Learning Development in Higher Higher Education,</w:t>
      </w:r>
      <w:r w:rsidDel="00000000" w:rsidR="00000000" w:rsidRPr="00000000">
        <w:rPr>
          <w:rFonts w:ascii="Merriweather" w:cs="Merriweather" w:eastAsia="Merriweather" w:hAnsi="Merriweather"/>
          <w:sz w:val="20"/>
          <w:szCs w:val="20"/>
          <w:rtl w:val="0"/>
        </w:rPr>
        <w:t xml:space="preserve"> 25, pp 8. Available at: </w:t>
      </w:r>
      <w:hyperlink r:id="rId10">
        <w:r w:rsidDel="00000000" w:rsidR="00000000" w:rsidRPr="00000000">
          <w:rPr>
            <w:rFonts w:ascii="Merriweather" w:cs="Merriweather" w:eastAsia="Merriweather" w:hAnsi="Merriweather"/>
            <w:color w:val="1155cc"/>
            <w:sz w:val="20"/>
            <w:szCs w:val="20"/>
            <w:u w:val="single"/>
            <w:rtl w:val="0"/>
          </w:rPr>
          <w:t xml:space="preserve">https://doi.org/10.47408/JLDHE.VI25.963</w:t>
        </w:r>
      </w:hyperlink>
      <w:r w:rsidDel="00000000" w:rsidR="00000000" w:rsidRPr="00000000">
        <w:rPr>
          <w:rFonts w:ascii="Merriweather" w:cs="Merriweather" w:eastAsia="Merriweather" w:hAnsi="Merriweather"/>
          <w:sz w:val="20"/>
          <w:szCs w:val="20"/>
          <w:rtl w:val="0"/>
        </w:rPr>
        <w:t xml:space="preserve"> </w:t>
      </w:r>
      <w:r w:rsidDel="00000000" w:rsidR="00000000" w:rsidRPr="00000000">
        <w:rPr>
          <w:color w:val="222222"/>
          <w:highlight w:val="white"/>
          <w:rtl w:val="0"/>
        </w:rPr>
        <w:t xml:space="preserve">(Accessed on 10 December 2025).</w:t>
      </w:r>
    </w:p>
    <w:p w:rsidR="00000000" w:rsidDel="00000000" w:rsidP="00000000" w:rsidRDefault="00000000" w:rsidRPr="00000000" w14:paraId="0000006D">
      <w:pPr>
        <w:rPr>
          <w:color w:val="222222"/>
          <w:highlight w:val="white"/>
        </w:rPr>
      </w:pPr>
      <w:r w:rsidDel="00000000" w:rsidR="00000000" w:rsidRPr="00000000">
        <w:rPr>
          <w:rtl w:val="0"/>
        </w:rPr>
      </w:r>
    </w:p>
    <w:p w:rsidR="00000000" w:rsidDel="00000000" w:rsidP="00000000" w:rsidRDefault="00000000" w:rsidRPr="00000000" w14:paraId="0000006E">
      <w:pPr>
        <w:rPr>
          <w:rFonts w:ascii="Merriweather" w:cs="Merriweather" w:eastAsia="Merriweather" w:hAnsi="Merriweather"/>
          <w:sz w:val="20"/>
          <w:szCs w:val="20"/>
          <w:highlight w:val="white"/>
        </w:rPr>
      </w:pPr>
      <w:r w:rsidDel="00000000" w:rsidR="00000000" w:rsidRPr="00000000">
        <w:rPr>
          <w:rFonts w:ascii="Merriweather" w:cs="Merriweather" w:eastAsia="Merriweather" w:hAnsi="Merriweather"/>
          <w:sz w:val="20"/>
          <w:szCs w:val="20"/>
          <w:highlight w:val="white"/>
          <w:rtl w:val="0"/>
        </w:rPr>
        <w:t xml:space="preserve">Kanu, W.N., Emenalo, F.C. and Alisigwe, H. (2025) ‘Work-study-life balance: challenges and impact on academic performance of students in higher institutions in Imo State Nigeria’, Social Sciences &amp; Humanities Open, (preprint), n.p. Available at: </w:t>
      </w:r>
      <w:hyperlink r:id="rId11">
        <w:r w:rsidDel="00000000" w:rsidR="00000000" w:rsidRPr="00000000">
          <w:rPr>
            <w:rFonts w:ascii="Merriweather" w:cs="Merriweather" w:eastAsia="Merriweather" w:hAnsi="Merriweather"/>
            <w:color w:val="1155cc"/>
            <w:sz w:val="20"/>
            <w:szCs w:val="20"/>
            <w:highlight w:val="white"/>
            <w:u w:val="single"/>
            <w:rtl w:val="0"/>
          </w:rPr>
          <w:t xml:space="preserve">https://papers.ssrn.com/sol3/papers.cfm?abstract_id=</w:t>
        </w:r>
      </w:hyperlink>
      <w:r w:rsidDel="00000000" w:rsidR="00000000" w:rsidRPr="00000000">
        <w:rPr>
          <w:rFonts w:ascii="Merriweather" w:cs="Merriweather" w:eastAsia="Merriweather" w:hAnsi="Merriweather"/>
          <w:color w:val="222222"/>
          <w:sz w:val="20"/>
          <w:szCs w:val="20"/>
          <w:highlight w:val="white"/>
          <w:rtl w:val="0"/>
        </w:rPr>
        <w:t xml:space="preserve"> </w:t>
      </w:r>
      <w:r w:rsidDel="00000000" w:rsidR="00000000" w:rsidRPr="00000000">
        <w:rPr>
          <w:rFonts w:ascii="Merriweather" w:cs="Merriweather" w:eastAsia="Merriweather" w:hAnsi="Merriweather"/>
          <w:sz w:val="20"/>
          <w:szCs w:val="20"/>
          <w:highlight w:val="white"/>
          <w:rtl w:val="0"/>
        </w:rPr>
        <w:t xml:space="preserve">(Accessed: 10 December 2025). </w:t>
      </w:r>
    </w:p>
    <w:p w:rsidR="00000000" w:rsidDel="00000000" w:rsidP="00000000" w:rsidRDefault="00000000" w:rsidRPr="00000000" w14:paraId="0000006F">
      <w:pPr>
        <w:rPr>
          <w:rFonts w:ascii="Merriweather" w:cs="Merriweather" w:eastAsia="Merriweather" w:hAnsi="Merriweather"/>
          <w:sz w:val="20"/>
          <w:szCs w:val="20"/>
          <w:highlight w:val="white"/>
        </w:rPr>
      </w:pPr>
      <w:r w:rsidDel="00000000" w:rsidR="00000000" w:rsidRPr="00000000">
        <w:rPr>
          <w:rtl w:val="0"/>
        </w:rPr>
      </w:r>
    </w:p>
    <w:p w:rsidR="00000000" w:rsidDel="00000000" w:rsidP="00000000" w:rsidRDefault="00000000" w:rsidRPr="00000000" w14:paraId="00000070">
      <w:pPr>
        <w:rPr>
          <w:rFonts w:ascii="Merriweather" w:cs="Merriweather" w:eastAsia="Merriweather" w:hAnsi="Merriweather"/>
          <w:sz w:val="20"/>
          <w:szCs w:val="20"/>
          <w:highlight w:val="white"/>
        </w:rPr>
      </w:pPr>
      <w:r w:rsidDel="00000000" w:rsidR="00000000" w:rsidRPr="00000000">
        <w:rPr>
          <w:rFonts w:ascii="Merriweather" w:cs="Merriweather" w:eastAsia="Merriweather" w:hAnsi="Merriweather"/>
          <w:sz w:val="20"/>
          <w:szCs w:val="20"/>
          <w:rtl w:val="0"/>
        </w:rPr>
        <w:t xml:space="preserve">KIm, E.J and Lee, K.R. (2019) ‘Effects of an examiner’s positive and negative  feedback on self-assessment of skill performance, emotional response, and self-efficacy in Korea: a quasiexperimental study’, </w:t>
      </w:r>
      <w:r w:rsidDel="00000000" w:rsidR="00000000" w:rsidRPr="00000000">
        <w:rPr>
          <w:rFonts w:ascii="Merriweather" w:cs="Merriweather" w:eastAsia="Merriweather" w:hAnsi="Merriweather"/>
          <w:i w:val="1"/>
          <w:iCs w:val="1"/>
          <w:sz w:val="20"/>
          <w:szCs w:val="20"/>
          <w:rtl w:val="0"/>
        </w:rPr>
        <w:t xml:space="preserve">BMC Medical Education, </w:t>
      </w:r>
      <w:r w:rsidDel="00000000" w:rsidR="00000000" w:rsidRPr="00000000">
        <w:rPr>
          <w:rFonts w:ascii="Merriweather" w:cs="Merriweather" w:eastAsia="Merriweather" w:hAnsi="Merriweather"/>
          <w:sz w:val="20"/>
          <w:szCs w:val="20"/>
          <w:rtl w:val="0"/>
        </w:rPr>
        <w:t xml:space="preserve">19 (142) Available at: </w:t>
      </w:r>
      <w:hyperlink r:id="rId12">
        <w:r w:rsidDel="00000000" w:rsidR="00000000" w:rsidRPr="00000000">
          <w:rPr>
            <w:rFonts w:ascii="Merriweather" w:cs="Merriweather" w:eastAsia="Merriweather" w:hAnsi="Merriweather"/>
            <w:color w:val="1155cc"/>
            <w:sz w:val="20"/>
            <w:szCs w:val="20"/>
            <w:u w:val="single"/>
            <w:rtl w:val="0"/>
          </w:rPr>
          <w:t xml:space="preserve">https://doi.org/10.1186/s12909-019-1595-x</w:t>
        </w:r>
      </w:hyperlink>
      <w:r w:rsidDel="00000000" w:rsidR="00000000" w:rsidRPr="00000000">
        <w:rPr>
          <w:rFonts w:ascii="Merriweather" w:cs="Merriweather" w:eastAsia="Merriweather" w:hAnsi="Merriweather"/>
          <w:sz w:val="20"/>
          <w:szCs w:val="20"/>
          <w:rtl w:val="0"/>
        </w:rPr>
        <w:t xml:space="preserve"> (Accessed on 10 December 2025).</w:t>
      </w:r>
      <w:r w:rsidDel="00000000" w:rsidR="00000000" w:rsidRPr="00000000">
        <w:rPr>
          <w:rtl w:val="0"/>
        </w:rPr>
      </w:r>
    </w:p>
    <w:p w:rsidR="00000000" w:rsidDel="00000000" w:rsidP="00000000" w:rsidRDefault="00000000" w:rsidRPr="00000000" w14:paraId="00000071">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72">
      <w:pPr>
        <w:rPr>
          <w:rFonts w:ascii="Merriweather" w:cs="Merriweather" w:eastAsia="Merriweather" w:hAnsi="Merriweather"/>
          <w:sz w:val="20"/>
          <w:szCs w:val="20"/>
          <w:highlight w:val="white"/>
        </w:rPr>
      </w:pPr>
      <w:r w:rsidDel="00000000" w:rsidR="00000000" w:rsidRPr="00000000">
        <w:rPr>
          <w:rFonts w:ascii="Merriweather" w:cs="Merriweather" w:eastAsia="Merriweather" w:hAnsi="Merriweather"/>
          <w:sz w:val="20"/>
          <w:szCs w:val="20"/>
          <w:highlight w:val="white"/>
          <w:rtl w:val="0"/>
        </w:rPr>
        <w:t xml:space="preserve">Leenknecht, M.J.M. and Carless, D. (2023) 'Students' feedback seeking behaviour in undergraduate education: A scoping review', </w:t>
      </w:r>
      <w:r w:rsidDel="00000000" w:rsidR="00000000" w:rsidRPr="00000000">
        <w:rPr>
          <w:rFonts w:ascii="Merriweather" w:cs="Merriweather" w:eastAsia="Merriweather" w:hAnsi="Merriweather"/>
          <w:i w:val="1"/>
          <w:iCs w:val="1"/>
          <w:sz w:val="20"/>
          <w:szCs w:val="20"/>
          <w:highlight w:val="white"/>
          <w:rtl w:val="0"/>
        </w:rPr>
        <w:t xml:space="preserve">Educational Research Review</w:t>
      </w:r>
      <w:r w:rsidDel="00000000" w:rsidR="00000000" w:rsidRPr="00000000">
        <w:rPr>
          <w:rFonts w:ascii="Merriweather" w:cs="Merriweather" w:eastAsia="Merriweather" w:hAnsi="Merriweather"/>
          <w:sz w:val="20"/>
          <w:szCs w:val="20"/>
          <w:highlight w:val="white"/>
          <w:rtl w:val="0"/>
        </w:rPr>
        <w:t xml:space="preserve">, 40, 100549.</w:t>
      </w:r>
    </w:p>
    <w:p w:rsidR="00000000" w:rsidDel="00000000" w:rsidP="00000000" w:rsidRDefault="00000000" w:rsidRPr="00000000" w14:paraId="00000073">
      <w:pPr>
        <w:rPr>
          <w:rFonts w:ascii="Merriweather" w:cs="Merriweather" w:eastAsia="Merriweather" w:hAnsi="Merriweather"/>
          <w:sz w:val="20"/>
          <w:szCs w:val="20"/>
          <w:highlight w:val="white"/>
        </w:rPr>
      </w:pPr>
      <w:hyperlink r:id="rId13">
        <w:r w:rsidDel="00000000" w:rsidR="00000000" w:rsidRPr="00000000">
          <w:rPr>
            <w:rFonts w:ascii="Merriweather" w:cs="Merriweather" w:eastAsia="Merriweather" w:hAnsi="Merriweather"/>
            <w:color w:val="1155cc"/>
            <w:sz w:val="20"/>
            <w:szCs w:val="20"/>
            <w:highlight w:val="white"/>
            <w:u w:val="single"/>
            <w:rtl w:val="0"/>
          </w:rPr>
          <w:t xml:space="preserve">https://doi.org/10.1016/j.edurev.2023.100549</w:t>
        </w:r>
      </w:hyperlink>
      <w:r w:rsidDel="00000000" w:rsidR="00000000" w:rsidRPr="00000000">
        <w:rPr>
          <w:rFonts w:ascii="Merriweather" w:cs="Merriweather" w:eastAsia="Merriweather" w:hAnsi="Merriweather"/>
          <w:sz w:val="18"/>
          <w:szCs w:val="18"/>
          <w:rtl w:val="0"/>
        </w:rPr>
        <w:t xml:space="preserve"> </w:t>
      </w:r>
      <w:r w:rsidDel="00000000" w:rsidR="00000000" w:rsidRPr="00000000">
        <w:rPr>
          <w:rFonts w:ascii="Merriweather" w:cs="Merriweather" w:eastAsia="Merriweather" w:hAnsi="Merriweather"/>
          <w:sz w:val="20"/>
          <w:szCs w:val="20"/>
          <w:rtl w:val="0"/>
        </w:rPr>
        <w:t xml:space="preserve">(Accessed on 10 December 2025).</w:t>
      </w:r>
      <w:r w:rsidDel="00000000" w:rsidR="00000000" w:rsidRPr="00000000">
        <w:rPr>
          <w:rtl w:val="0"/>
        </w:rPr>
      </w:r>
    </w:p>
    <w:p w:rsidR="00000000" w:rsidDel="00000000" w:rsidP="00000000" w:rsidRDefault="00000000" w:rsidRPr="00000000" w14:paraId="00000074">
      <w:pPr>
        <w:spacing w:after="240" w:before="240" w:lineRule="auto"/>
        <w:rPr>
          <w:rFonts w:ascii="Merriweather" w:cs="Merriweather" w:eastAsia="Merriweather" w:hAnsi="Merriweather"/>
          <w:sz w:val="20"/>
          <w:szCs w:val="20"/>
          <w:highlight w:val="white"/>
        </w:rPr>
      </w:pPr>
      <w:r w:rsidDel="00000000" w:rsidR="00000000" w:rsidRPr="00000000">
        <w:rPr>
          <w:rFonts w:ascii="Merriweather" w:cs="Merriweather" w:eastAsia="Merriweather" w:hAnsi="Merriweather"/>
          <w:sz w:val="20"/>
          <w:szCs w:val="20"/>
          <w:rtl w:val="0"/>
        </w:rPr>
        <w:t xml:space="preserve">Libago, Z.Z.A., Mangadang, A., Molok, H.D. &amp; Gabriel, A.B. (2024) ‘The association between being working students to academic performance and time management:’</w:t>
      </w:r>
      <w:r w:rsidDel="00000000" w:rsidR="00000000" w:rsidRPr="00000000">
        <w:rPr>
          <w:rFonts w:ascii="Merriweather" w:cs="Merriweather" w:eastAsia="Merriweather" w:hAnsi="Merriweather"/>
          <w:i w:val="1"/>
          <w:iCs w:val="1"/>
          <w:sz w:val="20"/>
          <w:szCs w:val="20"/>
          <w:rtl w:val="0"/>
        </w:rPr>
        <w:t xml:space="preserve"> A research. ResearchGate.</w:t>
      </w:r>
      <w:r w:rsidDel="00000000" w:rsidR="00000000" w:rsidRPr="00000000">
        <w:rPr>
          <w:rFonts w:ascii="Merriweather" w:cs="Merriweather" w:eastAsia="Merriweather" w:hAnsi="Merriweather"/>
          <w:sz w:val="20"/>
          <w:szCs w:val="20"/>
          <w:rtl w:val="0"/>
        </w:rPr>
        <w:t xml:space="preserve"> Available at: doi:10.13140/RG.2.2.13797.61921. (Accessed on 10 December)</w:t>
      </w:r>
      <w:r w:rsidDel="00000000" w:rsidR="00000000" w:rsidRPr="00000000">
        <w:rPr>
          <w:rtl w:val="0"/>
        </w:rPr>
      </w:r>
    </w:p>
    <w:p w:rsidR="00000000" w:rsidDel="00000000" w:rsidP="00000000" w:rsidRDefault="00000000" w:rsidRPr="00000000" w14:paraId="00000075">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Oxford Royal:  leading summer schools of the world (2025) </w:t>
      </w:r>
      <w:r w:rsidDel="00000000" w:rsidR="00000000" w:rsidRPr="00000000">
        <w:rPr>
          <w:rFonts w:ascii="Merriweather" w:cs="Merriweather" w:eastAsia="Merriweather" w:hAnsi="Merriweather"/>
          <w:i w:val="1"/>
          <w:iCs w:val="1"/>
          <w:sz w:val="20"/>
          <w:szCs w:val="20"/>
          <w:rtl w:val="0"/>
        </w:rPr>
        <w:t xml:space="preserve">14 ways to improve your grades if you’re underimproving. </w:t>
      </w:r>
      <w:r w:rsidDel="00000000" w:rsidR="00000000" w:rsidRPr="00000000">
        <w:rPr>
          <w:rFonts w:ascii="Merriweather" w:cs="Merriweather" w:eastAsia="Merriweather" w:hAnsi="Merriweather"/>
          <w:sz w:val="20"/>
          <w:szCs w:val="20"/>
          <w:rtl w:val="0"/>
        </w:rPr>
        <w:t xml:space="preserve">Available at: </w:t>
      </w:r>
      <w:hyperlink r:id="rId14">
        <w:r w:rsidDel="00000000" w:rsidR="00000000" w:rsidRPr="00000000">
          <w:rPr>
            <w:rFonts w:ascii="Merriweather" w:cs="Merriweather" w:eastAsia="Merriweather" w:hAnsi="Merriweather"/>
            <w:color w:val="1155cc"/>
            <w:sz w:val="20"/>
            <w:szCs w:val="20"/>
            <w:u w:val="single"/>
            <w:rtl w:val="0"/>
          </w:rPr>
          <w:t xml:space="preserve">https://www.oxford-royale.com/articles/improve-underperforming-grades</w:t>
        </w:r>
      </w:hyperlink>
      <w:r w:rsidDel="00000000" w:rsidR="00000000" w:rsidRPr="00000000">
        <w:rPr>
          <w:rFonts w:ascii="Merriweather" w:cs="Merriweather" w:eastAsia="Merriweather" w:hAnsi="Merriweather"/>
          <w:sz w:val="20"/>
          <w:szCs w:val="20"/>
          <w:rtl w:val="0"/>
        </w:rPr>
        <w:t xml:space="preserve"> (Accessed on 28 November 2025).</w:t>
      </w:r>
    </w:p>
    <w:p w:rsidR="00000000" w:rsidDel="00000000" w:rsidP="00000000" w:rsidRDefault="00000000" w:rsidRPr="00000000" w14:paraId="00000076">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77">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Scholarly (2023) </w:t>
      </w:r>
      <w:r w:rsidDel="00000000" w:rsidR="00000000" w:rsidRPr="00000000">
        <w:rPr>
          <w:rFonts w:ascii="Merriweather" w:cs="Merriweather" w:eastAsia="Merriweather" w:hAnsi="Merriweather"/>
          <w:i w:val="1"/>
          <w:iCs w:val="1"/>
          <w:sz w:val="20"/>
          <w:szCs w:val="20"/>
          <w:rtl w:val="0"/>
        </w:rPr>
        <w:t xml:space="preserve">The advantages of note taking in lectures: Discover the numerous benefits of taking notes during lectures and how it can enhance  your learning experience. </w:t>
      </w:r>
      <w:r w:rsidDel="00000000" w:rsidR="00000000" w:rsidRPr="00000000">
        <w:rPr>
          <w:rFonts w:ascii="Merriweather" w:cs="Merriweather" w:eastAsia="Merriweather" w:hAnsi="Merriweather"/>
          <w:sz w:val="20"/>
          <w:szCs w:val="20"/>
          <w:rtl w:val="0"/>
        </w:rPr>
        <w:t xml:space="preserve">Available at: </w:t>
      </w:r>
      <w:hyperlink r:id="rId15">
        <w:r w:rsidDel="00000000" w:rsidR="00000000" w:rsidRPr="00000000">
          <w:rPr>
            <w:rFonts w:ascii="Merriweather" w:cs="Merriweather" w:eastAsia="Merriweather" w:hAnsi="Merriweather"/>
            <w:color w:val="1155cc"/>
            <w:sz w:val="20"/>
            <w:szCs w:val="20"/>
            <w:u w:val="single"/>
            <w:rtl w:val="0"/>
          </w:rPr>
          <w:t xml:space="preserve">https://scholarly.so/blog/the-advantages-of-note-taking-in-lectures</w:t>
        </w:r>
      </w:hyperlink>
      <w:r w:rsidDel="00000000" w:rsidR="00000000" w:rsidRPr="00000000">
        <w:rPr>
          <w:rFonts w:ascii="Merriweather" w:cs="Merriweather" w:eastAsia="Merriweather" w:hAnsi="Merriweather"/>
          <w:sz w:val="20"/>
          <w:szCs w:val="20"/>
          <w:rtl w:val="0"/>
        </w:rPr>
        <w:t xml:space="preserve">  (Accessed on 28 November 2025). </w:t>
      </w:r>
    </w:p>
    <w:p w:rsidR="00000000" w:rsidDel="00000000" w:rsidP="00000000" w:rsidRDefault="00000000" w:rsidRPr="00000000" w14:paraId="00000078">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79">
      <w:pPr>
        <w:rPr>
          <w:rFonts w:ascii="Merriweather" w:cs="Merriweather" w:eastAsia="Merriweather" w:hAnsi="Merriweather"/>
          <w:i w:val="1"/>
          <w:iCs w:val="1"/>
          <w:sz w:val="20"/>
          <w:szCs w:val="20"/>
        </w:rPr>
      </w:pPr>
      <w:r w:rsidDel="00000000" w:rsidR="00000000" w:rsidRPr="00000000">
        <w:rPr>
          <w:rFonts w:ascii="Merriweather" w:cs="Merriweather" w:eastAsia="Merriweather" w:hAnsi="Merriweather"/>
          <w:sz w:val="20"/>
          <w:szCs w:val="20"/>
          <w:rtl w:val="0"/>
        </w:rPr>
        <w:t xml:space="preserve">The study space (2025) </w:t>
      </w:r>
      <w:r w:rsidDel="00000000" w:rsidR="00000000" w:rsidRPr="00000000">
        <w:rPr>
          <w:rFonts w:ascii="Merriweather" w:cs="Merriweather" w:eastAsia="Merriweather" w:hAnsi="Merriweather"/>
          <w:i w:val="1"/>
          <w:iCs w:val="1"/>
          <w:sz w:val="20"/>
          <w:szCs w:val="20"/>
          <w:rtl w:val="0"/>
        </w:rPr>
        <w:t xml:space="preserve">Refrencing and avoiding plagiarism. </w:t>
      </w:r>
      <w:r w:rsidDel="00000000" w:rsidR="00000000" w:rsidRPr="00000000">
        <w:rPr>
          <w:rFonts w:ascii="Merriweather" w:cs="Merriweather" w:eastAsia="Merriweather" w:hAnsi="Merriweather"/>
          <w:sz w:val="20"/>
          <w:szCs w:val="20"/>
          <w:rtl w:val="0"/>
        </w:rPr>
        <w:t xml:space="preserve">Available at:</w:t>
      </w:r>
      <w:hyperlink r:id="rId16">
        <w:r w:rsidDel="00000000" w:rsidR="00000000" w:rsidRPr="00000000">
          <w:rPr>
            <w:color w:val="1155cc"/>
            <w:u w:val="single"/>
            <w:rtl w:val="0"/>
          </w:rPr>
          <w:t xml:space="preserve">https://www.thestudyspace.com/page/referencing-and-avoiding-plagiarism/</w:t>
        </w:r>
      </w:hyperlink>
      <w:r w:rsidDel="00000000" w:rsidR="00000000" w:rsidRPr="00000000">
        <w:rPr>
          <w:rtl w:val="0"/>
        </w:rPr>
        <w:t xml:space="preserve"> </w:t>
      </w:r>
      <w:r w:rsidDel="00000000" w:rsidR="00000000" w:rsidRPr="00000000">
        <w:rPr>
          <w:rFonts w:ascii="Merriweather" w:cs="Merriweather" w:eastAsia="Merriweather" w:hAnsi="Merriweather"/>
          <w:sz w:val="20"/>
          <w:szCs w:val="20"/>
          <w:rtl w:val="0"/>
        </w:rPr>
        <w:t xml:space="preserve"> (Accessed on 2 December 2025)</w:t>
      </w:r>
      <w:r w:rsidDel="00000000" w:rsidR="00000000" w:rsidRPr="00000000">
        <w:rPr>
          <w:rFonts w:ascii="Merriweather" w:cs="Merriweather" w:eastAsia="Merriweather" w:hAnsi="Merriweather"/>
          <w:i w:val="1"/>
          <w:iCs w:val="1"/>
          <w:sz w:val="20"/>
          <w:szCs w:val="20"/>
          <w:rtl w:val="0"/>
        </w:rPr>
        <w:t xml:space="preserve">.</w:t>
      </w:r>
    </w:p>
    <w:p w:rsidR="00000000" w:rsidDel="00000000" w:rsidP="00000000" w:rsidRDefault="00000000" w:rsidRPr="00000000" w14:paraId="0000007A">
      <w:pPr>
        <w:rPr>
          <w:rFonts w:ascii="Merriweather" w:cs="Merriweather" w:eastAsia="Merriweather" w:hAnsi="Merriweather"/>
          <w:i w:val="1"/>
          <w:iCs w:val="1"/>
          <w:sz w:val="20"/>
          <w:szCs w:val="20"/>
        </w:rPr>
      </w:pPr>
      <w:r w:rsidDel="00000000" w:rsidR="00000000" w:rsidRPr="00000000">
        <w:rPr>
          <w:rtl w:val="0"/>
        </w:rPr>
      </w:r>
    </w:p>
    <w:p w:rsidR="00000000" w:rsidDel="00000000" w:rsidP="00000000" w:rsidRDefault="00000000" w:rsidRPr="00000000" w14:paraId="0000007B">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The  knowledge academy (2025) </w:t>
      </w:r>
      <w:r w:rsidDel="00000000" w:rsidR="00000000" w:rsidRPr="00000000">
        <w:rPr>
          <w:rFonts w:ascii="Merriweather" w:cs="Merriweather" w:eastAsia="Merriweather" w:hAnsi="Merriweather"/>
          <w:i w:val="1"/>
          <w:iCs w:val="1"/>
          <w:sz w:val="20"/>
          <w:szCs w:val="20"/>
          <w:rtl w:val="0"/>
        </w:rPr>
        <w:t xml:space="preserve">The importance of time management.</w:t>
      </w:r>
      <w:r w:rsidDel="00000000" w:rsidR="00000000" w:rsidRPr="00000000">
        <w:rPr>
          <w:rFonts w:ascii="Merriweather" w:cs="Merriweather" w:eastAsia="Merriweather" w:hAnsi="Merriweather"/>
          <w:sz w:val="20"/>
          <w:szCs w:val="20"/>
          <w:rtl w:val="0"/>
        </w:rPr>
        <w:t xml:space="preserve"> Available at: </w:t>
      </w:r>
      <w:hyperlink r:id="rId17">
        <w:r w:rsidDel="00000000" w:rsidR="00000000" w:rsidRPr="00000000">
          <w:rPr>
            <w:rFonts w:ascii="Merriweather" w:cs="Merriweather" w:eastAsia="Merriweather" w:hAnsi="Merriweather"/>
            <w:color w:val="1155cc"/>
            <w:sz w:val="20"/>
            <w:szCs w:val="20"/>
            <w:u w:val="single"/>
            <w:rtl w:val="0"/>
          </w:rPr>
          <w:t xml:space="preserve">https://docs.google.com/document/d/1oOs8LVoBQH8DYmUpBwGLq4jXT_kiVju4uNiNq1WAP2w/edit?tab=t.0</w:t>
        </w:r>
      </w:hyperlink>
      <w:r w:rsidDel="00000000" w:rsidR="00000000" w:rsidRPr="00000000">
        <w:rPr>
          <w:rFonts w:ascii="Merriweather" w:cs="Merriweather" w:eastAsia="Merriweather" w:hAnsi="Merriweather"/>
          <w:sz w:val="20"/>
          <w:szCs w:val="20"/>
          <w:rtl w:val="0"/>
        </w:rPr>
        <w:t xml:space="preserve"> (Accessed on 2 December 2025).</w:t>
      </w:r>
    </w:p>
    <w:p w:rsidR="00000000" w:rsidDel="00000000" w:rsidP="00000000" w:rsidRDefault="00000000" w:rsidRPr="00000000" w14:paraId="0000007C">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7D">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7E">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7F">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80">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81">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82">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83">
      <w:pPr>
        <w:spacing w:after="240" w:before="240" w:lineRule="auto"/>
        <w:ind w:left="0" w:firstLine="0"/>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84">
      <w:pPr>
        <w:ind w:left="220" w:firstLine="0"/>
        <w:rPr>
          <w:rFonts w:ascii="Merriweather" w:cs="Merriweather" w:eastAsia="Merriweather" w:hAnsi="Merriweather"/>
          <w:i w:val="1"/>
          <w:iCs w:val="1"/>
          <w:color w:val="ffffff"/>
          <w:sz w:val="20"/>
          <w:szCs w:val="20"/>
        </w:rPr>
      </w:pPr>
      <w:r w:rsidDel="00000000" w:rsidR="00000000" w:rsidRPr="00000000">
        <w:rPr>
          <w:rtl w:val="0"/>
        </w:rPr>
      </w:r>
    </w:p>
    <w:p w:rsidR="00000000" w:rsidDel="00000000" w:rsidP="00000000" w:rsidRDefault="00000000" w:rsidRPr="00000000" w14:paraId="00000085">
      <w:pPr>
        <w:rPr>
          <w:rFonts w:ascii="Merriweather" w:cs="Merriweather" w:eastAsia="Merriweather" w:hAnsi="Merriweather"/>
          <w:i w:val="1"/>
          <w:iCs w:val="1"/>
          <w:sz w:val="20"/>
          <w:szCs w:val="2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papers.ssrn.com/sol3/papers.cfm?abstract_id=" TargetMode="External"/><Relationship Id="rId10" Type="http://schemas.openxmlformats.org/officeDocument/2006/relationships/hyperlink" Target="https://doi.org/10.47408/JLDHE.VI25.963" TargetMode="External"/><Relationship Id="rId13" Type="http://schemas.openxmlformats.org/officeDocument/2006/relationships/hyperlink" Target="https://doi.org/10.1016/j.edurev.2023.100549" TargetMode="External"/><Relationship Id="rId12" Type="http://schemas.openxmlformats.org/officeDocument/2006/relationships/hyperlink" Target="https://doi.org/10.1186/s12909-019-1595-x"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16/j.compedu.2023.104910" TargetMode="External"/><Relationship Id="rId15" Type="http://schemas.openxmlformats.org/officeDocument/2006/relationships/hyperlink" Target="https://scholarly.so/blog/the-advantages-of-note-taking-in-lectures" TargetMode="External"/><Relationship Id="rId14" Type="http://schemas.openxmlformats.org/officeDocument/2006/relationships/hyperlink" Target="https://www.oxford-royale.com/articles/improve-underperforming-grades" TargetMode="External"/><Relationship Id="rId17" Type="http://schemas.openxmlformats.org/officeDocument/2006/relationships/hyperlink" Target="https://docs.google.com/document/d/1oOs8LVoBQH8DYmUpBwGLq4jXT_kiVju4uNiNq1WAP2w/edit?tab=t.0" TargetMode="External"/><Relationship Id="rId16" Type="http://schemas.openxmlformats.org/officeDocument/2006/relationships/hyperlink" Target="https://www.thestudyspace.com/page/referencing-and-avoiding-plagiarism/" TargetMode="External"/><Relationship Id="rId5" Type="http://schemas.openxmlformats.org/officeDocument/2006/relationships/styles" Target="styles.xml"/><Relationship Id="rId6" Type="http://schemas.openxmlformats.org/officeDocument/2006/relationships/hyperlink" Target="https://essays.uk/importance-of-harvard-referencing-in-academic-writing/" TargetMode="External"/><Relationship Id="rId7" Type="http://schemas.openxmlformats.org/officeDocument/2006/relationships/hyperlink" Target="https://timelycare.com/blog/empowering-student-success-through-time-management/" TargetMode="External"/><Relationship Id="rId8" Type="http://schemas.openxmlformats.org/officeDocument/2006/relationships/hyperlink" Target="https://doi.org/10.26707/aishe-j.16.1.781"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