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DE8F67" w14:textId="2E3EDA89" w:rsidR="00AF7832" w:rsidRDefault="00AF7832">
      <w:pPr>
        <w:rPr>
          <w:noProof/>
        </w:rPr>
      </w:pPr>
      <w:r>
        <w:rPr>
          <w:noProof/>
        </w:rPr>
        <w:drawing>
          <wp:inline distT="0" distB="0" distL="0" distR="0" wp14:anchorId="3C527976" wp14:editId="05898CF5">
            <wp:extent cx="2226310" cy="1504597"/>
            <wp:effectExtent l="0" t="0" r="2540" b="635"/>
            <wp:docPr id="126689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89928" name="Picture 126689928"/>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31367" cy="1508015"/>
                    </a:xfrm>
                    <a:prstGeom prst="rect">
                      <a:avLst/>
                    </a:prstGeom>
                  </pic:spPr>
                </pic:pic>
              </a:graphicData>
            </a:graphic>
          </wp:inline>
        </w:drawing>
      </w:r>
    </w:p>
    <w:p w14:paraId="4BB53B09" w14:textId="18B535E7" w:rsidR="00A929BF" w:rsidRDefault="00A929BF"/>
    <w:p w14:paraId="01A6A6E3" w14:textId="77777777" w:rsidR="00AF7832" w:rsidRPr="00AF7832" w:rsidRDefault="00AF7832">
      <w:pPr>
        <w:rPr>
          <w:rStyle w:val="Strong"/>
        </w:rPr>
      </w:pPr>
    </w:p>
    <w:p w14:paraId="7E0FFE0D" w14:textId="69B7106F" w:rsidR="00AF7832" w:rsidRPr="00AF7832" w:rsidRDefault="00AF7832">
      <w:pPr>
        <w:rPr>
          <w:rStyle w:val="Strong"/>
        </w:rPr>
      </w:pPr>
      <w:r w:rsidRPr="00AF7832">
        <w:rPr>
          <w:rStyle w:val="Strong"/>
        </w:rPr>
        <w:t xml:space="preserve">STUDENT NAME: SABIN GHEORGHE </w:t>
      </w:r>
    </w:p>
    <w:p w14:paraId="62E81B5C" w14:textId="6711CB94" w:rsidR="00AF7832" w:rsidRPr="00AF7832" w:rsidRDefault="00AF7832">
      <w:pPr>
        <w:rPr>
          <w:rStyle w:val="Strong"/>
        </w:rPr>
      </w:pPr>
      <w:r w:rsidRPr="00AF7832">
        <w:rPr>
          <w:rStyle w:val="Strong"/>
        </w:rPr>
        <w:t>STUDENT ID: 2213752</w:t>
      </w:r>
    </w:p>
    <w:p w14:paraId="1F9AD765" w14:textId="77777777" w:rsidR="00AF7832" w:rsidRPr="00AF7832" w:rsidRDefault="00AF7832">
      <w:pPr>
        <w:rPr>
          <w:rFonts w:ascii="Arial" w:hAnsi="Arial" w:cs="Arial"/>
        </w:rPr>
      </w:pPr>
    </w:p>
    <w:p w14:paraId="22D6F28D" w14:textId="77777777" w:rsidR="00AF7832" w:rsidRPr="00AF7832" w:rsidRDefault="00AF7832">
      <w:pPr>
        <w:rPr>
          <w:rFonts w:ascii="Arial" w:hAnsi="Arial" w:cs="Arial"/>
        </w:rPr>
      </w:pPr>
    </w:p>
    <w:p w14:paraId="16F59814" w14:textId="77777777" w:rsidR="00AF7832" w:rsidRPr="00AF7832" w:rsidRDefault="00AF7832" w:rsidP="00AF7832">
      <w:pPr>
        <w:pStyle w:val="Quote"/>
        <w:rPr>
          <w:rStyle w:val="Strong"/>
        </w:rPr>
      </w:pPr>
    </w:p>
    <w:p w14:paraId="0751EA4C" w14:textId="4A265F76" w:rsidR="00AF7832" w:rsidRPr="00AF7832" w:rsidRDefault="00AF7832" w:rsidP="00AF7832">
      <w:pPr>
        <w:pStyle w:val="Quote"/>
        <w:rPr>
          <w:rStyle w:val="Strong"/>
        </w:rPr>
      </w:pPr>
      <w:r w:rsidRPr="00AF7832">
        <w:rPr>
          <w:rStyle w:val="Strong"/>
        </w:rPr>
        <w:t>MODULE CODE: LCBB6006 PROJECT MANAGEMENT</w:t>
      </w:r>
    </w:p>
    <w:p w14:paraId="1C7608C5" w14:textId="0EB660D8" w:rsidR="00AF7832" w:rsidRPr="00AF7832" w:rsidRDefault="00AF7832" w:rsidP="00AF7832">
      <w:pPr>
        <w:pStyle w:val="Quote"/>
        <w:rPr>
          <w:rStyle w:val="Strong"/>
        </w:rPr>
      </w:pPr>
      <w:r w:rsidRPr="00AF7832">
        <w:rPr>
          <w:rStyle w:val="Strong"/>
        </w:rPr>
        <w:t xml:space="preserve">LECTURE NAME: SHUJUN XIAO </w:t>
      </w:r>
    </w:p>
    <w:p w14:paraId="2B984BDE" w14:textId="1D0109D0" w:rsidR="00AF7832" w:rsidRPr="00AF7832" w:rsidRDefault="00AF7832" w:rsidP="00AF7832">
      <w:pPr>
        <w:pStyle w:val="Quote"/>
        <w:rPr>
          <w:rStyle w:val="Strong"/>
        </w:rPr>
      </w:pPr>
      <w:r w:rsidRPr="00AF7832">
        <w:rPr>
          <w:rStyle w:val="Strong"/>
        </w:rPr>
        <w:t xml:space="preserve">COMPONENT 2: ESSAY 2000 WORDS </w:t>
      </w:r>
    </w:p>
    <w:p w14:paraId="6D7DCD2C" w14:textId="77777777" w:rsidR="00AF7832" w:rsidRPr="00AF7832" w:rsidRDefault="00AF7832" w:rsidP="00AF7832">
      <w:pPr>
        <w:pStyle w:val="Quote"/>
        <w:rPr>
          <w:rStyle w:val="Strong"/>
        </w:rPr>
      </w:pPr>
    </w:p>
    <w:p w14:paraId="237140BD" w14:textId="7A8B66C5" w:rsidR="00AF7832" w:rsidRDefault="00AF7832" w:rsidP="00AF7832">
      <w:pPr>
        <w:jc w:val="center"/>
        <w:rPr>
          <w:rFonts w:ascii="Arial" w:hAnsi="Arial" w:cs="Arial"/>
          <w:b/>
          <w:bCs/>
          <w:sz w:val="36"/>
          <w:szCs w:val="36"/>
          <w:u w:val="single"/>
        </w:rPr>
      </w:pPr>
      <w:r w:rsidRPr="00AF7832">
        <w:rPr>
          <w:rFonts w:ascii="Arial" w:hAnsi="Arial" w:cs="Arial"/>
          <w:b/>
          <w:bCs/>
          <w:sz w:val="36"/>
          <w:szCs w:val="36"/>
          <w:u w:val="single"/>
        </w:rPr>
        <w:t>PROGRAMME: BA (HONS) BUSINESS MANAGEMENT</w:t>
      </w:r>
    </w:p>
    <w:p w14:paraId="5265F802" w14:textId="77777777" w:rsidR="00AF7832" w:rsidRDefault="00AF7832" w:rsidP="00AF7832">
      <w:pPr>
        <w:jc w:val="center"/>
        <w:rPr>
          <w:rFonts w:ascii="Arial" w:hAnsi="Arial" w:cs="Arial"/>
          <w:b/>
          <w:bCs/>
          <w:sz w:val="36"/>
          <w:szCs w:val="36"/>
          <w:u w:val="single"/>
        </w:rPr>
      </w:pPr>
    </w:p>
    <w:p w14:paraId="669DBC5C" w14:textId="77777777" w:rsidR="00AF7832" w:rsidRDefault="00AF7832" w:rsidP="00AF7832">
      <w:pPr>
        <w:jc w:val="center"/>
        <w:rPr>
          <w:rFonts w:ascii="Arial" w:hAnsi="Arial" w:cs="Arial"/>
          <w:b/>
          <w:bCs/>
          <w:sz w:val="36"/>
          <w:szCs w:val="36"/>
          <w:u w:val="single"/>
        </w:rPr>
      </w:pPr>
    </w:p>
    <w:p w14:paraId="35C7FEE7" w14:textId="77777777" w:rsidR="00AF7832" w:rsidRDefault="00AF7832" w:rsidP="00AF7832">
      <w:pPr>
        <w:jc w:val="center"/>
        <w:rPr>
          <w:rFonts w:ascii="Arial" w:hAnsi="Arial" w:cs="Arial"/>
          <w:b/>
          <w:bCs/>
          <w:sz w:val="36"/>
          <w:szCs w:val="36"/>
          <w:u w:val="single"/>
        </w:rPr>
      </w:pPr>
    </w:p>
    <w:p w14:paraId="69C6CB56" w14:textId="77777777" w:rsidR="00AF7832" w:rsidRDefault="00AF7832" w:rsidP="00AF7832">
      <w:pPr>
        <w:jc w:val="center"/>
        <w:rPr>
          <w:rFonts w:ascii="Arial" w:hAnsi="Arial" w:cs="Arial"/>
          <w:b/>
          <w:bCs/>
          <w:sz w:val="36"/>
          <w:szCs w:val="36"/>
          <w:u w:val="single"/>
        </w:rPr>
      </w:pPr>
    </w:p>
    <w:p w14:paraId="0E34E33B" w14:textId="77777777" w:rsidR="00AF7832" w:rsidRDefault="00AF7832" w:rsidP="00AF7832">
      <w:pPr>
        <w:jc w:val="center"/>
        <w:rPr>
          <w:rFonts w:ascii="Arial" w:hAnsi="Arial" w:cs="Arial"/>
          <w:b/>
          <w:bCs/>
          <w:sz w:val="36"/>
          <w:szCs w:val="36"/>
          <w:u w:val="single"/>
        </w:rPr>
      </w:pPr>
    </w:p>
    <w:p w14:paraId="369BC24C" w14:textId="77777777" w:rsidR="00AF7832" w:rsidRDefault="00AF7832" w:rsidP="00AF7832">
      <w:pPr>
        <w:jc w:val="center"/>
        <w:rPr>
          <w:rFonts w:ascii="Arial" w:hAnsi="Arial" w:cs="Arial"/>
          <w:b/>
          <w:bCs/>
          <w:sz w:val="36"/>
          <w:szCs w:val="36"/>
          <w:u w:val="single"/>
        </w:rPr>
      </w:pPr>
    </w:p>
    <w:p w14:paraId="27BC113F" w14:textId="77777777" w:rsidR="00AF7832" w:rsidRDefault="00AF7832" w:rsidP="00AF7832">
      <w:pPr>
        <w:jc w:val="center"/>
        <w:rPr>
          <w:rFonts w:ascii="Arial" w:hAnsi="Arial" w:cs="Arial"/>
          <w:b/>
          <w:bCs/>
          <w:sz w:val="36"/>
          <w:szCs w:val="36"/>
          <w:u w:val="single"/>
        </w:rPr>
      </w:pPr>
    </w:p>
    <w:sdt>
      <w:sdtPr>
        <w:id w:val="205634702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733EBFA" w14:textId="65099FEB" w:rsidR="00943290" w:rsidRDefault="00943290">
          <w:pPr>
            <w:pStyle w:val="TOCHeading"/>
          </w:pPr>
          <w:r>
            <w:t>Table of Contents</w:t>
          </w:r>
        </w:p>
        <w:p w14:paraId="74B531A5" w14:textId="36A301D2" w:rsidR="00943290" w:rsidRDefault="00943290">
          <w:pPr>
            <w:pStyle w:val="TOC1"/>
            <w:tabs>
              <w:tab w:val="right" w:leader="dot" w:pos="9016"/>
            </w:tabs>
            <w:rPr>
              <w:noProof/>
            </w:rPr>
          </w:pPr>
          <w:r>
            <w:fldChar w:fldCharType="begin"/>
          </w:r>
          <w:r>
            <w:instrText xml:space="preserve"> TOC \o "1-3" \h \z \u </w:instrText>
          </w:r>
          <w:r>
            <w:fldChar w:fldCharType="separate"/>
          </w:r>
          <w:hyperlink w:anchor="_Toc224912691" w:history="1">
            <w:r w:rsidRPr="00D512DE">
              <w:rPr>
                <w:rStyle w:val="Hyperlink"/>
                <w:noProof/>
              </w:rPr>
              <w:t>Introduction</w:t>
            </w:r>
            <w:r>
              <w:rPr>
                <w:noProof/>
                <w:webHidden/>
              </w:rPr>
              <w:tab/>
            </w:r>
            <w:r>
              <w:rPr>
                <w:noProof/>
                <w:webHidden/>
              </w:rPr>
              <w:fldChar w:fldCharType="begin"/>
            </w:r>
            <w:r>
              <w:rPr>
                <w:noProof/>
                <w:webHidden/>
              </w:rPr>
              <w:instrText xml:space="preserve"> PAGEREF _Toc224912691 \h </w:instrText>
            </w:r>
            <w:r>
              <w:rPr>
                <w:noProof/>
                <w:webHidden/>
              </w:rPr>
            </w:r>
            <w:r>
              <w:rPr>
                <w:noProof/>
                <w:webHidden/>
              </w:rPr>
              <w:fldChar w:fldCharType="separate"/>
            </w:r>
            <w:r>
              <w:rPr>
                <w:noProof/>
                <w:webHidden/>
              </w:rPr>
              <w:t>3</w:t>
            </w:r>
            <w:r>
              <w:rPr>
                <w:noProof/>
                <w:webHidden/>
              </w:rPr>
              <w:fldChar w:fldCharType="end"/>
            </w:r>
          </w:hyperlink>
        </w:p>
        <w:p w14:paraId="663E777B" w14:textId="0C8325FB" w:rsidR="00943290" w:rsidRDefault="00943290" w:rsidP="00943290">
          <w:pPr>
            <w:pStyle w:val="TOC2"/>
            <w:tabs>
              <w:tab w:val="right" w:leader="dot" w:pos="9016"/>
            </w:tabs>
            <w:ind w:left="0"/>
            <w:rPr>
              <w:noProof/>
            </w:rPr>
          </w:pPr>
          <w:hyperlink w:anchor="_Toc224912692" w:history="1">
            <w:r w:rsidRPr="00D512DE">
              <w:rPr>
                <w:rStyle w:val="Hyperlink"/>
                <w:noProof/>
              </w:rPr>
              <w:t>Contracting Methods in Project Management</w:t>
            </w:r>
            <w:r>
              <w:rPr>
                <w:noProof/>
                <w:webHidden/>
              </w:rPr>
              <w:tab/>
            </w:r>
            <w:r>
              <w:rPr>
                <w:noProof/>
                <w:webHidden/>
              </w:rPr>
              <w:fldChar w:fldCharType="begin"/>
            </w:r>
            <w:r>
              <w:rPr>
                <w:noProof/>
                <w:webHidden/>
              </w:rPr>
              <w:instrText xml:space="preserve"> PAGEREF _Toc224912692 \h </w:instrText>
            </w:r>
            <w:r>
              <w:rPr>
                <w:noProof/>
                <w:webHidden/>
              </w:rPr>
            </w:r>
            <w:r>
              <w:rPr>
                <w:noProof/>
                <w:webHidden/>
              </w:rPr>
              <w:fldChar w:fldCharType="separate"/>
            </w:r>
            <w:r>
              <w:rPr>
                <w:noProof/>
                <w:webHidden/>
              </w:rPr>
              <w:t>4</w:t>
            </w:r>
            <w:r>
              <w:rPr>
                <w:noProof/>
                <w:webHidden/>
              </w:rPr>
              <w:fldChar w:fldCharType="end"/>
            </w:r>
          </w:hyperlink>
        </w:p>
        <w:p w14:paraId="057AA34C" w14:textId="3556D967" w:rsidR="00943290" w:rsidRDefault="00943290" w:rsidP="00943290">
          <w:pPr>
            <w:pStyle w:val="TOC2"/>
            <w:tabs>
              <w:tab w:val="right" w:leader="dot" w:pos="9016"/>
            </w:tabs>
            <w:ind w:left="0"/>
            <w:rPr>
              <w:noProof/>
            </w:rPr>
          </w:pPr>
          <w:hyperlink w:anchor="_Toc224912693" w:history="1">
            <w:r w:rsidRPr="00D512DE">
              <w:rPr>
                <w:rStyle w:val="Hyperlink"/>
                <w:noProof/>
              </w:rPr>
              <w:t>Critical Analysis: The London Crossrail Project</w:t>
            </w:r>
            <w:r>
              <w:rPr>
                <w:noProof/>
                <w:webHidden/>
              </w:rPr>
              <w:tab/>
            </w:r>
            <w:r>
              <w:rPr>
                <w:noProof/>
                <w:webHidden/>
              </w:rPr>
              <w:fldChar w:fldCharType="begin"/>
            </w:r>
            <w:r>
              <w:rPr>
                <w:noProof/>
                <w:webHidden/>
              </w:rPr>
              <w:instrText xml:space="preserve"> PAGEREF _Toc224912693 \h </w:instrText>
            </w:r>
            <w:r>
              <w:rPr>
                <w:noProof/>
                <w:webHidden/>
              </w:rPr>
            </w:r>
            <w:r>
              <w:rPr>
                <w:noProof/>
                <w:webHidden/>
              </w:rPr>
              <w:fldChar w:fldCharType="separate"/>
            </w:r>
            <w:r>
              <w:rPr>
                <w:noProof/>
                <w:webHidden/>
              </w:rPr>
              <w:t>5</w:t>
            </w:r>
            <w:r>
              <w:rPr>
                <w:noProof/>
                <w:webHidden/>
              </w:rPr>
              <w:fldChar w:fldCharType="end"/>
            </w:r>
          </w:hyperlink>
        </w:p>
        <w:p w14:paraId="4CD74684" w14:textId="0C65097D" w:rsidR="00943290" w:rsidRDefault="00943290" w:rsidP="00943290">
          <w:pPr>
            <w:pStyle w:val="TOC2"/>
            <w:tabs>
              <w:tab w:val="right" w:leader="dot" w:pos="9016"/>
            </w:tabs>
            <w:ind w:left="0"/>
            <w:rPr>
              <w:noProof/>
            </w:rPr>
          </w:pPr>
          <w:hyperlink w:anchor="_Toc224912694" w:history="1">
            <w:r w:rsidRPr="00D512DE">
              <w:rPr>
                <w:rStyle w:val="Hyperlink"/>
                <w:noProof/>
              </w:rPr>
              <w:t>Contracting Methods</w:t>
            </w:r>
            <w:r>
              <w:rPr>
                <w:noProof/>
                <w:webHidden/>
              </w:rPr>
              <w:tab/>
            </w:r>
            <w:r>
              <w:rPr>
                <w:noProof/>
                <w:webHidden/>
              </w:rPr>
              <w:fldChar w:fldCharType="begin"/>
            </w:r>
            <w:r>
              <w:rPr>
                <w:noProof/>
                <w:webHidden/>
              </w:rPr>
              <w:instrText xml:space="preserve"> PAGEREF _Toc224912694 \h </w:instrText>
            </w:r>
            <w:r>
              <w:rPr>
                <w:noProof/>
                <w:webHidden/>
              </w:rPr>
            </w:r>
            <w:r>
              <w:rPr>
                <w:noProof/>
                <w:webHidden/>
              </w:rPr>
              <w:fldChar w:fldCharType="separate"/>
            </w:r>
            <w:r>
              <w:rPr>
                <w:noProof/>
                <w:webHidden/>
              </w:rPr>
              <w:t>7</w:t>
            </w:r>
            <w:r>
              <w:rPr>
                <w:noProof/>
                <w:webHidden/>
              </w:rPr>
              <w:fldChar w:fldCharType="end"/>
            </w:r>
          </w:hyperlink>
        </w:p>
        <w:p w14:paraId="79B920B9" w14:textId="2CACDD32" w:rsidR="00943290" w:rsidRDefault="00943290" w:rsidP="00943290">
          <w:pPr>
            <w:pStyle w:val="TOC2"/>
            <w:tabs>
              <w:tab w:val="right" w:leader="dot" w:pos="9016"/>
            </w:tabs>
            <w:ind w:left="0"/>
            <w:rPr>
              <w:noProof/>
            </w:rPr>
          </w:pPr>
          <w:hyperlink w:anchor="_Toc224912695" w:history="1">
            <w:r w:rsidRPr="00D512DE">
              <w:rPr>
                <w:rStyle w:val="Hyperlink"/>
                <w:noProof/>
              </w:rPr>
              <w:t>Conclusion</w:t>
            </w:r>
            <w:r>
              <w:rPr>
                <w:noProof/>
                <w:webHidden/>
              </w:rPr>
              <w:tab/>
            </w:r>
            <w:r>
              <w:rPr>
                <w:noProof/>
                <w:webHidden/>
              </w:rPr>
              <w:fldChar w:fldCharType="begin"/>
            </w:r>
            <w:r>
              <w:rPr>
                <w:noProof/>
                <w:webHidden/>
              </w:rPr>
              <w:instrText xml:space="preserve"> PAGEREF _Toc224912695 \h </w:instrText>
            </w:r>
            <w:r>
              <w:rPr>
                <w:noProof/>
                <w:webHidden/>
              </w:rPr>
            </w:r>
            <w:r>
              <w:rPr>
                <w:noProof/>
                <w:webHidden/>
              </w:rPr>
              <w:fldChar w:fldCharType="separate"/>
            </w:r>
            <w:r>
              <w:rPr>
                <w:noProof/>
                <w:webHidden/>
              </w:rPr>
              <w:t>7</w:t>
            </w:r>
            <w:r>
              <w:rPr>
                <w:noProof/>
                <w:webHidden/>
              </w:rPr>
              <w:fldChar w:fldCharType="end"/>
            </w:r>
          </w:hyperlink>
        </w:p>
        <w:p w14:paraId="4E295331" w14:textId="0941791F" w:rsidR="00943290" w:rsidRDefault="00943290" w:rsidP="00943290">
          <w:pPr>
            <w:pStyle w:val="TOC2"/>
            <w:tabs>
              <w:tab w:val="right" w:leader="dot" w:pos="9016"/>
            </w:tabs>
            <w:ind w:left="0"/>
            <w:rPr>
              <w:noProof/>
            </w:rPr>
          </w:pPr>
          <w:hyperlink w:anchor="_Toc224912696" w:history="1">
            <w:r w:rsidRPr="00D512DE">
              <w:rPr>
                <w:rStyle w:val="Hyperlink"/>
                <w:noProof/>
              </w:rPr>
              <w:t>Reference List (Harvard Style)</w:t>
            </w:r>
            <w:r>
              <w:rPr>
                <w:noProof/>
                <w:webHidden/>
              </w:rPr>
              <w:tab/>
            </w:r>
            <w:r>
              <w:rPr>
                <w:noProof/>
                <w:webHidden/>
              </w:rPr>
              <w:fldChar w:fldCharType="begin"/>
            </w:r>
            <w:r>
              <w:rPr>
                <w:noProof/>
                <w:webHidden/>
              </w:rPr>
              <w:instrText xml:space="preserve"> PAGEREF _Toc224912696 \h </w:instrText>
            </w:r>
            <w:r>
              <w:rPr>
                <w:noProof/>
                <w:webHidden/>
              </w:rPr>
            </w:r>
            <w:r>
              <w:rPr>
                <w:noProof/>
                <w:webHidden/>
              </w:rPr>
              <w:fldChar w:fldCharType="separate"/>
            </w:r>
            <w:r>
              <w:rPr>
                <w:noProof/>
                <w:webHidden/>
              </w:rPr>
              <w:t>9</w:t>
            </w:r>
            <w:r>
              <w:rPr>
                <w:noProof/>
                <w:webHidden/>
              </w:rPr>
              <w:fldChar w:fldCharType="end"/>
            </w:r>
          </w:hyperlink>
        </w:p>
        <w:p w14:paraId="6DF097FB" w14:textId="2FD04C3D" w:rsidR="00943290" w:rsidRDefault="00943290">
          <w:r>
            <w:rPr>
              <w:b/>
              <w:bCs/>
            </w:rPr>
            <w:fldChar w:fldCharType="end"/>
          </w:r>
        </w:p>
      </w:sdtContent>
    </w:sdt>
    <w:p w14:paraId="77635B0E" w14:textId="77777777" w:rsidR="00AF7832" w:rsidRPr="00AF7832" w:rsidRDefault="00AF7832" w:rsidP="00AF7832">
      <w:pPr>
        <w:rPr>
          <w:rFonts w:ascii="Arial" w:hAnsi="Arial" w:cs="Arial"/>
          <w:sz w:val="36"/>
          <w:szCs w:val="36"/>
        </w:rPr>
      </w:pPr>
    </w:p>
    <w:p w14:paraId="28C378E8" w14:textId="77777777" w:rsidR="00AF7832" w:rsidRDefault="00AF7832" w:rsidP="00AF7832">
      <w:pPr>
        <w:jc w:val="center"/>
        <w:rPr>
          <w:rFonts w:ascii="Arial" w:hAnsi="Arial" w:cs="Arial"/>
          <w:b/>
          <w:bCs/>
          <w:sz w:val="36"/>
          <w:szCs w:val="36"/>
          <w:u w:val="single"/>
        </w:rPr>
      </w:pPr>
    </w:p>
    <w:p w14:paraId="29237F23" w14:textId="77777777" w:rsidR="00AF7832" w:rsidRDefault="00AF7832" w:rsidP="00AF7832">
      <w:pPr>
        <w:jc w:val="center"/>
        <w:rPr>
          <w:rFonts w:ascii="Arial" w:hAnsi="Arial" w:cs="Arial"/>
          <w:b/>
          <w:bCs/>
          <w:sz w:val="36"/>
          <w:szCs w:val="36"/>
          <w:u w:val="single"/>
        </w:rPr>
      </w:pPr>
    </w:p>
    <w:p w14:paraId="605725BE" w14:textId="77777777" w:rsidR="00AF7832" w:rsidRDefault="00AF7832" w:rsidP="00AF7832">
      <w:pPr>
        <w:jc w:val="center"/>
        <w:rPr>
          <w:rFonts w:ascii="Arial" w:hAnsi="Arial" w:cs="Arial"/>
          <w:b/>
          <w:bCs/>
          <w:sz w:val="36"/>
          <w:szCs w:val="36"/>
          <w:u w:val="single"/>
        </w:rPr>
      </w:pPr>
    </w:p>
    <w:p w14:paraId="33DCE725" w14:textId="77777777" w:rsidR="00AF7832" w:rsidRDefault="00AF7832" w:rsidP="00AF7832">
      <w:pPr>
        <w:jc w:val="center"/>
        <w:rPr>
          <w:rFonts w:ascii="Arial" w:hAnsi="Arial" w:cs="Arial"/>
          <w:b/>
          <w:bCs/>
          <w:sz w:val="36"/>
          <w:szCs w:val="36"/>
          <w:u w:val="single"/>
        </w:rPr>
      </w:pPr>
    </w:p>
    <w:p w14:paraId="513CC8CC" w14:textId="77777777" w:rsidR="00AF7832" w:rsidRDefault="00AF7832" w:rsidP="00AF7832">
      <w:pPr>
        <w:jc w:val="center"/>
        <w:rPr>
          <w:rFonts w:ascii="Arial" w:hAnsi="Arial" w:cs="Arial"/>
          <w:b/>
          <w:bCs/>
          <w:sz w:val="36"/>
          <w:szCs w:val="36"/>
          <w:u w:val="single"/>
        </w:rPr>
      </w:pPr>
    </w:p>
    <w:p w14:paraId="4C84DF96" w14:textId="77777777" w:rsidR="00AF7832" w:rsidRDefault="00AF7832" w:rsidP="00AF7832">
      <w:pPr>
        <w:jc w:val="center"/>
        <w:rPr>
          <w:rFonts w:ascii="Arial" w:hAnsi="Arial" w:cs="Arial"/>
          <w:b/>
          <w:bCs/>
          <w:sz w:val="36"/>
          <w:szCs w:val="36"/>
          <w:u w:val="single"/>
        </w:rPr>
      </w:pPr>
    </w:p>
    <w:p w14:paraId="447C9C9E" w14:textId="77777777" w:rsidR="00AF7832" w:rsidRDefault="00AF7832" w:rsidP="00AF7832">
      <w:pPr>
        <w:jc w:val="center"/>
        <w:rPr>
          <w:rFonts w:ascii="Arial" w:hAnsi="Arial" w:cs="Arial"/>
          <w:b/>
          <w:bCs/>
          <w:sz w:val="36"/>
          <w:szCs w:val="36"/>
          <w:u w:val="single"/>
        </w:rPr>
      </w:pPr>
    </w:p>
    <w:p w14:paraId="0DD1AC8A" w14:textId="77777777" w:rsidR="00AF7832" w:rsidRDefault="00AF7832" w:rsidP="00AF7832">
      <w:pPr>
        <w:jc w:val="center"/>
        <w:rPr>
          <w:rFonts w:ascii="Arial" w:hAnsi="Arial" w:cs="Arial"/>
          <w:b/>
          <w:bCs/>
          <w:sz w:val="36"/>
          <w:szCs w:val="36"/>
          <w:u w:val="single"/>
        </w:rPr>
      </w:pPr>
    </w:p>
    <w:p w14:paraId="66E15D57" w14:textId="77777777" w:rsidR="00AF7832" w:rsidRDefault="00AF7832" w:rsidP="00AF7832">
      <w:pPr>
        <w:jc w:val="center"/>
        <w:rPr>
          <w:rFonts w:ascii="Arial" w:hAnsi="Arial" w:cs="Arial"/>
          <w:b/>
          <w:bCs/>
          <w:sz w:val="36"/>
          <w:szCs w:val="36"/>
          <w:u w:val="single"/>
        </w:rPr>
      </w:pPr>
    </w:p>
    <w:p w14:paraId="57341EB0" w14:textId="77777777" w:rsidR="00AF7832" w:rsidRDefault="00AF7832" w:rsidP="00AF7832">
      <w:pPr>
        <w:jc w:val="center"/>
        <w:rPr>
          <w:rFonts w:ascii="Arial" w:hAnsi="Arial" w:cs="Arial"/>
          <w:b/>
          <w:bCs/>
          <w:sz w:val="36"/>
          <w:szCs w:val="36"/>
          <w:u w:val="single"/>
        </w:rPr>
      </w:pPr>
    </w:p>
    <w:p w14:paraId="20E050B9" w14:textId="77777777" w:rsidR="00AF7832" w:rsidRDefault="00AF7832" w:rsidP="00AF7832">
      <w:pPr>
        <w:jc w:val="center"/>
        <w:rPr>
          <w:rFonts w:ascii="Arial" w:hAnsi="Arial" w:cs="Arial"/>
          <w:b/>
          <w:bCs/>
          <w:sz w:val="36"/>
          <w:szCs w:val="36"/>
          <w:u w:val="single"/>
        </w:rPr>
      </w:pPr>
    </w:p>
    <w:p w14:paraId="16FE355E" w14:textId="77777777" w:rsidR="00AF7832" w:rsidRDefault="00AF7832" w:rsidP="00AF7832">
      <w:pPr>
        <w:jc w:val="center"/>
        <w:rPr>
          <w:rFonts w:ascii="Arial" w:hAnsi="Arial" w:cs="Arial"/>
          <w:b/>
          <w:bCs/>
          <w:sz w:val="36"/>
          <w:szCs w:val="36"/>
          <w:u w:val="single"/>
        </w:rPr>
      </w:pPr>
    </w:p>
    <w:p w14:paraId="32887825" w14:textId="77777777" w:rsidR="00AF7832" w:rsidRDefault="00AF7832" w:rsidP="00AF7832">
      <w:pPr>
        <w:jc w:val="center"/>
        <w:rPr>
          <w:rFonts w:ascii="Arial" w:hAnsi="Arial" w:cs="Arial"/>
          <w:b/>
          <w:bCs/>
          <w:sz w:val="36"/>
          <w:szCs w:val="36"/>
          <w:u w:val="single"/>
        </w:rPr>
      </w:pPr>
    </w:p>
    <w:p w14:paraId="18C30138" w14:textId="77777777" w:rsidR="00AF7832" w:rsidRDefault="00AF7832" w:rsidP="00943290">
      <w:pPr>
        <w:rPr>
          <w:rFonts w:ascii="Arial" w:hAnsi="Arial" w:cs="Arial"/>
          <w:b/>
          <w:bCs/>
          <w:sz w:val="36"/>
          <w:szCs w:val="36"/>
          <w:u w:val="single"/>
        </w:rPr>
      </w:pPr>
    </w:p>
    <w:p w14:paraId="3A1B7958" w14:textId="77777777" w:rsidR="00AF7832" w:rsidRDefault="00AF7832" w:rsidP="00AF7832">
      <w:pPr>
        <w:jc w:val="center"/>
        <w:rPr>
          <w:rFonts w:ascii="Arial" w:hAnsi="Arial" w:cs="Arial"/>
          <w:b/>
          <w:bCs/>
          <w:sz w:val="36"/>
          <w:szCs w:val="36"/>
          <w:u w:val="single"/>
        </w:rPr>
      </w:pPr>
    </w:p>
    <w:p w14:paraId="7CA801DB" w14:textId="4D8E9751" w:rsidR="00AF7832" w:rsidRPr="00943290" w:rsidRDefault="00943290" w:rsidP="00943290">
      <w:pPr>
        <w:spacing w:line="360" w:lineRule="auto"/>
        <w:jc w:val="center"/>
        <w:rPr>
          <w:rFonts w:ascii="Times New Roman" w:hAnsi="Times New Roman" w:cs="Times New Roman"/>
          <w:b/>
          <w:bCs/>
          <w:sz w:val="28"/>
          <w:szCs w:val="28"/>
          <w:u w:val="single"/>
        </w:rPr>
      </w:pPr>
      <w:r w:rsidRPr="00943290">
        <w:rPr>
          <w:rFonts w:ascii="Times New Roman" w:hAnsi="Times New Roman" w:cs="Times New Roman"/>
          <w:b/>
          <w:bCs/>
          <w:sz w:val="28"/>
          <w:szCs w:val="28"/>
        </w:rPr>
        <w:lastRenderedPageBreak/>
        <w:t>Project Risk and Contract Strategy: A Critical Perspective on Management Approaches</w:t>
      </w:r>
    </w:p>
    <w:p w14:paraId="7CEED173" w14:textId="77777777" w:rsidR="00943290" w:rsidRPr="00943290" w:rsidRDefault="00943290" w:rsidP="00943290">
      <w:pPr>
        <w:spacing w:line="360" w:lineRule="auto"/>
        <w:jc w:val="both"/>
        <w:rPr>
          <w:rFonts w:ascii="Times New Roman" w:hAnsi="Times New Roman" w:cs="Times New Roman"/>
          <w:sz w:val="36"/>
          <w:szCs w:val="36"/>
          <w:u w:val="single"/>
        </w:rPr>
      </w:pPr>
    </w:p>
    <w:p w14:paraId="34D17544" w14:textId="77777777" w:rsidR="00AF7832" w:rsidRPr="00943290" w:rsidRDefault="00AF7832" w:rsidP="00943290">
      <w:pPr>
        <w:pStyle w:val="Heading1"/>
      </w:pPr>
      <w:bookmarkStart w:id="0" w:name="_Toc224912691"/>
      <w:r w:rsidRPr="00943290">
        <w:t>Introduction</w:t>
      </w:r>
      <w:bookmarkEnd w:id="0"/>
    </w:p>
    <w:p w14:paraId="7F6E782B" w14:textId="39D2D3B9" w:rsidR="00A77ABC" w:rsidRPr="00943290" w:rsidRDefault="00A77ABC" w:rsidP="00943290">
      <w:pPr>
        <w:spacing w:line="360" w:lineRule="auto"/>
        <w:jc w:val="both"/>
        <w:rPr>
          <w:rFonts w:ascii="Times New Roman" w:hAnsi="Times New Roman" w:cs="Times New Roman"/>
        </w:rPr>
      </w:pPr>
      <w:r w:rsidRPr="00943290">
        <w:rPr>
          <w:rFonts w:ascii="Times New Roman" w:hAnsi="Times New Roman" w:cs="Times New Roman"/>
        </w:rPr>
        <w:t>Risk planning is an intrinsic part of the project management process as all projects operate within conditions of uncertainty that may influence their outcomes. Risk is defined as an uncertain event or condition that, if it occurs, can have a positive or negative effect on project objectives such as cost, time, and quality (Project Management Institute, 2021). Proper risk management becomes an important requirement to successfully execute a project that is</w:t>
      </w:r>
      <w:r w:rsidR="00943290" w:rsidRPr="00943290">
        <w:rPr>
          <w:rFonts w:ascii="Times New Roman" w:hAnsi="Times New Roman" w:cs="Times New Roman"/>
        </w:rPr>
        <w:t xml:space="preserve"> complicated</w:t>
      </w:r>
      <w:r w:rsidRPr="00943290">
        <w:rPr>
          <w:rFonts w:ascii="Times New Roman" w:hAnsi="Times New Roman" w:cs="Times New Roman"/>
        </w:rPr>
        <w:t xml:space="preserve"> and costly in general in high uncertainty enterprise. Risk control is not the only critical consideration for effective risk management outside of risk planning, but contracting mechanisms also heavily impact the distribution of risk and its handling by the parties </w:t>
      </w:r>
      <w:r w:rsidR="00943290" w:rsidRPr="00943290">
        <w:rPr>
          <w:rFonts w:ascii="Times New Roman" w:hAnsi="Times New Roman" w:cs="Times New Roman"/>
        </w:rPr>
        <w:t>involved</w:t>
      </w:r>
      <w:r w:rsidRPr="00943290">
        <w:rPr>
          <w:rFonts w:ascii="Times New Roman" w:hAnsi="Times New Roman" w:cs="Times New Roman"/>
        </w:rPr>
        <w:t xml:space="preserve">. Contracting is the division of </w:t>
      </w:r>
      <w:r w:rsidR="00943290" w:rsidRPr="00943290">
        <w:rPr>
          <w:rFonts w:ascii="Times New Roman" w:hAnsi="Times New Roman" w:cs="Times New Roman"/>
        </w:rPr>
        <w:t>labour</w:t>
      </w:r>
      <w:r w:rsidRPr="00943290">
        <w:rPr>
          <w:rFonts w:ascii="Times New Roman" w:hAnsi="Times New Roman" w:cs="Times New Roman"/>
        </w:rPr>
        <w:t xml:space="preserve"> between the parties, for its part is defined as the arrangement through which responsibilities, resources, and risks are allocated between clients and contractors. Types of contracting processes such as turnkey, </w:t>
      </w:r>
      <w:proofErr w:type="spellStart"/>
      <w:r w:rsidRPr="00943290">
        <w:rPr>
          <w:rFonts w:ascii="Times New Roman" w:hAnsi="Times New Roman" w:cs="Times New Roman"/>
        </w:rPr>
        <w:t>multicontract</w:t>
      </w:r>
      <w:proofErr w:type="spellEnd"/>
      <w:r w:rsidRPr="00943290">
        <w:rPr>
          <w:rFonts w:ascii="Times New Roman" w:hAnsi="Times New Roman" w:cs="Times New Roman"/>
        </w:rPr>
        <w:t xml:space="preserve">, DIY and hybrid contracting approach heavily impact on the performance and risk exposure of a project. This essay seeks to critically assess the project management risk planning procedure and to assess four main contracting approaches. It also examines the ways in which these approaches influence risk allocation based on their impact on this type of </w:t>
      </w:r>
      <w:r w:rsidR="00943290" w:rsidRPr="00943290">
        <w:rPr>
          <w:rFonts w:ascii="Times New Roman" w:hAnsi="Times New Roman" w:cs="Times New Roman"/>
        </w:rPr>
        <w:t>risk and</w:t>
      </w:r>
      <w:r w:rsidRPr="00943290">
        <w:rPr>
          <w:rFonts w:ascii="Times New Roman" w:hAnsi="Times New Roman" w:cs="Times New Roman"/>
        </w:rPr>
        <w:t xml:space="preserve"> is supported by comparative and real-world data. This essay assumes an academic approach to highlight the level of both theoretical and practical understanding through the development within the discussion.</w:t>
      </w:r>
    </w:p>
    <w:p w14:paraId="62272C2A" w14:textId="77777777" w:rsidR="00AF7832" w:rsidRPr="00943290" w:rsidRDefault="00AF7832" w:rsidP="00943290">
      <w:pPr>
        <w:spacing w:line="360" w:lineRule="auto"/>
        <w:jc w:val="both"/>
        <w:rPr>
          <w:rStyle w:val="Strong"/>
        </w:rPr>
      </w:pPr>
      <w:r w:rsidRPr="00943290">
        <w:rPr>
          <w:rStyle w:val="Strong"/>
        </w:rPr>
        <w:t>Risk Planning in Project Management</w:t>
      </w:r>
    </w:p>
    <w:p w14:paraId="65DFD795" w14:textId="402118B3"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Risk management is a formalized process for managing the threat or uncertainty encountered in project management activities. It is well accepted that risk cannot be eliminated, but may be managed effectively (Hillson, 2017). The four steps of a risk management approach are identification, analysis, response, and monitoring and control. The project identifies risk identifies what activities have potential impacts on any part of the project and develops a system for this. To achieve this, professionals might use several techniques including expert judgment, brainstorming sessions and review of past data. Kerzner (2022) mentions </w:t>
      </w:r>
      <w:r w:rsidRPr="00A77ABC">
        <w:rPr>
          <w:rFonts w:ascii="Times New Roman" w:hAnsi="Times New Roman" w:cs="Times New Roman"/>
        </w:rPr>
        <w:lastRenderedPageBreak/>
        <w:t xml:space="preserve">identification of early risks is one of the primary causes of project failure in this stage. unidentified risks cannot be mitigated. In construction projects for instance, risks associated with disruptions to the supply chain or regulatory lag should be recognized beforehand </w:t>
      </w:r>
      <w:proofErr w:type="gramStart"/>
      <w:r w:rsidRPr="00A77ABC">
        <w:rPr>
          <w:rFonts w:ascii="Times New Roman" w:hAnsi="Times New Roman" w:cs="Times New Roman"/>
        </w:rPr>
        <w:t>in order to</w:t>
      </w:r>
      <w:proofErr w:type="gramEnd"/>
      <w:r w:rsidRPr="00A77ABC">
        <w:rPr>
          <w:rFonts w:ascii="Times New Roman" w:hAnsi="Times New Roman" w:cs="Times New Roman"/>
        </w:rPr>
        <w:t xml:space="preserve"> mitigate the consequences. Once identified, following is identified the significance of each risk. Qualitative and quantitative approaches can be found in this stage. It is important to note that qualitative analysis is characterised by a categorisation of risks as to their likelihood and impact often utilising a tool such as a risk matrix. Quantitatively, on the other hand, uses numbers to better measure risk exposure. In this phase, risks are prioritized, to ensure project resources were devoted effectively to those that posed the principal risks (Project Management Institute, 2021). The risk </w:t>
      </w:r>
      <w:r w:rsidR="00943290" w:rsidRPr="00A77ABC">
        <w:rPr>
          <w:rFonts w:ascii="Times New Roman" w:hAnsi="Times New Roman" w:cs="Times New Roman"/>
        </w:rPr>
        <w:t>response as</w:t>
      </w:r>
      <w:r w:rsidRPr="00A77ABC">
        <w:rPr>
          <w:rFonts w:ascii="Times New Roman" w:hAnsi="Times New Roman" w:cs="Times New Roman"/>
        </w:rPr>
        <w:t xml:space="preserve"> described there as the third </w:t>
      </w:r>
      <w:r w:rsidR="00943290" w:rsidRPr="00A77ABC">
        <w:rPr>
          <w:rFonts w:ascii="Times New Roman" w:hAnsi="Times New Roman" w:cs="Times New Roman"/>
        </w:rPr>
        <w:t>stage is</w:t>
      </w:r>
      <w:r w:rsidRPr="00A77ABC">
        <w:rPr>
          <w:rFonts w:ascii="Times New Roman" w:hAnsi="Times New Roman" w:cs="Times New Roman"/>
        </w:rPr>
        <w:t xml:space="preserve"> the process of forming strategies to deal with identified risks. Typical are avoidance, reduction, transfer, and acceptance. And these options are different depending on the risk type and your project. For example, the transfer of risk is often contractual in nature suggesting that the relationship between contract and risk planning is very strong. As Hillson (2017) stresses, sound risk responses take a proactive approach to manage risk, so that organizations manage risks in a way that minimizes damages and maximises potential opportunities. Lastly, monitoring and control consist of all aspects of project monitoring and control and monitoring risk from day one. Risks are dynamic and, as mentioned earlier, evolve with time and must therefore be updated with regularity and reevaluated with respect to risks register and risk mitigation process. It makes sure new risks are identified and existing responses are effective. Risk strategies, however well-organized, could already be outdated if continuous monitoring does not help them to be effective.</w:t>
      </w:r>
    </w:p>
    <w:p w14:paraId="37B5154C" w14:textId="5D06D4A6" w:rsidR="00A77ABC" w:rsidRPr="00943290" w:rsidRDefault="00A77ABC" w:rsidP="00943290">
      <w:pPr>
        <w:spacing w:line="360" w:lineRule="auto"/>
        <w:jc w:val="both"/>
        <w:rPr>
          <w:rFonts w:ascii="Times New Roman" w:hAnsi="Times New Roman" w:cs="Times New Roman"/>
        </w:rPr>
      </w:pPr>
    </w:p>
    <w:p w14:paraId="67A1D669" w14:textId="77777777" w:rsidR="00AF7832" w:rsidRPr="00943290" w:rsidRDefault="00AF7832" w:rsidP="00943290">
      <w:pPr>
        <w:pStyle w:val="Heading2"/>
      </w:pPr>
      <w:bookmarkStart w:id="1" w:name="_Toc224912692"/>
      <w:r w:rsidRPr="00943290">
        <w:t>Contracting Methods in Project Management</w:t>
      </w:r>
      <w:bookmarkEnd w:id="1"/>
    </w:p>
    <w:p w14:paraId="31F26FB8" w14:textId="7120A2DF" w:rsidR="00A77ABC" w:rsidRPr="00943290" w:rsidRDefault="00A77ABC" w:rsidP="00943290">
      <w:pPr>
        <w:spacing w:line="360" w:lineRule="auto"/>
        <w:jc w:val="both"/>
        <w:rPr>
          <w:rFonts w:ascii="Times New Roman" w:hAnsi="Times New Roman" w:cs="Times New Roman"/>
        </w:rPr>
      </w:pPr>
      <w:r w:rsidRPr="00943290">
        <w:rPr>
          <w:rFonts w:ascii="Times New Roman" w:hAnsi="Times New Roman" w:cs="Times New Roman"/>
        </w:rPr>
        <w:t xml:space="preserve">Contracting mechanisms regulate who has responsibilities on projects and what risk the project will involve and how it is shared among project stakeholders. Each method has a clear set of strengths (and weaknesses) that can be either by design, risk and management of the project. The turnkey contract is defined by subcontracting all responsibility to a single contractor who guarantees the delivery of a complete and operational project. This method makes the project management of the project easy for the client, as the contractor takes on the responsibility for design, construction and delivery. The client’s participation is thus cut in the </w:t>
      </w:r>
      <w:r w:rsidR="00943290" w:rsidRPr="00943290">
        <w:rPr>
          <w:rFonts w:ascii="Times New Roman" w:hAnsi="Times New Roman" w:cs="Times New Roman"/>
        </w:rPr>
        <w:t>process;</w:t>
      </w:r>
      <w:r w:rsidRPr="00943290">
        <w:rPr>
          <w:rFonts w:ascii="Times New Roman" w:hAnsi="Times New Roman" w:cs="Times New Roman"/>
        </w:rPr>
        <w:t xml:space="preserve"> the client loses a lot of influence. This convenience, though, also comes at a higher cost, since risk-based </w:t>
      </w:r>
      <w:r w:rsidRPr="00943290">
        <w:rPr>
          <w:rFonts w:ascii="Times New Roman" w:hAnsi="Times New Roman" w:cs="Times New Roman"/>
        </w:rPr>
        <w:lastRenderedPageBreak/>
        <w:t xml:space="preserve">pricing is typically charged up front on the contract. In addition, turnkey contracts restrict flexibility and diminish a client’s ability to influence decisions about a project. Although less well-defined (Turnkey Contracts), the more typical use cases of turnkey contracts are in large infrastructure projects where clients prefer to reduce their direct participation (Kerzner, 2022). On the other hand, a </w:t>
      </w:r>
      <w:proofErr w:type="spellStart"/>
      <w:r w:rsidRPr="00943290">
        <w:rPr>
          <w:rFonts w:ascii="Times New Roman" w:hAnsi="Times New Roman" w:cs="Times New Roman"/>
        </w:rPr>
        <w:t>multicontract</w:t>
      </w:r>
      <w:proofErr w:type="spellEnd"/>
      <w:r w:rsidRPr="00943290">
        <w:rPr>
          <w:rFonts w:ascii="Times New Roman" w:hAnsi="Times New Roman" w:cs="Times New Roman"/>
        </w:rPr>
        <w:t xml:space="preserve"> framework sees the client </w:t>
      </w:r>
      <w:r w:rsidR="00943290" w:rsidRPr="00943290">
        <w:rPr>
          <w:rFonts w:ascii="Times New Roman" w:hAnsi="Times New Roman" w:cs="Times New Roman"/>
        </w:rPr>
        <w:t>must</w:t>
      </w:r>
      <w:r w:rsidRPr="00943290">
        <w:rPr>
          <w:rFonts w:ascii="Times New Roman" w:hAnsi="Times New Roman" w:cs="Times New Roman"/>
        </w:rPr>
        <w:t xml:space="preserve"> use several contractors to complete tasks associated with the project. This arrangement gives </w:t>
      </w:r>
      <w:r w:rsidR="00943290" w:rsidRPr="00943290">
        <w:rPr>
          <w:rFonts w:ascii="Times New Roman" w:hAnsi="Times New Roman" w:cs="Times New Roman"/>
        </w:rPr>
        <w:t>more</w:t>
      </w:r>
      <w:r w:rsidRPr="00943290">
        <w:rPr>
          <w:rFonts w:ascii="Times New Roman" w:hAnsi="Times New Roman" w:cs="Times New Roman"/>
        </w:rPr>
        <w:t xml:space="preserve"> freedom and flexibility to the client, for each element of the project. With separate contracts negotiated by a client, it may also provide cost savings. But this technique leads to a lot more complexity around coordination. The client must be the one orchestrating the contact between the contractors and, when improper, lead parties to argue and drag out a project. The degree of successful application of this approach may very well be dictated on customer’s project management competences (Davies et al., 2017). The DIY method, or do-it-yourself method, requires the client to finish work internally without depending on external contractors. By doing so, maximum control, knowledge and expertise is retained by organisations. But it demands significant internal resources and can expose the organisation to higher risks if it lacks specific know-how or expertise. DIY projects are more effective for smaller or in-house-specific initiatives. The hybrid approach (</w:t>
      </w:r>
      <w:proofErr w:type="spellStart"/>
      <w:r w:rsidRPr="00943290">
        <w:rPr>
          <w:rFonts w:ascii="Times New Roman" w:hAnsi="Times New Roman" w:cs="Times New Roman"/>
        </w:rPr>
        <w:t>multicontract</w:t>
      </w:r>
      <w:proofErr w:type="spellEnd"/>
      <w:r w:rsidRPr="00943290">
        <w:rPr>
          <w:rFonts w:ascii="Times New Roman" w:hAnsi="Times New Roman" w:cs="Times New Roman"/>
        </w:rPr>
        <w:t xml:space="preserve"> with DIY components) is a versatile solution that can meet the need for a combination of internal and external resources. In the model, for some elements of the project, you are engaged and for others, your work is outsourced. By doing so, they can utilize external expertise whilst retaining ownership of key components. Nonetheless, it adds more complexity in coordination, integration and even the need to manage it to guarantee its success.</w:t>
      </w:r>
    </w:p>
    <w:p w14:paraId="4145C2D2" w14:textId="77777777" w:rsidR="00AF7832" w:rsidRPr="00AF7832" w:rsidRDefault="00AF7832" w:rsidP="00943290">
      <w:pPr>
        <w:pStyle w:val="Heading2"/>
      </w:pPr>
      <w:bookmarkStart w:id="2" w:name="_Toc224912693"/>
      <w:r w:rsidRPr="00AF7832">
        <w:t>Critical Analysis: The London Crossrail Project</w:t>
      </w:r>
      <w:bookmarkEnd w:id="2"/>
    </w:p>
    <w:p w14:paraId="3BD6BA11" w14:textId="54F28394"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The importance of contracting methods and risk planning can be efficiently illustrated through the construction of one large infrastructure upgrade, London Crossrail, in Europe. The scheme was dominated by multiple contractors who had to take on different parts of the railway system which is considered a </w:t>
      </w:r>
      <w:proofErr w:type="spellStart"/>
      <w:r w:rsidRPr="00A77ABC">
        <w:rPr>
          <w:rFonts w:ascii="Times New Roman" w:hAnsi="Times New Roman" w:cs="Times New Roman"/>
        </w:rPr>
        <w:t>multicontract</w:t>
      </w:r>
      <w:proofErr w:type="spellEnd"/>
      <w:r w:rsidRPr="00A77ABC">
        <w:rPr>
          <w:rFonts w:ascii="Times New Roman" w:hAnsi="Times New Roman" w:cs="Times New Roman"/>
        </w:rPr>
        <w:t xml:space="preserve"> system. Such approach is meant to offer flexibility in the application of expert expertise when varying from project to </w:t>
      </w:r>
      <w:r w:rsidR="00943290" w:rsidRPr="00A77ABC">
        <w:rPr>
          <w:rFonts w:ascii="Times New Roman" w:hAnsi="Times New Roman" w:cs="Times New Roman"/>
        </w:rPr>
        <w:t>project but</w:t>
      </w:r>
      <w:r w:rsidRPr="00A77ABC">
        <w:rPr>
          <w:rFonts w:ascii="Times New Roman" w:hAnsi="Times New Roman" w:cs="Times New Roman"/>
        </w:rPr>
        <w:t xml:space="preserve"> has also led to risks in terms of coordination and integration. From a risk planning standpoint, the Crossrail project initially displayed a risk management framework in place, which encompassed formalized risk identification and analysis processes. This was helpful, but the team underestimated numerous critical risks, particularly in terms of system integration, and interdependencies among contractors. According to Davies et al. (2017), the task of coordinating multiple contractors </w:t>
      </w:r>
      <w:r w:rsidRPr="00A77ABC">
        <w:rPr>
          <w:rFonts w:ascii="Times New Roman" w:hAnsi="Times New Roman" w:cs="Times New Roman"/>
        </w:rPr>
        <w:lastRenderedPageBreak/>
        <w:t xml:space="preserve">was so complicated, that a fragmented project environment resulted in communication failures among contractors becoming a significant challenge. One interpretation of this indicates that risks may have been identified, but their potential consequences were not fully understood or properly managed. These outcomes owe their formation to the </w:t>
      </w:r>
      <w:proofErr w:type="spellStart"/>
      <w:r w:rsidRPr="00A77ABC">
        <w:rPr>
          <w:rFonts w:ascii="Times New Roman" w:hAnsi="Times New Roman" w:cs="Times New Roman"/>
        </w:rPr>
        <w:t>multicontract</w:t>
      </w:r>
      <w:proofErr w:type="spellEnd"/>
      <w:r w:rsidRPr="00A77ABC">
        <w:rPr>
          <w:rFonts w:ascii="Times New Roman" w:hAnsi="Times New Roman" w:cs="Times New Roman"/>
        </w:rPr>
        <w:t xml:space="preserve"> approach. The client retained high oversight but also a lot of coordination risk though many contractors were taking many of the responsibilities. In principle, the approach provided more flexibility and might add savings. </w:t>
      </w:r>
      <w:r w:rsidR="00943290" w:rsidRPr="00A77ABC">
        <w:rPr>
          <w:rFonts w:ascii="Times New Roman" w:hAnsi="Times New Roman" w:cs="Times New Roman"/>
        </w:rPr>
        <w:t>However,</w:t>
      </w:r>
      <w:r w:rsidRPr="00A77ABC">
        <w:rPr>
          <w:rFonts w:ascii="Times New Roman" w:hAnsi="Times New Roman" w:cs="Times New Roman"/>
        </w:rPr>
        <w:t xml:space="preserve"> the Crossrail had massive delays and budget overruns and costs exceeding £18 billion and completion was widely delayed. This realization brings to the forefront one of the major limitations of using </w:t>
      </w:r>
      <w:proofErr w:type="spellStart"/>
      <w:r w:rsidRPr="00A77ABC">
        <w:rPr>
          <w:rFonts w:ascii="Times New Roman" w:hAnsi="Times New Roman" w:cs="Times New Roman"/>
        </w:rPr>
        <w:t>multicontracting</w:t>
      </w:r>
      <w:proofErr w:type="spellEnd"/>
      <w:r w:rsidRPr="00A77ABC">
        <w:rPr>
          <w:rFonts w:ascii="Times New Roman" w:hAnsi="Times New Roman" w:cs="Times New Roman"/>
        </w:rPr>
        <w:t xml:space="preserve"> approach, that is responsibility is divided from different parts which leads to no accountability of each part or difficulty in interface control between different project elements. Moreover, it highlights some of the weaknesses in the risk response phase. While risk mitigation measures were put in place, they were frequently reactive instead of proactive. For instance, integration challenges between signalling systems and station infrastructure surfaced beyond the project's earliest stage of planning, suggesting that earlier risk responses were inadequate. Kerzner (2022) suggests that good risk management involves a clear ability to predict complex interdependence which especially applies to large-scale projects. For Crossrail, not adequately dealing with such interdependencies was key to project delays. A second major issue that comes with the risk monitoring and risk control. Despite the existence of risk registers and reporting systems, the dynamic nature of risks was not adequately managed. As the project evolved, new risks were created that were inadequately integrated into the current management models that had not been well integrated into the existing management model while there </w:t>
      </w:r>
      <w:r w:rsidR="00943290" w:rsidRPr="00A77ABC">
        <w:rPr>
          <w:rFonts w:ascii="Times New Roman" w:hAnsi="Times New Roman" w:cs="Times New Roman"/>
        </w:rPr>
        <w:t>were</w:t>
      </w:r>
      <w:r w:rsidRPr="00A77ABC">
        <w:rPr>
          <w:rFonts w:ascii="Times New Roman" w:hAnsi="Times New Roman" w:cs="Times New Roman"/>
        </w:rPr>
        <w:t xml:space="preserve"> also no such mechanisms. This is a common challenge that exists in megaprojects where traditional risk management approaches are not up to the challenge (Hillson, 2017). Despite the challenges identified, we acknowledge that the </w:t>
      </w:r>
      <w:proofErr w:type="spellStart"/>
      <w:r w:rsidRPr="00A77ABC">
        <w:rPr>
          <w:rFonts w:ascii="Times New Roman" w:hAnsi="Times New Roman" w:cs="Times New Roman"/>
        </w:rPr>
        <w:t>multicontract</w:t>
      </w:r>
      <w:proofErr w:type="spellEnd"/>
      <w:r w:rsidRPr="00A77ABC">
        <w:rPr>
          <w:rFonts w:ascii="Times New Roman" w:hAnsi="Times New Roman" w:cs="Times New Roman"/>
        </w:rPr>
        <w:t xml:space="preserve"> solution was not a bug but needed to be supplemented with better governance and integration mechanisms. The Crossrail case highlights that the validity of a contracting approach is not only a function of its conceptual merits but also of its execution. Better communication, more concrete accountability mechanisms, and more aggressive risk management probably might have obviated much of what we experienced. Crossrail project compared to other contracting mechanisms demonstrates the conflict between control and risk exposure. The client was able to keep control over a variety of contracts, but this took place at the expense of complexity and coordination. It indicates that in case of very complex projects risk management would be more effective if more integrated or collaborative contracting. It is argued that the project has </w:t>
      </w:r>
      <w:r w:rsidRPr="00A77ABC">
        <w:rPr>
          <w:rFonts w:ascii="Times New Roman" w:hAnsi="Times New Roman" w:cs="Times New Roman"/>
        </w:rPr>
        <w:lastRenderedPageBreak/>
        <w:t xml:space="preserve">presented an early warning about the effect of new contracting tactics in risk planning and in project delivery when controlling risk. It shows that </w:t>
      </w:r>
      <w:proofErr w:type="spellStart"/>
      <w:r w:rsidRPr="00A77ABC">
        <w:rPr>
          <w:rFonts w:ascii="Times New Roman" w:hAnsi="Times New Roman" w:cs="Times New Roman"/>
        </w:rPr>
        <w:t>multicontracting</w:t>
      </w:r>
      <w:proofErr w:type="spellEnd"/>
      <w:r w:rsidRPr="00A77ABC">
        <w:rPr>
          <w:rFonts w:ascii="Times New Roman" w:hAnsi="Times New Roman" w:cs="Times New Roman"/>
        </w:rPr>
        <w:t xml:space="preserve"> can provide flexibility and </w:t>
      </w:r>
      <w:r w:rsidR="00943290" w:rsidRPr="00A77ABC">
        <w:rPr>
          <w:rFonts w:ascii="Times New Roman" w:hAnsi="Times New Roman" w:cs="Times New Roman"/>
        </w:rPr>
        <w:t>control but</w:t>
      </w:r>
      <w:r w:rsidRPr="00A77ABC">
        <w:rPr>
          <w:rFonts w:ascii="Times New Roman" w:hAnsi="Times New Roman" w:cs="Times New Roman"/>
        </w:rPr>
        <w:t xml:space="preserve"> still necessitates sophisticated risk management expertise to cope with the obstacles posed by harmonization and linkage issues. In the absence of these capabilities, the risk of delays, cost overruns, and project inefficiencies surges.</w:t>
      </w:r>
    </w:p>
    <w:p w14:paraId="1A82321A" w14:textId="7BBAD99C" w:rsidR="00AF7832" w:rsidRPr="00943290" w:rsidRDefault="00AF7832" w:rsidP="00943290">
      <w:pPr>
        <w:spacing w:line="360" w:lineRule="auto"/>
        <w:jc w:val="both"/>
        <w:rPr>
          <w:rFonts w:ascii="Times New Roman" w:hAnsi="Times New Roman" w:cs="Times New Roman"/>
        </w:rPr>
      </w:pPr>
    </w:p>
    <w:p w14:paraId="7D1F9B65" w14:textId="7A3DB969" w:rsidR="00AF7832" w:rsidRPr="00943290" w:rsidRDefault="00AF7832" w:rsidP="00943290">
      <w:pPr>
        <w:pStyle w:val="Heading2"/>
      </w:pPr>
      <w:bookmarkStart w:id="3" w:name="_Toc224912694"/>
      <w:r w:rsidRPr="00AF7832">
        <w:t>Contracting Methods</w:t>
      </w:r>
      <w:bookmarkEnd w:id="3"/>
    </w:p>
    <w:p w14:paraId="754E7D60" w14:textId="4C1315C4" w:rsidR="00A77ABC" w:rsidRPr="00AF7832" w:rsidRDefault="00A77ABC" w:rsidP="00943290">
      <w:pPr>
        <w:spacing w:line="360" w:lineRule="auto"/>
        <w:jc w:val="both"/>
        <w:rPr>
          <w:rFonts w:ascii="Times New Roman" w:hAnsi="Times New Roman" w:cs="Times New Roman"/>
        </w:rPr>
      </w:pPr>
      <w:r w:rsidRPr="00943290">
        <w:rPr>
          <w:rFonts w:ascii="Times New Roman" w:hAnsi="Times New Roman" w:cs="Times New Roman"/>
        </w:rPr>
        <w:t xml:space="preserve">Risk allocation across contracting approaches differs markedly. Under turnkey contracts risk is shifted towards the contractor which decreases the client’s exposure but increases the project cost. On </w:t>
      </w:r>
      <w:proofErr w:type="spellStart"/>
      <w:r w:rsidRPr="00943290">
        <w:rPr>
          <w:rFonts w:ascii="Times New Roman" w:hAnsi="Times New Roman" w:cs="Times New Roman"/>
        </w:rPr>
        <w:t>multicontract</w:t>
      </w:r>
      <w:proofErr w:type="spellEnd"/>
      <w:r w:rsidRPr="00943290">
        <w:rPr>
          <w:rFonts w:ascii="Times New Roman" w:hAnsi="Times New Roman" w:cs="Times New Roman"/>
        </w:rPr>
        <w:t xml:space="preserve"> contracts, </w:t>
      </w:r>
      <w:r w:rsidR="00943290" w:rsidRPr="00943290">
        <w:rPr>
          <w:rFonts w:ascii="Times New Roman" w:hAnsi="Times New Roman" w:cs="Times New Roman"/>
        </w:rPr>
        <w:t>most of the</w:t>
      </w:r>
      <w:r w:rsidRPr="00943290">
        <w:rPr>
          <w:rFonts w:ascii="Times New Roman" w:hAnsi="Times New Roman" w:cs="Times New Roman"/>
        </w:rPr>
        <w:t xml:space="preserve"> risk is borne by the client particularly with respect to integration and coordination. DIY projects are completely in the hands of the client and are therefore for organisations who have sufficient expertise. Hybrid models spread risk more evenly, enhancing collaboration and shared responsibility. Control and flexibility </w:t>
      </w:r>
      <w:r w:rsidR="00943290" w:rsidRPr="00943290">
        <w:rPr>
          <w:rFonts w:ascii="Times New Roman" w:hAnsi="Times New Roman" w:cs="Times New Roman"/>
        </w:rPr>
        <w:t>vary</w:t>
      </w:r>
      <w:r w:rsidRPr="00943290">
        <w:rPr>
          <w:rFonts w:ascii="Times New Roman" w:hAnsi="Times New Roman" w:cs="Times New Roman"/>
        </w:rPr>
        <w:t xml:space="preserve">, of course, between methods. Turnkey contracts give less control but reduce complexity while </w:t>
      </w:r>
      <w:proofErr w:type="spellStart"/>
      <w:r w:rsidRPr="00943290">
        <w:rPr>
          <w:rFonts w:ascii="Times New Roman" w:hAnsi="Times New Roman" w:cs="Times New Roman"/>
        </w:rPr>
        <w:t>multicontract</w:t>
      </w:r>
      <w:proofErr w:type="spellEnd"/>
      <w:r w:rsidRPr="00943290">
        <w:rPr>
          <w:rFonts w:ascii="Times New Roman" w:hAnsi="Times New Roman" w:cs="Times New Roman"/>
        </w:rPr>
        <w:t xml:space="preserve"> and DIY agreements, on the other hand, impose further management demands. Hybrid models strike a balance and allow organisations to retain control over critical functions while also accessing third party expertise and assistance. In terms of cost, turnkey contracts are usually the most expensive because of risk premiums that are included. Cost savings can be achieved through </w:t>
      </w:r>
      <w:proofErr w:type="spellStart"/>
      <w:r w:rsidRPr="00943290">
        <w:rPr>
          <w:rFonts w:ascii="Times New Roman" w:hAnsi="Times New Roman" w:cs="Times New Roman"/>
        </w:rPr>
        <w:t>multicontract</w:t>
      </w:r>
      <w:proofErr w:type="spellEnd"/>
      <w:r w:rsidRPr="00943290">
        <w:rPr>
          <w:rFonts w:ascii="Times New Roman" w:hAnsi="Times New Roman" w:cs="Times New Roman"/>
        </w:rPr>
        <w:t xml:space="preserve"> approaches but can lead to delays and disputes. DIY projects limit external costs while demanding substantial internal spending. The hybrid methods intend to bring in internal and external resources to enhance cost efficiency.</w:t>
      </w:r>
    </w:p>
    <w:p w14:paraId="76A207A2" w14:textId="77777777" w:rsidR="00AF7832" w:rsidRPr="00AF7832" w:rsidRDefault="00AF7832" w:rsidP="00943290">
      <w:pPr>
        <w:pStyle w:val="Heading2"/>
      </w:pPr>
      <w:bookmarkStart w:id="4" w:name="_Toc224912695"/>
      <w:r w:rsidRPr="00AF7832">
        <w:t>Conclusion</w:t>
      </w:r>
      <w:bookmarkEnd w:id="4"/>
    </w:p>
    <w:p w14:paraId="06B15F16" w14:textId="31CD7188" w:rsidR="00AF7832" w:rsidRPr="00943290" w:rsidRDefault="00A77ABC" w:rsidP="00943290">
      <w:pPr>
        <w:spacing w:line="360" w:lineRule="auto"/>
        <w:jc w:val="both"/>
        <w:rPr>
          <w:rFonts w:ascii="Times New Roman" w:hAnsi="Times New Roman" w:cs="Times New Roman"/>
        </w:rPr>
      </w:pPr>
      <w:r w:rsidRPr="00943290">
        <w:rPr>
          <w:rFonts w:ascii="Times New Roman" w:hAnsi="Times New Roman" w:cs="Times New Roman"/>
        </w:rPr>
        <w:t xml:space="preserve">According to the literature on risk planning, risk planning is a critical project management task, helping organisations to manage uncertainties; they enhance project performance </w:t>
      </w:r>
      <w:r w:rsidR="00943290" w:rsidRPr="00943290">
        <w:rPr>
          <w:rFonts w:ascii="Times New Roman" w:hAnsi="Times New Roman" w:cs="Times New Roman"/>
        </w:rPr>
        <w:t>and</w:t>
      </w:r>
      <w:r w:rsidRPr="00943290">
        <w:rPr>
          <w:rFonts w:ascii="Times New Roman" w:hAnsi="Times New Roman" w:cs="Times New Roman"/>
        </w:rPr>
        <w:t xml:space="preserve"> get better outcome. The steps and process for identifying, analysing and responding to risks are not only structured, but a tool for good decision making. But the success of the risk planning depends on contracting method directly. This essay analyses four common contracting methods and has argued that the approaches have their own limitations and advantages. The examination of </w:t>
      </w:r>
      <w:r w:rsidR="00943290" w:rsidRPr="00943290">
        <w:rPr>
          <w:rFonts w:ascii="Times New Roman" w:hAnsi="Times New Roman" w:cs="Times New Roman"/>
        </w:rPr>
        <w:t>real-life</w:t>
      </w:r>
      <w:r w:rsidRPr="00943290">
        <w:rPr>
          <w:rFonts w:ascii="Times New Roman" w:hAnsi="Times New Roman" w:cs="Times New Roman"/>
        </w:rPr>
        <w:t xml:space="preserve"> case studies clearly </w:t>
      </w:r>
      <w:r w:rsidR="00943290" w:rsidRPr="00943290">
        <w:rPr>
          <w:rFonts w:ascii="Times New Roman" w:hAnsi="Times New Roman" w:cs="Times New Roman"/>
        </w:rPr>
        <w:t>demonstrates</w:t>
      </w:r>
      <w:r w:rsidRPr="00943290">
        <w:rPr>
          <w:rFonts w:ascii="Times New Roman" w:hAnsi="Times New Roman" w:cs="Times New Roman"/>
        </w:rPr>
        <w:t xml:space="preserve"> that, although </w:t>
      </w:r>
      <w:proofErr w:type="spellStart"/>
      <w:r w:rsidRPr="00943290">
        <w:rPr>
          <w:rFonts w:ascii="Times New Roman" w:hAnsi="Times New Roman" w:cs="Times New Roman"/>
        </w:rPr>
        <w:t>multicontract</w:t>
      </w:r>
      <w:proofErr w:type="spellEnd"/>
      <w:r w:rsidRPr="00943290">
        <w:rPr>
          <w:rFonts w:ascii="Times New Roman" w:hAnsi="Times New Roman" w:cs="Times New Roman"/>
        </w:rPr>
        <w:t xml:space="preserve"> strategies create coordination problems, for hybrid models, collaboration can improve, and that the risk can be decreased. At the end, there is not one best contracting method, the selection of these must be based upon the project complexity, organisational capacity and willingness to accept risk. To do this, risk </w:t>
      </w:r>
      <w:r w:rsidRPr="00943290">
        <w:rPr>
          <w:rFonts w:ascii="Times New Roman" w:hAnsi="Times New Roman" w:cs="Times New Roman"/>
        </w:rPr>
        <w:lastRenderedPageBreak/>
        <w:t>planning for a project needs to be linked with an appropriate contracting strategy. In doing so, organisations can better deal with uncertainty and increase their chance of success in achieving the project outcomes.</w:t>
      </w:r>
    </w:p>
    <w:p w14:paraId="44288C74" w14:textId="77777777" w:rsidR="00A77ABC" w:rsidRPr="00943290" w:rsidRDefault="00A77ABC" w:rsidP="00943290">
      <w:pPr>
        <w:spacing w:line="360" w:lineRule="auto"/>
        <w:jc w:val="both"/>
        <w:rPr>
          <w:rFonts w:ascii="Times New Roman" w:hAnsi="Times New Roman" w:cs="Times New Roman"/>
        </w:rPr>
      </w:pPr>
    </w:p>
    <w:p w14:paraId="58E28CB3" w14:textId="77777777" w:rsidR="00A77ABC" w:rsidRPr="00943290" w:rsidRDefault="00A77ABC" w:rsidP="00943290">
      <w:pPr>
        <w:spacing w:line="360" w:lineRule="auto"/>
        <w:jc w:val="both"/>
        <w:rPr>
          <w:rFonts w:ascii="Times New Roman" w:hAnsi="Times New Roman" w:cs="Times New Roman"/>
        </w:rPr>
      </w:pPr>
    </w:p>
    <w:p w14:paraId="5D60E70A" w14:textId="77777777" w:rsidR="00A77ABC" w:rsidRPr="00943290" w:rsidRDefault="00A77ABC" w:rsidP="00943290">
      <w:pPr>
        <w:spacing w:line="360" w:lineRule="auto"/>
        <w:jc w:val="both"/>
        <w:rPr>
          <w:rFonts w:ascii="Times New Roman" w:hAnsi="Times New Roman" w:cs="Times New Roman"/>
        </w:rPr>
      </w:pPr>
    </w:p>
    <w:p w14:paraId="48EBBC6F" w14:textId="77777777" w:rsidR="00A77ABC" w:rsidRPr="00943290" w:rsidRDefault="00A77ABC" w:rsidP="00943290">
      <w:pPr>
        <w:spacing w:line="360" w:lineRule="auto"/>
        <w:jc w:val="both"/>
        <w:rPr>
          <w:rFonts w:ascii="Times New Roman" w:hAnsi="Times New Roman" w:cs="Times New Roman"/>
        </w:rPr>
      </w:pPr>
    </w:p>
    <w:p w14:paraId="64B4BDAF" w14:textId="77777777" w:rsidR="00A77ABC" w:rsidRPr="00943290" w:rsidRDefault="00A77ABC" w:rsidP="00943290">
      <w:pPr>
        <w:spacing w:line="360" w:lineRule="auto"/>
        <w:jc w:val="both"/>
        <w:rPr>
          <w:rFonts w:ascii="Times New Roman" w:hAnsi="Times New Roman" w:cs="Times New Roman"/>
        </w:rPr>
      </w:pPr>
    </w:p>
    <w:p w14:paraId="4F297FC6" w14:textId="77777777" w:rsidR="00A77ABC" w:rsidRPr="00943290" w:rsidRDefault="00A77ABC" w:rsidP="00943290">
      <w:pPr>
        <w:spacing w:line="360" w:lineRule="auto"/>
        <w:jc w:val="both"/>
        <w:rPr>
          <w:rFonts w:ascii="Times New Roman" w:hAnsi="Times New Roman" w:cs="Times New Roman"/>
        </w:rPr>
      </w:pPr>
    </w:p>
    <w:p w14:paraId="5786BEA6" w14:textId="77777777" w:rsidR="00A77ABC" w:rsidRPr="00943290" w:rsidRDefault="00A77ABC" w:rsidP="00943290">
      <w:pPr>
        <w:spacing w:line="360" w:lineRule="auto"/>
        <w:jc w:val="both"/>
        <w:rPr>
          <w:rFonts w:ascii="Times New Roman" w:hAnsi="Times New Roman" w:cs="Times New Roman"/>
        </w:rPr>
      </w:pPr>
    </w:p>
    <w:p w14:paraId="05FB628C" w14:textId="77777777" w:rsidR="00A77ABC" w:rsidRPr="00943290" w:rsidRDefault="00A77ABC" w:rsidP="00943290">
      <w:pPr>
        <w:spacing w:line="360" w:lineRule="auto"/>
        <w:jc w:val="both"/>
        <w:rPr>
          <w:rFonts w:ascii="Times New Roman" w:hAnsi="Times New Roman" w:cs="Times New Roman"/>
        </w:rPr>
      </w:pPr>
    </w:p>
    <w:p w14:paraId="60C3BBCE" w14:textId="77777777" w:rsidR="00A77ABC" w:rsidRPr="00943290" w:rsidRDefault="00A77ABC" w:rsidP="00943290">
      <w:pPr>
        <w:spacing w:line="360" w:lineRule="auto"/>
        <w:jc w:val="both"/>
        <w:rPr>
          <w:rFonts w:ascii="Times New Roman" w:hAnsi="Times New Roman" w:cs="Times New Roman"/>
        </w:rPr>
      </w:pPr>
    </w:p>
    <w:p w14:paraId="79E4092F" w14:textId="77777777" w:rsidR="00A77ABC" w:rsidRPr="00943290" w:rsidRDefault="00A77ABC" w:rsidP="00943290">
      <w:pPr>
        <w:spacing w:line="360" w:lineRule="auto"/>
        <w:jc w:val="both"/>
        <w:rPr>
          <w:rFonts w:ascii="Times New Roman" w:hAnsi="Times New Roman" w:cs="Times New Roman"/>
        </w:rPr>
      </w:pPr>
    </w:p>
    <w:p w14:paraId="3174FCBF" w14:textId="77777777" w:rsidR="00A77ABC" w:rsidRPr="00943290" w:rsidRDefault="00A77ABC" w:rsidP="00943290">
      <w:pPr>
        <w:spacing w:line="360" w:lineRule="auto"/>
        <w:jc w:val="both"/>
        <w:rPr>
          <w:rFonts w:ascii="Times New Roman" w:hAnsi="Times New Roman" w:cs="Times New Roman"/>
        </w:rPr>
      </w:pPr>
    </w:p>
    <w:p w14:paraId="573BFCAA" w14:textId="77777777" w:rsidR="00A77ABC" w:rsidRPr="00943290" w:rsidRDefault="00A77ABC" w:rsidP="00943290">
      <w:pPr>
        <w:spacing w:line="360" w:lineRule="auto"/>
        <w:jc w:val="both"/>
        <w:rPr>
          <w:rFonts w:ascii="Times New Roman" w:hAnsi="Times New Roman" w:cs="Times New Roman"/>
        </w:rPr>
      </w:pPr>
    </w:p>
    <w:p w14:paraId="75D6E79C" w14:textId="77777777" w:rsidR="00A77ABC" w:rsidRPr="00943290" w:rsidRDefault="00A77ABC" w:rsidP="00943290">
      <w:pPr>
        <w:spacing w:line="360" w:lineRule="auto"/>
        <w:jc w:val="both"/>
        <w:rPr>
          <w:rFonts w:ascii="Times New Roman" w:hAnsi="Times New Roman" w:cs="Times New Roman"/>
        </w:rPr>
      </w:pPr>
    </w:p>
    <w:p w14:paraId="2E659245" w14:textId="77777777" w:rsidR="00A77ABC" w:rsidRDefault="00A77ABC" w:rsidP="00943290">
      <w:pPr>
        <w:spacing w:line="360" w:lineRule="auto"/>
        <w:jc w:val="both"/>
        <w:rPr>
          <w:rFonts w:ascii="Times New Roman" w:hAnsi="Times New Roman" w:cs="Times New Roman"/>
        </w:rPr>
      </w:pPr>
    </w:p>
    <w:p w14:paraId="5D612BF9" w14:textId="77777777" w:rsidR="00943290" w:rsidRDefault="00943290" w:rsidP="00943290">
      <w:pPr>
        <w:spacing w:line="360" w:lineRule="auto"/>
        <w:jc w:val="both"/>
        <w:rPr>
          <w:rFonts w:ascii="Times New Roman" w:hAnsi="Times New Roman" w:cs="Times New Roman"/>
        </w:rPr>
      </w:pPr>
    </w:p>
    <w:p w14:paraId="11693C5B" w14:textId="77777777" w:rsidR="00943290" w:rsidRDefault="00943290" w:rsidP="00943290">
      <w:pPr>
        <w:spacing w:line="360" w:lineRule="auto"/>
        <w:jc w:val="both"/>
        <w:rPr>
          <w:rFonts w:ascii="Times New Roman" w:hAnsi="Times New Roman" w:cs="Times New Roman"/>
        </w:rPr>
      </w:pPr>
    </w:p>
    <w:p w14:paraId="7BB94694" w14:textId="77777777" w:rsidR="00943290" w:rsidRDefault="00943290" w:rsidP="00943290">
      <w:pPr>
        <w:spacing w:line="360" w:lineRule="auto"/>
        <w:jc w:val="both"/>
        <w:rPr>
          <w:rFonts w:ascii="Times New Roman" w:hAnsi="Times New Roman" w:cs="Times New Roman"/>
        </w:rPr>
      </w:pPr>
    </w:p>
    <w:p w14:paraId="56269257" w14:textId="77777777" w:rsidR="00943290" w:rsidRDefault="00943290" w:rsidP="00943290">
      <w:pPr>
        <w:spacing w:line="360" w:lineRule="auto"/>
        <w:jc w:val="both"/>
        <w:rPr>
          <w:rFonts w:ascii="Times New Roman" w:hAnsi="Times New Roman" w:cs="Times New Roman"/>
        </w:rPr>
      </w:pPr>
    </w:p>
    <w:p w14:paraId="59974593" w14:textId="77777777" w:rsidR="00943290" w:rsidRDefault="00943290" w:rsidP="00943290">
      <w:pPr>
        <w:spacing w:line="360" w:lineRule="auto"/>
        <w:jc w:val="both"/>
        <w:rPr>
          <w:rFonts w:ascii="Times New Roman" w:hAnsi="Times New Roman" w:cs="Times New Roman"/>
        </w:rPr>
      </w:pPr>
    </w:p>
    <w:p w14:paraId="24AD2865" w14:textId="77777777" w:rsidR="00943290" w:rsidRDefault="00943290" w:rsidP="00943290">
      <w:pPr>
        <w:spacing w:line="360" w:lineRule="auto"/>
        <w:jc w:val="both"/>
        <w:rPr>
          <w:rFonts w:ascii="Times New Roman" w:hAnsi="Times New Roman" w:cs="Times New Roman"/>
        </w:rPr>
      </w:pPr>
    </w:p>
    <w:p w14:paraId="151F135E" w14:textId="77777777" w:rsidR="00943290" w:rsidRDefault="00943290" w:rsidP="00943290">
      <w:pPr>
        <w:spacing w:line="360" w:lineRule="auto"/>
        <w:jc w:val="both"/>
        <w:rPr>
          <w:rFonts w:ascii="Times New Roman" w:hAnsi="Times New Roman" w:cs="Times New Roman"/>
        </w:rPr>
      </w:pPr>
    </w:p>
    <w:p w14:paraId="223F4EFF" w14:textId="77777777" w:rsidR="00943290" w:rsidRDefault="00943290" w:rsidP="00943290">
      <w:pPr>
        <w:spacing w:line="360" w:lineRule="auto"/>
        <w:jc w:val="both"/>
        <w:rPr>
          <w:rFonts w:ascii="Times New Roman" w:hAnsi="Times New Roman" w:cs="Times New Roman"/>
        </w:rPr>
      </w:pPr>
    </w:p>
    <w:p w14:paraId="5F9EB2CC" w14:textId="77777777" w:rsidR="00943290" w:rsidRPr="00943290" w:rsidRDefault="00943290" w:rsidP="00943290">
      <w:pPr>
        <w:spacing w:line="360" w:lineRule="auto"/>
        <w:jc w:val="both"/>
        <w:rPr>
          <w:rFonts w:ascii="Times New Roman" w:hAnsi="Times New Roman" w:cs="Times New Roman"/>
        </w:rPr>
      </w:pPr>
    </w:p>
    <w:p w14:paraId="6B348FDC" w14:textId="77777777" w:rsidR="00A77ABC" w:rsidRPr="00A77ABC" w:rsidRDefault="00A77ABC" w:rsidP="00943290">
      <w:pPr>
        <w:pStyle w:val="Heading2"/>
      </w:pPr>
      <w:bookmarkStart w:id="5" w:name="_Toc224912696"/>
      <w:r w:rsidRPr="00A77ABC">
        <w:t>Reference List (Harvard Style)</w:t>
      </w:r>
      <w:bookmarkEnd w:id="5"/>
    </w:p>
    <w:p w14:paraId="5A7FD8EA" w14:textId="77777777"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Brady, T. and Davies, A. (2014) </w:t>
      </w:r>
      <w:r w:rsidRPr="00A77ABC">
        <w:rPr>
          <w:rFonts w:ascii="Times New Roman" w:hAnsi="Times New Roman" w:cs="Times New Roman"/>
          <w:i/>
          <w:iCs/>
        </w:rPr>
        <w:t>Managing complex projects: a new model</w:t>
      </w:r>
      <w:r w:rsidRPr="00A77ABC">
        <w:rPr>
          <w:rFonts w:ascii="Times New Roman" w:hAnsi="Times New Roman" w:cs="Times New Roman"/>
        </w:rPr>
        <w:t>. Oxford: Oxford University Press.</w:t>
      </w:r>
    </w:p>
    <w:p w14:paraId="75B17BB8" w14:textId="77777777"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Davies, A., Dodgson, M. and Gann, D. (2017) ‘Dynamic capabilities in complex projects: the case of London Crossrail’, </w:t>
      </w:r>
      <w:r w:rsidRPr="00A77ABC">
        <w:rPr>
          <w:rFonts w:ascii="Times New Roman" w:hAnsi="Times New Roman" w:cs="Times New Roman"/>
          <w:i/>
          <w:iCs/>
        </w:rPr>
        <w:t>Project Management Journal</w:t>
      </w:r>
      <w:r w:rsidRPr="00A77ABC">
        <w:rPr>
          <w:rFonts w:ascii="Times New Roman" w:hAnsi="Times New Roman" w:cs="Times New Roman"/>
        </w:rPr>
        <w:t>, 48(2), pp. 1–15.</w:t>
      </w:r>
    </w:p>
    <w:p w14:paraId="34E44592" w14:textId="77777777"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Davies, A., MacKenzie, I. and Whyte, J. (2021) ‘Making sense of complex project delivery: systems integration in infrastructure projects’, </w:t>
      </w:r>
      <w:r w:rsidRPr="00A77ABC">
        <w:rPr>
          <w:rFonts w:ascii="Times New Roman" w:hAnsi="Times New Roman" w:cs="Times New Roman"/>
          <w:i/>
          <w:iCs/>
        </w:rPr>
        <w:t>International Journal of Project Management</w:t>
      </w:r>
      <w:r w:rsidRPr="00A77ABC">
        <w:rPr>
          <w:rFonts w:ascii="Times New Roman" w:hAnsi="Times New Roman" w:cs="Times New Roman"/>
        </w:rPr>
        <w:t>, 39(6), pp. 1–12.</w:t>
      </w:r>
    </w:p>
    <w:p w14:paraId="344DB21B" w14:textId="77777777"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Hillson, D. (2017) </w:t>
      </w:r>
      <w:r w:rsidRPr="00A77ABC">
        <w:rPr>
          <w:rFonts w:ascii="Times New Roman" w:hAnsi="Times New Roman" w:cs="Times New Roman"/>
          <w:i/>
          <w:iCs/>
        </w:rPr>
        <w:t>Practical project risk management: the ATOM methodology</w:t>
      </w:r>
      <w:r w:rsidRPr="00A77ABC">
        <w:rPr>
          <w:rFonts w:ascii="Times New Roman" w:hAnsi="Times New Roman" w:cs="Times New Roman"/>
        </w:rPr>
        <w:t xml:space="preserve">. 3rd </w:t>
      </w:r>
      <w:proofErr w:type="spellStart"/>
      <w:r w:rsidRPr="00A77ABC">
        <w:rPr>
          <w:rFonts w:ascii="Times New Roman" w:hAnsi="Times New Roman" w:cs="Times New Roman"/>
        </w:rPr>
        <w:t>edn</w:t>
      </w:r>
      <w:proofErr w:type="spellEnd"/>
      <w:r w:rsidRPr="00A77ABC">
        <w:rPr>
          <w:rFonts w:ascii="Times New Roman" w:hAnsi="Times New Roman" w:cs="Times New Roman"/>
        </w:rPr>
        <w:t>. Vienna: Management Concepts.</w:t>
      </w:r>
    </w:p>
    <w:p w14:paraId="23B674E6" w14:textId="77777777"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Kerzner, H. (2022) </w:t>
      </w:r>
      <w:r w:rsidRPr="00A77ABC">
        <w:rPr>
          <w:rFonts w:ascii="Times New Roman" w:hAnsi="Times New Roman" w:cs="Times New Roman"/>
          <w:i/>
          <w:iCs/>
        </w:rPr>
        <w:t>Project management: a systems approach to planning, scheduling, and controlling</w:t>
      </w:r>
      <w:r w:rsidRPr="00A77ABC">
        <w:rPr>
          <w:rFonts w:ascii="Times New Roman" w:hAnsi="Times New Roman" w:cs="Times New Roman"/>
        </w:rPr>
        <w:t xml:space="preserve">. 13th </w:t>
      </w:r>
      <w:proofErr w:type="spellStart"/>
      <w:r w:rsidRPr="00A77ABC">
        <w:rPr>
          <w:rFonts w:ascii="Times New Roman" w:hAnsi="Times New Roman" w:cs="Times New Roman"/>
        </w:rPr>
        <w:t>edn</w:t>
      </w:r>
      <w:proofErr w:type="spellEnd"/>
      <w:r w:rsidRPr="00A77ABC">
        <w:rPr>
          <w:rFonts w:ascii="Times New Roman" w:hAnsi="Times New Roman" w:cs="Times New Roman"/>
        </w:rPr>
        <w:t>. Hoboken: Wiley.</w:t>
      </w:r>
    </w:p>
    <w:p w14:paraId="29AF7326" w14:textId="77777777" w:rsidR="00A77ABC" w:rsidRPr="00A77ABC" w:rsidRDefault="00A77ABC" w:rsidP="00943290">
      <w:pPr>
        <w:spacing w:line="360" w:lineRule="auto"/>
        <w:jc w:val="both"/>
        <w:rPr>
          <w:rFonts w:ascii="Times New Roman" w:hAnsi="Times New Roman" w:cs="Times New Roman"/>
        </w:rPr>
      </w:pPr>
      <w:proofErr w:type="spellStart"/>
      <w:r w:rsidRPr="00A77ABC">
        <w:rPr>
          <w:rFonts w:ascii="Times New Roman" w:hAnsi="Times New Roman" w:cs="Times New Roman"/>
        </w:rPr>
        <w:t>Muruganandan</w:t>
      </w:r>
      <w:proofErr w:type="spellEnd"/>
      <w:r w:rsidRPr="00A77ABC">
        <w:rPr>
          <w:rFonts w:ascii="Times New Roman" w:hAnsi="Times New Roman" w:cs="Times New Roman"/>
        </w:rPr>
        <w:t xml:space="preserve">, K., Davies, A., </w:t>
      </w:r>
      <w:proofErr w:type="spellStart"/>
      <w:r w:rsidRPr="00A77ABC">
        <w:rPr>
          <w:rFonts w:ascii="Times New Roman" w:hAnsi="Times New Roman" w:cs="Times New Roman"/>
        </w:rPr>
        <w:t>Denicol</w:t>
      </w:r>
      <w:proofErr w:type="spellEnd"/>
      <w:r w:rsidRPr="00A77ABC">
        <w:rPr>
          <w:rFonts w:ascii="Times New Roman" w:hAnsi="Times New Roman" w:cs="Times New Roman"/>
        </w:rPr>
        <w:t xml:space="preserve">, J. and Whyte, J. (2022) ‘The dynamics of systems integration: balancing stability and change on London’s Crossrail project’, </w:t>
      </w:r>
      <w:r w:rsidRPr="00A77ABC">
        <w:rPr>
          <w:rFonts w:ascii="Times New Roman" w:hAnsi="Times New Roman" w:cs="Times New Roman"/>
          <w:i/>
          <w:iCs/>
        </w:rPr>
        <w:t>International Journal of Project Management</w:t>
      </w:r>
      <w:r w:rsidRPr="00A77ABC">
        <w:rPr>
          <w:rFonts w:ascii="Times New Roman" w:hAnsi="Times New Roman" w:cs="Times New Roman"/>
        </w:rPr>
        <w:t>, 40(6), pp. 608–623.</w:t>
      </w:r>
    </w:p>
    <w:p w14:paraId="4AE1393E" w14:textId="77777777"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National Audit Office (2021) </w:t>
      </w:r>
      <w:r w:rsidRPr="00A77ABC">
        <w:rPr>
          <w:rFonts w:ascii="Times New Roman" w:hAnsi="Times New Roman" w:cs="Times New Roman"/>
          <w:i/>
          <w:iCs/>
        </w:rPr>
        <w:t>Crossrail: a progress update</w:t>
      </w:r>
      <w:r w:rsidRPr="00A77ABC">
        <w:rPr>
          <w:rFonts w:ascii="Times New Roman" w:hAnsi="Times New Roman" w:cs="Times New Roman"/>
        </w:rPr>
        <w:t>. London: NAO.</w:t>
      </w:r>
    </w:p>
    <w:p w14:paraId="3D5DE175" w14:textId="77777777"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Project Management Institute (2021) </w:t>
      </w:r>
      <w:r w:rsidRPr="00A77ABC">
        <w:rPr>
          <w:rFonts w:ascii="Times New Roman" w:hAnsi="Times New Roman" w:cs="Times New Roman"/>
          <w:i/>
          <w:iCs/>
        </w:rPr>
        <w:t>A guide to the project management body of knowledge (PMBOK® Guide)</w:t>
      </w:r>
      <w:r w:rsidRPr="00A77ABC">
        <w:rPr>
          <w:rFonts w:ascii="Times New Roman" w:hAnsi="Times New Roman" w:cs="Times New Roman"/>
        </w:rPr>
        <w:t xml:space="preserve">. 7th </w:t>
      </w:r>
      <w:proofErr w:type="spellStart"/>
      <w:r w:rsidRPr="00A77ABC">
        <w:rPr>
          <w:rFonts w:ascii="Times New Roman" w:hAnsi="Times New Roman" w:cs="Times New Roman"/>
        </w:rPr>
        <w:t>edn</w:t>
      </w:r>
      <w:proofErr w:type="spellEnd"/>
      <w:r w:rsidRPr="00A77ABC">
        <w:rPr>
          <w:rFonts w:ascii="Times New Roman" w:hAnsi="Times New Roman" w:cs="Times New Roman"/>
        </w:rPr>
        <w:t>. Pennsylvania: PMI.</w:t>
      </w:r>
    </w:p>
    <w:p w14:paraId="559F087D" w14:textId="77777777"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Transport for London (2022) </w:t>
      </w:r>
      <w:r w:rsidRPr="00A77ABC">
        <w:rPr>
          <w:rFonts w:ascii="Times New Roman" w:hAnsi="Times New Roman" w:cs="Times New Roman"/>
          <w:i/>
          <w:iCs/>
        </w:rPr>
        <w:t>Crossrail project updates and evaluation reports</w:t>
      </w:r>
      <w:r w:rsidRPr="00A77ABC">
        <w:rPr>
          <w:rFonts w:ascii="Times New Roman" w:hAnsi="Times New Roman" w:cs="Times New Roman"/>
        </w:rPr>
        <w:t>. London: TfL.</w:t>
      </w:r>
    </w:p>
    <w:p w14:paraId="51158C16" w14:textId="77777777"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UK Parliament Public Accounts Committee (2021) </w:t>
      </w:r>
      <w:r w:rsidRPr="00A77ABC">
        <w:rPr>
          <w:rFonts w:ascii="Times New Roman" w:hAnsi="Times New Roman" w:cs="Times New Roman"/>
          <w:i/>
          <w:iCs/>
        </w:rPr>
        <w:t>Crossrail: a progress update</w:t>
      </w:r>
      <w:r w:rsidRPr="00A77ABC">
        <w:rPr>
          <w:rFonts w:ascii="Times New Roman" w:hAnsi="Times New Roman" w:cs="Times New Roman"/>
        </w:rPr>
        <w:t>. London: House of Commons.</w:t>
      </w:r>
    </w:p>
    <w:p w14:paraId="42ABF851" w14:textId="77777777" w:rsidR="00A77ABC" w:rsidRPr="00A77ABC" w:rsidRDefault="00A77ABC" w:rsidP="00943290">
      <w:pPr>
        <w:spacing w:line="360" w:lineRule="auto"/>
        <w:jc w:val="both"/>
        <w:rPr>
          <w:rFonts w:ascii="Times New Roman" w:hAnsi="Times New Roman" w:cs="Times New Roman"/>
        </w:rPr>
      </w:pPr>
      <w:r w:rsidRPr="00A77ABC">
        <w:rPr>
          <w:rFonts w:ascii="Times New Roman" w:hAnsi="Times New Roman" w:cs="Times New Roman"/>
        </w:rPr>
        <w:t xml:space="preserve">Whyte, J. and Davies, A. (2021) ‘System integration in megaprojects: lessons from infrastructure delivery’, </w:t>
      </w:r>
      <w:r w:rsidRPr="00A77ABC">
        <w:rPr>
          <w:rFonts w:ascii="Times New Roman" w:hAnsi="Times New Roman" w:cs="Times New Roman"/>
          <w:i/>
          <w:iCs/>
        </w:rPr>
        <w:t>Project Management Journal</w:t>
      </w:r>
      <w:r w:rsidRPr="00A77ABC">
        <w:rPr>
          <w:rFonts w:ascii="Times New Roman" w:hAnsi="Times New Roman" w:cs="Times New Roman"/>
        </w:rPr>
        <w:t>, 52(4), pp. 1–15.</w:t>
      </w:r>
    </w:p>
    <w:p w14:paraId="64FE2976" w14:textId="77777777" w:rsidR="00AF7832" w:rsidRPr="00943290" w:rsidRDefault="00AF7832" w:rsidP="00943290">
      <w:pPr>
        <w:spacing w:line="360" w:lineRule="auto"/>
        <w:jc w:val="both"/>
        <w:rPr>
          <w:rFonts w:ascii="Times New Roman" w:hAnsi="Times New Roman" w:cs="Times New Roman"/>
        </w:rPr>
      </w:pPr>
    </w:p>
    <w:sectPr w:rsidR="00AF7832" w:rsidRPr="0094329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984EE" w14:textId="77777777" w:rsidR="002A5414" w:rsidRDefault="002A5414" w:rsidP="00AF7832">
      <w:pPr>
        <w:spacing w:after="0" w:line="240" w:lineRule="auto"/>
      </w:pPr>
      <w:r>
        <w:separator/>
      </w:r>
    </w:p>
  </w:endnote>
  <w:endnote w:type="continuationSeparator" w:id="0">
    <w:p w14:paraId="2CE0DCD4" w14:textId="77777777" w:rsidR="002A5414" w:rsidRDefault="002A5414" w:rsidP="00AF7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0936722"/>
      <w:docPartObj>
        <w:docPartGallery w:val="Page Numbers (Bottom of Page)"/>
        <w:docPartUnique/>
      </w:docPartObj>
    </w:sdtPr>
    <w:sdtContent>
      <w:p w14:paraId="1E3C3F24" w14:textId="5CA1B664" w:rsidR="00AF7832" w:rsidRDefault="00AF7832">
        <w:pPr>
          <w:pStyle w:val="Footer"/>
          <w:jc w:val="right"/>
        </w:pPr>
        <w:r>
          <w:fldChar w:fldCharType="begin"/>
        </w:r>
        <w:r>
          <w:instrText>PAGE   \* MERGEFORMAT</w:instrText>
        </w:r>
        <w:r>
          <w:fldChar w:fldCharType="separate"/>
        </w:r>
        <w:r>
          <w:t>2</w:t>
        </w:r>
        <w:r>
          <w:fldChar w:fldCharType="end"/>
        </w:r>
      </w:p>
    </w:sdtContent>
  </w:sdt>
  <w:p w14:paraId="5F3E2128" w14:textId="77777777" w:rsidR="00AF7832" w:rsidRDefault="00AF78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4A87C" w14:textId="77777777" w:rsidR="002A5414" w:rsidRDefault="002A5414" w:rsidP="00AF7832">
      <w:pPr>
        <w:spacing w:after="0" w:line="240" w:lineRule="auto"/>
      </w:pPr>
      <w:r>
        <w:separator/>
      </w:r>
    </w:p>
  </w:footnote>
  <w:footnote w:type="continuationSeparator" w:id="0">
    <w:p w14:paraId="7212A07A" w14:textId="77777777" w:rsidR="002A5414" w:rsidRDefault="002A5414" w:rsidP="00AF783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832"/>
    <w:rsid w:val="002A5414"/>
    <w:rsid w:val="00943290"/>
    <w:rsid w:val="00951857"/>
    <w:rsid w:val="00A6095B"/>
    <w:rsid w:val="00A77ABC"/>
    <w:rsid w:val="00A929BF"/>
    <w:rsid w:val="00AF7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BBE6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Heading1">
    <w:name w:val="heading 1"/>
    <w:basedOn w:val="Normal"/>
    <w:next w:val="Normal"/>
    <w:link w:val="Heading1Cha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2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92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92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92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92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92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92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92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929BF"/>
    <w:rPr>
      <w:rFonts w:eastAsiaTheme="majorEastAsia" w:cstheme="majorBidi"/>
      <w:color w:val="272727" w:themeColor="text1" w:themeTint="D8"/>
    </w:rPr>
  </w:style>
  <w:style w:type="paragraph" w:styleId="Title">
    <w:name w:val="Title"/>
    <w:basedOn w:val="Normal"/>
    <w:next w:val="Normal"/>
    <w:link w:val="TitleCha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92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929BF"/>
    <w:rPr>
      <w:rFonts w:eastAsiaTheme="majorEastAsia" w:cstheme="majorBidi"/>
      <w:color w:val="595959" w:themeColor="text1" w:themeTint="A6"/>
      <w:spacing w:val="15"/>
      <w:sz w:val="28"/>
      <w:szCs w:val="28"/>
    </w:rPr>
  </w:style>
  <w:style w:type="paragraph" w:styleId="ListParagraph">
    <w:name w:val="List Paragraph"/>
    <w:basedOn w:val="Normal"/>
    <w:uiPriority w:val="34"/>
    <w:qFormat/>
    <w:rsid w:val="00A929BF"/>
    <w:pPr>
      <w:ind w:left="720"/>
      <w:contextualSpacing/>
    </w:pPr>
  </w:style>
  <w:style w:type="paragraph" w:styleId="Quote">
    <w:name w:val="Quote"/>
    <w:basedOn w:val="Normal"/>
    <w:next w:val="Normal"/>
    <w:link w:val="QuoteChar"/>
    <w:uiPriority w:val="29"/>
    <w:qFormat/>
    <w:rsid w:val="00A929BF"/>
    <w:pPr>
      <w:spacing w:before="160"/>
      <w:jc w:val="center"/>
    </w:pPr>
    <w:rPr>
      <w:i/>
      <w:iCs/>
      <w:color w:val="404040" w:themeColor="text1" w:themeTint="BF"/>
    </w:rPr>
  </w:style>
  <w:style w:type="character" w:customStyle="1" w:styleId="QuoteChar">
    <w:name w:val="Quote Char"/>
    <w:basedOn w:val="DefaultParagraphFont"/>
    <w:link w:val="Quote"/>
    <w:uiPriority w:val="29"/>
    <w:rsid w:val="00A929BF"/>
    <w:rPr>
      <w:i/>
      <w:iCs/>
      <w:color w:val="404040" w:themeColor="text1" w:themeTint="BF"/>
    </w:rPr>
  </w:style>
  <w:style w:type="paragraph" w:styleId="IntenseQuote">
    <w:name w:val="Intense Quote"/>
    <w:basedOn w:val="Normal"/>
    <w:next w:val="Normal"/>
    <w:link w:val="IntenseQuoteCha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929BF"/>
    <w:rPr>
      <w:i/>
      <w:iCs/>
      <w:color w:val="0F4761" w:themeColor="accent1" w:themeShade="BF"/>
    </w:rPr>
  </w:style>
  <w:style w:type="character" w:styleId="IntenseEmphasis">
    <w:name w:val="Intense Emphasis"/>
    <w:basedOn w:val="DefaultParagraphFont"/>
    <w:uiPriority w:val="21"/>
    <w:qFormat/>
    <w:rsid w:val="00A929BF"/>
    <w:rPr>
      <w:i/>
      <w:iCs/>
      <w:color w:val="0F4761" w:themeColor="accent1" w:themeShade="BF"/>
    </w:rPr>
  </w:style>
  <w:style w:type="character" w:styleId="IntenseReference">
    <w:name w:val="Intense Reference"/>
    <w:basedOn w:val="DefaultParagraphFont"/>
    <w:uiPriority w:val="32"/>
    <w:qFormat/>
    <w:rsid w:val="00A929BF"/>
    <w:rPr>
      <w:b/>
      <w:bCs/>
      <w:smallCaps/>
      <w:color w:val="0F4761" w:themeColor="accent1" w:themeShade="BF"/>
      <w:spacing w:val="5"/>
    </w:rPr>
  </w:style>
  <w:style w:type="character" w:styleId="Strong">
    <w:name w:val="Strong"/>
    <w:basedOn w:val="DefaultParagraphFont"/>
    <w:uiPriority w:val="22"/>
    <w:qFormat/>
    <w:rsid w:val="00AF7832"/>
    <w:rPr>
      <w:b/>
      <w:bCs/>
    </w:rPr>
  </w:style>
  <w:style w:type="paragraph" w:styleId="Header">
    <w:name w:val="header"/>
    <w:basedOn w:val="Normal"/>
    <w:link w:val="HeaderChar"/>
    <w:uiPriority w:val="99"/>
    <w:unhideWhenUsed/>
    <w:rsid w:val="00AF7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7832"/>
  </w:style>
  <w:style w:type="paragraph" w:styleId="Footer">
    <w:name w:val="footer"/>
    <w:basedOn w:val="Normal"/>
    <w:link w:val="FooterChar"/>
    <w:uiPriority w:val="99"/>
    <w:unhideWhenUsed/>
    <w:rsid w:val="00AF7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7832"/>
  </w:style>
  <w:style w:type="paragraph" w:styleId="TOCHeading">
    <w:name w:val="TOC Heading"/>
    <w:basedOn w:val="Heading1"/>
    <w:next w:val="Normal"/>
    <w:uiPriority w:val="39"/>
    <w:unhideWhenUsed/>
    <w:qFormat/>
    <w:rsid w:val="0094329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43290"/>
    <w:pPr>
      <w:spacing w:after="100"/>
    </w:pPr>
  </w:style>
  <w:style w:type="paragraph" w:styleId="TOC2">
    <w:name w:val="toc 2"/>
    <w:basedOn w:val="Normal"/>
    <w:next w:val="Normal"/>
    <w:autoRedefine/>
    <w:uiPriority w:val="39"/>
    <w:unhideWhenUsed/>
    <w:rsid w:val="00943290"/>
    <w:pPr>
      <w:spacing w:after="100"/>
      <w:ind w:left="240"/>
    </w:pPr>
  </w:style>
  <w:style w:type="character" w:styleId="Hyperlink">
    <w:name w:val="Hyperlink"/>
    <w:basedOn w:val="DefaultParagraphFont"/>
    <w:uiPriority w:val="99"/>
    <w:unhideWhenUsed/>
    <w:rsid w:val="0094329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511DF-6DEE-4BF8-941B-04FB2C984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2466</Words>
  <Characters>14061</Characters>
  <Application>Microsoft Office Word</Application>
  <DocSecurity>0</DocSecurity>
  <Lines>117</Lines>
  <Paragraphs>32</Paragraphs>
  <ScaleCrop>false</ScaleCrop>
  <Company/>
  <LinksUpToDate>false</LinksUpToDate>
  <CharactersWithSpaces>16495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2026-03-20T15:25:00Z</dcterms:created>
  <dcterms:modified xsi:type="dcterms:W3CDTF">2026-03-20T15:25:00Z</dcterms:modified>
</cp:coreProperties>
</file>