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1B56C1" w14:textId="7E04488F" w:rsidR="00836ACE" w:rsidRPr="004104A8" w:rsidRDefault="00836ACE" w:rsidP="00836ACE">
      <w:pPr>
        <w:spacing w:line="360" w:lineRule="auto"/>
        <w:rPr>
          <w:rFonts w:cs="Arial"/>
          <w:b/>
          <w:bCs/>
          <w:sz w:val="28"/>
          <w:szCs w:val="28"/>
        </w:rPr>
      </w:pPr>
      <w:r w:rsidRPr="004104A8">
        <w:rPr>
          <w:rFonts w:cs="Arial"/>
          <w:b/>
          <w:bCs/>
          <w:sz w:val="28"/>
          <w:szCs w:val="28"/>
        </w:rPr>
        <w:t>Module name:</w:t>
      </w:r>
      <w:r w:rsidR="00CE142F" w:rsidRPr="004104A8">
        <w:rPr>
          <w:rFonts w:cs="Arial"/>
          <w:b/>
          <w:bCs/>
          <w:sz w:val="28"/>
          <w:szCs w:val="28"/>
        </w:rPr>
        <w:t xml:space="preserve"> Introduction to Health and Social </w:t>
      </w:r>
      <w:r w:rsidR="00C97262" w:rsidRPr="004104A8">
        <w:rPr>
          <w:rFonts w:cs="Arial"/>
          <w:b/>
          <w:bCs/>
          <w:sz w:val="28"/>
          <w:szCs w:val="28"/>
        </w:rPr>
        <w:t>Care</w:t>
      </w:r>
    </w:p>
    <w:p w14:paraId="4FDC0467" w14:textId="77777777" w:rsidR="00836ACE" w:rsidRPr="004104A8" w:rsidRDefault="00836ACE" w:rsidP="00836ACE">
      <w:pPr>
        <w:spacing w:line="360" w:lineRule="auto"/>
        <w:rPr>
          <w:rFonts w:cs="Arial"/>
          <w:b/>
          <w:bCs/>
          <w:sz w:val="28"/>
          <w:szCs w:val="28"/>
        </w:rPr>
      </w:pPr>
    </w:p>
    <w:p w14:paraId="46A1B889" w14:textId="53D274E4" w:rsidR="00836ACE" w:rsidRPr="004104A8" w:rsidRDefault="00836ACE" w:rsidP="00836ACE">
      <w:pPr>
        <w:spacing w:line="360" w:lineRule="auto"/>
        <w:rPr>
          <w:rFonts w:cs="Arial"/>
          <w:b/>
          <w:bCs/>
          <w:sz w:val="28"/>
          <w:szCs w:val="28"/>
        </w:rPr>
      </w:pPr>
      <w:r w:rsidRPr="004104A8">
        <w:rPr>
          <w:rFonts w:cs="Arial"/>
          <w:b/>
          <w:bCs/>
          <w:sz w:val="28"/>
          <w:szCs w:val="28"/>
        </w:rPr>
        <w:t>Module Code:</w:t>
      </w:r>
      <w:r w:rsidR="00C0338B" w:rsidRPr="004104A8">
        <w:rPr>
          <w:rFonts w:cs="Arial"/>
          <w:b/>
          <w:bCs/>
          <w:sz w:val="28"/>
          <w:szCs w:val="28"/>
        </w:rPr>
        <w:t xml:space="preserve"> </w:t>
      </w:r>
      <w:r w:rsidR="00CE142F" w:rsidRPr="004104A8">
        <w:rPr>
          <w:rFonts w:cs="Arial"/>
          <w:b/>
          <w:bCs/>
          <w:sz w:val="28"/>
          <w:szCs w:val="28"/>
        </w:rPr>
        <w:t>LCHS4003</w:t>
      </w:r>
      <w:r w:rsidR="004104A8" w:rsidRPr="004104A8">
        <w:rPr>
          <w:rFonts w:cs="Arial"/>
          <w:b/>
          <w:bCs/>
          <w:sz w:val="28"/>
          <w:szCs w:val="28"/>
        </w:rPr>
        <w:t>_LON</w:t>
      </w:r>
    </w:p>
    <w:p w14:paraId="453146CC" w14:textId="77777777" w:rsidR="00836ACE" w:rsidRPr="004104A8" w:rsidRDefault="00836ACE" w:rsidP="00836ACE">
      <w:pPr>
        <w:spacing w:line="360" w:lineRule="auto"/>
        <w:rPr>
          <w:rFonts w:cs="Arial"/>
          <w:b/>
          <w:bCs/>
          <w:sz w:val="28"/>
          <w:szCs w:val="28"/>
        </w:rPr>
      </w:pPr>
    </w:p>
    <w:p w14:paraId="0E75D096" w14:textId="77777777" w:rsidR="00836ACE" w:rsidRPr="004104A8" w:rsidRDefault="00836ACE" w:rsidP="00836ACE">
      <w:pPr>
        <w:spacing w:line="360" w:lineRule="auto"/>
        <w:rPr>
          <w:rFonts w:cs="Arial"/>
          <w:b/>
          <w:bCs/>
          <w:sz w:val="28"/>
          <w:szCs w:val="28"/>
        </w:rPr>
      </w:pPr>
    </w:p>
    <w:p w14:paraId="58CFC11D" w14:textId="18B4A272" w:rsidR="00836ACE" w:rsidRPr="004104A8" w:rsidRDefault="00836ACE" w:rsidP="00836ACE">
      <w:pPr>
        <w:spacing w:line="360" w:lineRule="auto"/>
        <w:rPr>
          <w:rFonts w:cs="Arial"/>
          <w:b/>
          <w:bCs/>
          <w:sz w:val="28"/>
          <w:szCs w:val="28"/>
        </w:rPr>
      </w:pPr>
      <w:r w:rsidRPr="004104A8">
        <w:rPr>
          <w:rFonts w:cs="Arial"/>
          <w:b/>
          <w:bCs/>
          <w:sz w:val="28"/>
          <w:szCs w:val="28"/>
        </w:rPr>
        <w:t>Student name:</w:t>
      </w:r>
      <w:r w:rsidR="00E46EAE" w:rsidRPr="004104A8">
        <w:rPr>
          <w:rFonts w:cs="Arial"/>
          <w:b/>
          <w:bCs/>
          <w:sz w:val="28"/>
          <w:szCs w:val="28"/>
        </w:rPr>
        <w:t xml:space="preserve"> </w:t>
      </w:r>
      <w:proofErr w:type="spellStart"/>
      <w:r w:rsidR="00E46EAE" w:rsidRPr="004104A8">
        <w:rPr>
          <w:rFonts w:cs="Arial"/>
          <w:b/>
          <w:bCs/>
          <w:sz w:val="28"/>
          <w:szCs w:val="28"/>
        </w:rPr>
        <w:t>Kausar</w:t>
      </w:r>
      <w:proofErr w:type="spellEnd"/>
      <w:r w:rsidR="00E46EAE" w:rsidRPr="004104A8">
        <w:rPr>
          <w:rFonts w:cs="Arial"/>
          <w:b/>
          <w:bCs/>
          <w:sz w:val="28"/>
          <w:szCs w:val="28"/>
        </w:rPr>
        <w:t xml:space="preserve"> </w:t>
      </w:r>
      <w:proofErr w:type="spellStart"/>
      <w:r w:rsidR="00E46EAE" w:rsidRPr="004104A8">
        <w:rPr>
          <w:rFonts w:cs="Arial"/>
          <w:b/>
          <w:bCs/>
          <w:sz w:val="28"/>
          <w:szCs w:val="28"/>
        </w:rPr>
        <w:t>Parveen</w:t>
      </w:r>
      <w:proofErr w:type="spellEnd"/>
      <w:r w:rsidR="00E46EAE" w:rsidRPr="004104A8">
        <w:rPr>
          <w:rFonts w:cs="Arial"/>
          <w:b/>
          <w:bCs/>
          <w:sz w:val="28"/>
          <w:szCs w:val="28"/>
        </w:rPr>
        <w:t xml:space="preserve"> Sultan</w:t>
      </w:r>
    </w:p>
    <w:p w14:paraId="35305F56" w14:textId="1F4BA662" w:rsidR="00836ACE" w:rsidRPr="004104A8" w:rsidRDefault="00836ACE" w:rsidP="00836ACE">
      <w:pPr>
        <w:spacing w:line="360" w:lineRule="auto"/>
        <w:rPr>
          <w:rFonts w:cs="Arial"/>
          <w:b/>
          <w:bCs/>
          <w:sz w:val="28"/>
          <w:szCs w:val="28"/>
        </w:rPr>
      </w:pPr>
      <w:r w:rsidRPr="004104A8">
        <w:rPr>
          <w:rFonts w:cs="Arial"/>
          <w:b/>
          <w:bCs/>
          <w:sz w:val="28"/>
          <w:szCs w:val="28"/>
        </w:rPr>
        <w:t>Student ID</w:t>
      </w:r>
      <w:r w:rsidR="00E46EAE" w:rsidRPr="004104A8">
        <w:rPr>
          <w:rFonts w:cs="Arial"/>
          <w:b/>
          <w:bCs/>
          <w:sz w:val="28"/>
          <w:szCs w:val="28"/>
        </w:rPr>
        <w:t xml:space="preserve">: </w:t>
      </w:r>
      <w:r w:rsidR="004104A8" w:rsidRPr="004104A8">
        <w:rPr>
          <w:rFonts w:cs="Arial"/>
          <w:b/>
          <w:bCs/>
          <w:sz w:val="28"/>
          <w:szCs w:val="28"/>
        </w:rPr>
        <w:t xml:space="preserve"> 2513140</w:t>
      </w:r>
    </w:p>
    <w:p w14:paraId="1BC62C01" w14:textId="77777777" w:rsidR="00836ACE" w:rsidRPr="004104A8" w:rsidRDefault="00836ACE" w:rsidP="00836ACE">
      <w:pPr>
        <w:spacing w:line="360" w:lineRule="auto"/>
        <w:rPr>
          <w:rFonts w:cs="Arial"/>
          <w:b/>
          <w:bCs/>
          <w:sz w:val="28"/>
          <w:szCs w:val="28"/>
        </w:rPr>
      </w:pPr>
    </w:p>
    <w:p w14:paraId="1C92D9F6" w14:textId="77777777" w:rsidR="00836ACE" w:rsidRPr="004104A8" w:rsidRDefault="00836ACE" w:rsidP="00836ACE">
      <w:pPr>
        <w:spacing w:line="360" w:lineRule="auto"/>
        <w:rPr>
          <w:rFonts w:cs="Arial"/>
          <w:b/>
          <w:bCs/>
          <w:sz w:val="28"/>
          <w:szCs w:val="28"/>
        </w:rPr>
      </w:pPr>
    </w:p>
    <w:p w14:paraId="48C083AA" w14:textId="3A5873A2" w:rsidR="00836ACE" w:rsidRPr="004104A8" w:rsidRDefault="00836ACE" w:rsidP="00836ACE">
      <w:pPr>
        <w:spacing w:line="360" w:lineRule="auto"/>
        <w:rPr>
          <w:rFonts w:cs="Arial"/>
          <w:b/>
          <w:bCs/>
          <w:sz w:val="28"/>
          <w:szCs w:val="28"/>
        </w:rPr>
      </w:pPr>
      <w:r w:rsidRPr="004104A8">
        <w:rPr>
          <w:rFonts w:cs="Arial"/>
          <w:b/>
          <w:bCs/>
          <w:sz w:val="28"/>
          <w:szCs w:val="28"/>
        </w:rPr>
        <w:t xml:space="preserve">Lecturer’s name: </w:t>
      </w:r>
      <w:proofErr w:type="spellStart"/>
      <w:r w:rsidR="004104A8" w:rsidRPr="004104A8">
        <w:rPr>
          <w:rFonts w:cs="Arial"/>
          <w:b/>
          <w:bCs/>
          <w:sz w:val="28"/>
          <w:szCs w:val="28"/>
        </w:rPr>
        <w:t>Oluwadamilola</w:t>
      </w:r>
      <w:proofErr w:type="spellEnd"/>
      <w:r w:rsidR="004104A8" w:rsidRPr="004104A8">
        <w:rPr>
          <w:rFonts w:cs="Arial"/>
          <w:b/>
          <w:bCs/>
          <w:sz w:val="28"/>
          <w:szCs w:val="28"/>
        </w:rPr>
        <w:t xml:space="preserve"> </w:t>
      </w:r>
      <w:proofErr w:type="spellStart"/>
      <w:r w:rsidR="004104A8" w:rsidRPr="004104A8">
        <w:rPr>
          <w:rFonts w:cs="Arial"/>
          <w:b/>
          <w:bCs/>
          <w:sz w:val="28"/>
          <w:szCs w:val="28"/>
        </w:rPr>
        <w:t>Tayo</w:t>
      </w:r>
      <w:proofErr w:type="spellEnd"/>
    </w:p>
    <w:p w14:paraId="1C87EDAC" w14:textId="69535C38" w:rsidR="00836ACE" w:rsidRPr="004104A8" w:rsidRDefault="00836ACE" w:rsidP="00836ACE">
      <w:pPr>
        <w:spacing w:line="360" w:lineRule="auto"/>
        <w:rPr>
          <w:rFonts w:cs="Arial"/>
          <w:b/>
          <w:bCs/>
          <w:sz w:val="28"/>
          <w:szCs w:val="28"/>
        </w:rPr>
      </w:pPr>
      <w:r w:rsidRPr="004104A8">
        <w:rPr>
          <w:rFonts w:cs="Arial"/>
          <w:b/>
          <w:bCs/>
          <w:sz w:val="28"/>
          <w:szCs w:val="28"/>
        </w:rPr>
        <w:t xml:space="preserve">Assignment title: </w:t>
      </w:r>
      <w:r w:rsidR="008D1BBA" w:rsidRPr="004104A8">
        <w:rPr>
          <w:rFonts w:cs="Arial"/>
          <w:b/>
          <w:bCs/>
          <w:sz w:val="28"/>
          <w:szCs w:val="28"/>
        </w:rPr>
        <w:t xml:space="preserve">Written </w:t>
      </w:r>
      <w:r w:rsidRPr="004104A8">
        <w:rPr>
          <w:rFonts w:cs="Arial"/>
          <w:b/>
          <w:bCs/>
          <w:sz w:val="28"/>
          <w:szCs w:val="28"/>
        </w:rPr>
        <w:t xml:space="preserve">Assessment </w:t>
      </w:r>
    </w:p>
    <w:p w14:paraId="634DE1F9" w14:textId="6834C94C" w:rsidR="00C53824" w:rsidRDefault="00C53824" w:rsidP="00836ACE"/>
    <w:p w14:paraId="65C45C9B" w14:textId="77777777" w:rsidR="007A1789" w:rsidRDefault="007A1789" w:rsidP="00836ACE"/>
    <w:p w14:paraId="55915FBA" w14:textId="77777777" w:rsidR="007A1789" w:rsidRDefault="007A1789" w:rsidP="00836ACE"/>
    <w:p w14:paraId="66E98238" w14:textId="77777777" w:rsidR="007A1789" w:rsidRDefault="007A1789" w:rsidP="00836ACE"/>
    <w:p w14:paraId="4EE51478" w14:textId="77777777" w:rsidR="007A1789" w:rsidRDefault="007A1789" w:rsidP="00836ACE"/>
    <w:p w14:paraId="0A02014C" w14:textId="77777777" w:rsidR="007A1789" w:rsidRDefault="007A1789" w:rsidP="00836ACE"/>
    <w:p w14:paraId="1B98A105" w14:textId="77777777" w:rsidR="007A1789" w:rsidRDefault="007A1789" w:rsidP="00836ACE"/>
    <w:p w14:paraId="6958410B" w14:textId="77777777" w:rsidR="007A1789" w:rsidRDefault="007A1789" w:rsidP="00836ACE"/>
    <w:p w14:paraId="7492E3E7" w14:textId="77777777" w:rsidR="007A1789" w:rsidRDefault="007A1789" w:rsidP="00836ACE"/>
    <w:p w14:paraId="5F75BDC5" w14:textId="77777777" w:rsidR="007A1789" w:rsidRDefault="007A1789" w:rsidP="00836ACE"/>
    <w:p w14:paraId="29ABCBE4" w14:textId="77777777" w:rsidR="007A1789" w:rsidRDefault="007A1789" w:rsidP="00836ACE"/>
    <w:p w14:paraId="7466CD64" w14:textId="77777777" w:rsidR="007A1789" w:rsidRDefault="007A1789" w:rsidP="00836ACE"/>
    <w:p w14:paraId="6ABFEB4A" w14:textId="77777777" w:rsidR="002057A4" w:rsidRDefault="002057A4" w:rsidP="00836ACE"/>
    <w:p w14:paraId="5924814C" w14:textId="77777777" w:rsidR="002057A4" w:rsidRDefault="002057A4" w:rsidP="00836ACE"/>
    <w:p w14:paraId="3D4D8F06" w14:textId="77777777" w:rsidR="002057A4" w:rsidRDefault="002057A4" w:rsidP="00836ACE"/>
    <w:p w14:paraId="24FA7EF2" w14:textId="77777777" w:rsidR="002057A4" w:rsidRDefault="002057A4" w:rsidP="00836ACE"/>
    <w:sdt>
      <w:sdtPr>
        <w:rPr>
          <w:rFonts w:ascii="Arial" w:eastAsiaTheme="minorHAnsi" w:hAnsi="Arial" w:cstheme="minorBidi"/>
          <w:color w:val="auto"/>
          <w:kern w:val="2"/>
          <w:sz w:val="24"/>
          <w:szCs w:val="22"/>
          <w:lang w:eastAsia="en-US"/>
          <w14:ligatures w14:val="standardContextual"/>
        </w:rPr>
        <w:id w:val="-1741634634"/>
        <w:docPartObj>
          <w:docPartGallery w:val="Table of Contents"/>
          <w:docPartUnique/>
        </w:docPartObj>
      </w:sdtPr>
      <w:sdtEndPr>
        <w:rPr>
          <w:b/>
          <w:bCs/>
        </w:rPr>
      </w:sdtEndPr>
      <w:sdtContent>
        <w:p w14:paraId="58ECF1F3" w14:textId="77777777" w:rsidR="009367E5" w:rsidRDefault="009367E5">
          <w:pPr>
            <w:pStyle w:val="TOCHeading"/>
            <w:rPr>
              <w:rFonts w:ascii="Arial" w:eastAsiaTheme="minorHAnsi" w:hAnsi="Arial" w:cstheme="minorBidi"/>
              <w:color w:val="auto"/>
              <w:kern w:val="2"/>
              <w:sz w:val="24"/>
              <w:szCs w:val="22"/>
              <w:lang w:eastAsia="en-US"/>
              <w14:ligatures w14:val="standardContextual"/>
            </w:rPr>
          </w:pPr>
        </w:p>
        <w:p w14:paraId="300A2745" w14:textId="15E2EBB8" w:rsidR="002057A4" w:rsidRDefault="002057A4">
          <w:pPr>
            <w:pStyle w:val="TOCHeading"/>
            <w:rPr>
              <w:rFonts w:ascii="Arial" w:hAnsi="Arial" w:cs="Arial"/>
              <w:b/>
              <w:sz w:val="28"/>
              <w:szCs w:val="22"/>
            </w:rPr>
          </w:pPr>
          <w:r w:rsidRPr="00FA3C61">
            <w:rPr>
              <w:rFonts w:ascii="Arial" w:hAnsi="Arial" w:cs="Arial"/>
              <w:b/>
              <w:sz w:val="28"/>
              <w:szCs w:val="22"/>
            </w:rPr>
            <w:t>Contents</w:t>
          </w:r>
        </w:p>
        <w:p w14:paraId="3D79B521" w14:textId="77777777" w:rsidR="00FA3C61" w:rsidRPr="00FA3C61" w:rsidRDefault="00FA3C61" w:rsidP="00FA3C61">
          <w:pPr>
            <w:rPr>
              <w:lang w:eastAsia="en-GB"/>
            </w:rPr>
          </w:pPr>
        </w:p>
        <w:p w14:paraId="0A634098" w14:textId="1024CD5A" w:rsidR="002057A4" w:rsidRPr="00FA3C61" w:rsidRDefault="002057A4">
          <w:pPr>
            <w:pStyle w:val="TOC1"/>
            <w:tabs>
              <w:tab w:val="right" w:leader="dot" w:pos="9016"/>
            </w:tabs>
            <w:rPr>
              <w:rFonts w:eastAsiaTheme="minorEastAsia" w:cs="Arial"/>
              <w:noProof/>
              <w:szCs w:val="24"/>
              <w:lang w:eastAsia="en-GB"/>
            </w:rPr>
          </w:pPr>
          <w:r w:rsidRPr="00FA3C61">
            <w:rPr>
              <w:rFonts w:cs="Arial"/>
              <w:szCs w:val="24"/>
            </w:rPr>
            <w:fldChar w:fldCharType="begin"/>
          </w:r>
          <w:r w:rsidRPr="00FA3C61">
            <w:rPr>
              <w:rFonts w:cs="Arial"/>
              <w:szCs w:val="24"/>
            </w:rPr>
            <w:instrText xml:space="preserve"> TOC \o "1-3" \h \z \u </w:instrText>
          </w:r>
          <w:r w:rsidRPr="00FA3C61">
            <w:rPr>
              <w:rFonts w:cs="Arial"/>
              <w:szCs w:val="24"/>
            </w:rPr>
            <w:fldChar w:fldCharType="separate"/>
          </w:r>
          <w:hyperlink w:anchor="_Toc227863398" w:history="1">
            <w:r w:rsidRPr="00FA3C61">
              <w:rPr>
                <w:rStyle w:val="Hyperlink"/>
                <w:rFonts w:cs="Arial"/>
                <w:b/>
                <w:bCs/>
                <w:noProof/>
                <w:szCs w:val="24"/>
              </w:rPr>
              <w:t>Introduction</w:t>
            </w:r>
            <w:r w:rsidRPr="00FA3C61">
              <w:rPr>
                <w:rFonts w:cs="Arial"/>
                <w:noProof/>
                <w:webHidden/>
                <w:szCs w:val="24"/>
              </w:rPr>
              <w:tab/>
            </w:r>
            <w:r w:rsidRPr="00FA3C61">
              <w:rPr>
                <w:rFonts w:cs="Arial"/>
                <w:noProof/>
                <w:webHidden/>
                <w:szCs w:val="24"/>
              </w:rPr>
              <w:fldChar w:fldCharType="begin"/>
            </w:r>
            <w:r w:rsidRPr="00FA3C61">
              <w:rPr>
                <w:rFonts w:cs="Arial"/>
                <w:noProof/>
                <w:webHidden/>
                <w:szCs w:val="24"/>
              </w:rPr>
              <w:instrText xml:space="preserve"> PAGEREF _Toc227863398 \h </w:instrText>
            </w:r>
            <w:r w:rsidRPr="00FA3C61">
              <w:rPr>
                <w:rFonts w:cs="Arial"/>
                <w:noProof/>
                <w:webHidden/>
                <w:szCs w:val="24"/>
              </w:rPr>
            </w:r>
            <w:r w:rsidRPr="00FA3C61">
              <w:rPr>
                <w:rFonts w:cs="Arial"/>
                <w:noProof/>
                <w:webHidden/>
                <w:szCs w:val="24"/>
              </w:rPr>
              <w:fldChar w:fldCharType="separate"/>
            </w:r>
            <w:r w:rsidRPr="00FA3C61">
              <w:rPr>
                <w:rFonts w:cs="Arial"/>
                <w:noProof/>
                <w:webHidden/>
                <w:szCs w:val="24"/>
              </w:rPr>
              <w:t>3</w:t>
            </w:r>
            <w:r w:rsidRPr="00FA3C61">
              <w:rPr>
                <w:rFonts w:cs="Arial"/>
                <w:noProof/>
                <w:webHidden/>
                <w:szCs w:val="24"/>
              </w:rPr>
              <w:fldChar w:fldCharType="end"/>
            </w:r>
          </w:hyperlink>
        </w:p>
        <w:p w14:paraId="1CB1B9A6" w14:textId="6899931D" w:rsidR="002057A4" w:rsidRPr="00FA3C61" w:rsidRDefault="003E29A7">
          <w:pPr>
            <w:pStyle w:val="TOC1"/>
            <w:tabs>
              <w:tab w:val="right" w:leader="dot" w:pos="9016"/>
            </w:tabs>
            <w:rPr>
              <w:rFonts w:eastAsiaTheme="minorEastAsia" w:cs="Arial"/>
              <w:noProof/>
              <w:szCs w:val="24"/>
              <w:lang w:eastAsia="en-GB"/>
            </w:rPr>
          </w:pPr>
          <w:hyperlink w:anchor="_Toc227863399" w:history="1">
            <w:r w:rsidR="002057A4" w:rsidRPr="00FA3C61">
              <w:rPr>
                <w:rStyle w:val="Hyperlink"/>
                <w:rFonts w:cs="Arial"/>
                <w:b/>
                <w:bCs/>
                <w:noProof/>
                <w:szCs w:val="24"/>
              </w:rPr>
              <w:t>1. Importance of Effective Communication</w:t>
            </w:r>
            <w:r w:rsidR="002057A4" w:rsidRPr="00FA3C61">
              <w:rPr>
                <w:rFonts w:cs="Arial"/>
                <w:noProof/>
                <w:webHidden/>
                <w:szCs w:val="24"/>
              </w:rPr>
              <w:tab/>
            </w:r>
            <w:r w:rsidR="002057A4" w:rsidRPr="00FA3C61">
              <w:rPr>
                <w:rFonts w:cs="Arial"/>
                <w:noProof/>
                <w:webHidden/>
                <w:szCs w:val="24"/>
              </w:rPr>
              <w:fldChar w:fldCharType="begin"/>
            </w:r>
            <w:r w:rsidR="002057A4" w:rsidRPr="00FA3C61">
              <w:rPr>
                <w:rFonts w:cs="Arial"/>
                <w:noProof/>
                <w:webHidden/>
                <w:szCs w:val="24"/>
              </w:rPr>
              <w:instrText xml:space="preserve"> PAGEREF _Toc227863399 \h </w:instrText>
            </w:r>
            <w:r w:rsidR="002057A4" w:rsidRPr="00FA3C61">
              <w:rPr>
                <w:rFonts w:cs="Arial"/>
                <w:noProof/>
                <w:webHidden/>
                <w:szCs w:val="24"/>
              </w:rPr>
            </w:r>
            <w:r w:rsidR="002057A4" w:rsidRPr="00FA3C61">
              <w:rPr>
                <w:rFonts w:cs="Arial"/>
                <w:noProof/>
                <w:webHidden/>
                <w:szCs w:val="24"/>
              </w:rPr>
              <w:fldChar w:fldCharType="separate"/>
            </w:r>
            <w:r w:rsidR="002057A4" w:rsidRPr="00FA3C61">
              <w:rPr>
                <w:rFonts w:cs="Arial"/>
                <w:noProof/>
                <w:webHidden/>
                <w:szCs w:val="24"/>
              </w:rPr>
              <w:t>3</w:t>
            </w:r>
            <w:r w:rsidR="002057A4" w:rsidRPr="00FA3C61">
              <w:rPr>
                <w:rFonts w:cs="Arial"/>
                <w:noProof/>
                <w:webHidden/>
                <w:szCs w:val="24"/>
              </w:rPr>
              <w:fldChar w:fldCharType="end"/>
            </w:r>
          </w:hyperlink>
        </w:p>
        <w:p w14:paraId="692BD225" w14:textId="42FC3517" w:rsidR="002057A4" w:rsidRPr="00FA3C61" w:rsidRDefault="003E29A7">
          <w:pPr>
            <w:pStyle w:val="TOC1"/>
            <w:tabs>
              <w:tab w:val="right" w:leader="dot" w:pos="9016"/>
            </w:tabs>
            <w:rPr>
              <w:rFonts w:eastAsiaTheme="minorEastAsia" w:cs="Arial"/>
              <w:noProof/>
              <w:szCs w:val="24"/>
              <w:lang w:eastAsia="en-GB"/>
            </w:rPr>
          </w:pPr>
          <w:hyperlink w:anchor="_Toc227863400" w:history="1">
            <w:r w:rsidR="002057A4" w:rsidRPr="00FA3C61">
              <w:rPr>
                <w:rStyle w:val="Hyperlink"/>
                <w:rFonts w:cs="Arial"/>
                <w:b/>
                <w:bCs/>
                <w:noProof/>
                <w:szCs w:val="24"/>
              </w:rPr>
              <w:t>2. Importance of Administrative Skills and Record Keeping</w:t>
            </w:r>
            <w:r w:rsidR="002057A4" w:rsidRPr="00FA3C61">
              <w:rPr>
                <w:rFonts w:cs="Arial"/>
                <w:noProof/>
                <w:webHidden/>
                <w:szCs w:val="24"/>
              </w:rPr>
              <w:tab/>
            </w:r>
            <w:r w:rsidR="002057A4" w:rsidRPr="00FA3C61">
              <w:rPr>
                <w:rFonts w:cs="Arial"/>
                <w:noProof/>
                <w:webHidden/>
                <w:szCs w:val="24"/>
              </w:rPr>
              <w:fldChar w:fldCharType="begin"/>
            </w:r>
            <w:r w:rsidR="002057A4" w:rsidRPr="00FA3C61">
              <w:rPr>
                <w:rFonts w:cs="Arial"/>
                <w:noProof/>
                <w:webHidden/>
                <w:szCs w:val="24"/>
              </w:rPr>
              <w:instrText xml:space="preserve"> PAGEREF _Toc227863400 \h </w:instrText>
            </w:r>
            <w:r w:rsidR="002057A4" w:rsidRPr="00FA3C61">
              <w:rPr>
                <w:rFonts w:cs="Arial"/>
                <w:noProof/>
                <w:webHidden/>
                <w:szCs w:val="24"/>
              </w:rPr>
            </w:r>
            <w:r w:rsidR="002057A4" w:rsidRPr="00FA3C61">
              <w:rPr>
                <w:rFonts w:cs="Arial"/>
                <w:noProof/>
                <w:webHidden/>
                <w:szCs w:val="24"/>
              </w:rPr>
              <w:fldChar w:fldCharType="separate"/>
            </w:r>
            <w:r w:rsidR="002057A4" w:rsidRPr="00FA3C61">
              <w:rPr>
                <w:rFonts w:cs="Arial"/>
                <w:noProof/>
                <w:webHidden/>
                <w:szCs w:val="24"/>
              </w:rPr>
              <w:t>4</w:t>
            </w:r>
            <w:r w:rsidR="002057A4" w:rsidRPr="00FA3C61">
              <w:rPr>
                <w:rFonts w:cs="Arial"/>
                <w:noProof/>
                <w:webHidden/>
                <w:szCs w:val="24"/>
              </w:rPr>
              <w:fldChar w:fldCharType="end"/>
            </w:r>
          </w:hyperlink>
        </w:p>
        <w:p w14:paraId="5129C229" w14:textId="3B5EA93A" w:rsidR="002057A4" w:rsidRPr="00FA3C61" w:rsidRDefault="003E29A7">
          <w:pPr>
            <w:pStyle w:val="TOC1"/>
            <w:tabs>
              <w:tab w:val="right" w:leader="dot" w:pos="9016"/>
            </w:tabs>
            <w:rPr>
              <w:rFonts w:eastAsiaTheme="minorEastAsia" w:cs="Arial"/>
              <w:noProof/>
              <w:szCs w:val="24"/>
              <w:lang w:eastAsia="en-GB"/>
            </w:rPr>
          </w:pPr>
          <w:hyperlink w:anchor="_Toc227863401" w:history="1">
            <w:r w:rsidR="002057A4" w:rsidRPr="00FA3C61">
              <w:rPr>
                <w:rStyle w:val="Hyperlink"/>
                <w:rFonts w:cs="Arial"/>
                <w:b/>
                <w:bCs/>
                <w:noProof/>
                <w:szCs w:val="24"/>
              </w:rPr>
              <w:t>3. Importance of Collaborative Working</w:t>
            </w:r>
            <w:r w:rsidR="002057A4" w:rsidRPr="00FA3C61">
              <w:rPr>
                <w:rFonts w:cs="Arial"/>
                <w:noProof/>
                <w:webHidden/>
                <w:szCs w:val="24"/>
              </w:rPr>
              <w:tab/>
            </w:r>
            <w:r w:rsidR="002057A4" w:rsidRPr="00FA3C61">
              <w:rPr>
                <w:rFonts w:cs="Arial"/>
                <w:noProof/>
                <w:webHidden/>
                <w:szCs w:val="24"/>
              </w:rPr>
              <w:fldChar w:fldCharType="begin"/>
            </w:r>
            <w:r w:rsidR="002057A4" w:rsidRPr="00FA3C61">
              <w:rPr>
                <w:rFonts w:cs="Arial"/>
                <w:noProof/>
                <w:webHidden/>
                <w:szCs w:val="24"/>
              </w:rPr>
              <w:instrText xml:space="preserve"> PAGEREF _Toc227863401 \h </w:instrText>
            </w:r>
            <w:r w:rsidR="002057A4" w:rsidRPr="00FA3C61">
              <w:rPr>
                <w:rFonts w:cs="Arial"/>
                <w:noProof/>
                <w:webHidden/>
                <w:szCs w:val="24"/>
              </w:rPr>
            </w:r>
            <w:r w:rsidR="002057A4" w:rsidRPr="00FA3C61">
              <w:rPr>
                <w:rFonts w:cs="Arial"/>
                <w:noProof/>
                <w:webHidden/>
                <w:szCs w:val="24"/>
              </w:rPr>
              <w:fldChar w:fldCharType="separate"/>
            </w:r>
            <w:r w:rsidR="002057A4" w:rsidRPr="00FA3C61">
              <w:rPr>
                <w:rFonts w:cs="Arial"/>
                <w:noProof/>
                <w:webHidden/>
                <w:szCs w:val="24"/>
              </w:rPr>
              <w:t>6</w:t>
            </w:r>
            <w:r w:rsidR="002057A4" w:rsidRPr="00FA3C61">
              <w:rPr>
                <w:rFonts w:cs="Arial"/>
                <w:noProof/>
                <w:webHidden/>
                <w:szCs w:val="24"/>
              </w:rPr>
              <w:fldChar w:fldCharType="end"/>
            </w:r>
          </w:hyperlink>
        </w:p>
        <w:p w14:paraId="4A0A8E3D" w14:textId="23A6813E" w:rsidR="002057A4" w:rsidRPr="00FA3C61" w:rsidRDefault="003E29A7">
          <w:pPr>
            <w:pStyle w:val="TOC1"/>
            <w:tabs>
              <w:tab w:val="right" w:leader="dot" w:pos="9016"/>
            </w:tabs>
            <w:rPr>
              <w:rFonts w:eastAsiaTheme="minorEastAsia" w:cs="Arial"/>
              <w:noProof/>
              <w:szCs w:val="24"/>
              <w:lang w:eastAsia="en-GB"/>
            </w:rPr>
          </w:pPr>
          <w:hyperlink w:anchor="_Toc227863402" w:history="1">
            <w:r w:rsidR="002057A4" w:rsidRPr="00FA3C61">
              <w:rPr>
                <w:rStyle w:val="Hyperlink"/>
                <w:rFonts w:cs="Arial"/>
                <w:b/>
                <w:bCs/>
                <w:noProof/>
                <w:szCs w:val="24"/>
              </w:rPr>
              <w:t>Conclusion</w:t>
            </w:r>
            <w:r w:rsidR="002057A4" w:rsidRPr="00FA3C61">
              <w:rPr>
                <w:rFonts w:cs="Arial"/>
                <w:noProof/>
                <w:webHidden/>
                <w:szCs w:val="24"/>
              </w:rPr>
              <w:tab/>
            </w:r>
            <w:r w:rsidR="002057A4" w:rsidRPr="00FA3C61">
              <w:rPr>
                <w:rFonts w:cs="Arial"/>
                <w:noProof/>
                <w:webHidden/>
                <w:szCs w:val="24"/>
              </w:rPr>
              <w:fldChar w:fldCharType="begin"/>
            </w:r>
            <w:r w:rsidR="002057A4" w:rsidRPr="00FA3C61">
              <w:rPr>
                <w:rFonts w:cs="Arial"/>
                <w:noProof/>
                <w:webHidden/>
                <w:szCs w:val="24"/>
              </w:rPr>
              <w:instrText xml:space="preserve"> PAGEREF _Toc227863402 \h </w:instrText>
            </w:r>
            <w:r w:rsidR="002057A4" w:rsidRPr="00FA3C61">
              <w:rPr>
                <w:rFonts w:cs="Arial"/>
                <w:noProof/>
                <w:webHidden/>
                <w:szCs w:val="24"/>
              </w:rPr>
            </w:r>
            <w:r w:rsidR="002057A4" w:rsidRPr="00FA3C61">
              <w:rPr>
                <w:rFonts w:cs="Arial"/>
                <w:noProof/>
                <w:webHidden/>
                <w:szCs w:val="24"/>
              </w:rPr>
              <w:fldChar w:fldCharType="separate"/>
            </w:r>
            <w:r w:rsidR="002057A4" w:rsidRPr="00FA3C61">
              <w:rPr>
                <w:rFonts w:cs="Arial"/>
                <w:noProof/>
                <w:webHidden/>
                <w:szCs w:val="24"/>
              </w:rPr>
              <w:t>7</w:t>
            </w:r>
            <w:r w:rsidR="002057A4" w:rsidRPr="00FA3C61">
              <w:rPr>
                <w:rFonts w:cs="Arial"/>
                <w:noProof/>
                <w:webHidden/>
                <w:szCs w:val="24"/>
              </w:rPr>
              <w:fldChar w:fldCharType="end"/>
            </w:r>
          </w:hyperlink>
        </w:p>
        <w:p w14:paraId="11FF90DB" w14:textId="5E2D39F3" w:rsidR="002057A4" w:rsidRPr="00FA3C61" w:rsidRDefault="003E29A7">
          <w:pPr>
            <w:pStyle w:val="TOC1"/>
            <w:tabs>
              <w:tab w:val="right" w:leader="dot" w:pos="9016"/>
            </w:tabs>
            <w:rPr>
              <w:rFonts w:eastAsiaTheme="minorEastAsia" w:cs="Arial"/>
              <w:noProof/>
              <w:szCs w:val="24"/>
              <w:lang w:eastAsia="en-GB"/>
            </w:rPr>
          </w:pPr>
          <w:hyperlink w:anchor="_Toc227863403" w:history="1">
            <w:r w:rsidR="002057A4" w:rsidRPr="00FA3C61">
              <w:rPr>
                <w:rStyle w:val="Hyperlink"/>
                <w:rFonts w:cs="Arial"/>
                <w:b/>
                <w:bCs/>
                <w:noProof/>
                <w:szCs w:val="24"/>
              </w:rPr>
              <w:t>Reference</w:t>
            </w:r>
            <w:r w:rsidR="002057A4" w:rsidRPr="00FA3C61">
              <w:rPr>
                <w:rFonts w:cs="Arial"/>
                <w:noProof/>
                <w:webHidden/>
                <w:szCs w:val="24"/>
              </w:rPr>
              <w:tab/>
            </w:r>
            <w:r w:rsidR="002057A4" w:rsidRPr="00FA3C61">
              <w:rPr>
                <w:rFonts w:cs="Arial"/>
                <w:noProof/>
                <w:webHidden/>
                <w:szCs w:val="24"/>
              </w:rPr>
              <w:fldChar w:fldCharType="begin"/>
            </w:r>
            <w:r w:rsidR="002057A4" w:rsidRPr="00FA3C61">
              <w:rPr>
                <w:rFonts w:cs="Arial"/>
                <w:noProof/>
                <w:webHidden/>
                <w:szCs w:val="24"/>
              </w:rPr>
              <w:instrText xml:space="preserve"> PAGEREF _Toc227863403 \h </w:instrText>
            </w:r>
            <w:r w:rsidR="002057A4" w:rsidRPr="00FA3C61">
              <w:rPr>
                <w:rFonts w:cs="Arial"/>
                <w:noProof/>
                <w:webHidden/>
                <w:szCs w:val="24"/>
              </w:rPr>
            </w:r>
            <w:r w:rsidR="002057A4" w:rsidRPr="00FA3C61">
              <w:rPr>
                <w:rFonts w:cs="Arial"/>
                <w:noProof/>
                <w:webHidden/>
                <w:szCs w:val="24"/>
              </w:rPr>
              <w:fldChar w:fldCharType="separate"/>
            </w:r>
            <w:r w:rsidR="002057A4" w:rsidRPr="00FA3C61">
              <w:rPr>
                <w:rFonts w:cs="Arial"/>
                <w:noProof/>
                <w:webHidden/>
                <w:szCs w:val="24"/>
              </w:rPr>
              <w:t>8</w:t>
            </w:r>
            <w:r w:rsidR="002057A4" w:rsidRPr="00FA3C61">
              <w:rPr>
                <w:rFonts w:cs="Arial"/>
                <w:noProof/>
                <w:webHidden/>
                <w:szCs w:val="24"/>
              </w:rPr>
              <w:fldChar w:fldCharType="end"/>
            </w:r>
          </w:hyperlink>
        </w:p>
        <w:p w14:paraId="10916127" w14:textId="081517C4" w:rsidR="002057A4" w:rsidRDefault="002057A4">
          <w:r w:rsidRPr="00FA3C61">
            <w:rPr>
              <w:rFonts w:cs="Arial"/>
              <w:b/>
              <w:bCs/>
              <w:szCs w:val="24"/>
            </w:rPr>
            <w:fldChar w:fldCharType="end"/>
          </w:r>
        </w:p>
      </w:sdtContent>
    </w:sdt>
    <w:p w14:paraId="386E19C2" w14:textId="77777777" w:rsidR="002057A4" w:rsidRDefault="002057A4" w:rsidP="00221174">
      <w:pPr>
        <w:pStyle w:val="Heading1"/>
        <w:rPr>
          <w:rFonts w:ascii="Arial" w:hAnsi="Arial" w:cs="Arial"/>
          <w:b/>
          <w:bCs/>
          <w:sz w:val="22"/>
          <w:szCs w:val="22"/>
        </w:rPr>
      </w:pPr>
    </w:p>
    <w:p w14:paraId="6D1A9670" w14:textId="77777777" w:rsidR="002057A4" w:rsidRDefault="002057A4">
      <w:pPr>
        <w:rPr>
          <w:rFonts w:eastAsiaTheme="majorEastAsia" w:cs="Arial"/>
          <w:b/>
          <w:bCs/>
          <w:color w:val="0F4761" w:themeColor="accent1" w:themeShade="BF"/>
          <w:sz w:val="22"/>
        </w:rPr>
      </w:pPr>
      <w:r>
        <w:rPr>
          <w:rFonts w:cs="Arial"/>
          <w:b/>
          <w:bCs/>
          <w:sz w:val="22"/>
        </w:rPr>
        <w:br w:type="page"/>
      </w:r>
      <w:bookmarkStart w:id="0" w:name="_GoBack"/>
      <w:bookmarkEnd w:id="0"/>
    </w:p>
    <w:p w14:paraId="52CD3207" w14:textId="05F13FA8" w:rsidR="00ED6031" w:rsidRPr="004104A8" w:rsidRDefault="00ED6031" w:rsidP="0079286B">
      <w:pPr>
        <w:pStyle w:val="Heading1"/>
        <w:spacing w:line="360" w:lineRule="auto"/>
        <w:rPr>
          <w:rFonts w:ascii="Arial" w:hAnsi="Arial" w:cs="Arial"/>
          <w:b/>
          <w:bCs/>
          <w:sz w:val="28"/>
          <w:szCs w:val="28"/>
        </w:rPr>
      </w:pPr>
      <w:bookmarkStart w:id="1" w:name="_Toc227863398"/>
      <w:r w:rsidRPr="004104A8">
        <w:rPr>
          <w:rFonts w:ascii="Arial" w:hAnsi="Arial" w:cs="Arial"/>
          <w:b/>
          <w:bCs/>
          <w:sz w:val="28"/>
          <w:szCs w:val="28"/>
        </w:rPr>
        <w:lastRenderedPageBreak/>
        <w:t>Introduction</w:t>
      </w:r>
      <w:bookmarkEnd w:id="1"/>
      <w:r w:rsidRPr="004104A8">
        <w:rPr>
          <w:rFonts w:ascii="Arial" w:hAnsi="Arial" w:cs="Arial"/>
          <w:b/>
          <w:bCs/>
          <w:sz w:val="28"/>
          <w:szCs w:val="28"/>
        </w:rPr>
        <w:t xml:space="preserve"> </w:t>
      </w:r>
    </w:p>
    <w:p w14:paraId="25051794" w14:textId="59E5594F" w:rsidR="00ED6031" w:rsidRPr="004104A8" w:rsidRDefault="00ED6031" w:rsidP="0079286B">
      <w:pPr>
        <w:spacing w:line="360" w:lineRule="auto"/>
        <w:rPr>
          <w:rFonts w:cs="Arial"/>
          <w:szCs w:val="24"/>
        </w:rPr>
      </w:pPr>
      <w:r w:rsidRPr="004104A8">
        <w:rPr>
          <w:rFonts w:cs="Arial"/>
          <w:szCs w:val="24"/>
        </w:rPr>
        <w:t xml:space="preserve">Effective practice in health and social care involves more than clinical knowledge alone. It requires professionals to communicate effectively, maintain </w:t>
      </w:r>
      <w:r w:rsidR="004E39B7" w:rsidRPr="004104A8">
        <w:rPr>
          <w:rFonts w:cs="Arial"/>
          <w:szCs w:val="24"/>
        </w:rPr>
        <w:t>accurate administrative systems</w:t>
      </w:r>
      <w:r w:rsidRPr="004104A8">
        <w:rPr>
          <w:rFonts w:cs="Arial"/>
          <w:szCs w:val="24"/>
        </w:rPr>
        <w:t xml:space="preserve"> and work collaboratively with others. These elements are especially important when supporting individuals with complex needs, such as Mr Ahmed, a 68-year-old stroke survivor who experiences communication difficulties and depends on multiple services. His case highlights how breakdowns in c</w:t>
      </w:r>
      <w:r w:rsidR="004E39B7" w:rsidRPr="004104A8">
        <w:rPr>
          <w:rFonts w:cs="Arial"/>
          <w:szCs w:val="24"/>
        </w:rPr>
        <w:t>ommunication, poor organisation</w:t>
      </w:r>
      <w:r w:rsidRPr="004104A8">
        <w:rPr>
          <w:rFonts w:cs="Arial"/>
          <w:szCs w:val="24"/>
        </w:rPr>
        <w:t xml:space="preserve"> and lack of coordination can negatively affect both patient safety and quality of care.</w:t>
      </w:r>
    </w:p>
    <w:p w14:paraId="216C7953" w14:textId="6B6113C5" w:rsidR="00ED6031" w:rsidRPr="004104A8" w:rsidRDefault="00ED6031" w:rsidP="0079286B">
      <w:pPr>
        <w:spacing w:line="360" w:lineRule="auto"/>
        <w:rPr>
          <w:rFonts w:cs="Arial"/>
          <w:szCs w:val="24"/>
        </w:rPr>
      </w:pPr>
      <w:r w:rsidRPr="004104A8">
        <w:rPr>
          <w:rFonts w:cs="Arial"/>
          <w:szCs w:val="24"/>
        </w:rPr>
        <w:t>This report critically examines three key areas of professional practice in relation to Mr Ahmed. Firstly, it explores the importance of effective communication, including the role of the Equality Act 2010. Secondly, it evaluates administrative skills and record keeping, with reference to the Data Protection Act 2018. Finally, it discusses collaborative working within multidisciplinary teams (MDTs), while considering both benefits and challenges. The discussion will link theory to practice to demonstrate an understanding of person-centred care.</w:t>
      </w:r>
    </w:p>
    <w:p w14:paraId="597730FB" w14:textId="443271C6" w:rsidR="00ED6031" w:rsidRPr="004104A8" w:rsidRDefault="00ED6031" w:rsidP="0079286B">
      <w:pPr>
        <w:pStyle w:val="Heading1"/>
        <w:numPr>
          <w:ilvl w:val="0"/>
          <w:numId w:val="1"/>
        </w:numPr>
        <w:spacing w:line="360" w:lineRule="auto"/>
        <w:rPr>
          <w:rFonts w:ascii="Arial" w:hAnsi="Arial" w:cs="Arial"/>
          <w:b/>
          <w:bCs/>
          <w:sz w:val="28"/>
          <w:szCs w:val="24"/>
        </w:rPr>
      </w:pPr>
      <w:bookmarkStart w:id="2" w:name="_Toc227863399"/>
      <w:r w:rsidRPr="004104A8">
        <w:rPr>
          <w:rFonts w:ascii="Arial" w:hAnsi="Arial" w:cs="Arial"/>
          <w:b/>
          <w:bCs/>
          <w:sz w:val="28"/>
          <w:szCs w:val="24"/>
        </w:rPr>
        <w:t>Importance of Effective Communication</w:t>
      </w:r>
      <w:bookmarkEnd w:id="2"/>
      <w:r w:rsidRPr="004104A8">
        <w:rPr>
          <w:rFonts w:ascii="Arial" w:hAnsi="Arial" w:cs="Arial"/>
          <w:b/>
          <w:bCs/>
          <w:sz w:val="28"/>
          <w:szCs w:val="24"/>
        </w:rPr>
        <w:t xml:space="preserve"> </w:t>
      </w:r>
    </w:p>
    <w:p w14:paraId="353B6F88" w14:textId="77777777" w:rsidR="00F61E24" w:rsidRPr="0079286B" w:rsidRDefault="00F61E24" w:rsidP="0079286B">
      <w:pPr>
        <w:spacing w:line="360" w:lineRule="auto"/>
        <w:rPr>
          <w:sz w:val="22"/>
        </w:rPr>
      </w:pPr>
    </w:p>
    <w:p w14:paraId="5D8480E0" w14:textId="77777777" w:rsidR="003E5366" w:rsidRPr="00FA3C61" w:rsidRDefault="003E5366" w:rsidP="0079286B">
      <w:pPr>
        <w:spacing w:line="360" w:lineRule="auto"/>
        <w:rPr>
          <w:rFonts w:cs="Arial"/>
        </w:rPr>
      </w:pPr>
      <w:r w:rsidRPr="00FA3C61">
        <w:rPr>
          <w:rFonts w:cs="Arial"/>
        </w:rPr>
        <w:t>Effective communication is widely recognised as a foundation of safe and person-centred care, particularly in complex cases such as Mr Ahmed’s (Health Education England, 2017). In his situation, communication is affected by language barriers as well as the cognitive and physical effects of his stroke. These factors increase the risk of misunderstanding, which can directly impact decision-making and the quality of care he receives. When communication is unclear, it may lead to incorrect treatment, reduced patient involvement, and poorer outcomes, making it essential that communication is adapted to meet his needs.</w:t>
      </w:r>
    </w:p>
    <w:p w14:paraId="3F50F01E" w14:textId="0F71EED0" w:rsidR="003E5366" w:rsidRPr="00FA3C61" w:rsidRDefault="003E5366" w:rsidP="0079286B">
      <w:pPr>
        <w:spacing w:line="360" w:lineRule="auto"/>
        <w:rPr>
          <w:rFonts w:cs="Arial"/>
          <w:szCs w:val="24"/>
        </w:rPr>
      </w:pPr>
      <w:r w:rsidRPr="00FA3C61">
        <w:rPr>
          <w:rFonts w:cs="Arial"/>
        </w:rPr>
        <w:t>The Equality Act 2010 places a legal responsibility on healthcare providers to make reasonable adjustments to ensure individuals are not disadvantaged. In practice, this means adapting communication methods for Mr Ahmed. Although his wife currently helps interpret, relying solely on family members can be problematic. Research shows that informal interpreting may result in inaccur</w:t>
      </w:r>
      <w:r w:rsidR="004E39B7" w:rsidRPr="00FA3C61">
        <w:rPr>
          <w:rFonts w:cs="Arial"/>
        </w:rPr>
        <w:t xml:space="preserve">acies, reduced confidentiality </w:t>
      </w:r>
      <w:r w:rsidRPr="00FA3C61">
        <w:rPr>
          <w:rFonts w:cs="Arial"/>
          <w:szCs w:val="24"/>
        </w:rPr>
        <w:lastRenderedPageBreak/>
        <w:t xml:space="preserve">and potential bias (Flores, 2005; Bischoff and </w:t>
      </w:r>
      <w:proofErr w:type="spellStart"/>
      <w:r w:rsidRPr="00FA3C61">
        <w:rPr>
          <w:rFonts w:cs="Arial"/>
          <w:szCs w:val="24"/>
        </w:rPr>
        <w:t>Hudelson</w:t>
      </w:r>
      <w:proofErr w:type="spellEnd"/>
      <w:r w:rsidRPr="00FA3C61">
        <w:rPr>
          <w:rFonts w:cs="Arial"/>
          <w:szCs w:val="24"/>
        </w:rPr>
        <w:t>, 2010). Family members may also filter information, limiting Mr Ahmed’s ability to express his views. Therefore, trained interpreters or communication aids would be more appropriate, although access to these resources may be inconsistent.</w:t>
      </w:r>
    </w:p>
    <w:p w14:paraId="0DAE10C3" w14:textId="3BED486B" w:rsidR="00973E5E" w:rsidRPr="00FA3C61" w:rsidRDefault="00973E5E" w:rsidP="0079286B">
      <w:pPr>
        <w:spacing w:line="360" w:lineRule="auto"/>
        <w:rPr>
          <w:rFonts w:cs="Arial"/>
          <w:szCs w:val="24"/>
        </w:rPr>
      </w:pPr>
      <w:r w:rsidRPr="00FA3C61">
        <w:rPr>
          <w:rFonts w:cs="Arial"/>
          <w:szCs w:val="24"/>
        </w:rPr>
        <w:t xml:space="preserve">The </w:t>
      </w:r>
      <w:proofErr w:type="spellStart"/>
      <w:r w:rsidRPr="00FA3C61">
        <w:rPr>
          <w:rFonts w:cs="Arial"/>
          <w:szCs w:val="24"/>
        </w:rPr>
        <w:t>Berlo</w:t>
      </w:r>
      <w:proofErr w:type="spellEnd"/>
      <w:r w:rsidRPr="00FA3C61">
        <w:rPr>
          <w:rFonts w:cs="Arial"/>
          <w:szCs w:val="24"/>
        </w:rPr>
        <w:t xml:space="preserve"> SMCR model (</w:t>
      </w:r>
      <w:proofErr w:type="spellStart"/>
      <w:r w:rsidR="00550B25" w:rsidRPr="00FA3C61">
        <w:rPr>
          <w:rFonts w:cs="Arial"/>
          <w:szCs w:val="24"/>
        </w:rPr>
        <w:t>Berlo</w:t>
      </w:r>
      <w:proofErr w:type="spellEnd"/>
      <w:r w:rsidR="00550B25" w:rsidRPr="00FA3C61">
        <w:rPr>
          <w:rFonts w:cs="Arial"/>
          <w:szCs w:val="24"/>
        </w:rPr>
        <w:t xml:space="preserve">, </w:t>
      </w:r>
      <w:r w:rsidRPr="00FA3C61">
        <w:rPr>
          <w:rFonts w:cs="Arial"/>
          <w:szCs w:val="24"/>
        </w:rPr>
        <w:t xml:space="preserve">1960) provides a useful way to understand these communication challenges. It focuses on four key elements: the sender, message, </w:t>
      </w:r>
      <w:r w:rsidR="004E39B7" w:rsidRPr="00FA3C61">
        <w:rPr>
          <w:rFonts w:cs="Arial"/>
          <w:szCs w:val="24"/>
        </w:rPr>
        <w:t xml:space="preserve">channel </w:t>
      </w:r>
      <w:r w:rsidRPr="00FA3C61">
        <w:rPr>
          <w:rFonts w:cs="Arial"/>
          <w:szCs w:val="24"/>
        </w:rPr>
        <w:t xml:space="preserve">and receiver. In Mr Ahmed’s case, healthcare </w:t>
      </w:r>
      <w:r w:rsidR="004E39B7" w:rsidRPr="00FA3C61">
        <w:rPr>
          <w:rFonts w:cs="Arial"/>
          <w:szCs w:val="24"/>
        </w:rPr>
        <w:t>professionals act as the sender</w:t>
      </w:r>
      <w:r w:rsidRPr="00FA3C61">
        <w:rPr>
          <w:rFonts w:cs="Arial"/>
          <w:szCs w:val="24"/>
        </w:rPr>
        <w:t xml:space="preserve"> but factors such as languag</w:t>
      </w:r>
      <w:r w:rsidR="004E39B7" w:rsidRPr="00FA3C61">
        <w:rPr>
          <w:rFonts w:cs="Arial"/>
          <w:szCs w:val="24"/>
        </w:rPr>
        <w:t xml:space="preserve">e differences, health literacy </w:t>
      </w:r>
      <w:r w:rsidRPr="00FA3C61">
        <w:rPr>
          <w:rFonts w:cs="Arial"/>
          <w:szCs w:val="24"/>
        </w:rPr>
        <w:t>and cultural background may affect how the message is delivered. The channel</w:t>
      </w:r>
      <w:r w:rsidR="001F521F" w:rsidRPr="00FA3C61">
        <w:rPr>
          <w:rFonts w:cs="Arial"/>
          <w:szCs w:val="24"/>
        </w:rPr>
        <w:t xml:space="preserve"> </w:t>
      </w:r>
      <w:r w:rsidRPr="00FA3C61">
        <w:rPr>
          <w:rFonts w:cs="Arial"/>
          <w:szCs w:val="24"/>
        </w:rPr>
        <w:t>whether</w:t>
      </w:r>
      <w:r w:rsidR="001F521F" w:rsidRPr="00FA3C61">
        <w:rPr>
          <w:rFonts w:cs="Arial"/>
          <w:szCs w:val="24"/>
        </w:rPr>
        <w:t xml:space="preserve"> it is</w:t>
      </w:r>
      <w:r w:rsidR="004E39B7" w:rsidRPr="00FA3C61">
        <w:rPr>
          <w:rFonts w:cs="Arial"/>
          <w:szCs w:val="24"/>
        </w:rPr>
        <w:t xml:space="preserve"> verbal, non-verbal </w:t>
      </w:r>
      <w:r w:rsidRPr="00FA3C61">
        <w:rPr>
          <w:rFonts w:cs="Arial"/>
          <w:szCs w:val="24"/>
        </w:rPr>
        <w:t>or written</w:t>
      </w:r>
      <w:r w:rsidR="001F521F" w:rsidRPr="00FA3C61">
        <w:rPr>
          <w:rFonts w:cs="Arial"/>
          <w:szCs w:val="24"/>
        </w:rPr>
        <w:t xml:space="preserve">, </w:t>
      </w:r>
      <w:r w:rsidRPr="00FA3C61">
        <w:rPr>
          <w:rFonts w:cs="Arial"/>
          <w:szCs w:val="24"/>
        </w:rPr>
        <w:t>also plays a significant role, particularly as Mr Ahmed may rely more on visual or non-verbal cues due to his stroke. As the receiver, his ability to interpret the message may be influenced by cognitive impairment or emotional distress. While the model helps break down communication into clear components, it can be criticised for being too linear and not fully reflecting the two-way nature of communication in healthcare settings.</w:t>
      </w:r>
    </w:p>
    <w:p w14:paraId="0B2E6D3E" w14:textId="6791A4AB" w:rsidR="003E5366" w:rsidRPr="00FA3C61" w:rsidRDefault="003E5366" w:rsidP="0079286B">
      <w:pPr>
        <w:spacing w:line="360" w:lineRule="auto"/>
        <w:rPr>
          <w:rFonts w:cs="Arial"/>
          <w:szCs w:val="24"/>
        </w:rPr>
      </w:pPr>
      <w:r w:rsidRPr="00FA3C61">
        <w:rPr>
          <w:rFonts w:cs="Arial"/>
          <w:szCs w:val="24"/>
        </w:rPr>
        <w:t xml:space="preserve">In practice, several strategies can improve communication. Using plain language, avoiding jargon, and incorporating visual </w:t>
      </w:r>
      <w:r w:rsidR="004E39B7" w:rsidRPr="00FA3C61">
        <w:rPr>
          <w:rFonts w:cs="Arial"/>
          <w:szCs w:val="24"/>
        </w:rPr>
        <w:t xml:space="preserve">aids can support understanding </w:t>
      </w:r>
      <w:r w:rsidRPr="00FA3C61">
        <w:rPr>
          <w:rFonts w:cs="Arial"/>
          <w:szCs w:val="24"/>
        </w:rPr>
        <w:t>while non-verbal communication is particularly important for individuals with limited speech. Techniques such as “teach-back” can help confirm understanding (NHS England, 2019). However, these approaches require time and consistency, which may be difficult to maintain in busy healthcare settings, highlighting a gap between theory and practice.</w:t>
      </w:r>
    </w:p>
    <w:p w14:paraId="0F218D09" w14:textId="78459ECB" w:rsidR="003E5366" w:rsidRPr="00FA3C61" w:rsidRDefault="003E5366" w:rsidP="0079286B">
      <w:pPr>
        <w:spacing w:line="360" w:lineRule="auto"/>
        <w:rPr>
          <w:rFonts w:cs="Arial"/>
          <w:szCs w:val="24"/>
        </w:rPr>
      </w:pPr>
      <w:r w:rsidRPr="00FA3C61">
        <w:rPr>
          <w:rFonts w:cs="Arial"/>
          <w:szCs w:val="24"/>
        </w:rPr>
        <w:t>The Mental Capacity Act 2005 reinforces the importance of involving individuals in decisions about their care. Despite his communication challenges, Mr Ahmed should be supported to express his preferences. In practice, professionals may rely more on family members due to time pressures or assumptions about capacity.</w:t>
      </w:r>
    </w:p>
    <w:p w14:paraId="152C5DE0" w14:textId="34BC6322" w:rsidR="003E5366" w:rsidRPr="00FA3C61" w:rsidRDefault="003E5366" w:rsidP="0079286B">
      <w:pPr>
        <w:spacing w:line="360" w:lineRule="auto"/>
        <w:rPr>
          <w:rFonts w:cs="Arial"/>
          <w:szCs w:val="24"/>
        </w:rPr>
      </w:pPr>
      <w:r w:rsidRPr="00FA3C61">
        <w:rPr>
          <w:rFonts w:cs="Arial"/>
          <w:szCs w:val="24"/>
        </w:rPr>
        <w:t>Poor communication can lead to serious consequences. The missed medication incident suggests a breakdown in communication between professionals or with the patient. Communication failures are a major cause of patient safety incidents (</w:t>
      </w:r>
      <w:r w:rsidR="004E39B7" w:rsidRPr="00FA3C61">
        <w:rPr>
          <w:rFonts w:cs="Arial"/>
          <w:szCs w:val="24"/>
        </w:rPr>
        <w:t>Care Quality Commission, 2021), often</w:t>
      </w:r>
      <w:r w:rsidRPr="00FA3C61">
        <w:rPr>
          <w:rFonts w:cs="Arial"/>
          <w:szCs w:val="24"/>
        </w:rPr>
        <w:t xml:space="preserve"> le</w:t>
      </w:r>
      <w:r w:rsidR="004E39B7" w:rsidRPr="00FA3C61">
        <w:rPr>
          <w:rFonts w:cs="Arial"/>
          <w:szCs w:val="24"/>
        </w:rPr>
        <w:t xml:space="preserve">ading to delays, reduced trust </w:t>
      </w:r>
      <w:r w:rsidRPr="00FA3C61">
        <w:rPr>
          <w:rFonts w:cs="Arial"/>
          <w:szCs w:val="24"/>
        </w:rPr>
        <w:t>and poorer outcomes.</w:t>
      </w:r>
    </w:p>
    <w:p w14:paraId="19E83FDE" w14:textId="62483811" w:rsidR="00ED6031" w:rsidRPr="00FA3C61" w:rsidRDefault="003E5366" w:rsidP="0079286B">
      <w:pPr>
        <w:spacing w:line="360" w:lineRule="auto"/>
        <w:rPr>
          <w:rFonts w:cs="Arial"/>
          <w:szCs w:val="24"/>
        </w:rPr>
      </w:pPr>
      <w:r w:rsidRPr="00FA3C61">
        <w:rPr>
          <w:rFonts w:cs="Arial"/>
          <w:szCs w:val="24"/>
        </w:rPr>
        <w:lastRenderedPageBreak/>
        <w:t>Overall, while effec</w:t>
      </w:r>
      <w:r w:rsidR="004E39B7" w:rsidRPr="00FA3C61">
        <w:rPr>
          <w:rFonts w:cs="Arial"/>
          <w:szCs w:val="24"/>
        </w:rPr>
        <w:t>tive communication is essential. It</w:t>
      </w:r>
      <w:r w:rsidRPr="00FA3C61">
        <w:rPr>
          <w:rFonts w:cs="Arial"/>
          <w:szCs w:val="24"/>
        </w:rPr>
        <w:t>s success depends on how well professionals adapt their approach to individual needs within real-world constraints.</w:t>
      </w:r>
    </w:p>
    <w:p w14:paraId="7DE6D9FF" w14:textId="22328A4D" w:rsidR="00ED6031" w:rsidRPr="00FA3C61" w:rsidRDefault="00ED6031" w:rsidP="0079286B">
      <w:pPr>
        <w:pStyle w:val="Heading1"/>
        <w:numPr>
          <w:ilvl w:val="0"/>
          <w:numId w:val="1"/>
        </w:numPr>
        <w:spacing w:line="360" w:lineRule="auto"/>
        <w:rPr>
          <w:rFonts w:ascii="Arial" w:hAnsi="Arial" w:cs="Arial"/>
          <w:b/>
          <w:bCs/>
          <w:sz w:val="28"/>
          <w:szCs w:val="22"/>
        </w:rPr>
      </w:pPr>
      <w:bookmarkStart w:id="3" w:name="_Toc227863400"/>
      <w:r w:rsidRPr="00FA3C61">
        <w:rPr>
          <w:rFonts w:ascii="Arial" w:hAnsi="Arial" w:cs="Arial"/>
          <w:b/>
          <w:bCs/>
          <w:sz w:val="28"/>
          <w:szCs w:val="22"/>
        </w:rPr>
        <w:t>Importance of Administrative Skills and Record Keeping</w:t>
      </w:r>
      <w:bookmarkEnd w:id="3"/>
      <w:r w:rsidRPr="00FA3C61">
        <w:rPr>
          <w:rFonts w:ascii="Arial" w:hAnsi="Arial" w:cs="Arial"/>
          <w:b/>
          <w:bCs/>
          <w:sz w:val="28"/>
          <w:szCs w:val="22"/>
        </w:rPr>
        <w:t xml:space="preserve"> </w:t>
      </w:r>
    </w:p>
    <w:p w14:paraId="1A07396B" w14:textId="77777777" w:rsidR="00533CCB" w:rsidRPr="0079286B" w:rsidRDefault="00533CCB" w:rsidP="0079286B">
      <w:pPr>
        <w:pStyle w:val="ListParagraph"/>
        <w:spacing w:line="360" w:lineRule="auto"/>
        <w:rPr>
          <w:sz w:val="22"/>
        </w:rPr>
      </w:pPr>
    </w:p>
    <w:p w14:paraId="1BA2C25B" w14:textId="77777777" w:rsidR="00F40CB5" w:rsidRPr="00FA3C61" w:rsidRDefault="00F40CB5" w:rsidP="0079286B">
      <w:pPr>
        <w:spacing w:line="360" w:lineRule="auto"/>
        <w:rPr>
          <w:rFonts w:cs="Arial"/>
        </w:rPr>
      </w:pPr>
      <w:r w:rsidRPr="00FA3C61">
        <w:rPr>
          <w:rFonts w:cs="Arial"/>
        </w:rPr>
        <w:t>Administrative skills play a crucial role in ensuring safe and effective care, although they are often overlooked in practice. In Mr Ahmed’s case, the missed home visit and delayed medication clearly show how poor organisation can create significant risks. This demonstrates that administrative errors are not minor issues but can directly affect patient safety and wellbeing.</w:t>
      </w:r>
    </w:p>
    <w:p w14:paraId="4E06CD50" w14:textId="3B428E90" w:rsidR="00F40CB5" w:rsidRPr="00FA3C61" w:rsidRDefault="00F40CB5" w:rsidP="0079286B">
      <w:pPr>
        <w:spacing w:line="360" w:lineRule="auto"/>
        <w:rPr>
          <w:rFonts w:cs="Arial"/>
        </w:rPr>
      </w:pPr>
      <w:r w:rsidRPr="00FA3C61">
        <w:rPr>
          <w:rFonts w:cs="Arial"/>
        </w:rPr>
        <w:t>Accurate record keeping is essential for maintaining continuity of care, particularly when multiple professionals are involved (Nursing and Midwifery Council, 2018). Mr Ahmed receives support from several services, making clear and timely documentation especially important. If rec</w:t>
      </w:r>
      <w:r w:rsidR="004E39B7" w:rsidRPr="00FA3C61">
        <w:rPr>
          <w:rFonts w:cs="Arial"/>
        </w:rPr>
        <w:t xml:space="preserve">ords are incomplete or delayed </w:t>
      </w:r>
      <w:r w:rsidRPr="00FA3C61">
        <w:rPr>
          <w:rFonts w:cs="Arial"/>
        </w:rPr>
        <w:t>professionals may assume that care has been delivered when it has not. This can lead to missed treatments and gaps in care. In addition, poor documentation makes it harder to identify recurring issues, limiting opportunities to improve practice and prevent future errors.</w:t>
      </w:r>
    </w:p>
    <w:p w14:paraId="75FF4F00" w14:textId="0C804690" w:rsidR="00F40CB5" w:rsidRPr="00FA3C61" w:rsidRDefault="00F40CB5" w:rsidP="0079286B">
      <w:pPr>
        <w:spacing w:line="360" w:lineRule="auto"/>
        <w:rPr>
          <w:rFonts w:cs="Arial"/>
        </w:rPr>
      </w:pPr>
      <w:r w:rsidRPr="00FA3C61">
        <w:rPr>
          <w:rFonts w:cs="Arial"/>
        </w:rPr>
        <w:t>The Data Protection Act 2018 provides a legal framework for</w:t>
      </w:r>
      <w:r w:rsidR="004E39B7" w:rsidRPr="00FA3C61">
        <w:rPr>
          <w:rFonts w:cs="Arial"/>
        </w:rPr>
        <w:t xml:space="preserve"> managing personal information </w:t>
      </w:r>
      <w:r w:rsidRPr="00FA3C61">
        <w:rPr>
          <w:rFonts w:cs="Arial"/>
        </w:rPr>
        <w:t>ensuring that data is handled securely while remaining accessible to relevant professionals. However, there can be tension between maintaining confidentiality and enabling effective information sharing. For example, overly cautious data protection practices may restrict</w:t>
      </w:r>
      <w:r w:rsidR="004E39B7" w:rsidRPr="00FA3C61">
        <w:rPr>
          <w:rFonts w:cs="Arial"/>
        </w:rPr>
        <w:t xml:space="preserve"> communication between services</w:t>
      </w:r>
      <w:r w:rsidRPr="00FA3C61">
        <w:rPr>
          <w:rFonts w:cs="Arial"/>
        </w:rPr>
        <w:t xml:space="preserve"> which could negatively impact patient care. This suggests that professionals must balance legal responsibilities with the practical need to share information appropriately.</w:t>
      </w:r>
    </w:p>
    <w:p w14:paraId="5E86A424" w14:textId="7980ED4B" w:rsidR="00F40CB5" w:rsidRPr="00FA3C61" w:rsidRDefault="00F40CB5" w:rsidP="0079286B">
      <w:pPr>
        <w:spacing w:line="360" w:lineRule="auto"/>
        <w:rPr>
          <w:rFonts w:cs="Arial"/>
        </w:rPr>
      </w:pPr>
      <w:r w:rsidRPr="00FA3C61">
        <w:rPr>
          <w:rFonts w:cs="Arial"/>
        </w:rPr>
        <w:t xml:space="preserve">Professional standards emphasise that record keeping should be accurate, clear, and completed promptly (Nursing and Midwifery Council, 2018). In Mr Ahmed’s situation, documenting the missed visit immediately would have allowed for quicker intervention and reduced potential harm. However, </w:t>
      </w:r>
      <w:r w:rsidR="00571D3C" w:rsidRPr="00FA3C61">
        <w:rPr>
          <w:rFonts w:cs="Arial"/>
        </w:rPr>
        <w:t>heavy</w:t>
      </w:r>
      <w:r w:rsidRPr="00FA3C61">
        <w:rPr>
          <w:rFonts w:cs="Arial"/>
        </w:rPr>
        <w:t xml:space="preserve"> workloads and time pressures can delay documentation, increasing the likelihood of errors. This </w:t>
      </w:r>
      <w:r w:rsidRPr="00FA3C61">
        <w:rPr>
          <w:rFonts w:cs="Arial"/>
        </w:rPr>
        <w:lastRenderedPageBreak/>
        <w:t>highlights a gap between expected standards and what is achievable in busy healthcare environments.</w:t>
      </w:r>
    </w:p>
    <w:p w14:paraId="6E53DDB4" w14:textId="77777777" w:rsidR="00F40CB5" w:rsidRPr="00FA3C61" w:rsidRDefault="00F40CB5" w:rsidP="0079286B">
      <w:pPr>
        <w:spacing w:line="360" w:lineRule="auto"/>
        <w:rPr>
          <w:rFonts w:cs="Arial"/>
        </w:rPr>
      </w:pPr>
      <w:r w:rsidRPr="00FA3C61">
        <w:rPr>
          <w:rFonts w:cs="Arial"/>
        </w:rPr>
        <w:t>The Care Quality Commission (2021) also identifies poor record keeping as a sign of wider organisational issues, such as inadequate training or ineffective systems. This indicates that responsibility does not rest solely with individual staff members but also with the organisation. Without proper support, even well-trained professionals may struggle to maintain high standards of documentation.</w:t>
      </w:r>
    </w:p>
    <w:p w14:paraId="226D406C" w14:textId="77777777" w:rsidR="00F40CB5" w:rsidRPr="00FA3C61" w:rsidRDefault="00F40CB5" w:rsidP="0079286B">
      <w:pPr>
        <w:spacing w:line="360" w:lineRule="auto"/>
        <w:rPr>
          <w:rFonts w:cs="Arial"/>
        </w:rPr>
      </w:pPr>
      <w:r w:rsidRPr="00FA3C61">
        <w:rPr>
          <w:rFonts w:cs="Arial"/>
        </w:rPr>
        <w:t>Technology, such as electronic health records (EHRs), can improve administrative efficiency by enabling real-time updates and better communication between services (NHS Digital, 2020). However, challenges such as insufficient training, technical failures, or incompatible systems can limit their effectiveness. As a result, technology alone cannot resolve administrative problems without proper implementation and support.</w:t>
      </w:r>
    </w:p>
    <w:p w14:paraId="79A62DCD" w14:textId="6244EB89" w:rsidR="00E07B9B" w:rsidRPr="00FA3C61" w:rsidRDefault="00F40CB5" w:rsidP="0079286B">
      <w:pPr>
        <w:spacing w:line="360" w:lineRule="auto"/>
        <w:rPr>
          <w:rFonts w:cs="Arial"/>
        </w:rPr>
      </w:pPr>
      <w:r w:rsidRPr="00FA3C61">
        <w:rPr>
          <w:rFonts w:cs="Arial"/>
        </w:rPr>
        <w:t>In Mr Ahmed’s case, stronger administrative systems, such as automated alerts for missed visits, could have reduced the risk of error. This highlights how effective administration supports not only organisation but also patient safety. Overall, administrative skills are essential, but their success depends on both individual competence and the strength of organisational systems in practice.</w:t>
      </w:r>
    </w:p>
    <w:p w14:paraId="69B01989" w14:textId="07F94079" w:rsidR="00ED6031" w:rsidRPr="00FA3C61" w:rsidRDefault="00ED6031" w:rsidP="0079286B">
      <w:pPr>
        <w:pStyle w:val="Heading1"/>
        <w:numPr>
          <w:ilvl w:val="0"/>
          <w:numId w:val="1"/>
        </w:numPr>
        <w:spacing w:line="360" w:lineRule="auto"/>
        <w:rPr>
          <w:rFonts w:ascii="Arial" w:hAnsi="Arial" w:cs="Arial"/>
          <w:b/>
          <w:bCs/>
          <w:sz w:val="28"/>
          <w:szCs w:val="22"/>
        </w:rPr>
      </w:pPr>
      <w:bookmarkStart w:id="4" w:name="_Toc227863401"/>
      <w:r w:rsidRPr="00FA3C61">
        <w:rPr>
          <w:rFonts w:ascii="Arial" w:hAnsi="Arial" w:cs="Arial"/>
          <w:b/>
          <w:bCs/>
          <w:sz w:val="28"/>
          <w:szCs w:val="22"/>
        </w:rPr>
        <w:t>Importance of Collaborative Working</w:t>
      </w:r>
      <w:bookmarkEnd w:id="4"/>
      <w:r w:rsidRPr="00FA3C61">
        <w:rPr>
          <w:rFonts w:ascii="Arial" w:hAnsi="Arial" w:cs="Arial"/>
          <w:b/>
          <w:bCs/>
          <w:sz w:val="28"/>
          <w:szCs w:val="22"/>
        </w:rPr>
        <w:t xml:space="preserve"> </w:t>
      </w:r>
    </w:p>
    <w:p w14:paraId="0F4E797B" w14:textId="77777777" w:rsidR="00A71BF0" w:rsidRPr="0079286B" w:rsidRDefault="00A71BF0" w:rsidP="0079286B">
      <w:pPr>
        <w:spacing w:line="360" w:lineRule="auto"/>
        <w:rPr>
          <w:sz w:val="22"/>
        </w:rPr>
      </w:pPr>
    </w:p>
    <w:p w14:paraId="4D33F7C5" w14:textId="6C19E536" w:rsidR="004A297F" w:rsidRPr="00FA3C61" w:rsidRDefault="004A297F" w:rsidP="0079286B">
      <w:pPr>
        <w:spacing w:line="360" w:lineRule="auto"/>
        <w:rPr>
          <w:rFonts w:cs="Arial"/>
        </w:rPr>
      </w:pPr>
      <w:r w:rsidRPr="00FA3C61">
        <w:rPr>
          <w:rFonts w:cs="Arial"/>
        </w:rPr>
        <w:t>Collaborative working is essential for delivering holistic and effective care, particularly for individuals with complex needs such as Mr Ahmed. His care involves a multidisciplinary team (MDT), includin</w:t>
      </w:r>
      <w:r w:rsidR="004E39B7" w:rsidRPr="00FA3C61">
        <w:rPr>
          <w:rFonts w:cs="Arial"/>
        </w:rPr>
        <w:t xml:space="preserve">g a GP, district nurse, carers </w:t>
      </w:r>
      <w:r w:rsidRPr="00FA3C61">
        <w:rPr>
          <w:rFonts w:cs="Arial"/>
        </w:rPr>
        <w:t>and a speech and language therapist. While each professional contributes specialised knowledge, the overall quality of care depends on how well they coordinate their efforts. If collaboration is weak, care can become fragmented, increasing the risk that important needs are overlooked.</w:t>
      </w:r>
    </w:p>
    <w:p w14:paraId="5DB52DBC" w14:textId="2DDB9CB2" w:rsidR="004A297F" w:rsidRPr="00FA3C61" w:rsidRDefault="004A297F" w:rsidP="0079286B">
      <w:pPr>
        <w:spacing w:line="360" w:lineRule="auto"/>
        <w:rPr>
          <w:rFonts w:cs="Arial"/>
        </w:rPr>
      </w:pPr>
      <w:r w:rsidRPr="00FA3C61">
        <w:rPr>
          <w:rFonts w:cs="Arial"/>
        </w:rPr>
        <w:t>The MDT approach enables a more comprehensive understanding of patient needs by bringing together different areas of expertise (NHS England, 2019). For example, the speech and language therapist focuses</w:t>
      </w:r>
      <w:r w:rsidR="004E39B7" w:rsidRPr="00FA3C61">
        <w:rPr>
          <w:rFonts w:cs="Arial"/>
        </w:rPr>
        <w:t xml:space="preserve"> on communication difficulties </w:t>
      </w:r>
      <w:r w:rsidRPr="00FA3C61">
        <w:rPr>
          <w:rFonts w:cs="Arial"/>
        </w:rPr>
        <w:t xml:space="preserve">while the </w:t>
      </w:r>
      <w:r w:rsidRPr="00FA3C61">
        <w:rPr>
          <w:rFonts w:cs="Arial"/>
        </w:rPr>
        <w:lastRenderedPageBreak/>
        <w:t>district nurse addresses physical health concerns. However, this approach is only effective when communication between team members is consistent and clear. Without effective information sharing, care planning may be incomplete or based on inaccurate assumptions.</w:t>
      </w:r>
    </w:p>
    <w:p w14:paraId="0AA87817" w14:textId="70A00BE6" w:rsidR="004A297F" w:rsidRPr="00FA3C61" w:rsidRDefault="004A297F" w:rsidP="0079286B">
      <w:pPr>
        <w:spacing w:line="360" w:lineRule="auto"/>
        <w:rPr>
          <w:rFonts w:cs="Arial"/>
        </w:rPr>
      </w:pPr>
      <w:r w:rsidRPr="00FA3C61">
        <w:rPr>
          <w:rFonts w:cs="Arial"/>
        </w:rPr>
        <w:t>Collaborative working can improve decision-making by incorporating multiple perspectives, but it is not without challenges. Issues such as un</w:t>
      </w:r>
      <w:r w:rsidR="004E39B7" w:rsidRPr="00FA3C61">
        <w:rPr>
          <w:rFonts w:cs="Arial"/>
        </w:rPr>
        <w:t>clear roles, poor communication</w:t>
      </w:r>
      <w:r w:rsidRPr="00FA3C61">
        <w:rPr>
          <w:rFonts w:cs="Arial"/>
        </w:rPr>
        <w:t xml:space="preserve"> and organisational differences can limit its effectiveness (Glasby and Dickinson, 2014). In some situations, professionals may work more independently than collaboratively, which can lead to duplicated tasks or gaps in responsibility. This reduces efficiency and may negatively affect patient outcomes.</w:t>
      </w:r>
    </w:p>
    <w:p w14:paraId="7C13C851" w14:textId="77777777" w:rsidR="004A297F" w:rsidRPr="00FA3C61" w:rsidRDefault="004A297F" w:rsidP="0079286B">
      <w:pPr>
        <w:spacing w:line="360" w:lineRule="auto"/>
        <w:rPr>
          <w:rFonts w:cs="Arial"/>
        </w:rPr>
      </w:pPr>
      <w:r w:rsidRPr="00FA3C61">
        <w:rPr>
          <w:rFonts w:cs="Arial"/>
        </w:rPr>
        <w:t>In Mr Ahmed’s case, the missed visit suggests a breakdown in coordination between services, highlighting the importance of shared care plans and regular communication. Digital systems can support collaboration by enabling information sharing, although differences in technology across organisations may create barriers.</w:t>
      </w:r>
    </w:p>
    <w:p w14:paraId="411361BD" w14:textId="4E88C7DA" w:rsidR="00E07B9B" w:rsidRPr="00FA3C61" w:rsidRDefault="00FA3C61" w:rsidP="0079286B">
      <w:pPr>
        <w:spacing w:line="360" w:lineRule="auto"/>
        <w:rPr>
          <w:rFonts w:cs="Arial"/>
        </w:rPr>
      </w:pPr>
      <w:r>
        <w:rPr>
          <w:rFonts w:cs="Arial"/>
        </w:rPr>
        <w:t>Strategies such as in</w:t>
      </w:r>
      <w:r w:rsidRPr="00FA3C61">
        <w:rPr>
          <w:rFonts w:cs="Arial"/>
        </w:rPr>
        <w:t>ner</w:t>
      </w:r>
      <w:r>
        <w:rPr>
          <w:rFonts w:cs="Arial"/>
        </w:rPr>
        <w:t xml:space="preserve"> </w:t>
      </w:r>
      <w:r w:rsidR="004A297F" w:rsidRPr="00FA3C61">
        <w:rPr>
          <w:rFonts w:cs="Arial"/>
        </w:rPr>
        <w:t>professional training, integr</w:t>
      </w:r>
      <w:r w:rsidR="004E39B7" w:rsidRPr="00FA3C61">
        <w:rPr>
          <w:rFonts w:cs="Arial"/>
        </w:rPr>
        <w:t>ated care systems</w:t>
      </w:r>
      <w:r w:rsidR="004A297F" w:rsidRPr="00FA3C61">
        <w:rPr>
          <w:rFonts w:cs="Arial"/>
        </w:rPr>
        <w:t xml:space="preserve"> and clearer role definitions can strengthen teamwork. However, these approaches can be difficult to implement consistently due to time pressures and organisational constraints. Overall, while collaborative working offers clear benefits, its success depends on effective communication and well-supported systems in practice.</w:t>
      </w:r>
    </w:p>
    <w:p w14:paraId="39ABA4B0" w14:textId="0FB163D9" w:rsidR="0079286B" w:rsidRPr="00FA3C61" w:rsidRDefault="00ED6031" w:rsidP="0079286B">
      <w:pPr>
        <w:pStyle w:val="Heading1"/>
        <w:spacing w:line="360" w:lineRule="auto"/>
        <w:rPr>
          <w:rFonts w:ascii="Arial" w:hAnsi="Arial" w:cs="Arial"/>
          <w:b/>
          <w:bCs/>
          <w:sz w:val="28"/>
          <w:szCs w:val="22"/>
        </w:rPr>
      </w:pPr>
      <w:bookmarkStart w:id="5" w:name="_Toc227863402"/>
      <w:r w:rsidRPr="00FA3C61">
        <w:rPr>
          <w:rFonts w:ascii="Arial" w:hAnsi="Arial" w:cs="Arial"/>
          <w:b/>
          <w:bCs/>
          <w:sz w:val="28"/>
          <w:szCs w:val="22"/>
        </w:rPr>
        <w:t>Conclusion</w:t>
      </w:r>
      <w:bookmarkEnd w:id="5"/>
      <w:r w:rsidRPr="00FA3C61">
        <w:rPr>
          <w:rFonts w:ascii="Arial" w:hAnsi="Arial" w:cs="Arial"/>
          <w:b/>
          <w:bCs/>
          <w:sz w:val="28"/>
          <w:szCs w:val="22"/>
        </w:rPr>
        <w:t xml:space="preserve"> </w:t>
      </w:r>
    </w:p>
    <w:p w14:paraId="57954B76" w14:textId="77777777" w:rsidR="0079286B" w:rsidRPr="0079286B" w:rsidRDefault="0079286B" w:rsidP="0079286B">
      <w:pPr>
        <w:spacing w:line="360" w:lineRule="auto"/>
        <w:rPr>
          <w:sz w:val="22"/>
        </w:rPr>
      </w:pPr>
    </w:p>
    <w:p w14:paraId="23A90F58" w14:textId="0A5683B8" w:rsidR="00191BC8" w:rsidRPr="00FA3C61" w:rsidRDefault="00191BC8" w:rsidP="0079286B">
      <w:pPr>
        <w:spacing w:line="360" w:lineRule="auto"/>
        <w:rPr>
          <w:rFonts w:cs="Arial"/>
        </w:rPr>
      </w:pPr>
      <w:r w:rsidRPr="00FA3C61">
        <w:rPr>
          <w:rFonts w:cs="Arial"/>
        </w:rPr>
        <w:t>This report has demonstrated that commun</w:t>
      </w:r>
      <w:r w:rsidR="004E39B7" w:rsidRPr="00FA3C61">
        <w:rPr>
          <w:rFonts w:cs="Arial"/>
        </w:rPr>
        <w:t xml:space="preserve">ication, administrative skills </w:t>
      </w:r>
      <w:r w:rsidRPr="00FA3C61">
        <w:rPr>
          <w:rFonts w:cs="Arial"/>
        </w:rPr>
        <w:t>and collaborative working are essential for delivering high-quality care. In Mr Ahmed’s case, communication must be adapted to meet his needs, as required by the Equality Act 2010, while also promoting autonomy under the Mental Capacity Act 2005. The missed medication incident highlights the importance of accurate record keeping in line with the Data Protection Act 2018. These areas are closely linked, as failures in one can impact overall care.</w:t>
      </w:r>
    </w:p>
    <w:p w14:paraId="27BE5792" w14:textId="77777777" w:rsidR="00191BC8" w:rsidRPr="00FA3C61" w:rsidRDefault="00191BC8" w:rsidP="0079286B">
      <w:pPr>
        <w:spacing w:line="360" w:lineRule="auto"/>
        <w:rPr>
          <w:rFonts w:cs="Arial"/>
        </w:rPr>
      </w:pPr>
      <w:r w:rsidRPr="00FA3C61">
        <w:rPr>
          <w:rFonts w:cs="Arial"/>
        </w:rPr>
        <w:lastRenderedPageBreak/>
        <w:t>Although these principles are well established, practical challenges such as time pressures and system limitations can affect their implementation. This suggests that both individual responsibility and organisational support are needed to improve practice.</w:t>
      </w:r>
    </w:p>
    <w:p w14:paraId="746CFD95" w14:textId="031299F8" w:rsidR="000C0696" w:rsidRDefault="00191BC8" w:rsidP="0079286B">
      <w:pPr>
        <w:spacing w:line="360" w:lineRule="auto"/>
        <w:rPr>
          <w:rFonts w:cs="Arial"/>
        </w:rPr>
      </w:pPr>
      <w:r w:rsidRPr="00FA3C61">
        <w:rPr>
          <w:rFonts w:cs="Arial"/>
        </w:rPr>
        <w:t>In conclusion, applying these principles effectively can enhance p</w:t>
      </w:r>
      <w:r w:rsidR="004E39B7" w:rsidRPr="00FA3C61">
        <w:rPr>
          <w:rFonts w:cs="Arial"/>
        </w:rPr>
        <w:t>atient safety, improve outcomes</w:t>
      </w:r>
      <w:r w:rsidRPr="00FA3C61">
        <w:rPr>
          <w:rFonts w:cs="Arial"/>
        </w:rPr>
        <w:t xml:space="preserve"> and ensure care remains person-centred.</w:t>
      </w:r>
      <w:r w:rsidR="001C29A6" w:rsidRPr="00FA3C61">
        <w:rPr>
          <w:rFonts w:cs="Arial"/>
        </w:rPr>
        <w:t xml:space="preserve"> This reinforces the importance of consistently applying both professional skills and organisational systems in real-life practice.</w:t>
      </w:r>
    </w:p>
    <w:p w14:paraId="7BA980BA" w14:textId="4396F2AC" w:rsidR="00FA3C61" w:rsidRDefault="00FA3C61" w:rsidP="0079286B">
      <w:pPr>
        <w:spacing w:line="360" w:lineRule="auto"/>
        <w:rPr>
          <w:rFonts w:cs="Arial"/>
        </w:rPr>
      </w:pPr>
    </w:p>
    <w:p w14:paraId="10E88681" w14:textId="30720B09" w:rsidR="00FA3C61" w:rsidRDefault="00FA3C61" w:rsidP="0079286B">
      <w:pPr>
        <w:spacing w:line="360" w:lineRule="auto"/>
        <w:rPr>
          <w:rFonts w:cs="Arial"/>
        </w:rPr>
      </w:pPr>
    </w:p>
    <w:p w14:paraId="221E315D" w14:textId="207C5305" w:rsidR="00FA3C61" w:rsidRDefault="00FA3C61" w:rsidP="0079286B">
      <w:pPr>
        <w:spacing w:line="360" w:lineRule="auto"/>
        <w:rPr>
          <w:rFonts w:cs="Arial"/>
        </w:rPr>
      </w:pPr>
    </w:p>
    <w:p w14:paraId="5C89AF58" w14:textId="1429A671" w:rsidR="00FA3C61" w:rsidRDefault="00FA3C61" w:rsidP="0079286B">
      <w:pPr>
        <w:spacing w:line="360" w:lineRule="auto"/>
        <w:rPr>
          <w:rFonts w:cs="Arial"/>
        </w:rPr>
      </w:pPr>
    </w:p>
    <w:p w14:paraId="1CE30176" w14:textId="7578AB89" w:rsidR="00FA3C61" w:rsidRDefault="00FA3C61" w:rsidP="0079286B">
      <w:pPr>
        <w:spacing w:line="360" w:lineRule="auto"/>
        <w:rPr>
          <w:rFonts w:cs="Arial"/>
        </w:rPr>
      </w:pPr>
    </w:p>
    <w:p w14:paraId="3159A181" w14:textId="5203742F" w:rsidR="00FA3C61" w:rsidRDefault="00FA3C61" w:rsidP="0079286B">
      <w:pPr>
        <w:spacing w:line="360" w:lineRule="auto"/>
        <w:rPr>
          <w:rFonts w:cs="Arial"/>
        </w:rPr>
      </w:pPr>
    </w:p>
    <w:p w14:paraId="698D0337" w14:textId="394A784D" w:rsidR="00FA3C61" w:rsidRDefault="00FA3C61" w:rsidP="0079286B">
      <w:pPr>
        <w:spacing w:line="360" w:lineRule="auto"/>
        <w:rPr>
          <w:rFonts w:cs="Arial"/>
        </w:rPr>
      </w:pPr>
    </w:p>
    <w:p w14:paraId="78F5FCB5" w14:textId="63FC7B0F" w:rsidR="00FA3C61" w:rsidRDefault="00FA3C61" w:rsidP="0079286B">
      <w:pPr>
        <w:spacing w:line="360" w:lineRule="auto"/>
        <w:rPr>
          <w:rFonts w:cs="Arial"/>
        </w:rPr>
      </w:pPr>
    </w:p>
    <w:p w14:paraId="6809E895" w14:textId="3EB94BCA" w:rsidR="00FA3C61" w:rsidRDefault="00FA3C61" w:rsidP="0079286B">
      <w:pPr>
        <w:spacing w:line="360" w:lineRule="auto"/>
        <w:rPr>
          <w:rFonts w:cs="Arial"/>
        </w:rPr>
      </w:pPr>
    </w:p>
    <w:p w14:paraId="659D5A40" w14:textId="5B2EAEDE" w:rsidR="00FA3C61" w:rsidRDefault="00FA3C61" w:rsidP="0079286B">
      <w:pPr>
        <w:spacing w:line="360" w:lineRule="auto"/>
        <w:rPr>
          <w:rFonts w:cs="Arial"/>
        </w:rPr>
      </w:pPr>
    </w:p>
    <w:p w14:paraId="28F75623" w14:textId="0B6DAFEB" w:rsidR="00FA3C61" w:rsidRDefault="00FA3C61" w:rsidP="0079286B">
      <w:pPr>
        <w:spacing w:line="360" w:lineRule="auto"/>
        <w:rPr>
          <w:rFonts w:cs="Arial"/>
        </w:rPr>
      </w:pPr>
    </w:p>
    <w:p w14:paraId="0A029275" w14:textId="4D6280CF" w:rsidR="00FA3C61" w:rsidRDefault="00FA3C61" w:rsidP="0079286B">
      <w:pPr>
        <w:spacing w:line="360" w:lineRule="auto"/>
        <w:rPr>
          <w:rFonts w:cs="Arial"/>
        </w:rPr>
      </w:pPr>
    </w:p>
    <w:p w14:paraId="56F456CC" w14:textId="786C6599" w:rsidR="00FA3C61" w:rsidRDefault="00FA3C61" w:rsidP="0079286B">
      <w:pPr>
        <w:spacing w:line="360" w:lineRule="auto"/>
        <w:rPr>
          <w:rFonts w:cs="Arial"/>
        </w:rPr>
      </w:pPr>
    </w:p>
    <w:p w14:paraId="718296B0" w14:textId="24317C07" w:rsidR="00FA3C61" w:rsidRDefault="00FA3C61" w:rsidP="0079286B">
      <w:pPr>
        <w:spacing w:line="360" w:lineRule="auto"/>
        <w:rPr>
          <w:rFonts w:cs="Arial"/>
        </w:rPr>
      </w:pPr>
    </w:p>
    <w:p w14:paraId="196FDC35" w14:textId="17D7FBAE" w:rsidR="00FA3C61" w:rsidRDefault="00FA3C61" w:rsidP="0079286B">
      <w:pPr>
        <w:spacing w:line="360" w:lineRule="auto"/>
        <w:rPr>
          <w:rFonts w:cs="Arial"/>
        </w:rPr>
      </w:pPr>
    </w:p>
    <w:p w14:paraId="53DEFD67" w14:textId="77777777" w:rsidR="00FA3C61" w:rsidRPr="00FA3C61" w:rsidRDefault="00FA3C61" w:rsidP="0079286B">
      <w:pPr>
        <w:spacing w:line="360" w:lineRule="auto"/>
        <w:rPr>
          <w:rFonts w:cs="Arial"/>
        </w:rPr>
      </w:pPr>
    </w:p>
    <w:p w14:paraId="2F6AF216" w14:textId="02856EE3" w:rsidR="006A6AB7" w:rsidRPr="00FA3C61" w:rsidRDefault="006A6AB7" w:rsidP="0079286B">
      <w:pPr>
        <w:pStyle w:val="Heading1"/>
        <w:spacing w:line="360" w:lineRule="auto"/>
        <w:rPr>
          <w:rFonts w:ascii="Arial" w:hAnsi="Arial" w:cs="Arial"/>
          <w:b/>
          <w:bCs/>
          <w:sz w:val="24"/>
          <w:szCs w:val="22"/>
        </w:rPr>
      </w:pPr>
      <w:bookmarkStart w:id="6" w:name="_Toc227863403"/>
      <w:r w:rsidRPr="00FA3C61">
        <w:rPr>
          <w:rFonts w:ascii="Arial" w:hAnsi="Arial" w:cs="Arial"/>
          <w:b/>
          <w:bCs/>
          <w:sz w:val="24"/>
          <w:szCs w:val="22"/>
        </w:rPr>
        <w:lastRenderedPageBreak/>
        <w:t>Reference</w:t>
      </w:r>
      <w:bookmarkEnd w:id="6"/>
      <w:r w:rsidR="001778D7" w:rsidRPr="00FA3C61">
        <w:rPr>
          <w:rFonts w:ascii="Arial" w:hAnsi="Arial" w:cs="Arial"/>
          <w:b/>
          <w:bCs/>
          <w:sz w:val="24"/>
          <w:szCs w:val="22"/>
        </w:rPr>
        <w:t>s</w:t>
      </w:r>
    </w:p>
    <w:p w14:paraId="4ECF0C47" w14:textId="52BEADE1" w:rsidR="009F56B5" w:rsidRPr="00FA3C61" w:rsidRDefault="009F56B5" w:rsidP="0079286B">
      <w:pPr>
        <w:spacing w:line="360" w:lineRule="auto"/>
        <w:rPr>
          <w:rFonts w:cs="Arial"/>
        </w:rPr>
      </w:pPr>
      <w:proofErr w:type="spellStart"/>
      <w:r w:rsidRPr="00FA3C61">
        <w:rPr>
          <w:rFonts w:cs="Arial"/>
        </w:rPr>
        <w:t>Berlo</w:t>
      </w:r>
      <w:proofErr w:type="spellEnd"/>
      <w:r w:rsidRPr="00FA3C61">
        <w:rPr>
          <w:rFonts w:cs="Arial"/>
        </w:rPr>
        <w:t xml:space="preserve">, D.K. (1960) </w:t>
      </w:r>
      <w:r w:rsidRPr="00FA3C61">
        <w:rPr>
          <w:rFonts w:cs="Arial"/>
          <w:i/>
          <w:iCs/>
        </w:rPr>
        <w:t>The process of communication</w:t>
      </w:r>
      <w:r w:rsidRPr="00FA3C61">
        <w:rPr>
          <w:rFonts w:cs="Arial"/>
        </w:rPr>
        <w:t>. New York: Holt, Rinehart and Winston.</w:t>
      </w:r>
    </w:p>
    <w:p w14:paraId="542639FC" w14:textId="7FAA997B" w:rsidR="00345C6D" w:rsidRPr="00FA3C61" w:rsidRDefault="00345C6D" w:rsidP="0079286B">
      <w:pPr>
        <w:spacing w:line="360" w:lineRule="auto"/>
        <w:rPr>
          <w:rFonts w:cs="Arial"/>
        </w:rPr>
      </w:pPr>
      <w:r w:rsidRPr="00FA3C61">
        <w:rPr>
          <w:rFonts w:cs="Arial"/>
        </w:rPr>
        <w:t xml:space="preserve">Bischoff, A. and </w:t>
      </w:r>
      <w:proofErr w:type="spellStart"/>
      <w:r w:rsidRPr="00FA3C61">
        <w:rPr>
          <w:rFonts w:cs="Arial"/>
        </w:rPr>
        <w:t>Hudelson</w:t>
      </w:r>
      <w:proofErr w:type="spellEnd"/>
      <w:r w:rsidRPr="00FA3C61">
        <w:rPr>
          <w:rFonts w:cs="Arial"/>
        </w:rPr>
        <w:t xml:space="preserve">, P. (2010) ‘Access to healthcare interpreter services: Where are we and where are we going?’, </w:t>
      </w:r>
      <w:r w:rsidRPr="00FA3C61">
        <w:rPr>
          <w:rFonts w:cs="Arial"/>
          <w:i/>
          <w:iCs/>
        </w:rPr>
        <w:t>Journal of Travel Medicine</w:t>
      </w:r>
      <w:r w:rsidRPr="00FA3C61">
        <w:rPr>
          <w:rFonts w:cs="Arial"/>
        </w:rPr>
        <w:t>, 17(1), pp. 15–20.</w:t>
      </w:r>
    </w:p>
    <w:p w14:paraId="6AAE8FBC" w14:textId="4C270974" w:rsidR="0037250C" w:rsidRPr="00FA3C61" w:rsidRDefault="0037250C" w:rsidP="0079286B">
      <w:pPr>
        <w:spacing w:line="360" w:lineRule="auto"/>
        <w:rPr>
          <w:rFonts w:cs="Arial"/>
        </w:rPr>
      </w:pPr>
      <w:r w:rsidRPr="00FA3C61">
        <w:rPr>
          <w:rFonts w:cs="Arial"/>
        </w:rPr>
        <w:t xml:space="preserve">Care Quality Commission (CQC) (2021) </w:t>
      </w:r>
      <w:r w:rsidRPr="00FA3C61">
        <w:rPr>
          <w:rFonts w:cs="Arial"/>
          <w:i/>
          <w:iCs/>
        </w:rPr>
        <w:t>Review of patient safety across the health and care landscape</w:t>
      </w:r>
      <w:r w:rsidRPr="00FA3C61">
        <w:rPr>
          <w:rFonts w:cs="Arial"/>
        </w:rPr>
        <w:t xml:space="preserve">. London: Care Quality Commission. Available at: </w:t>
      </w:r>
      <w:hyperlink r:id="rId8" w:tgtFrame="_new" w:history="1">
        <w:r w:rsidRPr="00FA3C61">
          <w:rPr>
            <w:rStyle w:val="Hyperlink"/>
            <w:rFonts w:cs="Arial"/>
          </w:rPr>
          <w:t>https://www.gov.uk/government/publications/review-of-patient-safety-across-the-health-and-care-landscape/review-of-patient-safety-across-the-health-and-care-landscape</w:t>
        </w:r>
      </w:hyperlink>
      <w:r w:rsidRPr="00FA3C61">
        <w:rPr>
          <w:rFonts w:cs="Arial"/>
        </w:rPr>
        <w:t xml:space="preserve"> (Accessed: 23 April 2026).</w:t>
      </w:r>
    </w:p>
    <w:p w14:paraId="45CD0520" w14:textId="77777777" w:rsidR="0037250C" w:rsidRPr="00FA3C61" w:rsidRDefault="0037250C" w:rsidP="0079286B">
      <w:pPr>
        <w:spacing w:line="360" w:lineRule="auto"/>
        <w:rPr>
          <w:rFonts w:cs="Arial"/>
        </w:rPr>
      </w:pPr>
      <w:r w:rsidRPr="00FA3C61">
        <w:rPr>
          <w:rFonts w:cs="Arial"/>
        </w:rPr>
        <w:t xml:space="preserve">Flores, G. (2005) ‘The impact of medical interpreter services on the quality of health care: a systematic review’, </w:t>
      </w:r>
      <w:r w:rsidRPr="00FA3C61">
        <w:rPr>
          <w:rFonts w:cs="Arial"/>
          <w:i/>
          <w:iCs/>
        </w:rPr>
        <w:t>Medical Care Research and Review</w:t>
      </w:r>
      <w:r w:rsidRPr="00FA3C61">
        <w:rPr>
          <w:rFonts w:cs="Arial"/>
        </w:rPr>
        <w:t>, 62(3), pp. 255–299. doi:10.1177/1077558705275416.</w:t>
      </w:r>
    </w:p>
    <w:p w14:paraId="654A70B1" w14:textId="77777777" w:rsidR="0037250C" w:rsidRPr="00FA3C61" w:rsidRDefault="0037250C" w:rsidP="0079286B">
      <w:pPr>
        <w:spacing w:line="360" w:lineRule="auto"/>
        <w:rPr>
          <w:rFonts w:cs="Arial"/>
        </w:rPr>
      </w:pPr>
      <w:r w:rsidRPr="00FA3C61">
        <w:rPr>
          <w:rFonts w:cs="Arial"/>
        </w:rPr>
        <w:t xml:space="preserve">Glasby, J. and Dickinson, H. (2014) </w:t>
      </w:r>
      <w:r w:rsidRPr="00FA3C61">
        <w:rPr>
          <w:rFonts w:cs="Arial"/>
          <w:i/>
          <w:iCs/>
        </w:rPr>
        <w:t>Partnership working in health and social care: What is integrated care and how can we deliver it?</w:t>
      </w:r>
      <w:r w:rsidRPr="00FA3C61">
        <w:rPr>
          <w:rFonts w:cs="Arial"/>
        </w:rPr>
        <w:t xml:space="preserve"> 2nd </w:t>
      </w:r>
      <w:proofErr w:type="spellStart"/>
      <w:r w:rsidRPr="00FA3C61">
        <w:rPr>
          <w:rFonts w:cs="Arial"/>
        </w:rPr>
        <w:t>edn</w:t>
      </w:r>
      <w:proofErr w:type="spellEnd"/>
      <w:r w:rsidRPr="00FA3C61">
        <w:rPr>
          <w:rFonts w:cs="Arial"/>
        </w:rPr>
        <w:t>. Bristol: Policy Press.</w:t>
      </w:r>
    </w:p>
    <w:p w14:paraId="73D22EDC" w14:textId="77777777" w:rsidR="0037250C" w:rsidRPr="00FA3C61" w:rsidRDefault="0037250C" w:rsidP="0079286B">
      <w:pPr>
        <w:spacing w:line="360" w:lineRule="auto"/>
        <w:rPr>
          <w:rFonts w:cs="Arial"/>
        </w:rPr>
      </w:pPr>
      <w:r w:rsidRPr="00FA3C61">
        <w:rPr>
          <w:rFonts w:cs="Arial"/>
        </w:rPr>
        <w:t xml:space="preserve">Health Education England (HEE) (2017) </w:t>
      </w:r>
      <w:r w:rsidRPr="00FA3C61">
        <w:rPr>
          <w:rFonts w:cs="Arial"/>
          <w:i/>
          <w:iCs/>
        </w:rPr>
        <w:t>Person-centred approaches: Core skills education and training framework</w:t>
      </w:r>
      <w:r w:rsidRPr="00FA3C61">
        <w:rPr>
          <w:rFonts w:cs="Arial"/>
        </w:rPr>
        <w:t xml:space="preserve">. Available at: </w:t>
      </w:r>
      <w:hyperlink r:id="rId9" w:tgtFrame="_new" w:history="1">
        <w:r w:rsidRPr="00FA3C61">
          <w:rPr>
            <w:rStyle w:val="Hyperlink"/>
            <w:rFonts w:cs="Arial"/>
          </w:rPr>
          <w:t>https://www.hee.nhs.uk</w:t>
        </w:r>
      </w:hyperlink>
      <w:r w:rsidRPr="00FA3C61">
        <w:rPr>
          <w:rFonts w:cs="Arial"/>
        </w:rPr>
        <w:t xml:space="preserve"> (Accessed: 23 April 2026).</w:t>
      </w:r>
    </w:p>
    <w:p w14:paraId="615C91BA" w14:textId="77777777" w:rsidR="0037250C" w:rsidRPr="00FA3C61" w:rsidRDefault="0037250C" w:rsidP="0079286B">
      <w:pPr>
        <w:spacing w:line="360" w:lineRule="auto"/>
        <w:rPr>
          <w:rFonts w:cs="Arial"/>
        </w:rPr>
      </w:pPr>
      <w:r w:rsidRPr="00FA3C61">
        <w:rPr>
          <w:rFonts w:cs="Arial"/>
        </w:rPr>
        <w:t xml:space="preserve">NHS England (2019) </w:t>
      </w:r>
      <w:r w:rsidRPr="00FA3C61">
        <w:rPr>
          <w:rFonts w:cs="Arial"/>
          <w:i/>
          <w:iCs/>
        </w:rPr>
        <w:t>Good communication with patients waiting for care</w:t>
      </w:r>
      <w:r w:rsidRPr="00FA3C61">
        <w:rPr>
          <w:rFonts w:cs="Arial"/>
        </w:rPr>
        <w:t xml:space="preserve">. Available at: </w:t>
      </w:r>
      <w:hyperlink r:id="rId10" w:tgtFrame="_new" w:history="1">
        <w:r w:rsidRPr="00FA3C61">
          <w:rPr>
            <w:rStyle w:val="Hyperlink"/>
            <w:rFonts w:cs="Arial"/>
          </w:rPr>
          <w:t>https://www.england.nhs.uk/long-read/good-communication-with-patients-waiting-for-care/</w:t>
        </w:r>
      </w:hyperlink>
      <w:r w:rsidRPr="00FA3C61">
        <w:rPr>
          <w:rFonts w:cs="Arial"/>
        </w:rPr>
        <w:t xml:space="preserve"> (Accessed: 23 April 2026).</w:t>
      </w:r>
    </w:p>
    <w:p w14:paraId="374F6450" w14:textId="77777777" w:rsidR="0037250C" w:rsidRPr="00FA3C61" w:rsidRDefault="0037250C" w:rsidP="0079286B">
      <w:pPr>
        <w:spacing w:line="360" w:lineRule="auto"/>
        <w:rPr>
          <w:rFonts w:cs="Arial"/>
        </w:rPr>
      </w:pPr>
      <w:r w:rsidRPr="00FA3C61">
        <w:rPr>
          <w:rFonts w:cs="Arial"/>
        </w:rPr>
        <w:t xml:space="preserve">NHS England (2020a) </w:t>
      </w:r>
      <w:r w:rsidRPr="00FA3C61">
        <w:rPr>
          <w:rFonts w:cs="Arial"/>
          <w:i/>
          <w:iCs/>
        </w:rPr>
        <w:t>Digitising the frontline</w:t>
      </w:r>
      <w:r w:rsidRPr="00FA3C61">
        <w:rPr>
          <w:rFonts w:cs="Arial"/>
        </w:rPr>
        <w:t xml:space="preserve">. Available at: </w:t>
      </w:r>
      <w:hyperlink r:id="rId11" w:tgtFrame="_new" w:history="1">
        <w:r w:rsidRPr="00FA3C61">
          <w:rPr>
            <w:rStyle w:val="Hyperlink"/>
            <w:rFonts w:cs="Arial"/>
          </w:rPr>
          <w:t>https://www.england.nhs.uk/digitaltechnology/digitising-the-frontline/</w:t>
        </w:r>
      </w:hyperlink>
      <w:r w:rsidRPr="00FA3C61">
        <w:rPr>
          <w:rFonts w:cs="Arial"/>
        </w:rPr>
        <w:t xml:space="preserve"> (Accessed: 23 April 2026).</w:t>
      </w:r>
    </w:p>
    <w:p w14:paraId="7BC81F6F" w14:textId="77777777" w:rsidR="0037250C" w:rsidRPr="00FA3C61" w:rsidRDefault="0037250C" w:rsidP="0079286B">
      <w:pPr>
        <w:spacing w:line="360" w:lineRule="auto"/>
        <w:rPr>
          <w:rFonts w:cs="Arial"/>
        </w:rPr>
      </w:pPr>
      <w:r w:rsidRPr="00FA3C61">
        <w:rPr>
          <w:rFonts w:cs="Arial"/>
        </w:rPr>
        <w:t xml:space="preserve">NHS England (2020b) </w:t>
      </w:r>
      <w:r w:rsidRPr="00FA3C61">
        <w:rPr>
          <w:rFonts w:cs="Arial"/>
          <w:i/>
          <w:iCs/>
        </w:rPr>
        <w:t>Multidisciplinary team working: Productive community hospital</w:t>
      </w:r>
      <w:r w:rsidRPr="00FA3C61">
        <w:rPr>
          <w:rFonts w:cs="Arial"/>
        </w:rPr>
        <w:t xml:space="preserve">. Available at: </w:t>
      </w:r>
      <w:hyperlink r:id="rId12" w:tgtFrame="_new" w:history="1">
        <w:r w:rsidRPr="00FA3C61">
          <w:rPr>
            <w:rStyle w:val="Hyperlink"/>
            <w:rFonts w:cs="Arial"/>
          </w:rPr>
          <w:t>https://www.england.nhs.uk/urgent-emergency-care/improving-hospital-discharge/reducing-long-term-stays/multidisciplinary-team-reviews/</w:t>
        </w:r>
      </w:hyperlink>
      <w:r w:rsidRPr="00FA3C61">
        <w:rPr>
          <w:rFonts w:cs="Arial"/>
        </w:rPr>
        <w:t xml:space="preserve"> (Accessed: 23 April 2026).</w:t>
      </w:r>
    </w:p>
    <w:p w14:paraId="7232EDD4" w14:textId="78572D87" w:rsidR="006A6AB7" w:rsidRPr="00FA3C61" w:rsidRDefault="0037250C" w:rsidP="0079286B">
      <w:pPr>
        <w:spacing w:line="360" w:lineRule="auto"/>
        <w:rPr>
          <w:rFonts w:cs="Arial"/>
        </w:rPr>
      </w:pPr>
      <w:r w:rsidRPr="00FA3C61">
        <w:rPr>
          <w:rFonts w:cs="Arial"/>
        </w:rPr>
        <w:lastRenderedPageBreak/>
        <w:t xml:space="preserve">Nursing and Midwifery Council (NMC) (2018) </w:t>
      </w:r>
      <w:r w:rsidRPr="00FA3C61">
        <w:rPr>
          <w:rFonts w:cs="Arial"/>
          <w:i/>
          <w:iCs/>
        </w:rPr>
        <w:t>The Code: Professional standards of practice and behaviour for nurses, midwives and nursing associates</w:t>
      </w:r>
      <w:r w:rsidRPr="00FA3C61">
        <w:rPr>
          <w:rFonts w:cs="Arial"/>
        </w:rPr>
        <w:t>. London: NMC.</w:t>
      </w:r>
    </w:p>
    <w:sectPr w:rsidR="006A6AB7" w:rsidRPr="00FA3C6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C36522" w14:textId="77777777" w:rsidR="003E29A7" w:rsidRDefault="003E29A7" w:rsidP="00E07B9B">
      <w:pPr>
        <w:spacing w:after="0" w:line="240" w:lineRule="auto"/>
      </w:pPr>
      <w:r>
        <w:separator/>
      </w:r>
    </w:p>
  </w:endnote>
  <w:endnote w:type="continuationSeparator" w:id="0">
    <w:p w14:paraId="0FA08195" w14:textId="77777777" w:rsidR="003E29A7" w:rsidRDefault="003E29A7" w:rsidP="00E07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00759464"/>
      <w:docPartObj>
        <w:docPartGallery w:val="Page Numbers (Bottom of Page)"/>
        <w:docPartUnique/>
      </w:docPartObj>
    </w:sdtPr>
    <w:sdtEndPr/>
    <w:sdtContent>
      <w:p w14:paraId="6285BAB5" w14:textId="1C72DC7C" w:rsidR="00E07B9B" w:rsidRDefault="00E07B9B">
        <w:pPr>
          <w:pStyle w:val="Footer"/>
          <w:jc w:val="center"/>
        </w:pPr>
        <w:r>
          <w:fldChar w:fldCharType="begin"/>
        </w:r>
        <w:r>
          <w:instrText>PAGE   \* MERGEFORMAT</w:instrText>
        </w:r>
        <w:r>
          <w:fldChar w:fldCharType="separate"/>
        </w:r>
        <w:r w:rsidR="00FA3C61">
          <w:rPr>
            <w:noProof/>
          </w:rPr>
          <w:t>10</w:t>
        </w:r>
        <w:r>
          <w:fldChar w:fldCharType="end"/>
        </w:r>
      </w:p>
    </w:sdtContent>
  </w:sdt>
  <w:p w14:paraId="6F261C70" w14:textId="77777777" w:rsidR="00E07B9B" w:rsidRDefault="00E07B9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A1E707" w14:textId="77777777" w:rsidR="003E29A7" w:rsidRDefault="003E29A7" w:rsidP="00E07B9B">
      <w:pPr>
        <w:spacing w:after="0" w:line="240" w:lineRule="auto"/>
      </w:pPr>
      <w:r>
        <w:separator/>
      </w:r>
    </w:p>
  </w:footnote>
  <w:footnote w:type="continuationSeparator" w:id="0">
    <w:p w14:paraId="41AE3F8C" w14:textId="77777777" w:rsidR="003E29A7" w:rsidRDefault="003E29A7" w:rsidP="00E07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6F01D75"/>
    <w:multiLevelType w:val="hybridMultilevel"/>
    <w:tmpl w:val="3D2AD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3394"/>
    <w:rsid w:val="00061130"/>
    <w:rsid w:val="000C0696"/>
    <w:rsid w:val="000F03D8"/>
    <w:rsid w:val="000F5299"/>
    <w:rsid w:val="000F64CD"/>
    <w:rsid w:val="0012335D"/>
    <w:rsid w:val="00127DED"/>
    <w:rsid w:val="00154582"/>
    <w:rsid w:val="001778D7"/>
    <w:rsid w:val="00191BC8"/>
    <w:rsid w:val="001B00B3"/>
    <w:rsid w:val="001C29A6"/>
    <w:rsid w:val="001F521F"/>
    <w:rsid w:val="002057A4"/>
    <w:rsid w:val="00221174"/>
    <w:rsid w:val="002215B7"/>
    <w:rsid w:val="00345C6D"/>
    <w:rsid w:val="0037250C"/>
    <w:rsid w:val="003E29A7"/>
    <w:rsid w:val="003E5366"/>
    <w:rsid w:val="003F0D3E"/>
    <w:rsid w:val="003F3B4D"/>
    <w:rsid w:val="003F6570"/>
    <w:rsid w:val="004022BB"/>
    <w:rsid w:val="004104A8"/>
    <w:rsid w:val="00413B56"/>
    <w:rsid w:val="00440CEB"/>
    <w:rsid w:val="0044461D"/>
    <w:rsid w:val="00483B13"/>
    <w:rsid w:val="004A297F"/>
    <w:rsid w:val="004E39B7"/>
    <w:rsid w:val="00524842"/>
    <w:rsid w:val="00533CCB"/>
    <w:rsid w:val="00536A65"/>
    <w:rsid w:val="00550B25"/>
    <w:rsid w:val="00571D3C"/>
    <w:rsid w:val="006849F8"/>
    <w:rsid w:val="006A6AB7"/>
    <w:rsid w:val="006A7731"/>
    <w:rsid w:val="0075353E"/>
    <w:rsid w:val="007655FA"/>
    <w:rsid w:val="0079286B"/>
    <w:rsid w:val="00793967"/>
    <w:rsid w:val="00797AAA"/>
    <w:rsid w:val="007A1789"/>
    <w:rsid w:val="007C197D"/>
    <w:rsid w:val="007C1E59"/>
    <w:rsid w:val="007C4746"/>
    <w:rsid w:val="007C48A8"/>
    <w:rsid w:val="00805CC8"/>
    <w:rsid w:val="00836ACE"/>
    <w:rsid w:val="00860B23"/>
    <w:rsid w:val="008616B7"/>
    <w:rsid w:val="008B2058"/>
    <w:rsid w:val="008D1BBA"/>
    <w:rsid w:val="009367E5"/>
    <w:rsid w:val="00972497"/>
    <w:rsid w:val="00973E5E"/>
    <w:rsid w:val="009A162D"/>
    <w:rsid w:val="009F56B5"/>
    <w:rsid w:val="00A10BAA"/>
    <w:rsid w:val="00A71BF0"/>
    <w:rsid w:val="00AC5EB1"/>
    <w:rsid w:val="00B17DEF"/>
    <w:rsid w:val="00B200DB"/>
    <w:rsid w:val="00BA6300"/>
    <w:rsid w:val="00BC2AE0"/>
    <w:rsid w:val="00C0338B"/>
    <w:rsid w:val="00C53824"/>
    <w:rsid w:val="00C97262"/>
    <w:rsid w:val="00CA4717"/>
    <w:rsid w:val="00CC063F"/>
    <w:rsid w:val="00CE142F"/>
    <w:rsid w:val="00CF046A"/>
    <w:rsid w:val="00D95371"/>
    <w:rsid w:val="00DD6581"/>
    <w:rsid w:val="00DF319C"/>
    <w:rsid w:val="00E07B9B"/>
    <w:rsid w:val="00E46EAE"/>
    <w:rsid w:val="00E53394"/>
    <w:rsid w:val="00E65064"/>
    <w:rsid w:val="00E715A1"/>
    <w:rsid w:val="00EC194B"/>
    <w:rsid w:val="00EC4EA3"/>
    <w:rsid w:val="00ED6031"/>
    <w:rsid w:val="00EE6894"/>
    <w:rsid w:val="00F00014"/>
    <w:rsid w:val="00F37232"/>
    <w:rsid w:val="00F40CB5"/>
    <w:rsid w:val="00F61E24"/>
    <w:rsid w:val="00F73B38"/>
    <w:rsid w:val="00FA3C61"/>
    <w:rsid w:val="00FF3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5E2DB"/>
  <w15:chartTrackingRefBased/>
  <w15:docId w15:val="{B5648792-7593-4FF9-8D9C-1D4E000E9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6ACE"/>
  </w:style>
  <w:style w:type="paragraph" w:styleId="Heading1">
    <w:name w:val="heading 1"/>
    <w:basedOn w:val="Normal"/>
    <w:next w:val="Normal"/>
    <w:link w:val="Heading1Char"/>
    <w:uiPriority w:val="9"/>
    <w:qFormat/>
    <w:rsid w:val="00E533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33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339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339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5339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5339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5339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5339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5339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3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33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3394"/>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39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5339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5339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5339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5339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5339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533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3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39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39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53394"/>
    <w:pPr>
      <w:spacing w:before="160"/>
      <w:jc w:val="center"/>
    </w:pPr>
    <w:rPr>
      <w:i/>
      <w:iCs/>
      <w:color w:val="404040" w:themeColor="text1" w:themeTint="BF"/>
    </w:rPr>
  </w:style>
  <w:style w:type="character" w:customStyle="1" w:styleId="QuoteChar">
    <w:name w:val="Quote Char"/>
    <w:basedOn w:val="DefaultParagraphFont"/>
    <w:link w:val="Quote"/>
    <w:uiPriority w:val="29"/>
    <w:rsid w:val="00E53394"/>
    <w:rPr>
      <w:i/>
      <w:iCs/>
      <w:color w:val="404040" w:themeColor="text1" w:themeTint="BF"/>
    </w:rPr>
  </w:style>
  <w:style w:type="paragraph" w:styleId="ListParagraph">
    <w:name w:val="List Paragraph"/>
    <w:basedOn w:val="Normal"/>
    <w:uiPriority w:val="34"/>
    <w:qFormat/>
    <w:rsid w:val="00E53394"/>
    <w:pPr>
      <w:ind w:left="720"/>
      <w:contextualSpacing/>
    </w:pPr>
  </w:style>
  <w:style w:type="character" w:styleId="IntenseEmphasis">
    <w:name w:val="Intense Emphasis"/>
    <w:basedOn w:val="DefaultParagraphFont"/>
    <w:uiPriority w:val="21"/>
    <w:qFormat/>
    <w:rsid w:val="00E53394"/>
    <w:rPr>
      <w:i/>
      <w:iCs/>
      <w:color w:val="0F4761" w:themeColor="accent1" w:themeShade="BF"/>
    </w:rPr>
  </w:style>
  <w:style w:type="paragraph" w:styleId="IntenseQuote">
    <w:name w:val="Intense Quote"/>
    <w:basedOn w:val="Normal"/>
    <w:next w:val="Normal"/>
    <w:link w:val="IntenseQuoteChar"/>
    <w:uiPriority w:val="30"/>
    <w:qFormat/>
    <w:rsid w:val="00E533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3394"/>
    <w:rPr>
      <w:i/>
      <w:iCs/>
      <w:color w:val="0F4761" w:themeColor="accent1" w:themeShade="BF"/>
    </w:rPr>
  </w:style>
  <w:style w:type="character" w:styleId="IntenseReference">
    <w:name w:val="Intense Reference"/>
    <w:basedOn w:val="DefaultParagraphFont"/>
    <w:uiPriority w:val="32"/>
    <w:qFormat/>
    <w:rsid w:val="00E53394"/>
    <w:rPr>
      <w:b/>
      <w:bCs/>
      <w:smallCaps/>
      <w:color w:val="0F4761" w:themeColor="accent1" w:themeShade="BF"/>
      <w:spacing w:val="5"/>
    </w:rPr>
  </w:style>
  <w:style w:type="character" w:styleId="Hyperlink">
    <w:name w:val="Hyperlink"/>
    <w:basedOn w:val="DefaultParagraphFont"/>
    <w:uiPriority w:val="99"/>
    <w:unhideWhenUsed/>
    <w:rsid w:val="0037250C"/>
    <w:rPr>
      <w:color w:val="467886" w:themeColor="hyperlink"/>
      <w:u w:val="single"/>
    </w:rPr>
  </w:style>
  <w:style w:type="character" w:customStyle="1" w:styleId="UnresolvedMention">
    <w:name w:val="Unresolved Mention"/>
    <w:basedOn w:val="DefaultParagraphFont"/>
    <w:uiPriority w:val="99"/>
    <w:semiHidden/>
    <w:unhideWhenUsed/>
    <w:rsid w:val="0037250C"/>
    <w:rPr>
      <w:color w:val="605E5C"/>
      <w:shd w:val="clear" w:color="auto" w:fill="E1DFDD"/>
    </w:rPr>
  </w:style>
  <w:style w:type="paragraph" w:styleId="Header">
    <w:name w:val="header"/>
    <w:basedOn w:val="Normal"/>
    <w:link w:val="HeaderChar"/>
    <w:uiPriority w:val="99"/>
    <w:unhideWhenUsed/>
    <w:rsid w:val="00E07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B9B"/>
  </w:style>
  <w:style w:type="paragraph" w:styleId="Footer">
    <w:name w:val="footer"/>
    <w:basedOn w:val="Normal"/>
    <w:link w:val="FooterChar"/>
    <w:uiPriority w:val="99"/>
    <w:unhideWhenUsed/>
    <w:rsid w:val="00E07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B9B"/>
  </w:style>
  <w:style w:type="paragraph" w:styleId="TOCHeading">
    <w:name w:val="TOC Heading"/>
    <w:basedOn w:val="Heading1"/>
    <w:next w:val="Normal"/>
    <w:uiPriority w:val="39"/>
    <w:unhideWhenUsed/>
    <w:qFormat/>
    <w:rsid w:val="0022117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057A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142679">
      <w:bodyDiv w:val="1"/>
      <w:marLeft w:val="0"/>
      <w:marRight w:val="0"/>
      <w:marTop w:val="0"/>
      <w:marBottom w:val="0"/>
      <w:divBdr>
        <w:top w:val="none" w:sz="0" w:space="0" w:color="auto"/>
        <w:left w:val="none" w:sz="0" w:space="0" w:color="auto"/>
        <w:bottom w:val="none" w:sz="0" w:space="0" w:color="auto"/>
        <w:right w:val="none" w:sz="0" w:space="0" w:color="auto"/>
      </w:divBdr>
    </w:div>
    <w:div w:id="56780775">
      <w:bodyDiv w:val="1"/>
      <w:marLeft w:val="0"/>
      <w:marRight w:val="0"/>
      <w:marTop w:val="0"/>
      <w:marBottom w:val="0"/>
      <w:divBdr>
        <w:top w:val="none" w:sz="0" w:space="0" w:color="auto"/>
        <w:left w:val="none" w:sz="0" w:space="0" w:color="auto"/>
        <w:bottom w:val="none" w:sz="0" w:space="0" w:color="auto"/>
        <w:right w:val="none" w:sz="0" w:space="0" w:color="auto"/>
      </w:divBdr>
    </w:div>
    <w:div w:id="155653487">
      <w:bodyDiv w:val="1"/>
      <w:marLeft w:val="0"/>
      <w:marRight w:val="0"/>
      <w:marTop w:val="0"/>
      <w:marBottom w:val="0"/>
      <w:divBdr>
        <w:top w:val="none" w:sz="0" w:space="0" w:color="auto"/>
        <w:left w:val="none" w:sz="0" w:space="0" w:color="auto"/>
        <w:bottom w:val="none" w:sz="0" w:space="0" w:color="auto"/>
        <w:right w:val="none" w:sz="0" w:space="0" w:color="auto"/>
      </w:divBdr>
    </w:div>
    <w:div w:id="348484852">
      <w:bodyDiv w:val="1"/>
      <w:marLeft w:val="0"/>
      <w:marRight w:val="0"/>
      <w:marTop w:val="0"/>
      <w:marBottom w:val="0"/>
      <w:divBdr>
        <w:top w:val="none" w:sz="0" w:space="0" w:color="auto"/>
        <w:left w:val="none" w:sz="0" w:space="0" w:color="auto"/>
        <w:bottom w:val="none" w:sz="0" w:space="0" w:color="auto"/>
        <w:right w:val="none" w:sz="0" w:space="0" w:color="auto"/>
      </w:divBdr>
    </w:div>
    <w:div w:id="405032131">
      <w:bodyDiv w:val="1"/>
      <w:marLeft w:val="0"/>
      <w:marRight w:val="0"/>
      <w:marTop w:val="0"/>
      <w:marBottom w:val="0"/>
      <w:divBdr>
        <w:top w:val="none" w:sz="0" w:space="0" w:color="auto"/>
        <w:left w:val="none" w:sz="0" w:space="0" w:color="auto"/>
        <w:bottom w:val="none" w:sz="0" w:space="0" w:color="auto"/>
        <w:right w:val="none" w:sz="0" w:space="0" w:color="auto"/>
      </w:divBdr>
    </w:div>
    <w:div w:id="460928832">
      <w:bodyDiv w:val="1"/>
      <w:marLeft w:val="0"/>
      <w:marRight w:val="0"/>
      <w:marTop w:val="0"/>
      <w:marBottom w:val="0"/>
      <w:divBdr>
        <w:top w:val="none" w:sz="0" w:space="0" w:color="auto"/>
        <w:left w:val="none" w:sz="0" w:space="0" w:color="auto"/>
        <w:bottom w:val="none" w:sz="0" w:space="0" w:color="auto"/>
        <w:right w:val="none" w:sz="0" w:space="0" w:color="auto"/>
      </w:divBdr>
    </w:div>
    <w:div w:id="471487872">
      <w:bodyDiv w:val="1"/>
      <w:marLeft w:val="0"/>
      <w:marRight w:val="0"/>
      <w:marTop w:val="0"/>
      <w:marBottom w:val="0"/>
      <w:divBdr>
        <w:top w:val="none" w:sz="0" w:space="0" w:color="auto"/>
        <w:left w:val="none" w:sz="0" w:space="0" w:color="auto"/>
        <w:bottom w:val="none" w:sz="0" w:space="0" w:color="auto"/>
        <w:right w:val="none" w:sz="0" w:space="0" w:color="auto"/>
      </w:divBdr>
    </w:div>
    <w:div w:id="520821596">
      <w:bodyDiv w:val="1"/>
      <w:marLeft w:val="0"/>
      <w:marRight w:val="0"/>
      <w:marTop w:val="0"/>
      <w:marBottom w:val="0"/>
      <w:divBdr>
        <w:top w:val="none" w:sz="0" w:space="0" w:color="auto"/>
        <w:left w:val="none" w:sz="0" w:space="0" w:color="auto"/>
        <w:bottom w:val="none" w:sz="0" w:space="0" w:color="auto"/>
        <w:right w:val="none" w:sz="0" w:space="0" w:color="auto"/>
      </w:divBdr>
    </w:div>
    <w:div w:id="594362419">
      <w:bodyDiv w:val="1"/>
      <w:marLeft w:val="0"/>
      <w:marRight w:val="0"/>
      <w:marTop w:val="0"/>
      <w:marBottom w:val="0"/>
      <w:divBdr>
        <w:top w:val="none" w:sz="0" w:space="0" w:color="auto"/>
        <w:left w:val="none" w:sz="0" w:space="0" w:color="auto"/>
        <w:bottom w:val="none" w:sz="0" w:space="0" w:color="auto"/>
        <w:right w:val="none" w:sz="0" w:space="0" w:color="auto"/>
      </w:divBdr>
    </w:div>
    <w:div w:id="617030779">
      <w:bodyDiv w:val="1"/>
      <w:marLeft w:val="0"/>
      <w:marRight w:val="0"/>
      <w:marTop w:val="0"/>
      <w:marBottom w:val="0"/>
      <w:divBdr>
        <w:top w:val="none" w:sz="0" w:space="0" w:color="auto"/>
        <w:left w:val="none" w:sz="0" w:space="0" w:color="auto"/>
        <w:bottom w:val="none" w:sz="0" w:space="0" w:color="auto"/>
        <w:right w:val="none" w:sz="0" w:space="0" w:color="auto"/>
      </w:divBdr>
    </w:div>
    <w:div w:id="655497450">
      <w:bodyDiv w:val="1"/>
      <w:marLeft w:val="0"/>
      <w:marRight w:val="0"/>
      <w:marTop w:val="0"/>
      <w:marBottom w:val="0"/>
      <w:divBdr>
        <w:top w:val="none" w:sz="0" w:space="0" w:color="auto"/>
        <w:left w:val="none" w:sz="0" w:space="0" w:color="auto"/>
        <w:bottom w:val="none" w:sz="0" w:space="0" w:color="auto"/>
        <w:right w:val="none" w:sz="0" w:space="0" w:color="auto"/>
      </w:divBdr>
    </w:div>
    <w:div w:id="665328407">
      <w:bodyDiv w:val="1"/>
      <w:marLeft w:val="0"/>
      <w:marRight w:val="0"/>
      <w:marTop w:val="0"/>
      <w:marBottom w:val="0"/>
      <w:divBdr>
        <w:top w:val="none" w:sz="0" w:space="0" w:color="auto"/>
        <w:left w:val="none" w:sz="0" w:space="0" w:color="auto"/>
        <w:bottom w:val="none" w:sz="0" w:space="0" w:color="auto"/>
        <w:right w:val="none" w:sz="0" w:space="0" w:color="auto"/>
      </w:divBdr>
    </w:div>
    <w:div w:id="718358783">
      <w:bodyDiv w:val="1"/>
      <w:marLeft w:val="0"/>
      <w:marRight w:val="0"/>
      <w:marTop w:val="0"/>
      <w:marBottom w:val="0"/>
      <w:divBdr>
        <w:top w:val="none" w:sz="0" w:space="0" w:color="auto"/>
        <w:left w:val="none" w:sz="0" w:space="0" w:color="auto"/>
        <w:bottom w:val="none" w:sz="0" w:space="0" w:color="auto"/>
        <w:right w:val="none" w:sz="0" w:space="0" w:color="auto"/>
      </w:divBdr>
    </w:div>
    <w:div w:id="753012766">
      <w:bodyDiv w:val="1"/>
      <w:marLeft w:val="0"/>
      <w:marRight w:val="0"/>
      <w:marTop w:val="0"/>
      <w:marBottom w:val="0"/>
      <w:divBdr>
        <w:top w:val="none" w:sz="0" w:space="0" w:color="auto"/>
        <w:left w:val="none" w:sz="0" w:space="0" w:color="auto"/>
        <w:bottom w:val="none" w:sz="0" w:space="0" w:color="auto"/>
        <w:right w:val="none" w:sz="0" w:space="0" w:color="auto"/>
      </w:divBdr>
    </w:div>
    <w:div w:id="854078534">
      <w:bodyDiv w:val="1"/>
      <w:marLeft w:val="0"/>
      <w:marRight w:val="0"/>
      <w:marTop w:val="0"/>
      <w:marBottom w:val="0"/>
      <w:divBdr>
        <w:top w:val="none" w:sz="0" w:space="0" w:color="auto"/>
        <w:left w:val="none" w:sz="0" w:space="0" w:color="auto"/>
        <w:bottom w:val="none" w:sz="0" w:space="0" w:color="auto"/>
        <w:right w:val="none" w:sz="0" w:space="0" w:color="auto"/>
      </w:divBdr>
    </w:div>
    <w:div w:id="1065027499">
      <w:bodyDiv w:val="1"/>
      <w:marLeft w:val="0"/>
      <w:marRight w:val="0"/>
      <w:marTop w:val="0"/>
      <w:marBottom w:val="0"/>
      <w:divBdr>
        <w:top w:val="none" w:sz="0" w:space="0" w:color="auto"/>
        <w:left w:val="none" w:sz="0" w:space="0" w:color="auto"/>
        <w:bottom w:val="none" w:sz="0" w:space="0" w:color="auto"/>
        <w:right w:val="none" w:sz="0" w:space="0" w:color="auto"/>
      </w:divBdr>
    </w:div>
    <w:div w:id="1068264877">
      <w:bodyDiv w:val="1"/>
      <w:marLeft w:val="0"/>
      <w:marRight w:val="0"/>
      <w:marTop w:val="0"/>
      <w:marBottom w:val="0"/>
      <w:divBdr>
        <w:top w:val="none" w:sz="0" w:space="0" w:color="auto"/>
        <w:left w:val="none" w:sz="0" w:space="0" w:color="auto"/>
        <w:bottom w:val="none" w:sz="0" w:space="0" w:color="auto"/>
        <w:right w:val="none" w:sz="0" w:space="0" w:color="auto"/>
      </w:divBdr>
    </w:div>
    <w:div w:id="1195074484">
      <w:bodyDiv w:val="1"/>
      <w:marLeft w:val="0"/>
      <w:marRight w:val="0"/>
      <w:marTop w:val="0"/>
      <w:marBottom w:val="0"/>
      <w:divBdr>
        <w:top w:val="none" w:sz="0" w:space="0" w:color="auto"/>
        <w:left w:val="none" w:sz="0" w:space="0" w:color="auto"/>
        <w:bottom w:val="none" w:sz="0" w:space="0" w:color="auto"/>
        <w:right w:val="none" w:sz="0" w:space="0" w:color="auto"/>
      </w:divBdr>
    </w:div>
    <w:div w:id="1205141892">
      <w:bodyDiv w:val="1"/>
      <w:marLeft w:val="0"/>
      <w:marRight w:val="0"/>
      <w:marTop w:val="0"/>
      <w:marBottom w:val="0"/>
      <w:divBdr>
        <w:top w:val="none" w:sz="0" w:space="0" w:color="auto"/>
        <w:left w:val="none" w:sz="0" w:space="0" w:color="auto"/>
        <w:bottom w:val="none" w:sz="0" w:space="0" w:color="auto"/>
        <w:right w:val="none" w:sz="0" w:space="0" w:color="auto"/>
      </w:divBdr>
    </w:div>
    <w:div w:id="1234588911">
      <w:bodyDiv w:val="1"/>
      <w:marLeft w:val="0"/>
      <w:marRight w:val="0"/>
      <w:marTop w:val="0"/>
      <w:marBottom w:val="0"/>
      <w:divBdr>
        <w:top w:val="none" w:sz="0" w:space="0" w:color="auto"/>
        <w:left w:val="none" w:sz="0" w:space="0" w:color="auto"/>
        <w:bottom w:val="none" w:sz="0" w:space="0" w:color="auto"/>
        <w:right w:val="none" w:sz="0" w:space="0" w:color="auto"/>
      </w:divBdr>
    </w:div>
    <w:div w:id="1590233284">
      <w:bodyDiv w:val="1"/>
      <w:marLeft w:val="0"/>
      <w:marRight w:val="0"/>
      <w:marTop w:val="0"/>
      <w:marBottom w:val="0"/>
      <w:divBdr>
        <w:top w:val="none" w:sz="0" w:space="0" w:color="auto"/>
        <w:left w:val="none" w:sz="0" w:space="0" w:color="auto"/>
        <w:bottom w:val="none" w:sz="0" w:space="0" w:color="auto"/>
        <w:right w:val="none" w:sz="0" w:space="0" w:color="auto"/>
      </w:divBdr>
    </w:div>
    <w:div w:id="1673947470">
      <w:bodyDiv w:val="1"/>
      <w:marLeft w:val="0"/>
      <w:marRight w:val="0"/>
      <w:marTop w:val="0"/>
      <w:marBottom w:val="0"/>
      <w:divBdr>
        <w:top w:val="none" w:sz="0" w:space="0" w:color="auto"/>
        <w:left w:val="none" w:sz="0" w:space="0" w:color="auto"/>
        <w:bottom w:val="none" w:sz="0" w:space="0" w:color="auto"/>
        <w:right w:val="none" w:sz="0" w:space="0" w:color="auto"/>
      </w:divBdr>
    </w:div>
    <w:div w:id="1685861460">
      <w:bodyDiv w:val="1"/>
      <w:marLeft w:val="0"/>
      <w:marRight w:val="0"/>
      <w:marTop w:val="0"/>
      <w:marBottom w:val="0"/>
      <w:divBdr>
        <w:top w:val="none" w:sz="0" w:space="0" w:color="auto"/>
        <w:left w:val="none" w:sz="0" w:space="0" w:color="auto"/>
        <w:bottom w:val="none" w:sz="0" w:space="0" w:color="auto"/>
        <w:right w:val="none" w:sz="0" w:space="0" w:color="auto"/>
      </w:divBdr>
    </w:div>
    <w:div w:id="1692872697">
      <w:bodyDiv w:val="1"/>
      <w:marLeft w:val="0"/>
      <w:marRight w:val="0"/>
      <w:marTop w:val="0"/>
      <w:marBottom w:val="0"/>
      <w:divBdr>
        <w:top w:val="none" w:sz="0" w:space="0" w:color="auto"/>
        <w:left w:val="none" w:sz="0" w:space="0" w:color="auto"/>
        <w:bottom w:val="none" w:sz="0" w:space="0" w:color="auto"/>
        <w:right w:val="none" w:sz="0" w:space="0" w:color="auto"/>
      </w:divBdr>
    </w:div>
    <w:div w:id="1803235076">
      <w:bodyDiv w:val="1"/>
      <w:marLeft w:val="0"/>
      <w:marRight w:val="0"/>
      <w:marTop w:val="0"/>
      <w:marBottom w:val="0"/>
      <w:divBdr>
        <w:top w:val="none" w:sz="0" w:space="0" w:color="auto"/>
        <w:left w:val="none" w:sz="0" w:space="0" w:color="auto"/>
        <w:bottom w:val="none" w:sz="0" w:space="0" w:color="auto"/>
        <w:right w:val="none" w:sz="0" w:space="0" w:color="auto"/>
      </w:divBdr>
    </w:div>
    <w:div w:id="1866166338">
      <w:bodyDiv w:val="1"/>
      <w:marLeft w:val="0"/>
      <w:marRight w:val="0"/>
      <w:marTop w:val="0"/>
      <w:marBottom w:val="0"/>
      <w:divBdr>
        <w:top w:val="none" w:sz="0" w:space="0" w:color="auto"/>
        <w:left w:val="none" w:sz="0" w:space="0" w:color="auto"/>
        <w:bottom w:val="none" w:sz="0" w:space="0" w:color="auto"/>
        <w:right w:val="none" w:sz="0" w:space="0" w:color="auto"/>
      </w:divBdr>
    </w:div>
    <w:div w:id="1918905134">
      <w:bodyDiv w:val="1"/>
      <w:marLeft w:val="0"/>
      <w:marRight w:val="0"/>
      <w:marTop w:val="0"/>
      <w:marBottom w:val="0"/>
      <w:divBdr>
        <w:top w:val="none" w:sz="0" w:space="0" w:color="auto"/>
        <w:left w:val="none" w:sz="0" w:space="0" w:color="auto"/>
        <w:bottom w:val="none" w:sz="0" w:space="0" w:color="auto"/>
        <w:right w:val="none" w:sz="0" w:space="0" w:color="auto"/>
      </w:divBdr>
    </w:div>
    <w:div w:id="1922908602">
      <w:bodyDiv w:val="1"/>
      <w:marLeft w:val="0"/>
      <w:marRight w:val="0"/>
      <w:marTop w:val="0"/>
      <w:marBottom w:val="0"/>
      <w:divBdr>
        <w:top w:val="none" w:sz="0" w:space="0" w:color="auto"/>
        <w:left w:val="none" w:sz="0" w:space="0" w:color="auto"/>
        <w:bottom w:val="none" w:sz="0" w:space="0" w:color="auto"/>
        <w:right w:val="none" w:sz="0" w:space="0" w:color="auto"/>
      </w:divBdr>
    </w:div>
    <w:div w:id="1934434965">
      <w:bodyDiv w:val="1"/>
      <w:marLeft w:val="0"/>
      <w:marRight w:val="0"/>
      <w:marTop w:val="0"/>
      <w:marBottom w:val="0"/>
      <w:divBdr>
        <w:top w:val="none" w:sz="0" w:space="0" w:color="auto"/>
        <w:left w:val="none" w:sz="0" w:space="0" w:color="auto"/>
        <w:bottom w:val="none" w:sz="0" w:space="0" w:color="auto"/>
        <w:right w:val="none" w:sz="0" w:space="0" w:color="auto"/>
      </w:divBdr>
    </w:div>
    <w:div w:id="1968732210">
      <w:bodyDiv w:val="1"/>
      <w:marLeft w:val="0"/>
      <w:marRight w:val="0"/>
      <w:marTop w:val="0"/>
      <w:marBottom w:val="0"/>
      <w:divBdr>
        <w:top w:val="none" w:sz="0" w:space="0" w:color="auto"/>
        <w:left w:val="none" w:sz="0" w:space="0" w:color="auto"/>
        <w:bottom w:val="none" w:sz="0" w:space="0" w:color="auto"/>
        <w:right w:val="none" w:sz="0" w:space="0" w:color="auto"/>
      </w:divBdr>
    </w:div>
    <w:div w:id="2061052461">
      <w:bodyDiv w:val="1"/>
      <w:marLeft w:val="0"/>
      <w:marRight w:val="0"/>
      <w:marTop w:val="0"/>
      <w:marBottom w:val="0"/>
      <w:divBdr>
        <w:top w:val="none" w:sz="0" w:space="0" w:color="auto"/>
        <w:left w:val="none" w:sz="0" w:space="0" w:color="auto"/>
        <w:bottom w:val="none" w:sz="0" w:space="0" w:color="auto"/>
        <w:right w:val="none" w:sz="0" w:space="0" w:color="auto"/>
      </w:divBdr>
    </w:div>
    <w:div w:id="2079863954">
      <w:bodyDiv w:val="1"/>
      <w:marLeft w:val="0"/>
      <w:marRight w:val="0"/>
      <w:marTop w:val="0"/>
      <w:marBottom w:val="0"/>
      <w:divBdr>
        <w:top w:val="none" w:sz="0" w:space="0" w:color="auto"/>
        <w:left w:val="none" w:sz="0" w:space="0" w:color="auto"/>
        <w:bottom w:val="none" w:sz="0" w:space="0" w:color="auto"/>
        <w:right w:val="none" w:sz="0" w:space="0" w:color="auto"/>
      </w:divBdr>
    </w:div>
    <w:div w:id="2098358666">
      <w:bodyDiv w:val="1"/>
      <w:marLeft w:val="0"/>
      <w:marRight w:val="0"/>
      <w:marTop w:val="0"/>
      <w:marBottom w:val="0"/>
      <w:divBdr>
        <w:top w:val="none" w:sz="0" w:space="0" w:color="auto"/>
        <w:left w:val="none" w:sz="0" w:space="0" w:color="auto"/>
        <w:bottom w:val="none" w:sz="0" w:space="0" w:color="auto"/>
        <w:right w:val="none" w:sz="0" w:space="0" w:color="auto"/>
      </w:divBdr>
    </w:div>
    <w:div w:id="2120298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review-of-patient-safety-across-the-health-and-care-landscape/review-of-patient-safety-across-the-health-and-care-landscap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urgent-emergency-care/improving-hospital-discharge/reducing-long-term-stays/multidisciplinary-team-review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digitaltechnology/digitising-the-frontlin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gland.nhs.uk/long-read/good-communication-with-patients-waiting-for-care/" TargetMode="External"/><Relationship Id="rId4" Type="http://schemas.openxmlformats.org/officeDocument/2006/relationships/settings" Target="settings.xml"/><Relationship Id="rId9" Type="http://schemas.openxmlformats.org/officeDocument/2006/relationships/hyperlink" Target="https://www.hee.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B353D-5962-48D3-B6BD-2CE1A448F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2192</Words>
  <Characters>12500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Mahmood</dc:creator>
  <cp:keywords/>
  <dc:description/>
  <cp:lastModifiedBy>k h</cp:lastModifiedBy>
  <cp:revision>4</cp:revision>
  <dcterms:created xsi:type="dcterms:W3CDTF">2026-04-23T22:32:00Z</dcterms:created>
  <dcterms:modified xsi:type="dcterms:W3CDTF">2026-04-23T22:51:00Z</dcterms:modified>
</cp:coreProperties>
</file>