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204A2471" w:rsidR="00307491" w:rsidRDefault="63DA024E" w:rsidP="4C256329">
      <w:r>
        <w:t xml:space="preserve">This essay is going to be looking at how key social elements impact a learner's ability to access education, </w:t>
      </w:r>
      <w:proofErr w:type="gramStart"/>
      <w:r>
        <w:t>all of</w:t>
      </w:r>
      <w:proofErr w:type="gramEnd"/>
      <w:r>
        <w:t xml:space="preserve"> the elements will be linked in with poverty. These elements all hugely impact a learner and their ability to access education, and their ability to break the cycle of deprivation. The following essay is going to be looking at how poverty causes the cycle of deprivation, and how the lack of education can eventually cause the cycle to keep going. Furthermore, this essay is going to be looking at how the UNCRC and the Equality Act 2010 work together to ensure that children can get the good quality education that they are entitled to no matter what their family or personal situation may be. Furthermore, this essay is going to be looking into Gender inequality alongside racial inequality and discrimination and how they all link in with poverty and the cycle of deprivation.</w:t>
      </w:r>
    </w:p>
    <w:p w14:paraId="25D20D6D" w14:textId="2B9C844D" w:rsidR="3A3DE3D5" w:rsidRDefault="3582291D" w:rsidP="3582291D">
      <w:r>
        <w:t>It goes without saying that poverty is one of the most important issues facing the world today, it has many consequences such as low education achievement, health issues, homelessness, and many more consequences that come with poverty. It influences the life chances of millions of people in the UK. Poverty is often determined by income, it has however been accepted that poverty is not just about money, it’s about facing impossible decisions about finances. Poverty is caused by a range of factors, unemployment and lack of education are just two of the factors that cause poverty. They all link together; a lack of education will eventually mean a lack of employment and will eventually cause people to discriminate against those in poverty. It is firmly believed that when a person grows up in a poor household or in poverty, there is a higher possibility of social exclusion which will eventually lead to disturbances in their adulthood education level.</w:t>
      </w:r>
    </w:p>
    <w:p w14:paraId="795F4946" w14:textId="2ECEA803" w:rsidR="3A3DE3D5" w:rsidRDefault="63DA024E" w:rsidP="3582291D">
      <w:r>
        <w:t>As said above, their lack of education will influence their ability to get a job, it will influence their overall health and the quality of their life, there is also the threat of the cycle of deprivation. The cycle of deprivation is a cycle of linked issues related to poverty, they all combine and make a continuous cycle. An example of the cycle of deprivation is poverty, will mean a lack of education, which in turn means a lack of job, which will mean lack of money, no money means no food, and finally back to poverty. The cycle continues and is often passed on to children, it takes good education to get out of the cycle of deprivation, however with the inequality and discrimination facing children and young people who live in poverty, it is hard to break the cycle.</w:t>
      </w:r>
    </w:p>
    <w:p w14:paraId="4DB5FC3C" w14:textId="4FCF28C7" w:rsidR="3A3DE3D5" w:rsidRDefault="35F3CB76" w:rsidP="3A3DE3D5">
      <w:r>
        <w:t xml:space="preserve">“60% children in the lowest reading attainment group at age ten had parents with low literacy scores” (Smith, H, A. 2007) </w:t>
      </w:r>
    </w:p>
    <w:p w14:paraId="35821D5C" w14:textId="7D109C44" w:rsidR="63DA024E" w:rsidRDefault="63DA024E" w:rsidP="63DA024E">
      <w:r>
        <w:t xml:space="preserve">This highlights that children growing up in poverty have a higher disadvantage in education which means that they are less likely to do well at school and they are less likely to achieve more than five good GCSEs, this is because parents without basic education are not able to help their children with homework and therefore children are achieving less that their potential. Poverty affects children in many ways, if parents </w:t>
      </w:r>
      <w:proofErr w:type="gramStart"/>
      <w:r>
        <w:t>have to</w:t>
      </w:r>
      <w:proofErr w:type="gramEnd"/>
      <w:r>
        <w:t xml:space="preserve"> choose between long hours and their children; it is not easy to give children good life chances. </w:t>
      </w:r>
    </w:p>
    <w:p w14:paraId="5C1C68AB" w14:textId="26028B7E" w:rsidR="63DA024E" w:rsidRDefault="63DA024E" w:rsidP="63DA024E">
      <w:pPr>
        <w:rPr>
          <w:rFonts w:eastAsiaTheme="minorEastAsia"/>
        </w:rPr>
      </w:pPr>
      <w:r>
        <w:t xml:space="preserve">The UNCRC is a list of basic human rights that all </w:t>
      </w:r>
      <w:r w:rsidRPr="63DA024E">
        <w:rPr>
          <w:rFonts w:eastAsiaTheme="minorEastAsia"/>
        </w:rPr>
        <w:t xml:space="preserve">children deserve, there are four articles that are the most important as children deserve to be able to go through education without discrimination, they need to be able to be an individual and not seen as someone who comes from a poor family or a different background.  </w:t>
      </w:r>
      <w:r>
        <w:t xml:space="preserve">This declares the rights of the child through articles. One article says that they should be free from discrimination. Education ability is often determined by the area that the child is from. If a child is poor, then their chances at education are slim. This highlights the discrimination and inequality that children from a poor background face </w:t>
      </w:r>
      <w:proofErr w:type="gramStart"/>
      <w:r>
        <w:t>on a daily basis</w:t>
      </w:r>
      <w:proofErr w:type="gramEnd"/>
      <w:r>
        <w:t xml:space="preserve"> in schools. </w:t>
      </w:r>
    </w:p>
    <w:p w14:paraId="033741D7" w14:textId="0EB7E8FD" w:rsidR="79B3B78F" w:rsidRDefault="63DA024E" w:rsidP="63DA024E">
      <w:pPr>
        <w:rPr>
          <w:rFonts w:eastAsiaTheme="minorEastAsia"/>
        </w:rPr>
      </w:pPr>
      <w:r w:rsidRPr="63DA024E">
        <w:rPr>
          <w:rFonts w:eastAsiaTheme="minorEastAsia"/>
        </w:rPr>
        <w:t xml:space="preserve">It is common knowledge that wealthier families can afford more for their children, this gives them an advantage as they are able to go on day trips and experience more than children from poor families, </w:t>
      </w:r>
      <w:r w:rsidRPr="63DA024E">
        <w:rPr>
          <w:rFonts w:eastAsiaTheme="minorEastAsia"/>
        </w:rPr>
        <w:lastRenderedPageBreak/>
        <w:t>who are unable to afford day trips to farms and other educational settings. This results in children having higher marks in tests if they are from a wealthier family, and lower marks if they are from poorer family. Wealthier families can provide new, clean uniform for their children whereas poorer families may not be able to do so.</w:t>
      </w:r>
    </w:p>
    <w:p w14:paraId="31564E71" w14:textId="12551112" w:rsidR="79B3B78F" w:rsidRDefault="63DA024E" w:rsidP="63DA024E">
      <w:pPr>
        <w:rPr>
          <w:rFonts w:eastAsiaTheme="minorEastAsia"/>
        </w:rPr>
      </w:pPr>
      <w:r w:rsidRPr="63DA024E">
        <w:rPr>
          <w:rFonts w:eastAsiaTheme="minorEastAsia"/>
        </w:rPr>
        <w:t>“Headteachers from schools in deprived areas of England, Wales and Northern Ireland say they are having to provide basic services such as washing school uniforms for pupils from poor households” (Adams, R. 2018)</w:t>
      </w:r>
    </w:p>
    <w:p w14:paraId="3340EB82" w14:textId="2E8D2EB9" w:rsidR="79B3B78F" w:rsidRDefault="63DA024E" w:rsidP="63DA024E">
      <w:pPr>
        <w:rPr>
          <w:rFonts w:eastAsiaTheme="minorEastAsia"/>
        </w:rPr>
      </w:pPr>
      <w:r w:rsidRPr="63DA024E">
        <w:rPr>
          <w:rFonts w:eastAsiaTheme="minorEastAsia"/>
        </w:rPr>
        <w:t xml:space="preserve">This has become more common in the poorer areas, children are missing school because their parent simply cannot afford to wash their uniform. They are unable to afford new clothes for their child, so children are often in to small clothes or ripped clothing. It is seen in most schools, where children who have access to free school meals, also need extra support in the basic areas of school uniform. This is affecting children’s ability to attend education as they are ashamed that they have no clean clothes or that they have the same clothes as the year before, </w:t>
      </w:r>
      <w:proofErr w:type="gramStart"/>
      <w:r w:rsidRPr="63DA024E">
        <w:rPr>
          <w:rFonts w:eastAsiaTheme="minorEastAsia"/>
        </w:rPr>
        <w:t>as a result of</w:t>
      </w:r>
      <w:proofErr w:type="gramEnd"/>
      <w:r w:rsidRPr="63DA024E">
        <w:rPr>
          <w:rFonts w:eastAsiaTheme="minorEastAsia"/>
        </w:rPr>
        <w:t xml:space="preserve"> this teachers are trying to help children in any way that they can, even if it means washing their clothes for them. </w:t>
      </w:r>
    </w:p>
    <w:p w14:paraId="24361522" w14:textId="668F8847" w:rsidR="63DA024E" w:rsidRDefault="63DA024E" w:rsidP="63DA024E">
      <w:pPr>
        <w:rPr>
          <w:rFonts w:eastAsiaTheme="minorEastAsia"/>
        </w:rPr>
      </w:pPr>
      <w:r w:rsidRPr="63DA024E">
        <w:rPr>
          <w:rFonts w:eastAsiaTheme="minorEastAsia"/>
        </w:rPr>
        <w:t xml:space="preserve">While poverty is an issue for children, it has become more common for young people aged 14-24 to be in severe poverty. This affects young people going to university as they are unable to afford their basic living fees. Wales has over 30% of young people living in poverty (New policy institute, 2015) </w:t>
      </w:r>
    </w:p>
    <w:p w14:paraId="4EC47D50" w14:textId="410F84CA" w:rsidR="79B3B78F" w:rsidRDefault="63DA024E" w:rsidP="79B3B78F">
      <w:r>
        <w:t xml:space="preserve">Furthermore, the Welsh Government has developed a strategy to eradicate poverty by 2020, this was set out in their 2015 document, the strategy involves policies being put into place. </w:t>
      </w:r>
      <w:proofErr w:type="gramStart"/>
      <w:r>
        <w:t>In order to</w:t>
      </w:r>
      <w:proofErr w:type="gramEnd"/>
      <w:r>
        <w:t xml:space="preserve"> eradicate poverty, people need to understand what it is, there needs to be more awareness about poverty and the living situations of some children. The welsh government believe that partnership and collaboration is a way to eradicate child poverty. Supporting families who live in poverty, giving them advice and supporting them in increasing their household income.</w:t>
      </w:r>
    </w:p>
    <w:p w14:paraId="41DEA4F8" w14:textId="7423F3E8" w:rsidR="5204DB7E" w:rsidRDefault="63DA024E" w:rsidP="5204DB7E">
      <w:r>
        <w:t xml:space="preserve">Furthermore, alongside poverty affecting a child’s ability to access education, schools have a continuous inequality to their system. Teachers use ability methods to group children </w:t>
      </w:r>
      <w:proofErr w:type="gramStart"/>
      <w:r>
        <w:t>in order to</w:t>
      </w:r>
      <w:proofErr w:type="gramEnd"/>
      <w:r>
        <w:t xml:space="preserve"> manage their ability to do the work assigned. Children from “Working-class” families are most likely to be in the low ability groups due to the discrimination that comes alongside “working-class” families. Teachers assume they that because the family are poor, they will have low ability in education. </w:t>
      </w:r>
      <w:proofErr w:type="gramStart"/>
      <w:r>
        <w:t>As a result of</w:t>
      </w:r>
      <w:proofErr w:type="gramEnd"/>
      <w:r>
        <w:t xml:space="preserve"> this curtain children will have to work harder to get places such as University as they are constantly being told they are not able to do something, this may not be said verbally, however, children who are always at the bottom of the ability group see the difference in treatment towards higher ability children and themselves. There are many ways to change this inequality within schools, by placing children in mixed ability groups rather than in single ability, children will learn faster and will be more confident in asking for some help. </w:t>
      </w:r>
    </w:p>
    <w:p w14:paraId="10AF2575" w14:textId="39E5AD0B" w:rsidR="5204DB7E" w:rsidRDefault="63DA024E" w:rsidP="5204DB7E">
      <w:r>
        <w:t>This inequality in schools is affecting a child’s ability to access education as they are less likely to pursue education if they are constantly looked down on and told they are not good enough. The children in lower ability groups have less chance of applying for higher education as they feel they are not smart enough.</w:t>
      </w:r>
    </w:p>
    <w:p w14:paraId="0D3A8101" w14:textId="6336CAF2" w:rsidR="79B3B78F" w:rsidRDefault="63DA024E" w:rsidP="79B3B78F">
      <w:r>
        <w:t xml:space="preserve">The topic of inequality in schools brings in culture inequality, racism is for the most part gone from our society, it is however still seen in schools when it comes to children from different cultures. Children from different races and cultures must work harder than most children to gain acceptance from peers and teachers. </w:t>
      </w:r>
    </w:p>
    <w:p w14:paraId="27314A15" w14:textId="3A020C6F" w:rsidR="79B3B78F" w:rsidRDefault="63DA024E" w:rsidP="79B3B78F">
      <w:r>
        <w:lastRenderedPageBreak/>
        <w:t xml:space="preserve">A child’s ability to access education with all these factors in place is extremely affected, putting poverty, inequality and a child’s race and culture together then the chances of them getting a fair education is slim, the discrimination that they face is everywhere, from their peers, to their teachers. There is a misconception that a child from a cultural background don’t do as well as others in school because of the discrimination they often face in the school setting, however some cultures have a different home environment that does not get them ready for the school environment, this does however cause teachers to expect less of the children due to their lack of knowledge of what they are doing, which again leads into discrimination and inequality. </w:t>
      </w:r>
    </w:p>
    <w:p w14:paraId="342A3644" w14:textId="49491E71" w:rsidR="79B3B78F" w:rsidRDefault="63DA024E" w:rsidP="79B3B78F">
      <w:r>
        <w:t xml:space="preserve">Education is different for each person, people from different cultures have different views on education and teachers are not always considerate of the way different children learn best. This can be overcome by simply looking into the child’s culture and organising an environment where the child will learn best.  </w:t>
      </w:r>
    </w:p>
    <w:p w14:paraId="21FB0CE2" w14:textId="40FAB7F3" w:rsidR="63DA024E" w:rsidRDefault="63DA024E" w:rsidP="63DA024E">
      <w:r>
        <w:t xml:space="preserve">To highlight inequality within society, Gender is one area that that there is severe inequality, gender inequality also links with poverty as women are payed 20% less than men. (The guardian, 2017) </w:t>
      </w:r>
    </w:p>
    <w:p w14:paraId="244F19C7" w14:textId="545626AF" w:rsidR="63DA024E" w:rsidRDefault="63DA024E" w:rsidP="63DA024E">
      <w:r>
        <w:t xml:space="preserve">There are specific subjects that people consider male dominated subjects such as science. The misconception means that women stay away from those areas of teaching. </w:t>
      </w:r>
    </w:p>
    <w:p w14:paraId="66AD1547" w14:textId="34E92FE4" w:rsidR="63DA024E" w:rsidRDefault="63DA024E" w:rsidP="63DA024E">
      <w:pPr>
        <w:rPr>
          <w:rFonts w:ascii="Calibri" w:eastAsia="Calibri" w:hAnsi="Calibri" w:cs="Calibri"/>
          <w:color w:val="000000" w:themeColor="text1"/>
          <w:sz w:val="21"/>
          <w:szCs w:val="21"/>
        </w:rPr>
      </w:pPr>
      <w:r w:rsidRPr="63DA024E">
        <w:rPr>
          <w:rFonts w:ascii="Calibri" w:eastAsia="Calibri" w:hAnsi="Calibri" w:cs="Calibri"/>
          <w:color w:val="000000" w:themeColor="text1"/>
          <w:sz w:val="21"/>
          <w:szCs w:val="21"/>
        </w:rPr>
        <w:t>The Equality Act 2010 is an Act that protects individuals of all backgrounds. The Act prevents workplaces and education establishments from discriminating against the nine protected characteristics, but it also means that discrimination is illegal. A child’s race is one of the protected characteristics, this means that if a child or family member feel that they are being discriminated against, they have the right to take legal action and be protected. Educational settings are no longer able to discriminate against someone's gender.</w:t>
      </w:r>
    </w:p>
    <w:p w14:paraId="07E8E62A" w14:textId="00C26D99" w:rsidR="63DA024E" w:rsidRDefault="63DA024E" w:rsidP="63DA024E">
      <w:r>
        <w:t xml:space="preserve">Within the next couple of year Poverty, discrimination and inequality will hopefully have disappeared. To eradicate poverty will take good education, provide homeless people houses long-term, provide more jobs, improve educational attainment for children in school. These are just a few of the ways that Poverty can be prevented within the next few years. The Equality Act 2010 has worked for most of the discrimination and inequality and it is continuing to make a difference in educational settings. Teachers could make groups mixed ability rather than single ability </w:t>
      </w:r>
      <w:proofErr w:type="gramStart"/>
      <w:r>
        <w:t>in order to</w:t>
      </w:r>
      <w:proofErr w:type="gramEnd"/>
      <w:r>
        <w:t xml:space="preserve"> help children succeed.</w:t>
      </w:r>
    </w:p>
    <w:p w14:paraId="14BD4F65" w14:textId="3EF9AB5A" w:rsidR="63DA024E" w:rsidRDefault="63DA024E" w:rsidP="63DA024E">
      <w:r>
        <w:t xml:space="preserve">To conclude this essay, it is obvious that poverty is one of the biggest issues today, with the ability to create the cycle of deprivation, Poverty affects a child’s ability to access education because children in poverty have a higher disadvantage that children from wealthier families, poverty prevents children and young people from accessing education as they have less chance of succeeding according to schools. Overall the Education system needs to do more </w:t>
      </w:r>
      <w:proofErr w:type="gramStart"/>
      <w:r>
        <w:t>in order to</w:t>
      </w:r>
      <w:proofErr w:type="gramEnd"/>
      <w:r>
        <w:t xml:space="preserve"> allow children to access education without discrimination and inequality. The UNCRC is important for children to be able to access education and be treated as individuals with basic human rights. As an act the Equality Act 2010 is the single most important piece of legislation that was released, giving a voice to people under the nine protected characteristics. All key elements that have been discussed all link in with the cycle of deprivation as it is not only caused by poverty, if a person is discriminated against, then they will not do as well at school, giving them less qualifications, which in turn prevents them from getting a job, no job no food, the cycle will continue the same for someone who has faced inequality within the school setting. Overall, schools need to be able to help children succeed more, rather than focusing on the higher ability children. By giving children the proper education that they deserve, schools are slowly helping to prevent childhood poverty.</w:t>
      </w:r>
    </w:p>
    <w:p w14:paraId="6869F1FB" w14:textId="727D7669" w:rsidR="3A3DE3D5" w:rsidRDefault="3A3DE3D5" w:rsidP="3A3DE3D5"/>
    <w:p w14:paraId="0019D73B" w14:textId="59FFDA20" w:rsidR="3A3DE3D5" w:rsidRDefault="3A3DE3D5" w:rsidP="3A3DE3D5">
      <w:r w:rsidRPr="3A3DE3D5">
        <w:t>References:</w:t>
      </w:r>
    </w:p>
    <w:p w14:paraId="0CDA2E6E" w14:textId="77777777" w:rsidR="00F242A5" w:rsidRDefault="00F242A5" w:rsidP="465C2A39">
      <w:pPr>
        <w:spacing w:line="360" w:lineRule="auto"/>
        <w:rPr>
          <w:rFonts w:ascii="Verdana" w:eastAsia="Verdana" w:hAnsi="Verdana" w:cs="Verdana"/>
          <w:sz w:val="18"/>
          <w:szCs w:val="18"/>
        </w:rPr>
      </w:pPr>
    </w:p>
    <w:p w14:paraId="2933E00B" w14:textId="77777777" w:rsidR="00F242A5" w:rsidRDefault="00F242A5" w:rsidP="63DA024E">
      <w:pPr>
        <w:spacing w:line="360" w:lineRule="auto"/>
        <w:rPr>
          <w:rFonts w:ascii="Verdana" w:eastAsia="Verdana" w:hAnsi="Verdana" w:cs="Verdana"/>
          <w:sz w:val="18"/>
          <w:szCs w:val="18"/>
        </w:rPr>
      </w:pPr>
      <w:r w:rsidRPr="63DA024E">
        <w:rPr>
          <w:rFonts w:ascii="Verdana" w:eastAsia="Verdana" w:hAnsi="Verdana" w:cs="Verdana"/>
          <w:sz w:val="18"/>
          <w:szCs w:val="18"/>
        </w:rPr>
        <w:t xml:space="preserve">Adams, R. (2018) </w:t>
      </w:r>
      <w:r w:rsidRPr="63DA024E">
        <w:rPr>
          <w:rFonts w:ascii="Verdana" w:eastAsia="Verdana" w:hAnsi="Verdana" w:cs="Verdana"/>
          <w:i/>
          <w:iCs/>
          <w:color w:val="121212"/>
          <w:sz w:val="18"/>
          <w:szCs w:val="18"/>
        </w:rPr>
        <w:t xml:space="preserve">Teachers warn of growing poverty crisis in British schools. </w:t>
      </w:r>
      <w:r w:rsidRPr="63DA024E">
        <w:rPr>
          <w:rFonts w:ascii="Verdana" w:eastAsia="Verdana" w:hAnsi="Verdana" w:cs="Verdana"/>
          <w:color w:val="121212"/>
          <w:sz w:val="18"/>
          <w:szCs w:val="18"/>
        </w:rPr>
        <w:t xml:space="preserve">The Guardian. Available at: </w:t>
      </w:r>
      <w:hyperlink r:id="rId6">
        <w:r w:rsidRPr="63DA024E">
          <w:rPr>
            <w:rStyle w:val="Hyperlink"/>
            <w:rFonts w:ascii="Verdana" w:eastAsia="Verdana" w:hAnsi="Verdana" w:cs="Verdana"/>
            <w:sz w:val="18"/>
            <w:szCs w:val="18"/>
          </w:rPr>
          <w:t>https://www.theguardian.com/education/2018/apr/02/teachers-warn-of-growing-poverty-crisis-in-british-schools</w:t>
        </w:r>
      </w:hyperlink>
      <w:r w:rsidRPr="63DA024E">
        <w:rPr>
          <w:rFonts w:ascii="Verdana" w:eastAsia="Verdana" w:hAnsi="Verdana" w:cs="Verdana"/>
          <w:sz w:val="18"/>
          <w:szCs w:val="18"/>
        </w:rPr>
        <w:t xml:space="preserve"> (Accessed: 25/2/19)</w:t>
      </w:r>
    </w:p>
    <w:p w14:paraId="4626D4AC" w14:textId="77777777" w:rsidR="00F242A5" w:rsidRDefault="00F242A5" w:rsidP="63DA024E">
      <w:pPr>
        <w:spacing w:line="360" w:lineRule="auto"/>
        <w:rPr>
          <w:rFonts w:ascii="Verdana" w:eastAsia="Verdana" w:hAnsi="Verdana" w:cs="Verdana"/>
          <w:i/>
          <w:iCs/>
          <w:color w:val="121212"/>
          <w:sz w:val="18"/>
          <w:szCs w:val="18"/>
        </w:rPr>
      </w:pPr>
      <w:proofErr w:type="spellStart"/>
      <w:r w:rsidRPr="63DA024E">
        <w:rPr>
          <w:rFonts w:ascii="Verdana" w:eastAsia="Verdana" w:hAnsi="Verdana" w:cs="Verdana"/>
          <w:sz w:val="18"/>
          <w:szCs w:val="18"/>
        </w:rPr>
        <w:t>Boffey</w:t>
      </w:r>
      <w:proofErr w:type="spellEnd"/>
      <w:r w:rsidRPr="63DA024E">
        <w:rPr>
          <w:rFonts w:ascii="Verdana" w:eastAsia="Verdana" w:hAnsi="Verdana" w:cs="Verdana"/>
          <w:sz w:val="18"/>
          <w:szCs w:val="18"/>
        </w:rPr>
        <w:t xml:space="preserve">, D. (2017) </w:t>
      </w:r>
      <w:r w:rsidRPr="63DA024E">
        <w:rPr>
          <w:rFonts w:ascii="Verdana" w:eastAsia="Verdana" w:hAnsi="Verdana" w:cs="Verdana"/>
          <w:i/>
          <w:iCs/>
          <w:color w:val="121212"/>
          <w:sz w:val="18"/>
          <w:szCs w:val="18"/>
        </w:rPr>
        <w:t xml:space="preserve">UK gender inequality as bad as 10 years ago, EU league table shows. </w:t>
      </w:r>
      <w:r w:rsidRPr="63DA024E">
        <w:rPr>
          <w:rFonts w:ascii="Verdana" w:eastAsia="Verdana" w:hAnsi="Verdana" w:cs="Verdana"/>
          <w:color w:val="121212"/>
          <w:sz w:val="18"/>
          <w:szCs w:val="18"/>
        </w:rPr>
        <w:t xml:space="preserve">The Guardian. Available at: </w:t>
      </w:r>
      <w:hyperlink r:id="rId7">
        <w:r w:rsidRPr="63DA024E">
          <w:rPr>
            <w:rStyle w:val="Hyperlink"/>
            <w:rFonts w:ascii="Verdana" w:eastAsia="Verdana" w:hAnsi="Verdana" w:cs="Verdana"/>
            <w:sz w:val="18"/>
            <w:szCs w:val="18"/>
          </w:rPr>
          <w:t>https://www.theguardian.com/inequality/2017/oct/11/uk-no-further-forward-on-tackling-gender-inequality-eu-league-table-shows</w:t>
        </w:r>
      </w:hyperlink>
      <w:r w:rsidRPr="63DA024E">
        <w:rPr>
          <w:rFonts w:ascii="Verdana" w:eastAsia="Verdana" w:hAnsi="Verdana" w:cs="Verdana"/>
          <w:sz w:val="18"/>
          <w:szCs w:val="18"/>
        </w:rPr>
        <w:t xml:space="preserve"> (Accessed: 25/2/19)</w:t>
      </w:r>
    </w:p>
    <w:p w14:paraId="5AB999AF" w14:textId="77777777" w:rsidR="00F242A5" w:rsidRDefault="00F242A5" w:rsidP="79B3B78F">
      <w:pPr>
        <w:spacing w:line="360" w:lineRule="auto"/>
        <w:rPr>
          <w:rFonts w:ascii="Verdana" w:eastAsia="Verdana" w:hAnsi="Verdana" w:cs="Verdana"/>
          <w:sz w:val="18"/>
          <w:szCs w:val="18"/>
        </w:rPr>
      </w:pPr>
      <w:r w:rsidRPr="79B3B78F">
        <w:rPr>
          <w:rFonts w:ascii="Verdana" w:eastAsia="Verdana" w:hAnsi="Verdana" w:cs="Verdana"/>
          <w:sz w:val="18"/>
          <w:szCs w:val="18"/>
        </w:rPr>
        <w:t xml:space="preserve">Child law advice (2018) </w:t>
      </w:r>
      <w:r w:rsidRPr="79B3B78F">
        <w:rPr>
          <w:rFonts w:ascii="Verdana" w:eastAsia="Verdana" w:hAnsi="Verdana" w:cs="Verdana"/>
          <w:i/>
          <w:iCs/>
          <w:sz w:val="18"/>
          <w:szCs w:val="18"/>
        </w:rPr>
        <w:t xml:space="preserve">Discrimination in education. </w:t>
      </w:r>
      <w:r w:rsidRPr="79B3B78F">
        <w:rPr>
          <w:rFonts w:ascii="Verdana" w:eastAsia="Verdana" w:hAnsi="Verdana" w:cs="Verdana"/>
          <w:sz w:val="18"/>
          <w:szCs w:val="18"/>
        </w:rPr>
        <w:t xml:space="preserve">Available at: </w:t>
      </w:r>
      <w:hyperlink r:id="rId8">
        <w:r w:rsidRPr="79B3B78F">
          <w:rPr>
            <w:rStyle w:val="Hyperlink"/>
            <w:rFonts w:ascii="Verdana" w:eastAsia="Verdana" w:hAnsi="Verdana" w:cs="Verdana"/>
            <w:sz w:val="18"/>
            <w:szCs w:val="18"/>
          </w:rPr>
          <w:t>https://childlawadvice.org.uk/information-pages/discrimination-in-education/</w:t>
        </w:r>
      </w:hyperlink>
      <w:r w:rsidRPr="79B3B78F">
        <w:rPr>
          <w:rFonts w:ascii="Verdana" w:eastAsia="Verdana" w:hAnsi="Verdana" w:cs="Verdana"/>
          <w:sz w:val="18"/>
          <w:szCs w:val="18"/>
        </w:rPr>
        <w:t xml:space="preserve"> (Accessed: 24/2/19)</w:t>
      </w:r>
    </w:p>
    <w:p w14:paraId="1D49A831" w14:textId="77777777" w:rsidR="00F242A5" w:rsidRDefault="00F242A5" w:rsidP="465C2A39">
      <w:pPr>
        <w:spacing w:line="360" w:lineRule="auto"/>
        <w:rPr>
          <w:rFonts w:ascii="Verdana" w:eastAsia="Verdana" w:hAnsi="Verdana" w:cs="Verdana"/>
          <w:i/>
          <w:iCs/>
          <w:color w:val="333333"/>
          <w:sz w:val="18"/>
          <w:szCs w:val="18"/>
        </w:rPr>
      </w:pPr>
      <w:r w:rsidRPr="465C2A39">
        <w:rPr>
          <w:rFonts w:ascii="Verdana" w:eastAsia="Verdana" w:hAnsi="Verdana" w:cs="Verdana"/>
          <w:sz w:val="18"/>
          <w:szCs w:val="18"/>
        </w:rPr>
        <w:t xml:space="preserve">Children and Young People's Commissioner Scotland (2019) </w:t>
      </w:r>
      <w:r w:rsidRPr="465C2A39">
        <w:rPr>
          <w:rFonts w:ascii="Verdana" w:eastAsia="Verdana" w:hAnsi="Verdana" w:cs="Verdana"/>
          <w:i/>
          <w:iCs/>
          <w:sz w:val="18"/>
          <w:szCs w:val="18"/>
        </w:rPr>
        <w:t xml:space="preserve">The United Nations Convention on the Rights of the Child. </w:t>
      </w:r>
      <w:r w:rsidRPr="465C2A39">
        <w:rPr>
          <w:rFonts w:ascii="Verdana" w:eastAsia="Verdana" w:hAnsi="Verdana" w:cs="Verdana"/>
          <w:sz w:val="18"/>
          <w:szCs w:val="18"/>
        </w:rPr>
        <w:t>Available at:</w:t>
      </w:r>
      <w:r w:rsidRPr="465C2A39">
        <w:rPr>
          <w:rFonts w:ascii="Verdana" w:eastAsia="Verdana" w:hAnsi="Verdana" w:cs="Verdana"/>
          <w:color w:val="333333"/>
          <w:sz w:val="18"/>
          <w:szCs w:val="18"/>
        </w:rPr>
        <w:t xml:space="preserve"> </w:t>
      </w:r>
      <w:hyperlink r:id="rId9">
        <w:r w:rsidRPr="465C2A39">
          <w:rPr>
            <w:rStyle w:val="Hyperlink"/>
            <w:rFonts w:ascii="Verdana" w:eastAsia="Verdana" w:hAnsi="Verdana" w:cs="Verdana"/>
            <w:sz w:val="18"/>
            <w:szCs w:val="18"/>
          </w:rPr>
          <w:t>https://www.cypcs.org.uk/rights/uncrc/full-uncrc</w:t>
        </w:r>
      </w:hyperlink>
      <w:r w:rsidRPr="465C2A39">
        <w:rPr>
          <w:rFonts w:ascii="Verdana" w:eastAsia="Verdana" w:hAnsi="Verdana" w:cs="Verdana"/>
          <w:sz w:val="18"/>
          <w:szCs w:val="18"/>
        </w:rPr>
        <w:t xml:space="preserve"> (Accessed: 24/2/19) </w:t>
      </w:r>
    </w:p>
    <w:p w14:paraId="2DC61C92" w14:textId="77777777" w:rsidR="00F242A5" w:rsidRDefault="00F242A5" w:rsidP="79B3B78F">
      <w:pPr>
        <w:spacing w:line="360" w:lineRule="auto"/>
        <w:rPr>
          <w:rFonts w:ascii="Verdana" w:eastAsia="Verdana" w:hAnsi="Verdana" w:cs="Verdana"/>
          <w:i/>
          <w:iCs/>
          <w:sz w:val="18"/>
          <w:szCs w:val="18"/>
        </w:rPr>
      </w:pPr>
      <w:r w:rsidRPr="79B3B78F">
        <w:rPr>
          <w:rFonts w:ascii="Verdana" w:eastAsia="Verdana" w:hAnsi="Verdana" w:cs="Verdana"/>
          <w:i/>
          <w:iCs/>
          <w:sz w:val="18"/>
          <w:szCs w:val="18"/>
        </w:rPr>
        <w:t xml:space="preserve">Equality Act 2010 chapter 15. </w:t>
      </w:r>
      <w:r w:rsidRPr="79B3B78F">
        <w:rPr>
          <w:rFonts w:ascii="Verdana" w:eastAsia="Verdana" w:hAnsi="Verdana" w:cs="Verdana"/>
          <w:sz w:val="18"/>
          <w:szCs w:val="18"/>
        </w:rPr>
        <w:t>Available at:</w:t>
      </w:r>
      <w:hyperlink r:id="rId10">
        <w:r w:rsidRPr="79B3B78F">
          <w:rPr>
            <w:rStyle w:val="Hyperlink"/>
            <w:rFonts w:ascii="Verdana" w:eastAsia="Verdana" w:hAnsi="Verdana" w:cs="Verdana"/>
            <w:sz w:val="18"/>
            <w:szCs w:val="18"/>
          </w:rPr>
          <w:t>http://www.legislation.gov.uk/ukpga/2010/15/pdfs/ukpga_20100015_en.pdf</w:t>
        </w:r>
      </w:hyperlink>
      <w:r w:rsidRPr="79B3B78F">
        <w:rPr>
          <w:rFonts w:ascii="Verdana" w:eastAsia="Verdana" w:hAnsi="Verdana" w:cs="Verdana"/>
          <w:sz w:val="18"/>
          <w:szCs w:val="18"/>
        </w:rPr>
        <w:t xml:space="preserve"> (Accessed: 24/2/19)</w:t>
      </w:r>
    </w:p>
    <w:p w14:paraId="2442CC6E" w14:textId="77777777" w:rsidR="00F242A5" w:rsidRDefault="00F242A5" w:rsidP="5204DB7E">
      <w:pPr>
        <w:spacing w:line="240" w:lineRule="auto"/>
        <w:rPr>
          <w:rFonts w:eastAsiaTheme="minorEastAsia"/>
        </w:rPr>
      </w:pPr>
      <w:proofErr w:type="spellStart"/>
      <w:r w:rsidRPr="5204DB7E">
        <w:rPr>
          <w:rFonts w:eastAsiaTheme="minorEastAsia"/>
        </w:rPr>
        <w:t>Herranz</w:t>
      </w:r>
      <w:proofErr w:type="spellEnd"/>
      <w:r w:rsidRPr="5204DB7E">
        <w:rPr>
          <w:rFonts w:eastAsiaTheme="minorEastAsia"/>
        </w:rPr>
        <w:t xml:space="preserve"> Aguayo, I., Díaz </w:t>
      </w:r>
      <w:proofErr w:type="spellStart"/>
      <w:r w:rsidRPr="5204DB7E">
        <w:rPr>
          <w:rFonts w:eastAsiaTheme="minorEastAsia"/>
        </w:rPr>
        <w:t>Herráiz</w:t>
      </w:r>
      <w:proofErr w:type="spellEnd"/>
      <w:r w:rsidRPr="5204DB7E">
        <w:rPr>
          <w:rFonts w:eastAsiaTheme="minorEastAsia"/>
        </w:rPr>
        <w:t xml:space="preserve">, E., Montenegro Marques, E., Machado, I. &amp; Almeida, S. 2016, "Child at Risk of Poverty or Social Exclusion: Comparative View Between Spain and Portugal in the European Context", </w:t>
      </w:r>
      <w:r w:rsidRPr="5204DB7E">
        <w:rPr>
          <w:rFonts w:eastAsiaTheme="minorEastAsia"/>
          <w:i/>
          <w:iCs/>
        </w:rPr>
        <w:t xml:space="preserve">Social Indicators Research, </w:t>
      </w:r>
      <w:r w:rsidRPr="5204DB7E">
        <w:rPr>
          <w:rFonts w:eastAsiaTheme="minorEastAsia"/>
        </w:rPr>
        <w:t>vol. 129, no. 3, pp. 961-978.</w:t>
      </w:r>
    </w:p>
    <w:p w14:paraId="31A96510" w14:textId="77777777" w:rsidR="00F242A5" w:rsidRDefault="00F242A5" w:rsidP="5204DB7E">
      <w:pPr>
        <w:spacing w:line="240" w:lineRule="auto"/>
        <w:rPr>
          <w:rFonts w:eastAsiaTheme="minorEastAsia"/>
        </w:rPr>
      </w:pPr>
      <w:r w:rsidRPr="5204DB7E">
        <w:rPr>
          <w:rFonts w:eastAsiaTheme="minorEastAsia"/>
        </w:rPr>
        <w:t xml:space="preserve">Hirsch, D. (2007) </w:t>
      </w:r>
      <w:r w:rsidRPr="5204DB7E">
        <w:rPr>
          <w:rFonts w:eastAsiaTheme="minorEastAsia"/>
          <w:i/>
          <w:iCs/>
        </w:rPr>
        <w:t xml:space="preserve">Experience of poverty and educational disadvantage. </w:t>
      </w:r>
      <w:r w:rsidRPr="5204DB7E">
        <w:rPr>
          <w:rFonts w:eastAsiaTheme="minorEastAsia"/>
        </w:rPr>
        <w:t>York: The Joseph Rowntree Foundation. Available at:</w:t>
      </w:r>
      <w:r w:rsidRPr="5204DB7E">
        <w:rPr>
          <w:rFonts w:eastAsiaTheme="minorEastAsia"/>
          <w:color w:val="555555"/>
        </w:rPr>
        <w:t xml:space="preserve"> </w:t>
      </w:r>
      <w:hyperlink r:id="rId11">
        <w:r w:rsidRPr="5204DB7E">
          <w:rPr>
            <w:rStyle w:val="Hyperlink"/>
            <w:rFonts w:eastAsiaTheme="minorEastAsia"/>
          </w:rPr>
          <w:t>https://www.jrf.org.uk/sites/default/files/jrf/migrated/files/2123.pdf</w:t>
        </w:r>
      </w:hyperlink>
      <w:r w:rsidRPr="5204DB7E">
        <w:rPr>
          <w:rFonts w:eastAsiaTheme="minorEastAsia"/>
        </w:rPr>
        <w:t xml:space="preserve">  (Accessed: 21/2/19).</w:t>
      </w:r>
    </w:p>
    <w:p w14:paraId="4A96ED21" w14:textId="77777777" w:rsidR="00F242A5" w:rsidRDefault="00F242A5" w:rsidP="63DA024E">
      <w:pPr>
        <w:spacing w:line="360" w:lineRule="auto"/>
        <w:rPr>
          <w:rFonts w:ascii="Verdana" w:eastAsia="Verdana" w:hAnsi="Verdana" w:cs="Verdana"/>
          <w:i/>
          <w:iCs/>
          <w:sz w:val="18"/>
          <w:szCs w:val="18"/>
        </w:rPr>
      </w:pPr>
      <w:r w:rsidRPr="63DA024E">
        <w:rPr>
          <w:rFonts w:ascii="Verdana" w:eastAsia="Verdana" w:hAnsi="Verdana" w:cs="Verdana"/>
          <w:sz w:val="18"/>
          <w:szCs w:val="18"/>
        </w:rPr>
        <w:t xml:space="preserve">Joseph Rowntree Foundation (2016) </w:t>
      </w:r>
      <w:r w:rsidRPr="63DA024E">
        <w:rPr>
          <w:rFonts w:ascii="Verdana" w:eastAsia="Verdana" w:hAnsi="Verdana" w:cs="Verdana"/>
          <w:i/>
          <w:iCs/>
          <w:sz w:val="18"/>
          <w:szCs w:val="18"/>
        </w:rPr>
        <w:t xml:space="preserve">We can solve poverty in the UK. </w:t>
      </w:r>
      <w:r w:rsidRPr="63DA024E">
        <w:rPr>
          <w:rFonts w:ascii="Verdana" w:eastAsia="Verdana" w:hAnsi="Verdana" w:cs="Verdana"/>
          <w:sz w:val="18"/>
          <w:szCs w:val="18"/>
        </w:rPr>
        <w:t xml:space="preserve">Available at: </w:t>
      </w:r>
      <w:hyperlink r:id="rId12">
        <w:r w:rsidRPr="63DA024E">
          <w:rPr>
            <w:rStyle w:val="Hyperlink"/>
            <w:rFonts w:ascii="Verdana" w:eastAsia="Verdana" w:hAnsi="Verdana" w:cs="Verdana"/>
            <w:sz w:val="18"/>
            <w:szCs w:val="18"/>
          </w:rPr>
          <w:t>https://www.jrf.org.uk/report/we-can-solve-poverty-uk</w:t>
        </w:r>
      </w:hyperlink>
      <w:r w:rsidRPr="63DA024E">
        <w:rPr>
          <w:rFonts w:ascii="Verdana" w:eastAsia="Verdana" w:hAnsi="Verdana" w:cs="Verdana"/>
          <w:sz w:val="18"/>
          <w:szCs w:val="18"/>
        </w:rPr>
        <w:t xml:space="preserve"> (Accessed: 25/2/19)</w:t>
      </w:r>
    </w:p>
    <w:p w14:paraId="1B13EE6C" w14:textId="77777777" w:rsidR="00F242A5" w:rsidRDefault="00F242A5" w:rsidP="5204DB7E">
      <w:pPr>
        <w:spacing w:line="360" w:lineRule="auto"/>
        <w:rPr>
          <w:rFonts w:ascii="Verdana" w:eastAsia="Verdana" w:hAnsi="Verdana" w:cs="Verdana"/>
          <w:sz w:val="18"/>
          <w:szCs w:val="18"/>
        </w:rPr>
      </w:pPr>
      <w:r w:rsidRPr="5204DB7E">
        <w:rPr>
          <w:rFonts w:ascii="Verdana" w:eastAsia="Verdana" w:hAnsi="Verdana" w:cs="Verdana"/>
          <w:sz w:val="18"/>
          <w:szCs w:val="18"/>
        </w:rPr>
        <w:t xml:space="preserve">Joseph Rowntree Foundation (2018) </w:t>
      </w:r>
      <w:r w:rsidRPr="5204DB7E">
        <w:rPr>
          <w:rFonts w:ascii="Verdana" w:eastAsia="Verdana" w:hAnsi="Verdana" w:cs="Verdana"/>
          <w:i/>
          <w:iCs/>
          <w:sz w:val="18"/>
          <w:szCs w:val="18"/>
        </w:rPr>
        <w:t xml:space="preserve">What is poverty? </w:t>
      </w:r>
      <w:r w:rsidRPr="5204DB7E">
        <w:rPr>
          <w:rFonts w:ascii="Verdana" w:eastAsia="Verdana" w:hAnsi="Verdana" w:cs="Verdana"/>
          <w:sz w:val="18"/>
          <w:szCs w:val="18"/>
        </w:rPr>
        <w:t xml:space="preserve">Available at: </w:t>
      </w:r>
      <w:hyperlink r:id="rId13">
        <w:r w:rsidRPr="5204DB7E">
          <w:rPr>
            <w:rStyle w:val="Hyperlink"/>
            <w:rFonts w:ascii="Verdana" w:eastAsia="Verdana" w:hAnsi="Verdana" w:cs="Verdana"/>
            <w:color w:val="auto"/>
            <w:sz w:val="18"/>
            <w:szCs w:val="18"/>
          </w:rPr>
          <w:t>https://www.jrf.org.uk/our-work/what-is-poverty</w:t>
        </w:r>
      </w:hyperlink>
      <w:r w:rsidRPr="5204DB7E">
        <w:rPr>
          <w:rFonts w:ascii="Verdana" w:eastAsia="Verdana" w:hAnsi="Verdana" w:cs="Verdana"/>
          <w:sz w:val="18"/>
          <w:szCs w:val="18"/>
        </w:rPr>
        <w:t xml:space="preserve"> (Accessed: 23/2/19)</w:t>
      </w:r>
    </w:p>
    <w:p w14:paraId="66AE5A22" w14:textId="77777777" w:rsidR="00F242A5" w:rsidRDefault="00F242A5" w:rsidP="79B3B78F">
      <w:pPr>
        <w:spacing w:line="360" w:lineRule="auto"/>
        <w:rPr>
          <w:rFonts w:ascii="Verdana" w:eastAsia="Verdana" w:hAnsi="Verdana" w:cs="Verdana"/>
          <w:caps/>
          <w:color w:val="111111"/>
          <w:sz w:val="18"/>
          <w:szCs w:val="18"/>
        </w:rPr>
      </w:pPr>
      <w:r w:rsidRPr="79B3B78F">
        <w:rPr>
          <w:rFonts w:ascii="Verdana" w:eastAsia="Verdana" w:hAnsi="Verdana" w:cs="Verdana"/>
          <w:sz w:val="18"/>
          <w:szCs w:val="18"/>
        </w:rPr>
        <w:t xml:space="preserve">Lynch, M. (2016) </w:t>
      </w:r>
      <w:r w:rsidRPr="79B3B78F">
        <w:rPr>
          <w:rFonts w:ascii="Verdana" w:eastAsia="Verdana" w:hAnsi="Verdana" w:cs="Verdana"/>
          <w:i/>
          <w:iCs/>
          <w:caps/>
          <w:color w:val="111111"/>
          <w:sz w:val="18"/>
          <w:szCs w:val="18"/>
        </w:rPr>
        <w:t xml:space="preserve">Examining the Impact of Culture on Academic Performance. </w:t>
      </w:r>
      <w:r w:rsidRPr="79B3B78F">
        <w:rPr>
          <w:rFonts w:ascii="Verdana" w:eastAsia="Verdana" w:hAnsi="Verdana" w:cs="Verdana"/>
          <w:sz w:val="18"/>
          <w:szCs w:val="18"/>
        </w:rPr>
        <w:t xml:space="preserve">Available at: </w:t>
      </w:r>
      <w:hyperlink r:id="rId14">
        <w:r w:rsidRPr="79B3B78F">
          <w:rPr>
            <w:rStyle w:val="Hyperlink"/>
            <w:rFonts w:ascii="Verdana" w:eastAsia="Verdana" w:hAnsi="Verdana" w:cs="Verdana"/>
            <w:sz w:val="18"/>
            <w:szCs w:val="18"/>
          </w:rPr>
          <w:t>https://www.theedadvocate.org/examining-the-impact-of-culture-on-academic-performance/</w:t>
        </w:r>
      </w:hyperlink>
      <w:r w:rsidRPr="79B3B78F">
        <w:rPr>
          <w:rFonts w:ascii="Verdana" w:eastAsia="Verdana" w:hAnsi="Verdana" w:cs="Verdana"/>
          <w:sz w:val="18"/>
          <w:szCs w:val="18"/>
        </w:rPr>
        <w:t xml:space="preserve"> (Accessed: 25/2/19)</w:t>
      </w:r>
    </w:p>
    <w:p w14:paraId="49C4AD55" w14:textId="77777777" w:rsidR="00F242A5" w:rsidRDefault="00F242A5" w:rsidP="79B3B78F">
      <w:pPr>
        <w:spacing w:line="360" w:lineRule="auto"/>
        <w:rPr>
          <w:rFonts w:ascii="Verdana" w:eastAsia="Verdana" w:hAnsi="Verdana" w:cs="Verdana"/>
          <w:sz w:val="18"/>
          <w:szCs w:val="18"/>
        </w:rPr>
      </w:pPr>
      <w:r w:rsidRPr="79B3B78F">
        <w:rPr>
          <w:rFonts w:ascii="Verdana" w:eastAsia="Verdana" w:hAnsi="Verdana" w:cs="Verdana"/>
          <w:sz w:val="18"/>
          <w:szCs w:val="18"/>
        </w:rPr>
        <w:t xml:space="preserve">New Policy Institute, (2015) </w:t>
      </w:r>
      <w:r w:rsidRPr="79B3B78F">
        <w:rPr>
          <w:rFonts w:ascii="Verdana" w:eastAsia="Verdana" w:hAnsi="Verdana" w:cs="Verdana"/>
          <w:i/>
          <w:iCs/>
          <w:sz w:val="18"/>
          <w:szCs w:val="18"/>
        </w:rPr>
        <w:t xml:space="preserve">Poverty among young people in the UK. </w:t>
      </w:r>
      <w:r w:rsidRPr="79B3B78F">
        <w:rPr>
          <w:rFonts w:ascii="Verdana" w:eastAsia="Verdana" w:hAnsi="Verdana" w:cs="Verdana"/>
          <w:sz w:val="18"/>
          <w:szCs w:val="18"/>
        </w:rPr>
        <w:t xml:space="preserve">Available at: </w:t>
      </w:r>
      <w:hyperlink r:id="rId15">
        <w:r w:rsidRPr="79B3B78F">
          <w:rPr>
            <w:rStyle w:val="Hyperlink"/>
            <w:rFonts w:ascii="Verdana" w:eastAsia="Verdana" w:hAnsi="Verdana" w:cs="Verdana"/>
            <w:sz w:val="18"/>
            <w:szCs w:val="18"/>
          </w:rPr>
          <w:t>https://www.npi.org.uk/files/7114/2892/2456/Poverty_among_young_people_in_the_UK_FINAL.pdf</w:t>
        </w:r>
      </w:hyperlink>
      <w:r w:rsidRPr="79B3B78F">
        <w:rPr>
          <w:rFonts w:ascii="Verdana" w:eastAsia="Verdana" w:hAnsi="Verdana" w:cs="Verdana"/>
          <w:sz w:val="18"/>
          <w:szCs w:val="18"/>
        </w:rPr>
        <w:t xml:space="preserve"> (Accessed: 25/2/19)</w:t>
      </w:r>
    </w:p>
    <w:p w14:paraId="193A6DB3" w14:textId="77777777" w:rsidR="00F242A5" w:rsidRDefault="00F242A5" w:rsidP="79B3B78F">
      <w:pPr>
        <w:spacing w:line="360" w:lineRule="auto"/>
        <w:rPr>
          <w:rFonts w:ascii="Verdana" w:eastAsia="Verdana" w:hAnsi="Verdana" w:cs="Verdana"/>
          <w:color w:val="121212"/>
          <w:sz w:val="18"/>
          <w:szCs w:val="18"/>
        </w:rPr>
      </w:pPr>
      <w:proofErr w:type="spellStart"/>
      <w:r w:rsidRPr="79B3B78F">
        <w:rPr>
          <w:rFonts w:ascii="Verdana" w:eastAsia="Verdana" w:hAnsi="Verdana" w:cs="Verdana"/>
          <w:color w:val="121212"/>
          <w:sz w:val="18"/>
          <w:szCs w:val="18"/>
        </w:rPr>
        <w:t>Okolosie</w:t>
      </w:r>
      <w:proofErr w:type="spellEnd"/>
      <w:r w:rsidRPr="79B3B78F">
        <w:rPr>
          <w:rFonts w:ascii="Verdana" w:eastAsia="Verdana" w:hAnsi="Verdana" w:cs="Verdana"/>
          <w:color w:val="121212"/>
          <w:sz w:val="18"/>
          <w:szCs w:val="18"/>
        </w:rPr>
        <w:t>, L. (2017) ‘</w:t>
      </w:r>
      <w:r w:rsidRPr="79B3B78F">
        <w:rPr>
          <w:rFonts w:ascii="Verdana" w:eastAsia="Verdana" w:hAnsi="Verdana" w:cs="Verdana"/>
          <w:i/>
          <w:iCs/>
          <w:color w:val="121212"/>
          <w:sz w:val="18"/>
          <w:szCs w:val="18"/>
        </w:rPr>
        <w:t>Racism in schools isn’t just part of the grim past – it’s hiding in plain sight</w:t>
      </w:r>
      <w:r w:rsidRPr="79B3B78F">
        <w:rPr>
          <w:rFonts w:ascii="Verdana" w:eastAsia="Verdana" w:hAnsi="Verdana" w:cs="Verdana"/>
          <w:color w:val="121212"/>
          <w:sz w:val="18"/>
          <w:szCs w:val="18"/>
        </w:rPr>
        <w:t xml:space="preserve">’ The Guardian. Available at: </w:t>
      </w:r>
      <w:hyperlink r:id="rId16">
        <w:r w:rsidRPr="79B3B78F">
          <w:rPr>
            <w:rStyle w:val="Hyperlink"/>
            <w:rFonts w:ascii="Verdana" w:eastAsia="Verdana" w:hAnsi="Verdana" w:cs="Verdana"/>
            <w:sz w:val="18"/>
            <w:szCs w:val="18"/>
          </w:rPr>
          <w:t>https://www.theguardian.com/commentisfree/2017/jul/07/racism-schools-bame-pupils-teachers</w:t>
        </w:r>
      </w:hyperlink>
      <w:r w:rsidRPr="79B3B78F">
        <w:rPr>
          <w:rFonts w:ascii="Verdana" w:eastAsia="Verdana" w:hAnsi="Verdana" w:cs="Verdana"/>
          <w:sz w:val="18"/>
          <w:szCs w:val="18"/>
        </w:rPr>
        <w:t xml:space="preserve"> (Accessed: 25/2/19)</w:t>
      </w:r>
    </w:p>
    <w:p w14:paraId="718F1B01" w14:textId="77777777" w:rsidR="00F242A5" w:rsidRDefault="00F242A5" w:rsidP="79B3B78F">
      <w:pPr>
        <w:spacing w:line="360" w:lineRule="auto"/>
        <w:rPr>
          <w:rFonts w:ascii="Verdana" w:eastAsia="Verdana" w:hAnsi="Verdana" w:cs="Verdana"/>
          <w:sz w:val="18"/>
          <w:szCs w:val="18"/>
        </w:rPr>
      </w:pPr>
      <w:r w:rsidRPr="79B3B78F">
        <w:rPr>
          <w:rFonts w:ascii="Verdana" w:eastAsia="Verdana" w:hAnsi="Verdana" w:cs="Verdana"/>
          <w:sz w:val="18"/>
          <w:szCs w:val="18"/>
        </w:rPr>
        <w:lastRenderedPageBreak/>
        <w:t xml:space="preserve">Reardon, S. (2014) </w:t>
      </w:r>
      <w:r w:rsidRPr="79B3B78F">
        <w:rPr>
          <w:rFonts w:ascii="Verdana" w:eastAsia="Verdana" w:hAnsi="Verdana" w:cs="Verdana"/>
          <w:i/>
          <w:iCs/>
          <w:color w:val="4A4A4A"/>
          <w:sz w:val="18"/>
          <w:szCs w:val="18"/>
        </w:rPr>
        <w:t xml:space="preserve">Income inequality affects our children’s educational opportunities. </w:t>
      </w:r>
      <w:r w:rsidRPr="79B3B78F">
        <w:rPr>
          <w:rFonts w:ascii="Verdana" w:eastAsia="Verdana" w:hAnsi="Verdana" w:cs="Verdana"/>
          <w:color w:val="4A4A4A"/>
          <w:sz w:val="18"/>
          <w:szCs w:val="18"/>
        </w:rPr>
        <w:t xml:space="preserve">Available at: </w:t>
      </w:r>
      <w:hyperlink r:id="rId17">
        <w:r w:rsidRPr="79B3B78F">
          <w:rPr>
            <w:rStyle w:val="Hyperlink"/>
            <w:rFonts w:ascii="Verdana" w:eastAsia="Verdana" w:hAnsi="Verdana" w:cs="Verdana"/>
            <w:sz w:val="18"/>
            <w:szCs w:val="18"/>
          </w:rPr>
          <w:t>https://equitablegrowth.org/income-inequality-affects-our-childrens-educational-opportunities/</w:t>
        </w:r>
      </w:hyperlink>
      <w:r w:rsidRPr="79B3B78F">
        <w:rPr>
          <w:rFonts w:ascii="Verdana" w:eastAsia="Verdana" w:hAnsi="Verdana" w:cs="Verdana"/>
          <w:sz w:val="18"/>
          <w:szCs w:val="18"/>
        </w:rPr>
        <w:t xml:space="preserve"> (Accessed: 24/2/19)</w:t>
      </w:r>
    </w:p>
    <w:p w14:paraId="1A0BF14C" w14:textId="77777777" w:rsidR="00F242A5" w:rsidRDefault="00F242A5" w:rsidP="5204DB7E">
      <w:pPr>
        <w:spacing w:line="360" w:lineRule="auto"/>
        <w:rPr>
          <w:rFonts w:ascii="Verdana" w:eastAsia="Verdana" w:hAnsi="Verdana" w:cs="Verdana"/>
          <w:sz w:val="18"/>
          <w:szCs w:val="18"/>
        </w:rPr>
      </w:pPr>
      <w:r w:rsidRPr="5204DB7E">
        <w:rPr>
          <w:rFonts w:ascii="Verdana" w:eastAsia="Verdana" w:hAnsi="Verdana" w:cs="Verdana"/>
          <w:sz w:val="18"/>
          <w:szCs w:val="18"/>
        </w:rPr>
        <w:t xml:space="preserve">Smith, </w:t>
      </w:r>
      <w:proofErr w:type="gramStart"/>
      <w:r w:rsidRPr="5204DB7E">
        <w:rPr>
          <w:rFonts w:ascii="Verdana" w:eastAsia="Verdana" w:hAnsi="Verdana" w:cs="Verdana"/>
          <w:sz w:val="18"/>
          <w:szCs w:val="18"/>
        </w:rPr>
        <w:t>H,A.</w:t>
      </w:r>
      <w:proofErr w:type="gramEnd"/>
      <w:r w:rsidRPr="5204DB7E">
        <w:rPr>
          <w:rFonts w:ascii="Verdana" w:eastAsia="Verdana" w:hAnsi="Verdana" w:cs="Verdana"/>
          <w:sz w:val="18"/>
          <w:szCs w:val="18"/>
        </w:rPr>
        <w:t xml:space="preserve"> (2007) </w:t>
      </w:r>
      <w:r w:rsidRPr="5204DB7E">
        <w:rPr>
          <w:rFonts w:ascii="Verdana" w:eastAsia="Verdana" w:hAnsi="Verdana" w:cs="Verdana"/>
          <w:i/>
          <w:iCs/>
          <w:sz w:val="18"/>
          <w:szCs w:val="18"/>
        </w:rPr>
        <w:t xml:space="preserve">Overarching Strategy on Understanding  ‘Harder to Reach’ Groups and  Breaking the Cycle of Deprivation. </w:t>
      </w:r>
      <w:r w:rsidRPr="5204DB7E">
        <w:rPr>
          <w:rFonts w:ascii="Verdana" w:eastAsia="Verdana" w:hAnsi="Verdana" w:cs="Verdana"/>
          <w:sz w:val="18"/>
          <w:szCs w:val="18"/>
        </w:rPr>
        <w:t xml:space="preserve">Available at: </w:t>
      </w:r>
      <w:hyperlink r:id="rId18">
        <w:r w:rsidRPr="5204DB7E">
          <w:rPr>
            <w:rStyle w:val="Hyperlink"/>
            <w:rFonts w:ascii="Verdana" w:eastAsia="Verdana" w:hAnsi="Verdana" w:cs="Verdana"/>
            <w:color w:val="auto"/>
            <w:sz w:val="18"/>
            <w:szCs w:val="18"/>
          </w:rPr>
          <w:t>https://www2.oxfordshire.gov.uk/cms/sites/default/files/folders/documents/aboutyourcouncil/plansperformancepolicy/equality/hardertoreachcycledeprivationstrategy.pdf</w:t>
        </w:r>
      </w:hyperlink>
      <w:r w:rsidRPr="5204DB7E">
        <w:rPr>
          <w:rFonts w:ascii="Verdana" w:eastAsia="Verdana" w:hAnsi="Verdana" w:cs="Verdana"/>
          <w:sz w:val="18"/>
          <w:szCs w:val="18"/>
        </w:rPr>
        <w:t xml:space="preserve"> (Accessed: 23/2/19).</w:t>
      </w:r>
    </w:p>
    <w:p w14:paraId="5734B4DE" w14:textId="77777777" w:rsidR="00F242A5" w:rsidRDefault="00F242A5" w:rsidP="465C2A39">
      <w:pPr>
        <w:spacing w:line="360" w:lineRule="auto"/>
        <w:rPr>
          <w:rFonts w:ascii="Verdana" w:eastAsia="Verdana" w:hAnsi="Verdana" w:cs="Verdana"/>
          <w:color w:val="121212"/>
          <w:sz w:val="18"/>
          <w:szCs w:val="18"/>
        </w:rPr>
      </w:pPr>
      <w:r w:rsidRPr="465C2A39">
        <w:rPr>
          <w:rFonts w:ascii="Verdana" w:eastAsia="Verdana" w:hAnsi="Verdana" w:cs="Verdana"/>
          <w:sz w:val="18"/>
          <w:szCs w:val="18"/>
        </w:rPr>
        <w:t>Teague, L. (2017) ‘</w:t>
      </w:r>
      <w:r w:rsidRPr="465C2A39">
        <w:rPr>
          <w:rFonts w:ascii="Verdana" w:eastAsia="Verdana" w:hAnsi="Verdana" w:cs="Verdana"/>
          <w:i/>
          <w:iCs/>
          <w:color w:val="121212"/>
          <w:sz w:val="18"/>
          <w:szCs w:val="18"/>
        </w:rPr>
        <w:t>5 ways teachers can challenge inequality in the classroom</w:t>
      </w:r>
      <w:r w:rsidRPr="465C2A39">
        <w:rPr>
          <w:rFonts w:ascii="Verdana" w:eastAsia="Verdana" w:hAnsi="Verdana" w:cs="Verdana"/>
          <w:color w:val="121212"/>
          <w:sz w:val="18"/>
          <w:szCs w:val="18"/>
        </w:rPr>
        <w:t xml:space="preserve">’ The Guardian. Available at: </w:t>
      </w:r>
      <w:hyperlink r:id="rId19">
        <w:r w:rsidRPr="465C2A39">
          <w:rPr>
            <w:rStyle w:val="Hyperlink"/>
            <w:rFonts w:ascii="Verdana" w:eastAsia="Verdana" w:hAnsi="Verdana" w:cs="Verdana"/>
            <w:sz w:val="18"/>
            <w:szCs w:val="18"/>
          </w:rPr>
          <w:t>https://www.theguardian.com/teacher-network/teacher-blog/2017/sep/16/5-ways-teachers-challenge-inequality-classroom-schools</w:t>
        </w:r>
      </w:hyperlink>
      <w:r w:rsidRPr="465C2A39">
        <w:rPr>
          <w:rFonts w:ascii="Verdana" w:eastAsia="Verdana" w:hAnsi="Verdana" w:cs="Verdana"/>
          <w:sz w:val="18"/>
          <w:szCs w:val="18"/>
        </w:rPr>
        <w:t xml:space="preserve"> (Accessed: 24/2/19)</w:t>
      </w:r>
    </w:p>
    <w:p w14:paraId="1C0B94B3" w14:textId="77777777" w:rsidR="00F242A5" w:rsidRDefault="00F242A5" w:rsidP="79B3B78F">
      <w:pPr>
        <w:rPr>
          <w:rFonts w:ascii="Verdana" w:eastAsia="Verdana" w:hAnsi="Verdana" w:cs="Verdana"/>
          <w:i/>
          <w:iCs/>
          <w:sz w:val="18"/>
          <w:szCs w:val="18"/>
        </w:rPr>
      </w:pPr>
      <w:r w:rsidRPr="79B3B78F">
        <w:rPr>
          <w:rFonts w:ascii="Verdana" w:eastAsia="Verdana" w:hAnsi="Verdana" w:cs="Verdana"/>
          <w:sz w:val="18"/>
          <w:szCs w:val="18"/>
        </w:rPr>
        <w:t>The Welsh government (2015)</w:t>
      </w:r>
      <w:r w:rsidRPr="79B3B78F">
        <w:rPr>
          <w:rFonts w:ascii="Verdana" w:eastAsia="Verdana" w:hAnsi="Verdana" w:cs="Verdana"/>
          <w:i/>
          <w:iCs/>
          <w:sz w:val="18"/>
          <w:szCs w:val="18"/>
        </w:rPr>
        <w:t xml:space="preserve"> Child Poverty Strategy for Wales. </w:t>
      </w:r>
      <w:r w:rsidRPr="79B3B78F">
        <w:rPr>
          <w:rFonts w:ascii="Verdana" w:eastAsia="Verdana" w:hAnsi="Verdana" w:cs="Verdana"/>
          <w:sz w:val="18"/>
          <w:szCs w:val="18"/>
        </w:rPr>
        <w:t xml:space="preserve">Available at: </w:t>
      </w:r>
      <w:hyperlink r:id="rId20">
        <w:r w:rsidRPr="79B3B78F">
          <w:rPr>
            <w:rStyle w:val="Hyperlink"/>
            <w:rFonts w:ascii="Verdana" w:eastAsia="Verdana" w:hAnsi="Verdana" w:cs="Verdana"/>
            <w:sz w:val="18"/>
            <w:szCs w:val="18"/>
          </w:rPr>
          <w:t>https://gov.wales/docs/dsjlg/publications/150327-child-poverty-strategy-walesv2-en.pdf</w:t>
        </w:r>
      </w:hyperlink>
      <w:r w:rsidRPr="79B3B78F">
        <w:rPr>
          <w:rFonts w:ascii="Verdana" w:eastAsia="Verdana" w:hAnsi="Verdana" w:cs="Verdana"/>
          <w:sz w:val="18"/>
          <w:szCs w:val="18"/>
        </w:rPr>
        <w:t xml:space="preserve"> (Accessed:24/2/19)</w:t>
      </w:r>
    </w:p>
    <w:p w14:paraId="035447A9" w14:textId="77777777" w:rsidR="00F242A5" w:rsidRDefault="00F242A5" w:rsidP="465C2A39">
      <w:pPr>
        <w:pStyle w:val="Heading1"/>
        <w:spacing w:line="240" w:lineRule="auto"/>
        <w:rPr>
          <w:rFonts w:ascii="Calibri" w:eastAsia="Calibri" w:hAnsi="Calibri" w:cs="Calibri"/>
          <w:color w:val="auto"/>
          <w:sz w:val="22"/>
          <w:szCs w:val="22"/>
        </w:rPr>
      </w:pPr>
      <w:proofErr w:type="spellStart"/>
      <w:r w:rsidRPr="465C2A39">
        <w:rPr>
          <w:rFonts w:ascii="Verdana" w:eastAsia="Verdana" w:hAnsi="Verdana" w:cs="Verdana"/>
          <w:color w:val="000000" w:themeColor="text1"/>
          <w:sz w:val="18"/>
          <w:szCs w:val="18"/>
        </w:rPr>
        <w:t>Unicef</w:t>
      </w:r>
      <w:proofErr w:type="spellEnd"/>
      <w:r w:rsidRPr="465C2A39">
        <w:rPr>
          <w:rFonts w:ascii="Verdana" w:eastAsia="Verdana" w:hAnsi="Verdana" w:cs="Verdana"/>
          <w:color w:val="000000" w:themeColor="text1"/>
          <w:sz w:val="18"/>
          <w:szCs w:val="18"/>
        </w:rPr>
        <w:t xml:space="preserve"> (2018) </w:t>
      </w:r>
      <w:r w:rsidRPr="465C2A39">
        <w:rPr>
          <w:rFonts w:ascii="Verdana" w:eastAsia="Verdana" w:hAnsi="Verdana" w:cs="Verdana"/>
          <w:i/>
          <w:iCs/>
          <w:caps/>
          <w:color w:val="000000" w:themeColor="text1"/>
          <w:sz w:val="18"/>
          <w:szCs w:val="18"/>
        </w:rPr>
        <w:t>How we protect children's rights with the UN Convention</w:t>
      </w:r>
      <w:r>
        <w:br/>
      </w:r>
      <w:r w:rsidRPr="465C2A39">
        <w:rPr>
          <w:rFonts w:ascii="Verdana" w:eastAsia="Verdana" w:hAnsi="Verdana" w:cs="Verdana"/>
          <w:i/>
          <w:iCs/>
          <w:caps/>
          <w:color w:val="000000" w:themeColor="text1"/>
          <w:sz w:val="18"/>
          <w:szCs w:val="18"/>
        </w:rPr>
        <w:t xml:space="preserve"> on the Rights of the Child. </w:t>
      </w:r>
      <w:r w:rsidRPr="465C2A39">
        <w:rPr>
          <w:rFonts w:ascii="Verdana" w:eastAsia="Verdana" w:hAnsi="Verdana" w:cs="Verdana"/>
          <w:color w:val="auto"/>
          <w:sz w:val="18"/>
          <w:szCs w:val="18"/>
        </w:rPr>
        <w:t>Available at:</w:t>
      </w:r>
      <w:r>
        <w:t xml:space="preserve"> </w:t>
      </w:r>
      <w:hyperlink r:id="rId21">
        <w:r w:rsidRPr="465C2A39">
          <w:rPr>
            <w:rStyle w:val="Hyperlink"/>
            <w:rFonts w:ascii="Calibri" w:eastAsia="Calibri" w:hAnsi="Calibri" w:cs="Calibri"/>
            <w:sz w:val="22"/>
            <w:szCs w:val="22"/>
          </w:rPr>
          <w:t>https://www.unicef.org.uk/what-we-do/un-convention-child-rights/</w:t>
        </w:r>
      </w:hyperlink>
      <w:r w:rsidRPr="465C2A39">
        <w:rPr>
          <w:rFonts w:ascii="Calibri" w:eastAsia="Calibri" w:hAnsi="Calibri" w:cs="Calibri"/>
          <w:color w:val="auto"/>
          <w:sz w:val="22"/>
          <w:szCs w:val="22"/>
        </w:rPr>
        <w:t xml:space="preserve"> (Accessed: 24/2/19)</w:t>
      </w:r>
    </w:p>
    <w:p w14:paraId="534DCD73" w14:textId="77777777" w:rsidR="00F242A5" w:rsidRDefault="00F242A5" w:rsidP="5204DB7E">
      <w:pPr>
        <w:spacing w:line="360" w:lineRule="auto"/>
        <w:rPr>
          <w:rFonts w:ascii="Verdana" w:eastAsia="Verdana" w:hAnsi="Verdana" w:cs="Verdana"/>
          <w:sz w:val="18"/>
          <w:szCs w:val="18"/>
        </w:rPr>
      </w:pPr>
      <w:r w:rsidRPr="5204DB7E">
        <w:rPr>
          <w:rFonts w:ascii="Verdana" w:eastAsia="Verdana" w:hAnsi="Verdana" w:cs="Verdana"/>
          <w:sz w:val="18"/>
          <w:szCs w:val="18"/>
        </w:rPr>
        <w:t xml:space="preserve">WHELAN, C.T. and MAITRE, B., 2012. Identifying Childhood Deprivation: How Well Do National Indicators of Poverty and Social Exclusion in Ireland </w:t>
      </w:r>
      <w:proofErr w:type="gramStart"/>
      <w:r w:rsidRPr="5204DB7E">
        <w:rPr>
          <w:rFonts w:ascii="Verdana" w:eastAsia="Verdana" w:hAnsi="Verdana" w:cs="Verdana"/>
          <w:sz w:val="18"/>
          <w:szCs w:val="18"/>
        </w:rPr>
        <w:t>Perform?*</w:t>
      </w:r>
      <w:proofErr w:type="gramEnd"/>
      <w:r w:rsidRPr="5204DB7E">
        <w:rPr>
          <w:rFonts w:ascii="Verdana" w:eastAsia="Verdana" w:hAnsi="Verdana" w:cs="Verdana"/>
          <w:sz w:val="18"/>
          <w:szCs w:val="18"/>
        </w:rPr>
        <w:t xml:space="preserve">. </w:t>
      </w:r>
      <w:r w:rsidRPr="5204DB7E">
        <w:rPr>
          <w:rFonts w:ascii="Verdana" w:eastAsia="Verdana" w:hAnsi="Verdana" w:cs="Verdana"/>
          <w:i/>
          <w:iCs/>
          <w:sz w:val="18"/>
          <w:szCs w:val="18"/>
        </w:rPr>
        <w:t xml:space="preserve">The Economic and Social Review, </w:t>
      </w:r>
      <w:r w:rsidRPr="5204DB7E">
        <w:rPr>
          <w:rFonts w:ascii="Verdana" w:eastAsia="Verdana" w:hAnsi="Verdana" w:cs="Verdana"/>
          <w:b/>
          <w:bCs/>
          <w:sz w:val="18"/>
          <w:szCs w:val="18"/>
        </w:rPr>
        <w:t>43</w:t>
      </w:r>
      <w:r w:rsidRPr="5204DB7E">
        <w:rPr>
          <w:rFonts w:ascii="Verdana" w:eastAsia="Verdana" w:hAnsi="Verdana" w:cs="Verdana"/>
          <w:sz w:val="18"/>
          <w:szCs w:val="18"/>
        </w:rPr>
        <w:t xml:space="preserve">(2), pp. 251-272. </w:t>
      </w:r>
    </w:p>
    <w:p w14:paraId="602EA60D" w14:textId="14D8648F" w:rsidR="63DA024E" w:rsidRDefault="63DA024E" w:rsidP="63DA024E">
      <w:pPr>
        <w:spacing w:line="360" w:lineRule="auto"/>
        <w:rPr>
          <w:rFonts w:ascii="Verdana" w:eastAsia="Verdana" w:hAnsi="Verdana" w:cs="Verdana"/>
          <w:sz w:val="18"/>
          <w:szCs w:val="18"/>
        </w:rPr>
      </w:pPr>
    </w:p>
    <w:p w14:paraId="3879A1F4" w14:textId="7D89DB28" w:rsidR="79B3B78F" w:rsidRDefault="79B3B78F" w:rsidP="79B3B78F">
      <w:pPr>
        <w:spacing w:line="360" w:lineRule="auto"/>
        <w:rPr>
          <w:rFonts w:ascii="Verdana" w:eastAsia="Verdana" w:hAnsi="Verdana" w:cs="Verdana"/>
          <w:sz w:val="18"/>
          <w:szCs w:val="18"/>
        </w:rPr>
      </w:pPr>
      <w:bookmarkStart w:id="0" w:name="_GoBack"/>
      <w:bookmarkEnd w:id="0"/>
    </w:p>
    <w:sectPr w:rsidR="79B3B78F">
      <w:headerReference w:type="default" r:id="rId22"/>
      <w:foot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1F1C10" w14:textId="77777777" w:rsidR="00000000" w:rsidRDefault="00655497">
      <w:pPr>
        <w:spacing w:after="0" w:line="240" w:lineRule="auto"/>
      </w:pPr>
      <w:r>
        <w:separator/>
      </w:r>
    </w:p>
  </w:endnote>
  <w:endnote w:type="continuationSeparator" w:id="0">
    <w:p w14:paraId="335AE3D1" w14:textId="77777777" w:rsidR="00000000" w:rsidRDefault="00655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23F2A842" w14:paraId="0DEB970A" w14:textId="77777777" w:rsidTr="23F2A842">
      <w:tc>
        <w:tcPr>
          <w:tcW w:w="3009" w:type="dxa"/>
        </w:tcPr>
        <w:p w14:paraId="4E76A934" w14:textId="5838B981" w:rsidR="23F2A842" w:rsidRDefault="23F2A842" w:rsidP="23F2A842">
          <w:pPr>
            <w:pStyle w:val="Header"/>
            <w:ind w:left="-115"/>
          </w:pPr>
        </w:p>
      </w:tc>
      <w:tc>
        <w:tcPr>
          <w:tcW w:w="3009" w:type="dxa"/>
        </w:tcPr>
        <w:p w14:paraId="01AE5968" w14:textId="76BAEC01" w:rsidR="23F2A842" w:rsidRDefault="23F2A842" w:rsidP="23F2A842">
          <w:pPr>
            <w:pStyle w:val="Header"/>
            <w:jc w:val="center"/>
          </w:pPr>
        </w:p>
      </w:tc>
      <w:tc>
        <w:tcPr>
          <w:tcW w:w="3009" w:type="dxa"/>
        </w:tcPr>
        <w:p w14:paraId="46D8F8F8" w14:textId="119F5F16" w:rsidR="23F2A842" w:rsidRDefault="23F2A842" w:rsidP="23F2A842">
          <w:pPr>
            <w:pStyle w:val="Header"/>
            <w:ind w:right="-115"/>
            <w:jc w:val="right"/>
          </w:pPr>
        </w:p>
      </w:tc>
    </w:tr>
  </w:tbl>
  <w:p w14:paraId="53AE6154" w14:textId="16B3C0F1" w:rsidR="23F2A842" w:rsidRDefault="23F2A842" w:rsidP="23F2A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131A8B" w14:textId="77777777" w:rsidR="00000000" w:rsidRDefault="00655497">
      <w:pPr>
        <w:spacing w:after="0" w:line="240" w:lineRule="auto"/>
      </w:pPr>
      <w:r>
        <w:separator/>
      </w:r>
    </w:p>
  </w:footnote>
  <w:footnote w:type="continuationSeparator" w:id="0">
    <w:p w14:paraId="3C0109F6" w14:textId="77777777" w:rsidR="00000000" w:rsidRDefault="006554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23F2A842" w14:paraId="09BF3B78" w14:textId="77777777" w:rsidTr="23F2A842">
      <w:tc>
        <w:tcPr>
          <w:tcW w:w="3009" w:type="dxa"/>
        </w:tcPr>
        <w:p w14:paraId="6CF2AC79" w14:textId="24D5470B" w:rsidR="23F2A842" w:rsidRDefault="23F2A842" w:rsidP="23F2A842">
          <w:pPr>
            <w:pStyle w:val="Header"/>
            <w:ind w:left="-115"/>
          </w:pPr>
        </w:p>
      </w:tc>
      <w:tc>
        <w:tcPr>
          <w:tcW w:w="3009" w:type="dxa"/>
        </w:tcPr>
        <w:p w14:paraId="58797A1C" w14:textId="23D506BF" w:rsidR="23F2A842" w:rsidRDefault="23F2A842" w:rsidP="23F2A842">
          <w:pPr>
            <w:pStyle w:val="Header"/>
            <w:jc w:val="center"/>
          </w:pPr>
        </w:p>
      </w:tc>
      <w:tc>
        <w:tcPr>
          <w:tcW w:w="3009" w:type="dxa"/>
        </w:tcPr>
        <w:p w14:paraId="135704EB" w14:textId="0D008F20" w:rsidR="23F2A842" w:rsidRDefault="23F2A842" w:rsidP="23F2A842">
          <w:pPr>
            <w:pStyle w:val="Header"/>
            <w:ind w:right="-115"/>
            <w:jc w:val="right"/>
          </w:pPr>
        </w:p>
      </w:tc>
    </w:tr>
  </w:tbl>
  <w:p w14:paraId="6A3BEFF9" w14:textId="7B9DDD29" w:rsidR="23F2A842" w:rsidRDefault="23F2A842" w:rsidP="23F2A8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228B4A"/>
    <w:rsid w:val="00307491"/>
    <w:rsid w:val="00655497"/>
    <w:rsid w:val="00F242A5"/>
    <w:rsid w:val="23F2A842"/>
    <w:rsid w:val="3582291D"/>
    <w:rsid w:val="35F3CB76"/>
    <w:rsid w:val="3A3DE3D5"/>
    <w:rsid w:val="41A453FA"/>
    <w:rsid w:val="465C2A39"/>
    <w:rsid w:val="4C256329"/>
    <w:rsid w:val="5204DB7E"/>
    <w:rsid w:val="63DA024E"/>
    <w:rsid w:val="6A228B4A"/>
    <w:rsid w:val="72FE682F"/>
    <w:rsid w:val="79B3B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28B4A"/>
  <w15:chartTrackingRefBased/>
  <w15:docId w15:val="{E6613946-684F-4DF0-8A1D-83D18BE81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lawadvice.org.uk/information-pages/discrimination-in-education/" TargetMode="External"/><Relationship Id="rId13" Type="http://schemas.openxmlformats.org/officeDocument/2006/relationships/hyperlink" Target="https://www.jrf.org.uk/our-work/what-is-poverty" TargetMode="External"/><Relationship Id="rId18" Type="http://schemas.openxmlformats.org/officeDocument/2006/relationships/hyperlink" Target="https://www2.oxfordshire.gov.uk/cms/sites/default/files/folders/documents/aboutyourcouncil/plansperformancepolicy/equality/hardertoreachcycledeprivationstrategy.pdf" TargetMode="External"/><Relationship Id="rId3" Type="http://schemas.openxmlformats.org/officeDocument/2006/relationships/webSettings" Target="webSettings.xml"/><Relationship Id="rId21" Type="http://schemas.openxmlformats.org/officeDocument/2006/relationships/hyperlink" Target="https://www.unicef.org.uk/what-we-do/un-convention-child-rights/" TargetMode="External"/><Relationship Id="rId7" Type="http://schemas.openxmlformats.org/officeDocument/2006/relationships/hyperlink" Target="https://www.theguardian.com/inequality/2017/oct/11/uk-no-further-forward-on-tackling-gender-inequality-eu-league-table-shows" TargetMode="External"/><Relationship Id="rId12" Type="http://schemas.openxmlformats.org/officeDocument/2006/relationships/hyperlink" Target="https://www.jrf.org.uk/report/we-can-solve-poverty-uk" TargetMode="External"/><Relationship Id="rId17" Type="http://schemas.openxmlformats.org/officeDocument/2006/relationships/hyperlink" Target="https://equitablegrowth.org/income-inequality-affects-our-childrens-educational-opportunitie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theguardian.com/commentisfree/2017/jul/07/racism-schools-bame-pupils-teachers" TargetMode="External"/><Relationship Id="rId20" Type="http://schemas.openxmlformats.org/officeDocument/2006/relationships/hyperlink" Target="https://gov.wales/docs/dsjlg/publications/150327-child-poverty-strategy-walesv2-en.pdf" TargetMode="External"/><Relationship Id="rId1" Type="http://schemas.openxmlformats.org/officeDocument/2006/relationships/styles" Target="styles.xml"/><Relationship Id="rId6" Type="http://schemas.openxmlformats.org/officeDocument/2006/relationships/hyperlink" Target="https://www.theguardian.com/education/2018/apr/02/teachers-warn-of-growing-poverty-crisis-in-british-schools" TargetMode="External"/><Relationship Id="rId11" Type="http://schemas.openxmlformats.org/officeDocument/2006/relationships/hyperlink" Target="https://www.jrf.org.uk/sites/default/files/jrf/migrated/files/2123.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npi.org.u0k/files/7114/2892/2456/Poverty_among_young_people_in_the_UK_FINAL.pdf" TargetMode="External"/><Relationship Id="rId23" Type="http://schemas.openxmlformats.org/officeDocument/2006/relationships/footer" Target="footer1.xml"/><Relationship Id="rId10" Type="http://schemas.openxmlformats.org/officeDocument/2006/relationships/hyperlink" Target="http://www.legislation.gov.uk/ukpga/2010/15/pdfs/ukpga_20100015_en.pdf" TargetMode="External"/><Relationship Id="rId19" Type="http://schemas.openxmlformats.org/officeDocument/2006/relationships/hyperlink" Target="https://www.theguardian.com/teacher-network/teacher-blog/2017/sep/16/5-ways-teachers-challenge-inequality-classroom-schools" TargetMode="External"/><Relationship Id="rId4" Type="http://schemas.openxmlformats.org/officeDocument/2006/relationships/footnotes" Target="footnotes.xml"/><Relationship Id="rId9" Type="http://schemas.openxmlformats.org/officeDocument/2006/relationships/hyperlink" Target="https://www.cypcs.org.uk/rights/uncrc/full-uncrc" TargetMode="External"/><Relationship Id="rId14" Type="http://schemas.openxmlformats.org/officeDocument/2006/relationships/hyperlink" Target="https://www.theedadvocate.org/examining-the-impact-of-culture-on-academic-performanc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2619</Words>
  <Characters>14932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Shannon Cox (1703980)</cp:lastModifiedBy>
  <cp:revision>2</cp:revision>
  <dcterms:created xsi:type="dcterms:W3CDTF">2019-02-25T21:04:00Z</dcterms:created>
  <dcterms:modified xsi:type="dcterms:W3CDTF">2019-02-25T21:04:00Z</dcterms:modified>
</cp:coreProperties>
</file>