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DA9BCA" w14:textId="6192B9AA" w:rsidR="001C05C6" w:rsidRPr="0006282E" w:rsidRDefault="001C05C6"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 xml:space="preserve">Does heritage have ethical boundaries? </w:t>
      </w:r>
    </w:p>
    <w:p w14:paraId="61589582" w14:textId="784C4508" w:rsidR="00C51587" w:rsidRPr="0006282E" w:rsidRDefault="00AA6B8B"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ab/>
        <w:t xml:space="preserve">Each and every profession in the world has a code of ethics, this includes the Heritage and Museums sector.  </w:t>
      </w:r>
      <w:r w:rsidR="00F0518F" w:rsidRPr="0006282E">
        <w:rPr>
          <w:rFonts w:ascii="Arial Unicode MS" w:eastAsia="Arial Unicode MS" w:hAnsi="Arial Unicode MS" w:cs="Arial Unicode MS"/>
        </w:rPr>
        <w:t>Heritage sites and Museums are on the front line of public appreciation and so have to be personal and haphazard places.</w:t>
      </w:r>
      <w:r w:rsidRPr="0006282E">
        <w:rPr>
          <w:rFonts w:ascii="Arial Unicode MS" w:eastAsia="Arial Unicode MS" w:hAnsi="Arial Unicode MS" w:cs="Arial Unicode MS"/>
        </w:rPr>
        <w:t xml:space="preserve"> Due to this trust, Museums and Heritage sites</w:t>
      </w:r>
      <w:r w:rsidR="00DD2B23" w:rsidRPr="0006282E">
        <w:rPr>
          <w:rFonts w:ascii="Arial Unicode MS" w:eastAsia="Arial Unicode MS" w:hAnsi="Arial Unicode MS" w:cs="Arial Unicode MS"/>
        </w:rPr>
        <w:t xml:space="preserve"> </w:t>
      </w:r>
      <w:r w:rsidRPr="0006282E">
        <w:rPr>
          <w:rFonts w:ascii="Arial Unicode MS" w:eastAsia="Arial Unicode MS" w:hAnsi="Arial Unicode MS" w:cs="Arial Unicode MS"/>
        </w:rPr>
        <w:t xml:space="preserve">must uphold their trust in an ethical concern but they also have a legal responsibility </w:t>
      </w:r>
      <w:r w:rsidR="00DD2B23" w:rsidRPr="0006282E">
        <w:rPr>
          <w:rFonts w:ascii="Arial Unicode MS" w:eastAsia="Arial Unicode MS" w:hAnsi="Arial Unicode MS" w:cs="Arial Unicode MS"/>
        </w:rPr>
        <w:t>in</w:t>
      </w:r>
      <w:r w:rsidRPr="0006282E">
        <w:rPr>
          <w:rFonts w:ascii="Arial Unicode MS" w:eastAsia="Arial Unicode MS" w:hAnsi="Arial Unicode MS" w:cs="Arial Unicode MS"/>
        </w:rPr>
        <w:t xml:space="preserve"> upholding </w:t>
      </w:r>
      <w:r w:rsidR="00DD2B23" w:rsidRPr="0006282E">
        <w:rPr>
          <w:rFonts w:ascii="Arial Unicode MS" w:eastAsia="Arial Unicode MS" w:hAnsi="Arial Unicode MS" w:cs="Arial Unicode MS"/>
        </w:rPr>
        <w:t>a code of ethics.</w:t>
      </w:r>
      <w:r w:rsidR="00761F18" w:rsidRPr="0006282E">
        <w:rPr>
          <w:rStyle w:val="FootnoteReference"/>
          <w:rFonts w:ascii="Arial Unicode MS" w:eastAsia="Arial Unicode MS" w:hAnsi="Arial Unicode MS" w:cs="Arial Unicode MS"/>
        </w:rPr>
        <w:footnoteReference w:id="1"/>
      </w:r>
      <w:r w:rsidRPr="0006282E">
        <w:rPr>
          <w:rFonts w:ascii="Arial Unicode MS" w:eastAsia="Arial Unicode MS" w:hAnsi="Arial Unicode MS" w:cs="Arial Unicode MS"/>
        </w:rPr>
        <w:t xml:space="preserve"> </w:t>
      </w:r>
      <w:r w:rsidR="00F0518F" w:rsidRPr="0006282E">
        <w:rPr>
          <w:rFonts w:ascii="Arial Unicode MS" w:eastAsia="Arial Unicode MS" w:hAnsi="Arial Unicode MS" w:cs="Arial Unicode MS"/>
        </w:rPr>
        <w:t xml:space="preserve"> Museums are also places of ideas and not just objects and so they have to keep with the times</w:t>
      </w:r>
      <w:r w:rsidR="00D05B46" w:rsidRPr="0006282E">
        <w:rPr>
          <w:rFonts w:ascii="Arial Unicode MS" w:eastAsia="Arial Unicode MS" w:hAnsi="Arial Unicode MS" w:cs="Arial Unicode MS"/>
        </w:rPr>
        <w:t xml:space="preserve">. Heritage does have ethical boundaries in terms of what is exhibited but sometimes the reason for these things that may cross the boundaries </w:t>
      </w:r>
      <w:r w:rsidR="00DD2B23" w:rsidRPr="0006282E">
        <w:rPr>
          <w:rFonts w:ascii="Arial Unicode MS" w:eastAsia="Arial Unicode MS" w:hAnsi="Arial Unicode MS" w:cs="Arial Unicode MS"/>
        </w:rPr>
        <w:t xml:space="preserve">but they </w:t>
      </w:r>
      <w:r w:rsidR="00D05B46" w:rsidRPr="0006282E">
        <w:rPr>
          <w:rFonts w:ascii="Arial Unicode MS" w:eastAsia="Arial Unicode MS" w:hAnsi="Arial Unicode MS" w:cs="Arial Unicode MS"/>
        </w:rPr>
        <w:t>have reasons</w:t>
      </w:r>
      <w:r w:rsidR="00DD2B23" w:rsidRPr="0006282E">
        <w:rPr>
          <w:rFonts w:ascii="Arial Unicode MS" w:eastAsia="Arial Unicode MS" w:hAnsi="Arial Unicode MS" w:cs="Arial Unicode MS"/>
        </w:rPr>
        <w:t xml:space="preserve"> too</w:t>
      </w:r>
      <w:r w:rsidR="00D05B46" w:rsidRPr="0006282E">
        <w:rPr>
          <w:rFonts w:ascii="Arial Unicode MS" w:eastAsia="Arial Unicode MS" w:hAnsi="Arial Unicode MS" w:cs="Arial Unicode MS"/>
        </w:rPr>
        <w:t xml:space="preserve">, and this can be seen in Museum exhibits about topics such as; Murder and Death, War and Sexual Assault. </w:t>
      </w:r>
      <w:r w:rsidR="00F0518F" w:rsidRPr="0006282E">
        <w:rPr>
          <w:rFonts w:ascii="Arial Unicode MS" w:eastAsia="Arial Unicode MS" w:hAnsi="Arial Unicode MS" w:cs="Arial Unicode MS"/>
        </w:rPr>
        <w:t xml:space="preserve"> </w:t>
      </w:r>
      <w:r w:rsidR="006D48E4" w:rsidRPr="0006282E">
        <w:rPr>
          <w:rFonts w:ascii="Arial Unicode MS" w:eastAsia="Arial Unicode MS" w:hAnsi="Arial Unicode MS" w:cs="Arial Unicode MS"/>
        </w:rPr>
        <w:t>Museums are centres of learning but also research</w:t>
      </w:r>
      <w:r w:rsidR="00761F18" w:rsidRPr="0006282E">
        <w:rPr>
          <w:rFonts w:ascii="Arial Unicode MS" w:eastAsia="Arial Unicode MS" w:hAnsi="Arial Unicode MS" w:cs="Arial Unicode MS"/>
        </w:rPr>
        <w:t>.</w:t>
      </w:r>
      <w:r w:rsidR="006D48E4" w:rsidRPr="0006282E">
        <w:rPr>
          <w:rStyle w:val="FootnoteReference"/>
          <w:rFonts w:ascii="Arial Unicode MS" w:eastAsia="Arial Unicode MS" w:hAnsi="Arial Unicode MS" w:cs="Arial Unicode MS"/>
        </w:rPr>
        <w:footnoteReference w:id="2"/>
      </w:r>
      <w:r w:rsidR="009D739E" w:rsidRPr="0006282E">
        <w:rPr>
          <w:rFonts w:ascii="Arial Unicode MS" w:eastAsia="Arial Unicode MS" w:hAnsi="Arial Unicode MS" w:cs="Arial Unicode MS"/>
        </w:rPr>
        <w:t xml:space="preserve"> </w:t>
      </w:r>
    </w:p>
    <w:p w14:paraId="622C7051" w14:textId="79CC6B5F" w:rsidR="002206BA" w:rsidRPr="0006282E" w:rsidRDefault="002206BA" w:rsidP="0006282E">
      <w:pPr>
        <w:spacing w:after="0" w:line="480" w:lineRule="auto"/>
        <w:ind w:firstLine="720"/>
        <w:rPr>
          <w:rFonts w:ascii="Arial Unicode MS" w:eastAsia="Arial Unicode MS" w:hAnsi="Arial Unicode MS" w:cs="Arial Unicode MS"/>
        </w:rPr>
      </w:pPr>
      <w:r w:rsidRPr="0006282E">
        <w:rPr>
          <w:rFonts w:ascii="Arial Unicode MS" w:eastAsia="Arial Unicode MS" w:hAnsi="Arial Unicode MS" w:cs="Arial Unicode MS"/>
        </w:rPr>
        <w:t>Authenticity is an important part of Heritage and within Museums. Something being authentic means</w:t>
      </w:r>
      <w:r w:rsidR="00806EA5" w:rsidRPr="0006282E">
        <w:rPr>
          <w:rFonts w:ascii="Arial Unicode MS" w:eastAsia="Arial Unicode MS" w:hAnsi="Arial Unicode MS" w:cs="Arial Unicode MS"/>
        </w:rPr>
        <w:t xml:space="preserve"> that the item is not false, fake or copied. Museums and Heritage sites have a responsibility to the public to</w:t>
      </w:r>
      <w:r w:rsidR="00577E16" w:rsidRPr="0006282E">
        <w:rPr>
          <w:rFonts w:ascii="Arial Unicode MS" w:eastAsia="Arial Unicode MS" w:hAnsi="Arial Unicode MS" w:cs="Arial Unicode MS"/>
        </w:rPr>
        <w:t xml:space="preserve"> ensure that</w:t>
      </w:r>
      <w:r w:rsidR="00806EA5" w:rsidRPr="0006282E">
        <w:rPr>
          <w:rFonts w:ascii="Arial Unicode MS" w:eastAsia="Arial Unicode MS" w:hAnsi="Arial Unicode MS" w:cs="Arial Unicode MS"/>
        </w:rPr>
        <w:t xml:space="preserve"> what they exhibit is true</w:t>
      </w:r>
      <w:r w:rsidR="00577E16" w:rsidRPr="0006282E">
        <w:rPr>
          <w:rFonts w:ascii="Arial Unicode MS" w:eastAsia="Arial Unicode MS" w:hAnsi="Arial Unicode MS" w:cs="Arial Unicode MS"/>
        </w:rPr>
        <w:t xml:space="preserve"> and not fake. </w:t>
      </w:r>
      <w:r w:rsidR="001E25D4" w:rsidRPr="0006282E">
        <w:rPr>
          <w:rFonts w:ascii="Arial Unicode MS" w:eastAsia="Arial Unicode MS" w:hAnsi="Arial Unicode MS" w:cs="Arial Unicode MS"/>
        </w:rPr>
        <w:t xml:space="preserve">For example, some artefacts from Egypt are thought to be fake as with the increase in interest for Ancient Egyptian artefacts they </w:t>
      </w:r>
      <w:r w:rsidR="000A4185" w:rsidRPr="0006282E">
        <w:rPr>
          <w:rFonts w:ascii="Arial Unicode MS" w:eastAsia="Arial Unicode MS" w:hAnsi="Arial Unicode MS" w:cs="Arial Unicode MS"/>
        </w:rPr>
        <w:t xml:space="preserve">started producing fakes as a way to make money. This can be said the same about the Roman town in Germany called Xanten that is completely </w:t>
      </w:r>
      <w:r w:rsidR="000A4185" w:rsidRPr="0006282E">
        <w:rPr>
          <w:rFonts w:ascii="Arial Unicode MS" w:eastAsia="Arial Unicode MS" w:hAnsi="Arial Unicode MS" w:cs="Arial Unicode MS"/>
        </w:rPr>
        <w:lastRenderedPageBreak/>
        <w:t>fake and is only there to bring in money with tourism</w:t>
      </w:r>
      <w:r w:rsidR="000D4B27" w:rsidRPr="0006282E">
        <w:rPr>
          <w:rFonts w:ascii="Arial Unicode MS" w:eastAsia="Arial Unicode MS" w:hAnsi="Arial Unicode MS" w:cs="Arial Unicode MS"/>
        </w:rPr>
        <w:t xml:space="preserve"> and so in some cases they have to be careful what objects to put on display. </w:t>
      </w:r>
      <w:r w:rsidR="000A4185" w:rsidRPr="0006282E">
        <w:rPr>
          <w:rFonts w:ascii="Arial Unicode MS" w:eastAsia="Arial Unicode MS" w:hAnsi="Arial Unicode MS" w:cs="Arial Unicode MS"/>
        </w:rPr>
        <w:t>Museums also that the legal right about how they obtain and collect the objects whether it was legal and even then there are problems with objects about who they belong to</w:t>
      </w:r>
      <w:r w:rsidR="000D4B27" w:rsidRPr="0006282E">
        <w:rPr>
          <w:rFonts w:ascii="Arial Unicode MS" w:eastAsia="Arial Unicode MS" w:hAnsi="Arial Unicode MS" w:cs="Arial Unicode MS"/>
        </w:rPr>
        <w:t xml:space="preserve">. For example, objects in the British Museum that are from Greece, that are on display are wanted back in Greece now but the British Government owns them and so there is that controversy surrounding how objects are procured. </w:t>
      </w:r>
      <w:r w:rsidR="000A4185" w:rsidRPr="0006282E">
        <w:rPr>
          <w:rFonts w:ascii="Arial Unicode MS" w:eastAsia="Arial Unicode MS" w:hAnsi="Arial Unicode MS" w:cs="Arial Unicode MS"/>
        </w:rPr>
        <w:t xml:space="preserve"> </w:t>
      </w:r>
      <w:r w:rsidR="000D4B27" w:rsidRPr="0006282E">
        <w:rPr>
          <w:rFonts w:ascii="Arial Unicode MS" w:eastAsia="Arial Unicode MS" w:hAnsi="Arial Unicode MS" w:cs="Arial Unicode MS"/>
        </w:rPr>
        <w:t>So, you have this problem with dealing the authenticity with ethical boundaries and what you have on display.</w:t>
      </w:r>
    </w:p>
    <w:p w14:paraId="1E6C8AF9" w14:textId="55F3A55D" w:rsidR="00C5492D" w:rsidRPr="0006282E" w:rsidRDefault="00C51587"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ab/>
        <w:t xml:space="preserve">One thing that can show that heritage has ethical </w:t>
      </w:r>
      <w:r w:rsidR="006D48E4" w:rsidRPr="0006282E">
        <w:rPr>
          <w:rFonts w:ascii="Arial Unicode MS" w:eastAsia="Arial Unicode MS" w:hAnsi="Arial Unicode MS" w:cs="Arial Unicode MS"/>
        </w:rPr>
        <w:t xml:space="preserve">boundaries </w:t>
      </w:r>
      <w:r w:rsidRPr="0006282E">
        <w:rPr>
          <w:rFonts w:ascii="Arial Unicode MS" w:eastAsia="Arial Unicode MS" w:hAnsi="Arial Unicode MS" w:cs="Arial Unicode MS"/>
        </w:rPr>
        <w:t>and doesn’t have ethical boundaries</w:t>
      </w:r>
      <w:r w:rsidR="00B8467C" w:rsidRPr="0006282E">
        <w:rPr>
          <w:rFonts w:ascii="Arial Unicode MS" w:eastAsia="Arial Unicode MS" w:hAnsi="Arial Unicode MS" w:cs="Arial Unicode MS"/>
        </w:rPr>
        <w:t xml:space="preserve"> is war. </w:t>
      </w:r>
    </w:p>
    <w:p w14:paraId="451C37C4" w14:textId="275DC558" w:rsidR="00B8467C" w:rsidRPr="0006282E" w:rsidRDefault="00B8467C" w:rsidP="0006282E">
      <w:pPr>
        <w:spacing w:after="0" w:line="480" w:lineRule="auto"/>
        <w:ind w:firstLine="720"/>
        <w:rPr>
          <w:rFonts w:ascii="Arial Unicode MS" w:eastAsia="Arial Unicode MS" w:hAnsi="Arial Unicode MS" w:cs="Arial Unicode MS"/>
        </w:rPr>
      </w:pPr>
      <w:r w:rsidRPr="0006282E">
        <w:rPr>
          <w:rFonts w:ascii="Arial Unicode MS" w:eastAsia="Arial Unicode MS" w:hAnsi="Arial Unicode MS" w:cs="Arial Unicode MS"/>
        </w:rPr>
        <w:t xml:space="preserve">Heritage sites especially museums can be dedicated to a certain war or wars that the country took part some museums or Heritage sites contain exhibitions on war and not </w:t>
      </w:r>
      <w:r w:rsidR="00A645AD">
        <w:rPr>
          <w:rFonts w:ascii="Arial Unicode MS" w:eastAsia="Arial Unicode MS" w:hAnsi="Arial Unicode MS" w:cs="Arial Unicode MS"/>
        </w:rPr>
        <w:t xml:space="preserve">just </w:t>
      </w:r>
      <w:r w:rsidRPr="0006282E">
        <w:rPr>
          <w:rFonts w:ascii="Arial Unicode MS" w:eastAsia="Arial Unicode MS" w:hAnsi="Arial Unicode MS" w:cs="Arial Unicode MS"/>
        </w:rPr>
        <w:t xml:space="preserve">overall. Examples of this are: Imperial War Museum, Cornwall at War Museums and exhibits on war are in the National Museums Wales that contains exhibits such as; For Better </w:t>
      </w:r>
      <w:r w:rsidR="009D739E" w:rsidRPr="0006282E">
        <w:rPr>
          <w:rFonts w:ascii="Arial Unicode MS" w:eastAsia="Arial Unicode MS" w:hAnsi="Arial Unicode MS" w:cs="Arial Unicode MS"/>
        </w:rPr>
        <w:t>or</w:t>
      </w:r>
      <w:r w:rsidRPr="0006282E">
        <w:rPr>
          <w:rFonts w:ascii="Arial Unicode MS" w:eastAsia="Arial Unicode MS" w:hAnsi="Arial Unicode MS" w:cs="Arial Unicode MS"/>
        </w:rPr>
        <w:t xml:space="preserve"> For Worse</w:t>
      </w:r>
      <w:r w:rsidR="00743992" w:rsidRPr="0006282E">
        <w:rPr>
          <w:rFonts w:ascii="Arial Unicode MS" w:eastAsia="Arial Unicode MS" w:hAnsi="Arial Unicode MS" w:cs="Arial Unicode MS"/>
        </w:rPr>
        <w:t xml:space="preserve">: Women at War and museums hold collections on these wars. Museums and Heritage sites in terms of war can be seen as unethical in the fact that the War is glorified in </w:t>
      </w:r>
      <w:r w:rsidR="00A645AD">
        <w:rPr>
          <w:rFonts w:ascii="Arial Unicode MS" w:eastAsia="Arial Unicode MS" w:hAnsi="Arial Unicode MS" w:cs="Arial Unicode MS"/>
        </w:rPr>
        <w:t xml:space="preserve">some </w:t>
      </w:r>
      <w:r w:rsidR="00743992" w:rsidRPr="0006282E">
        <w:rPr>
          <w:rFonts w:ascii="Arial Unicode MS" w:eastAsia="Arial Unicode MS" w:hAnsi="Arial Unicode MS" w:cs="Arial Unicode MS"/>
        </w:rPr>
        <w:t>museums and is publically open and on display. Displaying War so publically ca</w:t>
      </w:r>
      <w:r w:rsidR="00A645AD">
        <w:rPr>
          <w:rFonts w:ascii="Arial Unicode MS" w:eastAsia="Arial Unicode MS" w:hAnsi="Arial Unicode MS" w:cs="Arial Unicode MS"/>
        </w:rPr>
        <w:t xml:space="preserve">n also </w:t>
      </w:r>
      <w:r w:rsidR="00A645AD">
        <w:rPr>
          <w:rFonts w:ascii="Arial Unicode MS" w:eastAsia="Arial Unicode MS" w:hAnsi="Arial Unicode MS" w:cs="Arial Unicode MS"/>
        </w:rPr>
        <w:lastRenderedPageBreak/>
        <w:t>be seen as Political use</w:t>
      </w:r>
      <w:r w:rsidR="00743992" w:rsidRPr="0006282E">
        <w:rPr>
          <w:rFonts w:ascii="Arial Unicode MS" w:eastAsia="Arial Unicode MS" w:hAnsi="Arial Unicode MS" w:cs="Arial Unicode MS"/>
        </w:rPr>
        <w:t xml:space="preserve"> and not just to glorify the war but also as a use of foreign policy to commemorate battles and alliances. </w:t>
      </w:r>
    </w:p>
    <w:p w14:paraId="669434B7" w14:textId="0E0AEA56" w:rsidR="00C5492D" w:rsidRPr="0006282E" w:rsidRDefault="00C5492D"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ab/>
        <w:t>War on display in museums and heritage sites can be seen as ethical for multiple reasons. One of these is that it commemorates the war</w:t>
      </w:r>
      <w:r w:rsidR="00D958E7" w:rsidRPr="0006282E">
        <w:rPr>
          <w:rFonts w:ascii="Arial Unicode MS" w:eastAsia="Arial Unicode MS" w:hAnsi="Arial Unicode MS" w:cs="Arial Unicode MS"/>
        </w:rPr>
        <w:t xml:space="preserve"> and the lives lost in the war. It also commemor</w:t>
      </w:r>
      <w:r w:rsidR="003032F7">
        <w:rPr>
          <w:rFonts w:ascii="Arial Unicode MS" w:eastAsia="Arial Unicode MS" w:hAnsi="Arial Unicode MS" w:cs="Arial Unicode MS"/>
        </w:rPr>
        <w:t xml:space="preserve">ates the veterans in the role </w:t>
      </w:r>
      <w:proofErr w:type="spellStart"/>
      <w:r w:rsidR="003032F7">
        <w:rPr>
          <w:rFonts w:ascii="Arial Unicode MS" w:eastAsia="Arial Unicode MS" w:hAnsi="Arial Unicode MS" w:cs="Arial Unicode MS"/>
        </w:rPr>
        <w:t>too</w:t>
      </w:r>
      <w:proofErr w:type="spellEnd"/>
      <w:r w:rsidR="00D958E7" w:rsidRPr="0006282E">
        <w:rPr>
          <w:rFonts w:ascii="Arial Unicode MS" w:eastAsia="Arial Unicode MS" w:hAnsi="Arial Unicode MS" w:cs="Arial Unicode MS"/>
        </w:rPr>
        <w:t xml:space="preserve"> the war. </w:t>
      </w:r>
      <w:r w:rsidRPr="0006282E">
        <w:rPr>
          <w:rFonts w:ascii="Arial Unicode MS" w:eastAsia="Arial Unicode MS" w:hAnsi="Arial Unicode MS" w:cs="Arial Unicode MS"/>
        </w:rPr>
        <w:t xml:space="preserve"> </w:t>
      </w:r>
      <w:r w:rsidR="00066219" w:rsidRPr="0006282E">
        <w:rPr>
          <w:rFonts w:ascii="Arial Unicode MS" w:eastAsia="Arial Unicode MS" w:hAnsi="Arial Unicode MS" w:cs="Arial Unicode MS"/>
        </w:rPr>
        <w:t xml:space="preserve">It also allows the veterans and their families to connect with their relatives that died, their family’s personal sacrifice. Museums can also provide for these families more an intimate and personal and allows them to connect with their family members that were lost, or for veterans </w:t>
      </w:r>
      <w:r w:rsidR="006A57CB" w:rsidRPr="0006282E">
        <w:rPr>
          <w:rFonts w:ascii="Arial Unicode MS" w:eastAsia="Arial Unicode MS" w:hAnsi="Arial Unicode MS" w:cs="Arial Unicode MS"/>
        </w:rPr>
        <w:t>to remember and commemorate the</w:t>
      </w:r>
      <w:r w:rsidR="003032F7">
        <w:rPr>
          <w:rFonts w:ascii="Arial Unicode MS" w:eastAsia="Arial Unicode MS" w:hAnsi="Arial Unicode MS" w:cs="Arial Unicode MS"/>
        </w:rPr>
        <w:t>i</w:t>
      </w:r>
      <w:r w:rsidR="006A57CB" w:rsidRPr="0006282E">
        <w:rPr>
          <w:rFonts w:ascii="Arial Unicode MS" w:eastAsia="Arial Unicode MS" w:hAnsi="Arial Unicode MS" w:cs="Arial Unicode MS"/>
        </w:rPr>
        <w:t xml:space="preserve">r time and war museums and exhibits on war are vast. </w:t>
      </w:r>
    </w:p>
    <w:p w14:paraId="13BA0EC3" w14:textId="2247F82E" w:rsidR="00882A37" w:rsidRPr="0006282E" w:rsidRDefault="00882A37"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ab/>
        <w:t>Museums also allow veterans to find memories and remember there falle</w:t>
      </w:r>
      <w:r w:rsidR="003032F7">
        <w:rPr>
          <w:rFonts w:ascii="Arial Unicode MS" w:eastAsia="Arial Unicode MS" w:hAnsi="Arial Unicode MS" w:cs="Arial Unicode MS"/>
        </w:rPr>
        <w:t>n comrades with crosses, wreath</w:t>
      </w:r>
      <w:r w:rsidRPr="0006282E">
        <w:rPr>
          <w:rFonts w:ascii="Arial Unicode MS" w:eastAsia="Arial Unicode MS" w:hAnsi="Arial Unicode MS" w:cs="Arial Unicode MS"/>
        </w:rPr>
        <w:t xml:space="preserve">s and poppies. Museums can help with these in holding events of remembrance but also collecting the memories of the fallen. The Tank </w:t>
      </w:r>
      <w:r w:rsidR="003032F7">
        <w:rPr>
          <w:rFonts w:ascii="Arial Unicode MS" w:eastAsia="Arial Unicode MS" w:hAnsi="Arial Unicode MS" w:cs="Arial Unicode MS"/>
        </w:rPr>
        <w:t>M</w:t>
      </w:r>
      <w:r w:rsidRPr="0006282E">
        <w:rPr>
          <w:rFonts w:ascii="Arial Unicode MS" w:eastAsia="Arial Unicode MS" w:hAnsi="Arial Unicode MS" w:cs="Arial Unicode MS"/>
        </w:rPr>
        <w:t>useum in the UK does this well as they have set up a</w:t>
      </w:r>
      <w:r w:rsidR="003032F7">
        <w:rPr>
          <w:rFonts w:ascii="Arial Unicode MS" w:eastAsia="Arial Unicode MS" w:hAnsi="Arial Unicode MS" w:cs="Arial Unicode MS"/>
        </w:rPr>
        <w:t xml:space="preserve"> room of remembrance room, with</w:t>
      </w:r>
      <w:r w:rsidRPr="0006282E">
        <w:rPr>
          <w:rFonts w:ascii="Arial Unicode MS" w:eastAsia="Arial Unicode MS" w:hAnsi="Arial Unicode MS" w:cs="Arial Unicode MS"/>
        </w:rPr>
        <w:t>in the room they hold memorial books with the names of everyone that died whilst in service the war. They also collect the memories of the one that still alive make them feel that they are more significant in history and also helps them heel knowing that the</w:t>
      </w:r>
      <w:r w:rsidR="003032F7">
        <w:rPr>
          <w:rFonts w:ascii="Arial Unicode MS" w:eastAsia="Arial Unicode MS" w:hAnsi="Arial Unicode MS" w:cs="Arial Unicode MS"/>
        </w:rPr>
        <w:t>i</w:t>
      </w:r>
      <w:r w:rsidRPr="0006282E">
        <w:rPr>
          <w:rFonts w:ascii="Arial Unicode MS" w:eastAsia="Arial Unicode MS" w:hAnsi="Arial Unicode MS" w:cs="Arial Unicode MS"/>
        </w:rPr>
        <w:t xml:space="preserve">r story lives on and in terms of holocaust victims that discrimination </w:t>
      </w:r>
      <w:r w:rsidR="002205B7" w:rsidRPr="0006282E">
        <w:rPr>
          <w:rFonts w:ascii="Arial Unicode MS" w:eastAsia="Arial Unicode MS" w:hAnsi="Arial Unicode MS" w:cs="Arial Unicode MS"/>
        </w:rPr>
        <w:t>on that level never happens again, so they tell the story of what happens to them.</w:t>
      </w:r>
    </w:p>
    <w:p w14:paraId="44D56465" w14:textId="75CC477F" w:rsidR="002205B7" w:rsidRPr="0006282E" w:rsidRDefault="002205B7"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lastRenderedPageBreak/>
        <w:tab/>
        <w:t xml:space="preserve">In summary, heritage does have ethical boundaries when it comes to war but it helps commemorate the lives lost and it’s not just about </w:t>
      </w:r>
      <w:r w:rsidR="00464C66" w:rsidRPr="0006282E">
        <w:rPr>
          <w:rFonts w:ascii="Arial Unicode MS" w:eastAsia="Arial Unicode MS" w:hAnsi="Arial Unicode MS" w:cs="Arial Unicode MS"/>
        </w:rPr>
        <w:t>glorifying the war</w:t>
      </w:r>
      <w:r w:rsidR="00CD2BDE" w:rsidRPr="0006282E">
        <w:rPr>
          <w:rFonts w:ascii="Arial Unicode MS" w:eastAsia="Arial Unicode MS" w:hAnsi="Arial Unicode MS" w:cs="Arial Unicode MS"/>
        </w:rPr>
        <w:t xml:space="preserve"> but about renumbering the lives lost in the war but remembering but also families can connect more to what life was like for the members of their families that died in the war and connect more with their relatives. </w:t>
      </w:r>
    </w:p>
    <w:p w14:paraId="59896F61" w14:textId="77777777" w:rsidR="00CD2BDE" w:rsidRPr="0006282E" w:rsidRDefault="00CD2BDE"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ab/>
        <w:t>Murder and the Macabre is another feature of life that is included in museums, this can show that the heritage sector has no ethical boundaries.</w:t>
      </w:r>
    </w:p>
    <w:p w14:paraId="3A815533" w14:textId="487CCA8E" w:rsidR="00C23715" w:rsidRPr="0006282E" w:rsidRDefault="00CD2BDE" w:rsidP="0006282E">
      <w:pPr>
        <w:spacing w:after="0" w:line="480" w:lineRule="auto"/>
        <w:rPr>
          <w:rFonts w:ascii="Arial Unicode MS" w:eastAsia="Arial Unicode MS" w:hAnsi="Arial Unicode MS" w:cs="Arial Unicode MS"/>
          <w:vanish/>
        </w:rPr>
      </w:pPr>
      <w:r w:rsidRPr="0006282E">
        <w:rPr>
          <w:rFonts w:ascii="Arial Unicode MS" w:eastAsia="Arial Unicode MS" w:hAnsi="Arial Unicode MS" w:cs="Arial Unicode MS"/>
        </w:rPr>
        <w:tab/>
        <w:t xml:space="preserve">One example of a heritage site is </w:t>
      </w:r>
      <w:r w:rsidR="00E91F9F" w:rsidRPr="0006282E">
        <w:rPr>
          <w:rFonts w:ascii="Arial Unicode MS" w:eastAsia="Arial Unicode MS" w:hAnsi="Arial Unicode MS" w:cs="Arial Unicode MS"/>
        </w:rPr>
        <w:t xml:space="preserve">a place were </w:t>
      </w:r>
      <w:r w:rsidR="00AF72C7" w:rsidRPr="0006282E">
        <w:rPr>
          <w:rFonts w:ascii="Arial Unicode MS" w:eastAsia="Arial Unicode MS" w:hAnsi="Arial Unicode MS" w:cs="Arial Unicode MS"/>
        </w:rPr>
        <w:t xml:space="preserve">over </w:t>
      </w:r>
      <w:r w:rsidR="00E91F9F" w:rsidRPr="0006282E">
        <w:rPr>
          <w:rFonts w:ascii="Arial Unicode MS" w:eastAsia="Arial Unicode MS" w:hAnsi="Arial Unicode MS" w:cs="Arial Unicode MS"/>
        </w:rPr>
        <w:t xml:space="preserve">1 million people were killed, so is a very difficult place to display the Holocaust, at Auschwitz-Birkenau. It is a museum and memorial of all those lives lost in the Holocaust. Auschwitz- Birkenau was from 1940 to it liberation in 1945 a Nazi concentration and Extermination camp. The museums holds objects from the prisoners that </w:t>
      </w:r>
      <w:r w:rsidR="00C23715" w:rsidRPr="0006282E">
        <w:rPr>
          <w:rFonts w:ascii="Arial Unicode MS" w:eastAsia="Arial Unicode MS" w:hAnsi="Arial Unicode MS" w:cs="Arial Unicode MS"/>
        </w:rPr>
        <w:t xml:space="preserve">were kept there and were killed, items such as clothing and shoes that have no owners to them and it holds these objects to make people question what happened but to also pass on what they learned to the next generation, so that it never happens again.  The museums hold exhibitions on the past before the Nazis to show that it wasn’t always like that a place of death and mass execution was once a happy place. The one problem with something like this that if someone that is a Neo-Nazi and still follows the beliefs of Hitler then they could destroy the memorial and the Museum. </w:t>
      </w:r>
    </w:p>
    <w:p w14:paraId="5EB73A81" w14:textId="622783F9" w:rsidR="00B8467C" w:rsidRPr="0006282E" w:rsidRDefault="00C23715"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 xml:space="preserve">Such as what </w:t>
      </w:r>
      <w:r w:rsidRPr="0006282E">
        <w:rPr>
          <w:rFonts w:ascii="Arial Unicode MS" w:eastAsia="Arial Unicode MS" w:hAnsi="Arial Unicode MS" w:cs="Arial Unicode MS"/>
        </w:rPr>
        <w:lastRenderedPageBreak/>
        <w:t xml:space="preserve">happened at Sachsenhausen </w:t>
      </w:r>
      <w:r w:rsidR="00A645AD" w:rsidRPr="0006282E">
        <w:rPr>
          <w:rFonts w:ascii="Arial Unicode MS" w:eastAsia="Arial Unicode MS" w:hAnsi="Arial Unicode MS" w:cs="Arial Unicode MS"/>
        </w:rPr>
        <w:t>Concentration</w:t>
      </w:r>
      <w:r w:rsidRPr="0006282E">
        <w:rPr>
          <w:rFonts w:ascii="Arial Unicode MS" w:eastAsia="Arial Unicode MS" w:hAnsi="Arial Unicode MS" w:cs="Arial Unicode MS"/>
        </w:rPr>
        <w:t xml:space="preserve"> camp in Germany with the burning of one of the buildings. </w:t>
      </w:r>
      <w:r w:rsidR="00880873" w:rsidRPr="0006282E">
        <w:rPr>
          <w:rFonts w:ascii="Arial Unicode MS" w:eastAsia="Arial Unicode MS" w:hAnsi="Arial Unicode MS" w:cs="Arial Unicode MS"/>
        </w:rPr>
        <w:t xml:space="preserve">This can also be seen as why for so long where Hitler’s underground bunker, the Führerbunker, where he killed himself and his wife was below a Chinese restaurant for many years, in fear that it would become a site of worship to Neo-Nazis and so is only marked by a small notice board that was erected in 2006. </w:t>
      </w:r>
      <w:r w:rsidRPr="0006282E">
        <w:rPr>
          <w:rFonts w:ascii="Arial Unicode MS" w:eastAsia="Arial Unicode MS" w:hAnsi="Arial Unicode MS" w:cs="Arial Unicode MS"/>
        </w:rPr>
        <w:t>Places like the</w:t>
      </w:r>
      <w:r w:rsidR="003032F7">
        <w:rPr>
          <w:rFonts w:ascii="Arial Unicode MS" w:eastAsia="Arial Unicode MS" w:hAnsi="Arial Unicode MS" w:cs="Arial Unicode MS"/>
        </w:rPr>
        <w:t>se need to be seen as they are</w:t>
      </w:r>
      <w:r w:rsidRPr="0006282E">
        <w:rPr>
          <w:rFonts w:ascii="Arial Unicode MS" w:eastAsia="Arial Unicode MS" w:hAnsi="Arial Unicode MS" w:cs="Arial Unicode MS"/>
        </w:rPr>
        <w:t xml:space="preserve"> places of remembrance and mourning</w:t>
      </w:r>
      <w:r w:rsidR="0042185A" w:rsidRPr="0006282E">
        <w:rPr>
          <w:rFonts w:ascii="Arial Unicode MS" w:eastAsia="Arial Unicode MS" w:hAnsi="Arial Unicode MS" w:cs="Arial Unicode MS"/>
        </w:rPr>
        <w:t xml:space="preserve"> but to also communicate history to visitors in the very place that they occurred in. </w:t>
      </w:r>
    </w:p>
    <w:p w14:paraId="5F58E38F" w14:textId="4E63AA13" w:rsidR="00977487" w:rsidRPr="0006282E" w:rsidRDefault="00880873" w:rsidP="0006282E">
      <w:pPr>
        <w:pStyle w:val="Heading1"/>
        <w:shd w:val="clear" w:color="auto" w:fill="FFFFFF"/>
        <w:spacing w:before="0" w:beforeAutospacing="0" w:after="0" w:afterAutospacing="0" w:line="480" w:lineRule="auto"/>
        <w:rPr>
          <w:rFonts w:ascii="Arial Unicode MS" w:eastAsia="Arial Unicode MS" w:hAnsi="Arial Unicode MS" w:cs="Arial Unicode MS"/>
          <w:b w:val="0"/>
          <w:sz w:val="22"/>
          <w:szCs w:val="22"/>
        </w:rPr>
      </w:pPr>
      <w:r w:rsidRPr="0006282E">
        <w:rPr>
          <w:rFonts w:ascii="Arial Unicode MS" w:eastAsia="Arial Unicode MS" w:hAnsi="Arial Unicode MS" w:cs="Arial Unicode MS"/>
          <w:b w:val="0"/>
          <w:sz w:val="22"/>
          <w:szCs w:val="22"/>
        </w:rPr>
        <w:tab/>
        <w:t xml:space="preserve">Another thing about displaying the macabre is that it’s a part of daily life. As it’s in the news, our literature and the internet. Whether it’s someone we know, a celebrity or a character in a book, movie or TV episode. </w:t>
      </w:r>
      <w:r w:rsidR="009A20C1" w:rsidRPr="0006282E">
        <w:rPr>
          <w:rFonts w:ascii="Arial Unicode MS" w:eastAsia="Arial Unicode MS" w:hAnsi="Arial Unicode MS" w:cs="Arial Unicode MS"/>
          <w:b w:val="0"/>
          <w:sz w:val="22"/>
          <w:szCs w:val="22"/>
        </w:rPr>
        <w:t>Death and the macabre features in every part of life even music such as Camille Saint Sa</w:t>
      </w:r>
      <w:r w:rsidR="009A20C1" w:rsidRPr="0006282E">
        <w:rPr>
          <w:rFonts w:ascii="Arial Unicode MS" w:eastAsia="Arial Unicode MS" w:hAnsi="Arial Unicode MS" w:cs="Arial Unicode MS"/>
          <w:b w:val="0"/>
          <w:bCs w:val="0"/>
          <w:sz w:val="22"/>
          <w:szCs w:val="22"/>
        </w:rPr>
        <w:t>ë</w:t>
      </w:r>
      <w:r w:rsidR="009A20C1" w:rsidRPr="0006282E">
        <w:rPr>
          <w:rFonts w:ascii="Arial Unicode MS" w:eastAsia="Arial Unicode MS" w:hAnsi="Arial Unicode MS" w:cs="Arial Unicode MS"/>
          <w:b w:val="0"/>
          <w:sz w:val="22"/>
          <w:szCs w:val="22"/>
        </w:rPr>
        <w:t xml:space="preserve">ns with the Dance Macabre, which literally means the dance of death. Society is as interested in death as it makes people realise how happy they are to be alive but also how fragile life is as in a spilt second it can be gone. </w:t>
      </w:r>
      <w:r w:rsidR="00977487" w:rsidRPr="0006282E">
        <w:rPr>
          <w:rFonts w:ascii="Arial Unicode MS" w:eastAsia="Arial Unicode MS" w:hAnsi="Arial Unicode MS" w:cs="Arial Unicode MS"/>
          <w:b w:val="0"/>
          <w:sz w:val="22"/>
          <w:szCs w:val="22"/>
        </w:rPr>
        <w:tab/>
      </w:r>
      <w:r w:rsidR="009A20C1" w:rsidRPr="0006282E">
        <w:rPr>
          <w:rFonts w:ascii="Arial Unicode MS" w:eastAsia="Arial Unicode MS" w:hAnsi="Arial Unicode MS" w:cs="Arial Unicode MS"/>
          <w:b w:val="0"/>
          <w:sz w:val="22"/>
          <w:szCs w:val="22"/>
        </w:rPr>
        <w:t xml:space="preserve">It also addresses something very much relevant to present times if it features in museums such as the Museum of Death in America. This museums encourages reflection on life but also eliminates the phenomenon of violence as something that occurs to others and not yourself. </w:t>
      </w:r>
    </w:p>
    <w:p w14:paraId="6080751D" w14:textId="2BC6AE03" w:rsidR="009A20C1" w:rsidRPr="0006282E" w:rsidRDefault="009A20C1" w:rsidP="0006282E">
      <w:pPr>
        <w:pStyle w:val="Heading1"/>
        <w:shd w:val="clear" w:color="auto" w:fill="FFFFFF"/>
        <w:spacing w:before="0" w:beforeAutospacing="0" w:after="0" w:afterAutospacing="0" w:line="480" w:lineRule="auto"/>
        <w:rPr>
          <w:rFonts w:ascii="Arial Unicode MS" w:eastAsia="Arial Unicode MS" w:hAnsi="Arial Unicode MS" w:cs="Arial Unicode MS"/>
          <w:b w:val="0"/>
          <w:sz w:val="22"/>
          <w:szCs w:val="22"/>
        </w:rPr>
      </w:pPr>
      <w:r w:rsidRPr="0006282E">
        <w:rPr>
          <w:rFonts w:ascii="Arial Unicode MS" w:eastAsia="Arial Unicode MS" w:hAnsi="Arial Unicode MS" w:cs="Arial Unicode MS"/>
          <w:b w:val="0"/>
          <w:sz w:val="22"/>
          <w:szCs w:val="22"/>
        </w:rPr>
        <w:tab/>
        <w:t>Some Museums deal with showing death differently that makes the visitors engage more in finding out. As in Luxemburg</w:t>
      </w:r>
      <w:r w:rsidR="00C043DB" w:rsidRPr="0006282E">
        <w:rPr>
          <w:rFonts w:ascii="Arial Unicode MS" w:eastAsia="Arial Unicode MS" w:hAnsi="Arial Unicode MS" w:cs="Arial Unicode MS"/>
          <w:b w:val="0"/>
          <w:sz w:val="22"/>
          <w:szCs w:val="22"/>
        </w:rPr>
        <w:t xml:space="preserve"> and </w:t>
      </w:r>
      <w:r w:rsidR="0093512E" w:rsidRPr="0006282E">
        <w:rPr>
          <w:rFonts w:ascii="Arial Unicode MS" w:eastAsia="Arial Unicode MS" w:hAnsi="Arial Unicode MS" w:cs="Arial Unicode MS"/>
          <w:b w:val="0"/>
          <w:sz w:val="22"/>
          <w:szCs w:val="22"/>
        </w:rPr>
        <w:t>Switzerland</w:t>
      </w:r>
      <w:r w:rsidRPr="0006282E">
        <w:rPr>
          <w:rFonts w:ascii="Arial Unicode MS" w:eastAsia="Arial Unicode MS" w:hAnsi="Arial Unicode MS" w:cs="Arial Unicode MS"/>
          <w:b w:val="0"/>
          <w:sz w:val="22"/>
          <w:szCs w:val="22"/>
        </w:rPr>
        <w:t>, they avoided shock and horro</w:t>
      </w:r>
      <w:r w:rsidR="00C043DB" w:rsidRPr="0006282E">
        <w:rPr>
          <w:rFonts w:ascii="Arial Unicode MS" w:eastAsia="Arial Unicode MS" w:hAnsi="Arial Unicode MS" w:cs="Arial Unicode MS"/>
          <w:b w:val="0"/>
          <w:sz w:val="22"/>
          <w:szCs w:val="22"/>
        </w:rPr>
        <w:t xml:space="preserve">r effects </w:t>
      </w:r>
      <w:r w:rsidR="00C043DB" w:rsidRPr="0006282E">
        <w:rPr>
          <w:rFonts w:ascii="Arial Unicode MS" w:eastAsia="Arial Unicode MS" w:hAnsi="Arial Unicode MS" w:cs="Arial Unicode MS"/>
          <w:b w:val="0"/>
          <w:sz w:val="22"/>
          <w:szCs w:val="22"/>
        </w:rPr>
        <w:lastRenderedPageBreak/>
        <w:t>with the exhibition on Murder and Manslaughter</w:t>
      </w:r>
      <w:r w:rsidR="0093512E" w:rsidRPr="0006282E">
        <w:rPr>
          <w:rStyle w:val="FootnoteReference"/>
          <w:rFonts w:ascii="Arial Unicode MS" w:eastAsia="Arial Unicode MS" w:hAnsi="Arial Unicode MS" w:cs="Arial Unicode MS"/>
          <w:b w:val="0"/>
          <w:sz w:val="22"/>
          <w:szCs w:val="22"/>
        </w:rPr>
        <w:footnoteReference w:id="3"/>
      </w:r>
      <w:r w:rsidR="00C043DB" w:rsidRPr="0006282E">
        <w:rPr>
          <w:rFonts w:ascii="Arial Unicode MS" w:eastAsia="Arial Unicode MS" w:hAnsi="Arial Unicode MS" w:cs="Arial Unicode MS"/>
          <w:b w:val="0"/>
          <w:sz w:val="22"/>
          <w:szCs w:val="22"/>
        </w:rPr>
        <w:t xml:space="preserve">. </w:t>
      </w:r>
      <w:r w:rsidRPr="0006282E">
        <w:rPr>
          <w:rFonts w:ascii="Arial Unicode MS" w:eastAsia="Arial Unicode MS" w:hAnsi="Arial Unicode MS" w:cs="Arial Unicode MS"/>
          <w:b w:val="0"/>
          <w:sz w:val="22"/>
          <w:szCs w:val="22"/>
        </w:rPr>
        <w:t xml:space="preserve"> </w:t>
      </w:r>
      <w:r w:rsidR="00C043DB" w:rsidRPr="0006282E">
        <w:rPr>
          <w:rFonts w:ascii="Arial Unicode MS" w:eastAsia="Arial Unicode MS" w:hAnsi="Arial Unicode MS" w:cs="Arial Unicode MS"/>
          <w:b w:val="0"/>
          <w:sz w:val="22"/>
          <w:szCs w:val="22"/>
        </w:rPr>
        <w:t>Objects that were in the exhibition that were shocking were in drawers and peep holes where visitors has to engage in looking through a hole or open a draw and so it allowed the visitors to deal with these issues purposefully and individually</w:t>
      </w:r>
      <w:r w:rsidR="00F0518F" w:rsidRPr="0006282E">
        <w:rPr>
          <w:rStyle w:val="FootnoteReference"/>
          <w:rFonts w:ascii="Arial Unicode MS" w:eastAsia="Arial Unicode MS" w:hAnsi="Arial Unicode MS" w:cs="Arial Unicode MS"/>
          <w:b w:val="0"/>
          <w:sz w:val="22"/>
          <w:szCs w:val="22"/>
        </w:rPr>
        <w:footnoteReference w:id="4"/>
      </w:r>
      <w:r w:rsidR="00C043DB" w:rsidRPr="0006282E">
        <w:rPr>
          <w:rFonts w:ascii="Arial Unicode MS" w:eastAsia="Arial Unicode MS" w:hAnsi="Arial Unicode MS" w:cs="Arial Unicode MS"/>
          <w:b w:val="0"/>
          <w:sz w:val="22"/>
          <w:szCs w:val="22"/>
        </w:rPr>
        <w:t>. Subjects such as suicide, abortion, euthanasia, murder and war are part of social background but they are also delicate but important subjects.</w:t>
      </w:r>
    </w:p>
    <w:p w14:paraId="5D324BAD" w14:textId="686D9653" w:rsidR="00C043DB" w:rsidRPr="0006282E" w:rsidRDefault="00C043DB" w:rsidP="0006282E">
      <w:pPr>
        <w:pStyle w:val="Heading1"/>
        <w:shd w:val="clear" w:color="auto" w:fill="FFFFFF"/>
        <w:spacing w:before="0" w:beforeAutospacing="0" w:after="0" w:afterAutospacing="0" w:line="480" w:lineRule="auto"/>
        <w:rPr>
          <w:rFonts w:ascii="Arial Unicode MS" w:eastAsia="Arial Unicode MS" w:hAnsi="Arial Unicode MS" w:cs="Arial Unicode MS"/>
          <w:b w:val="0"/>
          <w:sz w:val="22"/>
          <w:szCs w:val="22"/>
        </w:rPr>
      </w:pPr>
      <w:r w:rsidRPr="0006282E">
        <w:rPr>
          <w:rFonts w:ascii="Arial Unicode MS" w:eastAsia="Arial Unicode MS" w:hAnsi="Arial Unicode MS" w:cs="Arial Unicode MS"/>
          <w:b w:val="0"/>
          <w:sz w:val="22"/>
          <w:szCs w:val="22"/>
        </w:rPr>
        <w:tab/>
        <w:t xml:space="preserve">In summary, with murder and the macabre it is a very difficult </w:t>
      </w:r>
      <w:r w:rsidR="0093512E" w:rsidRPr="0006282E">
        <w:rPr>
          <w:rFonts w:ascii="Arial Unicode MS" w:eastAsia="Arial Unicode MS" w:hAnsi="Arial Unicode MS" w:cs="Arial Unicode MS"/>
          <w:b w:val="0"/>
          <w:sz w:val="22"/>
          <w:szCs w:val="22"/>
        </w:rPr>
        <w:t xml:space="preserve">and delicate </w:t>
      </w:r>
      <w:r w:rsidRPr="0006282E">
        <w:rPr>
          <w:rFonts w:ascii="Arial Unicode MS" w:eastAsia="Arial Unicode MS" w:hAnsi="Arial Unicode MS" w:cs="Arial Unicode MS"/>
          <w:b w:val="0"/>
          <w:sz w:val="22"/>
          <w:szCs w:val="22"/>
        </w:rPr>
        <w:t xml:space="preserve">subjects to have on display in museums </w:t>
      </w:r>
      <w:r w:rsidR="0093512E" w:rsidRPr="0006282E">
        <w:rPr>
          <w:rFonts w:ascii="Arial Unicode MS" w:eastAsia="Arial Unicode MS" w:hAnsi="Arial Unicode MS" w:cs="Arial Unicode MS"/>
          <w:b w:val="0"/>
          <w:sz w:val="22"/>
          <w:szCs w:val="22"/>
        </w:rPr>
        <w:t xml:space="preserve">and heritage sites </w:t>
      </w:r>
    </w:p>
    <w:p w14:paraId="54FB039C" w14:textId="40A0231D" w:rsidR="00977487" w:rsidRPr="0006282E" w:rsidRDefault="006D48E4"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ab/>
      </w:r>
      <w:r w:rsidR="008A4EFB" w:rsidRPr="0006282E">
        <w:rPr>
          <w:rFonts w:ascii="Arial Unicode MS" w:eastAsia="Arial Unicode MS" w:hAnsi="Arial Unicode MS" w:cs="Arial Unicode MS"/>
        </w:rPr>
        <w:t>Museums ha</w:t>
      </w:r>
      <w:r w:rsidR="0075041C">
        <w:rPr>
          <w:rFonts w:ascii="Arial Unicode MS" w:eastAsia="Arial Unicode MS" w:hAnsi="Arial Unicode MS" w:cs="Arial Unicode MS"/>
        </w:rPr>
        <w:t>ve</w:t>
      </w:r>
      <w:r w:rsidR="008A4EFB" w:rsidRPr="0006282E">
        <w:rPr>
          <w:rFonts w:ascii="Arial Unicode MS" w:eastAsia="Arial Unicode MS" w:hAnsi="Arial Unicode MS" w:cs="Arial Unicode MS"/>
        </w:rPr>
        <w:t xml:space="preserve"> </w:t>
      </w:r>
      <w:r w:rsidR="00FA0799" w:rsidRPr="0006282E">
        <w:rPr>
          <w:rFonts w:ascii="Arial Unicode MS" w:eastAsia="Arial Unicode MS" w:hAnsi="Arial Unicode MS" w:cs="Arial Unicode MS"/>
        </w:rPr>
        <w:t xml:space="preserve">to deal with tangible and intangible heritage, one is sexual assault. This shows that heritage does have ethical boundaries, </w:t>
      </w:r>
      <w:r w:rsidR="002E7F77" w:rsidRPr="0006282E">
        <w:rPr>
          <w:rFonts w:ascii="Arial Unicode MS" w:eastAsia="Arial Unicode MS" w:hAnsi="Arial Unicode MS" w:cs="Arial Unicode MS"/>
        </w:rPr>
        <w:t xml:space="preserve">as its dealing with very important topics that are a huge part of today’s society. An example of this with displaying sexual assault in </w:t>
      </w:r>
      <w:r w:rsidR="00DC55E5" w:rsidRPr="0006282E">
        <w:rPr>
          <w:rFonts w:ascii="Arial Unicode MS" w:eastAsia="Arial Unicode MS" w:hAnsi="Arial Unicode MS" w:cs="Arial Unicode MS"/>
        </w:rPr>
        <w:t>Heritage through the use of museum theatre in Norway about the Sexual Assault of 14 year</w:t>
      </w:r>
      <w:r w:rsidR="00DD28A9">
        <w:rPr>
          <w:rFonts w:ascii="Arial Unicode MS" w:eastAsia="Arial Unicode MS" w:hAnsi="Arial Unicode MS" w:cs="Arial Unicode MS"/>
        </w:rPr>
        <w:t>-</w:t>
      </w:r>
      <w:r w:rsidR="00DC55E5" w:rsidRPr="0006282E">
        <w:rPr>
          <w:rFonts w:ascii="Arial Unicode MS" w:eastAsia="Arial Unicode MS" w:hAnsi="Arial Unicode MS" w:cs="Arial Unicode MS"/>
        </w:rPr>
        <w:t>old Minda in 1888</w:t>
      </w:r>
      <w:r w:rsidR="0093512E" w:rsidRPr="0006282E">
        <w:rPr>
          <w:rFonts w:ascii="Arial Unicode MS" w:eastAsia="Arial Unicode MS" w:hAnsi="Arial Unicode MS" w:cs="Arial Unicode MS"/>
        </w:rPr>
        <w:t>.</w:t>
      </w:r>
      <w:r w:rsidR="0093512E" w:rsidRPr="0006282E">
        <w:rPr>
          <w:rStyle w:val="FootnoteReference"/>
          <w:rFonts w:ascii="Arial Unicode MS" w:eastAsia="Arial Unicode MS" w:hAnsi="Arial Unicode MS" w:cs="Arial Unicode MS"/>
        </w:rPr>
        <w:footnoteReference w:id="5"/>
      </w:r>
      <w:r w:rsidR="00DC55E5" w:rsidRPr="0006282E">
        <w:rPr>
          <w:rFonts w:ascii="Arial Unicode MS" w:eastAsia="Arial Unicode MS" w:hAnsi="Arial Unicode MS" w:cs="Arial Unicode MS"/>
        </w:rPr>
        <w:t xml:space="preserve"> The Museum Theatre pres</w:t>
      </w:r>
      <w:r w:rsidR="007C01FA" w:rsidRPr="0006282E">
        <w:rPr>
          <w:rFonts w:ascii="Arial Unicode MS" w:eastAsia="Arial Unicode MS" w:hAnsi="Arial Unicode MS" w:cs="Arial Unicode MS"/>
        </w:rPr>
        <w:t>ented the story by retelling what had occurred with actors, acting to visitors and an educations programme to 9</w:t>
      </w:r>
      <w:r w:rsidR="007C01FA" w:rsidRPr="0006282E">
        <w:rPr>
          <w:rFonts w:ascii="Arial Unicode MS" w:eastAsia="Arial Unicode MS" w:hAnsi="Arial Unicode MS" w:cs="Arial Unicode MS"/>
          <w:vertAlign w:val="superscript"/>
        </w:rPr>
        <w:t>th</w:t>
      </w:r>
      <w:r w:rsidR="007C01FA" w:rsidRPr="0006282E">
        <w:rPr>
          <w:rFonts w:ascii="Arial Unicode MS" w:eastAsia="Arial Unicode MS" w:hAnsi="Arial Unicode MS" w:cs="Arial Unicode MS"/>
        </w:rPr>
        <w:t xml:space="preserve"> graders, the very same age of Minda. The Museums also brings the case to court and the group of students </w:t>
      </w:r>
      <w:r w:rsidR="00F860D3" w:rsidRPr="0006282E">
        <w:rPr>
          <w:rFonts w:ascii="Arial Unicode MS" w:eastAsia="Arial Unicode MS" w:hAnsi="Arial Unicode MS" w:cs="Arial Unicode MS"/>
        </w:rPr>
        <w:t xml:space="preserve">have a chance to vote whether the men that sexually assaulted </w:t>
      </w:r>
      <w:r w:rsidR="005E5539" w:rsidRPr="0006282E">
        <w:rPr>
          <w:rFonts w:ascii="Arial Unicode MS" w:eastAsia="Arial Unicode MS" w:hAnsi="Arial Unicode MS" w:cs="Arial Unicode MS"/>
        </w:rPr>
        <w:t>M</w:t>
      </w:r>
      <w:r w:rsidR="00F860D3" w:rsidRPr="0006282E">
        <w:rPr>
          <w:rFonts w:ascii="Arial Unicode MS" w:eastAsia="Arial Unicode MS" w:hAnsi="Arial Unicode MS" w:cs="Arial Unicode MS"/>
        </w:rPr>
        <w:t>inda, guilty or not. After a break</w:t>
      </w:r>
      <w:r w:rsidR="00DD28A9">
        <w:rPr>
          <w:rFonts w:ascii="Arial Unicode MS" w:eastAsia="Arial Unicode MS" w:hAnsi="Arial Unicode MS" w:cs="Arial Unicode MS"/>
        </w:rPr>
        <w:t>,</w:t>
      </w:r>
      <w:r w:rsidR="00F860D3" w:rsidRPr="0006282E">
        <w:rPr>
          <w:rFonts w:ascii="Arial Unicode MS" w:eastAsia="Arial Unicode MS" w:hAnsi="Arial Unicode MS" w:cs="Arial Unicode MS"/>
        </w:rPr>
        <w:t xml:space="preserve"> the actors would discuss with the children the</w:t>
      </w:r>
      <w:r w:rsidR="00DD28A9">
        <w:rPr>
          <w:rFonts w:ascii="Arial Unicode MS" w:eastAsia="Arial Unicode MS" w:hAnsi="Arial Unicode MS" w:cs="Arial Unicode MS"/>
        </w:rPr>
        <w:t>i</w:t>
      </w:r>
      <w:r w:rsidR="00F860D3" w:rsidRPr="0006282E">
        <w:rPr>
          <w:rFonts w:ascii="Arial Unicode MS" w:eastAsia="Arial Unicode MS" w:hAnsi="Arial Unicode MS" w:cs="Arial Unicode MS"/>
        </w:rPr>
        <w:t xml:space="preserve">r opinions. The whole point is to </w:t>
      </w:r>
      <w:r w:rsidR="00F860D3" w:rsidRPr="0006282E">
        <w:rPr>
          <w:rFonts w:ascii="Arial Unicode MS" w:eastAsia="Arial Unicode MS" w:hAnsi="Arial Unicode MS" w:cs="Arial Unicode MS"/>
        </w:rPr>
        <w:lastRenderedPageBreak/>
        <w:t xml:space="preserve">think about sexual assault but also to use stories of the past to relate to today but to also learn from what has occurred. Displaying Sexual </w:t>
      </w:r>
      <w:r w:rsidR="00AE69A1" w:rsidRPr="0006282E">
        <w:rPr>
          <w:rFonts w:ascii="Arial Unicode MS" w:eastAsia="Arial Unicode MS" w:hAnsi="Arial Unicode MS" w:cs="Arial Unicode MS"/>
        </w:rPr>
        <w:t>Assault</w:t>
      </w:r>
      <w:r w:rsidR="00F860D3" w:rsidRPr="0006282E">
        <w:rPr>
          <w:rFonts w:ascii="Arial Unicode MS" w:eastAsia="Arial Unicode MS" w:hAnsi="Arial Unicode MS" w:cs="Arial Unicode MS"/>
        </w:rPr>
        <w:t xml:space="preserve"> in a Museum makes it more meaningful and ethical in a sense though is a difficult topic to display on through the use of museum theatre it helps to</w:t>
      </w:r>
      <w:r w:rsidR="004B32EE" w:rsidRPr="0006282E">
        <w:rPr>
          <w:rFonts w:ascii="Arial Unicode MS" w:eastAsia="Arial Unicode MS" w:hAnsi="Arial Unicode MS" w:cs="Arial Unicode MS"/>
        </w:rPr>
        <w:t xml:space="preserve"> encourage victims to talk about and to tell people and it also hopefully</w:t>
      </w:r>
      <w:r w:rsidR="005930A9" w:rsidRPr="0006282E">
        <w:rPr>
          <w:rFonts w:ascii="Arial Unicode MS" w:eastAsia="Arial Unicode MS" w:hAnsi="Arial Unicode MS" w:cs="Arial Unicode MS"/>
        </w:rPr>
        <w:t xml:space="preserve"> makes the visitors more active in talking about sexual assault and abuse, more openly to attempt to get rid of stigma. Another thing about displaying sexual assault a very sensitive modern day matter in place of learning about the past showing that the sexual abuse belongs to the past. This is also shows that the heritage sector has ethical boundaries</w:t>
      </w:r>
      <w:r w:rsidR="004B32EE" w:rsidRPr="0006282E">
        <w:rPr>
          <w:rFonts w:ascii="Arial Unicode MS" w:eastAsia="Arial Unicode MS" w:hAnsi="Arial Unicode MS" w:cs="Arial Unicode MS"/>
        </w:rPr>
        <w:t xml:space="preserve"> </w:t>
      </w:r>
      <w:r w:rsidR="005930A9" w:rsidRPr="0006282E">
        <w:rPr>
          <w:rFonts w:ascii="Arial Unicode MS" w:eastAsia="Arial Unicode MS" w:hAnsi="Arial Unicode MS" w:cs="Arial Unicode MS"/>
        </w:rPr>
        <w:t>as that museum</w:t>
      </w:r>
      <w:r w:rsidR="002D3B7D" w:rsidRPr="0006282E">
        <w:rPr>
          <w:rFonts w:ascii="Arial Unicode MS" w:eastAsia="Arial Unicode MS" w:hAnsi="Arial Unicode MS" w:cs="Arial Unicode MS"/>
        </w:rPr>
        <w:t>s</w:t>
      </w:r>
      <w:r w:rsidR="005930A9" w:rsidRPr="0006282E">
        <w:rPr>
          <w:rFonts w:ascii="Arial Unicode MS" w:eastAsia="Arial Unicode MS" w:hAnsi="Arial Unicode MS" w:cs="Arial Unicode MS"/>
        </w:rPr>
        <w:t xml:space="preserve"> displays modern day, difficult </w:t>
      </w:r>
      <w:r w:rsidR="005E5539" w:rsidRPr="0006282E">
        <w:rPr>
          <w:rFonts w:ascii="Arial Unicode MS" w:eastAsia="Arial Unicode MS" w:hAnsi="Arial Unicode MS" w:cs="Arial Unicode MS"/>
        </w:rPr>
        <w:t>topics. That happened in the past but still affects us hugely in today’s society</w:t>
      </w:r>
      <w:r w:rsidR="009E6DEE" w:rsidRPr="0006282E">
        <w:rPr>
          <w:rFonts w:ascii="Arial Unicode MS" w:eastAsia="Arial Unicode MS" w:hAnsi="Arial Unicode MS" w:cs="Arial Unicode MS"/>
        </w:rPr>
        <w:t>.</w:t>
      </w:r>
      <w:r w:rsidR="0093512E" w:rsidRPr="0006282E">
        <w:rPr>
          <w:rStyle w:val="FootnoteReference"/>
          <w:rFonts w:ascii="Arial Unicode MS" w:eastAsia="Arial Unicode MS" w:hAnsi="Arial Unicode MS" w:cs="Arial Unicode MS"/>
        </w:rPr>
        <w:footnoteReference w:id="6"/>
      </w:r>
      <w:r w:rsidR="00902083" w:rsidRPr="0006282E">
        <w:rPr>
          <w:rFonts w:ascii="Arial Unicode MS" w:eastAsia="Arial Unicode MS" w:hAnsi="Arial Unicode MS" w:cs="Arial Unicode MS"/>
        </w:rPr>
        <w:t xml:space="preserve"> </w:t>
      </w:r>
    </w:p>
    <w:p w14:paraId="1E2F21BD" w14:textId="6FBEAB91" w:rsidR="0014708D" w:rsidRPr="0006282E" w:rsidRDefault="006E35BE" w:rsidP="0006282E">
      <w:pPr>
        <w:spacing w:after="0" w:line="480" w:lineRule="auto"/>
        <w:rPr>
          <w:rFonts w:ascii="Arial Unicode MS" w:eastAsia="Arial Unicode MS" w:hAnsi="Arial Unicode MS" w:cs="Arial Unicode MS"/>
        </w:rPr>
      </w:pPr>
      <w:r w:rsidRPr="0006282E">
        <w:rPr>
          <w:rFonts w:ascii="Arial Unicode MS" w:eastAsia="Arial Unicode MS" w:hAnsi="Arial Unicode MS" w:cs="Arial Unicode MS"/>
        </w:rPr>
        <w:tab/>
        <w:t xml:space="preserve"> In conclusion</w:t>
      </w:r>
      <w:r w:rsidR="0014708D" w:rsidRPr="0006282E">
        <w:rPr>
          <w:rFonts w:ascii="Arial Unicode MS" w:eastAsia="Arial Unicode MS" w:hAnsi="Arial Unicode MS" w:cs="Arial Unicode MS"/>
        </w:rPr>
        <w:t>, the Museum and Heritage sector does have ethical boundaries. Museums and Heritages sites have a very difficult job of display the past but also relating History to the present which does mean that Museums have to cover difficult topics such as Murder and Death</w:t>
      </w:r>
      <w:r w:rsidR="00D339A2" w:rsidRPr="0006282E">
        <w:rPr>
          <w:rFonts w:ascii="Arial Unicode MS" w:eastAsia="Arial Unicode MS" w:hAnsi="Arial Unicode MS" w:cs="Arial Unicode MS"/>
        </w:rPr>
        <w:t>. However, that fact that Museums have such difficult topics on display through the Museums</w:t>
      </w:r>
      <w:r w:rsidR="007735E1" w:rsidRPr="0006282E">
        <w:rPr>
          <w:rFonts w:ascii="Arial Unicode MS" w:eastAsia="Arial Unicode MS" w:hAnsi="Arial Unicode MS" w:cs="Arial Unicode MS"/>
        </w:rPr>
        <w:t xml:space="preserve"> or through Museum theatre, makes people question more about the life around them and discuss these topics in the museum but also outside the museum. In addition, displaying times of conflict and war is very important as it allows us to </w:t>
      </w:r>
      <w:r w:rsidR="007735E1" w:rsidRPr="0006282E">
        <w:rPr>
          <w:rFonts w:ascii="Arial Unicode MS" w:eastAsia="Arial Unicode MS" w:hAnsi="Arial Unicode MS" w:cs="Arial Unicode MS"/>
        </w:rPr>
        <w:lastRenderedPageBreak/>
        <w:t>commemorate the sacrifices in the soldiers what they did for our freedom</w:t>
      </w:r>
      <w:r w:rsidR="00AE69A1" w:rsidRPr="0006282E">
        <w:rPr>
          <w:rFonts w:ascii="Arial Unicode MS" w:eastAsia="Arial Unicode MS" w:hAnsi="Arial Unicode MS" w:cs="Arial Unicode MS"/>
        </w:rPr>
        <w:t xml:space="preserve">, especially when it a special occasion like a centenary. It also allows veterans to remember there fallen comrades. It also helps the families of those that died connect especially with their loved one.  In summary, Heritage does have ethical boundaries but they do have to keep up with the times, which can mean they have to discuss difficult topics. </w:t>
      </w:r>
    </w:p>
    <w:p w14:paraId="00C8DC81" w14:textId="34BFFA09" w:rsidR="003D0ED7" w:rsidRDefault="003D0ED7" w:rsidP="00B8467C">
      <w:pPr>
        <w:spacing w:after="0" w:line="240" w:lineRule="auto"/>
        <w:rPr>
          <w:rFonts w:ascii="Arial Unicode MS" w:eastAsia="Arial Unicode MS" w:hAnsi="Arial Unicode MS" w:cs="Arial Unicode MS"/>
        </w:rPr>
      </w:pPr>
    </w:p>
    <w:p w14:paraId="43E7F573" w14:textId="34C01B60" w:rsidR="003D0ED7" w:rsidRDefault="003D0ED7">
      <w:pPr>
        <w:rPr>
          <w:rFonts w:ascii="Arial Unicode MS" w:eastAsia="Arial Unicode MS" w:hAnsi="Arial Unicode MS" w:cs="Arial Unicode MS"/>
        </w:rPr>
      </w:pPr>
      <w:r>
        <w:rPr>
          <w:rFonts w:ascii="Arial Unicode MS" w:eastAsia="Arial Unicode MS" w:hAnsi="Arial Unicode MS" w:cs="Arial Unicode MS"/>
        </w:rPr>
        <w:br w:type="page"/>
      </w:r>
    </w:p>
    <w:sdt>
      <w:sdtPr>
        <w:rPr>
          <w:rFonts w:asciiTheme="minorHAnsi" w:eastAsiaTheme="minorHAnsi" w:hAnsiTheme="minorHAnsi" w:cstheme="minorBidi"/>
          <w:b w:val="0"/>
          <w:bCs w:val="0"/>
          <w:kern w:val="0"/>
          <w:sz w:val="22"/>
          <w:szCs w:val="22"/>
          <w:lang w:eastAsia="en-US"/>
        </w:rPr>
        <w:id w:val="-321038134"/>
        <w:docPartObj>
          <w:docPartGallery w:val="Bibliographies"/>
          <w:docPartUnique/>
        </w:docPartObj>
      </w:sdtPr>
      <w:sdtEndPr/>
      <w:sdtContent>
        <w:p w14:paraId="6669A573" w14:textId="6925A725" w:rsidR="003D0ED7" w:rsidRDefault="003D0ED7">
          <w:pPr>
            <w:pStyle w:val="Heading1"/>
          </w:pPr>
          <w:r>
            <w:t>Bibliography</w:t>
          </w:r>
        </w:p>
        <w:sdt>
          <w:sdtPr>
            <w:id w:val="111145805"/>
            <w:bibliography/>
          </w:sdtPr>
          <w:sdtEndPr/>
          <w:sdtContent>
            <w:p w14:paraId="0AEBE7CA" w14:textId="77777777" w:rsidR="003D0ED7" w:rsidRDefault="003D0ED7" w:rsidP="003D0ED7">
              <w:pPr>
                <w:pStyle w:val="Bibliography"/>
                <w:rPr>
                  <w:noProof/>
                  <w:sz w:val="24"/>
                  <w:szCs w:val="24"/>
                </w:rPr>
              </w:pPr>
              <w:r>
                <w:fldChar w:fldCharType="begin"/>
              </w:r>
              <w:r>
                <w:instrText xml:space="preserve"> BIBLIOGRAPHY </w:instrText>
              </w:r>
              <w:r>
                <w:fldChar w:fldCharType="separate"/>
              </w:r>
              <w:r>
                <w:rPr>
                  <w:noProof/>
                </w:rPr>
                <w:t xml:space="preserve">Alexander, E. P. &amp; Alexander, M., 2008. </w:t>
              </w:r>
              <w:r>
                <w:rPr>
                  <w:i/>
                  <w:iCs/>
                  <w:noProof/>
                </w:rPr>
                <w:t xml:space="preserve">Museums in Motion: An introduction to the History and Functions of Museums. </w:t>
              </w:r>
              <w:r>
                <w:rPr>
                  <w:noProof/>
                </w:rPr>
                <w:t>2nd ed. Plymouth: AltaMira Press.</w:t>
              </w:r>
            </w:p>
            <w:p w14:paraId="1727D6C0" w14:textId="77777777" w:rsidR="003D0ED7" w:rsidRDefault="003D0ED7" w:rsidP="003D0ED7">
              <w:pPr>
                <w:pStyle w:val="Bibliography"/>
                <w:rPr>
                  <w:noProof/>
                </w:rPr>
              </w:pPr>
              <w:r>
                <w:rPr>
                  <w:noProof/>
                </w:rPr>
                <w:t xml:space="preserve">Boyd, W. L., 1999. Museums as Centers of Controversy. </w:t>
              </w:r>
              <w:r>
                <w:rPr>
                  <w:i/>
                  <w:iCs/>
                  <w:noProof/>
                </w:rPr>
                <w:t xml:space="preserve">Daedalus, </w:t>
              </w:r>
              <w:r>
                <w:rPr>
                  <w:noProof/>
                </w:rPr>
                <w:t>128(3), pp. 185-228.</w:t>
              </w:r>
            </w:p>
            <w:p w14:paraId="6E663739" w14:textId="77777777" w:rsidR="003D0ED7" w:rsidRDefault="003D0ED7" w:rsidP="003D0ED7">
              <w:pPr>
                <w:pStyle w:val="Bibliography"/>
                <w:rPr>
                  <w:noProof/>
                </w:rPr>
              </w:pPr>
              <w:r>
                <w:rPr>
                  <w:noProof/>
                </w:rPr>
                <w:t xml:space="preserve">Dean, D. D., 1997. Ethics and Exhibition . In: G. Edson, ed. </w:t>
              </w:r>
              <w:r>
                <w:rPr>
                  <w:i/>
                  <w:iCs/>
                  <w:noProof/>
                </w:rPr>
                <w:t xml:space="preserve">Museum Ethics. </w:t>
              </w:r>
              <w:r>
                <w:rPr>
                  <w:noProof/>
                </w:rPr>
                <w:t>New York: Routledge, pp. 218-224.</w:t>
              </w:r>
            </w:p>
            <w:p w14:paraId="62617DBE" w14:textId="77777777" w:rsidR="003D0ED7" w:rsidRDefault="003D0ED7" w:rsidP="003D0ED7">
              <w:pPr>
                <w:pStyle w:val="Bibliography"/>
                <w:rPr>
                  <w:noProof/>
                </w:rPr>
              </w:pPr>
              <w:r>
                <w:rPr>
                  <w:noProof/>
                </w:rPr>
                <w:t xml:space="preserve">Edson, G., 1997. Ethics and Museums. In: G. Edson, ed. </w:t>
              </w:r>
              <w:r>
                <w:rPr>
                  <w:i/>
                  <w:iCs/>
                  <w:noProof/>
                </w:rPr>
                <w:t xml:space="preserve">Museum Ethics. </w:t>
              </w:r>
              <w:r>
                <w:rPr>
                  <w:noProof/>
                </w:rPr>
                <w:t>New York: Routledge, pp. 36-53.</w:t>
              </w:r>
            </w:p>
            <w:p w14:paraId="5121BB90" w14:textId="77777777" w:rsidR="003D0ED7" w:rsidRDefault="003D0ED7" w:rsidP="003D0ED7">
              <w:pPr>
                <w:pStyle w:val="Bibliography"/>
                <w:rPr>
                  <w:noProof/>
                </w:rPr>
              </w:pPr>
              <w:r>
                <w:rPr>
                  <w:noProof/>
                </w:rPr>
                <w:t xml:space="preserve">Garberg, A. S. H., 2014. Minda, The Girl in the Pharmacy: An Educational Program on Sexual Assault. In: A. Fromm, V. Golding &amp; P. B. Rekdal, eds. </w:t>
              </w:r>
              <w:r>
                <w:rPr>
                  <w:i/>
                  <w:iCs/>
                  <w:noProof/>
                </w:rPr>
                <w:t xml:space="preserve">Museums and Truth. </w:t>
              </w:r>
              <w:r>
                <w:rPr>
                  <w:noProof/>
                </w:rPr>
                <w:t>Newcastle: Canbridge Scholars Publishing, pp. 155-165.</w:t>
              </w:r>
            </w:p>
            <w:p w14:paraId="16255F7A" w14:textId="77777777" w:rsidR="003D0ED7" w:rsidRDefault="003D0ED7" w:rsidP="003D0ED7">
              <w:pPr>
                <w:pStyle w:val="Bibliography"/>
                <w:rPr>
                  <w:noProof/>
                </w:rPr>
              </w:pPr>
              <w:r>
                <w:rPr>
                  <w:noProof/>
                </w:rPr>
                <w:t xml:space="preserve">Jungblut, M.-P. &amp; Schweizer, S., 2014. Murder and Manslaughter: An Exhibition about Life. In: A. B. Fromm, V. Golding &amp; P. B. Rekdal, eds. </w:t>
              </w:r>
              <w:r>
                <w:rPr>
                  <w:i/>
                  <w:iCs/>
                  <w:noProof/>
                </w:rPr>
                <w:t xml:space="preserve">Museums and Truth. </w:t>
              </w:r>
              <w:r>
                <w:rPr>
                  <w:noProof/>
                </w:rPr>
                <w:t>Newcastle: Cambridge Scholars Publishing, pp. 147-153.</w:t>
              </w:r>
            </w:p>
            <w:p w14:paraId="32CC8ED5" w14:textId="77777777" w:rsidR="003D0ED7" w:rsidRDefault="003D0ED7" w:rsidP="003D0ED7">
              <w:pPr>
                <w:pStyle w:val="Bibliography"/>
                <w:rPr>
                  <w:noProof/>
                </w:rPr>
              </w:pPr>
              <w:r>
                <w:rPr>
                  <w:noProof/>
                </w:rPr>
                <w:t xml:space="preserve">Kenne, S., 2005. </w:t>
              </w:r>
              <w:r>
                <w:rPr>
                  <w:i/>
                  <w:iCs/>
                  <w:noProof/>
                </w:rPr>
                <w:t xml:space="preserve">Fragments if the World: Uses of Museum Collections. </w:t>
              </w:r>
              <w:r>
                <w:rPr>
                  <w:noProof/>
                </w:rPr>
                <w:t>1st ed. Oxford: Elsevier.</w:t>
              </w:r>
            </w:p>
            <w:p w14:paraId="6C904E1A" w14:textId="77777777" w:rsidR="003D0ED7" w:rsidRDefault="003D0ED7" w:rsidP="003D0ED7">
              <w:pPr>
                <w:pStyle w:val="Bibliography"/>
                <w:rPr>
                  <w:noProof/>
                </w:rPr>
              </w:pPr>
              <w:r>
                <w:rPr>
                  <w:noProof/>
                </w:rPr>
                <w:t xml:space="preserve">Landry, J., 1997. Ethics and Public Programs. In: G. Edson, ed. </w:t>
              </w:r>
              <w:r>
                <w:rPr>
                  <w:i/>
                  <w:iCs/>
                  <w:noProof/>
                </w:rPr>
                <w:t xml:space="preserve">Museum Ethics. </w:t>
              </w:r>
              <w:r>
                <w:rPr>
                  <w:noProof/>
                </w:rPr>
                <w:t>New York: Routledge, pp. 225-236.</w:t>
              </w:r>
            </w:p>
            <w:p w14:paraId="77113BA5" w14:textId="77777777" w:rsidR="003D0ED7" w:rsidRDefault="003D0ED7" w:rsidP="003D0ED7">
              <w:pPr>
                <w:pStyle w:val="Bibliography"/>
                <w:rPr>
                  <w:noProof/>
                </w:rPr>
              </w:pPr>
              <w:r>
                <w:rPr>
                  <w:noProof/>
                </w:rPr>
                <w:t xml:space="preserve">Martin, J., 2004. All legal and ethical? Museums and the international market in fossils. In: 2nd, ed. </w:t>
              </w:r>
              <w:r>
                <w:rPr>
                  <w:i/>
                  <w:iCs/>
                  <w:noProof/>
                </w:rPr>
                <w:t xml:space="preserve">Museums and the Future of Collecting. </w:t>
              </w:r>
              <w:r>
                <w:rPr>
                  <w:noProof/>
                </w:rPr>
                <w:t>Burlington and Aldershot: Ashgate, pp. 155-164.</w:t>
              </w:r>
            </w:p>
            <w:p w14:paraId="6B2A210D" w14:textId="77777777" w:rsidR="003D0ED7" w:rsidRDefault="003D0ED7" w:rsidP="003D0ED7">
              <w:pPr>
                <w:pStyle w:val="Bibliography"/>
                <w:rPr>
                  <w:noProof/>
                </w:rPr>
              </w:pPr>
              <w:r>
                <w:rPr>
                  <w:noProof/>
                </w:rPr>
                <w:t xml:space="preserve">Moore, K., 1997. </w:t>
              </w:r>
              <w:r>
                <w:rPr>
                  <w:i/>
                  <w:iCs/>
                  <w:noProof/>
                </w:rPr>
                <w:t xml:space="preserve">Museums and Popular Culture. </w:t>
              </w:r>
              <w:r>
                <w:rPr>
                  <w:noProof/>
                </w:rPr>
                <w:t>1st ed. London: Leicester University Press.</w:t>
              </w:r>
            </w:p>
            <w:p w14:paraId="4A42D028" w14:textId="77777777" w:rsidR="003D0ED7" w:rsidRDefault="003D0ED7" w:rsidP="003D0ED7">
              <w:pPr>
                <w:pStyle w:val="Bibliography"/>
                <w:rPr>
                  <w:noProof/>
                </w:rPr>
              </w:pPr>
              <w:r>
                <w:rPr>
                  <w:noProof/>
                </w:rPr>
                <w:t xml:space="preserve">Vujic, Z., 2004. Collecting in time of war. In: 2nd, ed. </w:t>
              </w:r>
              <w:r>
                <w:rPr>
                  <w:i/>
                  <w:iCs/>
                  <w:noProof/>
                </w:rPr>
                <w:t xml:space="preserve">Museums and the Future of Collecting. </w:t>
              </w:r>
              <w:r>
                <w:rPr>
                  <w:noProof/>
                </w:rPr>
                <w:t>Burlington and Aldershot: Ashgate, pp. 128-134.</w:t>
              </w:r>
            </w:p>
            <w:p w14:paraId="7DFD0ABC" w14:textId="0DBB6530" w:rsidR="003D0ED7" w:rsidRDefault="003D0ED7" w:rsidP="003D0ED7">
              <w:r>
                <w:rPr>
                  <w:b/>
                  <w:bCs/>
                  <w:noProof/>
                </w:rPr>
                <w:fldChar w:fldCharType="end"/>
              </w:r>
            </w:p>
          </w:sdtContent>
        </w:sdt>
      </w:sdtContent>
    </w:sdt>
    <w:p w14:paraId="48E704E5" w14:textId="77777777" w:rsidR="003D0ED7" w:rsidRPr="00B8467C" w:rsidRDefault="003D0ED7" w:rsidP="00B8467C">
      <w:pPr>
        <w:spacing w:after="0" w:line="240" w:lineRule="auto"/>
        <w:rPr>
          <w:rFonts w:ascii="Arial Unicode MS" w:eastAsia="Arial Unicode MS" w:hAnsi="Arial Unicode MS" w:cs="Arial Unicode MS"/>
        </w:rPr>
      </w:pPr>
    </w:p>
    <w:sectPr w:rsidR="003D0ED7" w:rsidRPr="00B8467C" w:rsidSect="001C05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43151" w14:textId="77777777" w:rsidR="00C74DAE" w:rsidRDefault="00C74DAE" w:rsidP="0093512E">
      <w:pPr>
        <w:spacing w:after="0" w:line="240" w:lineRule="auto"/>
      </w:pPr>
      <w:r>
        <w:separator/>
      </w:r>
    </w:p>
  </w:endnote>
  <w:endnote w:type="continuationSeparator" w:id="0">
    <w:p w14:paraId="6BCF5CF6" w14:textId="77777777" w:rsidR="00C74DAE" w:rsidRDefault="00C74DAE" w:rsidP="00935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0B20F4" w14:textId="77777777" w:rsidR="00C74DAE" w:rsidRDefault="00C74DAE" w:rsidP="0093512E">
      <w:pPr>
        <w:spacing w:after="0" w:line="240" w:lineRule="auto"/>
      </w:pPr>
      <w:r>
        <w:separator/>
      </w:r>
    </w:p>
  </w:footnote>
  <w:footnote w:type="continuationSeparator" w:id="0">
    <w:p w14:paraId="67CC069F" w14:textId="77777777" w:rsidR="00C74DAE" w:rsidRDefault="00C74DAE" w:rsidP="0093512E">
      <w:pPr>
        <w:spacing w:after="0" w:line="240" w:lineRule="auto"/>
      </w:pPr>
      <w:r>
        <w:continuationSeparator/>
      </w:r>
    </w:p>
  </w:footnote>
  <w:footnote w:id="1">
    <w:p w14:paraId="21013859" w14:textId="13989069" w:rsidR="00761F18" w:rsidRDefault="00761F18">
      <w:pPr>
        <w:pStyle w:val="FootnoteText"/>
      </w:pPr>
      <w:r>
        <w:rPr>
          <w:rStyle w:val="FootnoteReference"/>
        </w:rPr>
        <w:footnoteRef/>
      </w:r>
      <w:r>
        <w:t xml:space="preserve"> </w:t>
      </w:r>
      <w:sdt>
        <w:sdtPr>
          <w:id w:val="-1810708634"/>
          <w:citation/>
        </w:sdtPr>
        <w:sdtEndPr/>
        <w:sdtContent>
          <w:r>
            <w:fldChar w:fldCharType="begin"/>
          </w:r>
          <w:r>
            <w:instrText xml:space="preserve"> CITATION Gar97 \l 2057 </w:instrText>
          </w:r>
          <w:r>
            <w:fldChar w:fldCharType="separate"/>
          </w:r>
          <w:r w:rsidRPr="00761F18">
            <w:rPr>
              <w:noProof/>
            </w:rPr>
            <w:t>(Edson, 1997)</w:t>
          </w:r>
          <w:r>
            <w:fldChar w:fldCharType="end"/>
          </w:r>
        </w:sdtContent>
      </w:sdt>
    </w:p>
  </w:footnote>
  <w:footnote w:id="2">
    <w:p w14:paraId="3B5BADD3" w14:textId="3013D11F" w:rsidR="006D48E4" w:rsidRDefault="006D48E4">
      <w:pPr>
        <w:pStyle w:val="FootnoteText"/>
      </w:pPr>
      <w:r>
        <w:rPr>
          <w:rStyle w:val="FootnoteReference"/>
        </w:rPr>
        <w:footnoteRef/>
      </w:r>
      <w:r>
        <w:t xml:space="preserve"> </w:t>
      </w:r>
      <w:sdt>
        <w:sdtPr>
          <w:id w:val="-1035655686"/>
          <w:citation/>
        </w:sdtPr>
        <w:sdtEndPr/>
        <w:sdtContent>
          <w:r>
            <w:fldChar w:fldCharType="begin"/>
          </w:r>
          <w:r>
            <w:instrText xml:space="preserve"> CITATION Wil99 \l 2057 </w:instrText>
          </w:r>
          <w:r>
            <w:fldChar w:fldCharType="separate"/>
          </w:r>
          <w:r w:rsidRPr="006D48E4">
            <w:rPr>
              <w:noProof/>
            </w:rPr>
            <w:t>(Boyd, 1999)</w:t>
          </w:r>
          <w:r>
            <w:fldChar w:fldCharType="end"/>
          </w:r>
        </w:sdtContent>
      </w:sdt>
    </w:p>
  </w:footnote>
  <w:footnote w:id="3">
    <w:p w14:paraId="065FB1A9" w14:textId="043ACE47" w:rsidR="0093512E" w:rsidRDefault="0093512E">
      <w:pPr>
        <w:pStyle w:val="FootnoteText"/>
      </w:pPr>
      <w:r>
        <w:rPr>
          <w:rStyle w:val="FootnoteReference"/>
        </w:rPr>
        <w:footnoteRef/>
      </w:r>
      <w:r>
        <w:t xml:space="preserve"> </w:t>
      </w:r>
      <w:sdt>
        <w:sdtPr>
          <w:id w:val="958527723"/>
          <w:citation/>
        </w:sdtPr>
        <w:sdtEndPr/>
        <w:sdtContent>
          <w:r>
            <w:fldChar w:fldCharType="begin"/>
          </w:r>
          <w:r>
            <w:instrText xml:space="preserve"> CITATION Jun14 \l 2057 </w:instrText>
          </w:r>
          <w:r>
            <w:fldChar w:fldCharType="separate"/>
          </w:r>
          <w:r w:rsidRPr="0093512E">
            <w:rPr>
              <w:noProof/>
            </w:rPr>
            <w:t>(Jungblut &amp; Schweizer, 2014)</w:t>
          </w:r>
          <w:r>
            <w:fldChar w:fldCharType="end"/>
          </w:r>
        </w:sdtContent>
      </w:sdt>
    </w:p>
  </w:footnote>
  <w:footnote w:id="4">
    <w:p w14:paraId="000E6363" w14:textId="5FDB1254" w:rsidR="00F0518F" w:rsidRDefault="00F0518F">
      <w:pPr>
        <w:pStyle w:val="FootnoteText"/>
      </w:pPr>
      <w:r>
        <w:rPr>
          <w:rStyle w:val="FootnoteReference"/>
        </w:rPr>
        <w:footnoteRef/>
      </w:r>
      <w:r>
        <w:t xml:space="preserve"> </w:t>
      </w:r>
      <w:sdt>
        <w:sdtPr>
          <w:id w:val="-1456396084"/>
          <w:citation/>
        </w:sdtPr>
        <w:sdtEndPr/>
        <w:sdtContent>
          <w:r>
            <w:fldChar w:fldCharType="begin"/>
          </w:r>
          <w:r>
            <w:instrText xml:space="preserve"> CITATION Jun14 \l 2057 </w:instrText>
          </w:r>
          <w:r>
            <w:fldChar w:fldCharType="separate"/>
          </w:r>
          <w:r w:rsidRPr="00F0518F">
            <w:rPr>
              <w:noProof/>
            </w:rPr>
            <w:t>(Jungblut &amp; Schweizer, 2014)</w:t>
          </w:r>
          <w:r>
            <w:fldChar w:fldCharType="end"/>
          </w:r>
        </w:sdtContent>
      </w:sdt>
    </w:p>
  </w:footnote>
  <w:footnote w:id="5">
    <w:p w14:paraId="28C7D6BD" w14:textId="7BB98D68" w:rsidR="0093512E" w:rsidRDefault="0093512E">
      <w:pPr>
        <w:pStyle w:val="FootnoteText"/>
      </w:pPr>
      <w:r>
        <w:rPr>
          <w:rStyle w:val="FootnoteReference"/>
        </w:rPr>
        <w:footnoteRef/>
      </w:r>
      <w:r>
        <w:t xml:space="preserve"> </w:t>
      </w:r>
      <w:r w:rsidRPr="00902083">
        <w:rPr>
          <w:rFonts w:ascii="Arial Unicode MS" w:eastAsia="Arial Unicode MS" w:hAnsi="Arial Unicode MS" w:cs="Arial Unicode MS"/>
          <w:noProof/>
        </w:rPr>
        <w:t>(Garberg, 2014)</w:t>
      </w:r>
      <w:bookmarkStart w:id="0" w:name="_GoBack"/>
      <w:bookmarkEnd w:id="0"/>
    </w:p>
  </w:footnote>
  <w:footnote w:id="6">
    <w:p w14:paraId="7397476C" w14:textId="4D7E0A09" w:rsidR="0093512E" w:rsidRDefault="0093512E">
      <w:pPr>
        <w:pStyle w:val="FootnoteText"/>
      </w:pPr>
      <w:r>
        <w:rPr>
          <w:rStyle w:val="FootnoteReference"/>
        </w:rPr>
        <w:footnoteRef/>
      </w:r>
      <w:r>
        <w:t xml:space="preserve"> </w:t>
      </w:r>
      <w:sdt>
        <w:sdtPr>
          <w:rPr>
            <w:rFonts w:ascii="Arial Unicode MS" w:eastAsia="Arial Unicode MS" w:hAnsi="Arial Unicode MS" w:cs="Arial Unicode MS"/>
          </w:rPr>
          <w:id w:val="-1825737270"/>
          <w:citation/>
        </w:sdtPr>
        <w:sdtEndPr/>
        <w:sdtContent>
          <w:r>
            <w:rPr>
              <w:rFonts w:ascii="Arial Unicode MS" w:eastAsia="Arial Unicode MS" w:hAnsi="Arial Unicode MS" w:cs="Arial Unicode MS"/>
            </w:rPr>
            <w:fldChar w:fldCharType="begin"/>
          </w:r>
          <w:r>
            <w:rPr>
              <w:rFonts w:ascii="Arial Unicode MS" w:eastAsia="Arial Unicode MS" w:hAnsi="Arial Unicode MS" w:cs="Arial Unicode MS"/>
            </w:rPr>
            <w:instrText xml:space="preserve"> CITATION Gar14 \l 2057 </w:instrText>
          </w:r>
          <w:r>
            <w:rPr>
              <w:rFonts w:ascii="Arial Unicode MS" w:eastAsia="Arial Unicode MS" w:hAnsi="Arial Unicode MS" w:cs="Arial Unicode MS"/>
            </w:rPr>
            <w:fldChar w:fldCharType="separate"/>
          </w:r>
          <w:r>
            <w:rPr>
              <w:rFonts w:ascii="Arial Unicode MS" w:eastAsia="Arial Unicode MS" w:hAnsi="Arial Unicode MS" w:cs="Arial Unicode MS"/>
              <w:noProof/>
            </w:rPr>
            <w:t xml:space="preserve"> </w:t>
          </w:r>
          <w:r w:rsidRPr="00902083">
            <w:rPr>
              <w:rFonts w:ascii="Arial Unicode MS" w:eastAsia="Arial Unicode MS" w:hAnsi="Arial Unicode MS" w:cs="Arial Unicode MS"/>
              <w:noProof/>
            </w:rPr>
            <w:t>(Garberg, 2014)</w:t>
          </w:r>
          <w:r>
            <w:rPr>
              <w:rFonts w:ascii="Arial Unicode MS" w:eastAsia="Arial Unicode MS" w:hAnsi="Arial Unicode MS" w:cs="Arial Unicode MS"/>
            </w:rPr>
            <w:fldChar w:fldCharType="end"/>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4B390A"/>
    <w:multiLevelType w:val="hybridMultilevel"/>
    <w:tmpl w:val="C8482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5C6"/>
    <w:rsid w:val="000401C0"/>
    <w:rsid w:val="0006282E"/>
    <w:rsid w:val="00066219"/>
    <w:rsid w:val="000A4185"/>
    <w:rsid w:val="000D4B27"/>
    <w:rsid w:val="000E3DEF"/>
    <w:rsid w:val="0014708D"/>
    <w:rsid w:val="001C05C6"/>
    <w:rsid w:val="001E25D4"/>
    <w:rsid w:val="002205B7"/>
    <w:rsid w:val="002206BA"/>
    <w:rsid w:val="00252779"/>
    <w:rsid w:val="002D3B7D"/>
    <w:rsid w:val="002E7F77"/>
    <w:rsid w:val="003032F7"/>
    <w:rsid w:val="003D0ED7"/>
    <w:rsid w:val="0042185A"/>
    <w:rsid w:val="0042278E"/>
    <w:rsid w:val="00464C66"/>
    <w:rsid w:val="004B32EE"/>
    <w:rsid w:val="00502873"/>
    <w:rsid w:val="00577E16"/>
    <w:rsid w:val="005930A9"/>
    <w:rsid w:val="005E5539"/>
    <w:rsid w:val="006902D4"/>
    <w:rsid w:val="006A57CB"/>
    <w:rsid w:val="006B713B"/>
    <w:rsid w:val="006D48E4"/>
    <w:rsid w:val="006E35BE"/>
    <w:rsid w:val="00743992"/>
    <w:rsid w:val="0075041C"/>
    <w:rsid w:val="00761F18"/>
    <w:rsid w:val="007735E1"/>
    <w:rsid w:val="007C01FA"/>
    <w:rsid w:val="00806EA5"/>
    <w:rsid w:val="00880873"/>
    <w:rsid w:val="00882A37"/>
    <w:rsid w:val="008A4EFB"/>
    <w:rsid w:val="00902083"/>
    <w:rsid w:val="0093512E"/>
    <w:rsid w:val="00977487"/>
    <w:rsid w:val="009A20C1"/>
    <w:rsid w:val="009D739E"/>
    <w:rsid w:val="009E6DEE"/>
    <w:rsid w:val="00A03973"/>
    <w:rsid w:val="00A13FED"/>
    <w:rsid w:val="00A645AD"/>
    <w:rsid w:val="00AA6B8B"/>
    <w:rsid w:val="00AE69A1"/>
    <w:rsid w:val="00AF72C7"/>
    <w:rsid w:val="00B8467C"/>
    <w:rsid w:val="00C043DB"/>
    <w:rsid w:val="00C23715"/>
    <w:rsid w:val="00C51587"/>
    <w:rsid w:val="00C5492D"/>
    <w:rsid w:val="00C74DAE"/>
    <w:rsid w:val="00CA2297"/>
    <w:rsid w:val="00CD2BDE"/>
    <w:rsid w:val="00D05B46"/>
    <w:rsid w:val="00D339A2"/>
    <w:rsid w:val="00D958E7"/>
    <w:rsid w:val="00DC55E5"/>
    <w:rsid w:val="00DD28A9"/>
    <w:rsid w:val="00DD2B23"/>
    <w:rsid w:val="00E91F9F"/>
    <w:rsid w:val="00EC3C22"/>
    <w:rsid w:val="00F0518F"/>
    <w:rsid w:val="00F57763"/>
    <w:rsid w:val="00F75E98"/>
    <w:rsid w:val="00F860D3"/>
    <w:rsid w:val="00FA0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FFC0E"/>
  <w15:chartTrackingRefBased/>
  <w15:docId w15:val="{CD9BEA1B-DAD9-4D8B-8B78-49036DFD1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A20C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1C05C6"/>
    <w:pPr>
      <w:spacing w:after="0" w:line="240" w:lineRule="atLeast"/>
      <w:ind w:left="720"/>
      <w:contextualSpacing/>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A20C1"/>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9351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512E"/>
    <w:rPr>
      <w:sz w:val="20"/>
      <w:szCs w:val="20"/>
    </w:rPr>
  </w:style>
  <w:style w:type="character" w:styleId="FootnoteReference">
    <w:name w:val="footnote reference"/>
    <w:basedOn w:val="DefaultParagraphFont"/>
    <w:uiPriority w:val="99"/>
    <w:semiHidden/>
    <w:unhideWhenUsed/>
    <w:rsid w:val="0093512E"/>
    <w:rPr>
      <w:vertAlign w:val="superscript"/>
    </w:rPr>
  </w:style>
  <w:style w:type="paragraph" w:styleId="Bibliography">
    <w:name w:val="Bibliography"/>
    <w:basedOn w:val="Normal"/>
    <w:next w:val="Normal"/>
    <w:uiPriority w:val="37"/>
    <w:unhideWhenUsed/>
    <w:rsid w:val="003D0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372686">
      <w:bodyDiv w:val="1"/>
      <w:marLeft w:val="0"/>
      <w:marRight w:val="0"/>
      <w:marTop w:val="0"/>
      <w:marBottom w:val="0"/>
      <w:divBdr>
        <w:top w:val="none" w:sz="0" w:space="0" w:color="auto"/>
        <w:left w:val="none" w:sz="0" w:space="0" w:color="auto"/>
        <w:bottom w:val="none" w:sz="0" w:space="0" w:color="auto"/>
        <w:right w:val="none" w:sz="0" w:space="0" w:color="auto"/>
      </w:divBdr>
    </w:div>
    <w:div w:id="820005697">
      <w:bodyDiv w:val="1"/>
      <w:marLeft w:val="0"/>
      <w:marRight w:val="0"/>
      <w:marTop w:val="0"/>
      <w:marBottom w:val="0"/>
      <w:divBdr>
        <w:top w:val="none" w:sz="0" w:space="0" w:color="auto"/>
        <w:left w:val="none" w:sz="0" w:space="0" w:color="auto"/>
        <w:bottom w:val="none" w:sz="0" w:space="0" w:color="auto"/>
        <w:right w:val="none" w:sz="0" w:space="0" w:color="auto"/>
      </w:divBdr>
    </w:div>
    <w:div w:id="963972501">
      <w:bodyDiv w:val="1"/>
      <w:marLeft w:val="0"/>
      <w:marRight w:val="0"/>
      <w:marTop w:val="0"/>
      <w:marBottom w:val="0"/>
      <w:divBdr>
        <w:top w:val="none" w:sz="0" w:space="0" w:color="auto"/>
        <w:left w:val="none" w:sz="0" w:space="0" w:color="auto"/>
        <w:bottom w:val="none" w:sz="0" w:space="0" w:color="auto"/>
        <w:right w:val="none" w:sz="0" w:space="0" w:color="auto"/>
      </w:divBdr>
    </w:div>
    <w:div w:id="1098790568">
      <w:bodyDiv w:val="1"/>
      <w:marLeft w:val="0"/>
      <w:marRight w:val="0"/>
      <w:marTop w:val="0"/>
      <w:marBottom w:val="0"/>
      <w:divBdr>
        <w:top w:val="none" w:sz="0" w:space="0" w:color="auto"/>
        <w:left w:val="none" w:sz="0" w:space="0" w:color="auto"/>
        <w:bottom w:val="none" w:sz="0" w:space="0" w:color="auto"/>
        <w:right w:val="none" w:sz="0" w:space="0" w:color="auto"/>
      </w:divBdr>
    </w:div>
    <w:div w:id="1285192098">
      <w:bodyDiv w:val="1"/>
      <w:marLeft w:val="0"/>
      <w:marRight w:val="0"/>
      <w:marTop w:val="0"/>
      <w:marBottom w:val="0"/>
      <w:divBdr>
        <w:top w:val="none" w:sz="0" w:space="0" w:color="auto"/>
        <w:left w:val="none" w:sz="0" w:space="0" w:color="auto"/>
        <w:bottom w:val="none" w:sz="0" w:space="0" w:color="auto"/>
        <w:right w:val="none" w:sz="0" w:space="0" w:color="auto"/>
      </w:divBdr>
    </w:div>
    <w:div w:id="1420902461">
      <w:bodyDiv w:val="1"/>
      <w:marLeft w:val="0"/>
      <w:marRight w:val="0"/>
      <w:marTop w:val="0"/>
      <w:marBottom w:val="0"/>
      <w:divBdr>
        <w:top w:val="none" w:sz="0" w:space="0" w:color="auto"/>
        <w:left w:val="none" w:sz="0" w:space="0" w:color="auto"/>
        <w:bottom w:val="none" w:sz="0" w:space="0" w:color="auto"/>
        <w:right w:val="none" w:sz="0" w:space="0" w:color="auto"/>
      </w:divBdr>
    </w:div>
    <w:div w:id="1588734185">
      <w:bodyDiv w:val="1"/>
      <w:marLeft w:val="0"/>
      <w:marRight w:val="0"/>
      <w:marTop w:val="0"/>
      <w:marBottom w:val="0"/>
      <w:divBdr>
        <w:top w:val="none" w:sz="0" w:space="0" w:color="auto"/>
        <w:left w:val="none" w:sz="0" w:space="0" w:color="auto"/>
        <w:bottom w:val="none" w:sz="0" w:space="0" w:color="auto"/>
        <w:right w:val="none" w:sz="0" w:space="0" w:color="auto"/>
      </w:divBdr>
    </w:div>
    <w:div w:id="1871726180">
      <w:bodyDiv w:val="1"/>
      <w:marLeft w:val="0"/>
      <w:marRight w:val="0"/>
      <w:marTop w:val="0"/>
      <w:marBottom w:val="0"/>
      <w:divBdr>
        <w:top w:val="none" w:sz="0" w:space="0" w:color="auto"/>
        <w:left w:val="none" w:sz="0" w:space="0" w:color="auto"/>
        <w:bottom w:val="none" w:sz="0" w:space="0" w:color="auto"/>
        <w:right w:val="none" w:sz="0" w:space="0" w:color="auto"/>
      </w:divBdr>
    </w:div>
    <w:div w:id="1972589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Suz05</b:Tag>
    <b:SourceType>Book</b:SourceType>
    <b:Guid>{E444B01B-6C83-4F14-9524-670D4F22F20F}</b:Guid>
    <b:Title>Fragments if the World: Uses of Museum Collections</b:Title>
    <b:Year>2005</b:Year>
    <b:City>Oxford</b:City>
    <b:Publisher>Elsevier</b:Publisher>
    <b:Author>
      <b:Author>
        <b:NameList>
          <b:Person>
            <b:Last>Kenne</b:Last>
            <b:First>Suzanne</b:First>
          </b:Person>
        </b:NameList>
      </b:Author>
    </b:Author>
    <b:Edition>1st</b:Edition>
    <b:RefOrder>1</b:RefOrder>
  </b:Source>
  <b:Source>
    <b:Tag>Joh04</b:Tag>
    <b:SourceType>BookSection</b:SourceType>
    <b:Guid>{DBBEF793-9797-4DD5-9389-EF3244899A5B}</b:Guid>
    <b:Title>All legal and ethical? Museums and the international market in fossils</b:Title>
    <b:Year>2004</b:Year>
    <b:City>Burlington and Aldershot</b:City>
    <b:Publisher>Ashgate</b:Publisher>
    <b:Author>
      <b:Author>
        <b:NameList>
          <b:Person>
            <b:Last>Martin</b:Last>
            <b:First>John</b:First>
          </b:Person>
        </b:NameList>
      </b:Author>
      <b:BookAuthor>
        <b:NameList>
          <b:Person>
            <b:Last>Editor</b:Last>
            <b:First>Simon</b:First>
            <b:Middle>J Knell-</b:Middle>
          </b:Person>
        </b:NameList>
      </b:BookAuthor>
      <b:Editor>
        <b:NameList>
          <b:Person>
            <b:Last>2nd</b:Last>
          </b:Person>
        </b:NameList>
      </b:Editor>
    </b:Author>
    <b:BookTitle>Museums and the Future of Collecting</b:BookTitle>
    <b:Pages>155-164</b:Pages>
    <b:RefOrder>2</b:RefOrder>
  </b:Source>
  <b:Source>
    <b:Tag>Zar04</b:Tag>
    <b:SourceType>BookSection</b:SourceType>
    <b:Guid>{9CAA3DAB-B38C-4665-9248-E014C560AE55}</b:Guid>
    <b:Author>
      <b:Author>
        <b:NameList>
          <b:Person>
            <b:Last>Vujic</b:Last>
            <b:First>Zarka</b:First>
          </b:Person>
        </b:NameList>
      </b:Author>
      <b:BookAuthor>
        <b:NameList>
          <b:Person>
            <b:Last>Knell</b:Last>
            <b:First>Simon</b:First>
            <b:Middle>J</b:Middle>
          </b:Person>
        </b:NameList>
      </b:BookAuthor>
      <b:Editor>
        <b:NameList>
          <b:Person>
            <b:Last>2nd</b:Last>
          </b:Person>
        </b:NameList>
      </b:Editor>
    </b:Author>
    <b:Title>Collecting in time of war</b:Title>
    <b:BookTitle>Museums and the Future of Collecting</b:BookTitle>
    <b:Year>2004</b:Year>
    <b:Pages>128-134</b:Pages>
    <b:City>Burlington and Aldershot</b:City>
    <b:Publisher>Ashgate</b:Publisher>
    <b:RefOrder>3</b:RefOrder>
  </b:Source>
  <b:Source>
    <b:Tag>Gar14</b:Tag>
    <b:SourceType>BookSection</b:SourceType>
    <b:Guid>{8FF967E2-BE21-42D2-98E2-1E80A2DAF411}</b:Guid>
    <b:Author>
      <b:Author>
        <b:NameList>
          <b:Person>
            <b:Last>Garberg</b:Last>
            <b:First>Ann</b:First>
            <b:Middle>Siri Hegseth</b:Middle>
          </b:Person>
        </b:NameList>
      </b:Author>
      <b:Editor>
        <b:NameList>
          <b:Person>
            <b:Last>Fromm</b:Last>
            <b:First>Annette</b:First>
          </b:Person>
          <b:Person>
            <b:Last>Golding</b:Last>
            <b:First>Viv</b:First>
          </b:Person>
          <b:Person>
            <b:Last>Rekdal</b:Last>
            <b:First>Per B.</b:First>
          </b:Person>
        </b:NameList>
      </b:Editor>
    </b:Author>
    <b:Title>Minda, The Girl in the Pharmacy: An Educational Program on Sexual Assault</b:Title>
    <b:BookTitle>Museums and Truth</b:BookTitle>
    <b:Year>2014</b:Year>
    <b:Pages>155-165</b:Pages>
    <b:City>Newcastle</b:City>
    <b:Publisher>Canbridge Scholars Publishing</b:Publisher>
    <b:RefOrder>4</b:RefOrder>
  </b:Source>
  <b:Source>
    <b:Tag>Jun14</b:Tag>
    <b:SourceType>BookSection</b:SourceType>
    <b:Guid>{F5453E2A-6258-459B-91DE-22A621264A5F}</b:Guid>
    <b:Title>Murder and Manslaughter: An Exhibition about Life</b:Title>
    <b:BookTitle>Museums and Truth</b:BookTitle>
    <b:Year>2014</b:Year>
    <b:Pages>147-153</b:Pages>
    <b:City>Newcastle</b:City>
    <b:Publisher>Cambridge Scholars Publishing</b:Publisher>
    <b:Author>
      <b:Author>
        <b:NameList>
          <b:Person>
            <b:Last>Jungblut</b:Last>
            <b:First>Marie-Paul</b:First>
          </b:Person>
          <b:Person>
            <b:Last>Schweizer</b:Last>
            <b:First>Simon</b:First>
          </b:Person>
        </b:NameList>
      </b:Author>
      <b:Editor>
        <b:NameList>
          <b:Person>
            <b:Last>Fromm</b:Last>
            <b:Middle>B.</b:Middle>
            <b:First>Annette</b:First>
          </b:Person>
          <b:Person>
            <b:Last>Golding</b:Last>
            <b:First>Viv</b:First>
          </b:Person>
          <b:Person>
            <b:Last>Rekdal</b:Last>
            <b:Middle>B.</b:Middle>
            <b:First>Per</b:First>
          </b:Person>
        </b:NameList>
      </b:Editor>
    </b:Author>
    <b:RefOrder>5</b:RefOrder>
  </b:Source>
  <b:Source>
    <b:Tag>Wil99</b:Tag>
    <b:SourceType>JournalArticle</b:SourceType>
    <b:Guid>{F0FD3D63-DEFE-4E05-9132-0D55F4F96C9C}</b:Guid>
    <b:Title>Museums as Centers of Controversy</b:Title>
    <b:Year>1999</b:Year>
    <b:Pages>185-228</b:Pages>
    <b:Author>
      <b:Author>
        <b:NameList>
          <b:Person>
            <b:Last>Boyd</b:Last>
            <b:First>Williard</b:First>
            <b:Middle>L.</b:Middle>
          </b:Person>
        </b:NameList>
      </b:Author>
    </b:Author>
    <b:JournalName>Daedalus</b:JournalName>
    <b:Volume>128</b:Volume>
    <b:Issue>3</b:Issue>
    <b:RefOrder>6</b:RefOrder>
  </b:Source>
  <b:Source>
    <b:Tag>Gar97</b:Tag>
    <b:SourceType>BookSection</b:SourceType>
    <b:Guid>{7346BC6B-61DC-4950-8999-84D46C2E38FA}</b:Guid>
    <b:Title>Ethics and Museums</b:Title>
    <b:Year>1997</b:Year>
    <b:Pages>36-53</b:Pages>
    <b:LCID>en-GB</b:LCID>
    <b:Author>
      <b:Author>
        <b:NameList>
          <b:Person>
            <b:Last>Edson</b:Last>
            <b:First>Gary</b:First>
          </b:Person>
        </b:NameList>
      </b:Author>
      <b:Editor>
        <b:NameList>
          <b:Person>
            <b:Last>Edson</b:Last>
            <b:First>Gary</b:First>
          </b:Person>
        </b:NameList>
      </b:Editor>
    </b:Author>
    <b:BookTitle>Museum Ethics</b:BookTitle>
    <b:City>New York</b:City>
    <b:Publisher>Routledge</b:Publisher>
    <b:RefOrder>7</b:RefOrder>
  </b:Source>
  <b:Source>
    <b:Tag>Joh97</b:Tag>
    <b:SourceType>BookSection</b:SourceType>
    <b:Guid>{C6D81DDB-4146-4F5B-B56B-8570594F45A6}</b:Guid>
    <b:Author>
      <b:Author>
        <b:NameList>
          <b:Person>
            <b:Last>Landry</b:Last>
            <b:First>Johanne</b:First>
          </b:Person>
        </b:NameList>
      </b:Author>
      <b:Editor>
        <b:NameList>
          <b:Person>
            <b:Last>Edson</b:Last>
            <b:First>Gary</b:First>
          </b:Person>
        </b:NameList>
      </b:Editor>
    </b:Author>
    <b:Title>Ethics and Public Programs</b:Title>
    <b:BookTitle>Museum Ethics</b:BookTitle>
    <b:Year>1997</b:Year>
    <b:Pages>225-236</b:Pages>
    <b:City>New York</b:City>
    <b:Publisher>Routledge</b:Publisher>
    <b:RefOrder>8</b:RefOrder>
  </b:Source>
  <b:Source>
    <b:Tag>Dav97</b:Tag>
    <b:SourceType>BookSection</b:SourceType>
    <b:Guid>{EA059534-4745-4C7B-9774-7BE62DA11974}</b:Guid>
    <b:Author>
      <b:Author>
        <b:NameList>
          <b:Person>
            <b:Last>Dean</b:Last>
            <b:First>David</b:First>
            <b:Middle>D.</b:Middle>
          </b:Person>
        </b:NameList>
      </b:Author>
      <b:Editor>
        <b:NameList>
          <b:Person>
            <b:Last>Edson</b:Last>
            <b:First>Gary</b:First>
          </b:Person>
        </b:NameList>
      </b:Editor>
    </b:Author>
    <b:Title>Ethics and Exhibition </b:Title>
    <b:BookTitle>Museum Ethics</b:BookTitle>
    <b:Year>1997</b:Year>
    <b:Pages>218-224</b:Pages>
    <b:City>New York</b:City>
    <b:Publisher>Routledge</b:Publisher>
    <b:RefOrder>9</b:RefOrder>
  </b:Source>
  <b:Source>
    <b:Tag>Ale08</b:Tag>
    <b:SourceType>Book</b:SourceType>
    <b:Guid>{D470A8EF-7AAB-4C54-AC46-A1EFFE954DB0}</b:Guid>
    <b:Title>Museums in Motion: An introduction to the History and Functions of Museums</b:Title>
    <b:Year>2008</b:Year>
    <b:City>Plymouth</b:City>
    <b:Publisher>AltaMira Press</b:Publisher>
    <b:Edition>2nd</b:Edition>
    <b:Author>
      <b:Author>
        <b:NameList>
          <b:Person>
            <b:Last>Alexander</b:Last>
            <b:Middle>P.</b:Middle>
            <b:First>Edward</b:First>
          </b:Person>
          <b:Person>
            <b:Last>Alexander</b:Last>
            <b:First>Mary</b:First>
          </b:Person>
        </b:NameList>
      </b:Author>
    </b:Author>
    <b:RefOrder>10</b:RefOrder>
  </b:Source>
  <b:Source>
    <b:Tag>Kev97</b:Tag>
    <b:SourceType>Book</b:SourceType>
    <b:Guid>{A3E98112-2A7B-4F33-97D7-51939D8B34B0}</b:Guid>
    <b:Author>
      <b:Author>
        <b:NameList>
          <b:Person>
            <b:Last>Moore</b:Last>
            <b:First>Kevin</b:First>
          </b:Person>
        </b:NameList>
      </b:Author>
    </b:Author>
    <b:Title>Museums and Popular Culture</b:Title>
    <b:Year>1997</b:Year>
    <b:City>London</b:City>
    <b:Publisher>Leicester University Press</b:Publisher>
    <b:Edition>1st</b:Edition>
    <b:RefOrder>11</b:RefOrder>
  </b:Source>
</b:Sources>
</file>

<file path=customXml/itemProps1.xml><?xml version="1.0" encoding="utf-8"?>
<ds:datastoreItem xmlns:ds="http://schemas.openxmlformats.org/officeDocument/2006/customXml" ds:itemID="{53E8CB51-DC7E-47B2-9BEC-B1DF53BBB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1803</Words>
  <Characters>10282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Carlton (1701268)</dc:creator>
  <cp:keywords/>
  <dc:description/>
  <cp:lastModifiedBy>Rebecca Carlton (1701268)</cp:lastModifiedBy>
  <cp:revision>5</cp:revision>
  <dcterms:created xsi:type="dcterms:W3CDTF">2018-01-23T15:01:00Z</dcterms:created>
  <dcterms:modified xsi:type="dcterms:W3CDTF">2018-01-23T15:12:00Z</dcterms:modified>
</cp:coreProperties>
</file>