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9C83C" w14:textId="77777777" w:rsidR="00FE6465" w:rsidRDefault="00000000">
      <w:pPr>
        <w:pStyle w:val="Title"/>
      </w:pPr>
      <w:r>
        <w:t>BMHP5016 – Principles of Health and Social Care Practice</w:t>
      </w:r>
    </w:p>
    <w:p w14:paraId="1D037A18" w14:textId="77777777" w:rsidR="00FE6465" w:rsidRPr="0042088F" w:rsidRDefault="00000000">
      <w:pPr>
        <w:rPr>
          <w:b/>
          <w:bCs/>
        </w:rPr>
      </w:pPr>
      <w:r w:rsidRPr="0042088F">
        <w:rPr>
          <w:b/>
          <w:bCs/>
        </w:rPr>
        <w:t>Component 2: Written Assignment (Report)</w:t>
      </w:r>
    </w:p>
    <w:p w14:paraId="296FAB75" w14:textId="77777777" w:rsidR="00FE6465" w:rsidRPr="0042088F" w:rsidRDefault="00000000">
      <w:pPr>
        <w:rPr>
          <w:b/>
          <w:bCs/>
        </w:rPr>
      </w:pPr>
      <w:r w:rsidRPr="0042088F">
        <w:rPr>
          <w:b/>
          <w:bCs/>
        </w:rPr>
        <w:t>Evaluation of Person-Centred Care and Partnership Working in Health and Social Care</w:t>
      </w:r>
      <w:r w:rsidRPr="0042088F">
        <w:rPr>
          <w:b/>
          <w:bCs/>
        </w:rPr>
        <w:br/>
      </w:r>
    </w:p>
    <w:p w14:paraId="3C117EF2" w14:textId="77777777" w:rsidR="00FE6465" w:rsidRDefault="00000000">
      <w:r>
        <w:t>Student Name: Nabila Noreen</w:t>
      </w:r>
    </w:p>
    <w:p w14:paraId="063FE2C8" w14:textId="024A9437" w:rsidR="00FE6465" w:rsidRDefault="00000000">
      <w:r>
        <w:t xml:space="preserve">Student ID: </w:t>
      </w:r>
      <w:r w:rsidR="0042088F">
        <w:t>2425430</w:t>
      </w:r>
    </w:p>
    <w:p w14:paraId="5BEBD677" w14:textId="77777777" w:rsidR="00FE6465" w:rsidRDefault="00000000">
      <w:r>
        <w:t>Module Code: BMHP5016</w:t>
      </w:r>
    </w:p>
    <w:p w14:paraId="018F7BD6" w14:textId="77777777" w:rsidR="00FE6465" w:rsidRDefault="00000000">
      <w:r>
        <w:t>Submission Date: 29 March 2026</w:t>
      </w:r>
    </w:p>
    <w:p w14:paraId="788E63BB" w14:textId="77777777" w:rsidR="00FE6465" w:rsidRDefault="00000000">
      <w:r>
        <w:br w:type="page"/>
      </w:r>
    </w:p>
    <w:p w14:paraId="0994F679" w14:textId="77777777" w:rsidR="00FE6465" w:rsidRDefault="00000000">
      <w:pPr>
        <w:pStyle w:val="Heading1"/>
      </w:pPr>
      <w:r>
        <w:lastRenderedPageBreak/>
        <w:t>Table of Contents</w:t>
      </w:r>
    </w:p>
    <w:p w14:paraId="32C03070" w14:textId="77777777" w:rsidR="00FE6465" w:rsidRDefault="00000000">
      <w:r>
        <w:t>1. Introduction</w:t>
      </w:r>
    </w:p>
    <w:p w14:paraId="120F002C" w14:textId="77777777" w:rsidR="00FE6465" w:rsidRDefault="00000000">
      <w:r>
        <w:t>2. Person-Centred Care</w:t>
      </w:r>
    </w:p>
    <w:p w14:paraId="64865666" w14:textId="77777777" w:rsidR="00FE6465" w:rsidRDefault="00000000">
      <w:r>
        <w:t xml:space="preserve">   2.1 Definition of Person-Centred Care</w:t>
      </w:r>
    </w:p>
    <w:p w14:paraId="10AD6CA9" w14:textId="77777777" w:rsidR="00FE6465" w:rsidRDefault="00000000">
      <w:r>
        <w:t xml:space="preserve">   2.2 Benefits of Person-Centred Care</w:t>
      </w:r>
    </w:p>
    <w:p w14:paraId="682E4E8F" w14:textId="77777777" w:rsidR="00FE6465" w:rsidRDefault="00000000">
      <w:r>
        <w:t xml:space="preserve">   2.3 Limitations of Person-Centred Care</w:t>
      </w:r>
    </w:p>
    <w:p w14:paraId="5388A282" w14:textId="77777777" w:rsidR="00FE6465" w:rsidRDefault="00000000">
      <w:r>
        <w:t>3. Theory or Model Underpinning Person-Centred Care</w:t>
      </w:r>
    </w:p>
    <w:p w14:paraId="3BCF37E8" w14:textId="77777777" w:rsidR="00FE6465" w:rsidRDefault="00000000">
      <w:r>
        <w:t>4. Ethical Fundamentals of Health and Social Care</w:t>
      </w:r>
    </w:p>
    <w:p w14:paraId="17A0A197" w14:textId="77777777" w:rsidR="00FE6465" w:rsidRDefault="00000000">
      <w:r>
        <w:t>5. Evaluation of Partnership Working in Health and Social Care</w:t>
      </w:r>
    </w:p>
    <w:p w14:paraId="0863DD53" w14:textId="77777777" w:rsidR="00FE6465" w:rsidRDefault="00000000">
      <w:r>
        <w:t>6. Application of Partnership Working in Practice</w:t>
      </w:r>
    </w:p>
    <w:p w14:paraId="7A2E66DB" w14:textId="77777777" w:rsidR="00FE6465" w:rsidRDefault="00000000">
      <w:r>
        <w:t>7. Relevant Policy and Legislation</w:t>
      </w:r>
    </w:p>
    <w:p w14:paraId="612CD81E" w14:textId="77777777" w:rsidR="00FE6465" w:rsidRDefault="00000000">
      <w:r>
        <w:t>8. Recommendations for Future Development in the UK</w:t>
      </w:r>
    </w:p>
    <w:p w14:paraId="106BDAC8" w14:textId="77777777" w:rsidR="00FE6465" w:rsidRDefault="00000000">
      <w:r>
        <w:t>9. Conclusion</w:t>
      </w:r>
    </w:p>
    <w:p w14:paraId="14B4E301" w14:textId="77777777" w:rsidR="00FE6465" w:rsidRDefault="00000000">
      <w:r>
        <w:t>10. References</w:t>
      </w:r>
    </w:p>
    <w:p w14:paraId="7A75679D" w14:textId="77777777" w:rsidR="00FE6465" w:rsidRDefault="00000000">
      <w:r>
        <w:br w:type="page"/>
      </w:r>
    </w:p>
    <w:p w14:paraId="0514F277" w14:textId="77777777" w:rsidR="00FE6465" w:rsidRDefault="00000000">
      <w:pPr>
        <w:pStyle w:val="Heading1"/>
      </w:pPr>
      <w:r>
        <w:lastRenderedPageBreak/>
        <w:t>1. Introduction</w:t>
      </w:r>
    </w:p>
    <w:p w14:paraId="0FA67F99" w14:textId="3A08D9C9" w:rsidR="00FE6465" w:rsidRPr="00175CD6" w:rsidRDefault="00175CD6" w:rsidP="0042088F">
      <w:pPr>
        <w:spacing w:line="360" w:lineRule="auto"/>
        <w:jc w:val="both"/>
        <w:rPr>
          <w:rFonts w:ascii="Arial" w:hAnsi="Arial" w:cs="Arial"/>
        </w:rPr>
      </w:pPr>
      <w:r w:rsidRPr="00175CD6">
        <w:rPr>
          <w:rFonts w:ascii="Arial" w:hAnsi="Arial" w:cs="Arial"/>
        </w:rPr>
        <w:t>Systems of health and</w:t>
      </w:r>
      <w:r w:rsidRPr="00175CD6">
        <w:rPr>
          <w:rFonts w:ascii="Arial" w:hAnsi="Arial" w:cs="Arial"/>
        </w:rPr>
        <w:t> </w:t>
      </w:r>
      <w:r w:rsidRPr="00175CD6">
        <w:rPr>
          <w:rFonts w:ascii="Arial" w:hAnsi="Arial" w:cs="Arial"/>
        </w:rPr>
        <w:t>social care are intended to help people to keep well, live as independently as possible and to have a good quality of life. In contemporary reality, there is an abandonment of the</w:t>
      </w:r>
      <w:r w:rsidRPr="00175CD6">
        <w:rPr>
          <w:rFonts w:ascii="Arial" w:hAnsi="Arial" w:cs="Arial"/>
        </w:rPr>
        <w:t> </w:t>
      </w:r>
      <w:r w:rsidRPr="00175CD6">
        <w:rPr>
          <w:rFonts w:ascii="Arial" w:hAnsi="Arial" w:cs="Arial"/>
        </w:rPr>
        <w:t>linear care model that focuses on the health service provider, replaced with a model that emphasizes the active participation of people in care-related decisions. One of the</w:t>
      </w:r>
      <w:r w:rsidRPr="00175CD6">
        <w:rPr>
          <w:rFonts w:ascii="Arial" w:hAnsi="Arial" w:cs="Arial"/>
        </w:rPr>
        <w:t> </w:t>
      </w:r>
      <w:r w:rsidRPr="00175CD6">
        <w:rPr>
          <w:rFonts w:ascii="Arial" w:hAnsi="Arial" w:cs="Arial"/>
        </w:rPr>
        <w:t>most important innovations in this field is person-centred care (PCC), which includes respect, dignity, and individual choice. PCC goes beyond addressing illness itself, as</w:t>
      </w:r>
      <w:r w:rsidRPr="00175CD6">
        <w:rPr>
          <w:rFonts w:ascii="Arial" w:hAnsi="Arial" w:cs="Arial"/>
        </w:rPr>
        <w:t> </w:t>
      </w:r>
      <w:r w:rsidRPr="00175CD6">
        <w:rPr>
          <w:rFonts w:ascii="Arial" w:hAnsi="Arial" w:cs="Arial"/>
        </w:rPr>
        <w:t>the life context of the individual with his emotional, social and psychological needs is taken into account (The Health Foundation, 2016; NHS England, 2024). Along</w:t>
      </w:r>
      <w:r w:rsidRPr="00175CD6">
        <w:rPr>
          <w:rFonts w:ascii="Arial" w:hAnsi="Arial" w:cs="Arial"/>
        </w:rPr>
        <w:t> </w:t>
      </w:r>
      <w:r w:rsidRPr="00175CD6">
        <w:rPr>
          <w:rFonts w:ascii="Arial" w:hAnsi="Arial" w:cs="Arial"/>
        </w:rPr>
        <w:t>with person-centred care, partnership working has become integral to the delivery of health and social care. Many people need</w:t>
      </w:r>
      <w:r w:rsidRPr="00175CD6">
        <w:rPr>
          <w:rFonts w:ascii="Arial" w:hAnsi="Arial" w:cs="Arial"/>
        </w:rPr>
        <w:t> </w:t>
      </w:r>
      <w:r w:rsidRPr="00175CD6">
        <w:rPr>
          <w:rFonts w:ascii="Arial" w:hAnsi="Arial" w:cs="Arial"/>
        </w:rPr>
        <w:t>help from more than one service, and joined up working makes certain care is joined up, too. Collaboration is a process that brings all the people who</w:t>
      </w:r>
      <w:r w:rsidRPr="00175CD6">
        <w:rPr>
          <w:rFonts w:ascii="Arial" w:hAnsi="Arial" w:cs="Arial"/>
        </w:rPr>
        <w:t> </w:t>
      </w:r>
      <w:r w:rsidRPr="00175CD6">
        <w:rPr>
          <w:rFonts w:ascii="Arial" w:hAnsi="Arial" w:cs="Arial"/>
        </w:rPr>
        <w:t>have a stake in an outcome into cooperation (Goodwin et al., 2012). This</w:t>
      </w:r>
      <w:r w:rsidRPr="00175CD6">
        <w:rPr>
          <w:rFonts w:ascii="Arial" w:hAnsi="Arial" w:cs="Arial"/>
        </w:rPr>
        <w:t> </w:t>
      </w:r>
      <w:r w:rsidRPr="00175CD6">
        <w:rPr>
          <w:rFonts w:ascii="Arial" w:hAnsi="Arial" w:cs="Arial"/>
        </w:rPr>
        <w:t>report considers person-centred care and partnership in the context of health and social care. It will consider</w:t>
      </w:r>
      <w:r w:rsidRPr="00175CD6">
        <w:rPr>
          <w:rFonts w:ascii="Arial" w:hAnsi="Arial" w:cs="Arial"/>
        </w:rPr>
        <w:t> </w:t>
      </w:r>
      <w:r w:rsidRPr="00175CD6">
        <w:rPr>
          <w:rFonts w:ascii="Arial" w:hAnsi="Arial" w:cs="Arial"/>
        </w:rPr>
        <w:t>what PCC is, its advantages and disadvantages, a relevant theory, and the major ethical issues. Furthermore the report will assess partnership working, discuss its implications for practice, review it in relation to relevant</w:t>
      </w:r>
      <w:r w:rsidRPr="00175CD6">
        <w:rPr>
          <w:rFonts w:ascii="Arial" w:hAnsi="Arial" w:cs="Arial"/>
        </w:rPr>
        <w:t> </w:t>
      </w:r>
      <w:r w:rsidRPr="00175CD6">
        <w:rPr>
          <w:rFonts w:ascii="Arial" w:hAnsi="Arial" w:cs="Arial"/>
        </w:rPr>
        <w:t>legislation and identify future practice for development in the UK (Care Act 2014; Health and Social Care Act 2012).</w:t>
      </w:r>
      <w:r w:rsidR="00000000" w:rsidRPr="00175CD6">
        <w:rPr>
          <w:rFonts w:ascii="Arial" w:hAnsi="Arial" w:cs="Arial"/>
        </w:rPr>
        <w:br/>
      </w:r>
    </w:p>
    <w:p w14:paraId="6C01F5FF" w14:textId="77777777" w:rsidR="00175CD6" w:rsidRDefault="00000000">
      <w:pPr>
        <w:pStyle w:val="Heading1"/>
      </w:pPr>
      <w:r>
        <w:t>2. Person-Centred Care</w:t>
      </w:r>
    </w:p>
    <w:p w14:paraId="6C7FC403" w14:textId="722E0EFD" w:rsidR="00FE6465" w:rsidRDefault="00000000">
      <w:pPr>
        <w:pStyle w:val="Heading1"/>
      </w:pPr>
      <w:r>
        <w:t>2.1 Definition of Person-Centred Care</w:t>
      </w:r>
    </w:p>
    <w:p w14:paraId="0E9D710B" w14:textId="48F40053" w:rsidR="00175CD6" w:rsidRPr="00175CD6" w:rsidRDefault="00175CD6" w:rsidP="0042088F">
      <w:pPr>
        <w:spacing w:line="360" w:lineRule="auto"/>
        <w:jc w:val="both"/>
        <w:rPr>
          <w:rFonts w:ascii="Arial" w:hAnsi="Arial" w:cs="Arial"/>
        </w:rPr>
      </w:pPr>
      <w:r w:rsidRPr="00175CD6">
        <w:rPr>
          <w:rFonts w:ascii="Arial" w:hAnsi="Arial" w:cs="Arial"/>
        </w:rPr>
        <w:t>Person-centred care is one in which the person receiving care is actively involved in</w:t>
      </w:r>
      <w:r w:rsidRPr="00175CD6">
        <w:rPr>
          <w:rFonts w:ascii="Arial" w:hAnsi="Arial" w:cs="Arial"/>
        </w:rPr>
        <w:t> </w:t>
      </w:r>
      <w:r w:rsidRPr="00175CD6">
        <w:rPr>
          <w:rFonts w:ascii="Arial" w:hAnsi="Arial" w:cs="Arial"/>
        </w:rPr>
        <w:t>the process and not just a passive recipient. It is about being respectful of</w:t>
      </w:r>
      <w:r w:rsidRPr="00175CD6">
        <w:rPr>
          <w:rFonts w:ascii="Arial" w:hAnsi="Arial" w:cs="Arial"/>
        </w:rPr>
        <w:t> </w:t>
      </w:r>
      <w:r w:rsidRPr="00175CD6">
        <w:rPr>
          <w:rFonts w:ascii="Arial" w:hAnsi="Arial" w:cs="Arial"/>
        </w:rPr>
        <w:t>and responsive to individual patients’ preferences, needs, and values and ensuring that patient values guide all clinical decisions (The Health Foundation, 2016). This contributes to dignity, respect and empowerment and individuals are enabled</w:t>
      </w:r>
      <w:r w:rsidRPr="00175CD6">
        <w:rPr>
          <w:rFonts w:ascii="Arial" w:hAnsi="Arial" w:cs="Arial"/>
        </w:rPr>
        <w:t> </w:t>
      </w:r>
      <w:r w:rsidRPr="00175CD6">
        <w:rPr>
          <w:rFonts w:ascii="Arial" w:hAnsi="Arial" w:cs="Arial"/>
        </w:rPr>
        <w:t>to have informed choice in the care and support they receive. In</w:t>
      </w:r>
      <w:r w:rsidRPr="00175CD6">
        <w:rPr>
          <w:rFonts w:ascii="Arial" w:hAnsi="Arial" w:cs="Arial"/>
        </w:rPr>
        <w:t> </w:t>
      </w:r>
      <w:r w:rsidRPr="00175CD6">
        <w:rPr>
          <w:rFonts w:ascii="Arial" w:hAnsi="Arial" w:cs="Arial"/>
        </w:rPr>
        <w:t>reality, this involves healthcare staff having meaningful conversations with users of the service, actively listening to them and recruiting them in the planning and decision-making process. It also stresses working closely with families</w:t>
      </w:r>
      <w:r w:rsidRPr="00175CD6">
        <w:rPr>
          <w:rFonts w:ascii="Arial" w:hAnsi="Arial" w:cs="Arial"/>
        </w:rPr>
        <w:t> </w:t>
      </w:r>
      <w:r w:rsidRPr="00175CD6">
        <w:rPr>
          <w:rFonts w:ascii="Arial" w:hAnsi="Arial" w:cs="Arial"/>
        </w:rPr>
        <w:t>and carers when suitable. The</w:t>
      </w:r>
      <w:r w:rsidRPr="00175CD6">
        <w:rPr>
          <w:rFonts w:ascii="Arial" w:hAnsi="Arial" w:cs="Arial"/>
        </w:rPr>
        <w:t> </w:t>
      </w:r>
      <w:r w:rsidRPr="00175CD6">
        <w:rPr>
          <w:rFonts w:ascii="Arial" w:hAnsi="Arial" w:cs="Arial"/>
        </w:rPr>
        <w:t xml:space="preserve">Care Quality Commission states that good person-centred </w:t>
      </w:r>
      <w:r w:rsidRPr="00175CD6">
        <w:rPr>
          <w:rFonts w:ascii="Arial" w:hAnsi="Arial" w:cs="Arial"/>
        </w:rPr>
        <w:lastRenderedPageBreak/>
        <w:t>care means having an understanding of people’s backgrounds, what is important to them and what their goals are and making sure care plans take account of this (CQC, 2024a).</w:t>
      </w:r>
    </w:p>
    <w:p w14:paraId="2923D2B2" w14:textId="77777777" w:rsidR="00FE6465" w:rsidRDefault="00000000">
      <w:pPr>
        <w:pStyle w:val="Heading1"/>
      </w:pPr>
      <w:r>
        <w:t>2.2 Benefits of Person-Centred Care</w:t>
      </w:r>
    </w:p>
    <w:p w14:paraId="149759A7" w14:textId="2735880B" w:rsidR="00175CD6" w:rsidRPr="00175CD6" w:rsidRDefault="00175CD6" w:rsidP="0042088F">
      <w:pPr>
        <w:spacing w:line="360" w:lineRule="auto"/>
        <w:jc w:val="both"/>
        <w:rPr>
          <w:rFonts w:ascii="Arial" w:hAnsi="Arial" w:cs="Arial"/>
        </w:rPr>
      </w:pPr>
      <w:r w:rsidRPr="00175CD6">
        <w:rPr>
          <w:rFonts w:ascii="Arial" w:hAnsi="Arial" w:cs="Arial"/>
        </w:rPr>
        <w:t>Person-centred care is known to provide</w:t>
      </w:r>
      <w:r w:rsidRPr="00175CD6">
        <w:rPr>
          <w:rFonts w:ascii="Arial" w:hAnsi="Arial" w:cs="Arial"/>
        </w:rPr>
        <w:t> </w:t>
      </w:r>
      <w:r w:rsidRPr="00175CD6">
        <w:rPr>
          <w:rFonts w:ascii="Arial" w:hAnsi="Arial" w:cs="Arial"/>
        </w:rPr>
        <w:t>benefits in terms of both healthcare outcomes and patient experience. A key outcome is satisfaction, because people are more satisfied when they feel listened to</w:t>
      </w:r>
      <w:r w:rsidRPr="00175CD6">
        <w:rPr>
          <w:rFonts w:ascii="Arial" w:hAnsi="Arial" w:cs="Arial"/>
        </w:rPr>
        <w:t> </w:t>
      </w:r>
      <w:r w:rsidRPr="00175CD6">
        <w:rPr>
          <w:rFonts w:ascii="Arial" w:hAnsi="Arial" w:cs="Arial"/>
        </w:rPr>
        <w:t>and valued (CQC, 2024b). This means better patient-professional relationships</w:t>
      </w:r>
      <w:r w:rsidRPr="00175CD6">
        <w:rPr>
          <w:rFonts w:ascii="Arial" w:hAnsi="Arial" w:cs="Arial"/>
        </w:rPr>
        <w:t> </w:t>
      </w:r>
      <w:r w:rsidRPr="00175CD6">
        <w:rPr>
          <w:rFonts w:ascii="Arial" w:hAnsi="Arial" w:cs="Arial"/>
        </w:rPr>
        <w:t>are being established. Given that, an additional relevant</w:t>
      </w:r>
      <w:r w:rsidRPr="00175CD6">
        <w:rPr>
          <w:rFonts w:ascii="Arial" w:hAnsi="Arial" w:cs="Arial"/>
        </w:rPr>
        <w:t> </w:t>
      </w:r>
      <w:r w:rsidRPr="00175CD6">
        <w:rPr>
          <w:rFonts w:ascii="Arial" w:hAnsi="Arial" w:cs="Arial"/>
        </w:rPr>
        <w:t>consequence of better mental health is better adherence. People are more likely to</w:t>
      </w:r>
      <w:r w:rsidRPr="00175CD6">
        <w:rPr>
          <w:rFonts w:ascii="Arial" w:hAnsi="Arial" w:cs="Arial"/>
        </w:rPr>
        <w:t> </w:t>
      </w:r>
      <w:r w:rsidRPr="00175CD6">
        <w:rPr>
          <w:rFonts w:ascii="Arial" w:hAnsi="Arial" w:cs="Arial"/>
        </w:rPr>
        <w:t>stick to care plans that are aligned with their own goals when they participate in making decisions about their care (NHS England, 2019). This might improve the long-term health</w:t>
      </w:r>
      <w:r w:rsidRPr="00175CD6">
        <w:rPr>
          <w:rFonts w:ascii="Arial" w:hAnsi="Arial" w:cs="Arial"/>
        </w:rPr>
        <w:t> </w:t>
      </w:r>
      <w:r w:rsidRPr="00175CD6">
        <w:rPr>
          <w:rFonts w:ascii="Arial" w:hAnsi="Arial" w:cs="Arial"/>
        </w:rPr>
        <w:t>of the population. It's also worth mentioning</w:t>
      </w:r>
      <w:r w:rsidRPr="00175CD6">
        <w:rPr>
          <w:rFonts w:ascii="Arial" w:hAnsi="Arial" w:cs="Arial"/>
        </w:rPr>
        <w:t> </w:t>
      </w:r>
      <w:r w:rsidRPr="00175CD6">
        <w:rPr>
          <w:rFonts w:ascii="Arial" w:hAnsi="Arial" w:cs="Arial"/>
        </w:rPr>
        <w:t>that PCC improves communication. Communication is more accurate and interventions</w:t>
      </w:r>
      <w:r w:rsidRPr="00175CD6">
        <w:rPr>
          <w:rFonts w:ascii="Arial" w:hAnsi="Arial" w:cs="Arial"/>
        </w:rPr>
        <w:t> </w:t>
      </w:r>
      <w:r w:rsidRPr="00175CD6">
        <w:rPr>
          <w:rFonts w:ascii="Arial" w:hAnsi="Arial" w:cs="Arial"/>
        </w:rPr>
        <w:t>more suitable because of the conversation, by which people can raise concerns. It also promotes independence as people are supported to take</w:t>
      </w:r>
      <w:r w:rsidRPr="00175CD6">
        <w:rPr>
          <w:rFonts w:ascii="Arial" w:hAnsi="Arial" w:cs="Arial"/>
        </w:rPr>
        <w:t> </w:t>
      </w:r>
      <w:r w:rsidRPr="00175CD6">
        <w:rPr>
          <w:rFonts w:ascii="Arial" w:hAnsi="Arial" w:cs="Arial"/>
        </w:rPr>
        <w:t>the lead in managing their own health where they can (Coulter, 2011).</w:t>
      </w:r>
    </w:p>
    <w:p w14:paraId="3EA46EEC" w14:textId="77777777" w:rsidR="00FE6465" w:rsidRDefault="00000000">
      <w:pPr>
        <w:pStyle w:val="Heading1"/>
      </w:pPr>
      <w:r>
        <w:t>2.3 Limitations of Person-Centred Care</w:t>
      </w:r>
    </w:p>
    <w:p w14:paraId="454026D4" w14:textId="7F508970" w:rsidR="00FE6465" w:rsidRPr="00175CD6" w:rsidRDefault="00175CD6" w:rsidP="0042088F">
      <w:pPr>
        <w:spacing w:line="360" w:lineRule="auto"/>
        <w:jc w:val="both"/>
        <w:rPr>
          <w:rFonts w:ascii="Arial" w:hAnsi="Arial" w:cs="Arial"/>
        </w:rPr>
      </w:pPr>
      <w:r w:rsidRPr="00175CD6">
        <w:rPr>
          <w:rFonts w:ascii="Arial" w:hAnsi="Arial" w:cs="Arial"/>
        </w:rPr>
        <w:t>However, it is not always easy to apply person-centred care principles</w:t>
      </w:r>
      <w:r w:rsidRPr="00175CD6">
        <w:rPr>
          <w:rFonts w:ascii="Arial" w:hAnsi="Arial" w:cs="Arial"/>
        </w:rPr>
        <w:t> </w:t>
      </w:r>
      <w:r w:rsidRPr="00175CD6">
        <w:rPr>
          <w:rFonts w:ascii="Arial" w:hAnsi="Arial" w:cs="Arial"/>
        </w:rPr>
        <w:t>in practise. One key challenge is time pressure in the health system, which means that providers sometimes find it</w:t>
      </w:r>
      <w:r w:rsidRPr="00175CD6">
        <w:rPr>
          <w:rFonts w:ascii="Arial" w:hAnsi="Arial" w:cs="Arial"/>
        </w:rPr>
        <w:t> </w:t>
      </w:r>
      <w:r w:rsidRPr="00175CD6">
        <w:rPr>
          <w:rFonts w:ascii="Arial" w:hAnsi="Arial" w:cs="Arial"/>
        </w:rPr>
        <w:t>difficult to offer a fully personalised care approach (The Health Foundation, 2016). Resource challenges also</w:t>
      </w:r>
      <w:r w:rsidRPr="00175CD6">
        <w:rPr>
          <w:rFonts w:ascii="Arial" w:hAnsi="Arial" w:cs="Arial"/>
        </w:rPr>
        <w:t> </w:t>
      </w:r>
      <w:r w:rsidRPr="00175CD6">
        <w:rPr>
          <w:rFonts w:ascii="Arial" w:hAnsi="Arial" w:cs="Arial"/>
        </w:rPr>
        <w:t>relate. The need to manage a stretched workforce and financial resources can also limit the scope</w:t>
      </w:r>
      <w:r w:rsidRPr="00175CD6">
        <w:rPr>
          <w:rFonts w:ascii="Arial" w:hAnsi="Arial" w:cs="Arial"/>
        </w:rPr>
        <w:t> </w:t>
      </w:r>
      <w:r w:rsidRPr="00175CD6">
        <w:rPr>
          <w:rFonts w:ascii="Arial" w:hAnsi="Arial" w:cs="Arial"/>
        </w:rPr>
        <w:t>to personalise services for everyone. In addition, certain service users may be lacking in confidence, information, or ability to engage in decision making – as particularly is the case in more complex matters (Mental</w:t>
      </w:r>
      <w:r w:rsidRPr="00175CD6">
        <w:rPr>
          <w:rFonts w:ascii="Arial" w:hAnsi="Arial" w:cs="Arial"/>
        </w:rPr>
        <w:t> </w:t>
      </w:r>
      <w:r w:rsidRPr="00175CD6">
        <w:rPr>
          <w:rFonts w:ascii="Arial" w:hAnsi="Arial" w:cs="Arial"/>
        </w:rPr>
        <w:t>Capacity Act 2005). There is a danger also of a certain inconsistency, whereby PCC is espoused in policy but</w:t>
      </w:r>
      <w:r w:rsidRPr="00175CD6">
        <w:rPr>
          <w:rFonts w:ascii="Arial" w:hAnsi="Arial" w:cs="Arial"/>
        </w:rPr>
        <w:t> </w:t>
      </w:r>
      <w:r w:rsidRPr="00175CD6">
        <w:rPr>
          <w:rFonts w:ascii="Arial" w:hAnsi="Arial" w:cs="Arial"/>
        </w:rPr>
        <w:t>not fully realised in practice. This can give rise to a divergence between aspirations and actual service</w:t>
      </w:r>
      <w:r w:rsidRPr="00175CD6">
        <w:rPr>
          <w:rFonts w:ascii="Arial" w:hAnsi="Arial" w:cs="Arial"/>
        </w:rPr>
        <w:t> </w:t>
      </w:r>
      <w:r w:rsidRPr="00175CD6">
        <w:rPr>
          <w:rFonts w:ascii="Arial" w:hAnsi="Arial" w:cs="Arial"/>
        </w:rPr>
        <w:t>delivery (NHS England, 2024).</w:t>
      </w:r>
      <w:r w:rsidR="00000000" w:rsidRPr="00175CD6">
        <w:rPr>
          <w:rFonts w:ascii="Arial" w:hAnsi="Arial" w:cs="Arial"/>
        </w:rPr>
        <w:br/>
      </w:r>
    </w:p>
    <w:p w14:paraId="491E7DB7" w14:textId="77777777" w:rsidR="00FE6465" w:rsidRDefault="00000000">
      <w:pPr>
        <w:pStyle w:val="Heading1"/>
      </w:pPr>
      <w:r>
        <w:t>3. Theory or Model Underpinning Person-Centred Care</w:t>
      </w:r>
    </w:p>
    <w:p w14:paraId="5847F1A3" w14:textId="77777777" w:rsidR="00B13E7C" w:rsidRDefault="00175CD6" w:rsidP="00175CD6">
      <w:pPr>
        <w:spacing w:line="360" w:lineRule="auto"/>
        <w:jc w:val="both"/>
        <w:rPr>
          <w:rFonts w:ascii="Arial" w:hAnsi="Arial" w:cs="Arial"/>
        </w:rPr>
      </w:pPr>
      <w:r w:rsidRPr="00175CD6">
        <w:rPr>
          <w:rFonts w:ascii="Arial" w:hAnsi="Arial" w:cs="Arial"/>
        </w:rPr>
        <w:t>Bronfenbrenner’s Ecological Systems Theory is an appropriate model on</w:t>
      </w:r>
      <w:r w:rsidRPr="00175CD6">
        <w:rPr>
          <w:rFonts w:ascii="Arial" w:hAnsi="Arial" w:cs="Arial"/>
        </w:rPr>
        <w:t> </w:t>
      </w:r>
      <w:r w:rsidRPr="00175CD6">
        <w:rPr>
          <w:rFonts w:ascii="Arial" w:hAnsi="Arial" w:cs="Arial"/>
        </w:rPr>
        <w:t xml:space="preserve">which to base care that is focused on the individual. The theory proposes that an individual’s growth and </w:t>
      </w:r>
      <w:r w:rsidRPr="00175CD6">
        <w:rPr>
          <w:rFonts w:ascii="Arial" w:hAnsi="Arial" w:cs="Arial"/>
        </w:rPr>
        <w:lastRenderedPageBreak/>
        <w:t>development in</w:t>
      </w:r>
      <w:r w:rsidRPr="00175CD6">
        <w:rPr>
          <w:rFonts w:ascii="Arial" w:hAnsi="Arial" w:cs="Arial"/>
        </w:rPr>
        <w:t> </w:t>
      </w:r>
      <w:r w:rsidRPr="00175CD6">
        <w:rPr>
          <w:rFonts w:ascii="Arial" w:hAnsi="Arial" w:cs="Arial"/>
        </w:rPr>
        <w:t>wellbeing is shaped by a number of different environmental layers ranging from the family to the society at large (Bronfenbrenner, 1979). Case in point, this theoretical approach illustrates</w:t>
      </w:r>
      <w:r w:rsidRPr="00175CD6">
        <w:rPr>
          <w:rFonts w:ascii="Arial" w:hAnsi="Arial" w:cs="Arial"/>
        </w:rPr>
        <w:t> </w:t>
      </w:r>
      <w:r w:rsidRPr="00175CD6">
        <w:rPr>
          <w:rFonts w:ascii="Arial" w:hAnsi="Arial" w:cs="Arial"/>
        </w:rPr>
        <w:t>the significance of external circumstances that may have an impact on a person’s health in the health and social care. For instance, life circumstances, such as where a person lives, their social connections or whether</w:t>
      </w:r>
      <w:r w:rsidRPr="00175CD6">
        <w:rPr>
          <w:rFonts w:ascii="Arial" w:hAnsi="Arial" w:cs="Arial"/>
        </w:rPr>
        <w:t> </w:t>
      </w:r>
      <w:r w:rsidRPr="00175CD6">
        <w:rPr>
          <w:rFonts w:ascii="Arial" w:hAnsi="Arial" w:cs="Arial"/>
        </w:rPr>
        <w:t>they have easy access to services, can all impact upon their well-being. This is in line with PCC which focuses on the individual making sense of their experience in the</w:t>
      </w:r>
      <w:r w:rsidRPr="00175CD6">
        <w:rPr>
          <w:rFonts w:ascii="Arial" w:hAnsi="Arial" w:cs="Arial"/>
        </w:rPr>
        <w:t> </w:t>
      </w:r>
      <w:r w:rsidRPr="00175CD6">
        <w:rPr>
          <w:rFonts w:ascii="Arial" w:hAnsi="Arial" w:cs="Arial"/>
        </w:rPr>
        <w:t>context. It also promotes collaboration between different agencies as it acknowledges that a range of systems at different</w:t>
      </w:r>
      <w:r w:rsidRPr="00175CD6">
        <w:rPr>
          <w:rFonts w:ascii="Arial" w:hAnsi="Arial" w:cs="Arial"/>
        </w:rPr>
        <w:t> </w:t>
      </w:r>
      <w:r w:rsidRPr="00175CD6">
        <w:rPr>
          <w:rFonts w:ascii="Arial" w:hAnsi="Arial" w:cs="Arial"/>
        </w:rPr>
        <w:t>levels converges to shape outcomes. Health professionals, then,</w:t>
      </w:r>
      <w:r w:rsidRPr="00175CD6">
        <w:rPr>
          <w:rFonts w:ascii="Arial" w:hAnsi="Arial" w:cs="Arial"/>
        </w:rPr>
        <w:t> </w:t>
      </w:r>
      <w:r w:rsidRPr="00175CD6">
        <w:rPr>
          <w:rFonts w:ascii="Arial" w:hAnsi="Arial" w:cs="Arial"/>
        </w:rPr>
        <w:t>need to work with a variety of agencies to meet these holistic needs. Nonetheless, a caveat with</w:t>
      </w:r>
      <w:r w:rsidRPr="00175CD6">
        <w:rPr>
          <w:rFonts w:ascii="Arial" w:hAnsi="Arial" w:cs="Arial"/>
        </w:rPr>
        <w:t> </w:t>
      </w:r>
      <w:r w:rsidRPr="00175CD6">
        <w:rPr>
          <w:rFonts w:ascii="Arial" w:hAnsi="Arial" w:cs="Arial"/>
        </w:rPr>
        <w:t>this model is that it has been hard to implement in practice because it involves focus on several elements at the same time. In light of this, it should be considered useful</w:t>
      </w:r>
      <w:r w:rsidRPr="00175CD6">
        <w:rPr>
          <w:rFonts w:ascii="Arial" w:hAnsi="Arial" w:cs="Arial"/>
        </w:rPr>
        <w:t> </w:t>
      </w:r>
      <w:r w:rsidRPr="00175CD6">
        <w:rPr>
          <w:rFonts w:ascii="Arial" w:hAnsi="Arial" w:cs="Arial"/>
        </w:rPr>
        <w:t>in informing holistic person-centred approaches.</w:t>
      </w:r>
    </w:p>
    <w:p w14:paraId="31C9A222" w14:textId="45451006" w:rsidR="00FE6465" w:rsidRPr="00175CD6" w:rsidRDefault="00B13E7C" w:rsidP="00B13E7C">
      <w:pPr>
        <w:spacing w:line="360" w:lineRule="auto"/>
        <w:jc w:val="both"/>
        <w:rPr>
          <w:rFonts w:ascii="Arial" w:hAnsi="Arial" w:cs="Arial"/>
        </w:rPr>
      </w:pPr>
      <w:r w:rsidRPr="00B13E7C">
        <w:rPr>
          <w:rFonts w:ascii="Arial" w:hAnsi="Arial" w:cs="Arial"/>
        </w:rPr>
        <w:t>Another strength of Bronfenbrenner’s model is that it brings attention to the influence of larger social and physical environments on health. For instance, an individual’s health can be influenced by factors like poverty, quality of housing, level of education, and</w:t>
      </w:r>
      <w:r w:rsidRPr="00B13E7C">
        <w:rPr>
          <w:rFonts w:ascii="Arial" w:hAnsi="Arial" w:cs="Arial"/>
        </w:rPr>
        <w:t> </w:t>
      </w:r>
      <w:r w:rsidRPr="00B13E7C">
        <w:rPr>
          <w:rFonts w:ascii="Arial" w:hAnsi="Arial" w:cs="Arial"/>
        </w:rPr>
        <w:t>availability of his or her desired health care. This is</w:t>
      </w:r>
      <w:r w:rsidRPr="00B13E7C">
        <w:rPr>
          <w:rFonts w:ascii="Arial" w:hAnsi="Arial" w:cs="Arial"/>
        </w:rPr>
        <w:t> </w:t>
      </w:r>
      <w:r w:rsidRPr="00B13E7C">
        <w:rPr>
          <w:rFonts w:ascii="Arial" w:hAnsi="Arial" w:cs="Arial"/>
        </w:rPr>
        <w:t>consistent with the notion that person-centred care ought not to be limited to the individual alone but must incorporate attention to his or her life-world. In</w:t>
      </w:r>
      <w:r w:rsidRPr="00B13E7C">
        <w:rPr>
          <w:rFonts w:ascii="Arial" w:hAnsi="Arial" w:cs="Arial"/>
        </w:rPr>
        <w:t> </w:t>
      </w:r>
      <w:r w:rsidRPr="00B13E7C">
        <w:rPr>
          <w:rFonts w:ascii="Arial" w:hAnsi="Arial" w:cs="Arial"/>
        </w:rPr>
        <w:t>other words, a multi-disciplinary effort is required to engage with the broader determinants of health (Goodwin et al., 2012) Drawing on these factors (and a number of others), Goodwin et al. argue that professionals must collaborate with other providers (eg housing, education, community groups) to tackle these wider determinants of health if they</w:t>
      </w:r>
      <w:r w:rsidRPr="00B13E7C">
        <w:rPr>
          <w:rFonts w:ascii="Arial" w:hAnsi="Arial" w:cs="Arial"/>
        </w:rPr>
        <w:t> </w:t>
      </w:r>
      <w:r w:rsidRPr="00B13E7C">
        <w:rPr>
          <w:rFonts w:ascii="Arial" w:hAnsi="Arial" w:cs="Arial"/>
        </w:rPr>
        <w:t>are truly to offer person-centred care. On</w:t>
      </w:r>
      <w:r w:rsidRPr="00B13E7C">
        <w:rPr>
          <w:rFonts w:ascii="Arial" w:hAnsi="Arial" w:cs="Arial"/>
        </w:rPr>
        <w:t> </w:t>
      </w:r>
      <w:r w:rsidRPr="00B13E7C">
        <w:rPr>
          <w:rFonts w:ascii="Arial" w:hAnsi="Arial" w:cs="Arial"/>
        </w:rPr>
        <w:t>the other hand, it is impossible to fully implement the model in busy healthcare settings due to time and resource constraints, thus some critics have raised concerns about the model’s applicability and practicality. Nonetheless, this theory is still useful as it helps to foster a holistic, comprehensive</w:t>
      </w:r>
      <w:r w:rsidRPr="00B13E7C">
        <w:rPr>
          <w:rFonts w:ascii="Arial" w:hAnsi="Arial" w:cs="Arial"/>
        </w:rPr>
        <w:t> </w:t>
      </w:r>
      <w:r w:rsidRPr="00B13E7C">
        <w:rPr>
          <w:rFonts w:ascii="Arial" w:hAnsi="Arial" w:cs="Arial"/>
        </w:rPr>
        <w:t>pathway to care.</w:t>
      </w:r>
      <w:r w:rsidR="00000000" w:rsidRPr="00175CD6">
        <w:rPr>
          <w:rFonts w:ascii="Arial" w:hAnsi="Arial" w:cs="Arial"/>
        </w:rPr>
        <w:br/>
      </w:r>
    </w:p>
    <w:p w14:paraId="1F5DC539" w14:textId="77777777" w:rsidR="00FE6465" w:rsidRDefault="00000000">
      <w:pPr>
        <w:pStyle w:val="Heading1"/>
      </w:pPr>
      <w:r>
        <w:t>4. Ethical Fundamentals of Health and Social Care</w:t>
      </w:r>
    </w:p>
    <w:p w14:paraId="08CB59DB" w14:textId="242636FF" w:rsidR="00175CD6" w:rsidRPr="00175CD6" w:rsidRDefault="00175CD6" w:rsidP="0042088F">
      <w:pPr>
        <w:spacing w:line="360" w:lineRule="auto"/>
        <w:jc w:val="both"/>
        <w:rPr>
          <w:rFonts w:ascii="Arial" w:hAnsi="Arial" w:cs="Arial"/>
        </w:rPr>
      </w:pPr>
      <w:r w:rsidRPr="00175CD6">
        <w:rPr>
          <w:rFonts w:ascii="Arial" w:hAnsi="Arial" w:cs="Arial"/>
        </w:rPr>
        <w:t>The human service professional behaviour</w:t>
      </w:r>
      <w:r w:rsidRPr="00175CD6">
        <w:rPr>
          <w:rFonts w:ascii="Arial" w:hAnsi="Arial" w:cs="Arial"/>
        </w:rPr>
        <w:t> </w:t>
      </w:r>
      <w:r w:rsidRPr="00175CD6">
        <w:rPr>
          <w:rFonts w:ascii="Arial" w:hAnsi="Arial" w:cs="Arial"/>
        </w:rPr>
        <w:t xml:space="preserve">is directed by its ethical values within health or social care. Autonomy - Individuals have the right to make decisions about their care (Beauchamp and Childress, 2019). Beneficence directs a professional to be in the best </w:t>
      </w:r>
      <w:r w:rsidRPr="00175CD6">
        <w:rPr>
          <w:rFonts w:ascii="Arial" w:hAnsi="Arial" w:cs="Arial"/>
        </w:rPr>
        <w:lastRenderedPageBreak/>
        <w:t>interest of</w:t>
      </w:r>
      <w:r w:rsidRPr="00175CD6">
        <w:rPr>
          <w:rFonts w:ascii="Arial" w:hAnsi="Arial" w:cs="Arial"/>
        </w:rPr>
        <w:t> </w:t>
      </w:r>
      <w:r w:rsidRPr="00175CD6">
        <w:rPr>
          <w:rFonts w:ascii="Arial" w:hAnsi="Arial" w:cs="Arial"/>
        </w:rPr>
        <w:t>the service user and non-maleficence is to do no harm. It also</w:t>
      </w:r>
      <w:r w:rsidRPr="00175CD6">
        <w:rPr>
          <w:rFonts w:ascii="Arial" w:hAnsi="Arial" w:cs="Arial"/>
        </w:rPr>
        <w:t> </w:t>
      </w:r>
      <w:r w:rsidRPr="00175CD6">
        <w:rPr>
          <w:rFonts w:ascii="Arial" w:hAnsi="Arial" w:cs="Arial"/>
        </w:rPr>
        <w:t>includes the principle of justice, which means that there is equitable access to services that do not vary according to background or circumstance (CQC, 2024b). These are echoed within professional guidance such as</w:t>
      </w:r>
      <w:r w:rsidRPr="00175CD6">
        <w:rPr>
          <w:rFonts w:ascii="Arial" w:hAnsi="Arial" w:cs="Arial"/>
        </w:rPr>
        <w:t> </w:t>
      </w:r>
      <w:r w:rsidRPr="00175CD6">
        <w:rPr>
          <w:rFonts w:ascii="Arial" w:hAnsi="Arial" w:cs="Arial"/>
        </w:rPr>
        <w:t>the NMC Code, which fosters practice that is safe, respectful and accountable ( NMC, 2024).</w:t>
      </w:r>
    </w:p>
    <w:p w14:paraId="74349483" w14:textId="77777777" w:rsidR="00FE6465" w:rsidRDefault="00000000">
      <w:pPr>
        <w:pStyle w:val="Heading1"/>
      </w:pPr>
      <w:r>
        <w:t>5. Evaluation of Partnership Working in Health and Social Care</w:t>
      </w:r>
    </w:p>
    <w:p w14:paraId="10045BF5" w14:textId="77777777" w:rsidR="00DF1706" w:rsidRDefault="0042088F" w:rsidP="0042088F">
      <w:pPr>
        <w:spacing w:line="360" w:lineRule="auto"/>
        <w:jc w:val="both"/>
        <w:rPr>
          <w:rFonts w:ascii="Arial" w:hAnsi="Arial" w:cs="Arial"/>
        </w:rPr>
      </w:pPr>
      <w:r w:rsidRPr="0042088F">
        <w:rPr>
          <w:rFonts w:ascii="Arial" w:hAnsi="Arial" w:cs="Arial"/>
        </w:rPr>
        <w:t>Partnership working is collaboration between</w:t>
      </w:r>
      <w:r w:rsidRPr="0042088F">
        <w:rPr>
          <w:rFonts w:ascii="Arial" w:hAnsi="Arial" w:cs="Arial"/>
        </w:rPr>
        <w:t> </w:t>
      </w:r>
      <w:r w:rsidRPr="0042088F">
        <w:rPr>
          <w:rFonts w:ascii="Arial" w:hAnsi="Arial" w:cs="Arial"/>
        </w:rPr>
        <w:t>individual professionals and/or organisations to provide a co-ordinated package of care. This is especially true in complex cases where many services</w:t>
      </w:r>
      <w:r w:rsidRPr="0042088F">
        <w:rPr>
          <w:rFonts w:ascii="Arial" w:hAnsi="Arial" w:cs="Arial"/>
        </w:rPr>
        <w:t> </w:t>
      </w:r>
      <w:r w:rsidRPr="0042088F">
        <w:rPr>
          <w:rFonts w:ascii="Arial" w:hAnsi="Arial" w:cs="Arial"/>
        </w:rPr>
        <w:t>are involved (Goodwin et al., 2012). Robust collaborative working helps communication, promotes efficiency and</w:t>
      </w:r>
      <w:r w:rsidRPr="0042088F">
        <w:rPr>
          <w:rFonts w:ascii="Arial" w:hAnsi="Arial" w:cs="Arial"/>
        </w:rPr>
        <w:t> </w:t>
      </w:r>
      <w:r w:rsidRPr="0042088F">
        <w:rPr>
          <w:rFonts w:ascii="Arial" w:hAnsi="Arial" w:cs="Arial"/>
        </w:rPr>
        <w:t>improves continuity of care. But barriers to its success are factors like bad communication, confusion over roles, and</w:t>
      </w:r>
      <w:r w:rsidRPr="0042088F">
        <w:rPr>
          <w:rFonts w:ascii="Arial" w:hAnsi="Arial" w:cs="Arial"/>
        </w:rPr>
        <w:t> </w:t>
      </w:r>
      <w:r w:rsidRPr="0042088F">
        <w:rPr>
          <w:rFonts w:ascii="Arial" w:hAnsi="Arial" w:cs="Arial"/>
        </w:rPr>
        <w:t>institutional obstacles (Audit Commission, 1998).</w:t>
      </w:r>
    </w:p>
    <w:p w14:paraId="20325DB4" w14:textId="3B26CB48" w:rsidR="00FE6465" w:rsidRPr="0042088F" w:rsidRDefault="00DF1706" w:rsidP="0042088F">
      <w:pPr>
        <w:spacing w:line="360" w:lineRule="auto"/>
        <w:jc w:val="both"/>
        <w:rPr>
          <w:rFonts w:ascii="Arial" w:hAnsi="Arial" w:cs="Arial"/>
        </w:rPr>
      </w:pPr>
      <w:r w:rsidRPr="00DF1706">
        <w:rPr>
          <w:rFonts w:ascii="Arial" w:hAnsi="Arial" w:cs="Arial"/>
        </w:rPr>
        <w:t>Working in partnership means</w:t>
      </w:r>
      <w:r w:rsidRPr="00DF1706">
        <w:rPr>
          <w:rFonts w:ascii="Arial" w:hAnsi="Arial" w:cs="Arial"/>
        </w:rPr>
        <w:t> </w:t>
      </w:r>
      <w:r w:rsidRPr="00DF1706">
        <w:rPr>
          <w:rFonts w:ascii="Arial" w:hAnsi="Arial" w:cs="Arial"/>
        </w:rPr>
        <w:t>the necessary information is shared between professionals, and care can be made safer as a result. It</w:t>
      </w:r>
      <w:r w:rsidRPr="00DF1706">
        <w:rPr>
          <w:rFonts w:ascii="Arial" w:hAnsi="Arial" w:cs="Arial"/>
        </w:rPr>
        <w:t> </w:t>
      </w:r>
      <w:r w:rsidRPr="00DF1706">
        <w:rPr>
          <w:rFonts w:ascii="Arial" w:hAnsi="Arial" w:cs="Arial"/>
        </w:rPr>
        <w:t>helps prevent errors, such as drugs already taken twice or diseases missed. In</w:t>
      </w:r>
      <w:r w:rsidRPr="00DF1706">
        <w:rPr>
          <w:rFonts w:ascii="Arial" w:hAnsi="Arial" w:cs="Arial"/>
        </w:rPr>
        <w:t> </w:t>
      </w:r>
      <w:r w:rsidRPr="00DF1706">
        <w:rPr>
          <w:rFonts w:ascii="Arial" w:hAnsi="Arial" w:cs="Arial"/>
        </w:rPr>
        <w:t>addition, collective work allows each professional to contribute with his/her expertise the best possible answers for the users. For partnership working to be effective between</w:t>
      </w:r>
      <w:r w:rsidRPr="00DF1706">
        <w:rPr>
          <w:rFonts w:ascii="Arial" w:hAnsi="Arial" w:cs="Arial"/>
        </w:rPr>
        <w:t> </w:t>
      </w:r>
      <w:r w:rsidRPr="00DF1706">
        <w:rPr>
          <w:rFonts w:ascii="Arial" w:hAnsi="Arial" w:cs="Arial"/>
        </w:rPr>
        <w:t>the people involved it has to be based on good communication, each knowing their role and responsibility and having respect for one another as professionals. Without them, there are endless</w:t>
      </w:r>
      <w:r w:rsidRPr="00DF1706">
        <w:rPr>
          <w:rFonts w:ascii="Arial" w:hAnsi="Arial" w:cs="Arial"/>
        </w:rPr>
        <w:t> </w:t>
      </w:r>
      <w:r w:rsidRPr="00DF1706">
        <w:rPr>
          <w:rFonts w:ascii="Arial" w:hAnsi="Arial" w:cs="Arial"/>
        </w:rPr>
        <w:t>degrees to which collaboration can disintegrate and adversely affect care. So, what the organizations need to</w:t>
      </w:r>
      <w:r w:rsidRPr="00DF1706">
        <w:rPr>
          <w:rFonts w:ascii="Arial" w:hAnsi="Arial" w:cs="Arial"/>
        </w:rPr>
        <w:t> </w:t>
      </w:r>
      <w:r w:rsidRPr="00DF1706">
        <w:rPr>
          <w:rFonts w:ascii="Arial" w:hAnsi="Arial" w:cs="Arial"/>
        </w:rPr>
        <w:t>do is to put in place training and systems that encourage good team play.</w:t>
      </w:r>
      <w:r w:rsidR="00000000" w:rsidRPr="0042088F">
        <w:rPr>
          <w:rFonts w:ascii="Arial" w:hAnsi="Arial" w:cs="Arial"/>
        </w:rPr>
        <w:br/>
      </w:r>
    </w:p>
    <w:p w14:paraId="4B21B121" w14:textId="77777777" w:rsidR="00DD1DE4" w:rsidRDefault="00000000" w:rsidP="00DD1DE4">
      <w:pPr>
        <w:pStyle w:val="Heading1"/>
      </w:pPr>
      <w:r>
        <w:lastRenderedPageBreak/>
        <w:t>6. Application of Partnership Working in Practice</w:t>
      </w:r>
    </w:p>
    <w:p w14:paraId="0568D5A3" w14:textId="55662837" w:rsidR="00DD1DE4" w:rsidRPr="00DD1DE4" w:rsidRDefault="00DD1DE4" w:rsidP="00DD1DE4">
      <w:pPr>
        <w:pStyle w:val="Heading1"/>
        <w:spacing w:line="360" w:lineRule="auto"/>
        <w:rPr>
          <w:rFonts w:ascii="Arial" w:hAnsi="Arial" w:cs="Arial"/>
        </w:rPr>
      </w:pPr>
      <w:r w:rsidRPr="00DD1DE4">
        <w:rPr>
          <w:rFonts w:ascii="Arial" w:eastAsiaTheme="minorEastAsia" w:hAnsi="Arial" w:cs="Arial"/>
          <w:b w:val="0"/>
          <w:bCs w:val="0"/>
          <w:color w:val="auto"/>
          <w:sz w:val="22"/>
          <w:szCs w:val="22"/>
        </w:rPr>
        <w:t>In the</w:t>
      </w:r>
      <w:r w:rsidRPr="00DD1DE4">
        <w:rPr>
          <w:rFonts w:ascii="Arial" w:eastAsiaTheme="minorEastAsia" w:hAnsi="Arial" w:cs="Arial"/>
          <w:b w:val="0"/>
          <w:bCs w:val="0"/>
          <w:color w:val="auto"/>
          <w:sz w:val="22"/>
          <w:szCs w:val="22"/>
        </w:rPr>
        <w:t> </w:t>
      </w:r>
      <w:r w:rsidRPr="00DD1DE4">
        <w:rPr>
          <w:rFonts w:ascii="Arial" w:eastAsiaTheme="minorEastAsia" w:hAnsi="Arial" w:cs="Arial"/>
          <w:b w:val="0"/>
          <w:bCs w:val="0"/>
          <w:color w:val="auto"/>
          <w:sz w:val="22"/>
          <w:szCs w:val="22"/>
        </w:rPr>
        <w:t>provision of mental health services the imperative to collaborate is essential. Individuals often require assistance from</w:t>
      </w:r>
      <w:r w:rsidRPr="00DD1DE4">
        <w:rPr>
          <w:rFonts w:ascii="Arial" w:eastAsiaTheme="minorEastAsia" w:hAnsi="Arial" w:cs="Arial"/>
          <w:b w:val="0"/>
          <w:bCs w:val="0"/>
          <w:color w:val="auto"/>
          <w:sz w:val="22"/>
          <w:szCs w:val="22"/>
        </w:rPr>
        <w:t> </w:t>
      </w:r>
      <w:r w:rsidRPr="00DD1DE4">
        <w:rPr>
          <w:rFonts w:ascii="Arial" w:eastAsiaTheme="minorEastAsia" w:hAnsi="Arial" w:cs="Arial"/>
          <w:b w:val="0"/>
          <w:bCs w:val="0"/>
          <w:color w:val="auto"/>
          <w:sz w:val="22"/>
          <w:szCs w:val="22"/>
        </w:rPr>
        <w:t>psychiatrists, psychologists, social workers, and community organizations. Person-directed care ensures</w:t>
      </w:r>
      <w:r w:rsidRPr="00DD1DE4">
        <w:rPr>
          <w:rFonts w:ascii="Arial" w:eastAsiaTheme="minorEastAsia" w:hAnsi="Arial" w:cs="Arial"/>
          <w:b w:val="0"/>
          <w:bCs w:val="0"/>
          <w:color w:val="auto"/>
          <w:sz w:val="22"/>
          <w:szCs w:val="22"/>
        </w:rPr>
        <w:t> </w:t>
      </w:r>
      <w:r w:rsidRPr="00DD1DE4">
        <w:rPr>
          <w:rFonts w:ascii="Arial" w:eastAsiaTheme="minorEastAsia" w:hAnsi="Arial" w:cs="Arial"/>
          <w:b w:val="0"/>
          <w:bCs w:val="0"/>
          <w:color w:val="auto"/>
          <w:sz w:val="22"/>
          <w:szCs w:val="22"/>
        </w:rPr>
        <w:t>that the care plan considers the person's preferences, experiences and goals for recovery. Collaborative practice allows for the delivery of generic services to address both the clinical and social needs of the patient (The Health</w:t>
      </w:r>
      <w:r w:rsidRPr="00DD1DE4">
        <w:rPr>
          <w:rFonts w:ascii="Arial" w:eastAsiaTheme="minorEastAsia" w:hAnsi="Arial" w:cs="Arial"/>
          <w:b w:val="0"/>
          <w:bCs w:val="0"/>
          <w:color w:val="auto"/>
          <w:sz w:val="22"/>
          <w:szCs w:val="22"/>
        </w:rPr>
        <w:t> </w:t>
      </w:r>
      <w:r w:rsidRPr="00DD1DE4">
        <w:rPr>
          <w:rFonts w:ascii="Arial" w:eastAsiaTheme="minorEastAsia" w:hAnsi="Arial" w:cs="Arial"/>
          <w:b w:val="0"/>
          <w:bCs w:val="0"/>
          <w:color w:val="auto"/>
          <w:sz w:val="22"/>
          <w:szCs w:val="22"/>
        </w:rPr>
        <w:t>Foundation, 2016).</w:t>
      </w:r>
    </w:p>
    <w:p w14:paraId="4B15648E" w14:textId="46C818B6" w:rsidR="00FE6465" w:rsidRDefault="00000000">
      <w:pPr>
        <w:pStyle w:val="Heading1"/>
      </w:pPr>
      <w:r>
        <w:t>7. Relevant Policy and Legislation</w:t>
      </w:r>
    </w:p>
    <w:p w14:paraId="1798EF7C" w14:textId="5CC06939" w:rsidR="0042088F" w:rsidRPr="0042088F" w:rsidRDefault="0042088F" w:rsidP="0042088F">
      <w:pPr>
        <w:spacing w:line="360" w:lineRule="auto"/>
        <w:jc w:val="both"/>
        <w:rPr>
          <w:rFonts w:ascii="Arial" w:hAnsi="Arial" w:cs="Arial"/>
        </w:rPr>
      </w:pPr>
      <w:r w:rsidRPr="0042088F">
        <w:rPr>
          <w:rFonts w:ascii="Arial" w:hAnsi="Arial" w:cs="Arial"/>
        </w:rPr>
        <w:t>The Care Act 2014 is underpinned by the promotion of wellbeing and person-centred</w:t>
      </w:r>
      <w:r w:rsidRPr="0042088F">
        <w:rPr>
          <w:rFonts w:ascii="Arial" w:hAnsi="Arial" w:cs="Arial"/>
        </w:rPr>
        <w:t> </w:t>
      </w:r>
      <w:r w:rsidRPr="0042088F">
        <w:rPr>
          <w:rFonts w:ascii="Arial" w:hAnsi="Arial" w:cs="Arial"/>
        </w:rPr>
        <w:t>approaches to care planning. The Mental Capacity Act 2005 supports people to make their own decisions where possible and to have</w:t>
      </w:r>
      <w:r w:rsidRPr="0042088F">
        <w:rPr>
          <w:rFonts w:ascii="Arial" w:hAnsi="Arial" w:cs="Arial"/>
        </w:rPr>
        <w:t> </w:t>
      </w:r>
      <w:r w:rsidRPr="0042088F">
        <w:rPr>
          <w:rFonts w:ascii="Arial" w:hAnsi="Arial" w:cs="Arial"/>
        </w:rPr>
        <w:t>assistance in doing so, and the Health and Social Care Act 2012 supports the delivery of services that are integrated. These frameworks facilitate both PCC and partnership working as they promotes</w:t>
      </w:r>
      <w:r w:rsidRPr="0042088F">
        <w:rPr>
          <w:rFonts w:ascii="Arial" w:hAnsi="Arial" w:cs="Arial"/>
        </w:rPr>
        <w:t> </w:t>
      </w:r>
      <w:r w:rsidRPr="0042088F">
        <w:rPr>
          <w:rFonts w:ascii="Arial" w:hAnsi="Arial" w:cs="Arial"/>
        </w:rPr>
        <w:t>collaboration and protect the rights of individuals.</w:t>
      </w:r>
    </w:p>
    <w:p w14:paraId="653BE369" w14:textId="77777777" w:rsidR="00FE6465" w:rsidRDefault="00000000">
      <w:pPr>
        <w:pStyle w:val="Heading1"/>
      </w:pPr>
      <w:r>
        <w:t>8. Recommendations for Future Development in the UK</w:t>
      </w:r>
    </w:p>
    <w:p w14:paraId="1058DF98" w14:textId="1A312780" w:rsidR="0042088F" w:rsidRPr="0042088F" w:rsidRDefault="0042088F" w:rsidP="0042088F">
      <w:pPr>
        <w:spacing w:line="360" w:lineRule="auto"/>
        <w:jc w:val="both"/>
        <w:rPr>
          <w:rFonts w:ascii="Arial" w:hAnsi="Arial" w:cs="Arial"/>
        </w:rPr>
      </w:pPr>
      <w:r w:rsidRPr="0042088F">
        <w:rPr>
          <w:rFonts w:ascii="Arial" w:hAnsi="Arial" w:cs="Arial"/>
        </w:rPr>
        <w:t>Upgrades could be brought about by staff training, levels of staff and</w:t>
      </w:r>
      <w:r w:rsidRPr="0042088F">
        <w:rPr>
          <w:rFonts w:ascii="Arial" w:hAnsi="Arial" w:cs="Arial"/>
        </w:rPr>
        <w:t> </w:t>
      </w:r>
      <w:r w:rsidRPr="0042088F">
        <w:rPr>
          <w:rFonts w:ascii="Arial" w:hAnsi="Arial" w:cs="Arial"/>
        </w:rPr>
        <w:t>communications systems. With the information sharing supported by Digital integration and the</w:t>
      </w:r>
      <w:r w:rsidRPr="0042088F">
        <w:rPr>
          <w:rFonts w:ascii="Arial" w:hAnsi="Arial" w:cs="Arial"/>
        </w:rPr>
        <w:t> </w:t>
      </w:r>
      <w:r w:rsidRPr="0042088F">
        <w:rPr>
          <w:rFonts w:ascii="Arial" w:hAnsi="Arial" w:cs="Arial"/>
        </w:rPr>
        <w:t>policy enlisted service users the service can meet real needs.</w:t>
      </w:r>
    </w:p>
    <w:p w14:paraId="4473F884" w14:textId="77777777" w:rsidR="00FE6465" w:rsidRDefault="00000000">
      <w:pPr>
        <w:pStyle w:val="Heading1"/>
      </w:pPr>
      <w:r>
        <w:t>9. Conclusion</w:t>
      </w:r>
    </w:p>
    <w:p w14:paraId="07387E4C" w14:textId="2CB82584" w:rsidR="0042088F" w:rsidRPr="0042088F" w:rsidRDefault="0042088F" w:rsidP="0042088F">
      <w:pPr>
        <w:spacing w:line="360" w:lineRule="auto"/>
        <w:jc w:val="both"/>
        <w:rPr>
          <w:rFonts w:ascii="Arial" w:hAnsi="Arial" w:cs="Arial"/>
        </w:rPr>
      </w:pPr>
      <w:r w:rsidRPr="0042088F">
        <w:rPr>
          <w:rFonts w:ascii="Arial" w:hAnsi="Arial" w:cs="Arial"/>
        </w:rPr>
        <w:t>Person-centredness</w:t>
      </w:r>
      <w:r w:rsidRPr="0042088F">
        <w:rPr>
          <w:rFonts w:ascii="Arial" w:hAnsi="Arial" w:cs="Arial"/>
        </w:rPr>
        <w:t> </w:t>
      </w:r>
      <w:r w:rsidRPr="0042088F">
        <w:rPr>
          <w:rFonts w:ascii="Arial" w:hAnsi="Arial" w:cs="Arial"/>
        </w:rPr>
        <w:t>and collaboration with the person are fundamental taken-for-granted assumptions in provision of health and social care. In</w:t>
      </w:r>
      <w:r w:rsidRPr="0042088F">
        <w:rPr>
          <w:rFonts w:ascii="Arial" w:hAnsi="Arial" w:cs="Arial"/>
        </w:rPr>
        <w:t> </w:t>
      </w:r>
      <w:r w:rsidRPr="0042088F">
        <w:rPr>
          <w:rFonts w:ascii="Arial" w:hAnsi="Arial" w:cs="Arial"/>
        </w:rPr>
        <w:t>combination these are intended to deliver holistic, coordinated and respectful care. Although challenges remain, further progress could lead to improved</w:t>
      </w:r>
      <w:r w:rsidRPr="0042088F">
        <w:rPr>
          <w:rFonts w:ascii="Arial" w:hAnsi="Arial" w:cs="Arial"/>
        </w:rPr>
        <w:t> </w:t>
      </w:r>
      <w:r w:rsidRPr="0042088F">
        <w:rPr>
          <w:rFonts w:ascii="Arial" w:hAnsi="Arial" w:cs="Arial"/>
        </w:rPr>
        <w:t>outcomes and quality of service.</w:t>
      </w:r>
    </w:p>
    <w:p w14:paraId="35C63340" w14:textId="77777777" w:rsidR="00FE6465" w:rsidRDefault="00000000">
      <w:pPr>
        <w:pStyle w:val="Heading1"/>
      </w:pPr>
      <w:r>
        <w:t>10. References</w:t>
      </w:r>
    </w:p>
    <w:p w14:paraId="4E0F06A8" w14:textId="77777777" w:rsidR="0042088F" w:rsidRPr="0042088F" w:rsidRDefault="0042088F" w:rsidP="0042088F">
      <w:pPr>
        <w:rPr>
          <w:lang w:val="en-PK"/>
        </w:rPr>
      </w:pPr>
      <w:r w:rsidRPr="0042088F">
        <w:rPr>
          <w:lang w:val="en-PK"/>
        </w:rPr>
        <w:t xml:space="preserve">Audit Commission (1998) </w:t>
      </w:r>
      <w:r w:rsidRPr="0042088F">
        <w:rPr>
          <w:i/>
          <w:iCs/>
          <w:lang w:val="en-PK"/>
        </w:rPr>
        <w:t>A fruitful partnership: effective partnership working</w:t>
      </w:r>
      <w:r w:rsidRPr="0042088F">
        <w:rPr>
          <w:lang w:val="en-PK"/>
        </w:rPr>
        <w:t>. London: Audit Commission.</w:t>
      </w:r>
    </w:p>
    <w:p w14:paraId="317F2908" w14:textId="77777777" w:rsidR="0042088F" w:rsidRPr="0042088F" w:rsidRDefault="0042088F" w:rsidP="0042088F">
      <w:pPr>
        <w:rPr>
          <w:lang w:val="en-PK"/>
        </w:rPr>
      </w:pPr>
      <w:r w:rsidRPr="0042088F">
        <w:rPr>
          <w:lang w:val="en-PK"/>
        </w:rPr>
        <w:t xml:space="preserve">Beauchamp, T.L. and Childress, J.F. (2019) </w:t>
      </w:r>
      <w:r w:rsidRPr="0042088F">
        <w:rPr>
          <w:i/>
          <w:iCs/>
          <w:lang w:val="en-PK"/>
        </w:rPr>
        <w:t>Principles of biomedical ethics</w:t>
      </w:r>
      <w:r w:rsidRPr="0042088F">
        <w:rPr>
          <w:lang w:val="en-PK"/>
        </w:rPr>
        <w:t>. 8th edn. New York: Oxford University Press.</w:t>
      </w:r>
    </w:p>
    <w:p w14:paraId="7655F51D" w14:textId="77777777" w:rsidR="0042088F" w:rsidRPr="0042088F" w:rsidRDefault="0042088F" w:rsidP="0042088F">
      <w:pPr>
        <w:rPr>
          <w:lang w:val="en-PK"/>
        </w:rPr>
      </w:pPr>
      <w:r w:rsidRPr="0042088F">
        <w:rPr>
          <w:lang w:val="en-PK"/>
        </w:rPr>
        <w:lastRenderedPageBreak/>
        <w:t xml:space="preserve">Bronfenbrenner, U. (1979) </w:t>
      </w:r>
      <w:r w:rsidRPr="0042088F">
        <w:rPr>
          <w:i/>
          <w:iCs/>
          <w:lang w:val="en-PK"/>
        </w:rPr>
        <w:t>The ecology of human development: experiments by nature and design</w:t>
      </w:r>
      <w:r w:rsidRPr="0042088F">
        <w:rPr>
          <w:lang w:val="en-PK"/>
        </w:rPr>
        <w:t>. Cambridge, MA: Harvard University Press.</w:t>
      </w:r>
    </w:p>
    <w:p w14:paraId="5AA9583D" w14:textId="77777777" w:rsidR="0042088F" w:rsidRPr="0042088F" w:rsidRDefault="0042088F" w:rsidP="0042088F">
      <w:pPr>
        <w:rPr>
          <w:lang w:val="en-PK"/>
        </w:rPr>
      </w:pPr>
      <w:r w:rsidRPr="0042088F">
        <w:rPr>
          <w:lang w:val="en-PK"/>
        </w:rPr>
        <w:t xml:space="preserve">Brooker, D. (2007) </w:t>
      </w:r>
      <w:r w:rsidRPr="0042088F">
        <w:rPr>
          <w:i/>
          <w:iCs/>
          <w:lang w:val="en-PK"/>
        </w:rPr>
        <w:t>Person-centred dementia care: making services better</w:t>
      </w:r>
      <w:r w:rsidRPr="0042088F">
        <w:rPr>
          <w:lang w:val="en-PK"/>
        </w:rPr>
        <w:t>. London: Jessica Kingsley Publishers.</w:t>
      </w:r>
    </w:p>
    <w:p w14:paraId="2DAAFBFF" w14:textId="77777777" w:rsidR="0042088F" w:rsidRPr="0042088F" w:rsidRDefault="0042088F" w:rsidP="0042088F">
      <w:pPr>
        <w:rPr>
          <w:lang w:val="en-PK"/>
        </w:rPr>
      </w:pPr>
      <w:r w:rsidRPr="0042088F">
        <w:rPr>
          <w:lang w:val="en-PK"/>
        </w:rPr>
        <w:t xml:space="preserve">Care Act 2014. Available at: </w:t>
      </w:r>
      <w:hyperlink r:id="rId8" w:tgtFrame="_new" w:history="1">
        <w:r w:rsidRPr="0042088F">
          <w:rPr>
            <w:rStyle w:val="Hyperlink"/>
            <w:lang w:val="en-PK"/>
          </w:rPr>
          <w:t>https://www.legislation.gov.uk</w:t>
        </w:r>
      </w:hyperlink>
      <w:r w:rsidRPr="0042088F">
        <w:rPr>
          <w:lang w:val="en-PK"/>
        </w:rPr>
        <w:t xml:space="preserve"> (Accessed: 24 March 2026).</w:t>
      </w:r>
    </w:p>
    <w:p w14:paraId="13922554" w14:textId="77777777" w:rsidR="0042088F" w:rsidRPr="0042088F" w:rsidRDefault="0042088F" w:rsidP="0042088F">
      <w:pPr>
        <w:rPr>
          <w:lang w:val="en-PK"/>
        </w:rPr>
      </w:pPr>
      <w:r w:rsidRPr="0042088F">
        <w:rPr>
          <w:lang w:val="en-PK"/>
        </w:rPr>
        <w:t xml:space="preserve">Care Quality Commission (2022) </w:t>
      </w:r>
      <w:r w:rsidRPr="0042088F">
        <w:rPr>
          <w:i/>
          <w:iCs/>
          <w:lang w:val="en-PK"/>
        </w:rPr>
        <w:t>Person-centred care</w:t>
      </w:r>
      <w:r w:rsidRPr="0042088F">
        <w:rPr>
          <w:lang w:val="en-PK"/>
        </w:rPr>
        <w:t xml:space="preserve">. Available at: </w:t>
      </w:r>
      <w:hyperlink r:id="rId9" w:tgtFrame="_new" w:history="1">
        <w:r w:rsidRPr="0042088F">
          <w:rPr>
            <w:rStyle w:val="Hyperlink"/>
            <w:lang w:val="en-PK"/>
          </w:rPr>
          <w:t>https://www.cqc.org.uk</w:t>
        </w:r>
      </w:hyperlink>
      <w:r w:rsidRPr="0042088F">
        <w:rPr>
          <w:lang w:val="en-PK"/>
        </w:rPr>
        <w:t xml:space="preserve"> (Accessed: 24 March 2026).</w:t>
      </w:r>
    </w:p>
    <w:p w14:paraId="68AECA20" w14:textId="77777777" w:rsidR="0042088F" w:rsidRPr="0042088F" w:rsidRDefault="0042088F" w:rsidP="0042088F">
      <w:pPr>
        <w:rPr>
          <w:lang w:val="en-PK"/>
        </w:rPr>
      </w:pPr>
      <w:r w:rsidRPr="0042088F">
        <w:rPr>
          <w:lang w:val="en-PK"/>
        </w:rPr>
        <w:t xml:space="preserve">Care Quality Commission (2024a) </w:t>
      </w:r>
      <w:r w:rsidRPr="0042088F">
        <w:rPr>
          <w:i/>
          <w:iCs/>
          <w:lang w:val="en-PK"/>
        </w:rPr>
        <w:t>Person-centred care: single assessment framework</w:t>
      </w:r>
      <w:r w:rsidRPr="0042088F">
        <w:rPr>
          <w:lang w:val="en-PK"/>
        </w:rPr>
        <w:t xml:space="preserve">. Available at: </w:t>
      </w:r>
      <w:hyperlink r:id="rId10" w:tgtFrame="_new" w:history="1">
        <w:r w:rsidRPr="0042088F">
          <w:rPr>
            <w:rStyle w:val="Hyperlink"/>
            <w:lang w:val="en-PK"/>
          </w:rPr>
          <w:t>https://www.cqc.org.uk</w:t>
        </w:r>
      </w:hyperlink>
      <w:r w:rsidRPr="0042088F">
        <w:rPr>
          <w:lang w:val="en-PK"/>
        </w:rPr>
        <w:t xml:space="preserve"> (Accessed: 24 March 2026).</w:t>
      </w:r>
    </w:p>
    <w:p w14:paraId="148D19D3" w14:textId="77777777" w:rsidR="0042088F" w:rsidRPr="0042088F" w:rsidRDefault="0042088F" w:rsidP="0042088F">
      <w:pPr>
        <w:rPr>
          <w:lang w:val="en-PK"/>
        </w:rPr>
      </w:pPr>
      <w:r w:rsidRPr="0042088F">
        <w:rPr>
          <w:lang w:val="en-PK"/>
        </w:rPr>
        <w:t xml:space="preserve">Care Quality Commission (2024b) </w:t>
      </w:r>
      <w:r w:rsidRPr="0042088F">
        <w:rPr>
          <w:i/>
          <w:iCs/>
          <w:lang w:val="en-PK"/>
        </w:rPr>
        <w:t>Fundamental standards of care</w:t>
      </w:r>
      <w:r w:rsidRPr="0042088F">
        <w:rPr>
          <w:lang w:val="en-PK"/>
        </w:rPr>
        <w:t xml:space="preserve">. Available at: </w:t>
      </w:r>
      <w:hyperlink r:id="rId11" w:tgtFrame="_new" w:history="1">
        <w:r w:rsidRPr="0042088F">
          <w:rPr>
            <w:rStyle w:val="Hyperlink"/>
            <w:lang w:val="en-PK"/>
          </w:rPr>
          <w:t>https://www.cqc.org.uk</w:t>
        </w:r>
      </w:hyperlink>
      <w:r w:rsidRPr="0042088F">
        <w:rPr>
          <w:lang w:val="en-PK"/>
        </w:rPr>
        <w:t xml:space="preserve"> (Accessed: 24 March 2026).</w:t>
      </w:r>
    </w:p>
    <w:p w14:paraId="04247239" w14:textId="77777777" w:rsidR="0042088F" w:rsidRPr="0042088F" w:rsidRDefault="0042088F" w:rsidP="0042088F">
      <w:pPr>
        <w:rPr>
          <w:lang w:val="en-PK"/>
        </w:rPr>
      </w:pPr>
      <w:r w:rsidRPr="0042088F">
        <w:rPr>
          <w:lang w:val="en-PK"/>
        </w:rPr>
        <w:t xml:space="preserve">Coulter, A. (2011) </w:t>
      </w:r>
      <w:r w:rsidRPr="0042088F">
        <w:rPr>
          <w:i/>
          <w:iCs/>
          <w:lang w:val="en-PK"/>
        </w:rPr>
        <w:t>Engaging patients in healthcare</w:t>
      </w:r>
      <w:r w:rsidRPr="0042088F">
        <w:rPr>
          <w:lang w:val="en-PK"/>
        </w:rPr>
        <w:t>. Maidenhead: Open University Press.</w:t>
      </w:r>
    </w:p>
    <w:p w14:paraId="053E9B86" w14:textId="77777777" w:rsidR="0042088F" w:rsidRPr="0042088F" w:rsidRDefault="0042088F" w:rsidP="0042088F">
      <w:pPr>
        <w:rPr>
          <w:lang w:val="en-PK"/>
        </w:rPr>
      </w:pPr>
      <w:r w:rsidRPr="0042088F">
        <w:rPr>
          <w:lang w:val="en-PK"/>
        </w:rPr>
        <w:t xml:space="preserve">Goodwin, N., Smith, J., Davies, A., Perry, C., Rosen, R., Dixon, A., Dixon, J. and Ham, C. (2012) </w:t>
      </w:r>
      <w:r w:rsidRPr="0042088F">
        <w:rPr>
          <w:i/>
          <w:iCs/>
          <w:lang w:val="en-PK"/>
        </w:rPr>
        <w:t>Integrated care for patients and populations: improving outcomes by working together</w:t>
      </w:r>
      <w:r w:rsidRPr="0042088F">
        <w:rPr>
          <w:lang w:val="en-PK"/>
        </w:rPr>
        <w:t>. London: The King’s Fund and Nuffield Trust.</w:t>
      </w:r>
    </w:p>
    <w:p w14:paraId="4DE11A9A" w14:textId="77777777" w:rsidR="0042088F" w:rsidRPr="0042088F" w:rsidRDefault="0042088F" w:rsidP="0042088F">
      <w:pPr>
        <w:rPr>
          <w:lang w:val="en-PK"/>
        </w:rPr>
      </w:pPr>
      <w:r w:rsidRPr="0042088F">
        <w:rPr>
          <w:lang w:val="en-PK"/>
        </w:rPr>
        <w:t xml:space="preserve">Health and Social Care Act 2012. Available at: </w:t>
      </w:r>
      <w:hyperlink r:id="rId12" w:tgtFrame="_new" w:history="1">
        <w:r w:rsidRPr="0042088F">
          <w:rPr>
            <w:rStyle w:val="Hyperlink"/>
            <w:lang w:val="en-PK"/>
          </w:rPr>
          <w:t>https://www.legislation.gov.uk</w:t>
        </w:r>
      </w:hyperlink>
      <w:r w:rsidRPr="0042088F">
        <w:rPr>
          <w:lang w:val="en-PK"/>
        </w:rPr>
        <w:t xml:space="preserve"> (Accessed: 24 March 2026).</w:t>
      </w:r>
    </w:p>
    <w:p w14:paraId="4FC66541" w14:textId="77777777" w:rsidR="0042088F" w:rsidRPr="0042088F" w:rsidRDefault="0042088F" w:rsidP="0042088F">
      <w:pPr>
        <w:rPr>
          <w:lang w:val="en-PK"/>
        </w:rPr>
      </w:pPr>
      <w:r w:rsidRPr="0042088F">
        <w:rPr>
          <w:lang w:val="en-PK"/>
        </w:rPr>
        <w:t xml:space="preserve">Health Education England (2017) </w:t>
      </w:r>
      <w:r w:rsidRPr="0042088F">
        <w:rPr>
          <w:i/>
          <w:iCs/>
          <w:lang w:val="en-PK"/>
        </w:rPr>
        <w:t>A core skills education and training framework: person-centred approaches</w:t>
      </w:r>
      <w:r w:rsidRPr="0042088F">
        <w:rPr>
          <w:lang w:val="en-PK"/>
        </w:rPr>
        <w:t xml:space="preserve">. Available at: </w:t>
      </w:r>
      <w:hyperlink r:id="rId13" w:tgtFrame="_new" w:history="1">
        <w:r w:rsidRPr="0042088F">
          <w:rPr>
            <w:rStyle w:val="Hyperlink"/>
            <w:lang w:val="en-PK"/>
          </w:rPr>
          <w:t>https://www.skillsforhealth.org.uk</w:t>
        </w:r>
      </w:hyperlink>
      <w:r w:rsidRPr="0042088F">
        <w:rPr>
          <w:lang w:val="en-PK"/>
        </w:rPr>
        <w:t xml:space="preserve"> (Accessed: 24 March 2026).</w:t>
      </w:r>
    </w:p>
    <w:p w14:paraId="09274A41" w14:textId="77777777" w:rsidR="0042088F" w:rsidRPr="0042088F" w:rsidRDefault="0042088F" w:rsidP="0042088F">
      <w:pPr>
        <w:rPr>
          <w:lang w:val="en-PK"/>
        </w:rPr>
      </w:pPr>
      <w:r w:rsidRPr="0042088F">
        <w:rPr>
          <w:lang w:val="en-PK"/>
        </w:rPr>
        <w:t xml:space="preserve">Jelphs, K., Dickinson, H. and Miller, R. (2016) </w:t>
      </w:r>
      <w:r w:rsidRPr="0042088F">
        <w:rPr>
          <w:i/>
          <w:iCs/>
          <w:lang w:val="en-PK"/>
        </w:rPr>
        <w:t>Working in teams</w:t>
      </w:r>
      <w:r w:rsidRPr="0042088F">
        <w:rPr>
          <w:lang w:val="en-PK"/>
        </w:rPr>
        <w:t>. 2nd edn. Bristol: Policy Press.</w:t>
      </w:r>
    </w:p>
    <w:p w14:paraId="435858B5" w14:textId="77777777" w:rsidR="0042088F" w:rsidRPr="0042088F" w:rsidRDefault="0042088F" w:rsidP="0042088F">
      <w:pPr>
        <w:rPr>
          <w:lang w:val="en-PK"/>
        </w:rPr>
      </w:pPr>
      <w:r w:rsidRPr="0042088F">
        <w:rPr>
          <w:lang w:val="en-PK"/>
        </w:rPr>
        <w:t xml:space="preserve">Leutz, W.N. (2005) ‘Reflections on integrating medical and social care: five laws revisited’, </w:t>
      </w:r>
      <w:r w:rsidRPr="0042088F">
        <w:rPr>
          <w:i/>
          <w:iCs/>
          <w:lang w:val="en-PK"/>
        </w:rPr>
        <w:t>Journal of Integrated Care</w:t>
      </w:r>
      <w:r w:rsidRPr="0042088F">
        <w:rPr>
          <w:lang w:val="en-PK"/>
        </w:rPr>
        <w:t>, 13(5), pp. 3–12.</w:t>
      </w:r>
    </w:p>
    <w:p w14:paraId="2F500154" w14:textId="77777777" w:rsidR="0042088F" w:rsidRPr="0042088F" w:rsidRDefault="0042088F" w:rsidP="0042088F">
      <w:pPr>
        <w:rPr>
          <w:lang w:val="en-PK"/>
        </w:rPr>
      </w:pPr>
      <w:r w:rsidRPr="0042088F">
        <w:rPr>
          <w:lang w:val="en-PK"/>
        </w:rPr>
        <w:t xml:space="preserve">Maslow, A.H. (1943) ‘A theory of human motivation’, </w:t>
      </w:r>
      <w:r w:rsidRPr="0042088F">
        <w:rPr>
          <w:i/>
          <w:iCs/>
          <w:lang w:val="en-PK"/>
        </w:rPr>
        <w:t>Psychological Review</w:t>
      </w:r>
      <w:r w:rsidRPr="0042088F">
        <w:rPr>
          <w:lang w:val="en-PK"/>
        </w:rPr>
        <w:t>, 50(4), pp. 370–396.</w:t>
      </w:r>
    </w:p>
    <w:p w14:paraId="2B4FCABC" w14:textId="77777777" w:rsidR="0042088F" w:rsidRPr="0042088F" w:rsidRDefault="0042088F" w:rsidP="0042088F">
      <w:pPr>
        <w:rPr>
          <w:lang w:val="en-PK"/>
        </w:rPr>
      </w:pPr>
      <w:r w:rsidRPr="0042088F">
        <w:rPr>
          <w:lang w:val="en-PK"/>
        </w:rPr>
        <w:t xml:space="preserve">Mental Capacity Act 2005. Available at: </w:t>
      </w:r>
      <w:hyperlink r:id="rId14" w:tgtFrame="_new" w:history="1">
        <w:r w:rsidRPr="0042088F">
          <w:rPr>
            <w:rStyle w:val="Hyperlink"/>
            <w:lang w:val="en-PK"/>
          </w:rPr>
          <w:t>https://www.legislation.gov.uk</w:t>
        </w:r>
      </w:hyperlink>
      <w:r w:rsidRPr="0042088F">
        <w:rPr>
          <w:lang w:val="en-PK"/>
        </w:rPr>
        <w:t xml:space="preserve"> (Accessed: 24 March 2026).</w:t>
      </w:r>
    </w:p>
    <w:p w14:paraId="2F215242" w14:textId="77777777" w:rsidR="0042088F" w:rsidRPr="0042088F" w:rsidRDefault="0042088F" w:rsidP="0042088F">
      <w:pPr>
        <w:rPr>
          <w:lang w:val="en-PK"/>
        </w:rPr>
      </w:pPr>
      <w:r w:rsidRPr="0042088F">
        <w:rPr>
          <w:lang w:val="en-PK"/>
        </w:rPr>
        <w:t xml:space="preserve">NHS England (2019) </w:t>
      </w:r>
      <w:r w:rsidRPr="0042088F">
        <w:rPr>
          <w:i/>
          <w:iCs/>
          <w:lang w:val="en-PK"/>
        </w:rPr>
        <w:t>Personalised care and support planning</w:t>
      </w:r>
      <w:r w:rsidRPr="0042088F">
        <w:rPr>
          <w:lang w:val="en-PK"/>
        </w:rPr>
        <w:t xml:space="preserve">. Available at: </w:t>
      </w:r>
      <w:hyperlink r:id="rId15" w:tgtFrame="_new" w:history="1">
        <w:r w:rsidRPr="0042088F">
          <w:rPr>
            <w:rStyle w:val="Hyperlink"/>
            <w:lang w:val="en-PK"/>
          </w:rPr>
          <w:t>https://www.england.nhs.uk</w:t>
        </w:r>
      </w:hyperlink>
      <w:r w:rsidRPr="0042088F">
        <w:rPr>
          <w:lang w:val="en-PK"/>
        </w:rPr>
        <w:t xml:space="preserve"> (Accessed: 24 March 2026).</w:t>
      </w:r>
    </w:p>
    <w:p w14:paraId="2C5D7E27" w14:textId="77777777" w:rsidR="0042088F" w:rsidRPr="0042088F" w:rsidRDefault="0042088F" w:rsidP="0042088F">
      <w:pPr>
        <w:rPr>
          <w:lang w:val="en-PK"/>
        </w:rPr>
      </w:pPr>
      <w:r w:rsidRPr="0042088F">
        <w:rPr>
          <w:lang w:val="en-PK"/>
        </w:rPr>
        <w:t xml:space="preserve">NHS England (2024) </w:t>
      </w:r>
      <w:r w:rsidRPr="0042088F">
        <w:rPr>
          <w:i/>
          <w:iCs/>
          <w:lang w:val="en-PK"/>
        </w:rPr>
        <w:t>What is personalised care?</w:t>
      </w:r>
      <w:r w:rsidRPr="0042088F">
        <w:rPr>
          <w:lang w:val="en-PK"/>
        </w:rPr>
        <w:t xml:space="preserve"> Available at: </w:t>
      </w:r>
      <w:hyperlink r:id="rId16" w:tgtFrame="_new" w:history="1">
        <w:r w:rsidRPr="0042088F">
          <w:rPr>
            <w:rStyle w:val="Hyperlink"/>
            <w:lang w:val="en-PK"/>
          </w:rPr>
          <w:t>https://www.england.nhs.uk</w:t>
        </w:r>
      </w:hyperlink>
      <w:r w:rsidRPr="0042088F">
        <w:rPr>
          <w:lang w:val="en-PK"/>
        </w:rPr>
        <w:t xml:space="preserve"> (Accessed: 24 March 2026).</w:t>
      </w:r>
    </w:p>
    <w:p w14:paraId="19BD5F49" w14:textId="77777777" w:rsidR="0042088F" w:rsidRPr="0042088F" w:rsidRDefault="0042088F" w:rsidP="0042088F">
      <w:pPr>
        <w:rPr>
          <w:lang w:val="en-PK"/>
        </w:rPr>
      </w:pPr>
      <w:r w:rsidRPr="0042088F">
        <w:rPr>
          <w:lang w:val="en-PK"/>
        </w:rPr>
        <w:lastRenderedPageBreak/>
        <w:t xml:space="preserve">Nursing and Midwifery Council (2024) </w:t>
      </w:r>
      <w:r w:rsidRPr="0042088F">
        <w:rPr>
          <w:i/>
          <w:iCs/>
          <w:lang w:val="en-PK"/>
        </w:rPr>
        <w:t>The Code: professional standards of practice and behaviour for nurses, midwives and nursing associates</w:t>
      </w:r>
      <w:r w:rsidRPr="0042088F">
        <w:rPr>
          <w:lang w:val="en-PK"/>
        </w:rPr>
        <w:t xml:space="preserve">. Available at: </w:t>
      </w:r>
      <w:hyperlink r:id="rId17" w:tgtFrame="_new" w:history="1">
        <w:r w:rsidRPr="0042088F">
          <w:rPr>
            <w:rStyle w:val="Hyperlink"/>
            <w:lang w:val="en-PK"/>
          </w:rPr>
          <w:t>https://www.nmc.org.uk</w:t>
        </w:r>
      </w:hyperlink>
      <w:r w:rsidRPr="0042088F">
        <w:rPr>
          <w:lang w:val="en-PK"/>
        </w:rPr>
        <w:t xml:space="preserve"> (Accessed: 24 March 2026).</w:t>
      </w:r>
    </w:p>
    <w:p w14:paraId="10FD2114" w14:textId="77777777" w:rsidR="0042088F" w:rsidRPr="0042088F" w:rsidRDefault="0042088F" w:rsidP="0042088F">
      <w:pPr>
        <w:rPr>
          <w:lang w:val="en-PK"/>
        </w:rPr>
      </w:pPr>
      <w:r w:rsidRPr="0042088F">
        <w:rPr>
          <w:lang w:val="en-PK"/>
        </w:rPr>
        <w:t xml:space="preserve">Skills for Health and Skills for Care (n.d.) </w:t>
      </w:r>
      <w:r w:rsidRPr="0042088F">
        <w:rPr>
          <w:i/>
          <w:iCs/>
          <w:lang w:val="en-PK"/>
        </w:rPr>
        <w:t>Code of conduct for healthcare support workers and adult social care workers in England</w:t>
      </w:r>
      <w:r w:rsidRPr="0042088F">
        <w:rPr>
          <w:lang w:val="en-PK"/>
        </w:rPr>
        <w:t xml:space="preserve">. Available at: </w:t>
      </w:r>
      <w:hyperlink r:id="rId18" w:tgtFrame="_new" w:history="1">
        <w:r w:rsidRPr="0042088F">
          <w:rPr>
            <w:rStyle w:val="Hyperlink"/>
            <w:lang w:val="en-PK"/>
          </w:rPr>
          <w:t>https://www.skillsforhealth.org.uk</w:t>
        </w:r>
      </w:hyperlink>
      <w:r w:rsidRPr="0042088F">
        <w:rPr>
          <w:lang w:val="en-PK"/>
        </w:rPr>
        <w:t xml:space="preserve"> (Accessed: 24 March 2026).</w:t>
      </w:r>
    </w:p>
    <w:p w14:paraId="59EAC086" w14:textId="77777777" w:rsidR="0042088F" w:rsidRPr="0042088F" w:rsidRDefault="0042088F" w:rsidP="0042088F">
      <w:pPr>
        <w:rPr>
          <w:lang w:val="en-PK"/>
        </w:rPr>
      </w:pPr>
      <w:r w:rsidRPr="0042088F">
        <w:rPr>
          <w:lang w:val="en-PK"/>
        </w:rPr>
        <w:t xml:space="preserve">The Health Foundation (2016) </w:t>
      </w:r>
      <w:r w:rsidRPr="0042088F">
        <w:rPr>
          <w:i/>
          <w:iCs/>
          <w:lang w:val="en-PK"/>
        </w:rPr>
        <w:t>Person-centred care made simple</w:t>
      </w:r>
      <w:r w:rsidRPr="0042088F">
        <w:rPr>
          <w:lang w:val="en-PK"/>
        </w:rPr>
        <w:t>. London: The Health Foundation.</w:t>
      </w:r>
    </w:p>
    <w:p w14:paraId="0FA8FBEA" w14:textId="6FA3F437" w:rsidR="00FE6465" w:rsidRDefault="00FE6465"/>
    <w:sectPr w:rsidR="00FE6465" w:rsidSect="00034616">
      <w:footerReference w:type="default" r:id="rId1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E047A" w14:textId="77777777" w:rsidR="00CB2A04" w:rsidRDefault="00CB2A04" w:rsidP="00DD1DE4">
      <w:pPr>
        <w:spacing w:after="0" w:line="240" w:lineRule="auto"/>
      </w:pPr>
      <w:r>
        <w:separator/>
      </w:r>
    </w:p>
  </w:endnote>
  <w:endnote w:type="continuationSeparator" w:id="0">
    <w:p w14:paraId="765CFC88" w14:textId="77777777" w:rsidR="00CB2A04" w:rsidRDefault="00CB2A04" w:rsidP="00DD1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7033964"/>
      <w:docPartObj>
        <w:docPartGallery w:val="Page Numbers (Bottom of Page)"/>
        <w:docPartUnique/>
      </w:docPartObj>
    </w:sdtPr>
    <w:sdtEndPr>
      <w:rPr>
        <w:noProof/>
      </w:rPr>
    </w:sdtEndPr>
    <w:sdtContent>
      <w:p w14:paraId="566FCA3D" w14:textId="5551C70B" w:rsidR="00DD1DE4" w:rsidRDefault="00DD1DE4">
        <w:pPr>
          <w:pStyle w:val="Footer"/>
        </w:pPr>
        <w:r>
          <w:fldChar w:fldCharType="begin"/>
        </w:r>
        <w:r>
          <w:instrText xml:space="preserve"> PAGE   \* MERGEFORMAT </w:instrText>
        </w:r>
        <w:r>
          <w:fldChar w:fldCharType="separate"/>
        </w:r>
        <w:r>
          <w:rPr>
            <w:noProof/>
          </w:rPr>
          <w:t>2</w:t>
        </w:r>
        <w:r>
          <w:rPr>
            <w:noProof/>
          </w:rPr>
          <w:fldChar w:fldCharType="end"/>
        </w:r>
      </w:p>
    </w:sdtContent>
  </w:sdt>
  <w:p w14:paraId="71F44267" w14:textId="77777777" w:rsidR="00DD1DE4" w:rsidRDefault="00DD1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4E950" w14:textId="77777777" w:rsidR="00CB2A04" w:rsidRDefault="00CB2A04" w:rsidP="00DD1DE4">
      <w:pPr>
        <w:spacing w:after="0" w:line="240" w:lineRule="auto"/>
      </w:pPr>
      <w:r>
        <w:separator/>
      </w:r>
    </w:p>
  </w:footnote>
  <w:footnote w:type="continuationSeparator" w:id="0">
    <w:p w14:paraId="739A99E0" w14:textId="77777777" w:rsidR="00CB2A04" w:rsidRDefault="00CB2A04" w:rsidP="00DD1D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54432174">
    <w:abstractNumId w:val="8"/>
  </w:num>
  <w:num w:numId="2" w16cid:durableId="707805063">
    <w:abstractNumId w:val="6"/>
  </w:num>
  <w:num w:numId="3" w16cid:durableId="933973947">
    <w:abstractNumId w:val="5"/>
  </w:num>
  <w:num w:numId="4" w16cid:durableId="537134064">
    <w:abstractNumId w:val="4"/>
  </w:num>
  <w:num w:numId="5" w16cid:durableId="1956516575">
    <w:abstractNumId w:val="7"/>
  </w:num>
  <w:num w:numId="6" w16cid:durableId="889465646">
    <w:abstractNumId w:val="3"/>
  </w:num>
  <w:num w:numId="7" w16cid:durableId="11343779">
    <w:abstractNumId w:val="2"/>
  </w:num>
  <w:num w:numId="8" w16cid:durableId="382678157">
    <w:abstractNumId w:val="1"/>
  </w:num>
  <w:num w:numId="9" w16cid:durableId="1823233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75CD6"/>
    <w:rsid w:val="0029639D"/>
    <w:rsid w:val="00326F90"/>
    <w:rsid w:val="0042088F"/>
    <w:rsid w:val="00AA1D8D"/>
    <w:rsid w:val="00B13E7C"/>
    <w:rsid w:val="00B47730"/>
    <w:rsid w:val="00CB0664"/>
    <w:rsid w:val="00CB2A04"/>
    <w:rsid w:val="00D81C65"/>
    <w:rsid w:val="00DD1DE4"/>
    <w:rsid w:val="00DF1706"/>
    <w:rsid w:val="00FC693F"/>
    <w:rsid w:val="00FE646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D83024B"/>
  <w14:defaultImageDpi w14:val="300"/>
  <w15:docId w15:val="{2C309CED-3B1A-4F45-921F-C8078D91F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2088F"/>
    <w:rPr>
      <w:color w:val="0000FF" w:themeColor="hyperlink"/>
      <w:u w:val="single"/>
    </w:rPr>
  </w:style>
  <w:style w:type="character" w:styleId="UnresolvedMention">
    <w:name w:val="Unresolved Mention"/>
    <w:basedOn w:val="DefaultParagraphFont"/>
    <w:uiPriority w:val="99"/>
    <w:semiHidden/>
    <w:unhideWhenUsed/>
    <w:rsid w:val="004208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 TargetMode="External"/><Relationship Id="rId13" Type="http://schemas.openxmlformats.org/officeDocument/2006/relationships/hyperlink" Target="https://www.skillsforhealth.org.uk" TargetMode="External"/><Relationship Id="rId18" Type="http://schemas.openxmlformats.org/officeDocument/2006/relationships/hyperlink" Target="https://www.skillsforhealth.org.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egislation.gov.uk" TargetMode="External"/><Relationship Id="rId17" Type="http://schemas.openxmlformats.org/officeDocument/2006/relationships/hyperlink" Target="https://www.nmc.org.uk" TargetMode="External"/><Relationship Id="rId2" Type="http://schemas.openxmlformats.org/officeDocument/2006/relationships/numbering" Target="numbering.xml"/><Relationship Id="rId16" Type="http://schemas.openxmlformats.org/officeDocument/2006/relationships/hyperlink" Target="https://www.england.nhs.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 TargetMode="External"/><Relationship Id="rId5" Type="http://schemas.openxmlformats.org/officeDocument/2006/relationships/webSettings" Target="webSettings.xml"/><Relationship Id="rId15" Type="http://schemas.openxmlformats.org/officeDocument/2006/relationships/hyperlink" Target="https://www.england.nhs.uk" TargetMode="External"/><Relationship Id="rId10" Type="http://schemas.openxmlformats.org/officeDocument/2006/relationships/hyperlink" Target="https://www.cqc.org.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qc.org.uk" TargetMode="External"/><Relationship Id="rId14" Type="http://schemas.openxmlformats.org/officeDocument/2006/relationships/hyperlink" Target="https://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2199</Words>
  <Characters>12538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Qurratulain Zafar</cp:lastModifiedBy>
  <cp:revision>5</cp:revision>
  <dcterms:created xsi:type="dcterms:W3CDTF">2026-03-23T22:03:00Z</dcterms:created>
  <dcterms:modified xsi:type="dcterms:W3CDTF">2026-03-23T22:12:00Z</dcterms:modified>
  <cp:category/>
</cp:coreProperties>
</file>