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CF97A58" wp14:paraId="30A909FD" wp14:textId="0052B6B9">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736717F0" wp14:textId="02E81E61">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31A247D9" wp14:textId="164EAA72">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6330DAC9" wp14:textId="42E15D62">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65292B2E" wp14:textId="115EAC6D">
      <w:pPr>
        <w:pStyle w:val="Normal"/>
        <w:spacing w:line="360" w:lineRule="auto"/>
        <w:rPr>
          <w:rFonts w:ascii="Arial" w:hAnsi="Arial" w:eastAsia="Arial" w:cs="Arial"/>
          <w:b w:val="0"/>
          <w:bCs w:val="0"/>
          <w:noProof w:val="0"/>
          <w:sz w:val="22"/>
          <w:szCs w:val="22"/>
          <w:lang w:val="en-US"/>
        </w:rPr>
      </w:pPr>
      <w:r w:rsidR="10A87DE7">
        <w:drawing>
          <wp:anchor xmlns:wp14="http://schemas.microsoft.com/office/word/2010/wordprocessingDrawing" distT="0" distB="0" distL="114300" distR="114300" simplePos="0" relativeHeight="251658240" behindDoc="0" locked="0" layoutInCell="1" allowOverlap="1" wp14:editId="26F4B409" wp14:anchorId="4F433FBC">
            <wp:simplePos x="0" y="0"/>
            <wp:positionH relativeFrom="column">
              <wp:posOffset>1057275</wp:posOffset>
            </wp:positionH>
            <wp:positionV relativeFrom="paragraph">
              <wp:posOffset>161925</wp:posOffset>
            </wp:positionV>
            <wp:extent cx="4157833" cy="1329043"/>
            <wp:effectExtent l="114300" t="114300" r="109855" b="138430"/>
            <wp:wrapNone/>
            <wp:docPr id="16349609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34960941" name="Picture 1634960941"/>
                    <pic:cNvPicPr/>
                  </pic:nvPicPr>
                  <pic:blipFill>
                    <a:blip xmlns:r="http://schemas.openxmlformats.org/officeDocument/2006/relationships" r:embed="rId725343744">
                      <a:extLst>
                        <a:ext uri="{28A0092B-C50C-407E-A947-70E740481C1C}">
                          <a14:useLocalDpi xmlns:a14="http://schemas.microsoft.com/office/drawing/2010/main"/>
                        </a:ext>
                      </a:extLst>
                    </a:blip>
                    <a:srcRect/>
                    <a:stretch>
                      <a:fillRect/>
                    </a:stretch>
                  </pic:blipFill>
                  <pic:spPr>
                    <a:xfrm>
                      <a:off x="0" y="0"/>
                      <a:ext cx="4157833" cy="13290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p>
    <w:p xmlns:wp14="http://schemas.microsoft.com/office/word/2010/wordml" w:rsidP="3CF97A58" wp14:paraId="3C18F81C" wp14:textId="78AC37CF">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0E443F5A" wp14:textId="191390B4">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4B9D7365" wp14:textId="74C8AE10">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775DDBC8" wp14:textId="046C6D79">
      <w:pPr>
        <w:pStyle w:val="Normal"/>
        <w:spacing w:line="360" w:lineRule="auto"/>
      </w:pPr>
    </w:p>
    <w:p xmlns:wp14="http://schemas.microsoft.com/office/word/2010/wordml" w:rsidP="3CF97A58" wp14:paraId="0922FC1C" wp14:textId="526BACBC">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238A0F90" wp14:textId="151EEC1D">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5F0E465C" wp14:textId="4EBA9E72">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1E4D41C9" wp14:textId="572DB22E">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3A2B4727" wp14:textId="05DAC0A3">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402263D2" wp14:textId="72AF4428">
      <w:pPr>
        <w:pStyle w:val="Normal"/>
        <w:spacing w:line="360" w:lineRule="auto"/>
        <w:rPr>
          <w:rFonts w:ascii="Arial" w:hAnsi="Arial" w:eastAsia="Arial" w:cs="Arial"/>
          <w:b w:val="0"/>
          <w:bCs w:val="0"/>
          <w:noProof w:val="0"/>
          <w:sz w:val="22"/>
          <w:szCs w:val="22"/>
          <w:lang w:val="en-US"/>
        </w:rPr>
      </w:pPr>
    </w:p>
    <w:p xmlns:wp14="http://schemas.microsoft.com/office/word/2010/wordml" w:rsidP="3CF97A58" wp14:paraId="5F922E0A" wp14:textId="2B462FD4">
      <w:pPr>
        <w:pStyle w:val="Normal"/>
        <w:spacing w:line="360" w:lineRule="auto"/>
        <w:rPr>
          <w:rFonts w:ascii="Arial" w:hAnsi="Arial" w:eastAsia="Arial" w:cs="Arial"/>
          <w:b w:val="0"/>
          <w:bCs w:val="0"/>
          <w:noProof w:val="0"/>
          <w:sz w:val="22"/>
          <w:szCs w:val="22"/>
          <w:lang w:val="en-US"/>
        </w:rPr>
      </w:pPr>
      <w:r w:rsidRPr="3CF97A58" w:rsidR="5D4BF2DA">
        <w:rPr>
          <w:rFonts w:ascii="Arial" w:hAnsi="Arial" w:eastAsia="Arial" w:cs="Arial"/>
          <w:b w:val="0"/>
          <w:bCs w:val="0"/>
          <w:noProof w:val="0"/>
          <w:sz w:val="22"/>
          <w:szCs w:val="22"/>
          <w:lang w:val="en-US"/>
        </w:rPr>
        <w:t>Student Name: Asos Abdolla</w:t>
      </w:r>
    </w:p>
    <w:p xmlns:wp14="http://schemas.microsoft.com/office/word/2010/wordml" w:rsidP="3CF97A58" wp14:paraId="3BFE96C3" wp14:textId="43C6AD35">
      <w:pPr>
        <w:pStyle w:val="Normal"/>
        <w:spacing w:line="360" w:lineRule="auto"/>
        <w:rPr>
          <w:rFonts w:ascii="Arial" w:hAnsi="Arial" w:eastAsia="Arial" w:cs="Arial"/>
          <w:b w:val="0"/>
          <w:bCs w:val="0"/>
          <w:noProof w:val="0"/>
          <w:sz w:val="22"/>
          <w:szCs w:val="22"/>
          <w:lang w:val="en-US"/>
        </w:rPr>
      </w:pPr>
      <w:r w:rsidRPr="3CF97A58" w:rsidR="5D4BF2DA">
        <w:rPr>
          <w:rFonts w:ascii="Arial" w:hAnsi="Arial" w:eastAsia="Arial" w:cs="Arial"/>
          <w:b w:val="0"/>
          <w:bCs w:val="0"/>
          <w:noProof w:val="0"/>
          <w:sz w:val="22"/>
          <w:szCs w:val="22"/>
          <w:lang w:val="en-US"/>
        </w:rPr>
        <w:t>Student Number: 2223216</w:t>
      </w:r>
    </w:p>
    <w:p xmlns:wp14="http://schemas.microsoft.com/office/word/2010/wordml" w:rsidP="3CF97A58" wp14:paraId="144FB17B" wp14:textId="7AF6A3CC">
      <w:pPr>
        <w:pStyle w:val="Normal"/>
        <w:spacing w:line="360" w:lineRule="auto"/>
        <w:rPr>
          <w:rFonts w:ascii="Arial" w:hAnsi="Arial" w:eastAsia="Arial" w:cs="Arial"/>
          <w:b w:val="0"/>
          <w:bCs w:val="0"/>
          <w:noProof w:val="0"/>
          <w:sz w:val="22"/>
          <w:szCs w:val="22"/>
          <w:lang w:val="en-US"/>
        </w:rPr>
      </w:pPr>
      <w:r w:rsidRPr="3CF97A58" w:rsidR="5D4BF2DA">
        <w:rPr>
          <w:rFonts w:ascii="Arial" w:hAnsi="Arial" w:eastAsia="Arial" w:cs="Arial"/>
          <w:b w:val="0"/>
          <w:bCs w:val="0"/>
          <w:noProof w:val="0"/>
          <w:sz w:val="22"/>
          <w:szCs w:val="22"/>
          <w:lang w:val="en-US"/>
        </w:rPr>
        <w:t>Module:</w:t>
      </w:r>
      <w:r w:rsidRPr="3CF97A58" w:rsidR="5D4BF2DA">
        <w:rPr>
          <w:rFonts w:ascii="Arial" w:hAnsi="Arial" w:eastAsia="Arial" w:cs="Arial"/>
          <w:b w:val="0"/>
          <w:bCs w:val="0"/>
          <w:noProof w:val="0"/>
          <w:sz w:val="22"/>
          <w:szCs w:val="22"/>
          <w:lang w:val="en-US"/>
        </w:rPr>
        <w:t xml:space="preserve"> </w:t>
      </w:r>
      <w:r w:rsidRPr="3CF97A58" w:rsidR="0BCD299A">
        <w:rPr>
          <w:rFonts w:ascii="Arial" w:hAnsi="Arial" w:eastAsia="Arial" w:cs="Arial"/>
          <w:b w:val="0"/>
          <w:bCs w:val="0"/>
          <w:noProof w:val="0"/>
          <w:sz w:val="22"/>
          <w:szCs w:val="22"/>
          <w:lang w:val="en-US"/>
        </w:rPr>
        <w:t>BMHP6030</w:t>
      </w:r>
    </w:p>
    <w:p xmlns:wp14="http://schemas.microsoft.com/office/word/2010/wordml" w:rsidP="3CF97A58" wp14:paraId="66307DA8" wp14:textId="618C5428">
      <w:pPr>
        <w:pStyle w:val="Normal"/>
        <w:spacing w:line="360" w:lineRule="auto"/>
        <w:rPr>
          <w:rFonts w:ascii="Arial" w:hAnsi="Arial" w:eastAsia="Arial" w:cs="Arial"/>
          <w:b w:val="0"/>
          <w:bCs w:val="0"/>
          <w:noProof w:val="0"/>
          <w:color w:val="000000" w:themeColor="text1" w:themeTint="FF" w:themeShade="FF"/>
          <w:sz w:val="22"/>
          <w:szCs w:val="22"/>
          <w:lang w:val="en-US"/>
        </w:rPr>
      </w:pPr>
      <w:r w:rsidRPr="3CF97A58" w:rsidR="5D4BF2DA">
        <w:rPr>
          <w:rFonts w:ascii="Arial" w:hAnsi="Arial" w:eastAsia="Arial" w:cs="Arial"/>
          <w:b w:val="0"/>
          <w:bCs w:val="0"/>
          <w:noProof w:val="0"/>
          <w:sz w:val="22"/>
          <w:szCs w:val="22"/>
          <w:lang w:val="en-US"/>
        </w:rPr>
        <w:t>Assignment title:</w:t>
      </w:r>
      <w:r w:rsidRPr="3CF97A58" w:rsidR="3E52BEFE">
        <w:rPr>
          <w:rFonts w:ascii="Arial" w:hAnsi="Arial" w:eastAsia="Arial" w:cs="Arial"/>
          <w:b w:val="0"/>
          <w:bCs w:val="0"/>
          <w:noProof w:val="0"/>
          <w:color w:val="000000" w:themeColor="text1" w:themeTint="FF" w:themeShade="FF"/>
          <w:sz w:val="22"/>
          <w:szCs w:val="22"/>
          <w:lang w:val="en-US"/>
        </w:rPr>
        <w:t xml:space="preserve"> Health, Wellbeing and Sustainable Development</w:t>
      </w:r>
    </w:p>
    <w:p xmlns:wp14="http://schemas.microsoft.com/office/word/2010/wordml" w:rsidP="3CF97A58" wp14:paraId="3380487A" wp14:textId="32DA6824">
      <w:pPr>
        <w:pStyle w:val="Normal"/>
        <w:spacing w:line="360" w:lineRule="auto"/>
        <w:rPr>
          <w:rFonts w:ascii="Arial" w:hAnsi="Arial" w:eastAsia="Arial" w:cs="Arial"/>
          <w:b w:val="0"/>
          <w:bCs w:val="0"/>
          <w:noProof w:val="0"/>
          <w:color w:val="000000" w:themeColor="text1" w:themeTint="FF" w:themeShade="FF"/>
          <w:sz w:val="22"/>
          <w:szCs w:val="22"/>
          <w:lang w:val="en-US"/>
        </w:rPr>
      </w:pPr>
      <w:r w:rsidRPr="3CF97A58" w:rsidR="3E52BEFE">
        <w:rPr>
          <w:rFonts w:ascii="Arial" w:hAnsi="Arial" w:eastAsia="Arial" w:cs="Arial"/>
          <w:b w:val="0"/>
          <w:bCs w:val="0"/>
          <w:noProof w:val="0"/>
          <w:color w:val="000000" w:themeColor="text1" w:themeTint="FF" w:themeShade="FF"/>
          <w:sz w:val="22"/>
          <w:szCs w:val="22"/>
          <w:lang w:val="en-US"/>
        </w:rPr>
        <w:t>Lecture Name: Pares</w:t>
      </w:r>
      <w:r w:rsidRPr="3CF97A58" w:rsidR="09483311">
        <w:rPr>
          <w:rFonts w:ascii="Arial" w:hAnsi="Arial" w:eastAsia="Arial" w:cs="Arial"/>
          <w:b w:val="0"/>
          <w:bCs w:val="0"/>
          <w:noProof w:val="0"/>
          <w:color w:val="000000" w:themeColor="text1" w:themeTint="FF" w:themeShade="FF"/>
          <w:sz w:val="22"/>
          <w:szCs w:val="22"/>
          <w:lang w:val="en-US"/>
        </w:rPr>
        <w:t>e Ahmed</w:t>
      </w:r>
    </w:p>
    <w:p xmlns:wp14="http://schemas.microsoft.com/office/word/2010/wordml" w:rsidP="3CF97A58" wp14:paraId="03348FBD" wp14:textId="0199291B">
      <w:pPr>
        <w:pStyle w:val="Normal"/>
        <w:spacing w:line="360" w:lineRule="auto"/>
        <w:rPr>
          <w:rFonts w:ascii="Arial" w:hAnsi="Arial" w:eastAsia="Arial" w:cs="Arial"/>
          <w:b w:val="0"/>
          <w:bCs w:val="0"/>
          <w:noProof w:val="0"/>
          <w:color w:val="000000" w:themeColor="text1" w:themeTint="FF" w:themeShade="FF"/>
          <w:sz w:val="22"/>
          <w:szCs w:val="22"/>
          <w:lang w:val="en-US"/>
        </w:rPr>
      </w:pPr>
    </w:p>
    <w:p xmlns:wp14="http://schemas.microsoft.com/office/word/2010/wordml" w:rsidP="3CF97A58" wp14:paraId="74B7DCEE" wp14:textId="7A48507F">
      <w:pPr>
        <w:pStyle w:val="Normal"/>
        <w:spacing w:line="360" w:lineRule="auto"/>
        <w:rPr>
          <w:rFonts w:ascii="Arial" w:hAnsi="Arial" w:eastAsia="Arial" w:cs="Arial"/>
          <w:b w:val="0"/>
          <w:bCs w:val="0"/>
          <w:noProof w:val="0"/>
          <w:color w:val="000000" w:themeColor="text1" w:themeTint="FF" w:themeShade="FF"/>
          <w:sz w:val="22"/>
          <w:szCs w:val="22"/>
          <w:lang w:val="en-US"/>
        </w:rPr>
      </w:pPr>
    </w:p>
    <w:p xmlns:wp14="http://schemas.microsoft.com/office/word/2010/wordml" w:rsidP="3CF97A58" wp14:paraId="3916A15F" wp14:textId="0F4CC966">
      <w:pPr>
        <w:pStyle w:val="Normal"/>
        <w:spacing w:line="360" w:lineRule="auto"/>
        <w:rPr>
          <w:rFonts w:ascii="Arial" w:hAnsi="Arial" w:eastAsia="Arial" w:cs="Arial"/>
          <w:b w:val="0"/>
          <w:bCs w:val="0"/>
          <w:noProof w:val="0"/>
          <w:color w:val="000000" w:themeColor="text1" w:themeTint="FF" w:themeShade="FF"/>
          <w:sz w:val="22"/>
          <w:szCs w:val="22"/>
          <w:lang w:val="en-US"/>
        </w:rPr>
      </w:pPr>
    </w:p>
    <w:p xmlns:wp14="http://schemas.microsoft.com/office/word/2010/wordml" w:rsidP="3CF97A58" wp14:paraId="47D1D460" wp14:textId="7829FC2A">
      <w:pPr>
        <w:pStyle w:val="Normal"/>
        <w:spacing w:line="360" w:lineRule="auto"/>
        <w:rPr>
          <w:rFonts w:ascii="Arial" w:hAnsi="Arial" w:eastAsia="Arial" w:cs="Arial"/>
          <w:b w:val="0"/>
          <w:bCs w:val="0"/>
          <w:noProof w:val="0"/>
          <w:color w:val="000000" w:themeColor="text1" w:themeTint="FF" w:themeShade="FF"/>
          <w:sz w:val="22"/>
          <w:szCs w:val="22"/>
          <w:lang w:val="en-US"/>
        </w:rPr>
      </w:pPr>
    </w:p>
    <w:p xmlns:wp14="http://schemas.microsoft.com/office/word/2010/wordml" w:rsidP="3CF97A58" wp14:paraId="5EBB98ED" wp14:textId="10568CF4">
      <w:pPr>
        <w:pStyle w:val="Normal"/>
        <w:spacing w:line="360" w:lineRule="auto"/>
        <w:rPr>
          <w:rFonts w:ascii="Arial" w:hAnsi="Arial" w:eastAsia="Arial" w:cs="Arial"/>
          <w:b w:val="0"/>
          <w:bCs w:val="0"/>
          <w:noProof w:val="0"/>
          <w:color w:val="000000" w:themeColor="text1" w:themeTint="FF" w:themeShade="FF"/>
          <w:sz w:val="22"/>
          <w:szCs w:val="22"/>
          <w:lang w:val="en-US"/>
        </w:rPr>
      </w:pPr>
    </w:p>
    <w:p xmlns:wp14="http://schemas.microsoft.com/office/word/2010/wordml" w:rsidP="0E0A57E3" wp14:paraId="64F38D9A" wp14:textId="04691886">
      <w:pPr>
        <w:pStyle w:val="Heading1"/>
        <w:rPr>
          <w:rFonts w:ascii="Arial" w:hAnsi="Arial" w:eastAsia="Arial" w:cs="Arial"/>
          <w:b w:val="0"/>
          <w:bCs w:val="0"/>
          <w:noProof w:val="0"/>
          <w:color w:val="000000" w:themeColor="text1" w:themeTint="FF" w:themeShade="FF"/>
          <w:sz w:val="24"/>
          <w:szCs w:val="24"/>
          <w:lang w:val="en-US"/>
        </w:rPr>
      </w:pPr>
      <w:r w:rsidRPr="0E0A57E3" w:rsidR="1A0A7F84">
        <w:rPr>
          <w:rFonts w:ascii="Arial" w:hAnsi="Arial" w:eastAsia="Arial" w:cs="Arial"/>
          <w:noProof w:val="0"/>
          <w:color w:val="000000" w:themeColor="text1" w:themeTint="FF" w:themeShade="FF"/>
          <w:sz w:val="24"/>
          <w:szCs w:val="24"/>
          <w:lang w:val="en-US"/>
        </w:rPr>
        <w:t xml:space="preserve">Introduction </w:t>
      </w:r>
    </w:p>
    <w:p xmlns:wp14="http://schemas.microsoft.com/office/word/2010/wordml" w:rsidP="0E0A57E3" wp14:paraId="44245731" wp14:textId="16E78532">
      <w:pPr>
        <w:spacing w:before="240" w:beforeAutospacing="off" w:after="240" w:afterAutospacing="off" w:line="360" w:lineRule="auto"/>
        <w:jc w:val="both"/>
      </w:pPr>
      <w:r w:rsidRPr="0E0A57E3" w:rsidR="3F6571BA">
        <w:rPr>
          <w:rFonts w:ascii="Arial" w:hAnsi="Arial" w:eastAsia="Arial" w:cs="Arial"/>
          <w:noProof w:val="0"/>
          <w:sz w:val="22"/>
          <w:szCs w:val="22"/>
          <w:lang w:val="en-US"/>
        </w:rPr>
        <w:t xml:space="preserve">The Sustainable Development Goals (SDGs), </w:t>
      </w:r>
      <w:r w:rsidRPr="0E0A57E3" w:rsidR="3F6571BA">
        <w:rPr>
          <w:rFonts w:ascii="Arial" w:hAnsi="Arial" w:eastAsia="Arial" w:cs="Arial"/>
          <w:noProof w:val="0"/>
          <w:sz w:val="22"/>
          <w:szCs w:val="22"/>
          <w:lang w:val="en-US"/>
        </w:rPr>
        <w:t>established</w:t>
      </w:r>
      <w:r w:rsidRPr="0E0A57E3" w:rsidR="3F6571BA">
        <w:rPr>
          <w:rFonts w:ascii="Arial" w:hAnsi="Arial" w:eastAsia="Arial" w:cs="Arial"/>
          <w:noProof w:val="0"/>
          <w:sz w:val="22"/>
          <w:szCs w:val="22"/>
          <w:lang w:val="en-US"/>
        </w:rPr>
        <w:t xml:space="preserve"> by United Nations Member States in 2015, outline a comprehensive framework of seventeen global </w:t>
      </w:r>
      <w:r w:rsidRPr="0E0A57E3" w:rsidR="3F6571BA">
        <w:rPr>
          <w:rFonts w:ascii="Arial" w:hAnsi="Arial" w:eastAsia="Arial" w:cs="Arial"/>
          <w:noProof w:val="0"/>
          <w:sz w:val="22"/>
          <w:szCs w:val="22"/>
          <w:lang w:val="en-US"/>
        </w:rPr>
        <w:t>objectives</w:t>
      </w:r>
      <w:r w:rsidRPr="0E0A57E3" w:rsidR="3F6571BA">
        <w:rPr>
          <w:rFonts w:ascii="Arial" w:hAnsi="Arial" w:eastAsia="Arial" w:cs="Arial"/>
          <w:noProof w:val="0"/>
          <w:sz w:val="22"/>
          <w:szCs w:val="22"/>
          <w:lang w:val="en-US"/>
        </w:rPr>
        <w:t xml:space="preserve"> aimed at fostering </w:t>
      </w:r>
      <w:r w:rsidRPr="0E0A57E3" w:rsidR="3F6571BA">
        <w:rPr>
          <w:rFonts w:ascii="Arial" w:hAnsi="Arial" w:eastAsia="Arial" w:cs="Arial"/>
          <w:noProof w:val="0"/>
          <w:sz w:val="22"/>
          <w:szCs w:val="22"/>
          <w:lang w:val="en-US"/>
        </w:rPr>
        <w:t>equitable</w:t>
      </w:r>
      <w:r w:rsidRPr="0E0A57E3" w:rsidR="3F6571BA">
        <w:rPr>
          <w:rFonts w:ascii="Arial" w:hAnsi="Arial" w:eastAsia="Arial" w:cs="Arial"/>
          <w:noProof w:val="0"/>
          <w:sz w:val="22"/>
          <w:szCs w:val="22"/>
          <w:lang w:val="en-US"/>
        </w:rPr>
        <w:t xml:space="preserve"> and sustainable development by the year 2030. These goals are deeply interconnected, which means that progress in one area can significantly </w:t>
      </w:r>
      <w:r w:rsidRPr="0E0A57E3" w:rsidR="3F6571BA">
        <w:rPr>
          <w:rFonts w:ascii="Arial" w:hAnsi="Arial" w:eastAsia="Arial" w:cs="Arial"/>
          <w:noProof w:val="0"/>
          <w:sz w:val="22"/>
          <w:szCs w:val="22"/>
          <w:lang w:val="en-US"/>
        </w:rPr>
        <w:t>impact</w:t>
      </w:r>
      <w:r w:rsidRPr="0E0A57E3" w:rsidR="3F6571BA">
        <w:rPr>
          <w:rFonts w:ascii="Arial" w:hAnsi="Arial" w:eastAsia="Arial" w:cs="Arial"/>
          <w:noProof w:val="0"/>
          <w:sz w:val="22"/>
          <w:szCs w:val="22"/>
          <w:lang w:val="en-US"/>
        </w:rPr>
        <w:t xml:space="preserve"> outcomes in another.</w:t>
      </w:r>
    </w:p>
    <w:p xmlns:wp14="http://schemas.microsoft.com/office/word/2010/wordml" w:rsidP="0E0A57E3" wp14:paraId="5DE2226D" wp14:textId="5119A663">
      <w:pPr>
        <w:spacing w:before="240" w:beforeAutospacing="off" w:after="240" w:afterAutospacing="off" w:line="360" w:lineRule="auto"/>
        <w:jc w:val="both"/>
      </w:pPr>
      <w:r w:rsidRPr="0E0A57E3" w:rsidR="3F6571BA">
        <w:rPr>
          <w:rFonts w:ascii="Arial" w:hAnsi="Arial" w:eastAsia="Arial" w:cs="Arial"/>
          <w:noProof w:val="0"/>
          <w:sz w:val="22"/>
          <w:szCs w:val="22"/>
          <w:lang w:val="en-US"/>
        </w:rPr>
        <w:t xml:space="preserve">Two of the most crucial goals central to human development are SDG 3 (Good Health and Well-being) and SDG 2 (Zero Hunger). These goals serve as essential building blocks for broader socio-economic progress. SDG 3 emphasizes the importance of universal health coverage, mortality reduction, and the management of both communicable and non-communicable diseases. Meanwhile, SDG 2 focuses on </w:t>
      </w:r>
      <w:r w:rsidRPr="0E0A57E3" w:rsidR="3F6571BA">
        <w:rPr>
          <w:rFonts w:ascii="Arial" w:hAnsi="Arial" w:eastAsia="Arial" w:cs="Arial"/>
          <w:noProof w:val="0"/>
          <w:sz w:val="22"/>
          <w:szCs w:val="22"/>
          <w:lang w:val="en-US"/>
        </w:rPr>
        <w:t>eliminating</w:t>
      </w:r>
      <w:r w:rsidRPr="0E0A57E3" w:rsidR="3F6571BA">
        <w:rPr>
          <w:rFonts w:ascii="Arial" w:hAnsi="Arial" w:eastAsia="Arial" w:cs="Arial"/>
          <w:noProof w:val="0"/>
          <w:sz w:val="22"/>
          <w:szCs w:val="22"/>
          <w:lang w:val="en-US"/>
        </w:rPr>
        <w:t xml:space="preserve"> hunger, improving nutrition, and supporting sustainable agricultural practices. Despite global commitments to achieve these goals, challenges like food insecurity and health disparities continue to persist, worsened by factors such as conflict, climate change, and systemic inequalities. A recent editorial in The Lancet Global Health warned that none of the health targets outlined in SDG 3 are currently on track to be met by 2030.</w:t>
      </w:r>
    </w:p>
    <w:p xmlns:wp14="http://schemas.microsoft.com/office/word/2010/wordml" w:rsidP="0E0A57E3" wp14:paraId="070B9E9D" wp14:textId="553EB33B">
      <w:pPr>
        <w:pStyle w:val="Normal"/>
        <w:spacing w:before="120" w:beforeAutospacing="off" w:after="120" w:afterAutospacing="off" w:line="360" w:lineRule="auto"/>
        <w:jc w:val="both"/>
        <w:rPr>
          <w:rFonts w:ascii="Arial" w:hAnsi="Arial" w:eastAsia="Arial" w:cs="Arial"/>
          <w:noProof w:val="0"/>
          <w:sz w:val="22"/>
          <w:szCs w:val="22"/>
          <w:lang w:val="en-US"/>
        </w:rPr>
      </w:pPr>
      <w:r w:rsidRPr="0E0A57E3" w:rsidR="3F6571BA">
        <w:rPr>
          <w:rFonts w:ascii="Arial" w:hAnsi="Arial" w:eastAsia="Arial" w:cs="Arial"/>
          <w:noProof w:val="0"/>
          <w:sz w:val="22"/>
          <w:szCs w:val="22"/>
          <w:lang w:val="en-US"/>
        </w:rPr>
        <w:t xml:space="preserve">In the UK, initiatives like the Healthy Start Scheme reflect national efforts to tackle nutritional vulnerabilities among low-income populations. This report aims to critically examine the policy frameworks and interventions related to SDG 3 and SDG 2 at global, national, and local levels. To go beyond mere descriptive analysis, we will </w:t>
      </w:r>
      <w:r w:rsidRPr="0E0A57E3" w:rsidR="3F6571BA">
        <w:rPr>
          <w:rFonts w:ascii="Arial" w:hAnsi="Arial" w:eastAsia="Arial" w:cs="Arial"/>
          <w:noProof w:val="0"/>
          <w:sz w:val="22"/>
          <w:szCs w:val="22"/>
          <w:lang w:val="en-US"/>
        </w:rPr>
        <w:t>utilize</w:t>
      </w:r>
      <w:r w:rsidRPr="0E0A57E3" w:rsidR="3F6571BA">
        <w:rPr>
          <w:rFonts w:ascii="Arial" w:hAnsi="Arial" w:eastAsia="Arial" w:cs="Arial"/>
          <w:noProof w:val="0"/>
          <w:sz w:val="22"/>
          <w:szCs w:val="22"/>
          <w:lang w:val="en-US"/>
        </w:rPr>
        <w:t xml:space="preserve"> the Health Belief Model (HBM) as a theoretical lens. This approach will help us evaluate how well these policies consider individual </w:t>
      </w:r>
      <w:r w:rsidRPr="0E0A57E3" w:rsidR="3F6571BA">
        <w:rPr>
          <w:rFonts w:ascii="Arial" w:hAnsi="Arial" w:eastAsia="Arial" w:cs="Arial"/>
          <w:noProof w:val="0"/>
          <w:sz w:val="22"/>
          <w:szCs w:val="22"/>
          <w:lang w:val="en-US"/>
        </w:rPr>
        <w:t>perceptions</w:t>
      </w:r>
      <w:r w:rsidRPr="0E0A57E3" w:rsidR="3F6571BA">
        <w:rPr>
          <w:rFonts w:ascii="Arial" w:hAnsi="Arial" w:eastAsia="Arial" w:cs="Arial"/>
          <w:noProof w:val="0"/>
          <w:sz w:val="22"/>
          <w:szCs w:val="22"/>
          <w:lang w:val="en-US"/>
        </w:rPr>
        <w:t xml:space="preserve"> of susceptibility, severity, benefits, and barriers when encouraging changes in health and nutrition behaviors. </w:t>
      </w:r>
    </w:p>
    <w:p xmlns:wp14="http://schemas.microsoft.com/office/word/2010/wordml" w:rsidP="0E0A57E3" wp14:paraId="161A3E1A" wp14:textId="40199C12">
      <w:pPr>
        <w:spacing w:before="12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1102065C" wp14:paraId="214B488B" wp14:textId="2A3C5484">
      <w:pPr>
        <w:spacing w:before="0" w:beforeAutospacing="off" w:after="200" w:afterAutospacing="off" w:line="276" w:lineRule="auto"/>
        <w:rPr>
          <w:rFonts w:ascii="Arial" w:hAnsi="Arial" w:eastAsia="Arial" w:cs="Arial"/>
          <w:b w:val="0"/>
          <w:bCs w:val="0"/>
          <w:noProof w:val="0"/>
          <w:color w:val="000000" w:themeColor="text1" w:themeTint="FF" w:themeShade="FF"/>
          <w:sz w:val="22"/>
          <w:szCs w:val="22"/>
          <w:lang w:val="en-US"/>
        </w:rPr>
      </w:pPr>
    </w:p>
    <w:p xmlns:wp14="http://schemas.microsoft.com/office/word/2010/wordml" w:rsidP="0E0A57E3" wp14:paraId="798DF673" wp14:textId="2AE49D81">
      <w:pPr>
        <w:pStyle w:val="Normal"/>
        <w:spacing w:before="0" w:beforeAutospacing="off" w:after="200" w:afterAutospacing="off" w:line="276" w:lineRule="auto"/>
        <w:rPr>
          <w:rFonts w:ascii="Arial" w:hAnsi="Arial" w:eastAsia="Arial" w:cs="Arial"/>
          <w:noProof w:val="0"/>
          <w:color w:val="000000" w:themeColor="text1" w:themeTint="FF" w:themeShade="FF"/>
          <w:sz w:val="24"/>
          <w:szCs w:val="24"/>
          <w:lang w:val="en-US"/>
        </w:rPr>
      </w:pPr>
    </w:p>
    <w:p xmlns:wp14="http://schemas.microsoft.com/office/word/2010/wordml" w:rsidP="1102065C" wp14:paraId="1E3F8A53" wp14:textId="1E9D7A5A">
      <w:pPr>
        <w:spacing w:before="0" w:beforeAutospacing="off" w:after="200" w:afterAutospacing="off" w:line="276" w:lineRule="auto"/>
        <w:rPr>
          <w:rFonts w:ascii="Arial" w:hAnsi="Arial" w:eastAsia="Arial" w:cs="Arial"/>
          <w:noProof w:val="0"/>
          <w:color w:val="000000" w:themeColor="text1" w:themeTint="FF" w:themeShade="FF"/>
          <w:sz w:val="24"/>
          <w:szCs w:val="24"/>
          <w:lang w:val="en-US"/>
        </w:rPr>
      </w:pPr>
    </w:p>
    <w:p xmlns:wp14="http://schemas.microsoft.com/office/word/2010/wordml" w:rsidP="1102065C" wp14:paraId="0BD02725" wp14:textId="66E1EC72">
      <w:pPr>
        <w:spacing w:before="0" w:beforeAutospacing="off" w:after="200" w:afterAutospacing="off" w:line="276" w:lineRule="auto"/>
        <w:rPr>
          <w:rFonts w:ascii="Arial" w:hAnsi="Arial" w:eastAsia="Arial" w:cs="Arial"/>
          <w:noProof w:val="0"/>
          <w:color w:val="000000" w:themeColor="text1" w:themeTint="FF" w:themeShade="FF"/>
          <w:sz w:val="24"/>
          <w:szCs w:val="24"/>
          <w:lang w:val="en-US"/>
        </w:rPr>
      </w:pPr>
    </w:p>
    <w:p xmlns:wp14="http://schemas.microsoft.com/office/word/2010/wordml" w:rsidP="1102065C" wp14:paraId="1FF97B42" wp14:textId="7B55D729">
      <w:pPr>
        <w:pStyle w:val="Heading1"/>
        <w:rPr>
          <w:rFonts w:ascii="Arial" w:hAnsi="Arial" w:eastAsia="Arial" w:cs="Arial"/>
          <w:b w:val="0"/>
          <w:bCs w:val="0"/>
          <w:noProof w:val="0"/>
          <w:color w:val="000000" w:themeColor="text1" w:themeTint="FF" w:themeShade="FF"/>
          <w:sz w:val="24"/>
          <w:szCs w:val="24"/>
          <w:lang w:val="en-US"/>
        </w:rPr>
      </w:pPr>
      <w:r w:rsidRPr="0E0A57E3" w:rsidR="7B7F52AB">
        <w:rPr>
          <w:rFonts w:ascii="Arial" w:hAnsi="Arial" w:eastAsia="Arial" w:cs="Arial"/>
          <w:noProof w:val="0"/>
          <w:color w:val="000000" w:themeColor="text1" w:themeTint="FF" w:themeShade="FF"/>
          <w:sz w:val="24"/>
          <w:szCs w:val="24"/>
          <w:lang w:val="en-US"/>
        </w:rPr>
        <w:t>Section 1: SDG 3 – Good Health and Well-being</w:t>
      </w:r>
    </w:p>
    <w:p xmlns:wp14="http://schemas.microsoft.com/office/word/2010/wordml" w:rsidP="0E0A57E3" wp14:paraId="3AE96D19" wp14:textId="36AA40CF">
      <w:pPr>
        <w:pStyle w:val="Heading3"/>
        <w:spacing w:before="281" w:beforeAutospacing="off" w:after="281" w:afterAutospacing="off" w:line="360" w:lineRule="auto"/>
        <w:jc w:val="both"/>
        <w:rPr>
          <w:rFonts w:ascii="Arial" w:hAnsi="Arial" w:eastAsia="Arial" w:cs="Arial"/>
          <w:b w:val="0"/>
          <w:bCs w:val="0"/>
          <w:noProof w:val="0"/>
          <w:color w:val="000000" w:themeColor="text1" w:themeTint="FF" w:themeShade="FF"/>
          <w:sz w:val="24"/>
          <w:szCs w:val="24"/>
          <w:lang w:val="en-US"/>
        </w:rPr>
      </w:pPr>
      <w:r w:rsidRPr="0E0A57E3" w:rsidR="7B7F52AB">
        <w:rPr>
          <w:rFonts w:ascii="Arial" w:hAnsi="Arial" w:eastAsia="Arial" w:cs="Arial"/>
          <w:b w:val="0"/>
          <w:bCs w:val="0"/>
          <w:noProof w:val="0"/>
          <w:color w:val="000000" w:themeColor="text1" w:themeTint="FF" w:themeShade="FF"/>
          <w:sz w:val="24"/>
          <w:szCs w:val="24"/>
          <w:lang w:val="en-US"/>
        </w:rPr>
        <w:t>Overview of SDG 3</w:t>
      </w:r>
    </w:p>
    <w:p xmlns:wp14="http://schemas.microsoft.com/office/word/2010/wordml" w:rsidP="0E0A57E3" wp14:paraId="2DF28237" wp14:textId="15AA0276">
      <w:pPr>
        <w:spacing w:before="240" w:beforeAutospacing="off" w:after="240" w:afterAutospacing="off" w:line="360" w:lineRule="auto"/>
        <w:jc w:val="both"/>
        <w:rPr>
          <w:rFonts w:ascii="Arial" w:hAnsi="Arial" w:eastAsia="Arial" w:cs="Arial"/>
          <w:b w:val="0"/>
          <w:bCs w:val="0"/>
          <w:noProof w:val="0"/>
          <w:sz w:val="22"/>
          <w:szCs w:val="22"/>
          <w:lang w:val="en-US"/>
        </w:rPr>
      </w:pPr>
      <w:r w:rsidRPr="0E0A57E3" w:rsidR="70D1F0B2">
        <w:rPr>
          <w:rFonts w:ascii="Arial" w:hAnsi="Arial" w:eastAsia="Arial" w:cs="Arial"/>
          <w:noProof w:val="0"/>
          <w:sz w:val="22"/>
          <w:szCs w:val="22"/>
          <w:lang w:val="en-US"/>
        </w:rPr>
        <w:t xml:space="preserve">Sustainable Development Goal 3 is focused on ensuring that everyone, regardless of age, can lead a healthy life and achieve well-being. This goal tackles </w:t>
      </w:r>
      <w:r w:rsidRPr="0E0A57E3" w:rsidR="70D1F0B2">
        <w:rPr>
          <w:rFonts w:ascii="Arial" w:hAnsi="Arial" w:eastAsia="Arial" w:cs="Arial"/>
          <w:noProof w:val="0"/>
          <w:sz w:val="22"/>
          <w:szCs w:val="22"/>
          <w:lang w:val="en-US"/>
        </w:rPr>
        <w:t>important issues</w:t>
      </w:r>
      <w:r w:rsidRPr="0E0A57E3" w:rsidR="70D1F0B2">
        <w:rPr>
          <w:rFonts w:ascii="Arial" w:hAnsi="Arial" w:eastAsia="Arial" w:cs="Arial"/>
          <w:noProof w:val="0"/>
          <w:sz w:val="22"/>
          <w:szCs w:val="22"/>
          <w:lang w:val="en-US"/>
        </w:rPr>
        <w:t xml:space="preserve"> like universal health coverage, reducing maternal and child mortality, managing both communicable and non-communicable diseases, addressing mental health, and recognizing environmental factors that influence our health (United Nations, 2023).</w:t>
      </w:r>
    </w:p>
    <w:p xmlns:wp14="http://schemas.microsoft.com/office/word/2010/wordml" w:rsidP="0E0A57E3" wp14:paraId="44E3824E" wp14:textId="2FEA26B1">
      <w:pPr>
        <w:spacing w:before="240" w:beforeAutospacing="off" w:after="240" w:afterAutospacing="off" w:line="360" w:lineRule="auto"/>
        <w:jc w:val="both"/>
        <w:rPr>
          <w:rFonts w:ascii="Arial" w:hAnsi="Arial" w:eastAsia="Arial" w:cs="Arial"/>
          <w:b w:val="0"/>
          <w:bCs w:val="0"/>
          <w:noProof w:val="0"/>
          <w:sz w:val="22"/>
          <w:szCs w:val="22"/>
          <w:lang w:val="en-US"/>
        </w:rPr>
      </w:pPr>
      <w:r w:rsidRPr="0E0A57E3" w:rsidR="70D1F0B2">
        <w:rPr>
          <w:rFonts w:ascii="Arial" w:hAnsi="Arial" w:eastAsia="Arial" w:cs="Arial"/>
          <w:noProof w:val="0"/>
          <w:sz w:val="22"/>
          <w:szCs w:val="22"/>
          <w:lang w:val="en-US"/>
        </w:rPr>
        <w:t xml:space="preserve">According to the World Health Organization's 2025 monitoring report, global life expectancy has not improved since 2020. This stagnation is mainly </w:t>
      </w:r>
      <w:r w:rsidRPr="0E0A57E3" w:rsidR="3176F75C">
        <w:rPr>
          <w:rFonts w:ascii="Arial" w:hAnsi="Arial" w:eastAsia="Arial" w:cs="Arial"/>
          <w:noProof w:val="0"/>
          <w:sz w:val="22"/>
          <w:szCs w:val="22"/>
          <w:lang w:val="en-US"/>
        </w:rPr>
        <w:t>because</w:t>
      </w:r>
      <w:r w:rsidRPr="0E0A57E3" w:rsidR="70D1F0B2">
        <w:rPr>
          <w:rFonts w:ascii="Arial" w:hAnsi="Arial" w:eastAsia="Arial" w:cs="Arial"/>
          <w:noProof w:val="0"/>
          <w:sz w:val="22"/>
          <w:szCs w:val="22"/>
          <w:lang w:val="en-US"/>
        </w:rPr>
        <w:t xml:space="preserve"> of the COVID-19 pandemic and increasing inequalities in healthcare access (WHO, 2025). Health is not just a result of development; it also plays a crucial role in driving sustainable progress, contributing to economic productivity and social stability (Mathews et al., 2025).</w:t>
      </w:r>
      <w:r w:rsidRPr="0E0A57E3" w:rsidR="70D1F0B2">
        <w:rPr>
          <w:rFonts w:ascii="Arial" w:hAnsi="Arial" w:eastAsia="Arial" w:cs="Arial"/>
          <w:b w:val="0"/>
          <w:bCs w:val="0"/>
          <w:noProof w:val="0"/>
          <w:sz w:val="22"/>
          <w:szCs w:val="22"/>
          <w:lang w:val="en-US"/>
        </w:rPr>
        <w:t xml:space="preserve">    </w:t>
      </w:r>
    </w:p>
    <w:p xmlns:wp14="http://schemas.microsoft.com/office/word/2010/wordml" w:rsidP="0E0A57E3" wp14:paraId="22D7B8B0" wp14:textId="4A93F510">
      <w:pPr>
        <w:spacing w:before="240" w:beforeAutospacing="off" w:after="240" w:afterAutospacing="off" w:line="360" w:lineRule="auto"/>
        <w:jc w:val="both"/>
        <w:rPr>
          <w:rFonts w:ascii="Arial" w:hAnsi="Arial" w:eastAsia="Arial" w:cs="Arial"/>
          <w:b w:val="0"/>
          <w:bCs w:val="0"/>
          <w:noProof w:val="0"/>
          <w:sz w:val="22"/>
          <w:szCs w:val="22"/>
          <w:lang w:val="en-US"/>
        </w:rPr>
      </w:pPr>
    </w:p>
    <w:p xmlns:wp14="http://schemas.microsoft.com/office/word/2010/wordml" w:rsidP="0E0A57E3" wp14:paraId="69E3B478" wp14:textId="1F85E37B">
      <w:pPr>
        <w:spacing w:before="120" w:beforeAutospacing="off" w:after="120" w:afterAutospacing="off" w:line="360" w:lineRule="auto"/>
        <w:jc w:val="left"/>
        <w:rPr>
          <w:rFonts w:ascii="Arial" w:hAnsi="Arial" w:eastAsia="Arial" w:cs="Arial"/>
          <w:b w:val="0"/>
          <w:bCs w:val="0"/>
          <w:noProof w:val="0"/>
          <w:sz w:val="24"/>
          <w:szCs w:val="24"/>
          <w:lang w:val="en-US"/>
        </w:rPr>
      </w:pPr>
      <w:r w:rsidRPr="0E0A57E3" w:rsidR="7593A4D8">
        <w:rPr>
          <w:rFonts w:ascii="Arial" w:hAnsi="Arial" w:eastAsia="Arial" w:cs="Arial"/>
          <w:b w:val="0"/>
          <w:bCs w:val="0"/>
          <w:noProof w:val="0"/>
          <w:sz w:val="24"/>
          <w:szCs w:val="24"/>
          <w:lang w:val="en-US"/>
        </w:rPr>
        <w:t>Global Policies and Initiatives</w:t>
      </w:r>
    </w:p>
    <w:p xmlns:wp14="http://schemas.microsoft.com/office/word/2010/wordml" w:rsidP="0E0A57E3" wp14:paraId="7FAD2092" wp14:textId="3A3A844C">
      <w:pPr>
        <w:spacing w:before="240" w:beforeAutospacing="off" w:after="240" w:afterAutospacing="off" w:line="360" w:lineRule="auto"/>
        <w:jc w:val="both"/>
        <w:rPr>
          <w:rFonts w:ascii="Arial" w:hAnsi="Arial" w:eastAsia="Arial" w:cs="Arial"/>
          <w:noProof w:val="0"/>
          <w:sz w:val="22"/>
          <w:szCs w:val="22"/>
          <w:lang w:val="en-US"/>
        </w:rPr>
      </w:pPr>
      <w:r w:rsidRPr="0E0A57E3" w:rsidR="4F90E550">
        <w:rPr>
          <w:rFonts w:ascii="Arial" w:hAnsi="Arial" w:eastAsia="Arial" w:cs="Arial"/>
          <w:noProof w:val="0"/>
          <w:sz w:val="22"/>
          <w:szCs w:val="22"/>
          <w:lang w:val="en-US"/>
        </w:rPr>
        <w:t>The main way we can boost progress on Sustainable Development Goal 3 (SDG 3) globally is through the WHO Global Action Plan for Healthy Lives and Well-being for All. This plan brings together the efforts of thirteen UN agencies to strengthen health systems, ensure universal health coverage, and lower mortality rates from both infectious and non-communicable diseases.</w:t>
      </w:r>
      <w:r w:rsidRPr="0E0A57E3" w:rsidR="4F492904">
        <w:rPr>
          <w:rFonts w:ascii="Arial" w:hAnsi="Arial" w:eastAsia="Arial" w:cs="Arial"/>
          <w:noProof w:val="0"/>
          <w:sz w:val="22"/>
          <w:szCs w:val="22"/>
          <w:lang w:val="en-US"/>
        </w:rPr>
        <w:t xml:space="preserve"> </w:t>
      </w:r>
    </w:p>
    <w:p xmlns:wp14="http://schemas.microsoft.com/office/word/2010/wordml" w:rsidP="0E0A57E3" wp14:paraId="1D0F67F0" wp14:textId="7AB1C774">
      <w:pPr>
        <w:spacing w:before="240" w:beforeAutospacing="off" w:after="240" w:afterAutospacing="off" w:line="360" w:lineRule="auto"/>
        <w:jc w:val="both"/>
        <w:rPr>
          <w:rFonts w:ascii="Arial" w:hAnsi="Arial" w:eastAsia="Arial" w:cs="Arial"/>
          <w:noProof w:val="0"/>
          <w:sz w:val="22"/>
          <w:szCs w:val="22"/>
          <w:lang w:val="en-US"/>
        </w:rPr>
      </w:pPr>
      <w:r w:rsidRPr="0E0A57E3" w:rsidR="4F90E550">
        <w:rPr>
          <w:rFonts w:ascii="Arial" w:hAnsi="Arial" w:eastAsia="Arial" w:cs="Arial"/>
          <w:noProof w:val="0"/>
          <w:sz w:val="22"/>
          <w:szCs w:val="22"/>
          <w:lang w:val="en-US"/>
        </w:rPr>
        <w:t xml:space="preserve">One of the standout initiatives under this plan is the joint vaccination program by </w:t>
      </w:r>
      <w:r w:rsidRPr="0E0A57E3" w:rsidR="75C5AB5F">
        <w:rPr>
          <w:rFonts w:ascii="Arial" w:hAnsi="Arial" w:eastAsia="Arial" w:cs="Arial"/>
          <w:noProof w:val="0"/>
          <w:sz w:val="22"/>
          <w:szCs w:val="22"/>
          <w:lang w:val="en-US"/>
        </w:rPr>
        <w:t xml:space="preserve">the </w:t>
      </w:r>
      <w:r w:rsidRPr="0E0A57E3" w:rsidR="4F90E550">
        <w:rPr>
          <w:rFonts w:ascii="Arial" w:hAnsi="Arial" w:eastAsia="Arial" w:cs="Arial"/>
          <w:noProof w:val="0"/>
          <w:sz w:val="22"/>
          <w:szCs w:val="22"/>
          <w:lang w:val="en-US"/>
        </w:rPr>
        <w:t>WHO and UNICEF. This program has made impressive strides in increasing immunization coverage in low-income countries, helping to nearly eradicate polio and achieve significant reductions in measles deaths.</w:t>
      </w:r>
    </w:p>
    <w:p xmlns:wp14="http://schemas.microsoft.com/office/word/2010/wordml" w:rsidP="0E0A57E3" wp14:paraId="5902C146" wp14:textId="138527F8">
      <w:pPr>
        <w:spacing w:before="240" w:beforeAutospacing="off" w:after="240" w:afterAutospacing="off" w:line="360" w:lineRule="auto"/>
        <w:jc w:val="both"/>
        <w:rPr>
          <w:rFonts w:ascii="Arial" w:hAnsi="Arial" w:eastAsia="Arial" w:cs="Arial"/>
          <w:noProof w:val="0"/>
          <w:sz w:val="22"/>
          <w:szCs w:val="22"/>
          <w:lang w:val="en-US"/>
        </w:rPr>
      </w:pPr>
      <w:r w:rsidRPr="0E0A57E3" w:rsidR="4F90E550">
        <w:rPr>
          <w:rFonts w:ascii="Arial" w:hAnsi="Arial" w:eastAsia="Arial" w:cs="Arial"/>
          <w:noProof w:val="0"/>
          <w:sz w:val="22"/>
          <w:szCs w:val="22"/>
          <w:lang w:val="en-US"/>
        </w:rPr>
        <w:t xml:space="preserve">Additionally, the Global Fund plays a crucial </w:t>
      </w:r>
      <w:r w:rsidRPr="0E0A57E3" w:rsidR="51330E92">
        <w:rPr>
          <w:rFonts w:ascii="Arial" w:hAnsi="Arial" w:eastAsia="Arial" w:cs="Arial"/>
          <w:noProof w:val="0"/>
          <w:sz w:val="22"/>
          <w:szCs w:val="22"/>
          <w:lang w:val="en-US"/>
        </w:rPr>
        <w:t>role in</w:t>
      </w:r>
      <w:r w:rsidRPr="0E0A57E3" w:rsidR="4F90E550">
        <w:rPr>
          <w:rFonts w:ascii="Arial" w:hAnsi="Arial" w:eastAsia="Arial" w:cs="Arial"/>
          <w:noProof w:val="0"/>
          <w:sz w:val="22"/>
          <w:szCs w:val="22"/>
          <w:lang w:val="en-US"/>
        </w:rPr>
        <w:t xml:space="preserve"> financing about 30% of all international programs aimed at fighting HIV, tuberculosis, and malaria. This support directly contributes to achieving SDG 3 targets related to reducing deaths from communicable diseases.</w:t>
      </w:r>
      <w:r w:rsidRPr="0E0A57E3" w:rsidR="719B61AC">
        <w:rPr>
          <w:rFonts w:ascii="Arial" w:hAnsi="Arial" w:eastAsia="Arial" w:cs="Arial"/>
          <w:noProof w:val="0"/>
          <w:sz w:val="22"/>
          <w:szCs w:val="22"/>
          <w:lang w:val="en-US"/>
        </w:rPr>
        <w:t xml:space="preserve"> </w:t>
      </w:r>
      <w:r w:rsidRPr="0E0A57E3" w:rsidR="4F90E550">
        <w:rPr>
          <w:rFonts w:ascii="Arial" w:hAnsi="Arial" w:eastAsia="Arial" w:cs="Arial"/>
          <w:noProof w:val="0"/>
          <w:sz w:val="22"/>
          <w:szCs w:val="22"/>
          <w:lang w:val="en-US"/>
        </w:rPr>
        <w:t>While these successes highlight the power of international collaboration, challenges still exist. The program faces risks like reliance on donor funding, political instability, and infrastructural weaknesses, all of which can limit fair access to vaccines for those who need them</w:t>
      </w:r>
      <w:r w:rsidRPr="0E0A57E3" w:rsidR="6A1BC7C6">
        <w:rPr>
          <w:rFonts w:ascii="Arial" w:hAnsi="Arial" w:eastAsia="Arial" w:cs="Arial"/>
          <w:noProof w:val="0"/>
          <w:sz w:val="22"/>
          <w:szCs w:val="22"/>
          <w:lang w:val="en-US"/>
        </w:rPr>
        <w:t xml:space="preserve"> most.</w:t>
      </w:r>
    </w:p>
    <w:p xmlns:wp14="http://schemas.microsoft.com/office/word/2010/wordml" w:rsidP="0E0A57E3" wp14:paraId="20F51E3E" wp14:textId="7C9BFB99">
      <w:pPr>
        <w:pStyle w:val="Normal"/>
        <w:spacing w:before="120" w:beforeAutospacing="off" w:after="120" w:afterAutospacing="off" w:line="360" w:lineRule="auto"/>
        <w:jc w:val="both"/>
        <w:rPr>
          <w:rFonts w:ascii="Arial" w:hAnsi="Arial" w:eastAsia="Arial" w:cs="Arial"/>
          <w:b w:val="0"/>
          <w:bCs w:val="0"/>
          <w:noProof w:val="0"/>
          <w:sz w:val="22"/>
          <w:szCs w:val="22"/>
          <w:lang w:val="en-US"/>
        </w:rPr>
      </w:pPr>
      <w:r w:rsidRPr="0E0A57E3" w:rsidR="52FAE43F">
        <w:rPr>
          <w:rFonts w:ascii="Arial" w:hAnsi="Arial" w:eastAsia="Arial" w:cs="Arial"/>
          <w:noProof w:val="0"/>
          <w:sz w:val="22"/>
          <w:szCs w:val="22"/>
          <w:lang w:val="en-US"/>
        </w:rPr>
        <w:t xml:space="preserve"> </w:t>
      </w:r>
      <w:r w:rsidRPr="0E0A57E3" w:rsidR="52FAE43F">
        <w:rPr>
          <w:rFonts w:ascii="Arial" w:hAnsi="Arial" w:eastAsia="Arial" w:cs="Arial"/>
          <w:noProof w:val="0"/>
          <w:sz w:val="22"/>
          <w:szCs w:val="22"/>
          <w:lang w:val="en-US"/>
        </w:rPr>
        <w:t xml:space="preserve">                                                                                       </w:t>
      </w:r>
      <w:r w:rsidRPr="0E0A57E3" w:rsidR="38ECC9A1">
        <w:rPr>
          <w:rFonts w:ascii="Arial" w:hAnsi="Arial" w:eastAsia="Arial" w:cs="Arial"/>
          <w:b w:val="0"/>
          <w:bCs w:val="0"/>
          <w:noProof w:val="0"/>
          <w:sz w:val="22"/>
          <w:szCs w:val="22"/>
          <w:lang w:val="en-US"/>
        </w:rPr>
        <w:t xml:space="preserve">                  </w:t>
      </w:r>
      <w:r w:rsidRPr="0E0A57E3" w:rsidR="52FAE43F">
        <w:rPr>
          <w:rFonts w:ascii="Arial" w:hAnsi="Arial" w:eastAsia="Arial" w:cs="Arial"/>
          <w:b w:val="0"/>
          <w:bCs w:val="0"/>
          <w:noProof w:val="0"/>
          <w:sz w:val="22"/>
          <w:szCs w:val="22"/>
          <w:lang w:val="en-US"/>
        </w:rPr>
        <w:t xml:space="preserve"> </w:t>
      </w:r>
      <w:r w:rsidRPr="0E0A57E3" w:rsidR="0D270A03">
        <w:rPr>
          <w:rFonts w:ascii="Arial" w:hAnsi="Arial" w:eastAsia="Arial" w:cs="Arial"/>
          <w:b w:val="0"/>
          <w:bCs w:val="0"/>
          <w:noProof w:val="0"/>
          <w:sz w:val="22"/>
          <w:szCs w:val="22"/>
          <w:lang w:val="en-US"/>
        </w:rPr>
        <w:t xml:space="preserve">                </w:t>
      </w:r>
    </w:p>
    <w:p xmlns:wp14="http://schemas.microsoft.com/office/word/2010/wordml" w:rsidP="0E0A57E3" wp14:paraId="498851C2" wp14:textId="4658A98F">
      <w:pPr>
        <w:spacing w:before="120" w:beforeAutospacing="off" w:after="120" w:afterAutospacing="off" w:line="360" w:lineRule="auto"/>
        <w:jc w:val="left"/>
        <w:rPr>
          <w:rFonts w:ascii="Arial" w:hAnsi="Arial" w:eastAsia="Arial" w:cs="Arial"/>
          <w:b w:val="0"/>
          <w:bCs w:val="0"/>
          <w:noProof w:val="0"/>
          <w:sz w:val="24"/>
          <w:szCs w:val="24"/>
          <w:lang w:val="en-US"/>
        </w:rPr>
      </w:pPr>
      <w:r w:rsidRPr="0E0A57E3" w:rsidR="7593A4D8">
        <w:rPr>
          <w:rFonts w:ascii="Arial" w:hAnsi="Arial" w:eastAsia="Arial" w:cs="Arial"/>
          <w:b w:val="0"/>
          <w:bCs w:val="0"/>
          <w:noProof w:val="0"/>
          <w:sz w:val="24"/>
          <w:szCs w:val="24"/>
          <w:lang w:val="en-US"/>
        </w:rPr>
        <w:t>National Policies – United Kingdom</w:t>
      </w:r>
    </w:p>
    <w:p xmlns:wp14="http://schemas.microsoft.com/office/word/2010/wordml" w:rsidP="0E0A57E3" wp14:paraId="124B5CFD" wp14:textId="4B40C93D">
      <w:pPr>
        <w:spacing w:before="240" w:beforeAutospacing="off" w:after="240" w:afterAutospacing="off" w:line="360" w:lineRule="auto"/>
        <w:jc w:val="both"/>
        <w:rPr>
          <w:rFonts w:ascii="Arial" w:hAnsi="Arial" w:eastAsia="Arial" w:cs="Arial"/>
          <w:noProof w:val="0"/>
          <w:sz w:val="22"/>
          <w:szCs w:val="22"/>
          <w:lang w:val="en-US"/>
        </w:rPr>
      </w:pPr>
      <w:r w:rsidRPr="0E0A57E3" w:rsidR="12F6839D">
        <w:rPr>
          <w:rFonts w:ascii="Arial" w:hAnsi="Arial" w:eastAsia="Arial" w:cs="Arial"/>
          <w:noProof w:val="0"/>
          <w:sz w:val="22"/>
          <w:szCs w:val="22"/>
          <w:lang w:val="en-US"/>
        </w:rPr>
        <w:t xml:space="preserve">At the national level, the UK's main strategy for addressing Sustainable Development Goal 3 (SDG 3) is the NHS Long Term Plan, which spans from 2019 to 2029. This plan focuses on several key areas: prioritizing prevention, providing personalized care, expanding mental health services, embracing digital innovation, and delivering community-based healthcare (NHS England, 2019). </w:t>
      </w:r>
    </w:p>
    <w:p xmlns:wp14="http://schemas.microsoft.com/office/word/2010/wordml" w:rsidP="0E0A57E3" wp14:paraId="473CDCE9" wp14:textId="1C1C1904">
      <w:pPr>
        <w:spacing w:before="240" w:beforeAutospacing="off" w:after="240" w:afterAutospacing="off" w:line="360" w:lineRule="auto"/>
        <w:jc w:val="both"/>
        <w:rPr>
          <w:rFonts w:ascii="Arial" w:hAnsi="Arial" w:eastAsia="Arial" w:cs="Arial"/>
          <w:noProof w:val="0"/>
          <w:sz w:val="22"/>
          <w:szCs w:val="22"/>
          <w:lang w:val="en-US"/>
        </w:rPr>
      </w:pPr>
      <w:r w:rsidRPr="0E0A57E3" w:rsidR="12F6839D">
        <w:rPr>
          <w:rFonts w:ascii="Arial" w:hAnsi="Arial" w:eastAsia="Arial" w:cs="Arial"/>
          <w:noProof w:val="0"/>
          <w:sz w:val="22"/>
          <w:szCs w:val="22"/>
          <w:lang w:val="en-US"/>
        </w:rPr>
        <w:t xml:space="preserve"> </w:t>
      </w:r>
      <w:r w:rsidRPr="0E0A57E3" w:rsidR="12F6839D">
        <w:rPr>
          <w:rFonts w:ascii="Arial" w:hAnsi="Arial" w:eastAsia="Arial" w:cs="Arial"/>
          <w:noProof w:val="0"/>
          <w:sz w:val="22"/>
          <w:szCs w:val="22"/>
          <w:lang w:val="en-US"/>
        </w:rPr>
        <w:t xml:space="preserve">The United Nations Development </w:t>
      </w:r>
      <w:r w:rsidRPr="0E0A57E3" w:rsidR="12F6839D">
        <w:rPr>
          <w:rFonts w:ascii="Arial" w:hAnsi="Arial" w:eastAsia="Arial" w:cs="Arial"/>
          <w:noProof w:val="0"/>
          <w:sz w:val="22"/>
          <w:szCs w:val="22"/>
          <w:lang w:val="en-US"/>
        </w:rPr>
        <w:t>Programme</w:t>
      </w:r>
      <w:r w:rsidRPr="0E0A57E3" w:rsidR="12F6839D">
        <w:rPr>
          <w:rFonts w:ascii="Arial" w:hAnsi="Arial" w:eastAsia="Arial" w:cs="Arial"/>
          <w:noProof w:val="0"/>
          <w:sz w:val="22"/>
          <w:szCs w:val="22"/>
          <w:lang w:val="en-US"/>
        </w:rPr>
        <w:t xml:space="preserve"> (UNDP) highlights that achieving universal health coverage is a matter of political will, relying on continuous domestic funding and strong governance (UNDP, 2024). One important aspect of this strategy is the growth of mental health services for children and teenagers, which includes initiatives like counseling in schools and around-the-clock crisis support (Evangelia et al., 2025). </w:t>
      </w:r>
    </w:p>
    <w:p xmlns:wp14="http://schemas.microsoft.com/office/word/2010/wordml" w:rsidP="0E0A57E3" wp14:paraId="5205AEBB" wp14:textId="2238886A">
      <w:pPr>
        <w:pStyle w:val="Normal"/>
        <w:spacing w:before="240" w:beforeAutospacing="off" w:after="240" w:afterAutospacing="off" w:line="360" w:lineRule="auto"/>
        <w:jc w:val="both"/>
        <w:rPr>
          <w:rFonts w:ascii="Arial" w:hAnsi="Arial" w:eastAsia="Arial" w:cs="Arial"/>
          <w:noProof w:val="0"/>
          <w:sz w:val="22"/>
          <w:szCs w:val="22"/>
          <w:lang w:val="en-US"/>
        </w:rPr>
      </w:pPr>
      <w:r w:rsidRPr="0E0A57E3" w:rsidR="52A8FD4F">
        <w:rPr>
          <w:rFonts w:ascii="Arial" w:hAnsi="Arial" w:eastAsia="Arial" w:cs="Arial"/>
          <w:noProof w:val="0"/>
          <w:sz w:val="22"/>
          <w:szCs w:val="22"/>
          <w:lang w:val="en-US"/>
        </w:rPr>
        <w:t xml:space="preserve">Evaluations show improved access and earlier interventions, leading to fewer self-harm hospital admissions, but challenges </w:t>
      </w:r>
      <w:r w:rsidRPr="0E0A57E3" w:rsidR="52A8FD4F">
        <w:rPr>
          <w:rFonts w:ascii="Arial" w:hAnsi="Arial" w:eastAsia="Arial" w:cs="Arial"/>
          <w:noProof w:val="0"/>
          <w:sz w:val="22"/>
          <w:szCs w:val="22"/>
          <w:lang w:val="en-US"/>
        </w:rPr>
        <w:t>remain</w:t>
      </w:r>
      <w:r w:rsidRPr="0E0A57E3" w:rsidR="52A8FD4F">
        <w:rPr>
          <w:rFonts w:ascii="Arial" w:hAnsi="Arial" w:eastAsia="Arial" w:cs="Arial"/>
          <w:noProof w:val="0"/>
          <w:sz w:val="22"/>
          <w:szCs w:val="22"/>
          <w:lang w:val="en-US"/>
        </w:rPr>
        <w:t>, such as workforce shortages, regional disparities in digital health access, and inconsistencies in local service implementation</w:t>
      </w:r>
      <w:r w:rsidRPr="0E0A57E3" w:rsidR="4E8960E8">
        <w:rPr>
          <w:rFonts w:ascii="Arial" w:hAnsi="Arial" w:eastAsia="Arial" w:cs="Arial"/>
          <w:noProof w:val="0"/>
          <w:sz w:val="22"/>
          <w:szCs w:val="22"/>
          <w:lang w:val="en-US"/>
        </w:rPr>
        <w:t xml:space="preserve"> (Mathews et al., 2025).</w:t>
      </w:r>
    </w:p>
    <w:p xmlns:wp14="http://schemas.microsoft.com/office/word/2010/wordml" w:rsidP="0E0A57E3" wp14:paraId="61C22103" wp14:textId="15AF94FF">
      <w:pPr>
        <w:pStyle w:val="Normal"/>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0E0A57E3" wp14:paraId="1B99FEF9" wp14:textId="6C717FF3">
      <w:pPr>
        <w:pStyle w:val="Normal"/>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0E0A57E3" wp14:paraId="07A6C805" wp14:textId="35A16947">
      <w:pPr>
        <w:pStyle w:val="Normal"/>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0E0A57E3" wp14:paraId="39869FA6" wp14:textId="458791CC">
      <w:pPr>
        <w:pStyle w:val="Normal"/>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0E0A57E3" wp14:paraId="05FC6983" wp14:textId="7D005734">
      <w:pPr>
        <w:pStyle w:val="Normal"/>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0E0A57E3" wp14:paraId="278914B6" wp14:textId="2A2BC0FD">
      <w:pPr>
        <w:pStyle w:val="Normal"/>
        <w:spacing w:before="240" w:beforeAutospacing="off" w:after="240" w:afterAutospacing="off" w:line="360" w:lineRule="auto"/>
        <w:jc w:val="both"/>
        <w:rPr>
          <w:rFonts w:ascii="Arial" w:hAnsi="Arial" w:eastAsia="Arial" w:cs="Arial"/>
          <w:b w:val="0"/>
          <w:bCs w:val="0"/>
          <w:noProof w:val="0"/>
          <w:sz w:val="24"/>
          <w:szCs w:val="24"/>
          <w:lang w:val="en-US"/>
        </w:rPr>
      </w:pPr>
      <w:r w:rsidRPr="0E0A57E3" w:rsidR="7593A4D8">
        <w:rPr>
          <w:rFonts w:ascii="Arial" w:hAnsi="Arial" w:eastAsia="Arial" w:cs="Arial"/>
          <w:b w:val="0"/>
          <w:bCs w:val="0"/>
          <w:noProof w:val="0"/>
          <w:sz w:val="24"/>
          <w:szCs w:val="24"/>
          <w:lang w:val="en-US"/>
        </w:rPr>
        <w:t>Local Initiatives</w:t>
      </w:r>
    </w:p>
    <w:p xmlns:wp14="http://schemas.microsoft.com/office/word/2010/wordml" w:rsidP="0E0A57E3" wp14:paraId="59D843BE" wp14:textId="551A441A">
      <w:pPr>
        <w:spacing w:before="240" w:beforeAutospacing="off" w:after="240" w:afterAutospacing="off" w:line="360" w:lineRule="auto"/>
        <w:jc w:val="both"/>
        <w:rPr>
          <w:rFonts w:ascii="Arial" w:hAnsi="Arial" w:eastAsia="Arial" w:cs="Arial"/>
          <w:b w:val="0"/>
          <w:bCs w:val="0"/>
          <w:noProof w:val="0"/>
          <w:sz w:val="22"/>
          <w:szCs w:val="22"/>
          <w:lang w:val="en-US"/>
        </w:rPr>
      </w:pPr>
      <w:r w:rsidRPr="0E0A57E3" w:rsidR="51E2E201">
        <w:rPr>
          <w:rFonts w:ascii="Arial" w:hAnsi="Arial" w:eastAsia="Arial" w:cs="Arial"/>
          <w:b w:val="0"/>
          <w:bCs w:val="0"/>
          <w:noProof w:val="0"/>
          <w:sz w:val="22"/>
          <w:szCs w:val="22"/>
          <w:lang w:val="en-US"/>
        </w:rPr>
        <w:t xml:space="preserve">Public health </w:t>
      </w:r>
      <w:r w:rsidRPr="0E0A57E3" w:rsidR="51E2E201">
        <w:rPr>
          <w:rFonts w:ascii="Arial" w:hAnsi="Arial" w:eastAsia="Arial" w:cs="Arial"/>
          <w:b w:val="0"/>
          <w:bCs w:val="0"/>
          <w:noProof w:val="0"/>
          <w:sz w:val="22"/>
          <w:szCs w:val="22"/>
          <w:lang w:val="en-US"/>
        </w:rPr>
        <w:t>programmes</w:t>
      </w:r>
      <w:r w:rsidRPr="0E0A57E3" w:rsidR="51E2E201">
        <w:rPr>
          <w:rFonts w:ascii="Arial" w:hAnsi="Arial" w:eastAsia="Arial" w:cs="Arial"/>
          <w:b w:val="0"/>
          <w:bCs w:val="0"/>
          <w:noProof w:val="0"/>
          <w:sz w:val="22"/>
          <w:szCs w:val="22"/>
          <w:lang w:val="en-US"/>
        </w:rPr>
        <w:t xml:space="preserve"> aim to support people in ways that make a real difference. One example is the Healthy Start scheme, which gives eligible pregnant women vouchers for healthy foods and free NHS dental care. Many women </w:t>
      </w:r>
      <w:r w:rsidRPr="0E0A57E3" w:rsidR="16A24F5E">
        <w:rPr>
          <w:rFonts w:ascii="Arial" w:hAnsi="Arial" w:eastAsia="Arial" w:cs="Arial"/>
          <w:b w:val="0"/>
          <w:bCs w:val="0"/>
          <w:noProof w:val="0"/>
          <w:sz w:val="22"/>
          <w:szCs w:val="22"/>
          <w:lang w:val="en-US"/>
        </w:rPr>
        <w:t>reports</w:t>
      </w:r>
      <w:r w:rsidRPr="0E0A57E3" w:rsidR="51E2E201">
        <w:rPr>
          <w:rFonts w:ascii="Arial" w:hAnsi="Arial" w:eastAsia="Arial" w:cs="Arial"/>
          <w:b w:val="0"/>
          <w:bCs w:val="0"/>
          <w:noProof w:val="0"/>
          <w:sz w:val="22"/>
          <w:szCs w:val="22"/>
          <w:lang w:val="en-US"/>
        </w:rPr>
        <w:t xml:space="preserve"> feeling supported, eating better, and gaining confidence in caring for their own health and their baby’s health.</w:t>
      </w:r>
      <w:r w:rsidRPr="0E0A57E3" w:rsidR="1D741250">
        <w:rPr>
          <w:rFonts w:ascii="Arial" w:hAnsi="Arial" w:eastAsia="Arial" w:cs="Arial"/>
          <w:b w:val="0"/>
          <w:bCs w:val="0"/>
          <w:noProof w:val="0"/>
          <w:sz w:val="22"/>
          <w:szCs w:val="22"/>
          <w:lang w:val="en-US"/>
        </w:rPr>
        <w:t xml:space="preserve"> </w:t>
      </w:r>
      <w:r w:rsidRPr="0E0A57E3" w:rsidR="51E2E201">
        <w:rPr>
          <w:rFonts w:ascii="Arial" w:hAnsi="Arial" w:eastAsia="Arial" w:cs="Arial"/>
          <w:b w:val="0"/>
          <w:bCs w:val="0"/>
          <w:noProof w:val="0"/>
          <w:sz w:val="22"/>
          <w:szCs w:val="22"/>
          <w:lang w:val="en-US"/>
        </w:rPr>
        <w:t xml:space="preserve">However, challenges </w:t>
      </w:r>
      <w:r w:rsidRPr="0E0A57E3" w:rsidR="265ED93D">
        <w:rPr>
          <w:rFonts w:ascii="Arial" w:hAnsi="Arial" w:eastAsia="Arial" w:cs="Arial"/>
          <w:b w:val="0"/>
          <w:bCs w:val="0"/>
          <w:noProof w:val="0"/>
          <w:sz w:val="22"/>
          <w:szCs w:val="22"/>
          <w:lang w:val="en-US"/>
        </w:rPr>
        <w:t>remain</w:t>
      </w:r>
      <w:r w:rsidRPr="0E0A57E3" w:rsidR="265ED93D">
        <w:rPr>
          <w:rFonts w:ascii="Arial" w:hAnsi="Arial" w:eastAsia="Arial" w:cs="Arial"/>
          <w:b w:val="0"/>
          <w:bCs w:val="0"/>
          <w:noProof w:val="0"/>
          <w:sz w:val="22"/>
          <w:szCs w:val="22"/>
          <w:lang w:val="en-US"/>
        </w:rPr>
        <w:t>; not</w:t>
      </w:r>
      <w:r w:rsidRPr="0E0A57E3" w:rsidR="51E2E201">
        <w:rPr>
          <w:rFonts w:ascii="Arial" w:hAnsi="Arial" w:eastAsia="Arial" w:cs="Arial"/>
          <w:b w:val="0"/>
          <w:bCs w:val="0"/>
          <w:noProof w:val="0"/>
          <w:sz w:val="22"/>
          <w:szCs w:val="22"/>
          <w:lang w:val="en-US"/>
        </w:rPr>
        <w:t xml:space="preserve"> everyone knows about the scheme, some find the application process difficult, and it relies on steady funding. While </w:t>
      </w:r>
      <w:r w:rsidRPr="0E0A57E3" w:rsidR="51E2E201">
        <w:rPr>
          <w:rFonts w:ascii="Arial" w:hAnsi="Arial" w:eastAsia="Arial" w:cs="Arial"/>
          <w:b w:val="0"/>
          <w:bCs w:val="0"/>
          <w:noProof w:val="0"/>
          <w:sz w:val="22"/>
          <w:szCs w:val="22"/>
          <w:lang w:val="en-US"/>
        </w:rPr>
        <w:t>very helpful</w:t>
      </w:r>
      <w:r w:rsidRPr="0E0A57E3" w:rsidR="51E2E201">
        <w:rPr>
          <w:rFonts w:ascii="Arial" w:hAnsi="Arial" w:eastAsia="Arial" w:cs="Arial"/>
          <w:b w:val="0"/>
          <w:bCs w:val="0"/>
          <w:noProof w:val="0"/>
          <w:sz w:val="22"/>
          <w:szCs w:val="22"/>
          <w:lang w:val="en-US"/>
        </w:rPr>
        <w:t>, more needs to be done to ensure all pregnant women can benefit.</w:t>
      </w:r>
    </w:p>
    <w:p xmlns:wp14="http://schemas.microsoft.com/office/word/2010/wordml" w:rsidP="0E0A57E3" wp14:paraId="7174EA1E" wp14:textId="1CB4F6C2">
      <w:pPr>
        <w:spacing w:before="240" w:beforeAutospacing="off" w:after="240" w:afterAutospacing="off" w:line="360" w:lineRule="auto"/>
        <w:jc w:val="both"/>
        <w:rPr>
          <w:rFonts w:ascii="Arial" w:hAnsi="Arial" w:eastAsia="Arial" w:cs="Arial"/>
          <w:b w:val="1"/>
          <w:bCs w:val="1"/>
          <w:noProof w:val="0"/>
          <w:sz w:val="22"/>
          <w:szCs w:val="22"/>
          <w:lang w:val="en-US"/>
        </w:rPr>
      </w:pPr>
    </w:p>
    <w:p xmlns:wp14="http://schemas.microsoft.com/office/word/2010/wordml" w:rsidP="0E0A57E3" wp14:paraId="4A91A18B" wp14:textId="251CD915">
      <w:pPr>
        <w:spacing w:before="120" w:beforeAutospacing="off" w:after="120" w:afterAutospacing="off" w:line="360" w:lineRule="auto"/>
        <w:jc w:val="both"/>
        <w:rPr>
          <w:rFonts w:ascii="Arial" w:hAnsi="Arial" w:eastAsia="Arial" w:cs="Arial"/>
          <w:b w:val="0"/>
          <w:bCs w:val="0"/>
          <w:noProof w:val="0"/>
          <w:sz w:val="24"/>
          <w:szCs w:val="24"/>
          <w:lang w:val="en-US"/>
        </w:rPr>
      </w:pPr>
      <w:r w:rsidRPr="0E0A57E3" w:rsidR="7593A4D8">
        <w:rPr>
          <w:rFonts w:ascii="Arial" w:hAnsi="Arial" w:eastAsia="Arial" w:cs="Arial"/>
          <w:b w:val="0"/>
          <w:bCs w:val="0"/>
          <w:noProof w:val="0"/>
          <w:sz w:val="24"/>
          <w:szCs w:val="24"/>
          <w:lang w:val="en-US"/>
        </w:rPr>
        <w:t>Theoretical Application</w:t>
      </w:r>
    </w:p>
    <w:p xmlns:wp14="http://schemas.microsoft.com/office/word/2010/wordml" w:rsidP="0E0A57E3" wp14:paraId="5CCF8787" wp14:textId="3B802C36">
      <w:pPr>
        <w:spacing w:before="240" w:beforeAutospacing="off" w:after="240" w:afterAutospacing="off" w:line="360" w:lineRule="auto"/>
        <w:jc w:val="both"/>
        <w:rPr>
          <w:rFonts w:ascii="Arial" w:hAnsi="Arial" w:eastAsia="Arial" w:cs="Arial"/>
          <w:b w:val="0"/>
          <w:bCs w:val="0"/>
          <w:noProof w:val="0"/>
          <w:sz w:val="22"/>
          <w:szCs w:val="22"/>
          <w:lang w:val="en-US"/>
        </w:rPr>
      </w:pPr>
      <w:r w:rsidRPr="0E0A57E3" w:rsidR="50A2DA69">
        <w:rPr>
          <w:rFonts w:ascii="Arial" w:hAnsi="Arial" w:eastAsia="Arial" w:cs="Arial"/>
          <w:b w:val="0"/>
          <w:bCs w:val="0"/>
          <w:noProof w:val="0"/>
          <w:sz w:val="22"/>
          <w:szCs w:val="22"/>
          <w:lang w:val="en-US"/>
        </w:rPr>
        <w:t xml:space="preserve">The Health Belief Model (HBM) is a useful tool for understanding how effective health programs can be at </w:t>
      </w:r>
      <w:r w:rsidRPr="0E0A57E3" w:rsidR="50A2DA69">
        <w:rPr>
          <w:rFonts w:ascii="Arial" w:hAnsi="Arial" w:eastAsia="Arial" w:cs="Arial"/>
          <w:b w:val="0"/>
          <w:bCs w:val="0"/>
          <w:noProof w:val="0"/>
          <w:sz w:val="22"/>
          <w:szCs w:val="22"/>
          <w:lang w:val="en-US"/>
        </w:rPr>
        <w:t>different levels</w:t>
      </w:r>
      <w:r w:rsidRPr="0E0A57E3" w:rsidR="50A2DA69">
        <w:rPr>
          <w:rFonts w:ascii="Arial" w:hAnsi="Arial" w:eastAsia="Arial" w:cs="Arial"/>
          <w:b w:val="0"/>
          <w:bCs w:val="0"/>
          <w:noProof w:val="0"/>
          <w:sz w:val="22"/>
          <w:szCs w:val="22"/>
          <w:lang w:val="en-US"/>
        </w:rPr>
        <w:t xml:space="preserve">. </w:t>
      </w:r>
      <w:r w:rsidRPr="0E0A57E3" w:rsidR="50A2DA69">
        <w:rPr>
          <w:rFonts w:ascii="Arial" w:hAnsi="Arial" w:eastAsia="Arial" w:cs="Arial"/>
          <w:b w:val="0"/>
          <w:bCs w:val="0"/>
          <w:noProof w:val="0"/>
          <w:sz w:val="22"/>
          <w:szCs w:val="22"/>
          <w:lang w:val="en-US"/>
        </w:rPr>
        <w:t>Essentially, it</w:t>
      </w:r>
      <w:r w:rsidRPr="0E0A57E3" w:rsidR="50A2DA69">
        <w:rPr>
          <w:rFonts w:ascii="Arial" w:hAnsi="Arial" w:eastAsia="Arial" w:cs="Arial"/>
          <w:b w:val="0"/>
          <w:bCs w:val="0"/>
          <w:noProof w:val="0"/>
          <w:sz w:val="22"/>
          <w:szCs w:val="22"/>
          <w:lang w:val="en-US"/>
        </w:rPr>
        <w:t xml:space="preserve"> suggests that people's health behaviors are influenced by how they perceive their risk of health problems, how serious they think those problems are, the benefits of taking preventive action, any obstacles they face, and reminders that encourage them to act</w:t>
      </w:r>
      <w:r w:rsidRPr="0E0A57E3" w:rsidR="50A2DA69">
        <w:rPr>
          <w:rFonts w:ascii="Arial" w:hAnsi="Arial" w:eastAsia="Arial" w:cs="Arial"/>
          <w:b w:val="0"/>
          <w:bCs w:val="0"/>
          <w:noProof w:val="0"/>
          <w:sz w:val="22"/>
          <w:szCs w:val="22"/>
          <w:lang w:val="en-US"/>
        </w:rPr>
        <w:t xml:space="preserve"> (Rosenstock, 1966).</w:t>
      </w:r>
    </w:p>
    <w:p xmlns:wp14="http://schemas.microsoft.com/office/word/2010/wordml" w:rsidP="0E0A57E3" wp14:paraId="7445030D" wp14:textId="4D4BCEF5">
      <w:pPr>
        <w:pStyle w:val="Normal"/>
        <w:spacing w:before="240" w:beforeAutospacing="off" w:after="240" w:afterAutospacing="off" w:line="360" w:lineRule="auto"/>
        <w:jc w:val="both"/>
      </w:pPr>
      <w:r w:rsidRPr="0E0A57E3" w:rsidR="6C9BCB6B">
        <w:rPr>
          <w:rFonts w:ascii="Arial" w:hAnsi="Arial" w:eastAsia="Arial" w:cs="Arial"/>
          <w:noProof w:val="0"/>
          <w:sz w:val="22"/>
          <w:szCs w:val="22"/>
          <w:lang w:val="en-US"/>
        </w:rPr>
        <w:t>Vaccination campaigns are vital for helping people understand their risk of infectious diseases, encouraging proactive health measures. Nationwide, programs addressing childhood obesity raise awareness about the health risks of poor eating habits and promote healthier choices. Community initiatives, like HAF (Holiday Activities and Food), provide low-income families with free meals and engaging activities during school breaks, ensuring children have access to nutritious food. Together, these efforts reflect a comprehensive approach to public health, aiming to improve health outcomes and reduce inequalities, with guidelines like those from NICE ensuring these initiatives are effective and beneficial for communities.</w:t>
      </w:r>
    </w:p>
    <w:p xmlns:wp14="http://schemas.microsoft.com/office/word/2010/wordml" w:rsidP="0E0A57E3" wp14:paraId="51DED27B" wp14:textId="568C83CB">
      <w:pPr>
        <w:spacing w:before="240" w:beforeAutospacing="off" w:after="240" w:afterAutospacing="off" w:line="360" w:lineRule="auto"/>
        <w:jc w:val="both"/>
        <w:rPr>
          <w:rFonts w:ascii="Arial" w:hAnsi="Arial" w:eastAsia="Arial" w:cs="Arial"/>
          <w:b w:val="0"/>
          <w:bCs w:val="0"/>
          <w:noProof w:val="0"/>
          <w:sz w:val="22"/>
          <w:szCs w:val="22"/>
          <w:lang w:val="en-US"/>
        </w:rPr>
      </w:pPr>
    </w:p>
    <w:p xmlns:wp14="http://schemas.microsoft.com/office/word/2010/wordml" w:rsidP="0E0A57E3" wp14:paraId="731C3370" wp14:textId="30817241">
      <w:pPr>
        <w:spacing w:before="240" w:beforeAutospacing="off" w:after="240" w:afterAutospacing="off" w:line="360" w:lineRule="auto"/>
        <w:jc w:val="both"/>
        <w:rPr>
          <w:rFonts w:ascii="Arial" w:hAnsi="Arial" w:eastAsia="Arial" w:cs="Arial"/>
          <w:b w:val="0"/>
          <w:bCs w:val="0"/>
          <w:noProof w:val="0"/>
          <w:sz w:val="22"/>
          <w:szCs w:val="22"/>
          <w:lang w:val="en-US"/>
        </w:rPr>
      </w:pPr>
    </w:p>
    <w:p xmlns:wp14="http://schemas.microsoft.com/office/word/2010/wordml" w:rsidP="0E0A57E3" wp14:paraId="05943FB5" wp14:textId="6E2975CE">
      <w:pPr>
        <w:spacing w:before="12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0E0A57E3" wp14:paraId="4BF9A7F3" wp14:textId="0D6FF637">
      <w:pPr>
        <w:spacing w:before="120" w:beforeAutospacing="off" w:after="120" w:afterAutospacing="off" w:line="360" w:lineRule="auto"/>
        <w:jc w:val="both"/>
        <w:rPr>
          <w:rFonts w:ascii="Arial" w:hAnsi="Arial" w:eastAsia="Arial" w:cs="Arial"/>
          <w:b w:val="0"/>
          <w:bCs w:val="0"/>
          <w:noProof w:val="0"/>
          <w:sz w:val="24"/>
          <w:szCs w:val="24"/>
          <w:lang w:val="en-US"/>
        </w:rPr>
      </w:pPr>
      <w:r w:rsidRPr="0E0A57E3" w:rsidR="7593A4D8">
        <w:rPr>
          <w:rFonts w:ascii="Arial" w:hAnsi="Arial" w:eastAsia="Arial" w:cs="Arial"/>
          <w:b w:val="0"/>
          <w:bCs w:val="0"/>
          <w:noProof w:val="0"/>
          <w:sz w:val="24"/>
          <w:szCs w:val="24"/>
          <w:lang w:val="en-US"/>
        </w:rPr>
        <w:t>Critical Evaluatio</w:t>
      </w:r>
      <w:r w:rsidRPr="0E0A57E3" w:rsidR="317B6188">
        <w:rPr>
          <w:rFonts w:ascii="Arial" w:hAnsi="Arial" w:eastAsia="Arial" w:cs="Arial"/>
          <w:b w:val="0"/>
          <w:bCs w:val="0"/>
          <w:noProof w:val="0"/>
          <w:sz w:val="24"/>
          <w:szCs w:val="24"/>
          <w:lang w:val="en-US"/>
        </w:rPr>
        <w:t>n</w:t>
      </w:r>
    </w:p>
    <w:p xmlns:wp14="http://schemas.microsoft.com/office/word/2010/wordml" w:rsidP="0E0A57E3" wp14:paraId="5B694BAE" wp14:textId="29D09C08">
      <w:pPr>
        <w:spacing w:before="240" w:beforeAutospacing="off" w:after="240" w:afterAutospacing="off" w:line="360" w:lineRule="auto"/>
        <w:jc w:val="both"/>
      </w:pPr>
      <w:r w:rsidRPr="0E0A57E3" w:rsidR="317B6188">
        <w:rPr>
          <w:rFonts w:ascii="Arial" w:hAnsi="Arial" w:eastAsia="Arial" w:cs="Arial"/>
          <w:noProof w:val="0"/>
          <w:sz w:val="22"/>
          <w:szCs w:val="22"/>
          <w:lang w:val="en-US"/>
        </w:rPr>
        <w:t>Global health initiatives play a vital role in spreading best practices and mobilizing resources, but they often face challenges due to political tensions and financial uncertainties. On a national level, strategies like the NHS Long Term Plan have made noteworthy progress in improving access to services and preventive care. However, these initiatives still struggle with workforce shortages and differences in service availability across regions.</w:t>
      </w:r>
    </w:p>
    <w:p xmlns:wp14="http://schemas.microsoft.com/office/word/2010/wordml" w:rsidP="0E0A57E3" wp14:paraId="032B3965" wp14:textId="763405E4">
      <w:pPr>
        <w:spacing w:before="240" w:beforeAutospacing="off" w:after="240" w:afterAutospacing="off" w:line="360" w:lineRule="auto"/>
        <w:jc w:val="both"/>
      </w:pPr>
      <w:r w:rsidRPr="0E0A57E3" w:rsidR="317B6188">
        <w:rPr>
          <w:rFonts w:ascii="Arial" w:hAnsi="Arial" w:eastAsia="Arial" w:cs="Arial"/>
          <w:noProof w:val="0"/>
          <w:sz w:val="22"/>
          <w:szCs w:val="22"/>
          <w:lang w:val="en-US"/>
        </w:rPr>
        <w:t>At the local level, programs are quite effective in meeting the specific needs of communities and encouraging healthier behaviors. Yet, they frequently run into issues around sustainability and limited resources. Overall, there have been considerable successes in promoting health and well-being across all levels. To build on this progress, it's crucial to focus on continued funding, developing the workforce, and conducting thorough evaluations of these interventions (Evangelia et al., 2025).</w:t>
      </w:r>
    </w:p>
    <w:p xmlns:wp14="http://schemas.microsoft.com/office/word/2010/wordml" w:rsidP="0E0A57E3" wp14:paraId="2B6C771F" wp14:textId="37957438">
      <w:pPr>
        <w:pStyle w:val="Normal"/>
      </w:pPr>
    </w:p>
    <w:p xmlns:wp14="http://schemas.microsoft.com/office/word/2010/wordml" w:rsidP="0E0A57E3" wp14:paraId="1758F6BC" wp14:textId="3EC272AC">
      <w:pPr>
        <w:pStyle w:val="Heading3"/>
        <w:spacing w:before="281" w:beforeAutospacing="off" w:after="281" w:afterAutospacing="off" w:line="360" w:lineRule="auto"/>
        <w:jc w:val="both"/>
        <w:rPr>
          <w:rFonts w:ascii="Arial" w:hAnsi="Arial" w:eastAsia="Arial" w:cs="Arial"/>
          <w:b w:val="0"/>
          <w:bCs w:val="0"/>
          <w:noProof w:val="0"/>
          <w:color w:val="000000" w:themeColor="text1" w:themeTint="FF" w:themeShade="FF"/>
          <w:sz w:val="24"/>
          <w:szCs w:val="24"/>
          <w:lang w:val="en-US"/>
        </w:rPr>
      </w:pPr>
      <w:r w:rsidRPr="0E0A57E3" w:rsidR="3E59AF77">
        <w:rPr>
          <w:rFonts w:ascii="Arial" w:hAnsi="Arial" w:eastAsia="Arial" w:cs="Arial"/>
          <w:b w:val="0"/>
          <w:bCs w:val="0"/>
          <w:noProof w:val="0"/>
          <w:color w:val="000000" w:themeColor="text1" w:themeTint="FF" w:themeShade="FF"/>
          <w:sz w:val="24"/>
          <w:szCs w:val="24"/>
          <w:lang w:val="en-US"/>
        </w:rPr>
        <w:t>Recommendation (National Level)</w:t>
      </w:r>
    </w:p>
    <w:p xmlns:wp14="http://schemas.microsoft.com/office/word/2010/wordml" w:rsidP="0E0A57E3" wp14:paraId="0287AFD3" wp14:textId="5B7F2C65">
      <w:p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3E59AF77">
        <w:rPr>
          <w:rFonts w:ascii="Arial" w:hAnsi="Arial" w:eastAsia="Arial" w:cs="Arial"/>
          <w:b w:val="0"/>
          <w:bCs w:val="0"/>
          <w:noProof w:val="0"/>
          <w:color w:val="000000" w:themeColor="text1" w:themeTint="FF" w:themeShade="FF"/>
          <w:sz w:val="22"/>
          <w:szCs w:val="22"/>
          <w:lang w:val="en-US"/>
        </w:rPr>
        <w:t>At the national level, a priority recommendation is to continue expanding mental health services and preventive care under the NHS Long Term Plan. This includes increasing workforce capacity to meet rising demand, integrating digital tools to enhance access in underserved areas, and applying evidence-based evaluation using NICE guidelines to measure effectiveness. Strengthening these areas will directly contribute to SDG 3 targets, improving overall population health, reducing inequalities, and supporting long-term sustainability of healthcare services (EVANGELIA et al., 2025).</w:t>
      </w:r>
    </w:p>
    <w:p xmlns:wp14="http://schemas.microsoft.com/office/word/2010/wordml" w:rsidP="0E0A57E3" wp14:paraId="2657C2F4" wp14:textId="051897AD">
      <w:pPr/>
    </w:p>
    <w:p xmlns:wp14="http://schemas.microsoft.com/office/word/2010/wordml" w:rsidP="0E0A57E3" wp14:paraId="508323A8" wp14:textId="56F3E0DC">
      <w:pPr/>
    </w:p>
    <w:p xmlns:wp14="http://schemas.microsoft.com/office/word/2010/wordml" w:rsidP="0E0A57E3" wp14:paraId="2E0A7366" wp14:textId="672550D2">
      <w:pPr/>
    </w:p>
    <w:p xmlns:wp14="http://schemas.microsoft.com/office/word/2010/wordml" w:rsidP="0E0A57E3" wp14:paraId="3A237F92" wp14:textId="0E3118A6">
      <w:pPr/>
    </w:p>
    <w:p xmlns:wp14="http://schemas.microsoft.com/office/word/2010/wordml" w:rsidP="0E0A57E3" wp14:paraId="7C58F999" wp14:textId="2D142E6F">
      <w:pPr>
        <w:pStyle w:val="Normal"/>
      </w:pPr>
    </w:p>
    <w:p xmlns:wp14="http://schemas.microsoft.com/office/word/2010/wordml" w:rsidP="0E0A57E3" wp14:paraId="3F70EA27" wp14:textId="7C7D64EC">
      <w:pPr/>
    </w:p>
    <w:p xmlns:wp14="http://schemas.microsoft.com/office/word/2010/wordml" w:rsidP="0E0A57E3" wp14:paraId="0C0A9C7C" wp14:textId="2CB5F249">
      <w:pPr>
        <w:pStyle w:val="Normal"/>
      </w:pPr>
      <w:r w:rsidRPr="0E0A57E3" w:rsidR="7593A4D8">
        <w:rPr>
          <w:rFonts w:ascii="Arial" w:hAnsi="Arial" w:eastAsia="Arial" w:cs="Arial"/>
          <w:b w:val="1"/>
          <w:bCs w:val="1"/>
          <w:noProof w:val="0"/>
          <w:sz w:val="24"/>
          <w:szCs w:val="24"/>
          <w:lang w:val="en-US"/>
        </w:rPr>
        <w:t>Section 2: SDG 2 – Zero Hunger</w:t>
      </w:r>
      <w:r w:rsidRPr="0E0A57E3" w:rsidR="7593A4D8">
        <w:rPr>
          <w:rFonts w:ascii="Aptos" w:hAnsi="Aptos" w:eastAsia="Aptos" w:cs="Aptos"/>
          <w:b w:val="1"/>
          <w:bCs w:val="1"/>
          <w:noProof w:val="0"/>
          <w:sz w:val="24"/>
          <w:szCs w:val="24"/>
          <w:lang w:val="en-US"/>
        </w:rPr>
        <w:t xml:space="preserve"> </w:t>
      </w:r>
    </w:p>
    <w:p xmlns:wp14="http://schemas.microsoft.com/office/word/2010/wordml" w:rsidP="0E0A57E3" wp14:paraId="496E37BA" wp14:textId="0444D33D">
      <w:pPr>
        <w:spacing w:before="120" w:beforeAutospacing="off" w:after="120" w:afterAutospacing="off"/>
        <w:jc w:val="left"/>
        <w:rPr>
          <w:rFonts w:ascii="Arial" w:hAnsi="Arial" w:eastAsia="Arial" w:cs="Arial"/>
          <w:b w:val="1"/>
          <w:bCs w:val="1"/>
          <w:noProof w:val="0"/>
          <w:sz w:val="24"/>
          <w:szCs w:val="24"/>
          <w:lang w:val="en-US"/>
        </w:rPr>
      </w:pPr>
      <w:r w:rsidRPr="0E0A57E3" w:rsidR="7593A4D8">
        <w:rPr>
          <w:rFonts w:ascii="Arial" w:hAnsi="Arial" w:eastAsia="Arial" w:cs="Arial"/>
          <w:b w:val="1"/>
          <w:bCs w:val="1"/>
          <w:noProof w:val="0"/>
          <w:sz w:val="24"/>
          <w:szCs w:val="24"/>
          <w:lang w:val="en-US"/>
        </w:rPr>
        <w:t>Overview</w:t>
      </w:r>
    </w:p>
    <w:p xmlns:wp14="http://schemas.microsoft.com/office/word/2010/wordml" w:rsidP="0E0A57E3" wp14:paraId="5FA7BEE4" wp14:textId="730D9764">
      <w:pPr>
        <w:pStyle w:val="Normal"/>
        <w:spacing w:before="120" w:beforeAutospacing="off" w:after="120" w:afterAutospacing="off" w:line="360" w:lineRule="auto"/>
        <w:jc w:val="both"/>
      </w:pPr>
      <w:r w:rsidRPr="0E0A57E3" w:rsidR="4DE83F61">
        <w:rPr>
          <w:rFonts w:ascii="Arial" w:hAnsi="Arial" w:eastAsia="Arial" w:cs="Arial"/>
          <w:noProof w:val="0"/>
          <w:sz w:val="22"/>
          <w:szCs w:val="22"/>
          <w:lang w:val="en-US"/>
        </w:rPr>
        <w:t>Sustainable Development Goal 2 focuses on ending hunger, ensuring food security, improving nutrition, and promoting sustainable farming practices (United Nations, 2023). Hunger and poor nutrition greatly affect health, education, and economic productivity. The situation has worsened globally due to factors like conflict, climate change, and economic inequality (Olutosin, 2023). In 2022, over 735 million people faced acute hunger worldwide, which is an increase of more than 120 million since 2019 (FAO et al., 2024). In the UK, food poverty is a significant issue that is being tackled through national nutrition support programs and local emergency food services.</w:t>
      </w:r>
    </w:p>
    <w:p xmlns:wp14="http://schemas.microsoft.com/office/word/2010/wordml" w:rsidP="0E0A57E3" wp14:paraId="622870E3" wp14:textId="7E850B04">
      <w:pPr>
        <w:spacing w:before="120" w:beforeAutospacing="off" w:after="120" w:afterAutospacing="off" w:line="360" w:lineRule="auto"/>
        <w:jc w:val="both"/>
        <w:rPr>
          <w:rFonts w:ascii="Arial" w:hAnsi="Arial" w:eastAsia="Arial" w:cs="Arial"/>
          <w:b w:val="1"/>
          <w:bCs w:val="1"/>
          <w:noProof w:val="0"/>
          <w:sz w:val="24"/>
          <w:szCs w:val="24"/>
          <w:lang w:val="en-US"/>
        </w:rPr>
      </w:pPr>
    </w:p>
    <w:p xmlns:wp14="http://schemas.microsoft.com/office/word/2010/wordml" w:rsidP="0E0A57E3" wp14:paraId="07091BDB" wp14:textId="42DBC4D8">
      <w:pPr>
        <w:spacing w:before="120" w:beforeAutospacing="off" w:after="120" w:afterAutospacing="off"/>
        <w:jc w:val="both"/>
        <w:rPr>
          <w:rFonts w:ascii="Arial" w:hAnsi="Arial" w:eastAsia="Arial" w:cs="Arial"/>
          <w:b w:val="1"/>
          <w:bCs w:val="1"/>
          <w:noProof w:val="0"/>
          <w:sz w:val="24"/>
          <w:szCs w:val="24"/>
          <w:lang w:val="en-US"/>
        </w:rPr>
      </w:pPr>
      <w:r w:rsidRPr="0E0A57E3" w:rsidR="7593A4D8">
        <w:rPr>
          <w:rFonts w:ascii="Arial" w:hAnsi="Arial" w:eastAsia="Arial" w:cs="Arial"/>
          <w:b w:val="1"/>
          <w:bCs w:val="1"/>
          <w:noProof w:val="0"/>
          <w:sz w:val="24"/>
          <w:szCs w:val="24"/>
          <w:lang w:val="en-US"/>
        </w:rPr>
        <w:t>Global Policies and Initiatives</w:t>
      </w:r>
    </w:p>
    <w:p xmlns:wp14="http://schemas.microsoft.com/office/word/2010/wordml" w:rsidP="0E0A57E3" wp14:paraId="6CDEE150" wp14:textId="2E226D47">
      <w:pPr>
        <w:pStyle w:val="Normal"/>
        <w:spacing w:before="120" w:beforeAutospacing="off" w:after="120" w:afterAutospacing="off" w:line="360" w:lineRule="auto"/>
        <w:jc w:val="both"/>
        <w:rPr>
          <w:rFonts w:ascii="Arial" w:hAnsi="Arial" w:eastAsia="Arial" w:cs="Arial"/>
          <w:b w:val="1"/>
          <w:bCs w:val="1"/>
          <w:noProof w:val="0"/>
          <w:sz w:val="22"/>
          <w:szCs w:val="22"/>
          <w:lang w:val="en-US"/>
        </w:rPr>
      </w:pPr>
      <w:r w:rsidRPr="0E0A57E3" w:rsidR="48A27841">
        <w:rPr>
          <w:rFonts w:ascii="Arial" w:hAnsi="Arial" w:eastAsia="Arial" w:cs="Arial"/>
          <w:noProof w:val="0"/>
          <w:sz w:val="22"/>
          <w:szCs w:val="22"/>
          <w:lang w:val="en-US"/>
        </w:rPr>
        <w:t xml:space="preserve">The Food and Agriculture Organization (FAO) plays a vital role in combating hunger by promoting sustainable agriculture, </w:t>
      </w:r>
      <w:r w:rsidRPr="0E0A57E3" w:rsidR="48A27841">
        <w:rPr>
          <w:rFonts w:ascii="Arial" w:hAnsi="Arial" w:eastAsia="Arial" w:cs="Arial"/>
          <w:noProof w:val="0"/>
          <w:sz w:val="22"/>
          <w:szCs w:val="22"/>
          <w:lang w:val="en-US"/>
        </w:rPr>
        <w:t>monitoring</w:t>
      </w:r>
      <w:r w:rsidRPr="0E0A57E3" w:rsidR="48A27841">
        <w:rPr>
          <w:rFonts w:ascii="Arial" w:hAnsi="Arial" w:eastAsia="Arial" w:cs="Arial"/>
          <w:noProof w:val="0"/>
          <w:sz w:val="22"/>
          <w:szCs w:val="22"/>
          <w:lang w:val="en-US"/>
        </w:rPr>
        <w:t xml:space="preserve"> food security, and </w:t>
      </w:r>
      <w:r w:rsidRPr="0E0A57E3" w:rsidR="01D6883C">
        <w:rPr>
          <w:rFonts w:ascii="Arial" w:hAnsi="Arial" w:eastAsia="Arial" w:cs="Arial"/>
          <w:noProof w:val="0"/>
          <w:sz w:val="22"/>
          <w:szCs w:val="22"/>
          <w:lang w:val="en-US"/>
        </w:rPr>
        <w:t>helping</w:t>
      </w:r>
      <w:r w:rsidRPr="0E0A57E3" w:rsidR="48A27841">
        <w:rPr>
          <w:rFonts w:ascii="Arial" w:hAnsi="Arial" w:eastAsia="Arial" w:cs="Arial"/>
          <w:noProof w:val="0"/>
          <w:sz w:val="22"/>
          <w:szCs w:val="22"/>
          <w:lang w:val="en-US"/>
        </w:rPr>
        <w:t xml:space="preserve"> crisis-affected countries (Blesh et al., 2019). In the case of the Gaza food crisis, the FAO coordinated food distribution, supported farmer recovery, and </w:t>
      </w:r>
      <w:r w:rsidRPr="0E0A57E3" w:rsidR="48A27841">
        <w:rPr>
          <w:rFonts w:ascii="Arial" w:hAnsi="Arial" w:eastAsia="Arial" w:cs="Arial"/>
          <w:noProof w:val="0"/>
          <w:sz w:val="22"/>
          <w:szCs w:val="22"/>
          <w:lang w:val="en-US"/>
        </w:rPr>
        <w:t>established</w:t>
      </w:r>
      <w:r w:rsidRPr="0E0A57E3" w:rsidR="48A27841">
        <w:rPr>
          <w:rFonts w:ascii="Arial" w:hAnsi="Arial" w:eastAsia="Arial" w:cs="Arial"/>
          <w:noProof w:val="0"/>
          <w:sz w:val="22"/>
          <w:szCs w:val="22"/>
          <w:lang w:val="en-US"/>
        </w:rPr>
        <w:t xml:space="preserve"> nutrition monitoring systems to combat malnutrition (Benson, 2021). </w:t>
      </w:r>
    </w:p>
    <w:p xmlns:wp14="http://schemas.microsoft.com/office/word/2010/wordml" w:rsidP="0E0A57E3" wp14:paraId="28B36B7F" wp14:textId="2A16AAA5">
      <w:pPr>
        <w:spacing w:before="240" w:beforeAutospacing="off" w:after="240" w:afterAutospacing="off" w:line="360" w:lineRule="auto"/>
        <w:jc w:val="both"/>
      </w:pPr>
      <w:r w:rsidRPr="0E0A57E3" w:rsidR="48A27841">
        <w:rPr>
          <w:rFonts w:ascii="Arial" w:hAnsi="Arial" w:eastAsia="Arial" w:cs="Arial"/>
          <w:noProof w:val="0"/>
          <w:sz w:val="22"/>
          <w:szCs w:val="22"/>
          <w:lang w:val="en-US"/>
        </w:rPr>
        <w:t xml:space="preserve"> </w:t>
      </w:r>
      <w:r w:rsidRPr="0E0A57E3" w:rsidR="48A27841">
        <w:rPr>
          <w:rFonts w:ascii="Arial" w:hAnsi="Arial" w:eastAsia="Arial" w:cs="Arial"/>
          <w:noProof w:val="0"/>
          <w:sz w:val="22"/>
          <w:szCs w:val="22"/>
          <w:lang w:val="en-US"/>
        </w:rPr>
        <w:t xml:space="preserve">The World Bank reports that even a small 1% rise in global food prices can drive an </w:t>
      </w:r>
      <w:r w:rsidRPr="0E0A57E3" w:rsidR="48A27841">
        <w:rPr>
          <w:rFonts w:ascii="Arial" w:hAnsi="Arial" w:eastAsia="Arial" w:cs="Arial"/>
          <w:noProof w:val="0"/>
          <w:sz w:val="22"/>
          <w:szCs w:val="22"/>
          <w:lang w:val="en-US"/>
        </w:rPr>
        <w:t>additional</w:t>
      </w:r>
      <w:r w:rsidRPr="0E0A57E3" w:rsidR="48A27841">
        <w:rPr>
          <w:rFonts w:ascii="Arial" w:hAnsi="Arial" w:eastAsia="Arial" w:cs="Arial"/>
          <w:noProof w:val="0"/>
          <w:sz w:val="22"/>
          <w:szCs w:val="22"/>
          <w:lang w:val="en-US"/>
        </w:rPr>
        <w:t xml:space="preserve"> ten million people into extreme poverty, highlighting the connection between food costs and hunger (World Bank, 2024). FAO's efforts in Gaza were effective in preventing famine, but they depended significantly on donor funding, security, and logistical management. To enhance long-term resilience, </w:t>
      </w:r>
      <w:r w:rsidRPr="0E0A57E3" w:rsidR="48A27841">
        <w:rPr>
          <w:rFonts w:ascii="Arial" w:hAnsi="Arial" w:eastAsia="Arial" w:cs="Arial"/>
          <w:noProof w:val="0"/>
          <w:sz w:val="22"/>
          <w:szCs w:val="22"/>
          <w:lang w:val="en-US"/>
        </w:rPr>
        <w:t>it's</w:t>
      </w:r>
      <w:r w:rsidRPr="0E0A57E3" w:rsidR="48A27841">
        <w:rPr>
          <w:rFonts w:ascii="Arial" w:hAnsi="Arial" w:eastAsia="Arial" w:cs="Arial"/>
          <w:noProof w:val="0"/>
          <w:sz w:val="22"/>
          <w:szCs w:val="22"/>
          <w:lang w:val="en-US"/>
        </w:rPr>
        <w:t xml:space="preserve"> essential to focus on climate-smart agriculture and invest in local food production systems (Blesh et al., 2019)</w:t>
      </w:r>
      <w:r w:rsidRPr="0E0A57E3" w:rsidR="48A27841">
        <w:rPr>
          <w:rFonts w:ascii="Arial" w:hAnsi="Arial" w:eastAsia="Arial" w:cs="Arial"/>
          <w:noProof w:val="0"/>
          <w:sz w:val="22"/>
          <w:szCs w:val="22"/>
          <w:lang w:val="en-US"/>
        </w:rPr>
        <w:t xml:space="preserve">.  </w:t>
      </w:r>
    </w:p>
    <w:p xmlns:wp14="http://schemas.microsoft.com/office/word/2010/wordml" w:rsidP="0E0A57E3" wp14:paraId="3A835581" wp14:textId="57AA7564">
      <w:pPr>
        <w:spacing w:before="240" w:beforeAutospacing="off" w:after="240" w:afterAutospacing="off" w:line="360" w:lineRule="auto"/>
        <w:jc w:val="both"/>
        <w:rPr>
          <w:rFonts w:ascii="Arial" w:hAnsi="Arial" w:eastAsia="Arial" w:cs="Arial"/>
          <w:noProof w:val="0"/>
          <w:sz w:val="22"/>
          <w:szCs w:val="22"/>
          <w:lang w:val="en-US"/>
        </w:rPr>
      </w:pPr>
    </w:p>
    <w:p xmlns:wp14="http://schemas.microsoft.com/office/word/2010/wordml" w:rsidP="0E0A57E3" wp14:paraId="7A92D002" wp14:textId="10E0BEEC">
      <w:pPr>
        <w:spacing w:before="120" w:beforeAutospacing="off" w:after="120" w:afterAutospacing="off"/>
        <w:jc w:val="both"/>
        <w:rPr>
          <w:rFonts w:ascii="Arial" w:hAnsi="Arial" w:eastAsia="Arial" w:cs="Arial"/>
          <w:b w:val="1"/>
          <w:bCs w:val="1"/>
          <w:noProof w:val="0"/>
          <w:sz w:val="24"/>
          <w:szCs w:val="24"/>
          <w:lang w:val="en-US"/>
        </w:rPr>
      </w:pPr>
      <w:r w:rsidRPr="0E0A57E3" w:rsidR="7593A4D8">
        <w:rPr>
          <w:rFonts w:ascii="Arial" w:hAnsi="Arial" w:eastAsia="Arial" w:cs="Arial"/>
          <w:b w:val="1"/>
          <w:bCs w:val="1"/>
          <w:noProof w:val="0"/>
          <w:sz w:val="24"/>
          <w:szCs w:val="24"/>
          <w:lang w:val="en-US"/>
        </w:rPr>
        <w:t>National Policies – United Kingdom</w:t>
      </w:r>
    </w:p>
    <w:p xmlns:wp14="http://schemas.microsoft.com/office/word/2010/wordml" w:rsidP="0E0A57E3" wp14:paraId="4CCD48FD" wp14:textId="40D59D8F">
      <w:pPr>
        <w:spacing w:before="120" w:beforeAutospacing="off" w:after="120" w:afterAutospacing="off" w:line="360" w:lineRule="auto"/>
        <w:jc w:val="both"/>
        <w:rPr>
          <w:rFonts w:ascii="Arial" w:hAnsi="Arial" w:eastAsia="Arial" w:cs="Arial"/>
          <w:b w:val="0"/>
          <w:bCs w:val="0"/>
          <w:noProof w:val="0"/>
          <w:sz w:val="22"/>
          <w:szCs w:val="22"/>
          <w:lang w:val="en-US"/>
        </w:rPr>
      </w:pPr>
      <w:r w:rsidRPr="0E0A57E3" w:rsidR="7593A4D8">
        <w:rPr>
          <w:rFonts w:ascii="Arial" w:hAnsi="Arial" w:eastAsia="Arial" w:cs="Arial"/>
          <w:b w:val="0"/>
          <w:bCs w:val="0"/>
          <w:noProof w:val="0"/>
          <w:sz w:val="22"/>
          <w:szCs w:val="22"/>
          <w:lang w:val="en-US"/>
        </w:rPr>
        <w:t xml:space="preserve">The UK’s primary policy instrument for addressing SDG 2 is the Healthy Start Scheme, which provides prepaid vouchers to low-income pregnant women and families with children under four to </w:t>
      </w:r>
      <w:r w:rsidRPr="0E0A57E3" w:rsidR="7593A4D8">
        <w:rPr>
          <w:rFonts w:ascii="Arial" w:hAnsi="Arial" w:eastAsia="Arial" w:cs="Arial"/>
          <w:b w:val="0"/>
          <w:bCs w:val="0"/>
          <w:noProof w:val="0"/>
          <w:sz w:val="22"/>
          <w:szCs w:val="22"/>
          <w:lang w:val="en-US"/>
        </w:rPr>
        <w:t>purchase</w:t>
      </w:r>
      <w:r w:rsidRPr="0E0A57E3" w:rsidR="7593A4D8">
        <w:rPr>
          <w:rFonts w:ascii="Arial" w:hAnsi="Arial" w:eastAsia="Arial" w:cs="Arial"/>
          <w:b w:val="0"/>
          <w:bCs w:val="0"/>
          <w:noProof w:val="0"/>
          <w:sz w:val="22"/>
          <w:szCs w:val="22"/>
          <w:lang w:val="en-US"/>
        </w:rPr>
        <w:t xml:space="preserve"> fruits, vegetables, and milk (Olutosin, 2023). Complementary to Healthy Start, statutory Free School Meals provide a further nutritional safety-net for an estimated 1.9 million children in England (UK Government, 2024). Evaluations </w:t>
      </w:r>
      <w:r w:rsidRPr="0E0A57E3" w:rsidR="7593A4D8">
        <w:rPr>
          <w:rFonts w:ascii="Arial" w:hAnsi="Arial" w:eastAsia="Arial" w:cs="Arial"/>
          <w:b w:val="0"/>
          <w:bCs w:val="0"/>
          <w:noProof w:val="0"/>
          <w:sz w:val="22"/>
          <w:szCs w:val="22"/>
          <w:lang w:val="en-US"/>
        </w:rPr>
        <w:t>indicate</w:t>
      </w:r>
      <w:r w:rsidRPr="0E0A57E3" w:rsidR="45046EEE">
        <w:rPr>
          <w:rFonts w:ascii="Arial" w:hAnsi="Arial" w:eastAsia="Arial" w:cs="Arial"/>
          <w:b w:val="0"/>
          <w:bCs w:val="0"/>
          <w:noProof w:val="0"/>
          <w:sz w:val="22"/>
          <w:szCs w:val="22"/>
          <w:lang w:val="en-US"/>
        </w:rPr>
        <w:t xml:space="preserve"> </w:t>
      </w:r>
      <w:r w:rsidRPr="0E0A57E3" w:rsidR="7593A4D8">
        <w:rPr>
          <w:rFonts w:ascii="Arial" w:hAnsi="Arial" w:eastAsia="Arial" w:cs="Arial"/>
          <w:b w:val="0"/>
          <w:bCs w:val="0"/>
          <w:noProof w:val="0"/>
          <w:sz w:val="22"/>
          <w:szCs w:val="22"/>
          <w:lang w:val="en-US"/>
        </w:rPr>
        <w:t>improved dietary intake and reduced risk of micronutrient deficiency among participants</w:t>
      </w:r>
      <w:r w:rsidRPr="0E0A57E3" w:rsidR="7593A4D8">
        <w:rPr>
          <w:rFonts w:ascii="Arial" w:hAnsi="Arial" w:eastAsia="Arial" w:cs="Arial"/>
          <w:b w:val="0"/>
          <w:bCs w:val="0"/>
          <w:noProof w:val="0"/>
          <w:sz w:val="22"/>
          <w:szCs w:val="22"/>
          <w:lang w:val="en-US"/>
        </w:rPr>
        <w:t xml:space="preserve"> (Food Foundation, 2025). </w:t>
      </w:r>
    </w:p>
    <w:p xmlns:wp14="http://schemas.microsoft.com/office/word/2010/wordml" w:rsidP="0E0A57E3" wp14:paraId="79708EB4" wp14:textId="4BF5C0A8">
      <w:pPr>
        <w:pStyle w:val="Normal"/>
        <w:spacing w:before="120" w:beforeAutospacing="off" w:after="120" w:afterAutospacing="off" w:line="360" w:lineRule="auto"/>
        <w:jc w:val="both"/>
        <w:rPr>
          <w:rFonts w:ascii="Arial" w:hAnsi="Arial" w:eastAsia="Arial" w:cs="Arial"/>
          <w:b w:val="0"/>
          <w:bCs w:val="0"/>
          <w:noProof w:val="0"/>
          <w:sz w:val="22"/>
          <w:szCs w:val="22"/>
          <w:lang w:val="en-US"/>
        </w:rPr>
      </w:pPr>
      <w:r w:rsidRPr="0E0A57E3" w:rsidR="796C45FA">
        <w:rPr>
          <w:rFonts w:ascii="Arial" w:hAnsi="Arial" w:eastAsia="Arial" w:cs="Arial"/>
          <w:b w:val="0"/>
          <w:bCs w:val="0"/>
          <w:noProof w:val="0"/>
          <w:sz w:val="22"/>
          <w:szCs w:val="22"/>
          <w:lang w:val="en-US"/>
        </w:rPr>
        <w:t>Despite these positive outcomes, many eligible families aren't taking advantage of these benefits. This underutilization is largely due to a lack of awareness about the programs, complicated application processes, and difficulties in accessing digital resources (Benson, 2021). To improve participation, experts recommend expanding outreach efforts, simplifying how families can apply, and partnering with local health services to better track nutritional outcomes.</w:t>
      </w:r>
    </w:p>
    <w:p xmlns:wp14="http://schemas.microsoft.com/office/word/2010/wordml" w:rsidP="0E0A57E3" wp14:paraId="3E37E04D" wp14:textId="50B7F556">
      <w:pPr>
        <w:pStyle w:val="Normal"/>
        <w:spacing w:before="120" w:beforeAutospacing="off" w:after="120" w:afterAutospacing="off"/>
        <w:jc w:val="both"/>
        <w:rPr>
          <w:rFonts w:ascii="Arial" w:hAnsi="Arial" w:eastAsia="Arial" w:cs="Arial"/>
          <w:b w:val="1"/>
          <w:bCs w:val="1"/>
          <w:noProof w:val="0"/>
          <w:sz w:val="22"/>
          <w:szCs w:val="22"/>
          <w:lang w:val="en-US"/>
        </w:rPr>
      </w:pPr>
    </w:p>
    <w:p xmlns:wp14="http://schemas.microsoft.com/office/word/2010/wordml" w:rsidP="0E0A57E3" wp14:paraId="4F914FAD" wp14:textId="502ABA91">
      <w:pPr>
        <w:spacing w:before="120" w:beforeAutospacing="off" w:after="120" w:afterAutospacing="off"/>
        <w:jc w:val="both"/>
        <w:rPr>
          <w:rFonts w:ascii="Arial" w:hAnsi="Arial" w:eastAsia="Arial" w:cs="Arial"/>
          <w:b w:val="1"/>
          <w:bCs w:val="1"/>
          <w:noProof w:val="0"/>
          <w:sz w:val="24"/>
          <w:szCs w:val="24"/>
          <w:lang w:val="en-US"/>
        </w:rPr>
      </w:pPr>
      <w:r w:rsidRPr="0E0A57E3" w:rsidR="7593A4D8">
        <w:rPr>
          <w:rFonts w:ascii="Arial" w:hAnsi="Arial" w:eastAsia="Arial" w:cs="Arial"/>
          <w:b w:val="1"/>
          <w:bCs w:val="1"/>
          <w:noProof w:val="0"/>
          <w:sz w:val="24"/>
          <w:szCs w:val="24"/>
          <w:lang w:val="en-US"/>
        </w:rPr>
        <w:t>Local Initiatives</w:t>
      </w:r>
    </w:p>
    <w:p xmlns:wp14="http://schemas.microsoft.com/office/word/2010/wordml" w:rsidP="0E0A57E3" wp14:paraId="6D06673E" wp14:textId="277BE695">
      <w:pPr>
        <w:spacing w:before="120" w:beforeAutospacing="off" w:after="120" w:afterAutospacing="off" w:line="360" w:lineRule="auto"/>
        <w:jc w:val="both"/>
        <w:rPr>
          <w:rFonts w:ascii="Arial" w:hAnsi="Arial" w:eastAsia="Arial" w:cs="Arial"/>
          <w:b w:val="0"/>
          <w:bCs w:val="0"/>
          <w:noProof w:val="0"/>
          <w:sz w:val="22"/>
          <w:szCs w:val="22"/>
          <w:lang w:val="en-US"/>
        </w:rPr>
      </w:pPr>
      <w:r w:rsidRPr="0E0A57E3" w:rsidR="7593A4D8">
        <w:rPr>
          <w:rFonts w:ascii="Arial" w:hAnsi="Arial" w:eastAsia="Arial" w:cs="Arial"/>
          <w:b w:val="0"/>
          <w:bCs w:val="0"/>
          <w:noProof w:val="0"/>
          <w:sz w:val="22"/>
          <w:szCs w:val="22"/>
          <w:lang w:val="en-US"/>
        </w:rPr>
        <w:t xml:space="preserve">Local responses to food insecurity are </w:t>
      </w:r>
      <w:r w:rsidRPr="0E0A57E3" w:rsidR="7593A4D8">
        <w:rPr>
          <w:rFonts w:ascii="Arial" w:hAnsi="Arial" w:eastAsia="Arial" w:cs="Arial"/>
          <w:b w:val="0"/>
          <w:bCs w:val="0"/>
          <w:noProof w:val="0"/>
          <w:sz w:val="22"/>
          <w:szCs w:val="22"/>
          <w:lang w:val="en-US"/>
        </w:rPr>
        <w:t>predominantly delivered</w:t>
      </w:r>
      <w:r w:rsidRPr="0E0A57E3" w:rsidR="7593A4D8">
        <w:rPr>
          <w:rFonts w:ascii="Arial" w:hAnsi="Arial" w:eastAsia="Arial" w:cs="Arial"/>
          <w:b w:val="0"/>
          <w:bCs w:val="0"/>
          <w:noProof w:val="0"/>
          <w:sz w:val="22"/>
          <w:szCs w:val="22"/>
          <w:lang w:val="en-US"/>
        </w:rPr>
        <w:t xml:space="preserve"> through food banks and community food </w:t>
      </w:r>
      <w:r w:rsidRPr="0E0A57E3" w:rsidR="7593A4D8">
        <w:rPr>
          <w:rFonts w:ascii="Arial" w:hAnsi="Arial" w:eastAsia="Arial" w:cs="Arial"/>
          <w:b w:val="0"/>
          <w:bCs w:val="0"/>
          <w:noProof w:val="0"/>
          <w:sz w:val="22"/>
          <w:szCs w:val="22"/>
          <w:lang w:val="en-US"/>
        </w:rPr>
        <w:t>programmes</w:t>
      </w:r>
      <w:r w:rsidRPr="0E0A57E3" w:rsidR="7593A4D8">
        <w:rPr>
          <w:rFonts w:ascii="Arial" w:hAnsi="Arial" w:eastAsia="Arial" w:cs="Arial"/>
          <w:b w:val="0"/>
          <w:bCs w:val="0"/>
          <w:noProof w:val="0"/>
          <w:sz w:val="22"/>
          <w:szCs w:val="22"/>
          <w:lang w:val="en-US"/>
        </w:rPr>
        <w:t xml:space="preserve">, such as those operated by the Trussell Trust. These initiatives provide emergency food parcels, nutrition education, and referral pathways to </w:t>
      </w:r>
      <w:r w:rsidRPr="0E0A57E3" w:rsidR="7593A4D8">
        <w:rPr>
          <w:rFonts w:ascii="Arial" w:hAnsi="Arial" w:eastAsia="Arial" w:cs="Arial"/>
          <w:b w:val="0"/>
          <w:bCs w:val="0"/>
          <w:noProof w:val="0"/>
          <w:sz w:val="22"/>
          <w:szCs w:val="22"/>
          <w:lang w:val="en-US"/>
        </w:rPr>
        <w:t>additional</w:t>
      </w:r>
      <w:r w:rsidRPr="0E0A57E3" w:rsidR="7593A4D8">
        <w:rPr>
          <w:rFonts w:ascii="Arial" w:hAnsi="Arial" w:eastAsia="Arial" w:cs="Arial"/>
          <w:b w:val="0"/>
          <w:bCs w:val="0"/>
          <w:noProof w:val="0"/>
          <w:sz w:val="22"/>
          <w:szCs w:val="22"/>
          <w:lang w:val="en-US"/>
        </w:rPr>
        <w:t xml:space="preserve"> support se</w:t>
      </w:r>
      <w:r w:rsidRPr="0E0A57E3" w:rsidR="7593A4D8">
        <w:rPr>
          <w:rFonts w:ascii="Arial" w:hAnsi="Arial" w:eastAsia="Arial" w:cs="Arial"/>
          <w:b w:val="0"/>
          <w:bCs w:val="0"/>
          <w:noProof w:val="0"/>
          <w:sz w:val="22"/>
          <w:szCs w:val="22"/>
          <w:lang w:val="en-US"/>
        </w:rPr>
        <w:t>r</w:t>
      </w:r>
      <w:r w:rsidRPr="0E0A57E3" w:rsidR="4E89839F">
        <w:rPr>
          <w:rFonts w:ascii="Arial" w:hAnsi="Arial" w:eastAsia="Arial" w:cs="Arial"/>
          <w:b w:val="0"/>
          <w:bCs w:val="0"/>
          <w:noProof w:val="0"/>
          <w:sz w:val="22"/>
          <w:szCs w:val="22"/>
          <w:lang w:val="en-US"/>
        </w:rPr>
        <w:t xml:space="preserve">vices </w:t>
      </w:r>
      <w:r w:rsidRPr="0E0A57E3" w:rsidR="7593A4D8">
        <w:rPr>
          <w:rFonts w:ascii="Arial" w:hAnsi="Arial" w:eastAsia="Arial" w:cs="Arial"/>
          <w:b w:val="0"/>
          <w:bCs w:val="0"/>
          <w:noProof w:val="0"/>
          <w:sz w:val="22"/>
          <w:szCs w:val="22"/>
          <w:lang w:val="en-US"/>
        </w:rPr>
        <w:t xml:space="preserve">(Olutosin, 2023). While effective in addressing immediate need and fostering community engagement, such </w:t>
      </w:r>
      <w:r w:rsidRPr="0E0A57E3" w:rsidR="7593A4D8">
        <w:rPr>
          <w:rFonts w:ascii="Arial" w:hAnsi="Arial" w:eastAsia="Arial" w:cs="Arial"/>
          <w:b w:val="0"/>
          <w:bCs w:val="0"/>
          <w:noProof w:val="0"/>
          <w:sz w:val="22"/>
          <w:szCs w:val="22"/>
          <w:lang w:val="en-US"/>
        </w:rPr>
        <w:t>programmes</w:t>
      </w:r>
      <w:r w:rsidRPr="0E0A57E3" w:rsidR="7593A4D8">
        <w:rPr>
          <w:rFonts w:ascii="Arial" w:hAnsi="Arial" w:eastAsia="Arial" w:cs="Arial"/>
          <w:b w:val="0"/>
          <w:bCs w:val="0"/>
          <w:noProof w:val="0"/>
          <w:sz w:val="22"/>
          <w:szCs w:val="22"/>
          <w:lang w:val="en-US"/>
        </w:rPr>
        <w:t xml:space="preserve"> face sustainability challenges due to reliance on charitable donations, limited capacity, and the absence of long-term strategies to address structural determinants of hunger (Blesh et al., 2019).</w:t>
      </w:r>
    </w:p>
    <w:p xmlns:wp14="http://schemas.microsoft.com/office/word/2010/wordml" w:rsidP="0E0A57E3" wp14:paraId="66894237" wp14:textId="178DACD4">
      <w:pPr>
        <w:spacing w:before="120" w:beforeAutospacing="off" w:after="120" w:afterAutospacing="off"/>
        <w:jc w:val="both"/>
        <w:rPr>
          <w:rFonts w:ascii="Arial" w:hAnsi="Arial" w:eastAsia="Arial" w:cs="Arial"/>
          <w:b w:val="1"/>
          <w:bCs w:val="1"/>
          <w:noProof w:val="0"/>
          <w:sz w:val="24"/>
          <w:szCs w:val="24"/>
          <w:lang w:val="en-US"/>
        </w:rPr>
      </w:pPr>
    </w:p>
    <w:p xmlns:wp14="http://schemas.microsoft.com/office/word/2010/wordml" w:rsidP="0E0A57E3" wp14:paraId="56454E6A" wp14:textId="6D474A55">
      <w:pPr>
        <w:spacing w:before="120" w:beforeAutospacing="off" w:after="120" w:afterAutospacing="off"/>
        <w:jc w:val="both"/>
        <w:rPr>
          <w:rFonts w:ascii="Arial" w:hAnsi="Arial" w:eastAsia="Arial" w:cs="Arial"/>
          <w:b w:val="1"/>
          <w:bCs w:val="1"/>
          <w:noProof w:val="0"/>
          <w:sz w:val="24"/>
          <w:szCs w:val="24"/>
          <w:lang w:val="en-US"/>
        </w:rPr>
      </w:pPr>
      <w:r w:rsidRPr="0E0A57E3" w:rsidR="19995F41">
        <w:rPr>
          <w:rFonts w:ascii="Arial" w:hAnsi="Arial" w:eastAsia="Arial" w:cs="Arial"/>
          <w:b w:val="1"/>
          <w:bCs w:val="1"/>
          <w:noProof w:val="0"/>
          <w:sz w:val="24"/>
          <w:szCs w:val="24"/>
          <w:lang w:val="en-US"/>
        </w:rPr>
        <w:t>Recommendation</w:t>
      </w:r>
    </w:p>
    <w:p xmlns:wp14="http://schemas.microsoft.com/office/word/2010/wordml" w:rsidP="0E0A57E3" wp14:paraId="3A0BEAFB" wp14:textId="6831CF80">
      <w:pPr>
        <w:pStyle w:val="Normal"/>
        <w:spacing w:before="120" w:beforeAutospacing="off" w:after="120" w:afterAutospacing="off" w:line="360" w:lineRule="auto"/>
        <w:jc w:val="both"/>
      </w:pPr>
      <w:r w:rsidRPr="0E0A57E3" w:rsidR="588D864E">
        <w:rPr>
          <w:rFonts w:ascii="Arial" w:hAnsi="Arial" w:eastAsia="Arial" w:cs="Arial"/>
          <w:noProof w:val="0"/>
          <w:sz w:val="24"/>
          <w:szCs w:val="24"/>
          <w:lang w:val="en-US"/>
        </w:rPr>
        <w:t>To enhance local initiatives, we need more reliable funding to reduce reliance on charitable donations and ensure long-term sustainability. Strengthening partnerships among local authorities, health services, and community organizations can create clearer pathways for support and address deeper issues like poverty and housing instability. It's also crucial to offer culturally appropriate foods and involve community members in program design. Additionally, incorporating preventive measures like cooking classes and budgeting workshops can build resilience and lessen long-term dependence on aid.</w:t>
      </w:r>
    </w:p>
    <w:p xmlns:wp14="http://schemas.microsoft.com/office/word/2010/wordml" w:rsidP="0E0A57E3" wp14:paraId="6AD81FFB" wp14:textId="659C6C7E">
      <w:pPr>
        <w:pStyle w:val="Normal"/>
        <w:spacing w:before="120" w:beforeAutospacing="off" w:after="120" w:afterAutospacing="off" w:line="360" w:lineRule="auto"/>
        <w:jc w:val="both"/>
        <w:rPr>
          <w:rFonts w:ascii="Arial" w:hAnsi="Arial" w:eastAsia="Arial" w:cs="Arial"/>
          <w:noProof w:val="0"/>
          <w:sz w:val="24"/>
          <w:szCs w:val="24"/>
          <w:lang w:val="en-US"/>
        </w:rPr>
      </w:pPr>
    </w:p>
    <w:p xmlns:wp14="http://schemas.microsoft.com/office/word/2010/wordml" w:rsidP="0E0A57E3" wp14:paraId="3CB36B7B" wp14:textId="22F406A7">
      <w:pPr>
        <w:pStyle w:val="Normal"/>
        <w:spacing w:before="120" w:beforeAutospacing="off" w:after="120" w:afterAutospacing="off"/>
        <w:jc w:val="both"/>
        <w:rPr>
          <w:rFonts w:ascii="Arial" w:hAnsi="Arial" w:eastAsia="Arial" w:cs="Arial"/>
          <w:noProof w:val="0"/>
          <w:sz w:val="24"/>
          <w:szCs w:val="24"/>
          <w:lang w:val="en-US"/>
        </w:rPr>
      </w:pPr>
    </w:p>
    <w:p xmlns:wp14="http://schemas.microsoft.com/office/word/2010/wordml" w:rsidP="0E0A57E3" wp14:paraId="5E817107" wp14:textId="7A7B2803">
      <w:pPr>
        <w:pStyle w:val="Normal"/>
        <w:spacing w:before="120" w:beforeAutospacing="off" w:after="120" w:afterAutospacing="off"/>
        <w:jc w:val="both"/>
        <w:rPr>
          <w:rFonts w:ascii="Arial" w:hAnsi="Arial" w:eastAsia="Arial" w:cs="Arial"/>
          <w:noProof w:val="0"/>
          <w:sz w:val="24"/>
          <w:szCs w:val="24"/>
          <w:lang w:val="en-US"/>
        </w:rPr>
      </w:pPr>
    </w:p>
    <w:p xmlns:wp14="http://schemas.microsoft.com/office/word/2010/wordml" w:rsidP="0E0A57E3" wp14:paraId="7A5F6792" wp14:textId="47CBC407">
      <w:pPr>
        <w:spacing w:before="120" w:beforeAutospacing="off" w:after="120" w:afterAutospacing="off"/>
        <w:jc w:val="both"/>
        <w:rPr>
          <w:rFonts w:ascii="Arial" w:hAnsi="Arial" w:eastAsia="Arial" w:cs="Arial"/>
          <w:b w:val="1"/>
          <w:bCs w:val="1"/>
          <w:noProof w:val="0"/>
          <w:sz w:val="24"/>
          <w:szCs w:val="24"/>
          <w:lang w:val="en-US"/>
        </w:rPr>
      </w:pPr>
      <w:r w:rsidRPr="0E0A57E3" w:rsidR="7593A4D8">
        <w:rPr>
          <w:rFonts w:ascii="Arial" w:hAnsi="Arial" w:eastAsia="Arial" w:cs="Arial"/>
          <w:b w:val="1"/>
          <w:bCs w:val="1"/>
          <w:noProof w:val="0"/>
          <w:sz w:val="24"/>
          <w:szCs w:val="24"/>
          <w:lang w:val="en-US"/>
        </w:rPr>
        <w:t>Theoretical Application</w:t>
      </w:r>
    </w:p>
    <w:p xmlns:wp14="http://schemas.microsoft.com/office/word/2010/wordml" w:rsidP="0E0A57E3" wp14:paraId="2D3816AD" wp14:textId="0525E4A1">
      <w:pPr>
        <w:spacing w:before="240" w:beforeAutospacing="off" w:after="240" w:afterAutospacing="off" w:line="360" w:lineRule="auto"/>
        <w:jc w:val="both"/>
      </w:pPr>
      <w:r w:rsidRPr="0E0A57E3" w:rsidR="49BA3BD4">
        <w:rPr>
          <w:rFonts w:ascii="Arial" w:hAnsi="Arial" w:eastAsia="Arial" w:cs="Arial"/>
          <w:noProof w:val="0"/>
          <w:sz w:val="22"/>
          <w:szCs w:val="22"/>
          <w:lang w:val="en-US"/>
        </w:rPr>
        <w:t xml:space="preserve">The Health Belief Model provides valuable insights into how food security initiatives work. On a global scale, the Food and Agriculture Organization (FAO) runs campaigns aimed at increasing awareness of the risks associated with food insecurity and promoting the advantages of sustainable farming practices. </w:t>
      </w:r>
    </w:p>
    <w:p xmlns:wp14="http://schemas.microsoft.com/office/word/2010/wordml" w:rsidP="0E0A57E3" wp14:paraId="10F70B5E" wp14:textId="5A2D4AE7">
      <w:pPr>
        <w:spacing w:before="240" w:beforeAutospacing="off" w:after="240" w:afterAutospacing="off" w:line="360" w:lineRule="auto"/>
        <w:jc w:val="both"/>
      </w:pPr>
      <w:r w:rsidRPr="0E0A57E3" w:rsidR="49BA3BD4">
        <w:rPr>
          <w:rFonts w:ascii="Arial" w:hAnsi="Arial" w:eastAsia="Arial" w:cs="Arial"/>
          <w:noProof w:val="0"/>
          <w:sz w:val="22"/>
          <w:szCs w:val="22"/>
          <w:lang w:val="en-US"/>
        </w:rPr>
        <w:t xml:space="preserve">At the national level, programs like the Healthy Start Scheme help remove financial obstacles that prevent people from accessing healthy food, which in turn makes the benefits of changing dietary habits more apparent. </w:t>
      </w:r>
      <w:r w:rsidRPr="0E0A57E3" w:rsidR="49BA3BD4">
        <w:rPr>
          <w:rFonts w:ascii="Arial" w:hAnsi="Arial" w:eastAsia="Arial" w:cs="Arial"/>
          <w:noProof w:val="0"/>
          <w:sz w:val="22"/>
          <w:szCs w:val="22"/>
          <w:lang w:val="en-US"/>
        </w:rPr>
        <w:t>On a local front, food banks serve as important resources. They not only provide food but also encourage people to adopt healthier eating habits by offering support and information.</w:t>
      </w:r>
      <w:r w:rsidRPr="0E0A57E3" w:rsidR="49BA3BD4">
        <w:rPr>
          <w:rFonts w:ascii="Arial" w:hAnsi="Arial" w:eastAsia="Arial" w:cs="Arial"/>
          <w:noProof w:val="0"/>
          <w:sz w:val="22"/>
          <w:szCs w:val="22"/>
          <w:lang w:val="en-US"/>
        </w:rPr>
        <w:t>To ensure these interventions are effective in improving nutrition and reducing malnutrition, evaluations are conducted according to NICE guidelines, allowing us to measure their impact clearly (Mathews et al., 2025).</w:t>
      </w:r>
    </w:p>
    <w:p xmlns:wp14="http://schemas.microsoft.com/office/word/2010/wordml" w:rsidP="0E0A57E3" wp14:paraId="5C66EA66" wp14:textId="110F5B48">
      <w:pPr>
        <w:pStyle w:val="Normal"/>
        <w:spacing w:before="120" w:beforeAutospacing="off" w:after="120" w:afterAutospacing="off" w:line="360" w:lineRule="auto"/>
        <w:jc w:val="both"/>
        <w:rPr>
          <w:rFonts w:ascii="Arial" w:hAnsi="Arial" w:eastAsia="Arial" w:cs="Arial"/>
          <w:noProof w:val="0"/>
          <w:sz w:val="22"/>
          <w:szCs w:val="22"/>
          <w:lang w:val="en-US"/>
        </w:rPr>
      </w:pPr>
    </w:p>
    <w:p xmlns:wp14="http://schemas.microsoft.com/office/word/2010/wordml" w:rsidP="0E0A57E3" wp14:paraId="6B1795F7" wp14:textId="2AF3617D">
      <w:pPr>
        <w:spacing w:before="120" w:beforeAutospacing="off" w:after="120" w:afterAutospacing="off"/>
        <w:jc w:val="both"/>
        <w:rPr>
          <w:rFonts w:ascii="Arial" w:hAnsi="Arial" w:eastAsia="Arial" w:cs="Arial"/>
          <w:b w:val="1"/>
          <w:bCs w:val="1"/>
          <w:noProof w:val="0"/>
          <w:sz w:val="24"/>
          <w:szCs w:val="24"/>
          <w:lang w:val="en-US"/>
        </w:rPr>
      </w:pPr>
      <w:r w:rsidRPr="0E0A57E3" w:rsidR="7593A4D8">
        <w:rPr>
          <w:rFonts w:ascii="Arial" w:hAnsi="Arial" w:eastAsia="Arial" w:cs="Arial"/>
          <w:b w:val="1"/>
          <w:bCs w:val="1"/>
          <w:noProof w:val="0"/>
          <w:sz w:val="24"/>
          <w:szCs w:val="24"/>
          <w:lang w:val="en-US"/>
        </w:rPr>
        <w:t>Critical Evaluation</w:t>
      </w:r>
    </w:p>
    <w:p xmlns:wp14="http://schemas.microsoft.com/office/word/2010/wordml" w:rsidP="0E0A57E3" wp14:paraId="1DA40927" wp14:textId="2528BA10">
      <w:pPr>
        <w:spacing w:before="240" w:beforeAutospacing="off" w:after="240" w:afterAutospacing="off" w:line="360" w:lineRule="auto"/>
        <w:jc w:val="both"/>
        <w:rPr>
          <w:rFonts w:ascii="Arial" w:hAnsi="Arial" w:eastAsia="Arial" w:cs="Arial"/>
          <w:noProof w:val="0"/>
          <w:sz w:val="22"/>
          <w:szCs w:val="22"/>
          <w:lang w:val="en-US"/>
        </w:rPr>
      </w:pPr>
      <w:r w:rsidRPr="0E0A57E3" w:rsidR="613E1C73">
        <w:rPr>
          <w:rFonts w:ascii="Arial" w:hAnsi="Arial" w:eastAsia="Arial" w:cs="Arial"/>
          <w:noProof w:val="0"/>
          <w:sz w:val="22"/>
          <w:szCs w:val="22"/>
          <w:lang w:val="en-US"/>
        </w:rPr>
        <w:t>Efforts to combat hunger and improve nutrition are happening globally, with programs from the FAO and crisis responses in places like Gaza showcasing the importance of collaboration and quick action. These initiatives help prevent famine and promote sustainable farming but often face challenges like political unrest and dependence on external funding (Blesh et al., 2019).Nationally, the Healthy Start Scheme has made progress in improving access to nutritious foods for maternal and child health, yet it still deals with issues like limited awareness and bureaucratic hurdles (OLUTOSIN, 2023).</w:t>
      </w:r>
    </w:p>
    <w:p xmlns:wp14="http://schemas.microsoft.com/office/word/2010/wordml" w:rsidP="0E0A57E3" wp14:paraId="394D4E80" wp14:textId="216AB996">
      <w:pPr>
        <w:spacing w:before="240" w:beforeAutospacing="off" w:after="240" w:afterAutospacing="off" w:line="360" w:lineRule="auto"/>
        <w:jc w:val="both"/>
        <w:rPr>
          <w:rFonts w:ascii="Arial" w:hAnsi="Arial" w:eastAsia="Arial" w:cs="Arial"/>
          <w:noProof w:val="0"/>
          <w:sz w:val="22"/>
          <w:szCs w:val="22"/>
          <w:lang w:val="en-US"/>
        </w:rPr>
      </w:pPr>
      <w:r w:rsidRPr="0E0A57E3" w:rsidR="613E1C73">
        <w:rPr>
          <w:rFonts w:ascii="Arial" w:hAnsi="Arial" w:eastAsia="Arial" w:cs="Arial"/>
          <w:noProof w:val="0"/>
          <w:sz w:val="22"/>
          <w:szCs w:val="22"/>
          <w:lang w:val="en-US"/>
        </w:rPr>
        <w:t xml:space="preserve"> Locally, food banks play a crucial role in addressing immediate food shortages and building community ties, but they struggle with sustainability and resource limitations (Benson, 2021). Overall, while significant strides have been made in fighting hunger and enhancing nutrition, ongoing evaluation, investment, and better integration with social services are essential for lasting impact (OLUTOSIN, 2023).</w:t>
      </w:r>
    </w:p>
    <w:p xmlns:wp14="http://schemas.microsoft.com/office/word/2010/wordml" w:rsidP="0E0A57E3" wp14:paraId="117D21CB" wp14:textId="1F3B5186">
      <w:pPr>
        <w:spacing w:before="120" w:beforeAutospacing="off" w:after="120" w:afterAutospacing="off"/>
        <w:jc w:val="both"/>
        <w:rPr>
          <w:rFonts w:ascii="Arial" w:hAnsi="Arial" w:eastAsia="Arial" w:cs="Arial"/>
          <w:b w:val="1"/>
          <w:bCs w:val="1"/>
          <w:noProof w:val="0"/>
          <w:sz w:val="22"/>
          <w:szCs w:val="22"/>
          <w:lang w:val="en-US"/>
        </w:rPr>
      </w:pPr>
    </w:p>
    <w:p xmlns:wp14="http://schemas.microsoft.com/office/word/2010/wordml" w:rsidP="0E0A57E3" wp14:paraId="70F59743" wp14:textId="716EBB0E">
      <w:pPr>
        <w:spacing w:before="120" w:beforeAutospacing="off" w:after="120" w:afterAutospacing="off"/>
        <w:jc w:val="both"/>
        <w:rPr>
          <w:rFonts w:ascii="Arial" w:hAnsi="Arial" w:eastAsia="Arial" w:cs="Arial"/>
          <w:b w:val="1"/>
          <w:bCs w:val="1"/>
          <w:noProof w:val="0"/>
          <w:sz w:val="24"/>
          <w:szCs w:val="24"/>
          <w:lang w:val="en-US"/>
        </w:rPr>
      </w:pPr>
      <w:r w:rsidRPr="0E0A57E3" w:rsidR="7593A4D8">
        <w:rPr>
          <w:rFonts w:ascii="Arial" w:hAnsi="Arial" w:eastAsia="Arial" w:cs="Arial"/>
          <w:b w:val="1"/>
          <w:bCs w:val="1"/>
          <w:noProof w:val="0"/>
          <w:sz w:val="24"/>
          <w:szCs w:val="24"/>
          <w:lang w:val="en-US"/>
        </w:rPr>
        <w:t xml:space="preserve">Conclusion </w:t>
      </w:r>
    </w:p>
    <w:p xmlns:wp14="http://schemas.microsoft.com/office/word/2010/wordml" w:rsidP="0E0A57E3" wp14:paraId="49FB5084" wp14:textId="3F271A2F">
      <w:pPr>
        <w:spacing w:before="240" w:beforeAutospacing="off" w:after="240" w:afterAutospacing="off" w:line="360" w:lineRule="auto"/>
        <w:jc w:val="both"/>
      </w:pPr>
      <w:r w:rsidRPr="0E0A57E3" w:rsidR="494CEC26">
        <w:rPr>
          <w:rFonts w:ascii="Arial" w:hAnsi="Arial" w:eastAsia="Arial" w:cs="Arial"/>
          <w:noProof w:val="0"/>
          <w:sz w:val="22"/>
          <w:szCs w:val="22"/>
          <w:lang w:val="en-US"/>
        </w:rPr>
        <w:t>This report examines Sustainable Development Goal 3 (Good Health and Well-being) and Goal 2 (Zero Hunger). While global initiatives like WHO vaccination programs and FAO emergency responses have made strides in reducing disease and food insecurity, they face challenges from political instability and funding issues. An editorial in The Lancet Global Health (2024) indicates that none of the health targets for SDG 3 are on track for 2030.</w:t>
      </w:r>
    </w:p>
    <w:p xmlns:wp14="http://schemas.microsoft.com/office/word/2010/wordml" w:rsidP="0E0A57E3" wp14:paraId="58CCB1AA" wp14:textId="12694F88">
      <w:pPr>
        <w:spacing w:before="240" w:beforeAutospacing="off" w:after="240" w:afterAutospacing="off" w:line="360" w:lineRule="auto"/>
        <w:jc w:val="both"/>
      </w:pPr>
      <w:r w:rsidRPr="0E0A57E3" w:rsidR="494CEC26">
        <w:rPr>
          <w:rFonts w:ascii="Arial" w:hAnsi="Arial" w:eastAsia="Arial" w:cs="Arial"/>
          <w:noProof w:val="0"/>
          <w:sz w:val="22"/>
          <w:szCs w:val="22"/>
          <w:lang w:val="en-US"/>
        </w:rPr>
        <w:t>Nationally, programs such as the NHS Long Term Plan and Healthy Start Scheme have improved access to healthcare and nutritious food, reducing health inequalities. Locally, community initiatives like food banks have addressed urgent needs but struggle with sustainability.</w:t>
      </w:r>
    </w:p>
    <w:p xmlns:wp14="http://schemas.microsoft.com/office/word/2010/wordml" w:rsidP="0E0A57E3" wp14:paraId="499203FB" wp14:textId="261BCB5A">
      <w:pPr>
        <w:spacing w:before="240" w:beforeAutospacing="off" w:after="240" w:afterAutospacing="off" w:line="360" w:lineRule="auto"/>
        <w:jc w:val="both"/>
      </w:pPr>
      <w:r w:rsidRPr="0E0A57E3" w:rsidR="494CEC26">
        <w:rPr>
          <w:rFonts w:ascii="Arial" w:hAnsi="Arial" w:eastAsia="Arial" w:cs="Arial"/>
          <w:noProof w:val="0"/>
          <w:sz w:val="22"/>
          <w:szCs w:val="22"/>
          <w:lang w:val="en-US"/>
        </w:rPr>
        <w:t>The connection between SDG 2 and SDG 3 is vital; good nutrition supports health, and healthcare access enhances nutritional outcomes. Effective initiatives must address perceived barriers and promote actionable benefits.</w:t>
      </w:r>
    </w:p>
    <w:p xmlns:wp14="http://schemas.microsoft.com/office/word/2010/wordml" w:rsidP="0E0A57E3" wp14:paraId="63CDBA9E" wp14:textId="26AC45F0">
      <w:pPr>
        <w:spacing w:before="240" w:beforeAutospacing="off" w:after="240" w:afterAutospacing="off" w:line="360" w:lineRule="auto"/>
        <w:jc w:val="both"/>
      </w:pPr>
      <w:r w:rsidRPr="0E0A57E3" w:rsidR="494CEC26">
        <w:rPr>
          <w:rFonts w:ascii="Arial" w:hAnsi="Arial" w:eastAsia="Arial" w:cs="Arial"/>
          <w:noProof w:val="0"/>
          <w:sz w:val="22"/>
          <w:szCs w:val="22"/>
          <w:lang w:val="en-US"/>
        </w:rPr>
        <w:t xml:space="preserve">To meet these goals, we need integrated approaches, ongoing investment, and </w:t>
      </w:r>
      <w:r w:rsidRPr="0E0A57E3" w:rsidR="494CEC26">
        <w:rPr>
          <w:rFonts w:ascii="Arial" w:hAnsi="Arial" w:eastAsia="Arial" w:cs="Arial"/>
          <w:noProof w:val="0"/>
          <w:sz w:val="22"/>
          <w:szCs w:val="22"/>
          <w:lang w:val="en-US"/>
        </w:rPr>
        <w:t>monitoring</w:t>
      </w:r>
      <w:r w:rsidRPr="0E0A57E3" w:rsidR="494CEC26">
        <w:rPr>
          <w:rFonts w:ascii="Arial" w:hAnsi="Arial" w:eastAsia="Arial" w:cs="Arial"/>
          <w:noProof w:val="0"/>
          <w:sz w:val="22"/>
          <w:szCs w:val="22"/>
          <w:lang w:val="en-US"/>
        </w:rPr>
        <w:t xml:space="preserve"> to combat structural inequalities. The World Bank notes that a one-percent rise in global food prices can push ten million people into extreme poverty, highlighting the relationship between food costs and hunger. Strengthening collaboration across all levels is essential for fostering healthier, well-nourished populations.</w:t>
      </w:r>
    </w:p>
    <w:p xmlns:wp14="http://schemas.microsoft.com/office/word/2010/wordml" w:rsidP="0E0A57E3" wp14:paraId="3033B1A4" wp14:textId="0BDEA83C">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0CEEF786" wp14:textId="5111C0A0">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00F2AD2D" wp14:textId="6CC00A2F">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01E51202" wp14:textId="6A86A535">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6968774B" wp14:textId="41BEA057">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4D9D5758" wp14:textId="1FEE91B9">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501EBCC2" wp14:textId="6B5CADD8">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563B7252" wp14:textId="455AD272">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1C6F66FA" wp14:textId="1337317B">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34CA5E83" wp14:textId="6CF9E091">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5B318669" wp14:textId="1AE7CA93">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0859AAF1" wp14:textId="2A557C95">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1860E82F" wp14:textId="31FBEADA">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5B3A75FD" wp14:textId="0BD2C4C1">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658CF740" wp14:textId="4D3115D7">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p>
    <w:p xmlns:wp14="http://schemas.microsoft.com/office/word/2010/wordml" w:rsidP="0E0A57E3" wp14:paraId="7E666D45" wp14:textId="1C0536B4">
      <w:pPr>
        <w:pStyle w:val="Normal"/>
        <w:spacing w:before="0" w:beforeAutospacing="off" w:after="200" w:afterAutospacing="off" w:line="360" w:lineRule="auto"/>
        <w:jc w:val="both"/>
        <w:rPr>
          <w:rFonts w:ascii="Arial" w:hAnsi="Arial" w:eastAsia="Arial" w:cs="Arial"/>
          <w:noProof w:val="0"/>
          <w:color w:val="000000" w:themeColor="text1" w:themeTint="FF" w:themeShade="FF"/>
          <w:sz w:val="24"/>
          <w:szCs w:val="24"/>
          <w:lang w:val="en-US"/>
        </w:rPr>
      </w:pPr>
      <w:r w:rsidRPr="0E0A57E3" w:rsidR="29BA040C">
        <w:rPr>
          <w:rFonts w:ascii="Arial" w:hAnsi="Arial" w:eastAsia="Arial" w:cs="Arial"/>
          <w:noProof w:val="0"/>
          <w:color w:val="000000" w:themeColor="text1" w:themeTint="FF" w:themeShade="FF"/>
          <w:sz w:val="24"/>
          <w:szCs w:val="24"/>
          <w:lang w:val="en-US"/>
        </w:rPr>
        <w:t>Reference List</w:t>
      </w:r>
      <w:r w:rsidRPr="0E0A57E3" w:rsidR="29BA040C">
        <w:rPr>
          <w:rFonts w:ascii="Arial" w:hAnsi="Arial" w:eastAsia="Arial" w:cs="Arial"/>
          <w:noProof w:val="0"/>
          <w:color w:val="000000" w:themeColor="text1" w:themeTint="FF" w:themeShade="FF"/>
          <w:sz w:val="24"/>
          <w:szCs w:val="24"/>
          <w:lang w:val="en-US"/>
        </w:rPr>
        <w:t xml:space="preserve"> </w:t>
      </w:r>
    </w:p>
    <w:p w:rsidR="215CA1C9" w:rsidP="0E0A57E3" w:rsidRDefault="215CA1C9" w14:paraId="0B27D109" w14:textId="320BA483">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BENSON, T.</w:t>
      </w:r>
      <w:r w:rsidRPr="0E0A57E3" w:rsidR="215CA1C9">
        <w:rPr>
          <w:rFonts w:ascii="Arial" w:hAnsi="Arial" w:eastAsia="Arial" w:cs="Arial"/>
          <w:b w:val="0"/>
          <w:bCs w:val="0"/>
          <w:noProof w:val="0"/>
          <w:color w:val="000000" w:themeColor="text1" w:themeTint="FF" w:themeShade="FF"/>
          <w:sz w:val="22"/>
          <w:szCs w:val="22"/>
          <w:lang w:val="en-US"/>
        </w:rPr>
        <w:t xml:space="preserve">, PHD., 2021. Making the achievement of zero hunger and malnutrition a policy priority: A critical assessment of recent national Zero Hunger Strategic Reviews from Asia and the Pacific. </w:t>
      </w:r>
      <w:r w:rsidRPr="0E0A57E3" w:rsidR="215CA1C9">
        <w:rPr>
          <w:rFonts w:ascii="Arial" w:hAnsi="Arial" w:eastAsia="Arial" w:cs="Arial"/>
          <w:b w:val="0"/>
          <w:bCs w:val="0"/>
          <w:i w:val="1"/>
          <w:iCs w:val="1"/>
          <w:noProof w:val="0"/>
          <w:color w:val="000000" w:themeColor="text1" w:themeTint="FF" w:themeShade="FF"/>
          <w:sz w:val="22"/>
          <w:szCs w:val="22"/>
          <w:lang w:val="en-US"/>
        </w:rPr>
        <w:t>Asia Pacific Journal of Clinical Nutrition</w:t>
      </w:r>
      <w:r w:rsidRPr="0E0A57E3" w:rsidR="215CA1C9">
        <w:rPr>
          <w:rFonts w:ascii="Arial" w:hAnsi="Arial" w:eastAsia="Arial" w:cs="Arial"/>
          <w:b w:val="0"/>
          <w:bCs w:val="0"/>
          <w:noProof w:val="0"/>
          <w:color w:val="000000" w:themeColor="text1" w:themeTint="FF" w:themeShade="FF"/>
          <w:sz w:val="22"/>
          <w:szCs w:val="22"/>
          <w:lang w:val="en-US"/>
        </w:rPr>
        <w:t>, 30(2), pp. 316-328.</w:t>
      </w:r>
    </w:p>
    <w:p w:rsidR="215CA1C9" w:rsidP="0E0A57E3" w:rsidRDefault="215CA1C9" w14:paraId="6A3CDFDF" w14:textId="4E07D1C0">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BLESH, J.</w:t>
      </w:r>
      <w:r w:rsidRPr="0E0A57E3" w:rsidR="215CA1C9">
        <w:rPr>
          <w:rFonts w:ascii="Arial" w:hAnsi="Arial" w:eastAsia="Arial" w:cs="Arial"/>
          <w:b w:val="0"/>
          <w:bCs w:val="0"/>
          <w:noProof w:val="0"/>
          <w:color w:val="000000" w:themeColor="text1" w:themeTint="FF" w:themeShade="FF"/>
          <w:sz w:val="22"/>
          <w:szCs w:val="22"/>
          <w:lang w:val="en-US"/>
        </w:rPr>
        <w:t xml:space="preserve">, HOEY, L., JONES, A.D., FRIEDMANN, H. and PERFECTO, I., 2019. Development pathways toward “zero hunger”. </w:t>
      </w:r>
      <w:r w:rsidRPr="0E0A57E3" w:rsidR="215CA1C9">
        <w:rPr>
          <w:rFonts w:ascii="Arial" w:hAnsi="Arial" w:eastAsia="Arial" w:cs="Arial"/>
          <w:b w:val="0"/>
          <w:bCs w:val="0"/>
          <w:i w:val="1"/>
          <w:iCs w:val="1"/>
          <w:noProof w:val="0"/>
          <w:color w:val="000000" w:themeColor="text1" w:themeTint="FF" w:themeShade="FF"/>
          <w:sz w:val="22"/>
          <w:szCs w:val="22"/>
          <w:lang w:val="en-US"/>
        </w:rPr>
        <w:t>World Development</w:t>
      </w:r>
      <w:r w:rsidRPr="0E0A57E3" w:rsidR="215CA1C9">
        <w:rPr>
          <w:rFonts w:ascii="Arial" w:hAnsi="Arial" w:eastAsia="Arial" w:cs="Arial"/>
          <w:b w:val="0"/>
          <w:bCs w:val="0"/>
          <w:noProof w:val="0"/>
          <w:color w:val="000000" w:themeColor="text1" w:themeTint="FF" w:themeShade="FF"/>
          <w:sz w:val="22"/>
          <w:szCs w:val="22"/>
          <w:lang w:val="en-US"/>
        </w:rPr>
        <w:t>, 118, pp. 1.</w:t>
      </w:r>
    </w:p>
    <w:p w:rsidR="215CA1C9" w:rsidP="0E0A57E3" w:rsidRDefault="215CA1C9" w14:paraId="5429A10A" w14:textId="0E7C842E">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EVANGELIA, L.</w:t>
      </w:r>
      <w:r w:rsidRPr="0E0A57E3" w:rsidR="215CA1C9">
        <w:rPr>
          <w:rFonts w:ascii="Arial" w:hAnsi="Arial" w:eastAsia="Arial" w:cs="Arial"/>
          <w:b w:val="0"/>
          <w:bCs w:val="0"/>
          <w:noProof w:val="0"/>
          <w:color w:val="000000" w:themeColor="text1" w:themeTint="FF" w:themeShade="FF"/>
          <w:sz w:val="22"/>
          <w:szCs w:val="22"/>
          <w:lang w:val="en-US"/>
        </w:rPr>
        <w:t xml:space="preserve">, NIKOLAOS, P., DIMITRIOS, F., AIKATERINI, I., KONSTANTINOS, M. and VAYOS, K., 2025. Social Factors and Policies Promoting Good Health and Well-Being as a Sustainable Development Goal: Current Achievements and Future Pathways. </w:t>
      </w:r>
      <w:r w:rsidRPr="0E0A57E3" w:rsidR="215CA1C9">
        <w:rPr>
          <w:rFonts w:ascii="Arial" w:hAnsi="Arial" w:eastAsia="Arial" w:cs="Arial"/>
          <w:b w:val="0"/>
          <w:bCs w:val="0"/>
          <w:i w:val="1"/>
          <w:iCs w:val="1"/>
          <w:noProof w:val="0"/>
          <w:color w:val="000000" w:themeColor="text1" w:themeTint="FF" w:themeShade="FF"/>
          <w:sz w:val="22"/>
          <w:szCs w:val="22"/>
          <w:lang w:val="en-US"/>
        </w:rPr>
        <w:t>Sustainability</w:t>
      </w:r>
      <w:r w:rsidRPr="0E0A57E3" w:rsidR="215CA1C9">
        <w:rPr>
          <w:rFonts w:ascii="Arial" w:hAnsi="Arial" w:eastAsia="Arial" w:cs="Arial"/>
          <w:b w:val="0"/>
          <w:bCs w:val="0"/>
          <w:noProof w:val="0"/>
          <w:color w:val="000000" w:themeColor="text1" w:themeTint="FF" w:themeShade="FF"/>
          <w:sz w:val="22"/>
          <w:szCs w:val="22"/>
          <w:lang w:val="en-US"/>
        </w:rPr>
        <w:t>, 17(11), pp. 5063.</w:t>
      </w:r>
    </w:p>
    <w:p w:rsidR="215CA1C9" w:rsidP="0E0A57E3" w:rsidRDefault="215CA1C9" w14:paraId="677D7AA3" w14:textId="1F6F2F56">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 xml:space="preserve">FAO, WHO, UNICEF </w:t>
      </w:r>
      <w:r w:rsidRPr="0E0A57E3" w:rsidR="215CA1C9">
        <w:rPr>
          <w:rFonts w:ascii="Arial" w:hAnsi="Arial" w:eastAsia="Arial" w:cs="Arial"/>
          <w:b w:val="0"/>
          <w:bCs w:val="0"/>
          <w:i w:val="1"/>
          <w:iCs w:val="1"/>
          <w:noProof w:val="0"/>
          <w:color w:val="000000" w:themeColor="text1" w:themeTint="FF" w:themeShade="FF"/>
          <w:sz w:val="22"/>
          <w:szCs w:val="22"/>
          <w:lang w:val="en-US"/>
        </w:rPr>
        <w:t>et al</w:t>
      </w:r>
      <w:r w:rsidRPr="0E0A57E3" w:rsidR="215CA1C9">
        <w:rPr>
          <w:rFonts w:ascii="Arial" w:hAnsi="Arial" w:eastAsia="Arial" w:cs="Arial"/>
          <w:b w:val="0"/>
          <w:bCs w:val="0"/>
          <w:noProof w:val="0"/>
          <w:color w:val="000000" w:themeColor="text1" w:themeTint="FF" w:themeShade="FF"/>
          <w:sz w:val="22"/>
          <w:szCs w:val="22"/>
          <w:lang w:val="en-US"/>
        </w:rPr>
        <w:t>.</w:t>
      </w:r>
      <w:r w:rsidRPr="0E0A57E3" w:rsidR="215CA1C9">
        <w:rPr>
          <w:rFonts w:ascii="Arial" w:hAnsi="Arial" w:eastAsia="Arial" w:cs="Arial"/>
          <w:b w:val="0"/>
          <w:bCs w:val="0"/>
          <w:noProof w:val="0"/>
          <w:color w:val="000000" w:themeColor="text1" w:themeTint="FF" w:themeShade="FF"/>
          <w:sz w:val="22"/>
          <w:szCs w:val="22"/>
          <w:lang w:val="en-US"/>
        </w:rPr>
        <w:t xml:space="preserve"> (2024) </w:t>
      </w:r>
      <w:r w:rsidRPr="0E0A57E3" w:rsidR="215CA1C9">
        <w:rPr>
          <w:rFonts w:ascii="Arial" w:hAnsi="Arial" w:eastAsia="Arial" w:cs="Arial"/>
          <w:b w:val="0"/>
          <w:bCs w:val="0"/>
          <w:i w:val="1"/>
          <w:iCs w:val="1"/>
          <w:noProof w:val="0"/>
          <w:color w:val="000000" w:themeColor="text1" w:themeTint="FF" w:themeShade="FF"/>
          <w:sz w:val="22"/>
          <w:szCs w:val="22"/>
          <w:lang w:val="en-US"/>
        </w:rPr>
        <w:t>The state of food security and nutrition in the world</w:t>
      </w:r>
      <w:r w:rsidRPr="0E0A57E3" w:rsidR="215CA1C9">
        <w:rPr>
          <w:rFonts w:ascii="Arial" w:hAnsi="Arial" w:eastAsia="Arial" w:cs="Arial"/>
          <w:b w:val="0"/>
          <w:bCs w:val="0"/>
          <w:noProof w:val="0"/>
          <w:color w:val="000000" w:themeColor="text1" w:themeTint="FF" w:themeShade="FF"/>
          <w:sz w:val="22"/>
          <w:szCs w:val="22"/>
          <w:lang w:val="en-US"/>
        </w:rPr>
        <w:t>. Rome: Food and Agriculture Organization of the United Nations.</w:t>
      </w:r>
    </w:p>
    <w:p w:rsidR="78D17087" w:rsidP="0E0A57E3" w:rsidRDefault="78D17087" w14:paraId="5795C57A" w14:textId="17BDD7D8">
      <w:pPr>
        <w:pStyle w:val="ListParagraph"/>
        <w:numPr>
          <w:ilvl w:val="0"/>
          <w:numId w:val="1"/>
        </w:numPr>
        <w:spacing w:before="240" w:beforeAutospacing="off" w:after="240" w:afterAutospacing="off" w:line="360" w:lineRule="auto"/>
        <w:jc w:val="both"/>
        <w:rPr>
          <w:rFonts w:ascii="Arial" w:hAnsi="Arial" w:eastAsia="Arial" w:cs="Arial"/>
          <w:noProof w:val="0"/>
          <w:sz w:val="22"/>
          <w:szCs w:val="22"/>
          <w:lang w:val="en-US"/>
        </w:rPr>
      </w:pPr>
      <w:r w:rsidRPr="0E0A57E3" w:rsidR="78D17087">
        <w:rPr>
          <w:rFonts w:ascii="Arial" w:hAnsi="Arial" w:eastAsia="Arial" w:cs="Arial"/>
          <w:b w:val="0"/>
          <w:bCs w:val="0"/>
          <w:i w:val="0"/>
          <w:iCs w:val="0"/>
          <w:caps w:val="0"/>
          <w:smallCaps w:val="0"/>
          <w:noProof w:val="0"/>
          <w:sz w:val="22"/>
          <w:szCs w:val="22"/>
          <w:lang w:val="en-US"/>
        </w:rPr>
        <w:t xml:space="preserve">Food Foundation (2025) </w:t>
      </w:r>
      <w:r w:rsidRPr="0E0A57E3" w:rsidR="78D17087">
        <w:rPr>
          <w:rFonts w:ascii="Arial" w:hAnsi="Arial" w:eastAsia="Arial" w:cs="Arial"/>
          <w:b w:val="0"/>
          <w:bCs w:val="0"/>
          <w:i w:val="1"/>
          <w:iCs w:val="1"/>
          <w:caps w:val="0"/>
          <w:smallCaps w:val="0"/>
          <w:noProof w:val="0"/>
          <w:sz w:val="22"/>
          <w:szCs w:val="22"/>
          <w:lang w:val="en-US"/>
        </w:rPr>
        <w:t>Healthy Start: 2025 update on uptake and impact</w:t>
      </w:r>
      <w:r w:rsidRPr="0E0A57E3" w:rsidR="78D17087">
        <w:rPr>
          <w:rFonts w:ascii="Arial" w:hAnsi="Arial" w:eastAsia="Arial" w:cs="Arial"/>
          <w:b w:val="0"/>
          <w:bCs w:val="0"/>
          <w:i w:val="0"/>
          <w:iCs w:val="0"/>
          <w:caps w:val="0"/>
          <w:smallCaps w:val="0"/>
          <w:noProof w:val="0"/>
          <w:sz w:val="22"/>
          <w:szCs w:val="22"/>
          <w:lang w:val="en-US"/>
        </w:rPr>
        <w:t>. London: Food Foundation.</w:t>
      </w:r>
    </w:p>
    <w:p w:rsidR="215CA1C9" w:rsidP="0E0A57E3" w:rsidRDefault="215CA1C9" w14:paraId="24669B2B" w14:textId="7D87F31F">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Mathews, E.</w:t>
      </w:r>
      <w:r w:rsidRPr="0E0A57E3" w:rsidR="215CA1C9">
        <w:rPr>
          <w:rFonts w:ascii="Arial" w:hAnsi="Arial" w:eastAsia="Arial" w:cs="Arial"/>
          <w:b w:val="0"/>
          <w:bCs w:val="0"/>
          <w:noProof w:val="0"/>
          <w:color w:val="000000" w:themeColor="text1" w:themeTint="FF" w:themeShade="FF"/>
          <w:sz w:val="22"/>
          <w:szCs w:val="22"/>
          <w:lang w:val="en-US"/>
        </w:rPr>
        <w:t xml:space="preserve"> </w:t>
      </w:r>
      <w:r w:rsidRPr="0E0A57E3" w:rsidR="215CA1C9">
        <w:rPr>
          <w:rFonts w:ascii="Arial" w:hAnsi="Arial" w:eastAsia="Arial" w:cs="Arial"/>
          <w:b w:val="0"/>
          <w:bCs w:val="0"/>
          <w:i w:val="1"/>
          <w:iCs w:val="1"/>
          <w:noProof w:val="0"/>
          <w:color w:val="000000" w:themeColor="text1" w:themeTint="FF" w:themeShade="FF"/>
          <w:sz w:val="22"/>
          <w:szCs w:val="22"/>
          <w:lang w:val="en-US"/>
        </w:rPr>
        <w:t>et al</w:t>
      </w:r>
      <w:r w:rsidRPr="0E0A57E3" w:rsidR="215CA1C9">
        <w:rPr>
          <w:rFonts w:ascii="Arial" w:hAnsi="Arial" w:eastAsia="Arial" w:cs="Arial"/>
          <w:b w:val="0"/>
          <w:bCs w:val="0"/>
          <w:noProof w:val="0"/>
          <w:color w:val="000000" w:themeColor="text1" w:themeTint="FF" w:themeShade="FF"/>
          <w:sz w:val="22"/>
          <w:szCs w:val="22"/>
          <w:lang w:val="en-US"/>
        </w:rPr>
        <w:t xml:space="preserve">. (2025) ‘Editorial: Nutrition and sustainable development goal 3: good health and wellbeing’, </w:t>
      </w:r>
      <w:r w:rsidRPr="0E0A57E3" w:rsidR="215CA1C9">
        <w:rPr>
          <w:rFonts w:ascii="Arial" w:hAnsi="Arial" w:eastAsia="Arial" w:cs="Arial"/>
          <w:b w:val="0"/>
          <w:bCs w:val="0"/>
          <w:i w:val="1"/>
          <w:iCs w:val="1"/>
          <w:noProof w:val="0"/>
          <w:color w:val="000000" w:themeColor="text1" w:themeTint="FF" w:themeShade="FF"/>
          <w:sz w:val="22"/>
          <w:szCs w:val="22"/>
          <w:lang w:val="en-US"/>
        </w:rPr>
        <w:t>Frontiers in nutrition (Lausanne)</w:t>
      </w:r>
      <w:r w:rsidRPr="0E0A57E3" w:rsidR="215CA1C9">
        <w:rPr>
          <w:rFonts w:ascii="Arial" w:hAnsi="Arial" w:eastAsia="Arial" w:cs="Arial"/>
          <w:b w:val="0"/>
          <w:bCs w:val="0"/>
          <w:noProof w:val="0"/>
          <w:color w:val="000000" w:themeColor="text1" w:themeTint="FF" w:themeShade="FF"/>
          <w:sz w:val="22"/>
          <w:szCs w:val="22"/>
          <w:lang w:val="en-US"/>
        </w:rPr>
        <w:t xml:space="preserve">, 11, p. 1542307. Available at: </w:t>
      </w:r>
      <w:hyperlink r:id="R5ec87a891aef4bed">
        <w:r w:rsidRPr="0E0A57E3" w:rsidR="215CA1C9">
          <w:rPr>
            <w:rStyle w:val="Hyperlink"/>
            <w:rFonts w:ascii="Arial" w:hAnsi="Arial" w:eastAsia="Arial" w:cs="Arial"/>
            <w:b w:val="0"/>
            <w:bCs w:val="0"/>
            <w:noProof w:val="0"/>
            <w:color w:val="000000" w:themeColor="text1" w:themeTint="FF" w:themeShade="FF"/>
            <w:sz w:val="22"/>
            <w:szCs w:val="22"/>
            <w:lang w:val="en-US"/>
          </w:rPr>
          <w:t>https://doi.org/10.3389/fnut.2024.1542307</w:t>
        </w:r>
      </w:hyperlink>
      <w:r w:rsidRPr="0E0A57E3" w:rsidR="215CA1C9">
        <w:rPr>
          <w:rFonts w:ascii="Arial" w:hAnsi="Arial" w:eastAsia="Arial" w:cs="Arial"/>
          <w:b w:val="0"/>
          <w:bCs w:val="0"/>
          <w:noProof w:val="0"/>
          <w:color w:val="000000" w:themeColor="text1" w:themeTint="FF" w:themeShade="FF"/>
          <w:sz w:val="22"/>
          <w:szCs w:val="22"/>
          <w:lang w:val="en-US"/>
        </w:rPr>
        <w:t>.</w:t>
      </w:r>
    </w:p>
    <w:p w:rsidR="215CA1C9" w:rsidP="0E0A57E3" w:rsidRDefault="215CA1C9" w14:paraId="7627D7A8" w14:textId="5421BF5D">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Micah, A.E.</w:t>
      </w:r>
      <w:r w:rsidRPr="0E0A57E3" w:rsidR="215CA1C9">
        <w:rPr>
          <w:rFonts w:ascii="Arial" w:hAnsi="Arial" w:eastAsia="Arial" w:cs="Arial"/>
          <w:b w:val="0"/>
          <w:bCs w:val="0"/>
          <w:noProof w:val="0"/>
          <w:color w:val="000000" w:themeColor="text1" w:themeTint="FF" w:themeShade="FF"/>
          <w:sz w:val="22"/>
          <w:szCs w:val="22"/>
          <w:lang w:val="en-US"/>
        </w:rPr>
        <w:t xml:space="preserve">, Su, Y., Bachmeier, S.D., Chapin, A., Cogswell, I.E., Crosby, S.W., Cunningham, B., Harle, A.C., Maddison, E.R., Moitra, M. and Sahu, M., 2020. Health sector spending and spending on HIV/AIDS, tuberculosis, and malaria, and development assistance for health: progress towards Sustainable Development Goal 3. </w:t>
      </w:r>
      <w:r w:rsidRPr="0E0A57E3" w:rsidR="215CA1C9">
        <w:rPr>
          <w:rFonts w:ascii="Arial" w:hAnsi="Arial" w:eastAsia="Arial" w:cs="Arial"/>
          <w:b w:val="0"/>
          <w:bCs w:val="0"/>
          <w:i w:val="1"/>
          <w:iCs w:val="1"/>
          <w:noProof w:val="0"/>
          <w:color w:val="000000" w:themeColor="text1" w:themeTint="FF" w:themeShade="FF"/>
          <w:sz w:val="22"/>
          <w:szCs w:val="22"/>
          <w:lang w:val="en-US"/>
        </w:rPr>
        <w:t>The Lancet</w:t>
      </w:r>
      <w:r w:rsidRPr="0E0A57E3" w:rsidR="215CA1C9">
        <w:rPr>
          <w:rFonts w:ascii="Arial" w:hAnsi="Arial" w:eastAsia="Arial" w:cs="Arial"/>
          <w:b w:val="0"/>
          <w:bCs w:val="0"/>
          <w:noProof w:val="0"/>
          <w:color w:val="000000" w:themeColor="text1" w:themeTint="FF" w:themeShade="FF"/>
          <w:sz w:val="22"/>
          <w:szCs w:val="22"/>
          <w:lang w:val="en-US"/>
        </w:rPr>
        <w:t>, 396(10252), pp.693-724.</w:t>
      </w:r>
    </w:p>
    <w:p w:rsidR="215CA1C9" w:rsidP="0E0A57E3" w:rsidRDefault="215CA1C9" w14:paraId="42746007" w14:textId="0B0E5262">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 xml:space="preserve">NHS England (2019) </w:t>
      </w:r>
      <w:r w:rsidRPr="0E0A57E3" w:rsidR="215CA1C9">
        <w:rPr>
          <w:rFonts w:ascii="Arial" w:hAnsi="Arial" w:eastAsia="Arial" w:cs="Arial"/>
          <w:b w:val="0"/>
          <w:bCs w:val="0"/>
          <w:i w:val="1"/>
          <w:iCs w:val="1"/>
          <w:noProof w:val="0"/>
          <w:color w:val="000000" w:themeColor="text1" w:themeTint="FF" w:themeShade="FF"/>
          <w:sz w:val="22"/>
          <w:szCs w:val="22"/>
          <w:lang w:val="en-US"/>
        </w:rPr>
        <w:t>The NHS Long Term Plan: Overview and summary</w:t>
      </w:r>
      <w:r w:rsidRPr="0E0A57E3" w:rsidR="215CA1C9">
        <w:rPr>
          <w:rFonts w:ascii="Arial" w:hAnsi="Arial" w:eastAsia="Arial" w:cs="Arial"/>
          <w:b w:val="0"/>
          <w:bCs w:val="0"/>
          <w:noProof w:val="0"/>
          <w:color w:val="000000" w:themeColor="text1" w:themeTint="FF" w:themeShade="FF"/>
          <w:sz w:val="22"/>
          <w:szCs w:val="22"/>
          <w:lang w:val="en-US"/>
        </w:rPr>
        <w:t xml:space="preserve">. Available at: </w:t>
      </w:r>
      <w:hyperlink r:id="R2ca309c060b54244">
        <w:r w:rsidRPr="0E0A57E3" w:rsidR="215CA1C9">
          <w:rPr>
            <w:rStyle w:val="Hyperlink"/>
            <w:rFonts w:ascii="Arial" w:hAnsi="Arial" w:eastAsia="Arial" w:cs="Arial"/>
            <w:b w:val="0"/>
            <w:bCs w:val="0"/>
            <w:noProof w:val="0"/>
            <w:color w:val="000000" w:themeColor="text1" w:themeTint="FF" w:themeShade="FF"/>
            <w:sz w:val="22"/>
            <w:szCs w:val="22"/>
            <w:lang w:val="en-US"/>
          </w:rPr>
          <w:t>https://www.longtermplan.nhs.uk/online-version/overview-and-summary/</w:t>
        </w:r>
      </w:hyperlink>
      <w:r w:rsidRPr="0E0A57E3" w:rsidR="215CA1C9">
        <w:rPr>
          <w:rFonts w:ascii="Arial" w:hAnsi="Arial" w:eastAsia="Arial" w:cs="Arial"/>
          <w:b w:val="0"/>
          <w:bCs w:val="0"/>
          <w:noProof w:val="0"/>
          <w:color w:val="000000" w:themeColor="text1" w:themeTint="FF" w:themeShade="FF"/>
          <w:sz w:val="22"/>
          <w:szCs w:val="22"/>
          <w:lang w:val="en-US"/>
        </w:rPr>
        <w:t xml:space="preserve"> (Accessed: </w:t>
      </w:r>
      <w:r w:rsidRPr="0E0A57E3" w:rsidR="5D8B824C">
        <w:rPr>
          <w:rFonts w:ascii="Arial" w:hAnsi="Arial" w:eastAsia="Arial" w:cs="Arial"/>
          <w:b w:val="0"/>
          <w:bCs w:val="0"/>
          <w:noProof w:val="0"/>
          <w:color w:val="000000" w:themeColor="text1" w:themeTint="FF" w:themeShade="FF"/>
          <w:sz w:val="22"/>
          <w:szCs w:val="22"/>
          <w:lang w:val="en-US"/>
        </w:rPr>
        <w:t>13November</w:t>
      </w:r>
      <w:r w:rsidRPr="0E0A57E3" w:rsidR="215CA1C9">
        <w:rPr>
          <w:rFonts w:ascii="Arial" w:hAnsi="Arial" w:eastAsia="Arial" w:cs="Arial"/>
          <w:b w:val="0"/>
          <w:bCs w:val="0"/>
          <w:noProof w:val="0"/>
          <w:color w:val="000000" w:themeColor="text1" w:themeTint="FF" w:themeShade="FF"/>
          <w:sz w:val="22"/>
          <w:szCs w:val="22"/>
          <w:lang w:val="en-US"/>
        </w:rPr>
        <w:t xml:space="preserve"> 2025).</w:t>
      </w:r>
    </w:p>
    <w:p w:rsidR="215CA1C9" w:rsidP="0E0A57E3" w:rsidRDefault="215CA1C9" w14:paraId="0A4A15B2" w14:textId="25B3EB75">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OLUTOSIN, A.O.</w:t>
      </w:r>
      <w:r w:rsidRPr="0E0A57E3" w:rsidR="215CA1C9">
        <w:rPr>
          <w:rFonts w:ascii="Arial" w:hAnsi="Arial" w:eastAsia="Arial" w:cs="Arial"/>
          <w:b w:val="0"/>
          <w:bCs w:val="0"/>
          <w:noProof w:val="0"/>
          <w:color w:val="000000" w:themeColor="text1" w:themeTint="FF" w:themeShade="FF"/>
          <w:sz w:val="22"/>
          <w:szCs w:val="22"/>
          <w:lang w:val="en-US"/>
        </w:rPr>
        <w:t xml:space="preserve">, 2023. Countdown to the 2030 Global Goals: A Bibliometric Analysis of Research Trends on SDG 2 – Zero Hunger. </w:t>
      </w:r>
      <w:r w:rsidRPr="0E0A57E3" w:rsidR="215CA1C9">
        <w:rPr>
          <w:rFonts w:ascii="Arial" w:hAnsi="Arial" w:eastAsia="Arial" w:cs="Arial"/>
          <w:b w:val="0"/>
          <w:bCs w:val="0"/>
          <w:i w:val="1"/>
          <w:iCs w:val="1"/>
          <w:noProof w:val="0"/>
          <w:color w:val="000000" w:themeColor="text1" w:themeTint="FF" w:themeShade="FF"/>
          <w:sz w:val="22"/>
          <w:szCs w:val="22"/>
          <w:lang w:val="en-US"/>
        </w:rPr>
        <w:t>Current Research in Nutrition and Food Science</w:t>
      </w:r>
      <w:r w:rsidRPr="0E0A57E3" w:rsidR="215CA1C9">
        <w:rPr>
          <w:rFonts w:ascii="Arial" w:hAnsi="Arial" w:eastAsia="Arial" w:cs="Arial"/>
          <w:b w:val="0"/>
          <w:bCs w:val="0"/>
          <w:noProof w:val="0"/>
          <w:color w:val="000000" w:themeColor="text1" w:themeTint="FF" w:themeShade="FF"/>
          <w:sz w:val="22"/>
          <w:szCs w:val="22"/>
          <w:lang w:val="en-US"/>
        </w:rPr>
        <w:t>, 11(3), pp. 1338-1362.</w:t>
      </w:r>
    </w:p>
    <w:p w:rsidR="215CA1C9" w:rsidP="0E0A57E3" w:rsidRDefault="215CA1C9" w14:paraId="6AEFE555" w14:textId="047B73D5">
      <w:pPr>
        <w:pStyle w:val="ListParagraph"/>
        <w:numPr>
          <w:ilvl w:val="0"/>
          <w:numId w:val="1"/>
        </w:numPr>
        <w:suppressLineNumbers w:val="0"/>
        <w:bidi w:val="0"/>
        <w:spacing w:before="240" w:beforeAutospacing="off" w:after="240" w:afterAutospacing="off" w:line="360" w:lineRule="auto"/>
        <w:ind w:left="720" w:right="0" w:hanging="360"/>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The Global Fund</w:t>
      </w:r>
      <w:r w:rsidRPr="0E0A57E3" w:rsidR="215CA1C9">
        <w:rPr>
          <w:rFonts w:ascii="Arial" w:hAnsi="Arial" w:eastAsia="Arial" w:cs="Arial"/>
          <w:b w:val="0"/>
          <w:bCs w:val="0"/>
          <w:noProof w:val="0"/>
          <w:color w:val="000000" w:themeColor="text1" w:themeTint="FF" w:themeShade="FF"/>
          <w:sz w:val="22"/>
          <w:szCs w:val="22"/>
          <w:lang w:val="en-US"/>
        </w:rPr>
        <w:t xml:space="preserve"> (2022). </w:t>
      </w:r>
      <w:r w:rsidRPr="0E0A57E3" w:rsidR="215CA1C9">
        <w:rPr>
          <w:rFonts w:ascii="Arial" w:hAnsi="Arial" w:eastAsia="Arial" w:cs="Arial"/>
          <w:b w:val="0"/>
          <w:bCs w:val="0"/>
          <w:i w:val="1"/>
          <w:iCs w:val="1"/>
          <w:noProof w:val="0"/>
          <w:color w:val="000000" w:themeColor="text1" w:themeTint="FF" w:themeShade="FF"/>
          <w:sz w:val="22"/>
          <w:szCs w:val="22"/>
          <w:lang w:val="en-US"/>
        </w:rPr>
        <w:t>About the Global Fund</w:t>
      </w:r>
      <w:r w:rsidRPr="0E0A57E3" w:rsidR="215CA1C9">
        <w:rPr>
          <w:rFonts w:ascii="Arial" w:hAnsi="Arial" w:eastAsia="Arial" w:cs="Arial"/>
          <w:b w:val="0"/>
          <w:bCs w:val="0"/>
          <w:noProof w:val="0"/>
          <w:color w:val="000000" w:themeColor="text1" w:themeTint="FF" w:themeShade="FF"/>
          <w:sz w:val="22"/>
          <w:szCs w:val="22"/>
          <w:lang w:val="en-US"/>
        </w:rPr>
        <w:t xml:space="preserve">. [online] </w:t>
      </w:r>
      <w:hyperlink r:id="R1f5e6fb20a8f4b14">
        <w:r w:rsidRPr="0E0A57E3" w:rsidR="215CA1C9">
          <w:rPr>
            <w:rStyle w:val="Hyperlink"/>
            <w:rFonts w:ascii="Arial" w:hAnsi="Arial" w:eastAsia="Arial" w:cs="Arial"/>
            <w:b w:val="0"/>
            <w:bCs w:val="0"/>
            <w:noProof w:val="0"/>
            <w:color w:val="000000" w:themeColor="text1" w:themeTint="FF" w:themeShade="FF"/>
            <w:sz w:val="22"/>
            <w:szCs w:val="22"/>
            <w:lang w:val="en-US"/>
          </w:rPr>
          <w:t>www.theglobalfund.org</w:t>
        </w:r>
      </w:hyperlink>
      <w:r w:rsidRPr="0E0A57E3" w:rsidR="215CA1C9">
        <w:rPr>
          <w:rFonts w:ascii="Arial" w:hAnsi="Arial" w:eastAsia="Arial" w:cs="Arial"/>
          <w:b w:val="0"/>
          <w:bCs w:val="0"/>
          <w:noProof w:val="0"/>
          <w:color w:val="000000" w:themeColor="text1" w:themeTint="FF" w:themeShade="FF"/>
          <w:sz w:val="22"/>
          <w:szCs w:val="22"/>
          <w:lang w:val="en-US"/>
        </w:rPr>
        <w:t xml:space="preserve">. Available at: </w:t>
      </w:r>
      <w:hyperlink r:id="Rf4c8b41282cd497e">
        <w:r w:rsidRPr="0E0A57E3" w:rsidR="215CA1C9">
          <w:rPr>
            <w:rStyle w:val="Hyperlink"/>
            <w:rFonts w:ascii="Arial" w:hAnsi="Arial" w:eastAsia="Arial" w:cs="Arial"/>
            <w:b w:val="0"/>
            <w:bCs w:val="0"/>
            <w:noProof w:val="0"/>
            <w:color w:val="000000" w:themeColor="text1" w:themeTint="FF" w:themeShade="FF"/>
            <w:sz w:val="22"/>
            <w:szCs w:val="22"/>
            <w:lang w:val="en-US"/>
          </w:rPr>
          <w:t>https://www.theglobalfund.org/en/about-the-global-fund/</w:t>
        </w:r>
      </w:hyperlink>
      <w:r w:rsidRPr="0E0A57E3" w:rsidR="215CA1C9">
        <w:rPr>
          <w:rFonts w:ascii="Arial" w:hAnsi="Arial" w:eastAsia="Arial" w:cs="Arial"/>
          <w:b w:val="0"/>
          <w:bCs w:val="0"/>
          <w:noProof w:val="0"/>
          <w:color w:val="000000" w:themeColor="text1" w:themeTint="FF" w:themeShade="FF"/>
          <w:sz w:val="22"/>
          <w:szCs w:val="22"/>
          <w:lang w:val="en-US"/>
        </w:rPr>
        <w:t xml:space="preserve"> (Accessed: 22 August 2024).</w:t>
      </w:r>
    </w:p>
    <w:p w:rsidR="215CA1C9" w:rsidP="0E0A57E3" w:rsidRDefault="215CA1C9" w14:paraId="5D591F44" w14:textId="04046287">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15CA1C9">
        <w:rPr>
          <w:rFonts w:ascii="Arial" w:hAnsi="Arial" w:eastAsia="Arial" w:cs="Arial"/>
          <w:b w:val="0"/>
          <w:bCs w:val="0"/>
          <w:noProof w:val="0"/>
          <w:color w:val="000000" w:themeColor="text1" w:themeTint="FF" w:themeShade="FF"/>
          <w:sz w:val="22"/>
          <w:szCs w:val="22"/>
          <w:lang w:val="en-US"/>
        </w:rPr>
        <w:t>The Lancet Global Health</w:t>
      </w:r>
      <w:r w:rsidRPr="0E0A57E3" w:rsidR="215CA1C9">
        <w:rPr>
          <w:rFonts w:ascii="Arial" w:hAnsi="Arial" w:eastAsia="Arial" w:cs="Arial"/>
          <w:b w:val="0"/>
          <w:bCs w:val="0"/>
          <w:noProof w:val="0"/>
          <w:color w:val="000000" w:themeColor="text1" w:themeTint="FF" w:themeShade="FF"/>
          <w:sz w:val="22"/>
          <w:szCs w:val="22"/>
          <w:lang w:val="en-US"/>
        </w:rPr>
        <w:t xml:space="preserve"> (2024) ‘Challenges in achieving SDG 3 targets’, </w:t>
      </w:r>
      <w:r w:rsidRPr="0E0A57E3" w:rsidR="215CA1C9">
        <w:rPr>
          <w:rFonts w:ascii="Arial" w:hAnsi="Arial" w:eastAsia="Arial" w:cs="Arial"/>
          <w:b w:val="0"/>
          <w:bCs w:val="0"/>
          <w:i w:val="1"/>
          <w:iCs w:val="1"/>
          <w:noProof w:val="0"/>
          <w:color w:val="000000" w:themeColor="text1" w:themeTint="FF" w:themeShade="FF"/>
          <w:sz w:val="22"/>
          <w:szCs w:val="22"/>
          <w:lang w:val="en-US"/>
        </w:rPr>
        <w:t>The Lancet</w:t>
      </w:r>
      <w:r w:rsidRPr="0E0A57E3" w:rsidR="215CA1C9">
        <w:rPr>
          <w:rFonts w:ascii="Arial" w:hAnsi="Arial" w:eastAsia="Arial" w:cs="Arial"/>
          <w:b w:val="0"/>
          <w:bCs w:val="0"/>
          <w:i w:val="1"/>
          <w:iCs w:val="1"/>
          <w:noProof w:val="0"/>
          <w:color w:val="000000" w:themeColor="text1" w:themeTint="FF" w:themeShade="FF"/>
          <w:sz w:val="22"/>
          <w:szCs w:val="22"/>
          <w:lang w:val="en-US"/>
        </w:rPr>
        <w:t xml:space="preserve"> Global Health</w:t>
      </w:r>
      <w:r w:rsidRPr="0E0A57E3" w:rsidR="215CA1C9">
        <w:rPr>
          <w:rFonts w:ascii="Arial" w:hAnsi="Arial" w:eastAsia="Arial" w:cs="Arial"/>
          <w:b w:val="0"/>
          <w:bCs w:val="0"/>
          <w:noProof w:val="0"/>
          <w:color w:val="000000" w:themeColor="text1" w:themeTint="FF" w:themeShade="FF"/>
          <w:sz w:val="22"/>
          <w:szCs w:val="22"/>
          <w:lang w:val="en-US"/>
        </w:rPr>
        <w:t>.</w:t>
      </w:r>
      <w:r w:rsidRPr="0E0A57E3" w:rsidR="2C35C994">
        <w:rPr>
          <w:rFonts w:ascii="Arial" w:hAnsi="Arial" w:eastAsia="Arial" w:cs="Arial"/>
          <w:b w:val="0"/>
          <w:bCs w:val="0"/>
          <w:noProof w:val="0"/>
          <w:color w:val="000000" w:themeColor="text1" w:themeTint="FF" w:themeShade="FF"/>
          <w:sz w:val="22"/>
          <w:szCs w:val="22"/>
          <w:lang w:val="en-US"/>
        </w:rPr>
        <w:t xml:space="preserve">UK Government (2024) </w:t>
      </w:r>
      <w:r w:rsidRPr="0E0A57E3" w:rsidR="2C35C994">
        <w:rPr>
          <w:rFonts w:ascii="Arial" w:hAnsi="Arial" w:eastAsia="Arial" w:cs="Arial"/>
          <w:b w:val="0"/>
          <w:bCs w:val="0"/>
          <w:i w:val="1"/>
          <w:iCs w:val="1"/>
          <w:noProof w:val="0"/>
          <w:color w:val="000000" w:themeColor="text1" w:themeTint="FF" w:themeShade="FF"/>
          <w:sz w:val="22"/>
          <w:szCs w:val="22"/>
          <w:lang w:val="en-US"/>
        </w:rPr>
        <w:t>Free School Meals: Guidance for Local Authorities</w:t>
      </w:r>
      <w:r w:rsidRPr="0E0A57E3" w:rsidR="2C35C994">
        <w:rPr>
          <w:rFonts w:ascii="Arial" w:hAnsi="Arial" w:eastAsia="Arial" w:cs="Arial"/>
          <w:b w:val="0"/>
          <w:bCs w:val="0"/>
          <w:noProof w:val="0"/>
          <w:color w:val="000000" w:themeColor="text1" w:themeTint="FF" w:themeShade="FF"/>
          <w:sz w:val="22"/>
          <w:szCs w:val="22"/>
          <w:lang w:val="en-US"/>
        </w:rPr>
        <w:t>. Available at: GOV.UK.</w:t>
      </w:r>
    </w:p>
    <w:p w:rsidR="2C35C994" w:rsidP="0E0A57E3" w:rsidRDefault="2C35C994" w14:paraId="0BF99350" w14:textId="40C79560">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UNDP (2024). </w:t>
      </w:r>
      <w:r w:rsidRPr="0E0A57E3" w:rsidR="2C35C994">
        <w:rPr>
          <w:rFonts w:ascii="Arial" w:hAnsi="Arial" w:eastAsia="Arial" w:cs="Arial"/>
          <w:b w:val="0"/>
          <w:bCs w:val="0"/>
          <w:i w:val="1"/>
          <w:iCs w:val="1"/>
          <w:noProof w:val="0"/>
          <w:color w:val="000000" w:themeColor="text1" w:themeTint="FF" w:themeShade="FF"/>
          <w:sz w:val="22"/>
          <w:szCs w:val="22"/>
          <w:lang w:val="en-US"/>
        </w:rPr>
        <w:t>The promise of health for all</w:t>
      </w:r>
      <w:r w:rsidRPr="0E0A57E3" w:rsidR="2C35C994">
        <w:rPr>
          <w:rFonts w:ascii="Arial" w:hAnsi="Arial" w:eastAsia="Arial" w:cs="Arial"/>
          <w:b w:val="0"/>
          <w:bCs w:val="0"/>
          <w:noProof w:val="0"/>
          <w:color w:val="000000" w:themeColor="text1" w:themeTint="FF" w:themeShade="FF"/>
          <w:sz w:val="22"/>
          <w:szCs w:val="22"/>
          <w:lang w:val="en-US"/>
        </w:rPr>
        <w:t xml:space="preserve"> | United Nations Development Programme [online] UNDP. Available at: </w:t>
      </w:r>
      <w:hyperlink r:id="R363869cc1b374118">
        <w:r w:rsidRPr="0E0A57E3" w:rsidR="2C35C994">
          <w:rPr>
            <w:rStyle w:val="Hyperlink"/>
            <w:rFonts w:ascii="Arial" w:hAnsi="Arial" w:eastAsia="Arial" w:cs="Arial"/>
            <w:b w:val="0"/>
            <w:bCs w:val="0"/>
            <w:noProof w:val="0"/>
            <w:color w:val="000000" w:themeColor="text1" w:themeTint="FF" w:themeShade="FF"/>
            <w:sz w:val="22"/>
            <w:szCs w:val="22"/>
            <w:lang w:val="en-US"/>
          </w:rPr>
          <w:t>https://www.undp.org/stories/promise-health-all</w:t>
        </w:r>
      </w:hyperlink>
      <w:r w:rsidRPr="0E0A57E3" w:rsidR="2C35C994">
        <w:rPr>
          <w:rFonts w:ascii="Arial" w:hAnsi="Arial" w:eastAsia="Arial" w:cs="Arial"/>
          <w:b w:val="0"/>
          <w:bCs w:val="0"/>
          <w:noProof w:val="0"/>
          <w:color w:val="000000" w:themeColor="text1" w:themeTint="FF" w:themeShade="FF"/>
          <w:sz w:val="22"/>
          <w:szCs w:val="22"/>
          <w:lang w:val="en-US"/>
        </w:rPr>
        <w:t xml:space="preserve"> (Accessed: 7 November 2024).</w:t>
      </w:r>
    </w:p>
    <w:p w:rsidR="2C35C994" w:rsidP="0E0A57E3" w:rsidRDefault="2C35C994" w14:paraId="0CEDA43C" w14:textId="0C995E76">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United Nations (2023) 'Sustainable Development Goal 3'. Available at: </w:t>
      </w:r>
      <w:hyperlink r:id="Ra738f2ceb21c4d0f">
        <w:r w:rsidRPr="0E0A57E3" w:rsidR="2C35C994">
          <w:rPr>
            <w:rStyle w:val="Hyperlink"/>
            <w:rFonts w:ascii="Arial" w:hAnsi="Arial" w:eastAsia="Arial" w:cs="Arial"/>
            <w:b w:val="0"/>
            <w:bCs w:val="0"/>
            <w:noProof w:val="0"/>
            <w:color w:val="000000" w:themeColor="text1" w:themeTint="FF" w:themeShade="FF"/>
            <w:sz w:val="22"/>
            <w:szCs w:val="22"/>
            <w:lang w:val="en-US"/>
          </w:rPr>
          <w:t>https://sdgs.un.org/goals/goal3</w:t>
        </w:r>
      </w:hyperlink>
      <w:r w:rsidRPr="0E0A57E3" w:rsidR="2C35C994">
        <w:rPr>
          <w:rFonts w:ascii="Arial" w:hAnsi="Arial" w:eastAsia="Arial" w:cs="Arial"/>
          <w:b w:val="0"/>
          <w:bCs w:val="0"/>
          <w:noProof w:val="0"/>
          <w:color w:val="000000" w:themeColor="text1" w:themeTint="FF" w:themeShade="FF"/>
          <w:sz w:val="22"/>
          <w:szCs w:val="22"/>
          <w:lang w:val="en-US"/>
        </w:rPr>
        <w:t xml:space="preserve"> (Accessed: 8 November 2025).</w:t>
      </w:r>
    </w:p>
    <w:p w:rsidR="2C35C994" w:rsidP="0E0A57E3" w:rsidRDefault="2C35C994" w14:paraId="75D7CA20" w14:textId="4F3B26E8">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United Nations (2024). </w:t>
      </w:r>
      <w:r w:rsidRPr="0E0A57E3" w:rsidR="2C35C994">
        <w:rPr>
          <w:rFonts w:ascii="Arial" w:hAnsi="Arial" w:eastAsia="Arial" w:cs="Arial"/>
          <w:b w:val="0"/>
          <w:bCs w:val="0"/>
          <w:i w:val="1"/>
          <w:iCs w:val="1"/>
          <w:noProof w:val="0"/>
          <w:color w:val="000000" w:themeColor="text1" w:themeTint="FF" w:themeShade="FF"/>
          <w:sz w:val="22"/>
          <w:szCs w:val="22"/>
          <w:lang w:val="en-US"/>
        </w:rPr>
        <w:t>The 17 Sustainable Development Goals</w:t>
      </w:r>
      <w:r w:rsidRPr="0E0A57E3" w:rsidR="2C35C994">
        <w:rPr>
          <w:rFonts w:ascii="Arial" w:hAnsi="Arial" w:eastAsia="Arial" w:cs="Arial"/>
          <w:b w:val="0"/>
          <w:bCs w:val="0"/>
          <w:noProof w:val="0"/>
          <w:color w:val="000000" w:themeColor="text1" w:themeTint="FF" w:themeShade="FF"/>
          <w:sz w:val="22"/>
          <w:szCs w:val="22"/>
          <w:lang w:val="en-US"/>
        </w:rPr>
        <w:t xml:space="preserve">. [online] United Nations. Available at: </w:t>
      </w:r>
      <w:hyperlink r:id="Rcb1af30be32b4113">
        <w:r w:rsidRPr="0E0A57E3" w:rsidR="2C35C994">
          <w:rPr>
            <w:rStyle w:val="Hyperlink"/>
            <w:rFonts w:ascii="Arial" w:hAnsi="Arial" w:eastAsia="Arial" w:cs="Arial"/>
            <w:b w:val="0"/>
            <w:bCs w:val="0"/>
            <w:noProof w:val="0"/>
            <w:color w:val="000000" w:themeColor="text1" w:themeTint="FF" w:themeShade="FF"/>
            <w:sz w:val="22"/>
            <w:szCs w:val="22"/>
            <w:lang w:val="en-US"/>
          </w:rPr>
          <w:t>https://sdgs.un.org/goals</w:t>
        </w:r>
      </w:hyperlink>
      <w:r w:rsidRPr="0E0A57E3" w:rsidR="2C35C994">
        <w:rPr>
          <w:rFonts w:ascii="Arial" w:hAnsi="Arial" w:eastAsia="Arial" w:cs="Arial"/>
          <w:b w:val="0"/>
          <w:bCs w:val="0"/>
          <w:noProof w:val="0"/>
          <w:color w:val="000000" w:themeColor="text1" w:themeTint="FF" w:themeShade="FF"/>
          <w:sz w:val="22"/>
          <w:szCs w:val="22"/>
          <w:lang w:val="en-US"/>
        </w:rPr>
        <w:t xml:space="preserve"> (Accessed: 9 November 2024).</w:t>
      </w:r>
    </w:p>
    <w:p w:rsidR="2C35C994" w:rsidP="0E0A57E3" w:rsidRDefault="2C35C994" w14:paraId="6019CF46" w14:textId="1BD30191">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WHO (2022) </w:t>
      </w:r>
      <w:r w:rsidRPr="0E0A57E3" w:rsidR="2C35C994">
        <w:rPr>
          <w:rFonts w:ascii="Arial" w:hAnsi="Arial" w:eastAsia="Arial" w:cs="Arial"/>
          <w:b w:val="0"/>
          <w:bCs w:val="0"/>
          <w:i w:val="1"/>
          <w:iCs w:val="1"/>
          <w:noProof w:val="0"/>
          <w:color w:val="000000" w:themeColor="text1" w:themeTint="FF" w:themeShade="FF"/>
          <w:sz w:val="22"/>
          <w:szCs w:val="22"/>
          <w:lang w:val="en-US"/>
        </w:rPr>
        <w:t>Health in the Sustainable Development Goals</w:t>
      </w:r>
      <w:r w:rsidRPr="0E0A57E3" w:rsidR="2C35C994">
        <w:rPr>
          <w:rFonts w:ascii="Arial" w:hAnsi="Arial" w:eastAsia="Arial" w:cs="Arial"/>
          <w:b w:val="0"/>
          <w:bCs w:val="0"/>
          <w:noProof w:val="0"/>
          <w:color w:val="000000" w:themeColor="text1" w:themeTint="FF" w:themeShade="FF"/>
          <w:sz w:val="22"/>
          <w:szCs w:val="22"/>
          <w:lang w:val="en-US"/>
        </w:rPr>
        <w:t xml:space="preserve">. Available at: </w:t>
      </w:r>
      <w:hyperlink r:id="R5e5f97077a9a4bb5">
        <w:r w:rsidRPr="0E0A57E3" w:rsidR="2C35C994">
          <w:rPr>
            <w:rStyle w:val="Hyperlink"/>
            <w:rFonts w:ascii="Arial" w:hAnsi="Arial" w:eastAsia="Arial" w:cs="Arial"/>
            <w:b w:val="0"/>
            <w:bCs w:val="0"/>
            <w:noProof w:val="0"/>
            <w:color w:val="000000" w:themeColor="text1" w:themeTint="FF" w:themeShade="FF"/>
            <w:sz w:val="22"/>
            <w:szCs w:val="22"/>
            <w:lang w:val="en-US"/>
          </w:rPr>
          <w:t>https://www.who.int/health-topics/sustainable-development-goals</w:t>
        </w:r>
      </w:hyperlink>
      <w:r w:rsidRPr="0E0A57E3" w:rsidR="2C35C994">
        <w:rPr>
          <w:rFonts w:ascii="Arial" w:hAnsi="Arial" w:eastAsia="Arial" w:cs="Arial"/>
          <w:b w:val="0"/>
          <w:bCs w:val="0"/>
          <w:noProof w:val="0"/>
          <w:color w:val="000000" w:themeColor="text1" w:themeTint="FF" w:themeShade="FF"/>
          <w:sz w:val="22"/>
          <w:szCs w:val="22"/>
          <w:lang w:val="en-US"/>
        </w:rPr>
        <w:t xml:space="preserve"> (Accessed: 11 November 2025).</w:t>
      </w:r>
    </w:p>
    <w:p w:rsidR="2C35C994" w:rsidP="0E0A57E3" w:rsidRDefault="2C35C994" w14:paraId="7D0EC8DC" w14:textId="258DC1C5">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World Bank (2023) </w:t>
      </w:r>
      <w:r w:rsidRPr="0E0A57E3" w:rsidR="2C35C994">
        <w:rPr>
          <w:rFonts w:ascii="Arial" w:hAnsi="Arial" w:eastAsia="Arial" w:cs="Arial"/>
          <w:b w:val="0"/>
          <w:bCs w:val="0"/>
          <w:i w:val="1"/>
          <w:iCs w:val="1"/>
          <w:noProof w:val="0"/>
          <w:color w:val="000000" w:themeColor="text1" w:themeTint="FF" w:themeShade="FF"/>
          <w:sz w:val="22"/>
          <w:szCs w:val="22"/>
          <w:lang w:val="en-US"/>
        </w:rPr>
        <w:t>Food Security and Nutrition Overview</w:t>
      </w:r>
      <w:r w:rsidRPr="0E0A57E3" w:rsidR="2C35C994">
        <w:rPr>
          <w:rFonts w:ascii="Arial" w:hAnsi="Arial" w:eastAsia="Arial" w:cs="Arial"/>
          <w:b w:val="0"/>
          <w:bCs w:val="0"/>
          <w:noProof w:val="0"/>
          <w:color w:val="000000" w:themeColor="text1" w:themeTint="FF" w:themeShade="FF"/>
          <w:sz w:val="22"/>
          <w:szCs w:val="22"/>
          <w:lang w:val="en-US"/>
        </w:rPr>
        <w:t>. Washington, DC: World Bank.</w:t>
      </w:r>
    </w:p>
    <w:p w:rsidR="2C35C994" w:rsidP="0E0A57E3" w:rsidRDefault="2C35C994" w14:paraId="1D944BED" w14:textId="5BE224AE">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World Bank (2024) </w:t>
      </w:r>
      <w:r w:rsidRPr="0E0A57E3" w:rsidR="2C35C994">
        <w:rPr>
          <w:rFonts w:ascii="Arial" w:hAnsi="Arial" w:eastAsia="Arial" w:cs="Arial"/>
          <w:b w:val="0"/>
          <w:bCs w:val="0"/>
          <w:i w:val="1"/>
          <w:iCs w:val="1"/>
          <w:noProof w:val="0"/>
          <w:color w:val="000000" w:themeColor="text1" w:themeTint="FF" w:themeShade="FF"/>
          <w:sz w:val="22"/>
          <w:szCs w:val="22"/>
          <w:lang w:val="en-US"/>
        </w:rPr>
        <w:t>Food Security and Nutrition Overview</w:t>
      </w:r>
      <w:r w:rsidRPr="0E0A57E3" w:rsidR="2C35C994">
        <w:rPr>
          <w:rFonts w:ascii="Arial" w:hAnsi="Arial" w:eastAsia="Arial" w:cs="Arial"/>
          <w:b w:val="0"/>
          <w:bCs w:val="0"/>
          <w:noProof w:val="0"/>
          <w:color w:val="000000" w:themeColor="text1" w:themeTint="FF" w:themeShade="FF"/>
          <w:sz w:val="22"/>
          <w:szCs w:val="22"/>
          <w:lang w:val="en-US"/>
        </w:rPr>
        <w:t>. Washington, DC: World Bank.</w:t>
      </w:r>
    </w:p>
    <w:p w:rsidR="2C35C994" w:rsidP="0E0A57E3" w:rsidRDefault="2C35C994" w14:paraId="010ACC0C" w14:textId="24AC7FA9">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World Health Organization (2024). </w:t>
      </w:r>
      <w:r w:rsidRPr="0E0A57E3" w:rsidR="2C35C994">
        <w:rPr>
          <w:rFonts w:ascii="Arial" w:hAnsi="Arial" w:eastAsia="Arial" w:cs="Arial"/>
          <w:b w:val="0"/>
          <w:bCs w:val="0"/>
          <w:i w:val="1"/>
          <w:iCs w:val="1"/>
          <w:noProof w:val="0"/>
          <w:color w:val="000000" w:themeColor="text1" w:themeTint="FF" w:themeShade="FF"/>
          <w:sz w:val="22"/>
          <w:szCs w:val="22"/>
          <w:lang w:val="en-US"/>
        </w:rPr>
        <w:t>Sustainable Development Goals 3 - The Global Action Plan for Healthy Lives and Well-being for All</w:t>
      </w:r>
      <w:r w:rsidRPr="0E0A57E3" w:rsidR="2C35C994">
        <w:rPr>
          <w:rFonts w:ascii="Arial" w:hAnsi="Arial" w:eastAsia="Arial" w:cs="Arial"/>
          <w:b w:val="0"/>
          <w:bCs w:val="0"/>
          <w:noProof w:val="0"/>
          <w:color w:val="000000" w:themeColor="text1" w:themeTint="FF" w:themeShade="FF"/>
          <w:sz w:val="22"/>
          <w:szCs w:val="22"/>
          <w:lang w:val="en-US"/>
        </w:rPr>
        <w:t xml:space="preserve">. [online] </w:t>
      </w:r>
      <w:hyperlink r:id="Ree436fec0b224c2d">
        <w:r w:rsidRPr="0E0A57E3" w:rsidR="2C35C994">
          <w:rPr>
            <w:rStyle w:val="Hyperlink"/>
            <w:rFonts w:ascii="Arial" w:hAnsi="Arial" w:eastAsia="Arial" w:cs="Arial"/>
            <w:b w:val="0"/>
            <w:bCs w:val="0"/>
            <w:noProof w:val="0"/>
            <w:color w:val="000000" w:themeColor="text1" w:themeTint="FF" w:themeShade="FF"/>
            <w:sz w:val="22"/>
            <w:szCs w:val="22"/>
            <w:lang w:val="en-US"/>
          </w:rPr>
          <w:t>www.who.int</w:t>
        </w:r>
      </w:hyperlink>
      <w:r w:rsidRPr="0E0A57E3" w:rsidR="2C35C994">
        <w:rPr>
          <w:rFonts w:ascii="Arial" w:hAnsi="Arial" w:eastAsia="Arial" w:cs="Arial"/>
          <w:b w:val="0"/>
          <w:bCs w:val="0"/>
          <w:noProof w:val="0"/>
          <w:color w:val="000000" w:themeColor="text1" w:themeTint="FF" w:themeShade="FF"/>
          <w:sz w:val="22"/>
          <w:szCs w:val="22"/>
          <w:lang w:val="en-US"/>
        </w:rPr>
        <w:t xml:space="preserve">. Available at: </w:t>
      </w:r>
      <w:hyperlink r:id="Ra77b33b4100e46a4">
        <w:r w:rsidRPr="0E0A57E3" w:rsidR="2C35C994">
          <w:rPr>
            <w:rStyle w:val="Hyperlink"/>
            <w:rFonts w:ascii="Arial" w:hAnsi="Arial" w:eastAsia="Arial" w:cs="Arial"/>
            <w:b w:val="0"/>
            <w:bCs w:val="0"/>
            <w:noProof w:val="0"/>
            <w:color w:val="000000" w:themeColor="text1" w:themeTint="FF" w:themeShade="FF"/>
            <w:sz w:val="22"/>
            <w:szCs w:val="22"/>
            <w:lang w:val="en-US"/>
          </w:rPr>
          <w:t>https://www.who.int/initiatives/sdg3-global-action-plan</w:t>
        </w:r>
      </w:hyperlink>
      <w:r w:rsidRPr="0E0A57E3" w:rsidR="2C35C994">
        <w:rPr>
          <w:rFonts w:ascii="Arial" w:hAnsi="Arial" w:eastAsia="Arial" w:cs="Arial"/>
          <w:b w:val="0"/>
          <w:bCs w:val="0"/>
          <w:noProof w:val="0"/>
          <w:color w:val="000000" w:themeColor="text1" w:themeTint="FF" w:themeShade="FF"/>
          <w:sz w:val="22"/>
          <w:szCs w:val="22"/>
          <w:lang w:val="en-US"/>
        </w:rPr>
        <w:t xml:space="preserve"> (Accessed 11 November 2024).</w:t>
      </w:r>
    </w:p>
    <w:p w:rsidR="2C35C994" w:rsidP="0E0A57E3" w:rsidRDefault="2C35C994" w14:paraId="359D4B67" w14:textId="7DFE13E8">
      <w:pPr>
        <w:pStyle w:val="ListParagraph"/>
        <w:numPr>
          <w:ilvl w:val="0"/>
          <w:numId w:val="1"/>
        </w:numPr>
        <w:spacing w:before="240" w:beforeAutospacing="off" w:after="240" w:afterAutospacing="off" w:line="360" w:lineRule="auto"/>
        <w:jc w:val="both"/>
        <w:rPr>
          <w:rFonts w:ascii="Arial" w:hAnsi="Arial" w:eastAsia="Arial" w:cs="Arial"/>
          <w:b w:val="0"/>
          <w:bCs w:val="0"/>
          <w:noProof w:val="0"/>
          <w:color w:val="000000" w:themeColor="text1" w:themeTint="FF" w:themeShade="FF"/>
          <w:sz w:val="22"/>
          <w:szCs w:val="22"/>
          <w:lang w:val="en-US"/>
        </w:rPr>
      </w:pPr>
      <w:r w:rsidRPr="0E0A57E3" w:rsidR="2C35C994">
        <w:rPr>
          <w:rFonts w:ascii="Arial" w:hAnsi="Arial" w:eastAsia="Arial" w:cs="Arial"/>
          <w:b w:val="0"/>
          <w:bCs w:val="0"/>
          <w:noProof w:val="0"/>
          <w:color w:val="000000" w:themeColor="text1" w:themeTint="FF" w:themeShade="FF"/>
          <w:sz w:val="22"/>
          <w:szCs w:val="22"/>
          <w:lang w:val="en-US"/>
        </w:rPr>
        <w:t xml:space="preserve">World Health Organization (WHO) (2025) </w:t>
      </w:r>
      <w:r w:rsidRPr="0E0A57E3" w:rsidR="2C35C994">
        <w:rPr>
          <w:rFonts w:ascii="Arial" w:hAnsi="Arial" w:eastAsia="Arial" w:cs="Arial"/>
          <w:b w:val="0"/>
          <w:bCs w:val="0"/>
          <w:i w:val="1"/>
          <w:iCs w:val="1"/>
          <w:noProof w:val="0"/>
          <w:color w:val="000000" w:themeColor="text1" w:themeTint="FF" w:themeShade="FF"/>
          <w:sz w:val="22"/>
          <w:szCs w:val="22"/>
          <w:lang w:val="en-US"/>
        </w:rPr>
        <w:t>World health statistics 2025: monitoring health for the SDGs, sustainable development goals</w:t>
      </w:r>
      <w:r w:rsidRPr="0E0A57E3" w:rsidR="2C35C994">
        <w:rPr>
          <w:rFonts w:ascii="Arial" w:hAnsi="Arial" w:eastAsia="Arial" w:cs="Arial"/>
          <w:b w:val="0"/>
          <w:bCs w:val="0"/>
          <w:noProof w:val="0"/>
          <w:color w:val="000000" w:themeColor="text1" w:themeTint="FF" w:themeShade="FF"/>
          <w:sz w:val="22"/>
          <w:szCs w:val="22"/>
          <w:lang w:val="en-US"/>
        </w:rPr>
        <w:t>. Geneva: World Health Organization.</w:t>
      </w:r>
    </w:p>
    <w:p w:rsidR="0E0A57E3" w:rsidP="0E0A57E3" w:rsidRDefault="0E0A57E3" w14:paraId="5D747AE0" w14:textId="7692301A">
      <w:pPr>
        <w:pStyle w:val="ListParagraph"/>
        <w:spacing w:line="360" w:lineRule="auto"/>
        <w:ind w:left="720"/>
        <w:jc w:val="both"/>
        <w:rPr>
          <w:rFonts w:ascii="Arial" w:hAnsi="Arial" w:eastAsia="Arial" w:cs="Arial"/>
          <w:noProof w:val="0"/>
          <w:color w:val="000000" w:themeColor="text1" w:themeTint="FF" w:themeShade="FF"/>
          <w:sz w:val="22"/>
          <w:szCs w:val="22"/>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rtZNwJC/JiGrS" int2:id="NXZjm6N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556385a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AE3C48"/>
    <w:rsid w:val="001ECEAB"/>
    <w:rsid w:val="005FA96A"/>
    <w:rsid w:val="006473D5"/>
    <w:rsid w:val="008D8A45"/>
    <w:rsid w:val="00B1DE8D"/>
    <w:rsid w:val="011782FD"/>
    <w:rsid w:val="01436C3E"/>
    <w:rsid w:val="01D6883C"/>
    <w:rsid w:val="022EAA11"/>
    <w:rsid w:val="026014A0"/>
    <w:rsid w:val="0262155B"/>
    <w:rsid w:val="02A61756"/>
    <w:rsid w:val="02DF40E7"/>
    <w:rsid w:val="0354CAC6"/>
    <w:rsid w:val="0354CAC6"/>
    <w:rsid w:val="037612F9"/>
    <w:rsid w:val="03DB5BF0"/>
    <w:rsid w:val="0414C8B0"/>
    <w:rsid w:val="043D1061"/>
    <w:rsid w:val="04FA8FC6"/>
    <w:rsid w:val="05C24803"/>
    <w:rsid w:val="05EB8DE6"/>
    <w:rsid w:val="0679D487"/>
    <w:rsid w:val="069F4D07"/>
    <w:rsid w:val="074E6DED"/>
    <w:rsid w:val="081B4619"/>
    <w:rsid w:val="08220C00"/>
    <w:rsid w:val="086ECBB1"/>
    <w:rsid w:val="08BE083C"/>
    <w:rsid w:val="092B2536"/>
    <w:rsid w:val="09483311"/>
    <w:rsid w:val="0979B8F9"/>
    <w:rsid w:val="0AA26DFA"/>
    <w:rsid w:val="0B13AB13"/>
    <w:rsid w:val="0B4EB673"/>
    <w:rsid w:val="0B5A279C"/>
    <w:rsid w:val="0B6CDC56"/>
    <w:rsid w:val="0BBB3796"/>
    <w:rsid w:val="0BCD299A"/>
    <w:rsid w:val="0BE5F41F"/>
    <w:rsid w:val="0C8A102A"/>
    <w:rsid w:val="0C8D2E39"/>
    <w:rsid w:val="0CC016A2"/>
    <w:rsid w:val="0CC88D0B"/>
    <w:rsid w:val="0D270A03"/>
    <w:rsid w:val="0DED6650"/>
    <w:rsid w:val="0E0A57E3"/>
    <w:rsid w:val="0E13B218"/>
    <w:rsid w:val="0E4DD354"/>
    <w:rsid w:val="0E7CF841"/>
    <w:rsid w:val="0E9B76BD"/>
    <w:rsid w:val="0F69BEA9"/>
    <w:rsid w:val="0F94E5A6"/>
    <w:rsid w:val="0FF1034F"/>
    <w:rsid w:val="1001AAA4"/>
    <w:rsid w:val="1017AC75"/>
    <w:rsid w:val="1023A3E5"/>
    <w:rsid w:val="1071276D"/>
    <w:rsid w:val="10A87DE7"/>
    <w:rsid w:val="1102065C"/>
    <w:rsid w:val="1142A894"/>
    <w:rsid w:val="1239D3B4"/>
    <w:rsid w:val="1296EB21"/>
    <w:rsid w:val="12F6839D"/>
    <w:rsid w:val="133F40C1"/>
    <w:rsid w:val="13939018"/>
    <w:rsid w:val="13E5F1E7"/>
    <w:rsid w:val="145B8A9A"/>
    <w:rsid w:val="149B921B"/>
    <w:rsid w:val="1538C32E"/>
    <w:rsid w:val="15877C9B"/>
    <w:rsid w:val="15B5E0CA"/>
    <w:rsid w:val="162D224E"/>
    <w:rsid w:val="167FDE6F"/>
    <w:rsid w:val="16A24F5E"/>
    <w:rsid w:val="16C95131"/>
    <w:rsid w:val="170A9E1D"/>
    <w:rsid w:val="17C5FB10"/>
    <w:rsid w:val="17F68A06"/>
    <w:rsid w:val="18C7C8C1"/>
    <w:rsid w:val="18F7E5FB"/>
    <w:rsid w:val="197B9395"/>
    <w:rsid w:val="19995F41"/>
    <w:rsid w:val="19B67C61"/>
    <w:rsid w:val="1A0A7F84"/>
    <w:rsid w:val="1AF7124F"/>
    <w:rsid w:val="1B3B7287"/>
    <w:rsid w:val="1BD66DE1"/>
    <w:rsid w:val="1BDFCABA"/>
    <w:rsid w:val="1BE79180"/>
    <w:rsid w:val="1BF00BF0"/>
    <w:rsid w:val="1BF2965F"/>
    <w:rsid w:val="1BFAA3CD"/>
    <w:rsid w:val="1C1C5465"/>
    <w:rsid w:val="1CFADCD5"/>
    <w:rsid w:val="1D429178"/>
    <w:rsid w:val="1D741250"/>
    <w:rsid w:val="1E1C9E88"/>
    <w:rsid w:val="1F140254"/>
    <w:rsid w:val="1F236725"/>
    <w:rsid w:val="1FE90562"/>
    <w:rsid w:val="20C209CF"/>
    <w:rsid w:val="20C23431"/>
    <w:rsid w:val="20C85C36"/>
    <w:rsid w:val="215CA1C9"/>
    <w:rsid w:val="2201720D"/>
    <w:rsid w:val="221583D0"/>
    <w:rsid w:val="228624FC"/>
    <w:rsid w:val="229F68D8"/>
    <w:rsid w:val="22ACB8C1"/>
    <w:rsid w:val="22B0956C"/>
    <w:rsid w:val="22B0956C"/>
    <w:rsid w:val="22E73549"/>
    <w:rsid w:val="2300705C"/>
    <w:rsid w:val="230F5AB3"/>
    <w:rsid w:val="23B0043B"/>
    <w:rsid w:val="24249942"/>
    <w:rsid w:val="249D4C17"/>
    <w:rsid w:val="24B0984E"/>
    <w:rsid w:val="24EF22F7"/>
    <w:rsid w:val="2550240E"/>
    <w:rsid w:val="255F20F5"/>
    <w:rsid w:val="25C088A6"/>
    <w:rsid w:val="25C74C99"/>
    <w:rsid w:val="25E974AD"/>
    <w:rsid w:val="264DB59B"/>
    <w:rsid w:val="265ED93D"/>
    <w:rsid w:val="270CD506"/>
    <w:rsid w:val="27178384"/>
    <w:rsid w:val="277065D7"/>
    <w:rsid w:val="27939E45"/>
    <w:rsid w:val="284473D6"/>
    <w:rsid w:val="287B8E34"/>
    <w:rsid w:val="28C48834"/>
    <w:rsid w:val="298BF1D8"/>
    <w:rsid w:val="29BA040C"/>
    <w:rsid w:val="29F30067"/>
    <w:rsid w:val="2A081588"/>
    <w:rsid w:val="2A335F6C"/>
    <w:rsid w:val="2A78E2FF"/>
    <w:rsid w:val="2ADD8F40"/>
    <w:rsid w:val="2B163F3F"/>
    <w:rsid w:val="2B74A826"/>
    <w:rsid w:val="2BB8ECAC"/>
    <w:rsid w:val="2C35C994"/>
    <w:rsid w:val="2C5DEA83"/>
    <w:rsid w:val="2D23D46B"/>
    <w:rsid w:val="2F231B6C"/>
    <w:rsid w:val="2F884BF4"/>
    <w:rsid w:val="30240ABA"/>
    <w:rsid w:val="30453376"/>
    <w:rsid w:val="304B96FF"/>
    <w:rsid w:val="310D9FB3"/>
    <w:rsid w:val="3113DFF5"/>
    <w:rsid w:val="3176F75C"/>
    <w:rsid w:val="3178D3BF"/>
    <w:rsid w:val="317B6188"/>
    <w:rsid w:val="3190B620"/>
    <w:rsid w:val="320D4593"/>
    <w:rsid w:val="321F1545"/>
    <w:rsid w:val="326BAACD"/>
    <w:rsid w:val="32766D2A"/>
    <w:rsid w:val="32FFF0A6"/>
    <w:rsid w:val="338B885D"/>
    <w:rsid w:val="338EC950"/>
    <w:rsid w:val="338EC950"/>
    <w:rsid w:val="341C5EA7"/>
    <w:rsid w:val="34581AC9"/>
    <w:rsid w:val="34C40439"/>
    <w:rsid w:val="357196EC"/>
    <w:rsid w:val="35B449D9"/>
    <w:rsid w:val="35D9D3A9"/>
    <w:rsid w:val="35DBB919"/>
    <w:rsid w:val="36CCDD4B"/>
    <w:rsid w:val="36EDEBD9"/>
    <w:rsid w:val="373A143C"/>
    <w:rsid w:val="37E3D22E"/>
    <w:rsid w:val="380663B0"/>
    <w:rsid w:val="388B6789"/>
    <w:rsid w:val="38ECC9A1"/>
    <w:rsid w:val="391D970C"/>
    <w:rsid w:val="395ECF68"/>
    <w:rsid w:val="3B82EEC2"/>
    <w:rsid w:val="3BE5EB5E"/>
    <w:rsid w:val="3BFD29E5"/>
    <w:rsid w:val="3C0C56EC"/>
    <w:rsid w:val="3CF15DE5"/>
    <w:rsid w:val="3CF97A58"/>
    <w:rsid w:val="3CFB7C70"/>
    <w:rsid w:val="3DBE5AB7"/>
    <w:rsid w:val="3E002FBB"/>
    <w:rsid w:val="3E52BEFE"/>
    <w:rsid w:val="3E59AF77"/>
    <w:rsid w:val="3E60F72C"/>
    <w:rsid w:val="3EE70774"/>
    <w:rsid w:val="3F6571BA"/>
    <w:rsid w:val="3F902D5C"/>
    <w:rsid w:val="3F9BE6B6"/>
    <w:rsid w:val="3FB22667"/>
    <w:rsid w:val="40326575"/>
    <w:rsid w:val="409213D7"/>
    <w:rsid w:val="41E2DC5F"/>
    <w:rsid w:val="42850A52"/>
    <w:rsid w:val="440CF104"/>
    <w:rsid w:val="441DF105"/>
    <w:rsid w:val="441DF105"/>
    <w:rsid w:val="447D998B"/>
    <w:rsid w:val="44A5EC63"/>
    <w:rsid w:val="44CD3011"/>
    <w:rsid w:val="44D69728"/>
    <w:rsid w:val="45046EEE"/>
    <w:rsid w:val="45263E98"/>
    <w:rsid w:val="4548D70F"/>
    <w:rsid w:val="455C19CC"/>
    <w:rsid w:val="45D0B298"/>
    <w:rsid w:val="468F6E3F"/>
    <w:rsid w:val="478CD4AA"/>
    <w:rsid w:val="48396823"/>
    <w:rsid w:val="48A27841"/>
    <w:rsid w:val="48C4D01A"/>
    <w:rsid w:val="48CB01C9"/>
    <w:rsid w:val="48FE40C0"/>
    <w:rsid w:val="494CEC26"/>
    <w:rsid w:val="496F928C"/>
    <w:rsid w:val="49BA3BD4"/>
    <w:rsid w:val="4A4F177A"/>
    <w:rsid w:val="4B307AD1"/>
    <w:rsid w:val="4B44C104"/>
    <w:rsid w:val="4B69C761"/>
    <w:rsid w:val="4BC042EE"/>
    <w:rsid w:val="4C022716"/>
    <w:rsid w:val="4CDAC9D3"/>
    <w:rsid w:val="4D099ADE"/>
    <w:rsid w:val="4DE83F61"/>
    <w:rsid w:val="4E351724"/>
    <w:rsid w:val="4E8960E8"/>
    <w:rsid w:val="4E89839F"/>
    <w:rsid w:val="4E8C4D23"/>
    <w:rsid w:val="4F30FDBA"/>
    <w:rsid w:val="4F37544C"/>
    <w:rsid w:val="4F492904"/>
    <w:rsid w:val="4F90E550"/>
    <w:rsid w:val="4FAE3C48"/>
    <w:rsid w:val="4FD1F0D2"/>
    <w:rsid w:val="5027FDFD"/>
    <w:rsid w:val="50A2DA69"/>
    <w:rsid w:val="51330E92"/>
    <w:rsid w:val="51E2E201"/>
    <w:rsid w:val="520D23D0"/>
    <w:rsid w:val="5216C42F"/>
    <w:rsid w:val="52A10C51"/>
    <w:rsid w:val="52A8FD4F"/>
    <w:rsid w:val="52B1F4B5"/>
    <w:rsid w:val="52FAE43F"/>
    <w:rsid w:val="53A50E5B"/>
    <w:rsid w:val="5400B92D"/>
    <w:rsid w:val="54089E31"/>
    <w:rsid w:val="542DB01C"/>
    <w:rsid w:val="54585CA4"/>
    <w:rsid w:val="54B40A46"/>
    <w:rsid w:val="55BD1799"/>
    <w:rsid w:val="561B09BD"/>
    <w:rsid w:val="56C7F14C"/>
    <w:rsid w:val="56DCE787"/>
    <w:rsid w:val="56DED062"/>
    <w:rsid w:val="570F3E25"/>
    <w:rsid w:val="57C6BF19"/>
    <w:rsid w:val="57FAD3E6"/>
    <w:rsid w:val="5838F585"/>
    <w:rsid w:val="588D864E"/>
    <w:rsid w:val="58C4F32D"/>
    <w:rsid w:val="596B9D35"/>
    <w:rsid w:val="5977E4DD"/>
    <w:rsid w:val="59A26652"/>
    <w:rsid w:val="59ADEB03"/>
    <w:rsid w:val="59FB0C9F"/>
    <w:rsid w:val="5A13AD60"/>
    <w:rsid w:val="5A552761"/>
    <w:rsid w:val="5ACA644F"/>
    <w:rsid w:val="5ACD4E40"/>
    <w:rsid w:val="5B258925"/>
    <w:rsid w:val="5B65D53C"/>
    <w:rsid w:val="5B7F1C37"/>
    <w:rsid w:val="5BA9035A"/>
    <w:rsid w:val="5C032CF9"/>
    <w:rsid w:val="5C894DC2"/>
    <w:rsid w:val="5CB7747D"/>
    <w:rsid w:val="5D00B13A"/>
    <w:rsid w:val="5D43ACA1"/>
    <w:rsid w:val="5D44B70F"/>
    <w:rsid w:val="5D4BF2DA"/>
    <w:rsid w:val="5D82AA37"/>
    <w:rsid w:val="5D8B824C"/>
    <w:rsid w:val="5D91619A"/>
    <w:rsid w:val="5E101C6F"/>
    <w:rsid w:val="5E5D39B9"/>
    <w:rsid w:val="5E6C9D90"/>
    <w:rsid w:val="5E87F47C"/>
    <w:rsid w:val="5F128C38"/>
    <w:rsid w:val="5F3D4933"/>
    <w:rsid w:val="5F6AED6C"/>
    <w:rsid w:val="603DF76A"/>
    <w:rsid w:val="607E0E84"/>
    <w:rsid w:val="608E6BF6"/>
    <w:rsid w:val="613E1C73"/>
    <w:rsid w:val="61567604"/>
    <w:rsid w:val="62D8FA14"/>
    <w:rsid w:val="634A5428"/>
    <w:rsid w:val="634D89D5"/>
    <w:rsid w:val="6405C667"/>
    <w:rsid w:val="64100357"/>
    <w:rsid w:val="64137A13"/>
    <w:rsid w:val="6418B44C"/>
    <w:rsid w:val="64C440D0"/>
    <w:rsid w:val="64F709CF"/>
    <w:rsid w:val="65EF1E86"/>
    <w:rsid w:val="664D3E38"/>
    <w:rsid w:val="66D6615A"/>
    <w:rsid w:val="66DA84AB"/>
    <w:rsid w:val="66E97302"/>
    <w:rsid w:val="684D00C9"/>
    <w:rsid w:val="685FC1BB"/>
    <w:rsid w:val="68A23D2D"/>
    <w:rsid w:val="69750F1C"/>
    <w:rsid w:val="69EFB681"/>
    <w:rsid w:val="6A1BC7C6"/>
    <w:rsid w:val="6BEDE23D"/>
    <w:rsid w:val="6C331A4F"/>
    <w:rsid w:val="6C9BCB6B"/>
    <w:rsid w:val="6C9C8A16"/>
    <w:rsid w:val="6CD1BA0C"/>
    <w:rsid w:val="6CD96366"/>
    <w:rsid w:val="6D9A5491"/>
    <w:rsid w:val="6DD7A948"/>
    <w:rsid w:val="6E198673"/>
    <w:rsid w:val="6E1F7205"/>
    <w:rsid w:val="6E2087E0"/>
    <w:rsid w:val="6EC708EC"/>
    <w:rsid w:val="6F248A9C"/>
    <w:rsid w:val="6F829C3A"/>
    <w:rsid w:val="6FA4EC9D"/>
    <w:rsid w:val="705497CF"/>
    <w:rsid w:val="705F7FA4"/>
    <w:rsid w:val="70D1F0B2"/>
    <w:rsid w:val="7126180C"/>
    <w:rsid w:val="7133FC87"/>
    <w:rsid w:val="719B61AC"/>
    <w:rsid w:val="71B59E91"/>
    <w:rsid w:val="724A9406"/>
    <w:rsid w:val="728A66CB"/>
    <w:rsid w:val="72DF5780"/>
    <w:rsid w:val="75330B84"/>
    <w:rsid w:val="757A6974"/>
    <w:rsid w:val="7593A4D8"/>
    <w:rsid w:val="75C5AB5F"/>
    <w:rsid w:val="766168D7"/>
    <w:rsid w:val="77C8198C"/>
    <w:rsid w:val="77CFE657"/>
    <w:rsid w:val="788B9D07"/>
    <w:rsid w:val="78A50972"/>
    <w:rsid w:val="78D17087"/>
    <w:rsid w:val="78D40F74"/>
    <w:rsid w:val="796C45FA"/>
    <w:rsid w:val="79DB4471"/>
    <w:rsid w:val="7A00207B"/>
    <w:rsid w:val="7A65858F"/>
    <w:rsid w:val="7AE38C7A"/>
    <w:rsid w:val="7B7F52AB"/>
    <w:rsid w:val="7BC65219"/>
    <w:rsid w:val="7CA7B279"/>
    <w:rsid w:val="7D9E8AA7"/>
    <w:rsid w:val="7DC259A2"/>
    <w:rsid w:val="7E24EC6D"/>
    <w:rsid w:val="7F0BE8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E3C48"/>
  <w15:chartTrackingRefBased/>
  <w15:docId w15:val="{A07F9A78-AFB3-4812-A153-E06BBAA1456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70CD506"/>
    <w:rPr>
      <w:color w:val="467886"/>
      <w:u w:val="single"/>
    </w:rPr>
  </w:style>
  <w:style w:type="paragraph" w:styleId="TOC1">
    <w:uiPriority w:val="39"/>
    <w:name w:val="toc 1"/>
    <w:basedOn w:val="Normal"/>
    <w:next w:val="Normal"/>
    <w:unhideWhenUsed/>
    <w:rsid w:val="1102065C"/>
    <w:pPr>
      <w:spacing w:after="100"/>
    </w:pPr>
  </w:style>
  <w:style w:type="paragraph" w:styleId="TOC3">
    <w:uiPriority w:val="39"/>
    <w:name w:val="toc 3"/>
    <w:basedOn w:val="Normal"/>
    <w:next w:val="Normal"/>
    <w:unhideWhenUsed/>
    <w:rsid w:val="1102065C"/>
    <w:pPr>
      <w:spacing w:after="100"/>
      <w:ind w:left="440"/>
    </w:pPr>
  </w:style>
  <w:style w:type="paragraph" w:styleId="TOC2">
    <w:uiPriority w:val="39"/>
    <w:name w:val="toc 2"/>
    <w:basedOn w:val="Normal"/>
    <w:next w:val="Normal"/>
    <w:unhideWhenUsed/>
    <w:rsid w:val="1102065C"/>
    <w:pPr>
      <w:spacing w:after="100"/>
      <w:ind w:left="220"/>
    </w:pPr>
  </w:style>
  <w:style w:type="paragraph" w:styleId="ListParagraph">
    <w:uiPriority w:val="34"/>
    <w:name w:val="List Paragraph"/>
    <w:basedOn w:val="Normal"/>
    <w:qFormat/>
    <w:rsid w:val="0E0A57E3"/>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725343744" /><Relationship Type="http://schemas.openxmlformats.org/officeDocument/2006/relationships/hyperlink" Target="https://doi.org/10.3389/fnut.2024.1542307" TargetMode="External" Id="R5ec87a891aef4bed" /><Relationship Type="http://schemas.openxmlformats.org/officeDocument/2006/relationships/hyperlink" Target="https://www.longtermplan.nhs.uk/online-version/overview-and-summary/" TargetMode="External" Id="R2ca309c060b54244" /><Relationship Type="http://schemas.openxmlformats.org/officeDocument/2006/relationships/hyperlink" Target="https://www.theglobalfund.org" TargetMode="External" Id="R1f5e6fb20a8f4b14" /><Relationship Type="http://schemas.openxmlformats.org/officeDocument/2006/relationships/hyperlink" Target="https://www.theglobalfund.org/en/about-the-global-fund/" TargetMode="External" Id="Rf4c8b41282cd497e" /><Relationship Type="http://schemas.openxmlformats.org/officeDocument/2006/relationships/hyperlink" Target="https://www.undp.org/stories/promise-health-all" TargetMode="External" Id="R363869cc1b374118" /><Relationship Type="http://schemas.openxmlformats.org/officeDocument/2006/relationships/hyperlink" Target="https://sdgs.un.org/goals/goal3" TargetMode="External" Id="Ra738f2ceb21c4d0f" /><Relationship Type="http://schemas.openxmlformats.org/officeDocument/2006/relationships/hyperlink" Target="https://sdgs.un.org/goals" TargetMode="External" Id="Rcb1af30be32b4113" /><Relationship Type="http://schemas.openxmlformats.org/officeDocument/2006/relationships/hyperlink" Target="https://www.who.int/health-topics/sustainable-development-goals" TargetMode="External" Id="R5e5f97077a9a4bb5" /><Relationship Type="http://schemas.openxmlformats.org/officeDocument/2006/relationships/hyperlink" Target="https://www.who.int" TargetMode="External" Id="Ree436fec0b224c2d" /><Relationship Type="http://schemas.openxmlformats.org/officeDocument/2006/relationships/hyperlink" Target="https://www.who.int/initiatives/sdg3-global-action-plan" TargetMode="External" Id="Ra77b33b4100e46a4" /><Relationship Type="http://schemas.microsoft.com/office/2020/10/relationships/intelligence" Target="/word/intelligence2.xml" Id="Rb9fe6e8570f04147" /><Relationship Type="http://schemas.openxmlformats.org/officeDocument/2006/relationships/numbering" Target="/word/numbering.xml" Id="Rc209c30b9e9441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Asos Abdolla (2223216)</dc:creator>
  <keywords/>
  <dc:description/>
  <lastModifiedBy>Asos Abdolla (2223216)</lastModifiedBy>
  <revision>6</revision>
  <dcterms:created xsi:type="dcterms:W3CDTF">2025-11-03T12:31:07.4652629Z</dcterms:created>
  <dcterms:modified xsi:type="dcterms:W3CDTF">2025-11-16T01:30:11.4585895Z</dcterms:modified>
</coreProperties>
</file>