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43174248" w14:textId="77777777" w:rsidR="00F23589" w:rsidRDefault="00000000">
      <w:r>
        <w:rPr>
          <w:noProof/>
        </w:rPr>
        <w:drawing>
          <wp:inline distT="19050" distB="19050" distL="19050" distR="19050" wp14:anchorId="6CC71937" wp14:editId="2D1F4BFE">
            <wp:extent cx="1809750" cy="723900"/>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6"/>
                    <a:srcRect/>
                    <a:stretch>
                      <a:fillRect/>
                    </a:stretch>
                  </pic:blipFill>
                  <pic:spPr>
                    <a:xfrm>
                      <a:off x="0" y="0"/>
                      <a:ext cx="1809750" cy="723900"/>
                    </a:xfrm>
                    <a:prstGeom prst="rect">
                      <a:avLst/>
                    </a:prstGeom>
                    <a:ln/>
                  </pic:spPr>
                </pic:pic>
              </a:graphicData>
            </a:graphic>
          </wp:inline>
        </w:drawing>
      </w:r>
    </w:p>
    <w:p w14:paraId="6E56A064" w14:textId="77777777" w:rsidR="00F23589" w:rsidRDefault="00F23589">
      <w:pPr>
        <w:rPr>
          <w:b/>
          <w:bCs/>
        </w:rPr>
      </w:pPr>
    </w:p>
    <w:p w14:paraId="0C540D2C" w14:textId="77777777" w:rsidR="00F23589" w:rsidRDefault="00F23589">
      <w:pPr>
        <w:rPr>
          <w:b/>
          <w:bCs/>
        </w:rPr>
      </w:pPr>
    </w:p>
    <w:p w14:paraId="0F8A19BE" w14:textId="77777777" w:rsidR="00F23589" w:rsidRDefault="00F23589">
      <w:pPr>
        <w:jc w:val="center"/>
        <w:rPr>
          <w:b/>
          <w:bCs/>
          <w:sz w:val="36"/>
          <w:szCs w:val="36"/>
        </w:rPr>
      </w:pPr>
    </w:p>
    <w:p w14:paraId="400A4FD0" w14:textId="77777777" w:rsidR="00F23589" w:rsidRDefault="00F23589">
      <w:pPr>
        <w:jc w:val="center"/>
        <w:rPr>
          <w:b/>
          <w:bCs/>
          <w:sz w:val="36"/>
          <w:szCs w:val="36"/>
        </w:rPr>
      </w:pPr>
    </w:p>
    <w:p w14:paraId="66A4A478" w14:textId="77777777" w:rsidR="00F23589" w:rsidRDefault="00F23589">
      <w:pPr>
        <w:jc w:val="center"/>
        <w:rPr>
          <w:b/>
          <w:bCs/>
          <w:sz w:val="36"/>
          <w:szCs w:val="36"/>
        </w:rPr>
      </w:pPr>
    </w:p>
    <w:p w14:paraId="55467B7D" w14:textId="77777777" w:rsidR="00F23589" w:rsidRDefault="00F23589">
      <w:pPr>
        <w:jc w:val="center"/>
        <w:rPr>
          <w:b/>
          <w:bCs/>
          <w:sz w:val="36"/>
          <w:szCs w:val="36"/>
        </w:rPr>
      </w:pPr>
    </w:p>
    <w:p w14:paraId="0BFC59D5" w14:textId="77777777" w:rsidR="00F23589" w:rsidRDefault="00F23589">
      <w:pPr>
        <w:jc w:val="center"/>
        <w:rPr>
          <w:b/>
          <w:bCs/>
          <w:sz w:val="36"/>
          <w:szCs w:val="36"/>
        </w:rPr>
      </w:pPr>
    </w:p>
    <w:p w14:paraId="6B0EF7AC" w14:textId="77777777" w:rsidR="00F23589" w:rsidRDefault="00F23589">
      <w:pPr>
        <w:jc w:val="center"/>
        <w:rPr>
          <w:b/>
          <w:bCs/>
          <w:sz w:val="36"/>
          <w:szCs w:val="36"/>
        </w:rPr>
      </w:pPr>
    </w:p>
    <w:p w14:paraId="384083A3" w14:textId="77777777" w:rsidR="00F23589" w:rsidRDefault="00000000">
      <w:pPr>
        <w:jc w:val="center"/>
        <w:rPr>
          <w:b/>
          <w:bCs/>
          <w:sz w:val="36"/>
          <w:szCs w:val="36"/>
        </w:rPr>
      </w:pPr>
      <w:r>
        <w:rPr>
          <w:b/>
          <w:bCs/>
          <w:sz w:val="36"/>
          <w:szCs w:val="36"/>
        </w:rPr>
        <w:t>Student name: Daniel Ciprian Iancu</w:t>
      </w:r>
    </w:p>
    <w:p w14:paraId="1E06CB53" w14:textId="31AD6D8A" w:rsidR="00F23589" w:rsidRDefault="00000000">
      <w:pPr>
        <w:jc w:val="center"/>
        <w:rPr>
          <w:b/>
          <w:bCs/>
          <w:sz w:val="36"/>
          <w:szCs w:val="36"/>
        </w:rPr>
      </w:pPr>
      <w:r>
        <w:rPr>
          <w:b/>
          <w:bCs/>
          <w:sz w:val="36"/>
          <w:szCs w:val="36"/>
        </w:rPr>
        <w:t>Student ID number:</w:t>
      </w:r>
      <w:r w:rsidR="00141DBE">
        <w:rPr>
          <w:b/>
          <w:bCs/>
          <w:sz w:val="36"/>
          <w:szCs w:val="36"/>
        </w:rPr>
        <w:t xml:space="preserve"> 2530100</w:t>
      </w:r>
    </w:p>
    <w:p w14:paraId="05B2F118" w14:textId="77777777" w:rsidR="00F23589" w:rsidRDefault="00000000">
      <w:pPr>
        <w:jc w:val="center"/>
        <w:rPr>
          <w:b/>
          <w:bCs/>
          <w:sz w:val="36"/>
          <w:szCs w:val="36"/>
        </w:rPr>
      </w:pPr>
      <w:r>
        <w:rPr>
          <w:b/>
          <w:bCs/>
          <w:sz w:val="36"/>
          <w:szCs w:val="36"/>
        </w:rPr>
        <w:t>Module: Introduction to Health and Social Care</w:t>
      </w:r>
    </w:p>
    <w:p w14:paraId="3CD7D333" w14:textId="77777777" w:rsidR="00F23589" w:rsidRDefault="00000000">
      <w:pPr>
        <w:jc w:val="center"/>
        <w:rPr>
          <w:b/>
          <w:bCs/>
          <w:sz w:val="36"/>
          <w:szCs w:val="36"/>
        </w:rPr>
      </w:pPr>
      <w:r>
        <w:rPr>
          <w:b/>
          <w:bCs/>
          <w:sz w:val="36"/>
          <w:szCs w:val="36"/>
        </w:rPr>
        <w:t xml:space="preserve">Module code: LCHS4003 </w:t>
      </w:r>
    </w:p>
    <w:p w14:paraId="3ECE2F2F" w14:textId="77777777" w:rsidR="00F23589" w:rsidRDefault="00000000">
      <w:pPr>
        <w:jc w:val="center"/>
        <w:rPr>
          <w:b/>
          <w:bCs/>
          <w:sz w:val="36"/>
          <w:szCs w:val="36"/>
        </w:rPr>
      </w:pPr>
      <w:r>
        <w:rPr>
          <w:b/>
          <w:bCs/>
          <w:sz w:val="36"/>
          <w:szCs w:val="36"/>
        </w:rPr>
        <w:t xml:space="preserve">Lecturers: Muhammad Aliyu </w:t>
      </w:r>
    </w:p>
    <w:p w14:paraId="06F4E7E2" w14:textId="77777777" w:rsidR="00F23589" w:rsidRDefault="00000000">
      <w:pPr>
        <w:jc w:val="center"/>
        <w:rPr>
          <w:b/>
          <w:bCs/>
          <w:sz w:val="36"/>
          <w:szCs w:val="36"/>
        </w:rPr>
      </w:pPr>
      <w:r>
        <w:rPr>
          <w:b/>
          <w:bCs/>
          <w:sz w:val="36"/>
          <w:szCs w:val="36"/>
        </w:rPr>
        <w:t xml:space="preserve">Assignment Title: Written Assignment </w:t>
      </w:r>
      <w:r>
        <w:br w:type="page"/>
      </w:r>
    </w:p>
    <w:p w14:paraId="7C70795A" w14:textId="77777777" w:rsidR="00F23589" w:rsidRDefault="00000000">
      <w:pPr>
        <w:jc w:val="center"/>
        <w:rPr>
          <w:b/>
          <w:bCs/>
        </w:rPr>
      </w:pPr>
      <w:r>
        <w:rPr>
          <w:b/>
          <w:bCs/>
        </w:rPr>
        <w:lastRenderedPageBreak/>
        <w:t>Table of Contents</w:t>
      </w:r>
    </w:p>
    <w:sdt>
      <w:sdtPr>
        <w:id w:val="97001133"/>
        <w:docPartObj>
          <w:docPartGallery w:val="Table of Contents"/>
          <w:docPartUnique/>
        </w:docPartObj>
      </w:sdtPr>
      <w:sdtContent>
        <w:p w14:paraId="01EC7101" w14:textId="77777777" w:rsidR="00F23589" w:rsidRDefault="00000000">
          <w:pPr>
            <w:widowControl w:val="0"/>
            <w:tabs>
              <w:tab w:val="right" w:leader="dot" w:pos="9025"/>
            </w:tabs>
            <w:spacing w:before="60"/>
            <w:rPr>
              <w:b/>
              <w:bCs/>
              <w:color w:val="000000"/>
            </w:rPr>
          </w:pPr>
          <w:r>
            <w:fldChar w:fldCharType="begin"/>
          </w:r>
          <w:r>
            <w:instrText xml:space="preserve"> TOC \h \u \z \t "Heading 1,1,Heading 2,2,Heading 3,3,Heading 4,4,Heading 5,5,Heading 6,6,"</w:instrText>
          </w:r>
          <w:r>
            <w:fldChar w:fldCharType="separate"/>
          </w:r>
          <w:hyperlink w:anchor="_pu03er3em623">
            <w:r w:rsidR="00F23589">
              <w:rPr>
                <w:b/>
                <w:bCs/>
                <w:color w:val="000000"/>
              </w:rPr>
              <w:t>Introduction</w:t>
            </w:r>
            <w:r w:rsidR="00F23589">
              <w:rPr>
                <w:b/>
                <w:bCs/>
                <w:color w:val="000000"/>
              </w:rPr>
              <w:tab/>
            </w:r>
          </w:hyperlink>
          <w:r>
            <w:fldChar w:fldCharType="begin"/>
          </w:r>
          <w:r>
            <w:instrText xml:space="preserve"> PAGEREF _pu03er3em623 \h </w:instrText>
          </w:r>
          <w:r>
            <w:fldChar w:fldCharType="separate"/>
          </w:r>
          <w:r>
            <w:rPr>
              <w:b/>
              <w:bCs/>
            </w:rPr>
            <w:t>2</w:t>
          </w:r>
          <w:r>
            <w:fldChar w:fldCharType="end"/>
          </w:r>
        </w:p>
        <w:p w14:paraId="66B7D7DA" w14:textId="77777777" w:rsidR="00F23589" w:rsidRDefault="00F23589">
          <w:pPr>
            <w:widowControl w:val="0"/>
            <w:tabs>
              <w:tab w:val="right" w:leader="dot" w:pos="9025"/>
            </w:tabs>
            <w:spacing w:before="60"/>
            <w:rPr>
              <w:b/>
              <w:bCs/>
              <w:color w:val="000000"/>
            </w:rPr>
          </w:pPr>
          <w:hyperlink w:anchor="_crbzodfej5v1">
            <w:r>
              <w:rPr>
                <w:b/>
                <w:bCs/>
                <w:color w:val="000000"/>
              </w:rPr>
              <w:t>Discuss the importance of effective communication within the context of Mrs  Thompson’s care.</w:t>
            </w:r>
            <w:r>
              <w:rPr>
                <w:b/>
                <w:bCs/>
                <w:color w:val="000000"/>
              </w:rPr>
              <w:tab/>
            </w:r>
          </w:hyperlink>
          <w:r w:rsidR="00000000">
            <w:fldChar w:fldCharType="begin"/>
          </w:r>
          <w:r w:rsidR="00000000">
            <w:instrText xml:space="preserve"> PAGEREF _crbzodfej5v1 \h </w:instrText>
          </w:r>
          <w:r w:rsidR="00000000">
            <w:fldChar w:fldCharType="separate"/>
          </w:r>
          <w:r w:rsidR="00000000">
            <w:rPr>
              <w:b/>
              <w:bCs/>
            </w:rPr>
            <w:t>2</w:t>
          </w:r>
          <w:r w:rsidR="00000000">
            <w:fldChar w:fldCharType="end"/>
          </w:r>
        </w:p>
        <w:p w14:paraId="35E0B1A5" w14:textId="77777777" w:rsidR="00F23589" w:rsidRDefault="00F23589">
          <w:pPr>
            <w:widowControl w:val="0"/>
            <w:tabs>
              <w:tab w:val="right" w:leader="dot" w:pos="9025"/>
            </w:tabs>
            <w:spacing w:before="60"/>
            <w:rPr>
              <w:b/>
              <w:bCs/>
              <w:color w:val="000000"/>
            </w:rPr>
          </w:pPr>
          <w:hyperlink w:anchor="_bgj6cgkgbgb4">
            <w:r>
              <w:rPr>
                <w:b/>
                <w:bCs/>
                <w:color w:val="000000"/>
              </w:rPr>
              <w:t>Discuss the importance of good administrative skills within professional practice within the context of Mrs Thompson’s care.</w:t>
            </w:r>
            <w:r>
              <w:rPr>
                <w:b/>
                <w:bCs/>
                <w:color w:val="000000"/>
              </w:rPr>
              <w:tab/>
            </w:r>
          </w:hyperlink>
          <w:r w:rsidR="00000000">
            <w:fldChar w:fldCharType="begin"/>
          </w:r>
          <w:r w:rsidR="00000000">
            <w:instrText xml:space="preserve"> PAGEREF _bgj6cgkgbgb4 \h </w:instrText>
          </w:r>
          <w:r w:rsidR="00000000">
            <w:fldChar w:fldCharType="separate"/>
          </w:r>
          <w:r w:rsidR="00000000">
            <w:rPr>
              <w:b/>
              <w:bCs/>
            </w:rPr>
            <w:t>3</w:t>
          </w:r>
          <w:r w:rsidR="00000000">
            <w:fldChar w:fldCharType="end"/>
          </w:r>
        </w:p>
        <w:p w14:paraId="080BE38E" w14:textId="77777777" w:rsidR="00F23589" w:rsidRDefault="00F23589">
          <w:pPr>
            <w:widowControl w:val="0"/>
            <w:tabs>
              <w:tab w:val="right" w:leader="dot" w:pos="9025"/>
            </w:tabs>
            <w:spacing w:before="60"/>
            <w:rPr>
              <w:b/>
              <w:bCs/>
              <w:color w:val="000000"/>
            </w:rPr>
          </w:pPr>
          <w:hyperlink w:anchor="_ywmkclcga0n3">
            <w:r>
              <w:rPr>
                <w:b/>
                <w:bCs/>
                <w:color w:val="000000"/>
              </w:rPr>
              <w:t>Discuss the importance of working collaboratively with other professionals involved in  Mrs Thompson’s care, such as the GP, community nurse, and domiciliary care workers.</w:t>
            </w:r>
            <w:r>
              <w:rPr>
                <w:b/>
                <w:bCs/>
                <w:color w:val="000000"/>
              </w:rPr>
              <w:tab/>
            </w:r>
          </w:hyperlink>
          <w:r w:rsidR="00000000">
            <w:fldChar w:fldCharType="begin"/>
          </w:r>
          <w:r w:rsidR="00000000">
            <w:instrText xml:space="preserve"> PAGEREF _ywmkclcga0n3 \h </w:instrText>
          </w:r>
          <w:r w:rsidR="00000000">
            <w:fldChar w:fldCharType="separate"/>
          </w:r>
          <w:r w:rsidR="00000000">
            <w:rPr>
              <w:b/>
              <w:bCs/>
            </w:rPr>
            <w:t>4</w:t>
          </w:r>
          <w:r w:rsidR="00000000">
            <w:fldChar w:fldCharType="end"/>
          </w:r>
        </w:p>
        <w:p w14:paraId="4B25858B" w14:textId="77777777" w:rsidR="00F23589" w:rsidRDefault="00F23589">
          <w:pPr>
            <w:widowControl w:val="0"/>
            <w:tabs>
              <w:tab w:val="right" w:leader="dot" w:pos="9025"/>
            </w:tabs>
            <w:spacing w:before="60"/>
            <w:rPr>
              <w:b/>
              <w:bCs/>
              <w:color w:val="000000"/>
            </w:rPr>
          </w:pPr>
          <w:hyperlink w:anchor="_i9a5hmafazrg">
            <w:r>
              <w:rPr>
                <w:b/>
                <w:bCs/>
                <w:color w:val="000000"/>
              </w:rPr>
              <w:t>Conclusion</w:t>
            </w:r>
            <w:r>
              <w:rPr>
                <w:b/>
                <w:bCs/>
                <w:color w:val="000000"/>
              </w:rPr>
              <w:tab/>
            </w:r>
          </w:hyperlink>
          <w:r w:rsidR="00000000">
            <w:fldChar w:fldCharType="begin"/>
          </w:r>
          <w:r w:rsidR="00000000">
            <w:instrText xml:space="preserve"> PAGEREF _i9a5hmafazrg \h </w:instrText>
          </w:r>
          <w:r w:rsidR="00000000">
            <w:fldChar w:fldCharType="separate"/>
          </w:r>
          <w:r w:rsidR="00000000">
            <w:rPr>
              <w:b/>
              <w:bCs/>
            </w:rPr>
            <w:t>5</w:t>
          </w:r>
          <w:r w:rsidR="00000000">
            <w:fldChar w:fldCharType="end"/>
          </w:r>
        </w:p>
        <w:p w14:paraId="7980FFDB" w14:textId="77777777" w:rsidR="00F23589" w:rsidRDefault="00F23589">
          <w:pPr>
            <w:widowControl w:val="0"/>
            <w:tabs>
              <w:tab w:val="right" w:leader="dot" w:pos="9025"/>
            </w:tabs>
            <w:spacing w:before="60"/>
            <w:rPr>
              <w:b/>
              <w:bCs/>
              <w:color w:val="000000"/>
            </w:rPr>
          </w:pPr>
          <w:hyperlink w:anchor="_re09xnt1fhkx">
            <w:r>
              <w:rPr>
                <w:b/>
                <w:bCs/>
                <w:color w:val="000000"/>
              </w:rPr>
              <w:t>References</w:t>
            </w:r>
            <w:r>
              <w:rPr>
                <w:b/>
                <w:bCs/>
                <w:color w:val="000000"/>
              </w:rPr>
              <w:tab/>
            </w:r>
          </w:hyperlink>
          <w:r w:rsidR="00000000">
            <w:fldChar w:fldCharType="begin"/>
          </w:r>
          <w:r w:rsidR="00000000">
            <w:instrText xml:space="preserve"> PAGEREF _re09xnt1fhkx \h </w:instrText>
          </w:r>
          <w:r w:rsidR="00000000">
            <w:fldChar w:fldCharType="separate"/>
          </w:r>
          <w:r w:rsidR="00000000">
            <w:rPr>
              <w:b/>
              <w:bCs/>
            </w:rPr>
            <w:t>6</w:t>
          </w:r>
          <w:r w:rsidR="00000000">
            <w:fldChar w:fldCharType="end"/>
          </w:r>
          <w:r w:rsidR="00000000">
            <w:fldChar w:fldCharType="end"/>
          </w:r>
        </w:p>
      </w:sdtContent>
    </w:sdt>
    <w:p w14:paraId="64E47702" w14:textId="77777777" w:rsidR="00F23589" w:rsidRDefault="00000000">
      <w:r>
        <w:br w:type="page"/>
      </w:r>
    </w:p>
    <w:p w14:paraId="2BB66AB5" w14:textId="77777777" w:rsidR="00F23589" w:rsidRDefault="00000000">
      <w:pPr>
        <w:pStyle w:val="Heading1"/>
      </w:pPr>
      <w:bookmarkStart w:id="0" w:name="_pu03er3em623" w:colFirst="0" w:colLast="0"/>
      <w:bookmarkEnd w:id="0"/>
      <w:r>
        <w:lastRenderedPageBreak/>
        <w:t xml:space="preserve">Introduction </w:t>
      </w:r>
    </w:p>
    <w:p w14:paraId="10287993" w14:textId="2316D30E" w:rsidR="00F23589" w:rsidRDefault="00000000">
      <w:r>
        <w:t xml:space="preserve">In a human’s life, health is the most precious thing. Having good health helps a person to do their daily work easily </w:t>
      </w:r>
      <w:r w:rsidR="00361D38">
        <w:t>and</w:t>
      </w:r>
      <w:r>
        <w:t xml:space="preserve"> without worry. But with time, it is natural for a person to lose their good health and find it difficult to do daily work easily. This can happen to anyone, but it is common for elderly people to have concerning health conditions. In that case, they require constant monitoring and an trusted companion to do so for them. The sensitivity of the health condition of these adults might lead to extortion and deceptive incidents, which are quite common these days. That is why there are laws and regulations in place to ensure that vulnerable adults have a peaceful and secure life (Kosiol </w:t>
      </w:r>
      <w:r>
        <w:rPr>
          <w:i/>
          <w:iCs/>
        </w:rPr>
        <w:t xml:space="preserve">et al. </w:t>
      </w:r>
      <w:r>
        <w:t>2024). In this report, the case study of Mrs Thompson will be done to understand how the health and social care system works in the UK, and what types of challenges it faces. The importance of partnership working will also be discussed, along with the importance of legislation and policies of health and social care.</w:t>
      </w:r>
    </w:p>
    <w:p w14:paraId="7BCCAB61" w14:textId="77777777" w:rsidR="00F23589" w:rsidRDefault="00000000">
      <w:pPr>
        <w:pStyle w:val="Heading1"/>
      </w:pPr>
      <w:bookmarkStart w:id="1" w:name="_crbzodfej5v1" w:colFirst="0" w:colLast="0"/>
      <w:bookmarkEnd w:id="1"/>
      <w:r>
        <w:t xml:space="preserve">Discuss the importance of effective communication within the context of Mrs  Thompson’s care. </w:t>
      </w:r>
    </w:p>
    <w:p w14:paraId="75D7A42B" w14:textId="77777777" w:rsidR="00F23589" w:rsidRDefault="00000000">
      <w:pPr>
        <w:rPr>
          <w:b/>
          <w:bCs/>
          <w:u w:val="single"/>
        </w:rPr>
      </w:pPr>
      <w:r>
        <w:rPr>
          <w:b/>
          <w:bCs/>
          <w:u w:val="single"/>
        </w:rPr>
        <w:t>The Case and Implementation of the Equality Act 2010 in It</w:t>
      </w:r>
    </w:p>
    <w:p w14:paraId="6CC1F03E" w14:textId="380CD34A" w:rsidR="00F23589" w:rsidRDefault="00000000">
      <w:r>
        <w:t xml:space="preserve">This case study is based around an 84-year-old vulnerable adult, </w:t>
      </w:r>
      <w:r w:rsidR="00361D38">
        <w:t>Mrs</w:t>
      </w:r>
      <w:r>
        <w:t xml:space="preserve"> Thompson. She lives alone in a sheltered house where she gets domiciliary care twice daily. She has mild dementia and forgets to take her medicine often. The pneumonia, which led her to go to hospital, was a result of this health condition. She was out in the cold without proper clothes, which made her very ill. In this case, effective communication with her family is needed. The Equality Act 2010 of the UK says to eliminate discrimination based on nine aspects, which include disability, sex, race,e and gender. According to this act, effective communication in this case requires two core actions (Boon, 2023).</w:t>
      </w:r>
    </w:p>
    <w:p w14:paraId="672A66A5" w14:textId="77777777" w:rsidR="00F23589" w:rsidRDefault="00000000">
      <w:r>
        <w:rPr>
          <w:b/>
          <w:bCs/>
          <w:i/>
          <w:iCs/>
        </w:rPr>
        <w:t>Eliminating Discrimination:</w:t>
      </w:r>
      <w:r>
        <w:t xml:space="preserve"> In this aspect, the elimination of the communication barrier is the concern. In this case, if needed, an alternative format of communication might be included to help Mrs Thompson (Boon, 2023). </w:t>
      </w:r>
    </w:p>
    <w:p w14:paraId="60B0A5FA" w14:textId="77777777" w:rsidR="00F23589" w:rsidRDefault="00000000">
      <w:r>
        <w:rPr>
          <w:b/>
          <w:bCs/>
          <w:i/>
          <w:iCs/>
        </w:rPr>
        <w:t>Duty to make Reasonable Adjustment:</w:t>
      </w:r>
      <w:r>
        <w:t xml:space="preserve"> The care providers are here to help the vulnerable adult get through daily activities, so they need to adjust their communication style based on the needs of the vulnerable adult (Boon, 2023). </w:t>
      </w:r>
    </w:p>
    <w:p w14:paraId="73DC4015" w14:textId="77777777" w:rsidR="00F23589" w:rsidRDefault="00000000">
      <w:pPr>
        <w:rPr>
          <w:b/>
          <w:bCs/>
          <w:u w:val="single"/>
        </w:rPr>
      </w:pPr>
      <w:r>
        <w:rPr>
          <w:b/>
          <w:bCs/>
          <w:u w:val="single"/>
        </w:rPr>
        <w:t>Communicating With Vulnerable Adults Using Shannon-Weaver Model</w:t>
      </w:r>
    </w:p>
    <w:p w14:paraId="639364C8" w14:textId="77777777" w:rsidR="00F23589" w:rsidRDefault="00000000">
      <w:r>
        <w:t xml:space="preserve">Shannon-Weaver Model is a popular model of communication. This model of communication has five key elements: Source, Transmitter, Channel, Receiver, and Destination. According to the model whole communicating with vulnerable adults, the most effective way of communication is through minimising the Noise in this process. The source and transmitter are the responsibility of the caregiver. The ideal way to manage these aspects is to formulate a clear message and communicate in normal layman's language. The channel holds </w:t>
      </w:r>
      <w:r>
        <w:lastRenderedPageBreak/>
        <w:t xml:space="preserve">significant importance in this. The caregiver should choose the channel wisely, based on what works well with the situation. They can use verbal communication, a written care plan, or assistive technology (e.g., communication boards). In such cases, noise can be any disruption from loud noises, physical noise, or psychological Noise. So, the caregiver should make sure the message they are offering is received by the receiver effectively (Khadija and Omar, 2023). </w:t>
      </w:r>
    </w:p>
    <w:p w14:paraId="288E2FF0" w14:textId="3DFFBE8B" w:rsidR="00F23589" w:rsidRDefault="00000000">
      <w:pPr>
        <w:rPr>
          <w:b/>
          <w:bCs/>
          <w:u w:val="single"/>
        </w:rPr>
      </w:pPr>
      <w:r>
        <w:rPr>
          <w:b/>
          <w:bCs/>
          <w:u w:val="single"/>
        </w:rPr>
        <w:t xml:space="preserve">Communication In the Case of </w:t>
      </w:r>
      <w:r w:rsidR="00361D38">
        <w:rPr>
          <w:b/>
          <w:bCs/>
          <w:u w:val="single"/>
        </w:rPr>
        <w:t>mars</w:t>
      </w:r>
      <w:r>
        <w:rPr>
          <w:b/>
          <w:bCs/>
          <w:u w:val="single"/>
        </w:rPr>
        <w:t xml:space="preserve"> Thompson</w:t>
      </w:r>
    </w:p>
    <w:p w14:paraId="71D1D783" w14:textId="1651A7D6" w:rsidR="00F23589" w:rsidRDefault="00000000">
      <w:r>
        <w:t xml:space="preserve">The caregiver in the case of </w:t>
      </w:r>
      <w:r w:rsidR="00361D38">
        <w:t>Mrs.</w:t>
      </w:r>
      <w:r>
        <w:t xml:space="preserve"> Thompson is necessary, as she often forgets her medication.  In this case, the caregiver needs to follow some steps to ensure </w:t>
      </w:r>
      <w:r w:rsidR="00361D38">
        <w:t>Mrs</w:t>
      </w:r>
      <w:r>
        <w:t xml:space="preserve"> Thompson’s safety and well-being. They need to always address her first before anyone else. They should understand her communication needs and design the plan accordingly. They should maintain a calm and peaceful environment surrounding </w:t>
      </w:r>
      <w:r w:rsidR="00361D38">
        <w:t>Mrs.</w:t>
      </w:r>
      <w:r>
        <w:t xml:space="preserve"> Thompson to make her feel safe. They should follow the Shannon-Weaver model of communication thoroughly and ask open-ended questions to verify her understanding. Lastly, they should always ask for consent before doing anything to her so that she can feel safe and sound. This will create a</w:t>
      </w:r>
      <w:r w:rsidR="00361D38">
        <w:t xml:space="preserve"> </w:t>
      </w:r>
      <w:r>
        <w:t xml:space="preserve">good bonding between them, and </w:t>
      </w:r>
      <w:r w:rsidR="00361D38">
        <w:t>Mrs</w:t>
      </w:r>
      <w:r>
        <w:t xml:space="preserve"> Thompson can rely on them safely (Khadija and Omar, 2023).</w:t>
      </w:r>
    </w:p>
    <w:p w14:paraId="1A45A7D1" w14:textId="77777777" w:rsidR="00F23589" w:rsidRDefault="00000000">
      <w:pPr>
        <w:rPr>
          <w:b/>
          <w:bCs/>
          <w:u w:val="single"/>
        </w:rPr>
      </w:pPr>
      <w:r>
        <w:rPr>
          <w:b/>
          <w:bCs/>
          <w:u w:val="single"/>
        </w:rPr>
        <w:t>Communication In Case Of Her Family</w:t>
      </w:r>
    </w:p>
    <w:p w14:paraId="7D43ADB3" w14:textId="333C6FEF" w:rsidR="00F23589" w:rsidRDefault="00000000">
      <w:r>
        <w:t xml:space="preserve">In the case of </w:t>
      </w:r>
      <w:r w:rsidR="00361D38">
        <w:t>Mrs</w:t>
      </w:r>
      <w:r>
        <w:t xml:space="preserve"> Thompson, she lives alone without any family. But she has family somewhere, and they have the right to know about her well-being. In this case, the caregiver should establish a partnership with the immediate family members and discuss every step of her care process. This communication should be kept confidential for the sake of </w:t>
      </w:r>
      <w:r w:rsidR="00361D38">
        <w:t>Mrs</w:t>
      </w:r>
      <w:r>
        <w:t xml:space="preserve"> Thompson and her family. The communication should be transparent and clear for better understanding. Lastly, emotional distress management should be there, where the caregiver would listen to their concerns and react to them with empathy (Khadija and Omar, 2023). </w:t>
      </w:r>
    </w:p>
    <w:p w14:paraId="286BB5BF" w14:textId="77777777" w:rsidR="00F23589" w:rsidRDefault="00000000">
      <w:pPr>
        <w:pStyle w:val="Heading1"/>
        <w:widowControl w:val="0"/>
        <w:spacing w:before="26"/>
        <w:ind w:right="44"/>
      </w:pPr>
      <w:bookmarkStart w:id="2" w:name="_bgj6cgkgbgb4" w:colFirst="0" w:colLast="0"/>
      <w:bookmarkEnd w:id="2"/>
      <w:r>
        <w:t>Discuss the importance of good administrative skills within professional practice within the context of Mrs Thompson’s care.</w:t>
      </w:r>
    </w:p>
    <w:p w14:paraId="472834D5" w14:textId="77777777" w:rsidR="00F23589" w:rsidRDefault="00000000">
      <w:pPr>
        <w:widowControl w:val="0"/>
        <w:spacing w:before="28"/>
        <w:ind w:right="44"/>
        <w:rPr>
          <w:b/>
          <w:bCs/>
          <w:u w:val="single"/>
        </w:rPr>
      </w:pPr>
      <w:r>
        <w:rPr>
          <w:b/>
          <w:bCs/>
          <w:u w:val="single"/>
        </w:rPr>
        <w:t>Core principles of the Data Protection Act 2018</w:t>
      </w:r>
    </w:p>
    <w:p w14:paraId="6C7F9E0D" w14:textId="77777777" w:rsidR="00F23589" w:rsidRDefault="00000000">
      <w:pPr>
        <w:widowControl w:val="0"/>
        <w:spacing w:before="28"/>
        <w:ind w:right="44"/>
      </w:pPr>
      <w:r>
        <w:rPr>
          <w:b/>
          <w:bCs/>
          <w:i/>
          <w:iCs/>
        </w:rPr>
        <w:t>Lawfulness, Fairness, and Transparency:</w:t>
      </w:r>
      <w:r>
        <w:rPr>
          <w:b/>
          <w:bCs/>
        </w:rPr>
        <w:t xml:space="preserve"> </w:t>
      </w:r>
      <w:r>
        <w:t xml:space="preserve">According to the Act, the caregiver must have legal consent to collect the data from the vulnerable adult. In this case, maintaining fairness and transparency with the patient and their families is needed. In this case, Mrs Thompson must be aware of the care plan along with her immediate family members (Khanna and Kotwal, 2025). </w:t>
      </w:r>
    </w:p>
    <w:p w14:paraId="76DF4E48" w14:textId="61B0460B" w:rsidR="00F23589" w:rsidRDefault="00000000">
      <w:pPr>
        <w:widowControl w:val="0"/>
        <w:spacing w:before="28"/>
        <w:ind w:right="44"/>
      </w:pPr>
      <w:r>
        <w:rPr>
          <w:b/>
          <w:bCs/>
          <w:i/>
          <w:iCs/>
        </w:rPr>
        <w:t>Purpose Limitation:</w:t>
      </w:r>
      <w:r>
        <w:t xml:space="preserve"> This data collection, according to the law, must only be for healthcare-related reasons, not otherwise. This should be clarified with the family members of </w:t>
      </w:r>
      <w:r w:rsidR="00361D38">
        <w:t>Mrs</w:t>
      </w:r>
      <w:r>
        <w:t xml:space="preserve"> Thompson (Khanna and Kotwal, 2025).</w:t>
      </w:r>
    </w:p>
    <w:p w14:paraId="6FCB2035" w14:textId="77777777" w:rsidR="00F23589" w:rsidRDefault="00000000">
      <w:pPr>
        <w:widowControl w:val="0"/>
        <w:spacing w:before="28"/>
        <w:ind w:right="44"/>
      </w:pPr>
      <w:r>
        <w:rPr>
          <w:b/>
          <w:bCs/>
          <w:i/>
          <w:iCs/>
        </w:rPr>
        <w:t>Data Minimisation:</w:t>
      </w:r>
      <w:r>
        <w:t xml:space="preserve"> According to the Act, only necessary, relevant, and adequate data needs to be collected for this purpose. No extra data should be collected. This should be the </w:t>
      </w:r>
      <w:r>
        <w:lastRenderedPageBreak/>
        <w:t>responsibility of the Caregiver, and the immediate family of Mrs Thompson should also monitor them (Khanna and Kotwal, 2025).</w:t>
      </w:r>
    </w:p>
    <w:p w14:paraId="5E9F7B6D" w14:textId="6FC0E132" w:rsidR="00F23589" w:rsidRDefault="00000000">
      <w:pPr>
        <w:widowControl w:val="0"/>
        <w:spacing w:before="28"/>
        <w:ind w:right="44"/>
      </w:pPr>
      <w:r>
        <w:rPr>
          <w:b/>
          <w:bCs/>
          <w:i/>
          <w:iCs/>
        </w:rPr>
        <w:t>Accuracy:</w:t>
      </w:r>
      <w:r>
        <w:t xml:space="preserve"> The law suggests that data that are collected must be up-to-date; whether it is for treatment or care planning, up-to-date data is necessary for proper care. This should also be monitored by the family of </w:t>
      </w:r>
      <w:r w:rsidR="00361D38">
        <w:t>Mrs</w:t>
      </w:r>
      <w:r>
        <w:t xml:space="preserve"> Thompson (Khanna and Kotwal, 2025). </w:t>
      </w:r>
    </w:p>
    <w:p w14:paraId="274EED46" w14:textId="4D2CA646" w:rsidR="00F23589" w:rsidRDefault="00000000">
      <w:pPr>
        <w:widowControl w:val="0"/>
        <w:spacing w:before="28"/>
        <w:ind w:right="44"/>
      </w:pPr>
      <w:r>
        <w:rPr>
          <w:b/>
          <w:bCs/>
          <w:i/>
          <w:iCs/>
        </w:rPr>
        <w:t>Storage Limitation:</w:t>
      </w:r>
      <w:r>
        <w:t xml:space="preserve"> These data must be kept according to the limitations that are mentioned in the record. Any violation of this clause might lead to penalties and legal actions. The caregiver of Mrs Thompson and the family </w:t>
      </w:r>
      <w:r w:rsidR="00361D38">
        <w:t>of Mrs</w:t>
      </w:r>
      <w:r>
        <w:t xml:space="preserve"> Thompson should be aware of this (Khanna and Kotwal, 2025). </w:t>
      </w:r>
    </w:p>
    <w:p w14:paraId="19F166C1" w14:textId="77777777" w:rsidR="00F23589" w:rsidRDefault="00000000">
      <w:pPr>
        <w:widowControl w:val="0"/>
        <w:spacing w:before="28"/>
        <w:ind w:right="44"/>
      </w:pPr>
      <w:r>
        <w:rPr>
          <w:b/>
          <w:bCs/>
          <w:i/>
          <w:iCs/>
        </w:rPr>
        <w:t>Confidentiality:</w:t>
      </w:r>
      <w:r>
        <w:t xml:space="preserve"> Confidentiality of the data is necessary in this case based on the Data Protection Act of the UK. Family members of Mrs Thompson should check and be careful of such leaks (Khanna and Kotwal, 2025).</w:t>
      </w:r>
    </w:p>
    <w:p w14:paraId="5CFFC929" w14:textId="77777777" w:rsidR="00F23589" w:rsidRDefault="00000000">
      <w:pPr>
        <w:widowControl w:val="0"/>
        <w:spacing w:before="28"/>
        <w:ind w:right="44"/>
      </w:pPr>
      <w:r>
        <w:rPr>
          <w:b/>
          <w:bCs/>
          <w:i/>
          <w:iCs/>
        </w:rPr>
        <w:t xml:space="preserve">Accountability: </w:t>
      </w:r>
      <w:r>
        <w:t xml:space="preserve"> The caregiver will be subject to all responsibility to maintain the law and comply with the data they are collecting (Khanna and Kotwal, 2025). </w:t>
      </w:r>
    </w:p>
    <w:p w14:paraId="5BD51BEF" w14:textId="77777777" w:rsidR="00F23589" w:rsidRDefault="00000000">
      <w:pPr>
        <w:widowControl w:val="0"/>
        <w:spacing w:before="28"/>
        <w:ind w:right="44"/>
        <w:rPr>
          <w:b/>
          <w:bCs/>
          <w:u w:val="single"/>
        </w:rPr>
      </w:pPr>
      <w:r>
        <w:rPr>
          <w:b/>
          <w:bCs/>
          <w:u w:val="single"/>
        </w:rPr>
        <w:t>Important Legislation and Policies in this Case</w:t>
      </w:r>
    </w:p>
    <w:p w14:paraId="199D8B33" w14:textId="3594B62D" w:rsidR="00F23589" w:rsidRDefault="00000000">
      <w:pPr>
        <w:widowControl w:val="0"/>
        <w:spacing w:before="28"/>
        <w:ind w:right="44"/>
      </w:pPr>
      <w:r>
        <w:rPr>
          <w:b/>
          <w:bCs/>
          <w:i/>
          <w:iCs/>
        </w:rPr>
        <w:t>Common Law Duty of Confidentiality:</w:t>
      </w:r>
      <w:r>
        <w:t xml:space="preserve"> According to this law, private information, including health-related details that are shared with someone in trust under this contract, should only be disclosed with consent. In this case, </w:t>
      </w:r>
      <w:r w:rsidR="00361D38">
        <w:t>Mrs</w:t>
      </w:r>
      <w:r>
        <w:t xml:space="preserve"> Thompson and </w:t>
      </w:r>
      <w:r w:rsidR="00361D38">
        <w:t>her</w:t>
      </w:r>
      <w:r>
        <w:t xml:space="preserve"> </w:t>
      </w:r>
      <w:r w:rsidR="00361D38">
        <w:t>family</w:t>
      </w:r>
      <w:r>
        <w:t xml:space="preserve"> members must sign a contract with the caregiver and their company to maintain this (NHS, 2026).</w:t>
      </w:r>
    </w:p>
    <w:p w14:paraId="4BF1E22B" w14:textId="62DBFEAF" w:rsidR="00F23589" w:rsidRDefault="00000000">
      <w:pPr>
        <w:widowControl w:val="0"/>
        <w:spacing w:before="28"/>
        <w:ind w:right="44"/>
      </w:pPr>
      <w:r>
        <w:rPr>
          <w:b/>
          <w:bCs/>
          <w:i/>
          <w:iCs/>
        </w:rPr>
        <w:t>Care Act 2014:</w:t>
      </w:r>
      <w:r>
        <w:t xml:space="preserve"> This is the mandate that requires local authorities and partners to promote the well-being of vulnerable adults and safeguard them from risks by sharing proportionate information among the partners to prevent abuse and neglect. In this case, Mrs Thompson lived all by herself, and no family was seen on the </w:t>
      </w:r>
      <w:r w:rsidR="00361D38">
        <w:t>spot,</w:t>
      </w:r>
      <w:r>
        <w:t xml:space="preserve"> so this regulation can apply to them (NHS, 2026).</w:t>
      </w:r>
    </w:p>
    <w:p w14:paraId="197E5FC5" w14:textId="36F552EA" w:rsidR="00F23589" w:rsidRDefault="00000000">
      <w:pPr>
        <w:widowControl w:val="0"/>
        <w:spacing w:before="28"/>
        <w:ind w:right="44"/>
      </w:pPr>
      <w:r>
        <w:rPr>
          <w:b/>
          <w:bCs/>
          <w:i/>
          <w:iCs/>
        </w:rPr>
        <w:t>Mental Capacity Act 2005:</w:t>
      </w:r>
      <w:r>
        <w:t xml:space="preserve"> This act suggests that </w:t>
      </w:r>
      <w:r w:rsidR="00361D38">
        <w:t>individuals aged</w:t>
      </w:r>
      <w:r>
        <w:t xml:space="preserve"> 16 and above must be kept safe if they have me</w:t>
      </w:r>
      <w:r w:rsidR="00361D38">
        <w:t>n</w:t>
      </w:r>
      <w:r>
        <w:t xml:space="preserve">tal condition which do not allow them to make decisions for themselves. In the Case of Mrs. Thompson, dementia is the issue she was facing, making her unable to make decisions for herself. This act can be helpful in this scenario (NHS, 2026). </w:t>
      </w:r>
    </w:p>
    <w:p w14:paraId="202CBB5F" w14:textId="77777777" w:rsidR="00F23589" w:rsidRDefault="00000000">
      <w:pPr>
        <w:pStyle w:val="Heading1"/>
        <w:widowControl w:val="0"/>
        <w:spacing w:before="28"/>
        <w:ind w:right="44"/>
      </w:pPr>
      <w:bookmarkStart w:id="3" w:name="_ywmkclcga0n3" w:colFirst="0" w:colLast="0"/>
      <w:bookmarkEnd w:id="3"/>
      <w:r>
        <w:t xml:space="preserve">Discuss the importance of working collaboratively with other professionals involved in  Mrs Thompson’s care, such as the GP, community nurse, and domiciliary care workers. </w:t>
      </w:r>
    </w:p>
    <w:p w14:paraId="6F1CE4D4" w14:textId="77777777" w:rsidR="00F23589" w:rsidRDefault="00000000">
      <w:r>
        <w:t xml:space="preserve">To work with a vulnerable patient in the multi-agency working system, there must be alignment between agencies to work properly. The first thing that is needed is an integrated care system which can connect multiple safeguarding agencies together so that they can work in sync. There should be a single point of contact for such vulnerable adults so that they can navigate through help easily. The integrated care system should share data confidentiality tro help the patient. There should be training to help multiple departments work together easily and a </w:t>
      </w:r>
      <w:r>
        <w:lastRenderedPageBreak/>
        <w:t xml:space="preserve">financial aid system under section 75 to successfully execute this operation (Drolet and Choudhury, 2024). </w:t>
      </w:r>
    </w:p>
    <w:p w14:paraId="4283977F" w14:textId="77777777" w:rsidR="00F23589" w:rsidRDefault="00000000">
      <w:pPr>
        <w:rPr>
          <w:b/>
          <w:bCs/>
          <w:u w:val="single"/>
        </w:rPr>
      </w:pPr>
      <w:r>
        <w:rPr>
          <w:b/>
          <w:bCs/>
          <w:u w:val="single"/>
        </w:rPr>
        <w:t>Common Challenges</w:t>
      </w:r>
    </w:p>
    <w:p w14:paraId="4D57ADFD" w14:textId="092B7828" w:rsidR="00F23589" w:rsidRDefault="00000000">
      <w:r>
        <w:t xml:space="preserve">There are information-sharing operations between the departments that work in the safeguarding operations. In this case, maintaining GDPR compliance is important. If not maintained, compliance with the operations can be compromised, and there can be legal obligations. In this type of work, multiple agencies work together, which have different work cultures </w:t>
      </w:r>
      <w:r w:rsidR="00361D38">
        <w:t>and</w:t>
      </w:r>
      <w:r>
        <w:t xml:space="preserve"> hierarchies. This can create trouble for creating sync, and many misunderstandings can arise from it. Resource scarcity is one of the greatest issues seen in this case, which makes agencies juggle patients from agency to agency. Poor communication can create misunderstandings that can delay operations (Ball </w:t>
      </w:r>
      <w:r>
        <w:rPr>
          <w:i/>
          <w:iCs/>
        </w:rPr>
        <w:t>et al.</w:t>
      </w:r>
      <w:r>
        <w:t xml:space="preserve"> 2024). </w:t>
      </w:r>
    </w:p>
    <w:p w14:paraId="37BAAE5C" w14:textId="77777777" w:rsidR="00F23589" w:rsidRDefault="00000000">
      <w:pPr>
        <w:pStyle w:val="Heading1"/>
        <w:widowControl w:val="0"/>
        <w:ind w:right="50"/>
      </w:pPr>
      <w:bookmarkStart w:id="4" w:name="_i9a5hmafazrg" w:colFirst="0" w:colLast="0"/>
      <w:bookmarkEnd w:id="4"/>
      <w:r>
        <w:t>Conclusion</w:t>
      </w:r>
    </w:p>
    <w:p w14:paraId="0FBFC509" w14:textId="1D808C51" w:rsidR="00F23589" w:rsidRDefault="00000000">
      <w:pPr>
        <w:widowControl w:val="0"/>
        <w:ind w:right="50"/>
      </w:pPr>
      <w:r>
        <w:t xml:space="preserve">This case study was about the case of Mrs Thompson, who was in a sensitive condition. She is 85 years old lady who was living alone in a shelter house with only domiciliary care twice a day. She had mild dementia and often forgot to take her medications. She even went out in the cold without proper clothing, which caused her pneumonia. This suggest shge didi not have someone to take care of herself. This discussion suggests ways to help her in this time of distress while communicating clearly and transparently with the family member. There may be challenges, but there are also ways to overcome them, which might help Mrs. Thompso throughly. </w:t>
      </w:r>
      <w:r>
        <w:br w:type="page"/>
      </w:r>
    </w:p>
    <w:p w14:paraId="4AF693EE" w14:textId="77777777" w:rsidR="00F23589" w:rsidRDefault="00000000">
      <w:pPr>
        <w:pStyle w:val="Heading1"/>
        <w:widowControl w:val="0"/>
        <w:ind w:right="50"/>
      </w:pPr>
      <w:bookmarkStart w:id="5" w:name="_re09xnt1fhkx" w:colFirst="0" w:colLast="0"/>
      <w:bookmarkEnd w:id="5"/>
      <w:r>
        <w:lastRenderedPageBreak/>
        <w:t>References</w:t>
      </w:r>
    </w:p>
    <w:p w14:paraId="39DAB945" w14:textId="77777777" w:rsidR="00361D38" w:rsidRDefault="00361D38">
      <w:r>
        <w:t xml:space="preserve">Ball, E.J., McElwee, J.D. and McManus, M.A. (2024). </w:t>
      </w:r>
      <w:r>
        <w:rPr>
          <w:i/>
          <w:iCs/>
        </w:rPr>
        <w:t>Multi-agency safeguarding: From everyone’s responsibility to a collective responsibility. Journal of Community Safety and Well-Being, 9</w:t>
      </w:r>
      <w:r>
        <w:t xml:space="preserve">(2), pp.104-108. </w:t>
      </w:r>
      <w:hyperlink r:id="rId7">
        <w:r>
          <w:rPr>
            <w:color w:val="1155CC"/>
            <w:u w:val="single"/>
          </w:rPr>
          <w:t>https://www.journalcswb.ca/index.php/cswb/article/view/371</w:t>
        </w:r>
      </w:hyperlink>
      <w:r>
        <w:t xml:space="preserve"> </w:t>
      </w:r>
    </w:p>
    <w:p w14:paraId="1702546A" w14:textId="77777777" w:rsidR="00361D38" w:rsidRDefault="00361D38">
      <w:r>
        <w:t xml:space="preserve">Boon, A. (2023). </w:t>
      </w:r>
      <w:r>
        <w:rPr>
          <w:i/>
          <w:iCs/>
        </w:rPr>
        <w:t>The ethics and conduct of lawyers in England and Wales.</w:t>
      </w:r>
      <w:r>
        <w:t xml:space="preserve"> Bloomsbury Publishing. </w:t>
      </w:r>
    </w:p>
    <w:p w14:paraId="4F6D151D" w14:textId="77777777" w:rsidR="00361D38" w:rsidRDefault="00361D38">
      <w:r>
        <w:t xml:space="preserve">Drolet, J.L. and Choudhury, M. (2024). </w:t>
      </w:r>
      <w:r>
        <w:rPr>
          <w:i/>
          <w:iCs/>
        </w:rPr>
        <w:t>Promoting Older Adults’ Engagement in Disaster Recovery Through Supportive Relationships, Partnerships, and Collaboration: Perspectives of Social Work Practitioners and Human Service Professionals. Drolet et al. Older Adults’ Disaster Recovery, Supportive Relationships, Partnerships, and Collaboration. International Journal of Disaster Risk Science, 15</w:t>
      </w:r>
      <w:r>
        <w:t xml:space="preserve">(2), pp.265-276. </w:t>
      </w:r>
      <w:hyperlink r:id="rId8">
        <w:r>
          <w:rPr>
            <w:color w:val="1155CC"/>
            <w:u w:val="single"/>
          </w:rPr>
          <w:t>https://link.springer.com/article/10.1007/s13753-024-00557-7</w:t>
        </w:r>
      </w:hyperlink>
      <w:r>
        <w:t xml:space="preserve"> </w:t>
      </w:r>
    </w:p>
    <w:p w14:paraId="26CFD2A0" w14:textId="77777777" w:rsidR="00361D38" w:rsidRDefault="00361D38">
      <w:r>
        <w:t xml:space="preserve">Khadija, E.L.H.M.A.I.D.I. and Omar, T.I.J.A.N.I. (2023). </w:t>
      </w:r>
      <w:r>
        <w:rPr>
          <w:i/>
          <w:iCs/>
        </w:rPr>
        <w:t>Literature review on knowledge transfer models: From Shannon-Weaver (1949) to Kostova (1999). African Scientific Journal, 3</w:t>
      </w:r>
      <w:r>
        <w:t xml:space="preserve">(21), pp.548-548. </w:t>
      </w:r>
      <w:hyperlink r:id="rId9">
        <w:r>
          <w:rPr>
            <w:color w:val="1155CC"/>
            <w:u w:val="single"/>
          </w:rPr>
          <w:t>http://afrsj.com/index.php/AfricanScientificJournal/article/view/610</w:t>
        </w:r>
      </w:hyperlink>
    </w:p>
    <w:p w14:paraId="0DD01CD8" w14:textId="77777777" w:rsidR="00361D38" w:rsidRDefault="00361D38">
      <w:r>
        <w:t xml:space="preserve">Khanna, V. and Kotwal, A. (2025). </w:t>
      </w:r>
      <w:r>
        <w:rPr>
          <w:i/>
          <w:iCs/>
        </w:rPr>
        <w:t>Examining the significance of the Digital Personal Data Protection Act, 2023 in the context of the healthcare industry: a comprehensive analysis. Discover Public Health, 22</w:t>
      </w:r>
      <w:r>
        <w:t xml:space="preserve">(1), p.381. </w:t>
      </w:r>
      <w:hyperlink r:id="rId10">
        <w:r>
          <w:rPr>
            <w:color w:val="1155CC"/>
            <w:u w:val="single"/>
          </w:rPr>
          <w:t>https://link.springer.com/article/10.1186/s12982-025-00757-6</w:t>
        </w:r>
      </w:hyperlink>
      <w:r>
        <w:t xml:space="preserve"> </w:t>
      </w:r>
    </w:p>
    <w:p w14:paraId="03EF4059" w14:textId="77777777" w:rsidR="00361D38" w:rsidRDefault="00361D38">
      <w:r>
        <w:t xml:space="preserve">Kosiol, J., Silvester, T., Cooper, H., Alford, S. and Fraser, L. (2024). </w:t>
      </w:r>
      <w:r>
        <w:rPr>
          <w:i/>
          <w:iCs/>
        </w:rPr>
        <w:t>Revolutionising health and social care: innovative solutions for a brighter tomorrow–a systematic review of the literature. BMC Health Services Research, 24</w:t>
      </w:r>
      <w:r>
        <w:t xml:space="preserve">(1), p.809. </w:t>
      </w:r>
      <w:hyperlink r:id="rId11">
        <w:r>
          <w:rPr>
            <w:color w:val="1155CC"/>
            <w:u w:val="single"/>
          </w:rPr>
          <w:t>https://link.springer.com/article/10.1186/s12913-024-11099-5</w:t>
        </w:r>
      </w:hyperlink>
      <w:r>
        <w:t xml:space="preserve"> </w:t>
      </w:r>
    </w:p>
    <w:p w14:paraId="0C843A73" w14:textId="77777777" w:rsidR="00361D38" w:rsidRDefault="00361D38">
      <w:r>
        <w:t xml:space="preserve">NHS (2026). </w:t>
      </w:r>
      <w:r>
        <w:rPr>
          <w:i/>
          <w:iCs/>
        </w:rPr>
        <w:t>Protecting patient data - NHS England Digital</w:t>
      </w:r>
      <w:r>
        <w:t>. Available at: https://digital.nhs.uk/services/national-data-opt-out/understanding-the-national-data-opt-out/protecting-patient-data (Accessed: 12 August 2026).</w:t>
      </w:r>
    </w:p>
    <w:p w14:paraId="39E70FD8" w14:textId="77777777" w:rsidR="00F23589" w:rsidRDefault="00000000">
      <w:r>
        <w:t xml:space="preserve"> </w:t>
      </w:r>
    </w:p>
    <w:p w14:paraId="7057A0F7" w14:textId="77777777" w:rsidR="00F23589" w:rsidRDefault="00F23589">
      <w:pPr>
        <w:widowControl w:val="0"/>
        <w:spacing w:before="28"/>
        <w:ind w:right="44"/>
      </w:pPr>
    </w:p>
    <w:sectPr w:rsidR="00F23589">
      <w:footerReference w:type="default" r:id="rId12"/>
      <w:footerReference w:type="first" r:id="rId13"/>
      <w:pgSz w:w="11906" w:h="16838"/>
      <w:pgMar w:top="1440" w:right="1440" w:bottom="1440" w:left="1440" w:header="720" w:footer="720" w:gutter="0"/>
      <w:pgNumType w:start="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3E482B5" w14:textId="77777777" w:rsidR="004255C1" w:rsidRDefault="004255C1">
      <w:pPr>
        <w:spacing w:line="240" w:lineRule="auto"/>
      </w:pPr>
      <w:r>
        <w:separator/>
      </w:r>
    </w:p>
  </w:endnote>
  <w:endnote w:type="continuationSeparator" w:id="0">
    <w:p w14:paraId="7A226772" w14:textId="77777777" w:rsidR="004255C1" w:rsidRDefault="004255C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6EC02E24-A763-4A43-8EFD-700A268F5F85}"/>
  </w:font>
  <w:font w:name="Cambria">
    <w:panose1 w:val="02040503050406030204"/>
    <w:charset w:val="00"/>
    <w:family w:val="roman"/>
    <w:pitch w:val="variable"/>
    <w:sig w:usb0="E00006FF" w:usb1="420024FF" w:usb2="02000000" w:usb3="00000000" w:csb0="0000019F" w:csb1="00000000"/>
    <w:embedRegular r:id="rId2" w:fontKey="{E3E3EEF5-75AF-47F7-99F6-940714960AEA}"/>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E199A6" w14:textId="77777777" w:rsidR="00F23589" w:rsidRDefault="00000000">
    <w:pPr>
      <w:jc w:val="right"/>
    </w:pPr>
    <w:r>
      <w:fldChar w:fldCharType="begin"/>
    </w:r>
    <w:r>
      <w:instrText>PAGE</w:instrText>
    </w:r>
    <w:r>
      <w:fldChar w:fldCharType="separate"/>
    </w:r>
    <w:r w:rsidR="00361D38">
      <w:rPr>
        <w:noProof/>
      </w:rPr>
      <w:t>1</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6E1329" w14:textId="77777777" w:rsidR="00F23589" w:rsidRDefault="00F23589"/>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A805459" w14:textId="77777777" w:rsidR="004255C1" w:rsidRDefault="004255C1">
      <w:pPr>
        <w:spacing w:line="240" w:lineRule="auto"/>
      </w:pPr>
      <w:r>
        <w:separator/>
      </w:r>
    </w:p>
  </w:footnote>
  <w:footnote w:type="continuationSeparator" w:id="0">
    <w:p w14:paraId="7969B39E" w14:textId="77777777" w:rsidR="004255C1" w:rsidRDefault="004255C1">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embedTrueTypeFont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23589"/>
    <w:rsid w:val="00107705"/>
    <w:rsid w:val="00141DBE"/>
    <w:rsid w:val="00226A90"/>
    <w:rsid w:val="00291AE1"/>
    <w:rsid w:val="00361D38"/>
    <w:rsid w:val="004255C1"/>
    <w:rsid w:val="005978E3"/>
    <w:rsid w:val="00F2358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39929E"/>
  <w15:docId w15:val="{EA19195D-5D20-4D3E-B4A5-8E79BEA207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 w:eastAsia="en-GB"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outlineLvl w:val="0"/>
    </w:pPr>
    <w:rPr>
      <w:b/>
      <w:bCs/>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iCs/>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s://link.springer.com/article/10.1007/s13753-024-00557-7" TargetMode="External"/><Relationship Id="rId13" Type="http://schemas.openxmlformats.org/officeDocument/2006/relationships/footer" Target="footer2.xml"/><Relationship Id="rId3" Type="http://schemas.openxmlformats.org/officeDocument/2006/relationships/webSettings" Target="webSettings.xml"/><Relationship Id="rId7" Type="http://schemas.openxmlformats.org/officeDocument/2006/relationships/hyperlink" Target="https://www.journalcswb.ca/index.php/cswb/article/view/371" TargetMode="External"/><Relationship Id="rId12"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yperlink" Target="https://link.springer.com/article/10.1186/s12913-024-11099-5" TargetMode="External"/><Relationship Id="rId5" Type="http://schemas.openxmlformats.org/officeDocument/2006/relationships/endnotes" Target="endnotes.xml"/><Relationship Id="rId15" Type="http://schemas.openxmlformats.org/officeDocument/2006/relationships/theme" Target="theme/theme1.xml"/><Relationship Id="rId10" Type="http://schemas.openxmlformats.org/officeDocument/2006/relationships/hyperlink" Target="https://link.springer.com/article/10.1186/s12982-025-00757-6" TargetMode="External"/><Relationship Id="rId4" Type="http://schemas.openxmlformats.org/officeDocument/2006/relationships/footnotes" Target="footnotes.xml"/><Relationship Id="rId9" Type="http://schemas.openxmlformats.org/officeDocument/2006/relationships/hyperlink" Target="http://afrsj.com/index.php/AfricanScientificJournal/article/view/610" TargetMode="External"/><Relationship Id="rId14" Type="http://schemas.openxmlformats.org/officeDocument/2006/relationships/fontTable" Target="fontTable.xm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53</TotalTime>
  <Pages>7</Pages>
  <Words>2041</Words>
  <Characters>11639</Characters>
  <Application>Microsoft Office Word</Application>
  <DocSecurity>0</DocSecurity>
  <Lines>96</Lines>
  <Paragraphs>27</Paragraphs>
  <ScaleCrop>false</ScaleCrop>
  <Company/>
  <LinksUpToDate>false</LinksUpToDate>
  <CharactersWithSpaces>13653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AMT SOLUTION</dc:creator>
  <cp:lastModifiedBy>Daniel iancu</cp:lastModifiedBy>
  <cp:revision>3</cp:revision>
  <dcterms:created xsi:type="dcterms:W3CDTF">2026-08-12T12:20:00Z</dcterms:created>
  <dcterms:modified xsi:type="dcterms:W3CDTF">2026-08-14T16:36:00Z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6c95fcce-d395-43ec-bdc6-638a349532fc</vt:lpwstr>
  </property>
</Properties>
</file>