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61BA05" w14:textId="223A1A92" w:rsidR="002F252D" w:rsidRPr="00B922E2" w:rsidRDefault="002F252D" w:rsidP="009D59FF">
      <w:pPr>
        <w:pStyle w:val="NormalWeb"/>
        <w:spacing w:line="360" w:lineRule="auto"/>
        <w:rPr>
          <w:rFonts w:ascii="Arial" w:hAnsi="Arial" w:cs="Arial"/>
          <w:color w:val="000000"/>
          <w:sz w:val="22"/>
          <w:szCs w:val="22"/>
        </w:rPr>
      </w:pPr>
      <w:r w:rsidRPr="00B922E2">
        <w:rPr>
          <w:rFonts w:ascii="Arial" w:hAnsi="Arial" w:cs="Arial"/>
          <w:color w:val="000000"/>
          <w:sz w:val="22"/>
          <w:szCs w:val="22"/>
        </w:rPr>
        <w:t xml:space="preserve">Name: Alisha Ali </w:t>
      </w:r>
    </w:p>
    <w:p w14:paraId="2A1A0997" w14:textId="6BBA7005" w:rsidR="002F252D" w:rsidRPr="00B922E2" w:rsidRDefault="002F252D" w:rsidP="009D59FF">
      <w:pPr>
        <w:pStyle w:val="NormalWeb"/>
        <w:spacing w:line="360" w:lineRule="auto"/>
        <w:rPr>
          <w:rFonts w:ascii="Arial" w:hAnsi="Arial" w:cs="Arial"/>
          <w:color w:val="000000"/>
          <w:sz w:val="22"/>
          <w:szCs w:val="22"/>
        </w:rPr>
      </w:pPr>
      <w:r w:rsidRPr="00B922E2">
        <w:rPr>
          <w:rFonts w:ascii="Arial" w:hAnsi="Arial" w:cs="Arial"/>
          <w:color w:val="000000"/>
          <w:sz w:val="22"/>
          <w:szCs w:val="22"/>
        </w:rPr>
        <w:t>Student number:</w:t>
      </w:r>
      <w:r w:rsidR="00B922E2" w:rsidRPr="00B922E2">
        <w:rPr>
          <w:rFonts w:ascii="Arial" w:hAnsi="Arial" w:cs="Arial"/>
          <w:color w:val="242130"/>
          <w:sz w:val="22"/>
          <w:szCs w:val="22"/>
          <w:shd w:val="clear" w:color="auto" w:fill="FFFFFF"/>
        </w:rPr>
        <w:t xml:space="preserve"> 2437713</w:t>
      </w:r>
    </w:p>
    <w:p w14:paraId="635BA8A5" w14:textId="40D29E6F" w:rsidR="002F252D" w:rsidRPr="00B922E2" w:rsidRDefault="002F252D" w:rsidP="009D59FF">
      <w:pPr>
        <w:pStyle w:val="NormalWeb"/>
        <w:spacing w:line="360" w:lineRule="auto"/>
        <w:rPr>
          <w:rFonts w:ascii="Arial" w:hAnsi="Arial" w:cs="Arial"/>
          <w:color w:val="000000"/>
          <w:sz w:val="22"/>
          <w:szCs w:val="22"/>
        </w:rPr>
      </w:pPr>
      <w:r w:rsidRPr="00B922E2">
        <w:rPr>
          <w:rFonts w:ascii="Arial" w:hAnsi="Arial" w:cs="Arial"/>
          <w:color w:val="000000"/>
          <w:sz w:val="22"/>
          <w:szCs w:val="22"/>
        </w:rPr>
        <w:t xml:space="preserve">Module Code and </w:t>
      </w:r>
      <w:r w:rsidR="00B922E2" w:rsidRPr="00B922E2">
        <w:rPr>
          <w:rFonts w:ascii="Arial" w:hAnsi="Arial" w:cs="Arial"/>
          <w:color w:val="000000"/>
          <w:sz w:val="22"/>
          <w:szCs w:val="22"/>
        </w:rPr>
        <w:t>Title: Introduction to public health -</w:t>
      </w:r>
      <w:r w:rsidRPr="00B922E2">
        <w:rPr>
          <w:rFonts w:ascii="Arial" w:hAnsi="Arial" w:cs="Arial"/>
          <w:color w:val="000000"/>
          <w:sz w:val="22"/>
          <w:szCs w:val="22"/>
        </w:rPr>
        <w:t xml:space="preserve"> </w:t>
      </w:r>
      <w:r w:rsidRPr="00B922E2">
        <w:rPr>
          <w:rFonts w:ascii="Arial" w:hAnsi="Arial" w:cs="Arial"/>
          <w:spacing w:val="-2"/>
          <w:sz w:val="22"/>
          <w:szCs w:val="22"/>
        </w:rPr>
        <w:t>LCHS4008</w:t>
      </w:r>
    </w:p>
    <w:p w14:paraId="7F33E02E" w14:textId="5FE6575F" w:rsidR="002F252D" w:rsidRPr="00B922E2" w:rsidRDefault="002F252D" w:rsidP="009D59FF">
      <w:pPr>
        <w:pStyle w:val="NormalWeb"/>
        <w:spacing w:line="360" w:lineRule="auto"/>
        <w:rPr>
          <w:rFonts w:ascii="Arial" w:hAnsi="Arial" w:cs="Arial"/>
          <w:color w:val="000000"/>
          <w:sz w:val="22"/>
          <w:szCs w:val="22"/>
        </w:rPr>
      </w:pPr>
      <w:r w:rsidRPr="00B922E2">
        <w:rPr>
          <w:rFonts w:ascii="Arial" w:hAnsi="Arial" w:cs="Arial"/>
          <w:color w:val="000000"/>
          <w:sz w:val="22"/>
          <w:szCs w:val="22"/>
        </w:rPr>
        <w:t>Lecturers Name:</w:t>
      </w:r>
      <w:r w:rsidR="00B922E2" w:rsidRPr="00B922E2">
        <w:rPr>
          <w:rFonts w:ascii="Arial" w:hAnsi="Arial" w:cs="Arial"/>
          <w:sz w:val="22"/>
          <w:szCs w:val="22"/>
        </w:rPr>
        <w:t xml:space="preserve"> Gillian Weaver (Module lead)</w:t>
      </w:r>
    </w:p>
    <w:p w14:paraId="3FCD487C" w14:textId="296AC01F" w:rsidR="002F252D" w:rsidRPr="00B922E2" w:rsidRDefault="002F252D" w:rsidP="00B922E2">
      <w:pPr>
        <w:pStyle w:val="TableParagraph"/>
        <w:spacing w:line="252" w:lineRule="exact"/>
        <w:ind w:left="40"/>
      </w:pPr>
      <w:r w:rsidRPr="00B922E2">
        <w:rPr>
          <w:color w:val="000000"/>
        </w:rPr>
        <w:t xml:space="preserve">Assignment Title: </w:t>
      </w:r>
      <w:r w:rsidRPr="00B922E2">
        <w:t>Assessment</w:t>
      </w:r>
      <w:r w:rsidRPr="00B922E2">
        <w:rPr>
          <w:spacing w:val="-9"/>
        </w:rPr>
        <w:t xml:space="preserve"> </w:t>
      </w:r>
      <w:r w:rsidRPr="00B922E2">
        <w:t>2</w:t>
      </w:r>
      <w:r w:rsidRPr="00B922E2">
        <w:rPr>
          <w:spacing w:val="-11"/>
        </w:rPr>
        <w:t xml:space="preserve"> </w:t>
      </w:r>
      <w:r w:rsidRPr="00B922E2">
        <w:rPr>
          <w:spacing w:val="-10"/>
        </w:rPr>
        <w:t xml:space="preserve">- </w:t>
      </w:r>
      <w:r w:rsidRPr="00B922E2">
        <w:rPr>
          <w:spacing w:val="-2"/>
        </w:rPr>
        <w:t>Report on a Health Issue</w:t>
      </w:r>
      <w:r w:rsidR="00B922E2" w:rsidRPr="00B922E2">
        <w:rPr>
          <w:spacing w:val="-2"/>
        </w:rPr>
        <w:t xml:space="preserve"> – Type – 2 Diabetes</w:t>
      </w:r>
    </w:p>
    <w:p w14:paraId="41628ABF" w14:textId="77777777" w:rsidR="002F252D" w:rsidRDefault="002F252D" w:rsidP="002F252D">
      <w:pPr>
        <w:pStyle w:val="BodyText"/>
        <w:spacing w:before="5"/>
        <w:rPr>
          <w:b/>
          <w:sz w:val="29"/>
        </w:rPr>
      </w:pPr>
    </w:p>
    <w:p w14:paraId="194FAE9F" w14:textId="674993E3" w:rsidR="002F252D" w:rsidRPr="002F252D" w:rsidRDefault="002F252D" w:rsidP="009D59FF">
      <w:pPr>
        <w:pStyle w:val="NormalWeb"/>
        <w:spacing w:line="360" w:lineRule="auto"/>
        <w:rPr>
          <w:rFonts w:ascii="Arial" w:hAnsi="Arial" w:cs="Arial"/>
          <w:color w:val="000000"/>
          <w:sz w:val="22"/>
          <w:szCs w:val="22"/>
          <w:u w:val="single"/>
        </w:rPr>
      </w:pPr>
      <w:r w:rsidRPr="002F252D">
        <w:rPr>
          <w:rFonts w:ascii="Arial" w:hAnsi="Arial" w:cs="Arial"/>
          <w:color w:val="000000"/>
          <w:sz w:val="22"/>
          <w:szCs w:val="22"/>
          <w:u w:val="single"/>
        </w:rPr>
        <w:t>Type</w:t>
      </w:r>
      <w:r>
        <w:rPr>
          <w:rFonts w:ascii="Arial" w:hAnsi="Arial" w:cs="Arial"/>
          <w:color w:val="000000"/>
          <w:sz w:val="22"/>
          <w:szCs w:val="22"/>
          <w:u w:val="single"/>
        </w:rPr>
        <w:t xml:space="preserve"> - </w:t>
      </w:r>
      <w:r w:rsidRPr="002F252D">
        <w:rPr>
          <w:rFonts w:ascii="Arial" w:hAnsi="Arial" w:cs="Arial"/>
          <w:color w:val="000000"/>
          <w:sz w:val="22"/>
          <w:szCs w:val="22"/>
          <w:u w:val="single"/>
        </w:rPr>
        <w:t xml:space="preserve">2 Diabetes </w:t>
      </w:r>
    </w:p>
    <w:p w14:paraId="4B0E9772" w14:textId="40A1C6AD" w:rsidR="000271B6" w:rsidRPr="009D59FF" w:rsidRDefault="001C3C6B" w:rsidP="009D59FF">
      <w:pPr>
        <w:pStyle w:val="NormalWeb"/>
        <w:spacing w:line="360" w:lineRule="auto"/>
        <w:rPr>
          <w:rFonts w:ascii="Arial" w:hAnsi="Arial" w:cs="Arial"/>
          <w:color w:val="000000"/>
          <w:sz w:val="22"/>
          <w:szCs w:val="22"/>
        </w:rPr>
      </w:pPr>
      <w:r w:rsidRPr="009D59FF">
        <w:rPr>
          <w:rFonts w:ascii="Arial" w:hAnsi="Arial" w:cs="Arial"/>
          <w:color w:val="000000"/>
          <w:sz w:val="22"/>
          <w:szCs w:val="22"/>
        </w:rPr>
        <w:t xml:space="preserve">Introduction </w:t>
      </w:r>
    </w:p>
    <w:p w14:paraId="6908B31E" w14:textId="578EB9AB" w:rsidR="001C3C6B" w:rsidRPr="009D59FF" w:rsidRDefault="001C3C6B" w:rsidP="009D59FF">
      <w:pPr>
        <w:pStyle w:val="NormalWeb"/>
        <w:spacing w:line="360" w:lineRule="auto"/>
        <w:rPr>
          <w:rFonts w:ascii="Arial" w:hAnsi="Arial" w:cs="Arial"/>
          <w:color w:val="000000"/>
          <w:sz w:val="22"/>
          <w:szCs w:val="22"/>
        </w:rPr>
      </w:pPr>
      <w:r w:rsidRPr="009D59FF">
        <w:rPr>
          <w:rFonts w:ascii="Arial" w:hAnsi="Arial" w:cs="Arial"/>
          <w:color w:val="172B4D"/>
          <w:sz w:val="22"/>
          <w:szCs w:val="22"/>
          <w:shd w:val="clear" w:color="auto" w:fill="FFFFFF"/>
        </w:rPr>
        <w:t xml:space="preserve">Type 2 diabetes mellitus is a chronic metabolic disorder formed by high blood glucose levels, otherwise known as hyperglycaemia. As a result, from high blood glucose levels, it causes the body to not manage insulin correctly. The World Health Organization (2024) identified the underlying mechanism behind the condition as insulin resistance. Furthermore, insulin in not able to work properly in the muscle, </w:t>
      </w:r>
      <w:r w:rsidR="001E4623" w:rsidRPr="009D59FF">
        <w:rPr>
          <w:rFonts w:ascii="Arial" w:hAnsi="Arial" w:cs="Arial"/>
          <w:color w:val="172B4D"/>
          <w:sz w:val="22"/>
          <w:szCs w:val="22"/>
          <w:shd w:val="clear" w:color="auto" w:fill="FFFFFF"/>
        </w:rPr>
        <w:t>fat,</w:t>
      </w:r>
      <w:r w:rsidRPr="009D59FF">
        <w:rPr>
          <w:rFonts w:ascii="Arial" w:hAnsi="Arial" w:cs="Arial"/>
          <w:color w:val="172B4D"/>
          <w:sz w:val="22"/>
          <w:szCs w:val="22"/>
          <w:shd w:val="clear" w:color="auto" w:fill="FFFFFF"/>
        </w:rPr>
        <w:t xml:space="preserve"> and liver cells because of a malfunction within the cells. The hormone acts differently in muscle, fat, and liver cells because of the breakdown of these tissues where it acts. In the early stages, the pancreas makes extra insulin to compensate, but over time, it cannot maintain this at a functional level to keep blood sugar within a normal </w:t>
      </w:r>
      <w:r w:rsidR="001E4623" w:rsidRPr="009D59FF">
        <w:rPr>
          <w:rFonts w:ascii="Arial" w:hAnsi="Arial" w:cs="Arial"/>
          <w:color w:val="172B4D"/>
          <w:sz w:val="22"/>
          <w:szCs w:val="22"/>
          <w:shd w:val="clear" w:color="auto" w:fill="FFFFFF"/>
        </w:rPr>
        <w:t>range. Symptoms</w:t>
      </w:r>
      <w:r w:rsidRPr="009D59FF">
        <w:rPr>
          <w:rFonts w:ascii="Arial" w:hAnsi="Arial" w:cs="Arial"/>
          <w:color w:val="172B4D"/>
          <w:sz w:val="22"/>
          <w:szCs w:val="22"/>
          <w:shd w:val="clear" w:color="auto" w:fill="FFFFFF"/>
        </w:rPr>
        <w:t xml:space="preserve"> specific to Type 2 diabetes often show up gradually and include increased urination, excessive thirst, unexplained weight loss, or persistent fatigue. Because its onset is usually slow and silent, the condition is often diagnosed only when complications involving the blood vessels or organs begin to develop (National Institute for Health and Care Excellence, 2022). Type 2 diabetes is a major and growing public health problem worldwide. According to the International Diabetes Federation, an estimated 537 million adults were living with diabetes as of 202</w:t>
      </w:r>
      <w:r w:rsidR="00CB24B2" w:rsidRPr="009D59FF">
        <w:rPr>
          <w:rFonts w:ascii="Arial" w:hAnsi="Arial" w:cs="Arial"/>
          <w:color w:val="172B4D"/>
          <w:sz w:val="22"/>
          <w:szCs w:val="22"/>
          <w:shd w:val="clear" w:color="auto" w:fill="FFFFFF"/>
        </w:rPr>
        <w:t>5</w:t>
      </w:r>
      <w:r w:rsidRPr="009D59FF">
        <w:rPr>
          <w:rFonts w:ascii="Arial" w:hAnsi="Arial" w:cs="Arial"/>
          <w:color w:val="172B4D"/>
          <w:sz w:val="22"/>
          <w:szCs w:val="22"/>
          <w:shd w:val="clear" w:color="auto" w:fill="FFFFFF"/>
        </w:rPr>
        <w:t>; most suffered from Type 2 diabetes (International Diabetes Federation, 202</w:t>
      </w:r>
      <w:r w:rsidR="00CB24B2" w:rsidRPr="009D59FF">
        <w:rPr>
          <w:rFonts w:ascii="Arial" w:hAnsi="Arial" w:cs="Arial"/>
          <w:color w:val="172B4D"/>
          <w:sz w:val="22"/>
          <w:szCs w:val="22"/>
          <w:shd w:val="clear" w:color="auto" w:fill="FFFFFF"/>
        </w:rPr>
        <w:t>5</w:t>
      </w:r>
      <w:r w:rsidRPr="009D59FF">
        <w:rPr>
          <w:rFonts w:ascii="Arial" w:hAnsi="Arial" w:cs="Arial"/>
          <w:color w:val="172B4D"/>
          <w:sz w:val="22"/>
          <w:szCs w:val="22"/>
          <w:shd w:val="clear" w:color="auto" w:fill="FFFFFF"/>
        </w:rPr>
        <w:t>). A total of over 5.</w:t>
      </w:r>
      <w:r w:rsidR="00F432F6" w:rsidRPr="009D59FF">
        <w:rPr>
          <w:rFonts w:ascii="Arial" w:hAnsi="Arial" w:cs="Arial"/>
          <w:color w:val="172B4D"/>
          <w:sz w:val="22"/>
          <w:szCs w:val="22"/>
          <w:shd w:val="clear" w:color="auto" w:fill="FFFFFF"/>
        </w:rPr>
        <w:t>8</w:t>
      </w:r>
      <w:r w:rsidRPr="009D59FF">
        <w:rPr>
          <w:rFonts w:ascii="Arial" w:hAnsi="Arial" w:cs="Arial"/>
          <w:color w:val="172B4D"/>
          <w:sz w:val="22"/>
          <w:szCs w:val="22"/>
          <w:shd w:val="clear" w:color="auto" w:fill="FFFFFF"/>
        </w:rPr>
        <w:t xml:space="preserve"> million people in the United Kingdom are currently affected by diabetes. Consequently, they have been putting pressure on the NHS and wider society (Diabetes UK, 202</w:t>
      </w:r>
      <w:r w:rsidR="00F432F6" w:rsidRPr="009D59FF">
        <w:rPr>
          <w:rFonts w:ascii="Arial" w:hAnsi="Arial" w:cs="Arial"/>
          <w:color w:val="172B4D"/>
          <w:sz w:val="22"/>
          <w:szCs w:val="22"/>
          <w:shd w:val="clear" w:color="auto" w:fill="FFFFFF"/>
        </w:rPr>
        <w:t>4</w:t>
      </w:r>
      <w:r w:rsidRPr="009D59FF">
        <w:rPr>
          <w:rFonts w:ascii="Arial" w:hAnsi="Arial" w:cs="Arial"/>
          <w:color w:val="172B4D"/>
          <w:sz w:val="22"/>
          <w:szCs w:val="22"/>
          <w:shd w:val="clear" w:color="auto" w:fill="FFFFFF"/>
        </w:rPr>
        <w:t>).</w:t>
      </w:r>
    </w:p>
    <w:p w14:paraId="5557C9E9" w14:textId="77777777" w:rsidR="009F7EF9" w:rsidRPr="009D59FF" w:rsidRDefault="009F7EF9" w:rsidP="009D59FF">
      <w:pPr>
        <w:pStyle w:val="Heading3"/>
        <w:spacing w:line="360" w:lineRule="auto"/>
        <w:rPr>
          <w:rFonts w:ascii="Arial" w:hAnsi="Arial" w:cs="Arial"/>
          <w:b w:val="0"/>
          <w:bCs w:val="0"/>
          <w:color w:val="000000"/>
          <w:sz w:val="22"/>
          <w:szCs w:val="22"/>
        </w:rPr>
      </w:pPr>
      <w:r w:rsidRPr="009D59FF">
        <w:rPr>
          <w:rFonts w:ascii="Arial" w:hAnsi="Arial" w:cs="Arial"/>
          <w:b w:val="0"/>
          <w:bCs w:val="0"/>
          <w:color w:val="000000"/>
          <w:sz w:val="22"/>
          <w:szCs w:val="22"/>
        </w:rPr>
        <w:t>Consequences for the Community and the NHS</w:t>
      </w:r>
    </w:p>
    <w:p w14:paraId="2728E0AF" w14:textId="77777777" w:rsidR="008C648E" w:rsidRPr="009D59FF" w:rsidRDefault="00CB24B2" w:rsidP="009D59FF">
      <w:pPr>
        <w:pStyle w:val="Heading3"/>
        <w:spacing w:line="360" w:lineRule="auto"/>
        <w:rPr>
          <w:rFonts w:ascii="Arial" w:hAnsi="Arial" w:cs="Arial"/>
          <w:b w:val="0"/>
          <w:bCs w:val="0"/>
          <w:color w:val="172B4D"/>
          <w:sz w:val="22"/>
          <w:szCs w:val="22"/>
        </w:rPr>
      </w:pPr>
      <w:r w:rsidRPr="009D59FF">
        <w:rPr>
          <w:rFonts w:ascii="Arial" w:hAnsi="Arial" w:cs="Arial"/>
          <w:b w:val="0"/>
          <w:bCs w:val="0"/>
          <w:color w:val="172B4D"/>
          <w:sz w:val="22"/>
          <w:szCs w:val="22"/>
          <w:shd w:val="clear" w:color="auto" w:fill="FFFFFF"/>
        </w:rPr>
        <w:t>Consequences for the Individuals within Community and the NHS</w:t>
      </w:r>
      <w:r w:rsidRPr="009D59FF">
        <w:rPr>
          <w:rFonts w:ascii="Arial" w:hAnsi="Arial" w:cs="Arial"/>
          <w:b w:val="0"/>
          <w:bCs w:val="0"/>
          <w:color w:val="172B4D"/>
          <w:sz w:val="22"/>
          <w:szCs w:val="22"/>
          <w:shd w:val="clear" w:color="auto" w:fill="FFFFFF"/>
        </w:rPr>
        <w:br/>
        <w:t>The impact of Type 2 diabetes reaches further than the people living with the condition, but also places pressure on both communities and the NHS. Financially, T2DM is one of the biggest strains on public health budgets. In the UK, it is estimated that the cost of diabetes care amounts to approximately 10% of the entire NHS budget, a figure dominated by managing preventable, long-term complications rather than direct treatment (Hex et al, 2012). This financial strain is increased by the necessary resources, including frequent primary care appointments, specialised hospital admissions for complications, and a substantial pharmaceuticals budget for chronic medication.</w:t>
      </w:r>
      <w:r w:rsidRPr="009D59FF">
        <w:rPr>
          <w:rFonts w:ascii="Arial" w:hAnsi="Arial" w:cs="Arial"/>
          <w:b w:val="0"/>
          <w:bCs w:val="0"/>
          <w:color w:val="172B4D"/>
          <w:sz w:val="22"/>
          <w:szCs w:val="22"/>
        </w:rPr>
        <w:t xml:space="preserve"> </w:t>
      </w:r>
    </w:p>
    <w:p w14:paraId="50D46A76" w14:textId="0FC8D891" w:rsidR="00CB24B2" w:rsidRPr="009D59FF" w:rsidRDefault="00CB24B2" w:rsidP="009D59FF">
      <w:pPr>
        <w:pStyle w:val="Heading3"/>
        <w:spacing w:line="360" w:lineRule="auto"/>
        <w:rPr>
          <w:rFonts w:ascii="Arial" w:hAnsi="Arial" w:cs="Arial"/>
          <w:b w:val="0"/>
          <w:bCs w:val="0"/>
          <w:color w:val="172B4D"/>
          <w:sz w:val="22"/>
          <w:szCs w:val="22"/>
          <w:shd w:val="clear" w:color="auto" w:fill="FFFFFF"/>
        </w:rPr>
      </w:pPr>
      <w:r w:rsidRPr="009D59FF">
        <w:rPr>
          <w:rFonts w:ascii="Arial" w:hAnsi="Arial" w:cs="Arial"/>
          <w:b w:val="0"/>
          <w:bCs w:val="0"/>
          <w:color w:val="172B4D"/>
          <w:sz w:val="22"/>
          <w:szCs w:val="22"/>
          <w:shd w:val="clear" w:color="auto" w:fill="FFFFFF"/>
        </w:rPr>
        <w:t>Type 2 diabetes needs to be monitored regularly to ensure the patient’s health does not deteriorate. These impacts can be identified in communities, especially through reduced workforce productivity and increased premature mortality. Because Type 2 diabetes often develops during a person’s working years, uncontrolled disease, or serious complications, such as heart problems, kidney failure, or non-traumatic limb amputation can then lead to long-term disability or early retirement (Ker</w:t>
      </w:r>
      <w:r w:rsidR="00241B7F" w:rsidRPr="009D59FF">
        <w:rPr>
          <w:rFonts w:ascii="Arial" w:hAnsi="Arial" w:cs="Arial"/>
          <w:b w:val="0"/>
          <w:bCs w:val="0"/>
          <w:color w:val="172B4D"/>
          <w:sz w:val="22"/>
          <w:szCs w:val="22"/>
          <w:shd w:val="clear" w:color="auto" w:fill="FFFFFF"/>
        </w:rPr>
        <w:t>r</w:t>
      </w:r>
      <w:r w:rsidRPr="009D59FF">
        <w:rPr>
          <w:rFonts w:ascii="Arial" w:hAnsi="Arial" w:cs="Arial"/>
          <w:b w:val="0"/>
          <w:bCs w:val="0"/>
          <w:color w:val="172B4D"/>
          <w:sz w:val="22"/>
          <w:szCs w:val="22"/>
          <w:shd w:val="clear" w:color="auto" w:fill="FFFFFF"/>
        </w:rPr>
        <w:t xml:space="preserve"> et al, 2020). Due to the disease progressing so gradually, people with T2DM often end up needing a lot of informal support normally from family members. These relatives may have to adjust their lifestyles and working hours to support their family members, because of this it can create financial issues at home which then can also affect the community.</w:t>
      </w:r>
      <w:r w:rsidRPr="009D59FF">
        <w:rPr>
          <w:rFonts w:ascii="Arial" w:hAnsi="Arial" w:cs="Arial"/>
          <w:b w:val="0"/>
          <w:bCs w:val="0"/>
          <w:color w:val="172B4D"/>
          <w:sz w:val="22"/>
          <w:szCs w:val="22"/>
        </w:rPr>
        <w:t xml:space="preserve"> </w:t>
      </w:r>
      <w:r w:rsidRPr="009D59FF">
        <w:rPr>
          <w:rFonts w:ascii="Arial" w:hAnsi="Arial" w:cs="Arial"/>
          <w:b w:val="0"/>
          <w:bCs w:val="0"/>
          <w:color w:val="172B4D"/>
          <w:sz w:val="22"/>
          <w:szCs w:val="22"/>
          <w:shd w:val="clear" w:color="auto" w:fill="FFFFFF"/>
        </w:rPr>
        <w:t>Microvascular complications, which are long-term, including retinopathy, nephropathy, and neuropathy, have a requirement for highly specialised services of the NHS. For example, T2DM is the most common cause of sight loss in adults of working age and the most common reason for end-stage renal disease (NHS England</w:t>
      </w:r>
      <w:r w:rsidR="00241B7F" w:rsidRPr="009D59FF">
        <w:rPr>
          <w:rFonts w:ascii="Arial" w:hAnsi="Arial" w:cs="Arial"/>
          <w:b w:val="0"/>
          <w:bCs w:val="0"/>
          <w:color w:val="172B4D"/>
          <w:sz w:val="22"/>
          <w:szCs w:val="22"/>
          <w:shd w:val="clear" w:color="auto" w:fill="FFFFFF"/>
        </w:rPr>
        <w:t xml:space="preserve"> Digital</w:t>
      </w:r>
      <w:r w:rsidRPr="009D59FF">
        <w:rPr>
          <w:rFonts w:ascii="Arial" w:hAnsi="Arial" w:cs="Arial"/>
          <w:b w:val="0"/>
          <w:bCs w:val="0"/>
          <w:color w:val="172B4D"/>
          <w:sz w:val="22"/>
          <w:szCs w:val="22"/>
          <w:shd w:val="clear" w:color="auto" w:fill="FFFFFF"/>
        </w:rPr>
        <w:t>, 2023). The high demand for services such as diabetic eye screening, foot care, and dialysis shows how heavily the condition pulls on NHS resources, diverting funding and staff away from other essential areas of care. Because T2DM is very complex, it requires a coordinated, whole-system approach to ensure the patient’s health does not deteriorate and can be monitored appropriately.</w:t>
      </w:r>
    </w:p>
    <w:p w14:paraId="2E8C796B" w14:textId="16C4BAEF" w:rsidR="00241B7F" w:rsidRPr="009D59FF" w:rsidRDefault="00241B7F" w:rsidP="009D59FF">
      <w:pPr>
        <w:pStyle w:val="Heading3"/>
        <w:spacing w:line="360" w:lineRule="auto"/>
        <w:rPr>
          <w:rFonts w:ascii="Arial" w:hAnsi="Arial" w:cs="Arial"/>
          <w:b w:val="0"/>
          <w:bCs w:val="0"/>
          <w:color w:val="000000"/>
          <w:sz w:val="22"/>
          <w:szCs w:val="22"/>
        </w:rPr>
      </w:pPr>
      <w:r w:rsidRPr="009D59FF">
        <w:rPr>
          <w:rFonts w:ascii="Arial" w:hAnsi="Arial" w:cs="Arial"/>
          <w:b w:val="0"/>
          <w:bCs w:val="0"/>
          <w:color w:val="000000"/>
          <w:sz w:val="22"/>
          <w:szCs w:val="22"/>
        </w:rPr>
        <w:t>Control and Management Strategies</w:t>
      </w:r>
    </w:p>
    <w:p w14:paraId="5E1ACF3E" w14:textId="77777777" w:rsidR="00241B7F" w:rsidRPr="009D59FF" w:rsidRDefault="00241B7F" w:rsidP="009D59FF">
      <w:pPr>
        <w:pStyle w:val="Heading3"/>
        <w:spacing w:line="360" w:lineRule="auto"/>
        <w:rPr>
          <w:rFonts w:ascii="Arial" w:hAnsi="Arial" w:cs="Arial"/>
          <w:b w:val="0"/>
          <w:bCs w:val="0"/>
          <w:color w:val="000000"/>
          <w:sz w:val="22"/>
          <w:szCs w:val="22"/>
        </w:rPr>
      </w:pPr>
      <w:r w:rsidRPr="009D59FF">
        <w:rPr>
          <w:rFonts w:ascii="Arial" w:hAnsi="Arial" w:cs="Arial"/>
          <w:b w:val="0"/>
          <w:bCs w:val="0"/>
          <w:color w:val="000000"/>
          <w:sz w:val="22"/>
          <w:szCs w:val="22"/>
        </w:rPr>
        <w:t xml:space="preserve">Effective management of T2DM is multifactorial, involving lifestyle adjustments, pharmacological intervention, and structured patient education based on evidence-based frameworks such as those published by NICE 2022. The main management for the patient is trying to obtain optimal glycaemic control to avoid or delay further complications. </w:t>
      </w:r>
    </w:p>
    <w:p w14:paraId="06C3C464" w14:textId="29341947" w:rsidR="00241B7F" w:rsidRPr="009D59FF" w:rsidRDefault="00241B7F" w:rsidP="009D59FF">
      <w:pPr>
        <w:pStyle w:val="Heading3"/>
        <w:spacing w:line="360" w:lineRule="auto"/>
        <w:rPr>
          <w:rFonts w:ascii="Arial" w:hAnsi="Arial" w:cs="Arial"/>
          <w:b w:val="0"/>
          <w:bCs w:val="0"/>
          <w:color w:val="000000"/>
          <w:sz w:val="22"/>
          <w:szCs w:val="22"/>
        </w:rPr>
      </w:pPr>
      <w:r w:rsidRPr="009D59FF">
        <w:rPr>
          <w:rFonts w:ascii="Arial" w:hAnsi="Arial" w:cs="Arial"/>
          <w:b w:val="0"/>
          <w:bCs w:val="0"/>
          <w:color w:val="000000"/>
          <w:sz w:val="22"/>
          <w:szCs w:val="22"/>
        </w:rPr>
        <w:t xml:space="preserve">Initial management is focused on non-pharmacological measures. Structured education programs, such as DESMOND (Diabetes Education and Self-Management for Ongoing and Newly Diagnosed), help and educate patients to understand their disease, monitor their blood glucose regularly, and manage their life-style factors (Dinneen, 2008). There should be changes to diet, especially the reduction of refined carbohydrates and saturated fats. Alongside this the patient should increase physical activity, as even modest weight loss can dramatically enhance insulin sensitivity Diabetes UK, 2023. These changes are often the first line of defence, especially in patients who are newly diagnosed or have minimal hyperglycaemia. Consistently applying these lifestyle changes not only helps bring blood glucose levels under control but also reduces the risk of long-term complications, making them a crucial foundation for ongoing diabetes management. Consistently applying these lifestyle changes will help control blood glucose levels but also help reduce the risk of any future long-term </w:t>
      </w:r>
      <w:r w:rsidR="00782F48" w:rsidRPr="009D59FF">
        <w:rPr>
          <w:rFonts w:ascii="Arial" w:hAnsi="Arial" w:cs="Arial"/>
          <w:b w:val="0"/>
          <w:bCs w:val="0"/>
          <w:color w:val="000000"/>
          <w:sz w:val="22"/>
          <w:szCs w:val="22"/>
        </w:rPr>
        <w:t>complications. The</w:t>
      </w:r>
      <w:r w:rsidR="0014547F" w:rsidRPr="009D59FF">
        <w:rPr>
          <w:rFonts w:ascii="Arial" w:hAnsi="Arial" w:cs="Arial"/>
          <w:b w:val="0"/>
          <w:bCs w:val="0"/>
          <w:color w:val="000000"/>
          <w:sz w:val="22"/>
          <w:szCs w:val="22"/>
        </w:rPr>
        <w:t xml:space="preserve"> best way to see a difference in health is by improving an </w:t>
      </w:r>
      <w:r w:rsidR="00782F48" w:rsidRPr="009D59FF">
        <w:rPr>
          <w:rFonts w:ascii="Arial" w:hAnsi="Arial" w:cs="Arial"/>
          <w:b w:val="0"/>
          <w:bCs w:val="0"/>
          <w:color w:val="000000"/>
          <w:sz w:val="22"/>
          <w:szCs w:val="22"/>
        </w:rPr>
        <w:t>individual’s</w:t>
      </w:r>
      <w:r w:rsidR="0014547F" w:rsidRPr="009D59FF">
        <w:rPr>
          <w:rFonts w:ascii="Arial" w:hAnsi="Arial" w:cs="Arial"/>
          <w:b w:val="0"/>
          <w:bCs w:val="0"/>
          <w:color w:val="000000"/>
          <w:sz w:val="22"/>
          <w:szCs w:val="22"/>
        </w:rPr>
        <w:t xml:space="preserve"> diet by reducing refined carbohydrates and saturated fats. In </w:t>
      </w:r>
      <w:r w:rsidR="00782F48" w:rsidRPr="009D59FF">
        <w:rPr>
          <w:rFonts w:ascii="Arial" w:hAnsi="Arial" w:cs="Arial"/>
          <w:b w:val="0"/>
          <w:bCs w:val="0"/>
          <w:color w:val="000000"/>
          <w:sz w:val="22"/>
          <w:szCs w:val="22"/>
        </w:rPr>
        <w:t>addition,</w:t>
      </w:r>
      <w:r w:rsidR="0014547F" w:rsidRPr="009D59FF">
        <w:rPr>
          <w:rFonts w:ascii="Arial" w:hAnsi="Arial" w:cs="Arial"/>
          <w:b w:val="0"/>
          <w:bCs w:val="0"/>
          <w:color w:val="000000"/>
          <w:sz w:val="22"/>
          <w:szCs w:val="22"/>
        </w:rPr>
        <w:t xml:space="preserve"> increasing physical activity as this can aid weight loss, therefore improve insulin sensitivity (Diabetes UK, 2023). By introducing these </w:t>
      </w:r>
      <w:r w:rsidR="00782F48" w:rsidRPr="009D59FF">
        <w:rPr>
          <w:rFonts w:ascii="Arial" w:hAnsi="Arial" w:cs="Arial"/>
          <w:b w:val="0"/>
          <w:bCs w:val="0"/>
          <w:color w:val="000000"/>
          <w:sz w:val="22"/>
          <w:szCs w:val="22"/>
        </w:rPr>
        <w:t>changes,</w:t>
      </w:r>
      <w:r w:rsidR="0014547F" w:rsidRPr="009D59FF">
        <w:rPr>
          <w:rFonts w:ascii="Arial" w:hAnsi="Arial" w:cs="Arial"/>
          <w:b w:val="0"/>
          <w:bCs w:val="0"/>
          <w:color w:val="000000"/>
          <w:sz w:val="22"/>
          <w:szCs w:val="22"/>
        </w:rPr>
        <w:t xml:space="preserve"> they are the first line of defence for those </w:t>
      </w:r>
      <w:r w:rsidR="00782F48" w:rsidRPr="009D59FF">
        <w:rPr>
          <w:rFonts w:ascii="Arial" w:hAnsi="Arial" w:cs="Arial"/>
          <w:b w:val="0"/>
          <w:bCs w:val="0"/>
          <w:color w:val="000000"/>
          <w:sz w:val="22"/>
          <w:szCs w:val="22"/>
        </w:rPr>
        <w:t>who</w:t>
      </w:r>
      <w:r w:rsidR="0014547F" w:rsidRPr="009D59FF">
        <w:rPr>
          <w:rFonts w:ascii="Arial" w:hAnsi="Arial" w:cs="Arial"/>
          <w:b w:val="0"/>
          <w:bCs w:val="0"/>
          <w:color w:val="000000"/>
          <w:sz w:val="22"/>
          <w:szCs w:val="22"/>
        </w:rPr>
        <w:t xml:space="preserve"> are newly diagnosed or experiencing only mild hyperglycaemia.</w:t>
      </w:r>
    </w:p>
    <w:p w14:paraId="2651EC3A" w14:textId="42729C5C" w:rsidR="008C648E" w:rsidRPr="009D59FF" w:rsidRDefault="00613F0B" w:rsidP="009D59FF">
      <w:pPr>
        <w:pStyle w:val="NormalWeb"/>
        <w:spacing w:line="360" w:lineRule="auto"/>
        <w:rPr>
          <w:rFonts w:ascii="Arial" w:hAnsi="Arial" w:cs="Arial"/>
          <w:color w:val="000000"/>
          <w:sz w:val="22"/>
          <w:szCs w:val="22"/>
        </w:rPr>
      </w:pPr>
      <w:r w:rsidRPr="009D59FF">
        <w:rPr>
          <w:rFonts w:ascii="Arial" w:hAnsi="Arial" w:cs="Arial"/>
          <w:color w:val="000000"/>
          <w:sz w:val="22"/>
          <w:szCs w:val="22"/>
        </w:rPr>
        <w:t>When lifestyle measures alone prove inadequate, medical treatments are added in sequence to support the patient.</w:t>
      </w:r>
      <w:r w:rsidRPr="009D59FF">
        <w:rPr>
          <w:rStyle w:val="apple-converted-space"/>
          <w:rFonts w:ascii="Arial" w:eastAsia="Arial" w:hAnsi="Arial" w:cs="Arial"/>
          <w:color w:val="000000"/>
          <w:sz w:val="22"/>
          <w:szCs w:val="22"/>
        </w:rPr>
        <w:t xml:space="preserve"> Metformin is used for diabetic patients as the first line drug. The way it performs in the body is by reducing </w:t>
      </w:r>
      <w:r w:rsidR="00782F48" w:rsidRPr="009D59FF">
        <w:rPr>
          <w:rStyle w:val="apple-converted-space"/>
          <w:rFonts w:ascii="Arial" w:eastAsia="Arial" w:hAnsi="Arial" w:cs="Arial"/>
          <w:color w:val="000000"/>
          <w:sz w:val="22"/>
          <w:szCs w:val="22"/>
        </w:rPr>
        <w:t>glucose</w:t>
      </w:r>
      <w:r w:rsidRPr="009D59FF">
        <w:rPr>
          <w:rStyle w:val="apple-converted-space"/>
          <w:rFonts w:ascii="Arial" w:eastAsia="Arial" w:hAnsi="Arial" w:cs="Arial"/>
          <w:color w:val="000000"/>
          <w:sz w:val="22"/>
          <w:szCs w:val="22"/>
        </w:rPr>
        <w:t xml:space="preserve"> production in the liver and improve peripheral insulin sensitivity</w:t>
      </w:r>
      <w:r w:rsidRPr="009D59FF">
        <w:rPr>
          <w:rFonts w:ascii="Arial" w:hAnsi="Arial" w:cs="Arial"/>
          <w:color w:val="000000"/>
          <w:sz w:val="22"/>
          <w:szCs w:val="22"/>
        </w:rPr>
        <w:t xml:space="preserve"> (National Institute for Health and Care Excellence, 2022)</w:t>
      </w:r>
      <w:r w:rsidRPr="009D59FF">
        <w:rPr>
          <w:rStyle w:val="apple-converted-space"/>
          <w:rFonts w:ascii="Arial" w:eastAsia="Arial" w:hAnsi="Arial" w:cs="Arial"/>
          <w:color w:val="000000"/>
          <w:sz w:val="22"/>
          <w:szCs w:val="22"/>
        </w:rPr>
        <w:t>. NICE guidelines advise starting additional medications in stages when glycaemic goals (usually measured by HBA1C levels) are not achieved</w:t>
      </w:r>
      <w:r w:rsidRPr="009D59FF">
        <w:rPr>
          <w:rFonts w:ascii="Arial" w:hAnsi="Arial" w:cs="Arial"/>
          <w:color w:val="000000"/>
          <w:sz w:val="22"/>
          <w:szCs w:val="22"/>
        </w:rPr>
        <w:t xml:space="preserve"> (National Institute for Health and Care Excellence, 2022). Second stage options usually include Sulphonylureas, which promote the pancreas to release more insulin</w:t>
      </w:r>
      <w:r w:rsidR="008C648E" w:rsidRPr="009D59FF">
        <w:rPr>
          <w:rFonts w:ascii="Arial" w:hAnsi="Arial" w:cs="Arial"/>
          <w:color w:val="000000"/>
          <w:sz w:val="22"/>
          <w:szCs w:val="22"/>
        </w:rPr>
        <w:t xml:space="preserve"> or newer treatments such as Dipeptidyl Peptidase-4 inhibitors and Glucagon-like Peptide-1 Receptor Agonists (Inzucchi et al, 2012). The newer treatments like Semaglutide, is increasingly favoured because it not only enhances blood </w:t>
      </w:r>
      <w:r w:rsidR="00782F48" w:rsidRPr="009D59FF">
        <w:rPr>
          <w:rFonts w:ascii="Arial" w:hAnsi="Arial" w:cs="Arial"/>
          <w:color w:val="000000"/>
          <w:sz w:val="22"/>
          <w:szCs w:val="22"/>
        </w:rPr>
        <w:t>glucose</w:t>
      </w:r>
      <w:r w:rsidR="008C648E" w:rsidRPr="009D59FF">
        <w:rPr>
          <w:rFonts w:ascii="Arial" w:hAnsi="Arial" w:cs="Arial"/>
          <w:color w:val="000000"/>
          <w:sz w:val="22"/>
          <w:szCs w:val="22"/>
        </w:rPr>
        <w:t xml:space="preserve"> control but supports weight loss and has cardiovascular benefits. This is highly important as people with Type 2 Diabetes do have high risk heart disease (National Institute for Health and Care Excellence, 2022). Insulin therapy </w:t>
      </w:r>
      <w:r w:rsidR="00782F48" w:rsidRPr="009D59FF">
        <w:rPr>
          <w:rFonts w:ascii="Arial" w:hAnsi="Arial" w:cs="Arial"/>
          <w:color w:val="000000"/>
          <w:sz w:val="22"/>
          <w:szCs w:val="22"/>
        </w:rPr>
        <w:t>is usually used for patients whose conditions develops to a point where oral and injectable non-insulin medications no longer help manage the levels. Ongoing</w:t>
      </w:r>
      <w:r w:rsidR="008C648E" w:rsidRPr="009D59FF">
        <w:rPr>
          <w:rFonts w:ascii="Arial" w:hAnsi="Arial" w:cs="Arial"/>
          <w:color w:val="000000"/>
          <w:sz w:val="22"/>
          <w:szCs w:val="22"/>
        </w:rPr>
        <w:t xml:space="preserve"> management also </w:t>
      </w:r>
      <w:r w:rsidR="00782F48" w:rsidRPr="009D59FF">
        <w:rPr>
          <w:rFonts w:ascii="Arial" w:hAnsi="Arial" w:cs="Arial"/>
          <w:color w:val="000000"/>
          <w:sz w:val="22"/>
          <w:szCs w:val="22"/>
        </w:rPr>
        <w:t>includes</w:t>
      </w:r>
      <w:r w:rsidR="008C648E" w:rsidRPr="009D59FF">
        <w:rPr>
          <w:rFonts w:ascii="Arial" w:hAnsi="Arial" w:cs="Arial"/>
          <w:color w:val="000000"/>
          <w:sz w:val="22"/>
          <w:szCs w:val="22"/>
        </w:rPr>
        <w:t xml:space="preserve"> addressing related risk factors, such as blood pressure and cholesterol, underscoring the importance of a holistic approach to patient care.</w:t>
      </w:r>
    </w:p>
    <w:p w14:paraId="7B86536B" w14:textId="611B9C73" w:rsidR="00242721" w:rsidRPr="009D59FF" w:rsidRDefault="00242721" w:rsidP="009D59FF">
      <w:pPr>
        <w:pStyle w:val="Heading2"/>
        <w:spacing w:line="360" w:lineRule="auto"/>
        <w:rPr>
          <w:rFonts w:ascii="Arial" w:hAnsi="Arial" w:cs="Arial"/>
          <w:b w:val="0"/>
          <w:bCs w:val="0"/>
          <w:color w:val="000000"/>
          <w:sz w:val="22"/>
          <w:szCs w:val="22"/>
        </w:rPr>
      </w:pPr>
      <w:r w:rsidRPr="009D59FF">
        <w:rPr>
          <w:rFonts w:ascii="Arial" w:hAnsi="Arial" w:cs="Arial"/>
          <w:b w:val="0"/>
          <w:bCs w:val="0"/>
          <w:color w:val="000000"/>
          <w:sz w:val="22"/>
          <w:szCs w:val="22"/>
        </w:rPr>
        <w:t>Factors Affecting Health and Well-being</w:t>
      </w:r>
    </w:p>
    <w:p w14:paraId="199A096C" w14:textId="40E1A178" w:rsidR="009A6D57" w:rsidRPr="009D59FF" w:rsidRDefault="00782F48" w:rsidP="009D59FF">
      <w:pPr>
        <w:pStyle w:val="Heading2"/>
        <w:spacing w:line="360" w:lineRule="auto"/>
        <w:rPr>
          <w:rFonts w:ascii="Arial" w:hAnsi="Arial" w:cs="Arial"/>
          <w:b w:val="0"/>
          <w:bCs w:val="0"/>
          <w:color w:val="000000"/>
          <w:sz w:val="22"/>
          <w:szCs w:val="22"/>
        </w:rPr>
      </w:pPr>
      <w:r w:rsidRPr="009D59FF">
        <w:rPr>
          <w:rFonts w:ascii="Arial" w:hAnsi="Arial" w:cs="Arial"/>
          <w:b w:val="0"/>
          <w:bCs w:val="0"/>
          <w:color w:val="000000"/>
          <w:sz w:val="22"/>
          <w:szCs w:val="22"/>
        </w:rPr>
        <w:t xml:space="preserve">Individuals with T2DM and as well as their families, long term health is intrinsically linked to social, </w:t>
      </w:r>
      <w:r w:rsidR="009A6D57" w:rsidRPr="009D59FF">
        <w:rPr>
          <w:rFonts w:ascii="Arial" w:hAnsi="Arial" w:cs="Arial"/>
          <w:b w:val="0"/>
          <w:bCs w:val="0"/>
          <w:color w:val="000000"/>
          <w:sz w:val="22"/>
          <w:szCs w:val="22"/>
        </w:rPr>
        <w:t>psychological,</w:t>
      </w:r>
      <w:r w:rsidRPr="009D59FF">
        <w:rPr>
          <w:rFonts w:ascii="Arial" w:hAnsi="Arial" w:cs="Arial"/>
          <w:b w:val="0"/>
          <w:bCs w:val="0"/>
          <w:color w:val="000000"/>
          <w:sz w:val="22"/>
          <w:szCs w:val="22"/>
        </w:rPr>
        <w:t xml:space="preserve"> and environmental </w:t>
      </w:r>
      <w:r w:rsidR="009A6D57" w:rsidRPr="009D59FF">
        <w:rPr>
          <w:rFonts w:ascii="Arial" w:hAnsi="Arial" w:cs="Arial"/>
          <w:b w:val="0"/>
          <w:bCs w:val="0"/>
          <w:color w:val="000000"/>
          <w:sz w:val="22"/>
          <w:szCs w:val="22"/>
        </w:rPr>
        <w:t>factors. Social</w:t>
      </w:r>
      <w:r w:rsidRPr="009D59FF">
        <w:rPr>
          <w:rFonts w:ascii="Arial" w:hAnsi="Arial" w:cs="Arial"/>
          <w:b w:val="0"/>
          <w:bCs w:val="0"/>
          <w:color w:val="000000"/>
          <w:sz w:val="22"/>
          <w:szCs w:val="22"/>
        </w:rPr>
        <w:t xml:space="preserve"> influences of health are </w:t>
      </w:r>
      <w:r w:rsidR="009A6D57" w:rsidRPr="009D59FF">
        <w:rPr>
          <w:rFonts w:ascii="Arial" w:hAnsi="Arial" w:cs="Arial"/>
          <w:b w:val="0"/>
          <w:bCs w:val="0"/>
          <w:color w:val="000000"/>
          <w:sz w:val="22"/>
          <w:szCs w:val="22"/>
        </w:rPr>
        <w:t>pivotal</w:t>
      </w:r>
      <w:r w:rsidRPr="009D59FF">
        <w:rPr>
          <w:rFonts w:ascii="Arial" w:hAnsi="Arial" w:cs="Arial"/>
          <w:b w:val="0"/>
          <w:bCs w:val="0"/>
          <w:color w:val="000000"/>
          <w:sz w:val="22"/>
          <w:szCs w:val="22"/>
        </w:rPr>
        <w:t>, individuals in circumstances of</w:t>
      </w:r>
      <w:r w:rsidRPr="009D59FF">
        <w:rPr>
          <w:rStyle w:val="apple-converted-space"/>
          <w:rFonts w:ascii="Arial" w:eastAsia="Arial" w:hAnsi="Arial" w:cs="Arial"/>
          <w:b w:val="0"/>
          <w:bCs w:val="0"/>
          <w:color w:val="000000"/>
          <w:sz w:val="22"/>
          <w:szCs w:val="22"/>
        </w:rPr>
        <w:t> </w:t>
      </w:r>
      <w:r w:rsidRPr="009D59FF">
        <w:rPr>
          <w:rFonts w:ascii="Arial" w:hAnsi="Arial" w:cs="Arial"/>
          <w:b w:val="0"/>
          <w:bCs w:val="0"/>
          <w:color w:val="000000"/>
          <w:sz w:val="22"/>
          <w:szCs w:val="22"/>
        </w:rPr>
        <w:t>socio-economic deprivation and lower educational backgrounds</w:t>
      </w:r>
      <w:r w:rsidRPr="009D59FF">
        <w:rPr>
          <w:rStyle w:val="apple-converted-space"/>
          <w:rFonts w:ascii="Arial" w:eastAsia="Arial" w:hAnsi="Arial" w:cs="Arial"/>
          <w:b w:val="0"/>
          <w:bCs w:val="0"/>
          <w:color w:val="000000"/>
          <w:sz w:val="22"/>
          <w:szCs w:val="22"/>
        </w:rPr>
        <w:t> </w:t>
      </w:r>
      <w:r w:rsidRPr="009D59FF">
        <w:rPr>
          <w:rFonts w:ascii="Arial" w:hAnsi="Arial" w:cs="Arial"/>
          <w:b w:val="0"/>
          <w:bCs w:val="0"/>
          <w:color w:val="000000"/>
          <w:sz w:val="22"/>
          <w:szCs w:val="22"/>
        </w:rPr>
        <w:t xml:space="preserve">have poorer health, </w:t>
      </w:r>
      <w:r w:rsidR="00645D22" w:rsidRPr="009D59FF">
        <w:rPr>
          <w:rFonts w:ascii="Arial" w:hAnsi="Arial" w:cs="Arial"/>
          <w:b w:val="0"/>
          <w:bCs w:val="0"/>
          <w:color w:val="000000"/>
          <w:sz w:val="22"/>
          <w:szCs w:val="22"/>
        </w:rPr>
        <w:t>an</w:t>
      </w:r>
      <w:r w:rsidRPr="009D59FF">
        <w:rPr>
          <w:rFonts w:ascii="Arial" w:hAnsi="Arial" w:cs="Arial"/>
          <w:b w:val="0"/>
          <w:bCs w:val="0"/>
          <w:color w:val="000000"/>
          <w:sz w:val="22"/>
          <w:szCs w:val="22"/>
        </w:rPr>
        <w:t xml:space="preserve"> </w:t>
      </w:r>
      <w:r w:rsidR="009A6D57" w:rsidRPr="009D59FF">
        <w:rPr>
          <w:rFonts w:ascii="Arial" w:hAnsi="Arial" w:cs="Arial"/>
          <w:b w:val="0"/>
          <w:bCs w:val="0"/>
          <w:color w:val="000000"/>
          <w:sz w:val="22"/>
          <w:szCs w:val="22"/>
        </w:rPr>
        <w:t>inequality</w:t>
      </w:r>
      <w:r w:rsidRPr="009D59FF">
        <w:rPr>
          <w:rFonts w:ascii="Arial" w:hAnsi="Arial" w:cs="Arial"/>
          <w:b w:val="0"/>
          <w:bCs w:val="0"/>
          <w:color w:val="000000"/>
          <w:sz w:val="22"/>
          <w:szCs w:val="22"/>
        </w:rPr>
        <w:t xml:space="preserve"> driven by</w:t>
      </w:r>
      <w:r w:rsidRPr="009D59FF">
        <w:rPr>
          <w:rStyle w:val="apple-converted-space"/>
          <w:rFonts w:ascii="Arial" w:eastAsia="Arial" w:hAnsi="Arial" w:cs="Arial"/>
          <w:b w:val="0"/>
          <w:bCs w:val="0"/>
          <w:color w:val="000000"/>
          <w:sz w:val="22"/>
          <w:szCs w:val="22"/>
        </w:rPr>
        <w:t> </w:t>
      </w:r>
      <w:r w:rsidRPr="009D59FF">
        <w:rPr>
          <w:rFonts w:ascii="Arial" w:hAnsi="Arial" w:cs="Arial"/>
          <w:b w:val="0"/>
          <w:bCs w:val="0"/>
          <w:color w:val="000000"/>
          <w:sz w:val="22"/>
          <w:szCs w:val="22"/>
        </w:rPr>
        <w:t>systemic disadvantages</w:t>
      </w:r>
      <w:r w:rsidRPr="009D59FF">
        <w:rPr>
          <w:rStyle w:val="apple-converted-space"/>
          <w:rFonts w:ascii="Arial" w:eastAsia="Arial" w:hAnsi="Arial" w:cs="Arial"/>
          <w:b w:val="0"/>
          <w:bCs w:val="0"/>
          <w:color w:val="000000"/>
          <w:sz w:val="22"/>
          <w:szCs w:val="22"/>
        </w:rPr>
        <w:t> </w:t>
      </w:r>
      <w:r w:rsidRPr="009D59FF">
        <w:rPr>
          <w:rFonts w:ascii="Arial" w:hAnsi="Arial" w:cs="Arial"/>
          <w:b w:val="0"/>
          <w:bCs w:val="0"/>
          <w:color w:val="000000"/>
          <w:sz w:val="22"/>
          <w:szCs w:val="22"/>
        </w:rPr>
        <w:t>like a lack of resources, low health literacy, and poor nutrition (Walker et al., 2014).</w:t>
      </w:r>
      <w:r w:rsidR="009A6D57" w:rsidRPr="009D59FF">
        <w:rPr>
          <w:rFonts w:ascii="Arial" w:hAnsi="Arial" w:cs="Arial"/>
          <w:b w:val="0"/>
          <w:bCs w:val="0"/>
          <w:color w:val="000000"/>
          <w:sz w:val="22"/>
          <w:szCs w:val="22"/>
        </w:rPr>
        <w:t xml:space="preserve"> These disadvantages fundamentally undermine the ability to maintain the struggles of daily lifestyle changes required for effective T2DM management.</w:t>
      </w:r>
    </w:p>
    <w:p w14:paraId="5E269FC4" w14:textId="3E0328A4" w:rsidR="00EE08C2" w:rsidRPr="009D59FF" w:rsidRDefault="009A6D57" w:rsidP="009D59FF">
      <w:pPr>
        <w:pStyle w:val="Heading2"/>
        <w:spacing w:line="360" w:lineRule="auto"/>
        <w:rPr>
          <w:rFonts w:ascii="Arial" w:hAnsi="Arial" w:cs="Arial"/>
          <w:b w:val="0"/>
          <w:bCs w:val="0"/>
          <w:color w:val="000000"/>
          <w:sz w:val="22"/>
          <w:szCs w:val="22"/>
        </w:rPr>
      </w:pPr>
      <w:r w:rsidRPr="009D59FF">
        <w:rPr>
          <w:rFonts w:ascii="Arial" w:hAnsi="Arial" w:cs="Arial"/>
          <w:b w:val="0"/>
          <w:bCs w:val="0"/>
          <w:color w:val="000000"/>
          <w:sz w:val="22"/>
          <w:szCs w:val="22"/>
        </w:rPr>
        <w:t xml:space="preserve">Another factor how the condition can affect the individual is psychologically, as it can lead to distress. With Type 2 Diabetes it requires a lot of </w:t>
      </w:r>
      <w:r w:rsidR="00EE08C2" w:rsidRPr="009D59FF">
        <w:rPr>
          <w:rFonts w:ascii="Arial" w:hAnsi="Arial" w:cs="Arial"/>
          <w:b w:val="0"/>
          <w:bCs w:val="0"/>
          <w:color w:val="000000"/>
          <w:sz w:val="22"/>
          <w:szCs w:val="22"/>
        </w:rPr>
        <w:t>self-management</w:t>
      </w:r>
      <w:r w:rsidRPr="009D59FF">
        <w:rPr>
          <w:rFonts w:ascii="Arial" w:hAnsi="Arial" w:cs="Arial"/>
          <w:b w:val="0"/>
          <w:bCs w:val="0"/>
          <w:color w:val="000000"/>
          <w:sz w:val="22"/>
          <w:szCs w:val="22"/>
        </w:rPr>
        <w:t xml:space="preserve"> like monitoring blood </w:t>
      </w:r>
      <w:r w:rsidR="00EE08C2" w:rsidRPr="009D59FF">
        <w:rPr>
          <w:rFonts w:ascii="Arial" w:hAnsi="Arial" w:cs="Arial"/>
          <w:b w:val="0"/>
          <w:bCs w:val="0"/>
          <w:color w:val="000000"/>
          <w:sz w:val="22"/>
          <w:szCs w:val="22"/>
        </w:rPr>
        <w:t>glucose</w:t>
      </w:r>
      <w:r w:rsidRPr="009D59FF">
        <w:rPr>
          <w:rFonts w:ascii="Arial" w:hAnsi="Arial" w:cs="Arial"/>
          <w:b w:val="0"/>
          <w:bCs w:val="0"/>
          <w:color w:val="000000"/>
          <w:sz w:val="22"/>
          <w:szCs w:val="22"/>
        </w:rPr>
        <w:t xml:space="preserve"> levels before meals, complying with </w:t>
      </w:r>
      <w:r w:rsidR="00EE08C2" w:rsidRPr="009D59FF">
        <w:rPr>
          <w:rFonts w:ascii="Arial" w:hAnsi="Arial" w:cs="Arial"/>
          <w:b w:val="0"/>
          <w:bCs w:val="0"/>
          <w:color w:val="000000"/>
          <w:sz w:val="22"/>
          <w:szCs w:val="22"/>
        </w:rPr>
        <w:t>dietary</w:t>
      </w:r>
      <w:r w:rsidRPr="009D59FF">
        <w:rPr>
          <w:rFonts w:ascii="Arial" w:hAnsi="Arial" w:cs="Arial"/>
          <w:b w:val="0"/>
          <w:bCs w:val="0"/>
          <w:color w:val="000000"/>
          <w:sz w:val="22"/>
          <w:szCs w:val="22"/>
        </w:rPr>
        <w:t xml:space="preserve"> changes </w:t>
      </w:r>
      <w:r w:rsidR="00645D22" w:rsidRPr="009D59FF">
        <w:rPr>
          <w:rFonts w:ascii="Arial" w:hAnsi="Arial" w:cs="Arial"/>
          <w:b w:val="0"/>
          <w:bCs w:val="0"/>
          <w:color w:val="000000"/>
          <w:sz w:val="22"/>
          <w:szCs w:val="22"/>
        </w:rPr>
        <w:t>and</w:t>
      </w:r>
      <w:r w:rsidRPr="009D59FF">
        <w:rPr>
          <w:rFonts w:ascii="Arial" w:hAnsi="Arial" w:cs="Arial"/>
          <w:b w:val="0"/>
          <w:bCs w:val="0"/>
          <w:color w:val="000000"/>
          <w:sz w:val="22"/>
          <w:szCs w:val="22"/>
        </w:rPr>
        <w:t xml:space="preserve"> </w:t>
      </w:r>
      <w:r w:rsidR="00334743" w:rsidRPr="009D59FF">
        <w:rPr>
          <w:rFonts w:ascii="Arial" w:hAnsi="Arial" w:cs="Arial"/>
          <w:b w:val="0"/>
          <w:bCs w:val="0"/>
          <w:color w:val="000000"/>
          <w:sz w:val="22"/>
          <w:szCs w:val="22"/>
        </w:rPr>
        <w:t>remembering</w:t>
      </w:r>
      <w:r w:rsidRPr="009D59FF">
        <w:rPr>
          <w:rFonts w:ascii="Arial" w:hAnsi="Arial" w:cs="Arial"/>
          <w:b w:val="0"/>
          <w:bCs w:val="0"/>
          <w:color w:val="000000"/>
          <w:sz w:val="22"/>
          <w:szCs w:val="22"/>
        </w:rPr>
        <w:t xml:space="preserve"> medication timings. As a result of this, it can lead to ‘diabetes burnout’ or increased levels of diabetes emotional distress, varies significantly from general depression (Fisher et al, 2022).  The emotional distress undermines</w:t>
      </w:r>
      <w:r w:rsidRPr="009D59FF">
        <w:rPr>
          <w:rStyle w:val="apple-converted-space"/>
          <w:rFonts w:ascii="Arial" w:eastAsia="Arial" w:hAnsi="Arial" w:cs="Arial"/>
          <w:b w:val="0"/>
          <w:bCs w:val="0"/>
          <w:color w:val="000000"/>
          <w:sz w:val="22"/>
          <w:szCs w:val="22"/>
        </w:rPr>
        <w:t> </w:t>
      </w:r>
      <w:r w:rsidRPr="009D59FF">
        <w:rPr>
          <w:rFonts w:ascii="Arial" w:hAnsi="Arial" w:cs="Arial"/>
          <w:b w:val="0"/>
          <w:bCs w:val="0"/>
          <w:color w:val="000000"/>
          <w:sz w:val="22"/>
          <w:szCs w:val="22"/>
        </w:rPr>
        <w:t>treatment compliance, creating a</w:t>
      </w:r>
      <w:r w:rsidRPr="009D59FF">
        <w:rPr>
          <w:rStyle w:val="apple-converted-space"/>
          <w:rFonts w:ascii="Arial" w:eastAsia="Arial" w:hAnsi="Arial" w:cs="Arial"/>
          <w:b w:val="0"/>
          <w:bCs w:val="0"/>
          <w:color w:val="000000"/>
          <w:sz w:val="22"/>
          <w:szCs w:val="22"/>
        </w:rPr>
        <w:t> </w:t>
      </w:r>
      <w:r w:rsidR="00334743" w:rsidRPr="009D59FF">
        <w:rPr>
          <w:rFonts w:ascii="Arial" w:hAnsi="Arial" w:cs="Arial"/>
          <w:b w:val="0"/>
          <w:bCs w:val="0"/>
          <w:color w:val="000000"/>
          <w:sz w:val="22"/>
          <w:szCs w:val="22"/>
        </w:rPr>
        <w:t>disruptive</w:t>
      </w:r>
      <w:r w:rsidRPr="009D59FF">
        <w:rPr>
          <w:rFonts w:ascii="Arial" w:hAnsi="Arial" w:cs="Arial"/>
          <w:b w:val="0"/>
          <w:bCs w:val="0"/>
          <w:color w:val="000000"/>
          <w:sz w:val="22"/>
          <w:szCs w:val="22"/>
        </w:rPr>
        <w:t xml:space="preserve"> cycle</w:t>
      </w:r>
      <w:r w:rsidRPr="009D59FF">
        <w:rPr>
          <w:rStyle w:val="apple-converted-space"/>
          <w:rFonts w:ascii="Arial" w:eastAsia="Arial" w:hAnsi="Arial" w:cs="Arial"/>
          <w:b w:val="0"/>
          <w:bCs w:val="0"/>
          <w:color w:val="000000"/>
          <w:sz w:val="22"/>
          <w:szCs w:val="22"/>
        </w:rPr>
        <w:t> </w:t>
      </w:r>
      <w:r w:rsidRPr="009D59FF">
        <w:rPr>
          <w:rFonts w:ascii="Arial" w:hAnsi="Arial" w:cs="Arial"/>
          <w:b w:val="0"/>
          <w:bCs w:val="0"/>
          <w:color w:val="000000"/>
          <w:sz w:val="22"/>
          <w:szCs w:val="22"/>
        </w:rPr>
        <w:t>of worsening glycaemic control and increased complications. This effect is worsened by anxiety and reduced quality of life linked to the</w:t>
      </w:r>
      <w:r w:rsidRPr="009D59FF">
        <w:rPr>
          <w:rStyle w:val="apple-converted-space"/>
          <w:rFonts w:ascii="Arial" w:eastAsia="Arial" w:hAnsi="Arial" w:cs="Arial"/>
          <w:b w:val="0"/>
          <w:bCs w:val="0"/>
          <w:color w:val="000000"/>
          <w:sz w:val="22"/>
          <w:szCs w:val="22"/>
        </w:rPr>
        <w:t> </w:t>
      </w:r>
      <w:r w:rsidR="00334743" w:rsidRPr="009D59FF">
        <w:rPr>
          <w:rFonts w:ascii="Arial" w:hAnsi="Arial" w:cs="Arial"/>
          <w:b w:val="0"/>
          <w:bCs w:val="0"/>
          <w:color w:val="000000"/>
          <w:sz w:val="22"/>
          <w:szCs w:val="22"/>
        </w:rPr>
        <w:t>f</w:t>
      </w:r>
      <w:r w:rsidRPr="009D59FF">
        <w:rPr>
          <w:rFonts w:ascii="Arial" w:hAnsi="Arial" w:cs="Arial"/>
          <w:b w:val="0"/>
          <w:bCs w:val="0"/>
          <w:color w:val="000000"/>
          <w:sz w:val="22"/>
          <w:szCs w:val="22"/>
        </w:rPr>
        <w:t>ear of</w:t>
      </w:r>
      <w:r w:rsidR="00334743" w:rsidRPr="009D59FF">
        <w:rPr>
          <w:rFonts w:ascii="Arial" w:hAnsi="Arial" w:cs="Arial"/>
          <w:b w:val="0"/>
          <w:bCs w:val="0"/>
          <w:color w:val="000000"/>
          <w:sz w:val="22"/>
          <w:szCs w:val="22"/>
        </w:rPr>
        <w:t xml:space="preserve"> developing</w:t>
      </w:r>
      <w:r w:rsidRPr="009D59FF">
        <w:rPr>
          <w:rFonts w:ascii="Arial" w:hAnsi="Arial" w:cs="Arial"/>
          <w:b w:val="0"/>
          <w:bCs w:val="0"/>
          <w:color w:val="000000"/>
          <w:sz w:val="22"/>
          <w:szCs w:val="22"/>
        </w:rPr>
        <w:t xml:space="preserve"> hypoglycaemia, blindness, or amputation.</w:t>
      </w:r>
      <w:r w:rsidR="00EE08C2" w:rsidRPr="009D59FF">
        <w:rPr>
          <w:rFonts w:ascii="Arial" w:hAnsi="Arial" w:cs="Arial"/>
          <w:b w:val="0"/>
          <w:bCs w:val="0"/>
          <w:color w:val="000000"/>
          <w:sz w:val="22"/>
          <w:szCs w:val="22"/>
        </w:rPr>
        <w:t xml:space="preserve"> </w:t>
      </w:r>
      <w:r w:rsidR="00334743" w:rsidRPr="009D59FF">
        <w:rPr>
          <w:rFonts w:ascii="Arial" w:hAnsi="Arial" w:cs="Arial"/>
          <w:b w:val="0"/>
          <w:bCs w:val="0"/>
          <w:color w:val="000000"/>
          <w:sz w:val="22"/>
          <w:szCs w:val="22"/>
        </w:rPr>
        <w:t>Furthermore, this</w:t>
      </w:r>
      <w:r w:rsidR="00242721" w:rsidRPr="009D59FF">
        <w:rPr>
          <w:rFonts w:ascii="Arial" w:hAnsi="Arial" w:cs="Arial"/>
          <w:b w:val="0"/>
          <w:bCs w:val="0"/>
          <w:color w:val="000000"/>
          <w:sz w:val="22"/>
          <w:szCs w:val="22"/>
        </w:rPr>
        <w:t xml:space="preserve"> significantly </w:t>
      </w:r>
      <w:r w:rsidR="00334743" w:rsidRPr="009D59FF">
        <w:rPr>
          <w:rFonts w:ascii="Arial" w:hAnsi="Arial" w:cs="Arial"/>
          <w:b w:val="0"/>
          <w:bCs w:val="0"/>
          <w:color w:val="000000"/>
          <w:sz w:val="22"/>
          <w:szCs w:val="22"/>
        </w:rPr>
        <w:t xml:space="preserve">influences </w:t>
      </w:r>
      <w:r w:rsidR="00242721" w:rsidRPr="009D59FF">
        <w:rPr>
          <w:rFonts w:ascii="Arial" w:hAnsi="Arial" w:cs="Arial"/>
          <w:b w:val="0"/>
          <w:bCs w:val="0"/>
          <w:color w:val="000000"/>
          <w:sz w:val="22"/>
          <w:szCs w:val="22"/>
        </w:rPr>
        <w:t xml:space="preserve">the well-being of family members and </w:t>
      </w:r>
      <w:r w:rsidR="00334743" w:rsidRPr="009D59FF">
        <w:rPr>
          <w:rFonts w:ascii="Arial" w:hAnsi="Arial" w:cs="Arial"/>
          <w:b w:val="0"/>
          <w:bCs w:val="0"/>
          <w:color w:val="000000"/>
          <w:sz w:val="22"/>
          <w:szCs w:val="22"/>
        </w:rPr>
        <w:t xml:space="preserve">caregivers. The important role they </w:t>
      </w:r>
      <w:r w:rsidR="00BE3B3D" w:rsidRPr="009D59FF">
        <w:rPr>
          <w:rFonts w:ascii="Arial" w:hAnsi="Arial" w:cs="Arial"/>
          <w:b w:val="0"/>
          <w:bCs w:val="0"/>
          <w:color w:val="000000"/>
          <w:sz w:val="22"/>
          <w:szCs w:val="22"/>
        </w:rPr>
        <w:t>must</w:t>
      </w:r>
      <w:r w:rsidR="00334743" w:rsidRPr="009D59FF">
        <w:rPr>
          <w:rFonts w:ascii="Arial" w:hAnsi="Arial" w:cs="Arial"/>
          <w:b w:val="0"/>
          <w:bCs w:val="0"/>
          <w:color w:val="000000"/>
          <w:sz w:val="22"/>
          <w:szCs w:val="22"/>
        </w:rPr>
        <w:t xml:space="preserve"> take on from responsibilities like meal planning, medication administration and </w:t>
      </w:r>
      <w:r w:rsidR="009D59FF" w:rsidRPr="009D59FF">
        <w:rPr>
          <w:rFonts w:ascii="Arial" w:hAnsi="Arial" w:cs="Arial"/>
          <w:b w:val="0"/>
          <w:bCs w:val="0"/>
          <w:color w:val="000000"/>
          <w:sz w:val="22"/>
          <w:szCs w:val="22"/>
        </w:rPr>
        <w:t>emotional</w:t>
      </w:r>
      <w:r w:rsidR="00334743" w:rsidRPr="009D59FF">
        <w:rPr>
          <w:rFonts w:ascii="Arial" w:hAnsi="Arial" w:cs="Arial"/>
          <w:b w:val="0"/>
          <w:bCs w:val="0"/>
          <w:color w:val="000000"/>
          <w:sz w:val="22"/>
          <w:szCs w:val="22"/>
        </w:rPr>
        <w:t xml:space="preserve"> support often results in the caregivers </w:t>
      </w:r>
      <w:r w:rsidR="00EE08C2" w:rsidRPr="009D59FF">
        <w:rPr>
          <w:rFonts w:ascii="Arial" w:hAnsi="Arial" w:cs="Arial"/>
          <w:b w:val="0"/>
          <w:bCs w:val="0"/>
          <w:color w:val="000000"/>
          <w:sz w:val="22"/>
          <w:szCs w:val="22"/>
        </w:rPr>
        <w:t xml:space="preserve">feeling a level of burden, social </w:t>
      </w:r>
      <w:r w:rsidR="00645D22" w:rsidRPr="009D59FF">
        <w:rPr>
          <w:rFonts w:ascii="Arial" w:hAnsi="Arial" w:cs="Arial"/>
          <w:b w:val="0"/>
          <w:bCs w:val="0"/>
          <w:color w:val="000000"/>
          <w:sz w:val="22"/>
          <w:szCs w:val="22"/>
        </w:rPr>
        <w:t>isolation,</w:t>
      </w:r>
      <w:r w:rsidR="00EE08C2" w:rsidRPr="009D59FF">
        <w:rPr>
          <w:rFonts w:ascii="Arial" w:hAnsi="Arial" w:cs="Arial"/>
          <w:b w:val="0"/>
          <w:bCs w:val="0"/>
          <w:color w:val="000000"/>
          <w:sz w:val="22"/>
          <w:szCs w:val="22"/>
        </w:rPr>
        <w:t xml:space="preserve"> and financial stress </w:t>
      </w:r>
      <w:r w:rsidR="00334743" w:rsidRPr="009D59FF">
        <w:rPr>
          <w:rFonts w:ascii="Arial" w:hAnsi="Arial" w:cs="Arial"/>
          <w:b w:val="0"/>
          <w:bCs w:val="0"/>
          <w:color w:val="000000"/>
          <w:sz w:val="22"/>
          <w:szCs w:val="22"/>
        </w:rPr>
        <w:t>(National Institute for Health and Care Excellence, 2022).</w:t>
      </w:r>
      <w:r w:rsidR="00EE08C2" w:rsidRPr="009D59FF">
        <w:rPr>
          <w:rFonts w:ascii="Arial" w:hAnsi="Arial" w:cs="Arial"/>
          <w:b w:val="0"/>
          <w:bCs w:val="0"/>
          <w:color w:val="000000"/>
          <w:sz w:val="22"/>
          <w:szCs w:val="22"/>
        </w:rPr>
        <w:t xml:space="preserve"> Tension can build up from family members having to also adjust and change their own lifestyles, such as dietary meals. To address this burden, NICE encourages that a holistic care includes psychological and emotional support and assessment</w:t>
      </w:r>
      <w:r w:rsidR="00EE08C2" w:rsidRPr="009D59FF">
        <w:rPr>
          <w:rStyle w:val="apple-converted-space"/>
          <w:rFonts w:ascii="Arial" w:eastAsia="Arial" w:hAnsi="Arial" w:cs="Arial"/>
          <w:b w:val="0"/>
          <w:bCs w:val="0"/>
          <w:color w:val="000000"/>
          <w:sz w:val="22"/>
          <w:szCs w:val="22"/>
        </w:rPr>
        <w:t> </w:t>
      </w:r>
      <w:r w:rsidR="00EE08C2" w:rsidRPr="009D59FF">
        <w:rPr>
          <w:rFonts w:ascii="Arial" w:hAnsi="Arial" w:cs="Arial"/>
          <w:b w:val="0"/>
          <w:bCs w:val="0"/>
          <w:color w:val="000000"/>
          <w:sz w:val="22"/>
          <w:szCs w:val="22"/>
        </w:rPr>
        <w:t>for the patient and their immediate family, which is vital for promoting long-term health management (NICE, 2022).</w:t>
      </w:r>
    </w:p>
    <w:p w14:paraId="46D14DED" w14:textId="1287EDBC" w:rsidR="00242721" w:rsidRPr="009D59FF" w:rsidRDefault="00242721" w:rsidP="009D59FF">
      <w:pPr>
        <w:pStyle w:val="Heading2"/>
        <w:spacing w:line="360" w:lineRule="auto"/>
        <w:rPr>
          <w:rFonts w:ascii="Arial" w:hAnsi="Arial" w:cs="Arial"/>
          <w:b w:val="0"/>
          <w:bCs w:val="0"/>
          <w:color w:val="000000"/>
          <w:sz w:val="22"/>
          <w:szCs w:val="22"/>
        </w:rPr>
      </w:pPr>
      <w:r w:rsidRPr="009D59FF">
        <w:rPr>
          <w:rFonts w:ascii="Arial" w:hAnsi="Arial" w:cs="Arial"/>
          <w:b w:val="0"/>
          <w:bCs w:val="0"/>
          <w:color w:val="000000"/>
          <w:sz w:val="22"/>
          <w:szCs w:val="22"/>
        </w:rPr>
        <w:t>Conclusion</w:t>
      </w:r>
    </w:p>
    <w:p w14:paraId="0B71540F" w14:textId="252C28F7" w:rsidR="009D59FF" w:rsidRPr="009D59FF" w:rsidRDefault="00242721" w:rsidP="009D59FF">
      <w:pPr>
        <w:pStyle w:val="Heading6"/>
        <w:spacing w:line="360" w:lineRule="auto"/>
        <w:rPr>
          <w:rFonts w:ascii="Arial" w:eastAsia="Times New Roman" w:hAnsi="Arial" w:cs="Arial"/>
          <w:color w:val="auto"/>
          <w:sz w:val="22"/>
          <w:szCs w:val="22"/>
          <w:lang w:eastAsia="en-GB"/>
        </w:rPr>
      </w:pPr>
      <w:r w:rsidRPr="009D59FF">
        <w:rPr>
          <w:rFonts w:ascii="Arial" w:hAnsi="Arial" w:cs="Arial"/>
          <w:color w:val="000000"/>
          <w:sz w:val="22"/>
          <w:szCs w:val="22"/>
        </w:rPr>
        <w:t xml:space="preserve">Type-2 diabetes is </w:t>
      </w:r>
      <w:proofErr w:type="gramStart"/>
      <w:r w:rsidRPr="009D59FF">
        <w:rPr>
          <w:rFonts w:ascii="Arial" w:hAnsi="Arial" w:cs="Arial"/>
          <w:color w:val="000000"/>
          <w:sz w:val="22"/>
          <w:szCs w:val="22"/>
        </w:rPr>
        <w:t>a</w:t>
      </w:r>
      <w:proofErr w:type="gramEnd"/>
      <w:r w:rsidRPr="009D59FF">
        <w:rPr>
          <w:rFonts w:ascii="Arial" w:hAnsi="Arial" w:cs="Arial"/>
          <w:color w:val="000000"/>
          <w:sz w:val="22"/>
          <w:szCs w:val="22"/>
        </w:rPr>
        <w:t xml:space="preserve"> </w:t>
      </w:r>
      <w:r w:rsidR="009D59FF" w:rsidRPr="009D59FF">
        <w:rPr>
          <w:rFonts w:ascii="Arial" w:hAnsi="Arial" w:cs="Arial"/>
          <w:color w:val="000000"/>
          <w:sz w:val="22"/>
          <w:szCs w:val="22"/>
        </w:rPr>
        <w:t>escalating</w:t>
      </w:r>
      <w:r w:rsidRPr="009D59FF">
        <w:rPr>
          <w:rFonts w:ascii="Arial" w:hAnsi="Arial" w:cs="Arial"/>
          <w:color w:val="000000"/>
          <w:sz w:val="22"/>
          <w:szCs w:val="22"/>
        </w:rPr>
        <w:t xml:space="preserve"> global health challenge </w:t>
      </w:r>
      <w:r w:rsidR="009D59FF" w:rsidRPr="009D59FF">
        <w:rPr>
          <w:rFonts w:ascii="Arial" w:hAnsi="Arial" w:cs="Arial"/>
          <w:color w:val="000000"/>
          <w:sz w:val="22"/>
          <w:szCs w:val="22"/>
        </w:rPr>
        <w:t xml:space="preserve">by how rapidly its increasing and its complications, leading to long term morbidity and premature mortality. It creates an unsustainable financial and logistical burden on the NHS, with the ongoing use of resources going on to the management of preventable and complex secondary conditions. </w:t>
      </w:r>
      <w:r w:rsidR="009D59FF" w:rsidRPr="009D59FF">
        <w:rPr>
          <w:rFonts w:ascii="Arial" w:eastAsia="Times New Roman" w:hAnsi="Arial" w:cs="Arial"/>
          <w:sz w:val="22"/>
          <w:szCs w:val="22"/>
          <w:lang w:eastAsia="en-GB"/>
        </w:rPr>
        <w:t xml:space="preserve">Effective management must include a personalised approach, starting with a focused education on lifestyle changes and supported by a medication plan tailored to the patient’s needs and cardiovascular risk. The management of T2DM must address the wider factors including health, acknowledge the negative influence of socioeconomic </w:t>
      </w:r>
      <w:r w:rsidR="009D59FF" w:rsidRPr="009D59FF">
        <w:rPr>
          <w:rFonts w:ascii="Arial" w:hAnsi="Arial" w:cs="Arial"/>
          <w:sz w:val="22"/>
          <w:szCs w:val="22"/>
        </w:rPr>
        <w:t>disadvantage and ensuring that psychological and emotional support is available for both the individual and those involved in their care. Primarily focus on prevention, early detection, and integrated care pathways is paramount if the growing burden of this condition is to be reduced and the quality of life for millions worldwide enhanced.</w:t>
      </w:r>
    </w:p>
    <w:p w14:paraId="5CD47B62" w14:textId="77777777" w:rsidR="009D59FF" w:rsidRDefault="009D59FF" w:rsidP="00242721">
      <w:pPr>
        <w:pStyle w:val="Heading2"/>
        <w:rPr>
          <w:rFonts w:ascii="Arial" w:hAnsi="Arial" w:cs="Arial"/>
          <w:b w:val="0"/>
          <w:bCs w:val="0"/>
          <w:color w:val="000000"/>
          <w:sz w:val="22"/>
          <w:szCs w:val="22"/>
        </w:rPr>
      </w:pPr>
    </w:p>
    <w:p w14:paraId="14C40E70" w14:textId="77777777" w:rsidR="009D59FF" w:rsidRDefault="009D59FF" w:rsidP="00242721">
      <w:pPr>
        <w:pStyle w:val="Heading2"/>
        <w:rPr>
          <w:rFonts w:ascii="Arial" w:hAnsi="Arial" w:cs="Arial"/>
          <w:b w:val="0"/>
          <w:bCs w:val="0"/>
          <w:color w:val="000000"/>
          <w:sz w:val="22"/>
          <w:szCs w:val="22"/>
        </w:rPr>
      </w:pPr>
    </w:p>
    <w:p w14:paraId="17BC8D94" w14:textId="4CAE1F95" w:rsidR="00F432F6" w:rsidRDefault="00BE3B3D" w:rsidP="00242721">
      <w:pPr>
        <w:pStyle w:val="Heading2"/>
        <w:rPr>
          <w:rFonts w:ascii="Arial" w:hAnsi="Arial" w:cs="Arial"/>
          <w:b w:val="0"/>
          <w:bCs w:val="0"/>
          <w:color w:val="000000"/>
          <w:sz w:val="22"/>
          <w:szCs w:val="22"/>
        </w:rPr>
      </w:pPr>
      <w:r>
        <w:rPr>
          <w:rFonts w:ascii="Arial" w:hAnsi="Arial" w:cs="Arial"/>
          <w:b w:val="0"/>
          <w:bCs w:val="0"/>
          <w:color w:val="000000"/>
          <w:sz w:val="22"/>
          <w:szCs w:val="22"/>
        </w:rPr>
        <w:t>References</w:t>
      </w:r>
      <w:r w:rsidR="00F432F6">
        <w:rPr>
          <w:rFonts w:ascii="Arial" w:hAnsi="Arial" w:cs="Arial"/>
          <w:b w:val="0"/>
          <w:bCs w:val="0"/>
          <w:color w:val="000000"/>
          <w:sz w:val="22"/>
          <w:szCs w:val="22"/>
        </w:rPr>
        <w:t xml:space="preserve">: </w:t>
      </w:r>
    </w:p>
    <w:p w14:paraId="06274B9A" w14:textId="4D709B0F" w:rsidR="00F432F6" w:rsidRPr="00BE3B3D" w:rsidRDefault="00F432F6" w:rsidP="00BE3B3D">
      <w:pPr>
        <w:pStyle w:val="Heading2"/>
        <w:spacing w:line="360" w:lineRule="auto"/>
        <w:rPr>
          <w:rFonts w:ascii="Arial" w:hAnsi="Arial" w:cs="Arial"/>
          <w:b w:val="0"/>
          <w:bCs w:val="0"/>
          <w:sz w:val="22"/>
          <w:szCs w:val="22"/>
        </w:rPr>
      </w:pPr>
      <w:r w:rsidRPr="00BE3B3D">
        <w:rPr>
          <w:rFonts w:ascii="Arial" w:hAnsi="Arial" w:cs="Arial"/>
          <w:b w:val="0"/>
          <w:bCs w:val="0"/>
          <w:sz w:val="22"/>
          <w:szCs w:val="22"/>
        </w:rPr>
        <w:t xml:space="preserve">Diabetes UK (2024) How many people in the UK have diabetes? Available at: </w:t>
      </w:r>
      <w:hyperlink r:id="rId7" w:history="1">
        <w:r w:rsidRPr="00BE3B3D">
          <w:rPr>
            <w:rStyle w:val="Hyperlink"/>
            <w:rFonts w:ascii="Arial" w:hAnsi="Arial" w:cs="Arial"/>
            <w:b w:val="0"/>
            <w:bCs w:val="0"/>
            <w:sz w:val="22"/>
            <w:szCs w:val="22"/>
          </w:rPr>
          <w:t>https://www.diabetes.org.uk/about-us/about-the-charity/our-strategy/statistics</w:t>
        </w:r>
      </w:hyperlink>
      <w:r w:rsidRPr="00BE3B3D">
        <w:rPr>
          <w:rFonts w:ascii="Arial" w:hAnsi="Arial" w:cs="Arial"/>
          <w:b w:val="0"/>
          <w:bCs w:val="0"/>
          <w:sz w:val="22"/>
          <w:szCs w:val="22"/>
        </w:rPr>
        <w:t xml:space="preserve"> (Accessed: </w:t>
      </w:r>
      <w:r w:rsidR="00BE3B3D">
        <w:rPr>
          <w:rFonts w:ascii="Arial" w:hAnsi="Arial" w:cs="Arial"/>
          <w:b w:val="0"/>
          <w:bCs w:val="0"/>
          <w:sz w:val="22"/>
          <w:szCs w:val="22"/>
        </w:rPr>
        <w:t>8</w:t>
      </w:r>
      <w:r w:rsidRPr="00BE3B3D">
        <w:rPr>
          <w:rFonts w:ascii="Arial" w:hAnsi="Arial" w:cs="Arial"/>
          <w:b w:val="0"/>
          <w:bCs w:val="0"/>
          <w:sz w:val="22"/>
          <w:szCs w:val="22"/>
        </w:rPr>
        <w:t xml:space="preserve"> November 2025).</w:t>
      </w:r>
    </w:p>
    <w:p w14:paraId="31EA8623" w14:textId="4021D1A2" w:rsidR="00BE3B3D" w:rsidRDefault="00CB24B2" w:rsidP="00BE3B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r w:rsidRPr="00BE3B3D">
        <w:rPr>
          <w:rFonts w:ascii="Arial" w:hAnsi="Arial" w:cs="Arial"/>
          <w:sz w:val="22"/>
          <w:szCs w:val="22"/>
        </w:rPr>
        <w:t xml:space="preserve">Diabetes UK (2024) How many people in the UK have diabetes? Available at: </w:t>
      </w:r>
      <w:hyperlink r:id="rId8" w:history="1">
        <w:r w:rsidR="00BE3B3D" w:rsidRPr="004E55E2">
          <w:rPr>
            <w:rStyle w:val="Hyperlink"/>
            <w:rFonts w:ascii="Arial" w:hAnsi="Arial" w:cs="Arial"/>
            <w:sz w:val="22"/>
            <w:szCs w:val="22"/>
          </w:rPr>
          <w:t>https://www.diabetes.org.uk/about-us/about-the-charity/our-strategy/statistics</w:t>
        </w:r>
      </w:hyperlink>
    </w:p>
    <w:p w14:paraId="2501C387" w14:textId="375F8CBC" w:rsidR="00CB24B2" w:rsidRPr="00BE3B3D" w:rsidRDefault="00CB24B2" w:rsidP="00BE3B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r w:rsidRPr="00BE3B3D">
        <w:rPr>
          <w:rFonts w:ascii="Arial" w:hAnsi="Arial" w:cs="Arial"/>
          <w:sz w:val="22"/>
          <w:szCs w:val="22"/>
        </w:rPr>
        <w:t>(Accessed:</w:t>
      </w:r>
      <w:r w:rsidR="00BE3B3D">
        <w:rPr>
          <w:rFonts w:ascii="Arial" w:hAnsi="Arial" w:cs="Arial"/>
          <w:sz w:val="22"/>
          <w:szCs w:val="22"/>
        </w:rPr>
        <w:t xml:space="preserve"> 8</w:t>
      </w:r>
      <w:r w:rsidRPr="00BE3B3D">
        <w:rPr>
          <w:rFonts w:ascii="Arial" w:hAnsi="Arial" w:cs="Arial"/>
          <w:sz w:val="22"/>
          <w:szCs w:val="22"/>
        </w:rPr>
        <w:t xml:space="preserve"> November 2025).</w:t>
      </w:r>
    </w:p>
    <w:p w14:paraId="3F97A6DD" w14:textId="37E93065" w:rsidR="00CB24B2" w:rsidRPr="00BE3B3D" w:rsidRDefault="00CB24B2" w:rsidP="00BE3B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r w:rsidRPr="00BE3B3D">
        <w:rPr>
          <w:rFonts w:ascii="Arial" w:hAnsi="Arial" w:cs="Arial"/>
          <w:sz w:val="22"/>
          <w:szCs w:val="22"/>
        </w:rPr>
        <w:t>Hex, N., Bartlett, C., Wright, D., Taylor, M. and Varley, D. (2012), Estimating the current and future costs of Type</w:t>
      </w:r>
      <w:r w:rsidRPr="00BE3B3D">
        <w:rPr>
          <w:rFonts w:ascii="Arial" w:hAnsi="Arial" w:cs="Arial"/>
          <w:sz w:val="22"/>
          <w:szCs w:val="22"/>
        </w:rPr>
        <w:t> </w:t>
      </w:r>
      <w:r w:rsidRPr="00BE3B3D">
        <w:rPr>
          <w:rFonts w:ascii="Arial" w:hAnsi="Arial" w:cs="Arial"/>
          <w:sz w:val="22"/>
          <w:szCs w:val="22"/>
        </w:rPr>
        <w:t>1 and Type</w:t>
      </w:r>
      <w:r w:rsidRPr="00BE3B3D">
        <w:rPr>
          <w:rFonts w:ascii="Arial" w:hAnsi="Arial" w:cs="Arial"/>
          <w:sz w:val="22"/>
          <w:szCs w:val="22"/>
        </w:rPr>
        <w:t> </w:t>
      </w:r>
      <w:r w:rsidRPr="00BE3B3D">
        <w:rPr>
          <w:rFonts w:ascii="Arial" w:hAnsi="Arial" w:cs="Arial"/>
          <w:sz w:val="22"/>
          <w:szCs w:val="22"/>
        </w:rPr>
        <w:t xml:space="preserve">2 diabetes in the UK, including direct health costs and indirect societal and productivity costs. Diabetic Medicine, 29: 855-862. </w:t>
      </w:r>
    </w:p>
    <w:p w14:paraId="7F75FFBD" w14:textId="4A525809" w:rsidR="00CB24B2" w:rsidRPr="00BE3B3D" w:rsidRDefault="00CB24B2" w:rsidP="00BE3B3D">
      <w:pPr>
        <w:pStyle w:val="Heading2"/>
        <w:spacing w:line="360" w:lineRule="auto"/>
        <w:rPr>
          <w:rFonts w:ascii="Arial" w:hAnsi="Arial" w:cs="Arial"/>
          <w:b w:val="0"/>
          <w:bCs w:val="0"/>
          <w:sz w:val="22"/>
          <w:szCs w:val="22"/>
        </w:rPr>
      </w:pPr>
      <w:r w:rsidRPr="00BE3B3D">
        <w:rPr>
          <w:rFonts w:ascii="Arial" w:hAnsi="Arial" w:cs="Arial"/>
          <w:b w:val="0"/>
          <w:bCs w:val="0"/>
          <w:sz w:val="22"/>
          <w:szCs w:val="22"/>
        </w:rPr>
        <w:t xml:space="preserve"> </w:t>
      </w:r>
      <w:hyperlink r:id="rId9" w:history="1">
        <w:r w:rsidRPr="00BE3B3D">
          <w:rPr>
            <w:rStyle w:val="Hyperlink"/>
            <w:rFonts w:ascii="Arial" w:hAnsi="Arial" w:cs="Arial"/>
            <w:b w:val="0"/>
            <w:bCs w:val="0"/>
            <w:sz w:val="22"/>
            <w:szCs w:val="22"/>
          </w:rPr>
          <w:t>https://doi.org/10.1111/j.1464-5491.2012.03698.x</w:t>
        </w:r>
      </w:hyperlink>
    </w:p>
    <w:p w14:paraId="7ADE47B4" w14:textId="76900461" w:rsidR="00CB24B2" w:rsidRPr="00BE3B3D" w:rsidRDefault="00CB24B2" w:rsidP="00BE3B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r w:rsidRPr="00BE3B3D">
        <w:rPr>
          <w:rFonts w:ascii="Arial" w:hAnsi="Arial" w:cs="Arial"/>
          <w:sz w:val="22"/>
          <w:szCs w:val="22"/>
        </w:rPr>
        <w:t>Dinneen, S.F. (2008) 'Structured education for people with type 2 diabetes', BMJ, 336(7642), p. 459.</w:t>
      </w:r>
      <w:hyperlink r:id="rId10" w:history="1">
        <w:r w:rsidR="00BE3B3D" w:rsidRPr="004E55E2">
          <w:rPr>
            <w:rStyle w:val="Hyperlink"/>
            <w:rFonts w:ascii="Arial" w:hAnsi="Arial" w:cs="Arial"/>
            <w:sz w:val="22"/>
            <w:szCs w:val="22"/>
          </w:rPr>
          <w:t>https://www.bmj.com/content/336/7642/459.full</w:t>
        </w:r>
      </w:hyperlink>
      <w:r w:rsidR="00BE3B3D" w:rsidRPr="00BE3B3D">
        <w:rPr>
          <w:rFonts w:ascii="Arial" w:hAnsi="Arial" w:cs="Arial"/>
          <w:sz w:val="22"/>
          <w:szCs w:val="22"/>
        </w:rPr>
        <w:t>(Accessed: 1 November 2025).</w:t>
      </w:r>
    </w:p>
    <w:p w14:paraId="6A9B9475" w14:textId="77777777" w:rsidR="00BE3B3D" w:rsidRDefault="00BE3B3D" w:rsidP="00BE3B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p w14:paraId="26140682" w14:textId="694A834A" w:rsidR="00BE3B3D" w:rsidRPr="00BE3B3D" w:rsidRDefault="00BE3B3D" w:rsidP="00BE3B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r w:rsidRPr="00BE3B3D">
        <w:rPr>
          <w:rFonts w:ascii="Arial" w:hAnsi="Arial" w:cs="Arial"/>
          <w:sz w:val="22"/>
          <w:szCs w:val="22"/>
        </w:rPr>
        <w:t xml:space="preserve">Fisher, L., Polonsky, W.H., Perez-Nieves, M., Desai, U., </w:t>
      </w:r>
      <w:proofErr w:type="spellStart"/>
      <w:r w:rsidRPr="00BE3B3D">
        <w:rPr>
          <w:rFonts w:ascii="Arial" w:hAnsi="Arial" w:cs="Arial"/>
          <w:sz w:val="22"/>
          <w:szCs w:val="22"/>
        </w:rPr>
        <w:t>Strycker</w:t>
      </w:r>
      <w:proofErr w:type="spellEnd"/>
      <w:r w:rsidRPr="00BE3B3D">
        <w:rPr>
          <w:rFonts w:ascii="Arial" w:hAnsi="Arial" w:cs="Arial"/>
          <w:sz w:val="22"/>
          <w:szCs w:val="22"/>
        </w:rPr>
        <w:t xml:space="preserve">, L. and </w:t>
      </w:r>
      <w:proofErr w:type="spellStart"/>
      <w:r w:rsidRPr="00BE3B3D">
        <w:rPr>
          <w:rFonts w:ascii="Arial" w:hAnsi="Arial" w:cs="Arial"/>
          <w:sz w:val="22"/>
          <w:szCs w:val="22"/>
        </w:rPr>
        <w:t>Hessler</w:t>
      </w:r>
      <w:proofErr w:type="spellEnd"/>
      <w:r w:rsidRPr="00BE3B3D">
        <w:rPr>
          <w:rFonts w:ascii="Arial" w:hAnsi="Arial" w:cs="Arial"/>
          <w:sz w:val="22"/>
          <w:szCs w:val="22"/>
        </w:rPr>
        <w:t xml:space="preserve">, D. (2022) 'A new perspective on diabetes distress using the type 2 diabetes distress assessment system (T2-DDAS): Prevalence and change over time', J Diabetes Complications, 36(8), p. 108256. </w:t>
      </w:r>
      <w:hyperlink r:id="rId11" w:history="1">
        <w:r w:rsidRPr="00BE3B3D">
          <w:rPr>
            <w:rStyle w:val="Hyperlink"/>
            <w:rFonts w:ascii="Arial" w:hAnsi="Arial" w:cs="Arial"/>
            <w:sz w:val="22"/>
            <w:szCs w:val="22"/>
          </w:rPr>
          <w:t>https://pubmed.ncbi.nlm.nih.gov/35810147/</w:t>
        </w:r>
      </w:hyperlink>
      <w:r w:rsidRPr="00BE3B3D">
        <w:rPr>
          <w:rFonts w:ascii="Arial" w:hAnsi="Arial" w:cs="Arial"/>
          <w:sz w:val="22"/>
          <w:szCs w:val="22"/>
        </w:rPr>
        <w:t>(Accessed: 1</w:t>
      </w:r>
      <w:r>
        <w:rPr>
          <w:rFonts w:ascii="Arial" w:hAnsi="Arial" w:cs="Arial"/>
          <w:sz w:val="22"/>
          <w:szCs w:val="22"/>
        </w:rPr>
        <w:t>2</w:t>
      </w:r>
      <w:r w:rsidRPr="00BE3B3D">
        <w:rPr>
          <w:rFonts w:ascii="Arial" w:hAnsi="Arial" w:cs="Arial"/>
          <w:sz w:val="22"/>
          <w:szCs w:val="22"/>
        </w:rPr>
        <w:t xml:space="preserve"> November 2025).</w:t>
      </w:r>
    </w:p>
    <w:p w14:paraId="5D00C54F" w14:textId="4807248B" w:rsidR="00CB24B2" w:rsidRPr="00BE3B3D" w:rsidRDefault="00CB24B2" w:rsidP="00BE3B3D">
      <w:pPr>
        <w:pStyle w:val="Heading2"/>
        <w:spacing w:line="360" w:lineRule="auto"/>
        <w:rPr>
          <w:rFonts w:ascii="Arial" w:hAnsi="Arial" w:cs="Arial"/>
          <w:b w:val="0"/>
          <w:bCs w:val="0"/>
          <w:sz w:val="22"/>
          <w:szCs w:val="22"/>
        </w:rPr>
      </w:pPr>
      <w:r w:rsidRPr="00BE3B3D">
        <w:rPr>
          <w:rFonts w:ascii="Arial" w:hAnsi="Arial" w:cs="Arial"/>
          <w:b w:val="0"/>
          <w:bCs w:val="0"/>
          <w:sz w:val="22"/>
          <w:szCs w:val="22"/>
        </w:rPr>
        <w:t xml:space="preserve">International Diabetes Federation (IDF) (2025) IDF Diabetes Atlas 11th Edition. Available at: </w:t>
      </w:r>
      <w:hyperlink r:id="rId12" w:history="1">
        <w:r w:rsidR="00BE3B3D" w:rsidRPr="004E55E2">
          <w:rPr>
            <w:rStyle w:val="Hyperlink"/>
            <w:rFonts w:ascii="Arial" w:hAnsi="Arial" w:cs="Arial"/>
            <w:b w:val="0"/>
            <w:bCs w:val="0"/>
            <w:sz w:val="22"/>
            <w:szCs w:val="22"/>
          </w:rPr>
          <w:t>https://diabetesatlas.org/resources/idf-diabetes-atlas-2025/</w:t>
        </w:r>
      </w:hyperlink>
      <w:r w:rsidR="00BE3B3D">
        <w:rPr>
          <w:rFonts w:ascii="Arial" w:hAnsi="Arial" w:cs="Arial"/>
          <w:b w:val="0"/>
          <w:bCs w:val="0"/>
          <w:sz w:val="22"/>
          <w:szCs w:val="22"/>
        </w:rPr>
        <w:t xml:space="preserve"> </w:t>
      </w:r>
      <w:r w:rsidRPr="00BE3B3D">
        <w:rPr>
          <w:rFonts w:ascii="Arial" w:hAnsi="Arial" w:cs="Arial"/>
          <w:b w:val="0"/>
          <w:bCs w:val="0"/>
          <w:sz w:val="22"/>
          <w:szCs w:val="22"/>
        </w:rPr>
        <w:t xml:space="preserve">(Accessed: </w:t>
      </w:r>
      <w:r w:rsidR="00BE3B3D">
        <w:rPr>
          <w:rFonts w:ascii="Arial" w:hAnsi="Arial" w:cs="Arial"/>
          <w:b w:val="0"/>
          <w:bCs w:val="0"/>
          <w:sz w:val="22"/>
          <w:szCs w:val="22"/>
        </w:rPr>
        <w:t>10</w:t>
      </w:r>
      <w:r w:rsidRPr="00BE3B3D">
        <w:rPr>
          <w:rFonts w:ascii="Arial" w:hAnsi="Arial" w:cs="Arial"/>
          <w:b w:val="0"/>
          <w:bCs w:val="0"/>
          <w:sz w:val="22"/>
          <w:szCs w:val="22"/>
        </w:rPr>
        <w:t xml:space="preserve"> November 2025).</w:t>
      </w:r>
    </w:p>
    <w:p w14:paraId="63FDC7B0" w14:textId="40197CCF" w:rsidR="000271B6" w:rsidRPr="00BE3B3D" w:rsidRDefault="000271B6" w:rsidP="00BE3B3D">
      <w:pPr>
        <w:pStyle w:val="NormalWeb"/>
        <w:spacing w:line="360" w:lineRule="auto"/>
        <w:rPr>
          <w:rFonts w:ascii="Arial" w:hAnsi="Arial" w:cs="Arial"/>
          <w:color w:val="000000"/>
          <w:sz w:val="22"/>
          <w:szCs w:val="22"/>
        </w:rPr>
      </w:pPr>
      <w:r w:rsidRPr="00BE3B3D">
        <w:rPr>
          <w:rFonts w:ascii="Arial" w:hAnsi="Arial" w:cs="Arial"/>
          <w:color w:val="000000"/>
          <w:sz w:val="22"/>
          <w:szCs w:val="22"/>
        </w:rPr>
        <w:t xml:space="preserve">Inzucchi, S. E., </w:t>
      </w:r>
      <w:proofErr w:type="spellStart"/>
      <w:r w:rsidRPr="00BE3B3D">
        <w:rPr>
          <w:rFonts w:ascii="Arial" w:hAnsi="Arial" w:cs="Arial"/>
          <w:color w:val="000000"/>
          <w:sz w:val="22"/>
          <w:szCs w:val="22"/>
        </w:rPr>
        <w:t>Bergenstal</w:t>
      </w:r>
      <w:proofErr w:type="spellEnd"/>
      <w:r w:rsidRPr="00BE3B3D">
        <w:rPr>
          <w:rFonts w:ascii="Arial" w:hAnsi="Arial" w:cs="Arial"/>
          <w:color w:val="000000"/>
          <w:sz w:val="22"/>
          <w:szCs w:val="22"/>
        </w:rPr>
        <w:t xml:space="preserve">, R. M., Buse, J. B., Diamant, M., </w:t>
      </w:r>
      <w:proofErr w:type="spellStart"/>
      <w:r w:rsidRPr="00BE3B3D">
        <w:rPr>
          <w:rFonts w:ascii="Arial" w:hAnsi="Arial" w:cs="Arial"/>
          <w:color w:val="000000"/>
          <w:sz w:val="22"/>
          <w:szCs w:val="22"/>
        </w:rPr>
        <w:t>Ferrannini</w:t>
      </w:r>
      <w:proofErr w:type="spellEnd"/>
      <w:r w:rsidRPr="00BE3B3D">
        <w:rPr>
          <w:rFonts w:ascii="Arial" w:hAnsi="Arial" w:cs="Arial"/>
          <w:color w:val="000000"/>
          <w:sz w:val="22"/>
          <w:szCs w:val="22"/>
        </w:rPr>
        <w:t xml:space="preserve">, E., </w:t>
      </w:r>
      <w:proofErr w:type="spellStart"/>
      <w:r w:rsidRPr="00BE3B3D">
        <w:rPr>
          <w:rFonts w:ascii="Arial" w:hAnsi="Arial" w:cs="Arial"/>
          <w:color w:val="000000"/>
          <w:sz w:val="22"/>
          <w:szCs w:val="22"/>
        </w:rPr>
        <w:t>Nauck</w:t>
      </w:r>
      <w:proofErr w:type="spellEnd"/>
      <w:r w:rsidRPr="00BE3B3D">
        <w:rPr>
          <w:rFonts w:ascii="Arial" w:hAnsi="Arial" w:cs="Arial"/>
          <w:color w:val="000000"/>
          <w:sz w:val="22"/>
          <w:szCs w:val="22"/>
        </w:rPr>
        <w:t xml:space="preserve">, M., Peters, A. L., </w:t>
      </w:r>
      <w:proofErr w:type="spellStart"/>
      <w:r w:rsidRPr="00BE3B3D">
        <w:rPr>
          <w:rFonts w:ascii="Arial" w:hAnsi="Arial" w:cs="Arial"/>
          <w:color w:val="000000"/>
          <w:sz w:val="22"/>
          <w:szCs w:val="22"/>
        </w:rPr>
        <w:t>Tsapas</w:t>
      </w:r>
      <w:proofErr w:type="spellEnd"/>
      <w:r w:rsidRPr="00BE3B3D">
        <w:rPr>
          <w:rFonts w:ascii="Arial" w:hAnsi="Arial" w:cs="Arial"/>
          <w:color w:val="000000"/>
          <w:sz w:val="22"/>
          <w:szCs w:val="22"/>
        </w:rPr>
        <w:t xml:space="preserve">, K., </w:t>
      </w:r>
      <w:proofErr w:type="spellStart"/>
      <w:r w:rsidRPr="00BE3B3D">
        <w:rPr>
          <w:rFonts w:ascii="Arial" w:hAnsi="Arial" w:cs="Arial"/>
          <w:color w:val="000000"/>
          <w:sz w:val="22"/>
          <w:szCs w:val="22"/>
        </w:rPr>
        <w:t>Wiernsperger</w:t>
      </w:r>
      <w:proofErr w:type="spellEnd"/>
      <w:r w:rsidRPr="00BE3B3D">
        <w:rPr>
          <w:rFonts w:ascii="Arial" w:hAnsi="Arial" w:cs="Arial"/>
          <w:color w:val="000000"/>
          <w:sz w:val="22"/>
          <w:szCs w:val="22"/>
        </w:rPr>
        <w:t xml:space="preserve">, R. and </w:t>
      </w:r>
      <w:proofErr w:type="spellStart"/>
      <w:r w:rsidRPr="00BE3B3D">
        <w:rPr>
          <w:rFonts w:ascii="Arial" w:hAnsi="Arial" w:cs="Arial"/>
          <w:color w:val="000000"/>
          <w:sz w:val="22"/>
          <w:szCs w:val="22"/>
        </w:rPr>
        <w:t>Yki-Järvinen</w:t>
      </w:r>
      <w:proofErr w:type="spellEnd"/>
      <w:r w:rsidRPr="00BE3B3D">
        <w:rPr>
          <w:rFonts w:ascii="Arial" w:hAnsi="Arial" w:cs="Arial"/>
          <w:color w:val="000000"/>
          <w:sz w:val="22"/>
          <w:szCs w:val="22"/>
        </w:rPr>
        <w:t xml:space="preserve">, H. (2012) ‘Management of </w:t>
      </w:r>
      <w:proofErr w:type="spellStart"/>
      <w:r w:rsidRPr="00BE3B3D">
        <w:rPr>
          <w:rFonts w:ascii="Arial" w:hAnsi="Arial" w:cs="Arial"/>
          <w:color w:val="000000"/>
          <w:sz w:val="22"/>
          <w:szCs w:val="22"/>
        </w:rPr>
        <w:t>hyperglycemia</w:t>
      </w:r>
      <w:proofErr w:type="spellEnd"/>
      <w:r w:rsidRPr="00BE3B3D">
        <w:rPr>
          <w:rFonts w:ascii="Arial" w:hAnsi="Arial" w:cs="Arial"/>
          <w:color w:val="000000"/>
          <w:sz w:val="22"/>
          <w:szCs w:val="22"/>
        </w:rPr>
        <w:t xml:space="preserve"> in type 2 diabetes: a patient-</w:t>
      </w:r>
      <w:proofErr w:type="spellStart"/>
      <w:r w:rsidRPr="00BE3B3D">
        <w:rPr>
          <w:rFonts w:ascii="Arial" w:hAnsi="Arial" w:cs="Arial"/>
          <w:color w:val="000000"/>
          <w:sz w:val="22"/>
          <w:szCs w:val="22"/>
        </w:rPr>
        <w:t>centered</w:t>
      </w:r>
      <w:proofErr w:type="spellEnd"/>
      <w:r w:rsidRPr="00BE3B3D">
        <w:rPr>
          <w:rFonts w:ascii="Arial" w:hAnsi="Arial" w:cs="Arial"/>
          <w:color w:val="000000"/>
          <w:sz w:val="22"/>
          <w:szCs w:val="22"/>
        </w:rPr>
        <w:t xml:space="preserve"> approach: position statement of the American Diabetes Association (ADA) and the European Association for the Study of Diabetes (EASD)’,</w:t>
      </w:r>
      <w:r w:rsidRPr="00BE3B3D">
        <w:rPr>
          <w:rStyle w:val="apple-converted-space"/>
          <w:rFonts w:ascii="Arial" w:hAnsi="Arial" w:cs="Arial"/>
          <w:color w:val="000000"/>
          <w:sz w:val="22"/>
          <w:szCs w:val="22"/>
        </w:rPr>
        <w:t> </w:t>
      </w:r>
      <w:r w:rsidRPr="00BE3B3D">
        <w:rPr>
          <w:rStyle w:val="Emphasis"/>
          <w:rFonts w:ascii="Arial" w:hAnsi="Arial" w:cs="Arial"/>
          <w:color w:val="000000"/>
          <w:sz w:val="22"/>
          <w:szCs w:val="22"/>
        </w:rPr>
        <w:t>Diabetes Care</w:t>
      </w:r>
      <w:r w:rsidRPr="00BE3B3D">
        <w:rPr>
          <w:rFonts w:ascii="Arial" w:hAnsi="Arial" w:cs="Arial"/>
          <w:color w:val="000000"/>
          <w:sz w:val="22"/>
          <w:szCs w:val="22"/>
        </w:rPr>
        <w:t>, 35(6), pp. 1364–1379. Available at:</w:t>
      </w:r>
      <w:r w:rsidRPr="00BE3B3D">
        <w:rPr>
          <w:rStyle w:val="apple-converted-space"/>
          <w:rFonts w:ascii="Arial" w:hAnsi="Arial" w:cs="Arial"/>
          <w:color w:val="000000"/>
          <w:sz w:val="22"/>
          <w:szCs w:val="22"/>
        </w:rPr>
        <w:t> </w:t>
      </w:r>
      <w:hyperlink r:id="rId13" w:tooltip="null" w:history="1">
        <w:r w:rsidRPr="00BE3B3D">
          <w:rPr>
            <w:rStyle w:val="Hyperlink"/>
            <w:rFonts w:ascii="Arial" w:hAnsi="Arial" w:cs="Arial"/>
            <w:sz w:val="22"/>
            <w:szCs w:val="22"/>
          </w:rPr>
          <w:t>https://doi.org/10.2337/dc12-0413</w:t>
        </w:r>
      </w:hyperlink>
      <w:r w:rsidRPr="00BE3B3D">
        <w:rPr>
          <w:rStyle w:val="apple-converted-space"/>
          <w:rFonts w:ascii="Arial" w:hAnsi="Arial" w:cs="Arial"/>
          <w:color w:val="000000"/>
          <w:sz w:val="22"/>
          <w:szCs w:val="22"/>
        </w:rPr>
        <w:t> </w:t>
      </w:r>
      <w:proofErr w:type="gramStart"/>
      <w:r w:rsidR="00BE3B3D">
        <w:rPr>
          <w:rStyle w:val="apple-converted-space"/>
          <w:rFonts w:ascii="Arial" w:hAnsi="Arial" w:cs="Arial"/>
          <w:color w:val="000000"/>
          <w:sz w:val="22"/>
          <w:szCs w:val="22"/>
        </w:rPr>
        <w:t>\</w:t>
      </w:r>
      <w:r w:rsidRPr="00BE3B3D">
        <w:rPr>
          <w:rFonts w:ascii="Arial" w:hAnsi="Arial" w:cs="Arial"/>
          <w:color w:val="000000"/>
          <w:sz w:val="22"/>
          <w:szCs w:val="22"/>
        </w:rPr>
        <w:t>(</w:t>
      </w:r>
      <w:proofErr w:type="gramEnd"/>
      <w:r w:rsidRPr="00BE3B3D">
        <w:rPr>
          <w:rFonts w:ascii="Arial" w:hAnsi="Arial" w:cs="Arial"/>
          <w:color w:val="000000"/>
          <w:sz w:val="22"/>
          <w:szCs w:val="22"/>
        </w:rPr>
        <w:t>Accessed: 2 November 2025).</w:t>
      </w:r>
    </w:p>
    <w:p w14:paraId="7D9A6CD0" w14:textId="316804B8" w:rsidR="00241B7F" w:rsidRPr="00BE3B3D" w:rsidRDefault="00241B7F" w:rsidP="00BE3B3D">
      <w:pPr>
        <w:pStyle w:val="NormalWeb"/>
        <w:spacing w:line="360" w:lineRule="auto"/>
        <w:rPr>
          <w:rFonts w:ascii="Arial" w:hAnsi="Arial" w:cs="Arial"/>
          <w:sz w:val="22"/>
          <w:szCs w:val="22"/>
        </w:rPr>
      </w:pPr>
      <w:r w:rsidRPr="00BE3B3D">
        <w:rPr>
          <w:rFonts w:ascii="Arial" w:hAnsi="Arial" w:cs="Arial"/>
          <w:sz w:val="22"/>
          <w:szCs w:val="22"/>
        </w:rPr>
        <w:t xml:space="preserve">Kerr, D., et al. (2020) The economic and social impact of diabetes in New Zealand. Auckland: PwC New Zealand. Available at: </w:t>
      </w:r>
      <w:hyperlink r:id="rId14" w:history="1">
        <w:r w:rsidRPr="00BE3B3D">
          <w:rPr>
            <w:rStyle w:val="Hyperlink"/>
            <w:rFonts w:ascii="Arial" w:hAnsi="Arial" w:cs="Arial"/>
            <w:sz w:val="22"/>
            <w:szCs w:val="22"/>
          </w:rPr>
          <w:t>https://ourarchive.otago.ac.nz/esploro/outputs/report/Economic-and-Social-Cost-of-Type/9926478578501891</w:t>
        </w:r>
      </w:hyperlink>
      <w:r w:rsidRPr="00BE3B3D">
        <w:rPr>
          <w:rFonts w:ascii="Arial" w:hAnsi="Arial" w:cs="Arial"/>
          <w:sz w:val="22"/>
          <w:szCs w:val="22"/>
        </w:rPr>
        <w:t xml:space="preserve"> </w:t>
      </w:r>
    </w:p>
    <w:p w14:paraId="1B8706CD" w14:textId="5716D5FC" w:rsidR="00241B7F" w:rsidRPr="00BE3B3D" w:rsidRDefault="00241B7F" w:rsidP="00BE3B3D">
      <w:pPr>
        <w:pStyle w:val="NormalWeb"/>
        <w:spacing w:line="360" w:lineRule="auto"/>
        <w:rPr>
          <w:rFonts w:ascii="Arial" w:hAnsi="Arial" w:cs="Arial"/>
          <w:sz w:val="22"/>
          <w:szCs w:val="22"/>
        </w:rPr>
      </w:pPr>
      <w:r w:rsidRPr="00BE3B3D">
        <w:rPr>
          <w:rFonts w:ascii="Arial" w:hAnsi="Arial" w:cs="Arial"/>
          <w:sz w:val="22"/>
          <w:szCs w:val="22"/>
        </w:rPr>
        <w:t xml:space="preserve">(Accessed: </w:t>
      </w:r>
      <w:r w:rsidR="00BE3B3D">
        <w:rPr>
          <w:rFonts w:ascii="Arial" w:hAnsi="Arial" w:cs="Arial"/>
          <w:sz w:val="22"/>
          <w:szCs w:val="22"/>
        </w:rPr>
        <w:t>10</w:t>
      </w:r>
      <w:r w:rsidRPr="00BE3B3D">
        <w:rPr>
          <w:rFonts w:ascii="Arial" w:hAnsi="Arial" w:cs="Arial"/>
          <w:sz w:val="22"/>
          <w:szCs w:val="22"/>
        </w:rPr>
        <w:t xml:space="preserve"> November 2025).</w:t>
      </w:r>
    </w:p>
    <w:p w14:paraId="22FB2D3C" w14:textId="2A5F0D1E" w:rsidR="000271B6" w:rsidRPr="00BE3B3D" w:rsidRDefault="000271B6" w:rsidP="00BE3B3D">
      <w:pPr>
        <w:pStyle w:val="NormalWeb"/>
        <w:spacing w:line="360" w:lineRule="auto"/>
        <w:rPr>
          <w:rFonts w:ascii="Arial" w:hAnsi="Arial" w:cs="Arial"/>
          <w:color w:val="000000"/>
          <w:sz w:val="22"/>
          <w:szCs w:val="22"/>
        </w:rPr>
      </w:pPr>
      <w:r w:rsidRPr="00BE3B3D">
        <w:rPr>
          <w:rFonts w:ascii="Arial" w:hAnsi="Arial" w:cs="Arial"/>
          <w:color w:val="000000"/>
          <w:sz w:val="22"/>
          <w:szCs w:val="22"/>
        </w:rPr>
        <w:t>National Institute for Health and Care Excellence (2022)</w:t>
      </w:r>
      <w:r w:rsidRPr="00BE3B3D">
        <w:rPr>
          <w:rStyle w:val="apple-converted-space"/>
          <w:rFonts w:ascii="Arial" w:hAnsi="Arial" w:cs="Arial"/>
          <w:color w:val="000000"/>
          <w:sz w:val="22"/>
          <w:szCs w:val="22"/>
        </w:rPr>
        <w:t> </w:t>
      </w:r>
      <w:r w:rsidRPr="00BE3B3D">
        <w:rPr>
          <w:rStyle w:val="Emphasis"/>
          <w:rFonts w:ascii="Arial" w:hAnsi="Arial" w:cs="Arial"/>
          <w:color w:val="000000"/>
          <w:sz w:val="22"/>
          <w:szCs w:val="22"/>
        </w:rPr>
        <w:t>Type 2 diabetes in adults: management (NG28)</w:t>
      </w:r>
      <w:r w:rsidRPr="00BE3B3D">
        <w:rPr>
          <w:rFonts w:ascii="Arial" w:hAnsi="Arial" w:cs="Arial"/>
          <w:color w:val="000000"/>
          <w:sz w:val="22"/>
          <w:szCs w:val="22"/>
        </w:rPr>
        <w:t>. Available at:</w:t>
      </w:r>
      <w:r w:rsidRPr="00BE3B3D">
        <w:rPr>
          <w:rStyle w:val="apple-converted-space"/>
          <w:rFonts w:ascii="Arial" w:hAnsi="Arial" w:cs="Arial"/>
          <w:color w:val="000000"/>
          <w:sz w:val="22"/>
          <w:szCs w:val="22"/>
        </w:rPr>
        <w:t> </w:t>
      </w:r>
      <w:hyperlink r:id="rId15" w:tooltip="null" w:history="1">
        <w:r w:rsidRPr="00BE3B3D">
          <w:rPr>
            <w:rStyle w:val="Hyperlink"/>
            <w:rFonts w:ascii="Arial" w:hAnsi="Arial" w:cs="Arial"/>
            <w:sz w:val="22"/>
            <w:szCs w:val="22"/>
          </w:rPr>
          <w:t>https://www.nice.org.uk/guidance/ng28</w:t>
        </w:r>
      </w:hyperlink>
      <w:r w:rsidRPr="00BE3B3D">
        <w:rPr>
          <w:rStyle w:val="apple-converted-space"/>
          <w:rFonts w:ascii="Arial" w:hAnsi="Arial" w:cs="Arial"/>
          <w:color w:val="000000"/>
          <w:sz w:val="22"/>
          <w:szCs w:val="22"/>
        </w:rPr>
        <w:t> </w:t>
      </w:r>
      <w:r w:rsidRPr="00BE3B3D">
        <w:rPr>
          <w:rFonts w:ascii="Arial" w:hAnsi="Arial" w:cs="Arial"/>
          <w:color w:val="000000"/>
          <w:sz w:val="22"/>
          <w:szCs w:val="22"/>
        </w:rPr>
        <w:t>(Accessed: 2 November 2025).</w:t>
      </w:r>
    </w:p>
    <w:p w14:paraId="25184C52" w14:textId="2FE03407" w:rsidR="000271B6" w:rsidRPr="00BE3B3D" w:rsidRDefault="00241B7F" w:rsidP="00BE3B3D">
      <w:pPr>
        <w:pStyle w:val="NormalWeb"/>
        <w:spacing w:line="360" w:lineRule="auto"/>
        <w:rPr>
          <w:rFonts w:ascii="Arial" w:hAnsi="Arial" w:cs="Arial"/>
          <w:color w:val="000000"/>
          <w:sz w:val="22"/>
          <w:szCs w:val="22"/>
        </w:rPr>
      </w:pPr>
      <w:r w:rsidRPr="00BE3B3D">
        <w:rPr>
          <w:rFonts w:ascii="Arial" w:hAnsi="Arial" w:cs="Arial"/>
          <w:sz w:val="22"/>
          <w:szCs w:val="22"/>
        </w:rPr>
        <w:t>NHS England Digital (2023) Health Survey for England, 2021 part 2: Adults' health: Diabetes. Published 16 May 2023. Available at: https://digital.nhs.uk/data-and-information/publications/statistical/health-survey-for-england/2021-part-2/adult-health-diabetes (Accessed: 16 November 2025</w:t>
      </w:r>
      <w:proofErr w:type="gramStart"/>
      <w:r w:rsidRPr="00BE3B3D">
        <w:rPr>
          <w:rFonts w:ascii="Arial" w:hAnsi="Arial" w:cs="Arial"/>
          <w:sz w:val="22"/>
          <w:szCs w:val="22"/>
        </w:rPr>
        <w:t>).</w:t>
      </w:r>
      <w:r w:rsidR="000271B6" w:rsidRPr="00BE3B3D">
        <w:rPr>
          <w:rFonts w:ascii="Arial" w:hAnsi="Arial" w:cs="Arial"/>
          <w:color w:val="000000"/>
          <w:sz w:val="22"/>
          <w:szCs w:val="22"/>
        </w:rPr>
        <w:t>Polonsky</w:t>
      </w:r>
      <w:proofErr w:type="gramEnd"/>
      <w:r w:rsidR="000271B6" w:rsidRPr="00BE3B3D">
        <w:rPr>
          <w:rFonts w:ascii="Arial" w:hAnsi="Arial" w:cs="Arial"/>
          <w:color w:val="000000"/>
          <w:sz w:val="22"/>
          <w:szCs w:val="22"/>
        </w:rPr>
        <w:t>, W. H., Fisher, L. and Guzman, S. (2011) ‘A new perspective on diabetes distress and burnout’,</w:t>
      </w:r>
      <w:r w:rsidR="000271B6" w:rsidRPr="00BE3B3D">
        <w:rPr>
          <w:rStyle w:val="apple-converted-space"/>
          <w:rFonts w:ascii="Arial" w:hAnsi="Arial" w:cs="Arial"/>
          <w:color w:val="000000"/>
          <w:sz w:val="22"/>
          <w:szCs w:val="22"/>
        </w:rPr>
        <w:t> </w:t>
      </w:r>
      <w:r w:rsidR="000271B6" w:rsidRPr="00BE3B3D">
        <w:rPr>
          <w:rStyle w:val="Emphasis"/>
          <w:rFonts w:ascii="Arial" w:hAnsi="Arial" w:cs="Arial"/>
          <w:color w:val="000000"/>
          <w:sz w:val="22"/>
          <w:szCs w:val="22"/>
        </w:rPr>
        <w:t>The American Journal of Managed Care</w:t>
      </w:r>
      <w:r w:rsidR="000271B6" w:rsidRPr="00BE3B3D">
        <w:rPr>
          <w:rFonts w:ascii="Arial" w:hAnsi="Arial" w:cs="Arial"/>
          <w:color w:val="000000"/>
          <w:sz w:val="22"/>
          <w:szCs w:val="22"/>
        </w:rPr>
        <w:t xml:space="preserve">, 17(11 </w:t>
      </w:r>
      <w:proofErr w:type="spellStart"/>
      <w:r w:rsidR="000271B6" w:rsidRPr="00BE3B3D">
        <w:rPr>
          <w:rFonts w:ascii="Arial" w:hAnsi="Arial" w:cs="Arial"/>
          <w:color w:val="000000"/>
          <w:sz w:val="22"/>
          <w:szCs w:val="22"/>
        </w:rPr>
        <w:t>Suppl</w:t>
      </w:r>
      <w:proofErr w:type="spellEnd"/>
      <w:r w:rsidR="000271B6" w:rsidRPr="00BE3B3D">
        <w:rPr>
          <w:rFonts w:ascii="Arial" w:hAnsi="Arial" w:cs="Arial"/>
          <w:color w:val="000000"/>
          <w:sz w:val="22"/>
          <w:szCs w:val="22"/>
        </w:rPr>
        <w:t>), pp. S46-S50. Available at:</w:t>
      </w:r>
      <w:r w:rsidR="000271B6" w:rsidRPr="00BE3B3D">
        <w:rPr>
          <w:rStyle w:val="apple-converted-space"/>
          <w:rFonts w:ascii="Arial" w:hAnsi="Arial" w:cs="Arial"/>
          <w:color w:val="000000"/>
          <w:sz w:val="22"/>
          <w:szCs w:val="22"/>
        </w:rPr>
        <w:t> </w:t>
      </w:r>
      <w:hyperlink r:id="rId16" w:tooltip="null" w:history="1">
        <w:r w:rsidR="000271B6" w:rsidRPr="00BE3B3D">
          <w:rPr>
            <w:rStyle w:val="Hyperlink"/>
            <w:rFonts w:ascii="Arial" w:hAnsi="Arial" w:cs="Arial"/>
            <w:sz w:val="22"/>
            <w:szCs w:val="22"/>
          </w:rPr>
          <w:t>https://pubmed.ncbi.nlm.nih.gov/22180860/</w:t>
        </w:r>
      </w:hyperlink>
      <w:r w:rsidR="000271B6" w:rsidRPr="00BE3B3D">
        <w:rPr>
          <w:rFonts w:ascii="Arial" w:hAnsi="Arial" w:cs="Arial"/>
          <w:color w:val="000000"/>
          <w:sz w:val="22"/>
          <w:szCs w:val="22"/>
        </w:rPr>
        <w:t>(Accessed: 2 November 2025).</w:t>
      </w:r>
    </w:p>
    <w:p w14:paraId="1E77906C" w14:textId="37516D31" w:rsidR="00D96675" w:rsidRPr="00BE3B3D" w:rsidRDefault="00D96675" w:rsidP="00BE3B3D">
      <w:pPr>
        <w:pStyle w:val="NormalWeb"/>
        <w:spacing w:line="360" w:lineRule="auto"/>
        <w:rPr>
          <w:rFonts w:ascii="Arial" w:hAnsi="Arial" w:cs="Arial"/>
          <w:sz w:val="22"/>
          <w:szCs w:val="22"/>
        </w:rPr>
      </w:pPr>
      <w:r w:rsidRPr="00BE3B3D">
        <w:rPr>
          <w:rFonts w:ascii="Arial" w:hAnsi="Arial" w:cs="Arial"/>
          <w:sz w:val="22"/>
          <w:szCs w:val="22"/>
        </w:rPr>
        <w:t xml:space="preserve">Walker, R.J., Smalls, B.L., Campbell, J.A., Strom Williams, J.L. and </w:t>
      </w:r>
      <w:proofErr w:type="spellStart"/>
      <w:r w:rsidRPr="00BE3B3D">
        <w:rPr>
          <w:rFonts w:ascii="Arial" w:hAnsi="Arial" w:cs="Arial"/>
          <w:sz w:val="22"/>
          <w:szCs w:val="22"/>
        </w:rPr>
        <w:t>Egede</w:t>
      </w:r>
      <w:proofErr w:type="spellEnd"/>
      <w:r w:rsidRPr="00BE3B3D">
        <w:rPr>
          <w:rFonts w:ascii="Arial" w:hAnsi="Arial" w:cs="Arial"/>
          <w:sz w:val="22"/>
          <w:szCs w:val="22"/>
        </w:rPr>
        <w:t xml:space="preserve">, L.E. (2014) 'Impact of Social Determinants of Health on Outcomes for Type 2 Diabetes: A Systematic Review', Endocrine, 47(1), pp. 29–48. Available at: </w:t>
      </w:r>
      <w:hyperlink r:id="rId17" w:history="1">
        <w:r w:rsidRPr="00BE3B3D">
          <w:rPr>
            <w:rStyle w:val="Hyperlink"/>
            <w:rFonts w:ascii="Arial" w:hAnsi="Arial" w:cs="Arial"/>
            <w:sz w:val="22"/>
            <w:szCs w:val="22"/>
          </w:rPr>
          <w:t>https://pmc.ncbi.nlm.nih.gov/articles/PMC7029167/</w:t>
        </w:r>
      </w:hyperlink>
      <w:r w:rsidRPr="00BE3B3D">
        <w:rPr>
          <w:rFonts w:ascii="Arial" w:hAnsi="Arial" w:cs="Arial"/>
          <w:sz w:val="22"/>
          <w:szCs w:val="22"/>
        </w:rPr>
        <w:t xml:space="preserve"> (Accessed: 1</w:t>
      </w:r>
      <w:r w:rsidR="00BE3B3D">
        <w:rPr>
          <w:rFonts w:ascii="Arial" w:hAnsi="Arial" w:cs="Arial"/>
          <w:sz w:val="22"/>
          <w:szCs w:val="22"/>
        </w:rPr>
        <w:t xml:space="preserve">4 </w:t>
      </w:r>
      <w:r w:rsidRPr="00BE3B3D">
        <w:rPr>
          <w:rFonts w:ascii="Arial" w:hAnsi="Arial" w:cs="Arial"/>
          <w:sz w:val="22"/>
          <w:szCs w:val="22"/>
        </w:rPr>
        <w:t>November 2025).</w:t>
      </w:r>
    </w:p>
    <w:p w14:paraId="6CFCB678" w14:textId="3DF37698" w:rsidR="000271B6" w:rsidRPr="00BE3B3D" w:rsidRDefault="000271B6" w:rsidP="00BE3B3D">
      <w:pPr>
        <w:pStyle w:val="NormalWeb"/>
        <w:spacing w:line="360" w:lineRule="auto"/>
        <w:rPr>
          <w:rFonts w:ascii="Arial" w:hAnsi="Arial" w:cs="Arial"/>
          <w:color w:val="000000"/>
          <w:sz w:val="22"/>
          <w:szCs w:val="22"/>
        </w:rPr>
      </w:pPr>
      <w:r w:rsidRPr="00BE3B3D">
        <w:rPr>
          <w:rFonts w:ascii="Arial" w:hAnsi="Arial" w:cs="Arial"/>
          <w:color w:val="000000"/>
          <w:sz w:val="22"/>
          <w:szCs w:val="22"/>
        </w:rPr>
        <w:t>World Health Organization (2024)</w:t>
      </w:r>
      <w:r w:rsidRPr="00BE3B3D">
        <w:rPr>
          <w:rStyle w:val="apple-converted-space"/>
          <w:rFonts w:ascii="Arial" w:hAnsi="Arial" w:cs="Arial"/>
          <w:color w:val="000000"/>
          <w:sz w:val="22"/>
          <w:szCs w:val="22"/>
        </w:rPr>
        <w:t> </w:t>
      </w:r>
      <w:r w:rsidRPr="00BE3B3D">
        <w:rPr>
          <w:rStyle w:val="Emphasis"/>
          <w:rFonts w:ascii="Arial" w:hAnsi="Arial" w:cs="Arial"/>
          <w:color w:val="000000"/>
          <w:sz w:val="22"/>
          <w:szCs w:val="22"/>
        </w:rPr>
        <w:t>Diabetes</w:t>
      </w:r>
      <w:r w:rsidRPr="00BE3B3D">
        <w:rPr>
          <w:rFonts w:ascii="Arial" w:hAnsi="Arial" w:cs="Arial"/>
          <w:color w:val="000000"/>
          <w:sz w:val="22"/>
          <w:szCs w:val="22"/>
        </w:rPr>
        <w:t>. Available at:</w:t>
      </w:r>
      <w:r w:rsidRPr="00BE3B3D">
        <w:rPr>
          <w:rStyle w:val="apple-converted-space"/>
          <w:rFonts w:ascii="Arial" w:hAnsi="Arial" w:cs="Arial"/>
          <w:color w:val="000000"/>
          <w:sz w:val="22"/>
          <w:szCs w:val="22"/>
        </w:rPr>
        <w:t> </w:t>
      </w:r>
      <w:hyperlink r:id="rId18" w:tooltip="null" w:history="1">
        <w:r w:rsidRPr="00BE3B3D">
          <w:rPr>
            <w:rStyle w:val="Hyperlink"/>
            <w:rFonts w:ascii="Arial" w:hAnsi="Arial" w:cs="Arial"/>
            <w:sz w:val="22"/>
            <w:szCs w:val="22"/>
          </w:rPr>
          <w:t>https://www.who.int/news-room/fact-sheets/detail/diabetes</w:t>
        </w:r>
      </w:hyperlink>
      <w:r w:rsidR="00BE3B3D">
        <w:rPr>
          <w:rStyle w:val="Hyperlink"/>
          <w:rFonts w:ascii="Arial" w:hAnsi="Arial" w:cs="Arial"/>
          <w:sz w:val="22"/>
          <w:szCs w:val="22"/>
        </w:rPr>
        <w:t xml:space="preserve"> </w:t>
      </w:r>
      <w:r w:rsidRPr="00BE3B3D">
        <w:rPr>
          <w:rFonts w:ascii="Arial" w:hAnsi="Arial" w:cs="Arial"/>
          <w:color w:val="000000"/>
          <w:sz w:val="22"/>
          <w:szCs w:val="22"/>
        </w:rPr>
        <w:t>(Accessed: 2 November 2025).</w:t>
      </w:r>
    </w:p>
    <w:p w14:paraId="38EA394C" w14:textId="77777777" w:rsidR="000271B6" w:rsidRDefault="000271B6"/>
    <w:sectPr w:rsidR="000271B6">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44B8A" w14:textId="77777777" w:rsidR="005F7D7C" w:rsidRDefault="005F7D7C" w:rsidP="002F252D">
      <w:r>
        <w:separator/>
      </w:r>
    </w:p>
  </w:endnote>
  <w:endnote w:type="continuationSeparator" w:id="0">
    <w:p w14:paraId="6A130494" w14:textId="77777777" w:rsidR="005F7D7C" w:rsidRDefault="005F7D7C" w:rsidP="002F2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8B1D1" w14:textId="77777777" w:rsidR="002F252D" w:rsidRDefault="002F252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7EB2057" w14:textId="77777777" w:rsidR="002F252D" w:rsidRDefault="002F25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9430D" w14:textId="77777777" w:rsidR="005F7D7C" w:rsidRDefault="005F7D7C" w:rsidP="002F252D">
      <w:r>
        <w:separator/>
      </w:r>
    </w:p>
  </w:footnote>
  <w:footnote w:type="continuationSeparator" w:id="0">
    <w:p w14:paraId="7C06B568" w14:textId="77777777" w:rsidR="005F7D7C" w:rsidRDefault="005F7D7C" w:rsidP="002F25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8" type="#_x0000_t75" style="width:8pt;height:8pt;visibility:visible;mso-wrap-style:square" o:bullet="t">
        <v:imagedata r:id="rId1" o:title=""/>
      </v:shape>
    </w:pict>
  </w:numPicBullet>
  <w:abstractNum w:abstractNumId="0" w15:restartNumberingAfterBreak="0">
    <w:nsid w:val="0B654812"/>
    <w:multiLevelType w:val="hybridMultilevel"/>
    <w:tmpl w:val="630AFBC0"/>
    <w:lvl w:ilvl="0" w:tplc="08090001">
      <w:start w:val="1"/>
      <w:numFmt w:val="bullet"/>
      <w:lvlText w:val=""/>
      <w:lvlJc w:val="left"/>
      <w:pPr>
        <w:ind w:left="1648" w:hanging="360"/>
      </w:pPr>
      <w:rPr>
        <w:rFonts w:ascii="Symbol" w:hAnsi="Symbol" w:hint="default"/>
      </w:rPr>
    </w:lvl>
    <w:lvl w:ilvl="1" w:tplc="08090003" w:tentative="1">
      <w:start w:val="1"/>
      <w:numFmt w:val="bullet"/>
      <w:lvlText w:val="o"/>
      <w:lvlJc w:val="left"/>
      <w:pPr>
        <w:ind w:left="2368" w:hanging="360"/>
      </w:pPr>
      <w:rPr>
        <w:rFonts w:ascii="Courier New" w:hAnsi="Courier New" w:cs="Courier New" w:hint="default"/>
      </w:rPr>
    </w:lvl>
    <w:lvl w:ilvl="2" w:tplc="08090005" w:tentative="1">
      <w:start w:val="1"/>
      <w:numFmt w:val="bullet"/>
      <w:lvlText w:val=""/>
      <w:lvlJc w:val="left"/>
      <w:pPr>
        <w:ind w:left="3088" w:hanging="360"/>
      </w:pPr>
      <w:rPr>
        <w:rFonts w:ascii="Wingdings" w:hAnsi="Wingdings" w:hint="default"/>
      </w:rPr>
    </w:lvl>
    <w:lvl w:ilvl="3" w:tplc="08090001" w:tentative="1">
      <w:start w:val="1"/>
      <w:numFmt w:val="bullet"/>
      <w:lvlText w:val=""/>
      <w:lvlJc w:val="left"/>
      <w:pPr>
        <w:ind w:left="3808" w:hanging="360"/>
      </w:pPr>
      <w:rPr>
        <w:rFonts w:ascii="Symbol" w:hAnsi="Symbol" w:hint="default"/>
      </w:rPr>
    </w:lvl>
    <w:lvl w:ilvl="4" w:tplc="08090003" w:tentative="1">
      <w:start w:val="1"/>
      <w:numFmt w:val="bullet"/>
      <w:lvlText w:val="o"/>
      <w:lvlJc w:val="left"/>
      <w:pPr>
        <w:ind w:left="4528" w:hanging="360"/>
      </w:pPr>
      <w:rPr>
        <w:rFonts w:ascii="Courier New" w:hAnsi="Courier New" w:cs="Courier New" w:hint="default"/>
      </w:rPr>
    </w:lvl>
    <w:lvl w:ilvl="5" w:tplc="08090005" w:tentative="1">
      <w:start w:val="1"/>
      <w:numFmt w:val="bullet"/>
      <w:lvlText w:val=""/>
      <w:lvlJc w:val="left"/>
      <w:pPr>
        <w:ind w:left="5248" w:hanging="360"/>
      </w:pPr>
      <w:rPr>
        <w:rFonts w:ascii="Wingdings" w:hAnsi="Wingdings" w:hint="default"/>
      </w:rPr>
    </w:lvl>
    <w:lvl w:ilvl="6" w:tplc="08090001" w:tentative="1">
      <w:start w:val="1"/>
      <w:numFmt w:val="bullet"/>
      <w:lvlText w:val=""/>
      <w:lvlJc w:val="left"/>
      <w:pPr>
        <w:ind w:left="5968" w:hanging="360"/>
      </w:pPr>
      <w:rPr>
        <w:rFonts w:ascii="Symbol" w:hAnsi="Symbol" w:hint="default"/>
      </w:rPr>
    </w:lvl>
    <w:lvl w:ilvl="7" w:tplc="08090003" w:tentative="1">
      <w:start w:val="1"/>
      <w:numFmt w:val="bullet"/>
      <w:lvlText w:val="o"/>
      <w:lvlJc w:val="left"/>
      <w:pPr>
        <w:ind w:left="6688" w:hanging="360"/>
      </w:pPr>
      <w:rPr>
        <w:rFonts w:ascii="Courier New" w:hAnsi="Courier New" w:cs="Courier New" w:hint="default"/>
      </w:rPr>
    </w:lvl>
    <w:lvl w:ilvl="8" w:tplc="08090005" w:tentative="1">
      <w:start w:val="1"/>
      <w:numFmt w:val="bullet"/>
      <w:lvlText w:val=""/>
      <w:lvlJc w:val="left"/>
      <w:pPr>
        <w:ind w:left="7408" w:hanging="360"/>
      </w:pPr>
      <w:rPr>
        <w:rFonts w:ascii="Wingdings" w:hAnsi="Wingdings" w:hint="default"/>
      </w:rPr>
    </w:lvl>
  </w:abstractNum>
  <w:abstractNum w:abstractNumId="1" w15:restartNumberingAfterBreak="0">
    <w:nsid w:val="0CD577D5"/>
    <w:multiLevelType w:val="hybridMultilevel"/>
    <w:tmpl w:val="55FAB1B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AC4E45"/>
    <w:multiLevelType w:val="hybridMultilevel"/>
    <w:tmpl w:val="EE861012"/>
    <w:lvl w:ilvl="0" w:tplc="088E90EC">
      <w:numFmt w:val="bullet"/>
      <w:lvlText w:val="-"/>
      <w:lvlJc w:val="left"/>
      <w:pPr>
        <w:ind w:left="1192" w:hanging="360"/>
      </w:pPr>
      <w:rPr>
        <w:rFonts w:ascii="Arial" w:eastAsia="Arial" w:hAnsi="Arial" w:cs="Arial" w:hint="default"/>
        <w:b w:val="0"/>
        <w:bCs w:val="0"/>
        <w:i w:val="0"/>
        <w:iCs w:val="0"/>
        <w:color w:val="37393A"/>
        <w:w w:val="100"/>
        <w:sz w:val="23"/>
        <w:szCs w:val="23"/>
        <w:lang w:val="en-US" w:eastAsia="en-US" w:bidi="ar-SA"/>
      </w:rPr>
    </w:lvl>
    <w:lvl w:ilvl="1" w:tplc="51DAA30E">
      <w:numFmt w:val="bullet"/>
      <w:lvlText w:val="•"/>
      <w:lvlJc w:val="left"/>
      <w:pPr>
        <w:ind w:left="2054" w:hanging="360"/>
      </w:pPr>
      <w:rPr>
        <w:rFonts w:hint="default"/>
        <w:lang w:val="en-US" w:eastAsia="en-US" w:bidi="ar-SA"/>
      </w:rPr>
    </w:lvl>
    <w:lvl w:ilvl="2" w:tplc="D2242E86">
      <w:numFmt w:val="bullet"/>
      <w:lvlText w:val="•"/>
      <w:lvlJc w:val="left"/>
      <w:pPr>
        <w:ind w:left="2908" w:hanging="360"/>
      </w:pPr>
      <w:rPr>
        <w:rFonts w:hint="default"/>
        <w:lang w:val="en-US" w:eastAsia="en-US" w:bidi="ar-SA"/>
      </w:rPr>
    </w:lvl>
    <w:lvl w:ilvl="3" w:tplc="1A9896AE">
      <w:numFmt w:val="bullet"/>
      <w:lvlText w:val="•"/>
      <w:lvlJc w:val="left"/>
      <w:pPr>
        <w:ind w:left="3762" w:hanging="360"/>
      </w:pPr>
      <w:rPr>
        <w:rFonts w:hint="default"/>
        <w:lang w:val="en-US" w:eastAsia="en-US" w:bidi="ar-SA"/>
      </w:rPr>
    </w:lvl>
    <w:lvl w:ilvl="4" w:tplc="2A30DF2C">
      <w:numFmt w:val="bullet"/>
      <w:lvlText w:val="•"/>
      <w:lvlJc w:val="left"/>
      <w:pPr>
        <w:ind w:left="4617" w:hanging="360"/>
      </w:pPr>
      <w:rPr>
        <w:rFonts w:hint="default"/>
        <w:lang w:val="en-US" w:eastAsia="en-US" w:bidi="ar-SA"/>
      </w:rPr>
    </w:lvl>
    <w:lvl w:ilvl="5" w:tplc="2DE27BF8">
      <w:numFmt w:val="bullet"/>
      <w:lvlText w:val="•"/>
      <w:lvlJc w:val="left"/>
      <w:pPr>
        <w:ind w:left="5471" w:hanging="360"/>
      </w:pPr>
      <w:rPr>
        <w:rFonts w:hint="default"/>
        <w:lang w:val="en-US" w:eastAsia="en-US" w:bidi="ar-SA"/>
      </w:rPr>
    </w:lvl>
    <w:lvl w:ilvl="6" w:tplc="41B89398">
      <w:numFmt w:val="bullet"/>
      <w:lvlText w:val="•"/>
      <w:lvlJc w:val="left"/>
      <w:pPr>
        <w:ind w:left="6325" w:hanging="360"/>
      </w:pPr>
      <w:rPr>
        <w:rFonts w:hint="default"/>
        <w:lang w:val="en-US" w:eastAsia="en-US" w:bidi="ar-SA"/>
      </w:rPr>
    </w:lvl>
    <w:lvl w:ilvl="7" w:tplc="D37E14E6">
      <w:numFmt w:val="bullet"/>
      <w:lvlText w:val="•"/>
      <w:lvlJc w:val="left"/>
      <w:pPr>
        <w:ind w:left="7180" w:hanging="360"/>
      </w:pPr>
      <w:rPr>
        <w:rFonts w:hint="default"/>
        <w:lang w:val="en-US" w:eastAsia="en-US" w:bidi="ar-SA"/>
      </w:rPr>
    </w:lvl>
    <w:lvl w:ilvl="8" w:tplc="0F86F7D0">
      <w:numFmt w:val="bullet"/>
      <w:lvlText w:val="•"/>
      <w:lvlJc w:val="left"/>
      <w:pPr>
        <w:ind w:left="8034" w:hanging="360"/>
      </w:pPr>
      <w:rPr>
        <w:rFonts w:hint="default"/>
        <w:lang w:val="en-US" w:eastAsia="en-US" w:bidi="ar-SA"/>
      </w:rPr>
    </w:lvl>
  </w:abstractNum>
  <w:abstractNum w:abstractNumId="3" w15:restartNumberingAfterBreak="0">
    <w:nsid w:val="403C6FF9"/>
    <w:multiLevelType w:val="hybridMultilevel"/>
    <w:tmpl w:val="16A89B4C"/>
    <w:lvl w:ilvl="0" w:tplc="2EDE675A">
      <w:numFmt w:val="bullet"/>
      <w:lvlText w:val=""/>
      <w:lvlJc w:val="left"/>
      <w:pPr>
        <w:ind w:left="1648" w:hanging="363"/>
      </w:pPr>
      <w:rPr>
        <w:rFonts w:ascii="Symbol" w:eastAsia="Symbol" w:hAnsi="Symbol" w:cs="Symbol" w:hint="default"/>
        <w:b w:val="0"/>
        <w:bCs w:val="0"/>
        <w:i w:val="0"/>
        <w:iCs w:val="0"/>
        <w:w w:val="100"/>
        <w:sz w:val="24"/>
        <w:szCs w:val="24"/>
        <w:lang w:val="en-US" w:eastAsia="en-US" w:bidi="ar-SA"/>
      </w:rPr>
    </w:lvl>
    <w:lvl w:ilvl="1" w:tplc="5E765BAA">
      <w:numFmt w:val="bullet"/>
      <w:lvlText w:val="•"/>
      <w:lvlJc w:val="left"/>
      <w:pPr>
        <w:ind w:left="2565" w:hanging="363"/>
      </w:pPr>
      <w:rPr>
        <w:rFonts w:hint="default"/>
        <w:lang w:val="en-US" w:eastAsia="en-US" w:bidi="ar-SA"/>
      </w:rPr>
    </w:lvl>
    <w:lvl w:ilvl="2" w:tplc="F7307BEA">
      <w:numFmt w:val="bullet"/>
      <w:lvlText w:val="•"/>
      <w:lvlJc w:val="left"/>
      <w:pPr>
        <w:ind w:left="3491" w:hanging="363"/>
      </w:pPr>
      <w:rPr>
        <w:rFonts w:hint="default"/>
        <w:lang w:val="en-US" w:eastAsia="en-US" w:bidi="ar-SA"/>
      </w:rPr>
    </w:lvl>
    <w:lvl w:ilvl="3" w:tplc="3D265DE0">
      <w:numFmt w:val="bullet"/>
      <w:lvlText w:val="•"/>
      <w:lvlJc w:val="left"/>
      <w:pPr>
        <w:ind w:left="4417" w:hanging="363"/>
      </w:pPr>
      <w:rPr>
        <w:rFonts w:hint="default"/>
        <w:lang w:val="en-US" w:eastAsia="en-US" w:bidi="ar-SA"/>
      </w:rPr>
    </w:lvl>
    <w:lvl w:ilvl="4" w:tplc="D5F84136">
      <w:numFmt w:val="bullet"/>
      <w:lvlText w:val="•"/>
      <w:lvlJc w:val="left"/>
      <w:pPr>
        <w:ind w:left="5343" w:hanging="363"/>
      </w:pPr>
      <w:rPr>
        <w:rFonts w:hint="default"/>
        <w:lang w:val="en-US" w:eastAsia="en-US" w:bidi="ar-SA"/>
      </w:rPr>
    </w:lvl>
    <w:lvl w:ilvl="5" w:tplc="FE40A446">
      <w:numFmt w:val="bullet"/>
      <w:lvlText w:val="•"/>
      <w:lvlJc w:val="left"/>
      <w:pPr>
        <w:ind w:left="6269" w:hanging="363"/>
      </w:pPr>
      <w:rPr>
        <w:rFonts w:hint="default"/>
        <w:lang w:val="en-US" w:eastAsia="en-US" w:bidi="ar-SA"/>
      </w:rPr>
    </w:lvl>
    <w:lvl w:ilvl="6" w:tplc="B0322470">
      <w:numFmt w:val="bullet"/>
      <w:lvlText w:val="•"/>
      <w:lvlJc w:val="left"/>
      <w:pPr>
        <w:ind w:left="7195" w:hanging="363"/>
      </w:pPr>
      <w:rPr>
        <w:rFonts w:hint="default"/>
        <w:lang w:val="en-US" w:eastAsia="en-US" w:bidi="ar-SA"/>
      </w:rPr>
    </w:lvl>
    <w:lvl w:ilvl="7" w:tplc="64E411E4">
      <w:numFmt w:val="bullet"/>
      <w:lvlText w:val="•"/>
      <w:lvlJc w:val="left"/>
      <w:pPr>
        <w:ind w:left="8121" w:hanging="363"/>
      </w:pPr>
      <w:rPr>
        <w:rFonts w:hint="default"/>
        <w:lang w:val="en-US" w:eastAsia="en-US" w:bidi="ar-SA"/>
      </w:rPr>
    </w:lvl>
    <w:lvl w:ilvl="8" w:tplc="A3EE8104">
      <w:numFmt w:val="bullet"/>
      <w:lvlText w:val="•"/>
      <w:lvlJc w:val="left"/>
      <w:pPr>
        <w:ind w:left="9047" w:hanging="363"/>
      </w:pPr>
      <w:rPr>
        <w:rFonts w:hint="default"/>
        <w:lang w:val="en-US" w:eastAsia="en-US" w:bidi="ar-SA"/>
      </w:rPr>
    </w:lvl>
  </w:abstractNum>
  <w:abstractNum w:abstractNumId="4" w15:restartNumberingAfterBreak="0">
    <w:nsid w:val="6CEE37DB"/>
    <w:multiLevelType w:val="hybridMultilevel"/>
    <w:tmpl w:val="128278E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num w:numId="1" w16cid:durableId="186868141">
    <w:abstractNumId w:val="3"/>
  </w:num>
  <w:num w:numId="2" w16cid:durableId="2013603175">
    <w:abstractNumId w:val="1"/>
  </w:num>
  <w:num w:numId="3" w16cid:durableId="291250504">
    <w:abstractNumId w:val="4"/>
  </w:num>
  <w:num w:numId="4" w16cid:durableId="2115129896">
    <w:abstractNumId w:val="0"/>
  </w:num>
  <w:num w:numId="5" w16cid:durableId="1420833485">
    <w:abstractNumId w:val="2"/>
  </w:num>
  <w:num w:numId="6" w16cid:durableId="4560230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1B6"/>
    <w:rsid w:val="00021A83"/>
    <w:rsid w:val="000271B6"/>
    <w:rsid w:val="0014547F"/>
    <w:rsid w:val="001A223F"/>
    <w:rsid w:val="001B3DB4"/>
    <w:rsid w:val="001C3C6B"/>
    <w:rsid w:val="001E4623"/>
    <w:rsid w:val="00241B7F"/>
    <w:rsid w:val="00242721"/>
    <w:rsid w:val="002F252D"/>
    <w:rsid w:val="00334743"/>
    <w:rsid w:val="004652D7"/>
    <w:rsid w:val="005F7D7C"/>
    <w:rsid w:val="00613F0B"/>
    <w:rsid w:val="00645D22"/>
    <w:rsid w:val="00782F48"/>
    <w:rsid w:val="008C648E"/>
    <w:rsid w:val="009A6D57"/>
    <w:rsid w:val="009D59FF"/>
    <w:rsid w:val="009F7EF9"/>
    <w:rsid w:val="00A612D9"/>
    <w:rsid w:val="00B64EE4"/>
    <w:rsid w:val="00B922E2"/>
    <w:rsid w:val="00BE3B3D"/>
    <w:rsid w:val="00CB24B2"/>
    <w:rsid w:val="00D96675"/>
    <w:rsid w:val="00EE08C2"/>
    <w:rsid w:val="00F43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86C7C"/>
  <w15:chartTrackingRefBased/>
  <w15:docId w15:val="{F66FE60F-80DF-AB41-A885-F697EEEF1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B7F"/>
  </w:style>
  <w:style w:type="paragraph" w:styleId="Heading2">
    <w:name w:val="heading 2"/>
    <w:basedOn w:val="Normal"/>
    <w:link w:val="Heading2Char"/>
    <w:uiPriority w:val="9"/>
    <w:qFormat/>
    <w:rsid w:val="000271B6"/>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0271B6"/>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6">
    <w:name w:val="heading 6"/>
    <w:basedOn w:val="Normal"/>
    <w:next w:val="Normal"/>
    <w:link w:val="Heading6Char"/>
    <w:uiPriority w:val="9"/>
    <w:unhideWhenUsed/>
    <w:qFormat/>
    <w:rsid w:val="009D59FF"/>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0271B6"/>
    <w:pPr>
      <w:widowControl w:val="0"/>
      <w:autoSpaceDE w:val="0"/>
      <w:autoSpaceDN w:val="0"/>
    </w:pPr>
    <w:rPr>
      <w:rFonts w:ascii="Arial" w:eastAsia="Arial" w:hAnsi="Arial" w:cs="Arial"/>
      <w:sz w:val="22"/>
      <w:szCs w:val="22"/>
      <w:lang w:val="en-US"/>
    </w:rPr>
  </w:style>
  <w:style w:type="character" w:customStyle="1" w:styleId="BodyTextChar">
    <w:name w:val="Body Text Char"/>
    <w:basedOn w:val="DefaultParagraphFont"/>
    <w:link w:val="BodyText"/>
    <w:uiPriority w:val="1"/>
    <w:rsid w:val="000271B6"/>
    <w:rPr>
      <w:rFonts w:ascii="Arial" w:eastAsia="Arial" w:hAnsi="Arial" w:cs="Arial"/>
      <w:sz w:val="22"/>
      <w:szCs w:val="22"/>
      <w:lang w:val="en-US"/>
    </w:rPr>
  </w:style>
  <w:style w:type="paragraph" w:styleId="ListParagraph">
    <w:name w:val="List Paragraph"/>
    <w:basedOn w:val="Normal"/>
    <w:uiPriority w:val="1"/>
    <w:qFormat/>
    <w:rsid w:val="000271B6"/>
    <w:pPr>
      <w:widowControl w:val="0"/>
      <w:autoSpaceDE w:val="0"/>
      <w:autoSpaceDN w:val="0"/>
      <w:ind w:left="940" w:hanging="363"/>
    </w:pPr>
    <w:rPr>
      <w:rFonts w:ascii="Arial" w:eastAsia="Arial" w:hAnsi="Arial" w:cs="Arial"/>
      <w:sz w:val="22"/>
      <w:szCs w:val="22"/>
      <w:lang w:val="en-US"/>
    </w:rPr>
  </w:style>
  <w:style w:type="character" w:customStyle="1" w:styleId="Heading2Char">
    <w:name w:val="Heading 2 Char"/>
    <w:basedOn w:val="DefaultParagraphFont"/>
    <w:link w:val="Heading2"/>
    <w:uiPriority w:val="9"/>
    <w:rsid w:val="000271B6"/>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0271B6"/>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0271B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271B6"/>
  </w:style>
  <w:style w:type="character" w:styleId="Emphasis">
    <w:name w:val="Emphasis"/>
    <w:basedOn w:val="DefaultParagraphFont"/>
    <w:uiPriority w:val="20"/>
    <w:qFormat/>
    <w:rsid w:val="000271B6"/>
    <w:rPr>
      <w:i/>
      <w:iCs/>
    </w:rPr>
  </w:style>
  <w:style w:type="character" w:styleId="Hyperlink">
    <w:name w:val="Hyperlink"/>
    <w:basedOn w:val="DefaultParagraphFont"/>
    <w:uiPriority w:val="99"/>
    <w:unhideWhenUsed/>
    <w:rsid w:val="000271B6"/>
    <w:rPr>
      <w:color w:val="0000FF"/>
      <w:u w:val="single"/>
    </w:rPr>
  </w:style>
  <w:style w:type="character" w:styleId="Strong">
    <w:name w:val="Strong"/>
    <w:basedOn w:val="DefaultParagraphFont"/>
    <w:uiPriority w:val="22"/>
    <w:qFormat/>
    <w:rsid w:val="000271B6"/>
    <w:rPr>
      <w:b/>
      <w:bCs/>
    </w:rPr>
  </w:style>
  <w:style w:type="character" w:styleId="FollowedHyperlink">
    <w:name w:val="FollowedHyperlink"/>
    <w:basedOn w:val="DefaultParagraphFont"/>
    <w:uiPriority w:val="99"/>
    <w:semiHidden/>
    <w:unhideWhenUsed/>
    <w:rsid w:val="009F7EF9"/>
    <w:rPr>
      <w:color w:val="954F72" w:themeColor="followedHyperlink"/>
      <w:u w:val="single"/>
    </w:rPr>
  </w:style>
  <w:style w:type="character" w:styleId="UnresolvedMention">
    <w:name w:val="Unresolved Mention"/>
    <w:basedOn w:val="DefaultParagraphFont"/>
    <w:uiPriority w:val="99"/>
    <w:semiHidden/>
    <w:unhideWhenUsed/>
    <w:rsid w:val="00F432F6"/>
    <w:rPr>
      <w:color w:val="605E5C"/>
      <w:shd w:val="clear" w:color="auto" w:fill="E1DFDD"/>
    </w:rPr>
  </w:style>
  <w:style w:type="character" w:customStyle="1" w:styleId="Heading6Char">
    <w:name w:val="Heading 6 Char"/>
    <w:basedOn w:val="DefaultParagraphFont"/>
    <w:link w:val="Heading6"/>
    <w:uiPriority w:val="9"/>
    <w:rsid w:val="009D59FF"/>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unhideWhenUsed/>
    <w:rsid w:val="002F252D"/>
    <w:pPr>
      <w:tabs>
        <w:tab w:val="center" w:pos="4513"/>
        <w:tab w:val="right" w:pos="9026"/>
      </w:tabs>
    </w:pPr>
  </w:style>
  <w:style w:type="character" w:customStyle="1" w:styleId="HeaderChar">
    <w:name w:val="Header Char"/>
    <w:basedOn w:val="DefaultParagraphFont"/>
    <w:link w:val="Header"/>
    <w:uiPriority w:val="99"/>
    <w:rsid w:val="002F252D"/>
  </w:style>
  <w:style w:type="paragraph" w:styleId="Footer">
    <w:name w:val="footer"/>
    <w:basedOn w:val="Normal"/>
    <w:link w:val="FooterChar"/>
    <w:uiPriority w:val="99"/>
    <w:unhideWhenUsed/>
    <w:rsid w:val="002F252D"/>
    <w:pPr>
      <w:tabs>
        <w:tab w:val="center" w:pos="4513"/>
        <w:tab w:val="right" w:pos="9026"/>
      </w:tabs>
    </w:pPr>
  </w:style>
  <w:style w:type="character" w:customStyle="1" w:styleId="FooterChar">
    <w:name w:val="Footer Char"/>
    <w:basedOn w:val="DefaultParagraphFont"/>
    <w:link w:val="Footer"/>
    <w:uiPriority w:val="99"/>
    <w:rsid w:val="002F252D"/>
  </w:style>
  <w:style w:type="paragraph" w:customStyle="1" w:styleId="TableParagraph">
    <w:name w:val="Table Paragraph"/>
    <w:basedOn w:val="Normal"/>
    <w:uiPriority w:val="1"/>
    <w:qFormat/>
    <w:rsid w:val="002F252D"/>
    <w:pPr>
      <w:widowControl w:val="0"/>
      <w:autoSpaceDE w:val="0"/>
      <w:autoSpaceDN w:val="0"/>
    </w:pPr>
    <w:rPr>
      <w:rFonts w:ascii="Arial" w:eastAsia="Arial" w:hAnsi="Arial" w:cs="Arial"/>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476607">
      <w:bodyDiv w:val="1"/>
      <w:marLeft w:val="0"/>
      <w:marRight w:val="0"/>
      <w:marTop w:val="0"/>
      <w:marBottom w:val="0"/>
      <w:divBdr>
        <w:top w:val="none" w:sz="0" w:space="0" w:color="auto"/>
        <w:left w:val="none" w:sz="0" w:space="0" w:color="auto"/>
        <w:bottom w:val="none" w:sz="0" w:space="0" w:color="auto"/>
        <w:right w:val="none" w:sz="0" w:space="0" w:color="auto"/>
      </w:divBdr>
    </w:div>
    <w:div w:id="1084497595">
      <w:bodyDiv w:val="1"/>
      <w:marLeft w:val="0"/>
      <w:marRight w:val="0"/>
      <w:marTop w:val="0"/>
      <w:marBottom w:val="0"/>
      <w:divBdr>
        <w:top w:val="none" w:sz="0" w:space="0" w:color="auto"/>
        <w:left w:val="none" w:sz="0" w:space="0" w:color="auto"/>
        <w:bottom w:val="none" w:sz="0" w:space="0" w:color="auto"/>
        <w:right w:val="none" w:sz="0" w:space="0" w:color="auto"/>
      </w:divBdr>
    </w:div>
    <w:div w:id="1280409115">
      <w:bodyDiv w:val="1"/>
      <w:marLeft w:val="0"/>
      <w:marRight w:val="0"/>
      <w:marTop w:val="0"/>
      <w:marBottom w:val="0"/>
      <w:divBdr>
        <w:top w:val="none" w:sz="0" w:space="0" w:color="auto"/>
        <w:left w:val="none" w:sz="0" w:space="0" w:color="auto"/>
        <w:bottom w:val="none" w:sz="0" w:space="0" w:color="auto"/>
        <w:right w:val="none" w:sz="0" w:space="0" w:color="auto"/>
      </w:divBdr>
      <w:divsChild>
        <w:div w:id="370305937">
          <w:marLeft w:val="0"/>
          <w:marRight w:val="0"/>
          <w:marTop w:val="0"/>
          <w:marBottom w:val="0"/>
          <w:divBdr>
            <w:top w:val="none" w:sz="0" w:space="0" w:color="auto"/>
            <w:left w:val="none" w:sz="0" w:space="0" w:color="auto"/>
            <w:bottom w:val="none" w:sz="0" w:space="0" w:color="auto"/>
            <w:right w:val="none" w:sz="0" w:space="0" w:color="auto"/>
          </w:divBdr>
          <w:divsChild>
            <w:div w:id="281619533">
              <w:marLeft w:val="0"/>
              <w:marRight w:val="0"/>
              <w:marTop w:val="0"/>
              <w:marBottom w:val="0"/>
              <w:divBdr>
                <w:top w:val="none" w:sz="0" w:space="0" w:color="auto"/>
                <w:left w:val="none" w:sz="0" w:space="0" w:color="auto"/>
                <w:bottom w:val="none" w:sz="0" w:space="0" w:color="auto"/>
                <w:right w:val="none" w:sz="0" w:space="0" w:color="auto"/>
              </w:divBdr>
              <w:divsChild>
                <w:div w:id="154733179">
                  <w:marLeft w:val="0"/>
                  <w:marRight w:val="0"/>
                  <w:marTop w:val="0"/>
                  <w:marBottom w:val="0"/>
                  <w:divBdr>
                    <w:top w:val="none" w:sz="0" w:space="0" w:color="auto"/>
                    <w:left w:val="none" w:sz="0" w:space="0" w:color="auto"/>
                    <w:bottom w:val="none" w:sz="0" w:space="0" w:color="auto"/>
                    <w:right w:val="none" w:sz="0" w:space="0" w:color="auto"/>
                  </w:divBdr>
                  <w:divsChild>
                    <w:div w:id="1650937455">
                      <w:marLeft w:val="0"/>
                      <w:marRight w:val="0"/>
                      <w:marTop w:val="0"/>
                      <w:marBottom w:val="0"/>
                      <w:divBdr>
                        <w:top w:val="none" w:sz="0" w:space="0" w:color="auto"/>
                        <w:left w:val="none" w:sz="0" w:space="0" w:color="auto"/>
                        <w:bottom w:val="none" w:sz="0" w:space="0" w:color="auto"/>
                        <w:right w:val="none" w:sz="0" w:space="0" w:color="auto"/>
                      </w:divBdr>
                      <w:divsChild>
                        <w:div w:id="812256876">
                          <w:marLeft w:val="0"/>
                          <w:marRight w:val="0"/>
                          <w:marTop w:val="0"/>
                          <w:marBottom w:val="0"/>
                          <w:divBdr>
                            <w:top w:val="none" w:sz="0" w:space="0" w:color="auto"/>
                            <w:left w:val="none" w:sz="0" w:space="0" w:color="auto"/>
                            <w:bottom w:val="none" w:sz="0" w:space="0" w:color="auto"/>
                            <w:right w:val="none" w:sz="0" w:space="0" w:color="auto"/>
                          </w:divBdr>
                          <w:divsChild>
                            <w:div w:id="205450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232496">
      <w:bodyDiv w:val="1"/>
      <w:marLeft w:val="0"/>
      <w:marRight w:val="0"/>
      <w:marTop w:val="0"/>
      <w:marBottom w:val="0"/>
      <w:divBdr>
        <w:top w:val="none" w:sz="0" w:space="0" w:color="auto"/>
        <w:left w:val="none" w:sz="0" w:space="0" w:color="auto"/>
        <w:bottom w:val="none" w:sz="0" w:space="0" w:color="auto"/>
        <w:right w:val="none" w:sz="0" w:space="0" w:color="auto"/>
      </w:divBdr>
    </w:div>
    <w:div w:id="1499424062">
      <w:bodyDiv w:val="1"/>
      <w:marLeft w:val="0"/>
      <w:marRight w:val="0"/>
      <w:marTop w:val="0"/>
      <w:marBottom w:val="0"/>
      <w:divBdr>
        <w:top w:val="none" w:sz="0" w:space="0" w:color="auto"/>
        <w:left w:val="none" w:sz="0" w:space="0" w:color="auto"/>
        <w:bottom w:val="none" w:sz="0" w:space="0" w:color="auto"/>
        <w:right w:val="none" w:sz="0" w:space="0" w:color="auto"/>
      </w:divBdr>
    </w:div>
    <w:div w:id="1625228312">
      <w:bodyDiv w:val="1"/>
      <w:marLeft w:val="0"/>
      <w:marRight w:val="0"/>
      <w:marTop w:val="0"/>
      <w:marBottom w:val="0"/>
      <w:divBdr>
        <w:top w:val="none" w:sz="0" w:space="0" w:color="auto"/>
        <w:left w:val="none" w:sz="0" w:space="0" w:color="auto"/>
        <w:bottom w:val="none" w:sz="0" w:space="0" w:color="auto"/>
        <w:right w:val="none" w:sz="0" w:space="0" w:color="auto"/>
      </w:divBdr>
      <w:divsChild>
        <w:div w:id="981078036">
          <w:marLeft w:val="0"/>
          <w:marRight w:val="0"/>
          <w:marTop w:val="0"/>
          <w:marBottom w:val="0"/>
          <w:divBdr>
            <w:top w:val="none" w:sz="0" w:space="0" w:color="auto"/>
            <w:left w:val="none" w:sz="0" w:space="0" w:color="auto"/>
            <w:bottom w:val="none" w:sz="0" w:space="0" w:color="auto"/>
            <w:right w:val="none" w:sz="0" w:space="0" w:color="auto"/>
          </w:divBdr>
          <w:divsChild>
            <w:div w:id="1623730777">
              <w:marLeft w:val="0"/>
              <w:marRight w:val="0"/>
              <w:marTop w:val="0"/>
              <w:marBottom w:val="0"/>
              <w:divBdr>
                <w:top w:val="none" w:sz="0" w:space="0" w:color="auto"/>
                <w:left w:val="none" w:sz="0" w:space="0" w:color="auto"/>
                <w:bottom w:val="none" w:sz="0" w:space="0" w:color="auto"/>
                <w:right w:val="none" w:sz="0" w:space="0" w:color="auto"/>
              </w:divBdr>
              <w:divsChild>
                <w:div w:id="20592713">
                  <w:marLeft w:val="0"/>
                  <w:marRight w:val="0"/>
                  <w:marTop w:val="0"/>
                  <w:marBottom w:val="0"/>
                  <w:divBdr>
                    <w:top w:val="none" w:sz="0" w:space="0" w:color="auto"/>
                    <w:left w:val="none" w:sz="0" w:space="0" w:color="auto"/>
                    <w:bottom w:val="none" w:sz="0" w:space="0" w:color="auto"/>
                    <w:right w:val="none" w:sz="0" w:space="0" w:color="auto"/>
                  </w:divBdr>
                  <w:divsChild>
                    <w:div w:id="1376584561">
                      <w:marLeft w:val="0"/>
                      <w:marRight w:val="0"/>
                      <w:marTop w:val="0"/>
                      <w:marBottom w:val="0"/>
                      <w:divBdr>
                        <w:top w:val="none" w:sz="0" w:space="0" w:color="auto"/>
                        <w:left w:val="none" w:sz="0" w:space="0" w:color="auto"/>
                        <w:bottom w:val="none" w:sz="0" w:space="0" w:color="auto"/>
                        <w:right w:val="none" w:sz="0" w:space="0" w:color="auto"/>
                      </w:divBdr>
                      <w:divsChild>
                        <w:div w:id="197669260">
                          <w:marLeft w:val="0"/>
                          <w:marRight w:val="0"/>
                          <w:marTop w:val="0"/>
                          <w:marBottom w:val="0"/>
                          <w:divBdr>
                            <w:top w:val="none" w:sz="0" w:space="0" w:color="auto"/>
                            <w:left w:val="none" w:sz="0" w:space="0" w:color="auto"/>
                            <w:bottom w:val="none" w:sz="0" w:space="0" w:color="auto"/>
                            <w:right w:val="none" w:sz="0" w:space="0" w:color="auto"/>
                          </w:divBdr>
                          <w:divsChild>
                            <w:div w:id="163108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818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abetes.org.uk/about-us/about-the-charity/our-strategy/statistics" TargetMode="External"/><Relationship Id="rId13" Type="http://schemas.openxmlformats.org/officeDocument/2006/relationships/hyperlink" Target="https://doi.org/10.2337/dc12-0413" TargetMode="External"/><Relationship Id="rId18" Type="http://schemas.openxmlformats.org/officeDocument/2006/relationships/hyperlink" Target="https://www.who.int/news-room/fact-sheets/detail/diabete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diabetes.org.uk/about-us/about-the-charity/our-strategy/statistics" TargetMode="External"/><Relationship Id="rId12" Type="http://schemas.openxmlformats.org/officeDocument/2006/relationships/hyperlink" Target="https://diabetesatlas.org/resources/idf-diabetes-atlas-2025/" TargetMode="External"/><Relationship Id="rId17" Type="http://schemas.openxmlformats.org/officeDocument/2006/relationships/hyperlink" Target="https://pmc.ncbi.nlm.nih.gov/articles/PMC7029167/" TargetMode="External"/><Relationship Id="rId2" Type="http://schemas.openxmlformats.org/officeDocument/2006/relationships/styles" Target="styles.xml"/><Relationship Id="rId16" Type="http://schemas.openxmlformats.org/officeDocument/2006/relationships/hyperlink" Target="https://pubmed.ncbi.nlm.nih.gov/2218086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ubmed.ncbi.nlm.nih.gov/35810147/" TargetMode="External"/><Relationship Id="rId5" Type="http://schemas.openxmlformats.org/officeDocument/2006/relationships/footnotes" Target="footnotes.xml"/><Relationship Id="rId15" Type="http://schemas.openxmlformats.org/officeDocument/2006/relationships/hyperlink" Target="https://www.nice.org.uk/guidance/ng28" TargetMode="External"/><Relationship Id="rId10" Type="http://schemas.openxmlformats.org/officeDocument/2006/relationships/hyperlink" Target="https://www.bmj.com/content/336/7642/459.ful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111/j.1464-5491.2012.03698.x" TargetMode="External"/><Relationship Id="rId14" Type="http://schemas.openxmlformats.org/officeDocument/2006/relationships/hyperlink" Target="https://ourarchive.otago.ac.nz/esploro/outputs/report/Economic-and-Social-Cost-of-Type/9926478578501891"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TotalTime>
  <Pages>1</Pages>
  <Words>2218</Words>
  <Characters>12643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Ali (2437713)</dc:creator>
  <cp:keywords/>
  <dc:description/>
  <cp:lastModifiedBy>Alisha Ali (2437713)</cp:lastModifiedBy>
  <cp:revision>7</cp:revision>
  <dcterms:created xsi:type="dcterms:W3CDTF">2025-11-02T23:00:00Z</dcterms:created>
  <dcterms:modified xsi:type="dcterms:W3CDTF">2025-11-17T00:56:00Z</dcterms:modified>
</cp:coreProperties>
</file>