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FCA7F" w14:textId="77493358" w:rsidR="00934751" w:rsidRDefault="00934751" w:rsidP="00934751">
      <w:pPr>
        <w:spacing w:after="0" w:line="240" w:lineRule="auto"/>
        <w:rPr>
          <w:rFonts w:ascii="Arial" w:hAnsi="Arial" w:cs="Arial"/>
          <w:b/>
          <w:sz w:val="24"/>
          <w:szCs w:val="24"/>
        </w:rPr>
      </w:pPr>
      <w:r w:rsidRPr="00F75C7C">
        <w:rPr>
          <w:rFonts w:ascii="Arial" w:hAnsi="Arial" w:cs="Arial"/>
          <w:b/>
          <w:sz w:val="24"/>
          <w:szCs w:val="24"/>
        </w:rPr>
        <w:t>Contractual arrangement</w:t>
      </w:r>
    </w:p>
    <w:p w14:paraId="4E43B2D3" w14:textId="77777777" w:rsidR="00934751" w:rsidRPr="00F75C7C" w:rsidRDefault="00934751" w:rsidP="00934751">
      <w:pPr>
        <w:spacing w:after="0" w:line="240" w:lineRule="auto"/>
        <w:rPr>
          <w:rFonts w:ascii="Arial" w:hAnsi="Arial" w:cs="Arial"/>
          <w:b/>
          <w:sz w:val="24"/>
          <w:szCs w:val="24"/>
        </w:rPr>
      </w:pPr>
    </w:p>
    <w:p w14:paraId="5AA837D6" w14:textId="77777777" w:rsidR="00934751" w:rsidRDefault="00934751" w:rsidP="00934751">
      <w:pPr>
        <w:spacing w:after="0" w:line="240" w:lineRule="auto"/>
        <w:rPr>
          <w:rFonts w:ascii="Arial" w:hAnsi="Arial" w:cs="Arial"/>
          <w:sz w:val="24"/>
          <w:szCs w:val="24"/>
        </w:rPr>
      </w:pPr>
      <w:r w:rsidRPr="00F75C7C">
        <w:rPr>
          <w:rFonts w:ascii="Arial" w:hAnsi="Arial" w:cs="Arial"/>
          <w:sz w:val="24"/>
          <w:szCs w:val="24"/>
        </w:rPr>
        <w:t>On 1 January 2020 Diamond entered into a contract with Garnet plc (“Garnet”) which provided Diamond with the use of ten transporters for a period of 5 years. Under the terms of the contract Diamond is required to make annual payments.</w:t>
      </w:r>
    </w:p>
    <w:p w14:paraId="0272F472" w14:textId="77777777" w:rsidR="00934751" w:rsidRPr="00F75C7C" w:rsidRDefault="00934751" w:rsidP="00934751">
      <w:pPr>
        <w:spacing w:after="0" w:line="240" w:lineRule="auto"/>
        <w:rPr>
          <w:rFonts w:ascii="Arial" w:hAnsi="Arial" w:cs="Arial"/>
          <w:sz w:val="24"/>
          <w:szCs w:val="24"/>
        </w:rPr>
      </w:pPr>
    </w:p>
    <w:p w14:paraId="0F187BE1" w14:textId="6DB8E473" w:rsidR="00934751" w:rsidRDefault="00934751" w:rsidP="00934751">
      <w:pPr>
        <w:spacing w:after="0" w:line="240" w:lineRule="auto"/>
        <w:rPr>
          <w:rFonts w:ascii="Arial" w:hAnsi="Arial" w:cs="Arial"/>
          <w:sz w:val="24"/>
          <w:szCs w:val="24"/>
        </w:rPr>
      </w:pPr>
      <w:r w:rsidRPr="00F75C7C">
        <w:rPr>
          <w:rFonts w:ascii="Arial" w:hAnsi="Arial" w:cs="Arial"/>
          <w:sz w:val="24"/>
          <w:szCs w:val="24"/>
        </w:rPr>
        <w:t xml:space="preserve">The transporters carry the Diamond branding with the Diamond company logo and </w:t>
      </w:r>
      <w:r w:rsidR="00F210B2" w:rsidRPr="00F75C7C">
        <w:rPr>
          <w:rFonts w:ascii="Arial" w:hAnsi="Arial" w:cs="Arial"/>
          <w:sz w:val="24"/>
          <w:szCs w:val="24"/>
        </w:rPr>
        <w:t>colours and</w:t>
      </w:r>
      <w:r w:rsidRPr="00F75C7C">
        <w:rPr>
          <w:rFonts w:ascii="Arial" w:hAnsi="Arial" w:cs="Arial"/>
          <w:sz w:val="24"/>
          <w:szCs w:val="24"/>
        </w:rPr>
        <w:t xml:space="preserve"> are fitted out to Diamond specifications. As such the transporters are used exclusively by Diamond.</w:t>
      </w:r>
    </w:p>
    <w:p w14:paraId="39551EA3" w14:textId="77777777" w:rsidR="00934751" w:rsidRPr="00F75C7C" w:rsidRDefault="00934751" w:rsidP="00934751">
      <w:pPr>
        <w:spacing w:after="0" w:line="240" w:lineRule="auto"/>
        <w:rPr>
          <w:rFonts w:ascii="Arial" w:hAnsi="Arial" w:cs="Arial"/>
          <w:sz w:val="24"/>
          <w:szCs w:val="24"/>
        </w:rPr>
      </w:pPr>
    </w:p>
    <w:p w14:paraId="11853107" w14:textId="7AECBF7B" w:rsidR="00934751" w:rsidRDefault="00934751" w:rsidP="00934751">
      <w:pPr>
        <w:spacing w:after="0" w:line="240" w:lineRule="auto"/>
        <w:rPr>
          <w:rFonts w:ascii="Arial" w:hAnsi="Arial" w:cs="Arial"/>
          <w:sz w:val="24"/>
          <w:szCs w:val="24"/>
        </w:rPr>
      </w:pPr>
      <w:r w:rsidRPr="00F75C7C">
        <w:rPr>
          <w:rFonts w:ascii="Arial" w:hAnsi="Arial" w:cs="Arial"/>
          <w:sz w:val="24"/>
          <w:szCs w:val="24"/>
        </w:rPr>
        <w:t xml:space="preserve">The terms of the contract allow for Garnet to substitute transporters during the term of the </w:t>
      </w:r>
      <w:r w:rsidR="00F210B2" w:rsidRPr="00F75C7C">
        <w:rPr>
          <w:rFonts w:ascii="Arial" w:hAnsi="Arial" w:cs="Arial"/>
          <w:sz w:val="24"/>
          <w:szCs w:val="24"/>
        </w:rPr>
        <w:t>contract and</w:t>
      </w:r>
      <w:r w:rsidRPr="00F75C7C">
        <w:rPr>
          <w:rFonts w:ascii="Arial" w:hAnsi="Arial" w:cs="Arial"/>
          <w:sz w:val="24"/>
          <w:szCs w:val="24"/>
        </w:rPr>
        <w:t xml:space="preserve"> provide that Garnet must replace any transporters which break down or require repair. There are significant costs involved for Garnet in branding and fitting out the transporters to Diamond specifications.</w:t>
      </w:r>
    </w:p>
    <w:p w14:paraId="3DB69CE7" w14:textId="77777777" w:rsidR="00934751" w:rsidRPr="00F75C7C" w:rsidRDefault="00934751" w:rsidP="00934751">
      <w:pPr>
        <w:spacing w:after="0" w:line="240" w:lineRule="auto"/>
        <w:rPr>
          <w:rFonts w:ascii="Arial" w:hAnsi="Arial" w:cs="Arial"/>
          <w:sz w:val="24"/>
          <w:szCs w:val="24"/>
        </w:rPr>
      </w:pPr>
    </w:p>
    <w:p w14:paraId="21AE2F13" w14:textId="77777777" w:rsidR="00934751" w:rsidRDefault="00934751" w:rsidP="00934751">
      <w:pPr>
        <w:spacing w:after="0" w:line="240" w:lineRule="auto"/>
        <w:rPr>
          <w:rFonts w:ascii="Arial" w:hAnsi="Arial" w:cs="Arial"/>
          <w:sz w:val="24"/>
          <w:szCs w:val="24"/>
        </w:rPr>
      </w:pPr>
      <w:r w:rsidRPr="00F75C7C">
        <w:rPr>
          <w:rFonts w:ascii="Arial" w:hAnsi="Arial" w:cs="Arial"/>
          <w:sz w:val="24"/>
          <w:szCs w:val="24"/>
        </w:rPr>
        <w:t>The contract contains some restrictions on the type of cargo which can be transported, specifically anything which may be classified as hazardous materials. Apart from those restrictions, Diamond determines the itinerary and routes and the cargo which is transported.</w:t>
      </w:r>
    </w:p>
    <w:p w14:paraId="3250A79F" w14:textId="77777777" w:rsidR="00934751" w:rsidRPr="00F75C7C" w:rsidRDefault="00934751" w:rsidP="00934751">
      <w:pPr>
        <w:spacing w:after="0" w:line="240" w:lineRule="auto"/>
        <w:rPr>
          <w:rFonts w:ascii="Arial" w:hAnsi="Arial" w:cs="Arial"/>
          <w:sz w:val="24"/>
          <w:szCs w:val="24"/>
        </w:rPr>
      </w:pPr>
    </w:p>
    <w:p w14:paraId="5B3B4FAF" w14:textId="77777777" w:rsidR="00934751" w:rsidRPr="00F75C7C" w:rsidRDefault="00934751" w:rsidP="00934751">
      <w:pPr>
        <w:spacing w:after="0" w:line="240" w:lineRule="auto"/>
        <w:rPr>
          <w:rFonts w:ascii="Arial" w:hAnsi="Arial" w:cs="Arial"/>
          <w:sz w:val="24"/>
          <w:szCs w:val="24"/>
        </w:rPr>
      </w:pPr>
      <w:r w:rsidRPr="00F75C7C">
        <w:rPr>
          <w:rFonts w:ascii="Arial" w:hAnsi="Arial" w:cs="Arial"/>
          <w:sz w:val="24"/>
          <w:szCs w:val="24"/>
        </w:rPr>
        <w:t>Diamond incurred legal and other costs in finalising the contract with Garnet. These together with the first annual payment have been charged to profit and loss.</w:t>
      </w:r>
    </w:p>
    <w:p w14:paraId="0D6CCD03" w14:textId="77777777" w:rsidR="00934751" w:rsidRPr="00F75C7C" w:rsidRDefault="00934751" w:rsidP="00934751">
      <w:pPr>
        <w:spacing w:after="0" w:line="240" w:lineRule="auto"/>
        <w:rPr>
          <w:rFonts w:ascii="Arial" w:hAnsi="Arial" w:cs="Arial"/>
          <w:sz w:val="24"/>
          <w:szCs w:val="24"/>
        </w:rPr>
      </w:pPr>
    </w:p>
    <w:p w14:paraId="3202FE7B" w14:textId="23192E6A" w:rsidR="00934751" w:rsidRPr="00934751" w:rsidRDefault="00934751" w:rsidP="00934751">
      <w:pPr>
        <w:spacing w:after="0" w:line="240" w:lineRule="auto"/>
        <w:rPr>
          <w:rFonts w:ascii="Arial" w:hAnsi="Arial" w:cs="Arial"/>
          <w:b/>
          <w:sz w:val="24"/>
          <w:szCs w:val="24"/>
          <w:u w:val="single"/>
        </w:rPr>
      </w:pPr>
      <w:r w:rsidRPr="00F75C7C">
        <w:rPr>
          <w:rFonts w:ascii="Arial" w:hAnsi="Arial" w:cs="Arial"/>
          <w:b/>
          <w:sz w:val="24"/>
          <w:szCs w:val="24"/>
          <w:u w:val="single"/>
        </w:rPr>
        <w:t>Required</w:t>
      </w:r>
      <w:r w:rsidRPr="00F75C7C">
        <w:rPr>
          <w:rFonts w:ascii="Arial" w:hAnsi="Arial" w:cs="Arial"/>
          <w:sz w:val="24"/>
          <w:szCs w:val="24"/>
        </w:rPr>
        <w:t>:</w:t>
      </w:r>
    </w:p>
    <w:p w14:paraId="37E97D84" w14:textId="77777777" w:rsidR="00934751" w:rsidRPr="00F75C7C" w:rsidRDefault="00934751" w:rsidP="00934751">
      <w:pPr>
        <w:spacing w:after="0" w:line="240" w:lineRule="auto"/>
        <w:rPr>
          <w:rFonts w:ascii="Arial" w:hAnsi="Arial" w:cs="Arial"/>
          <w:sz w:val="24"/>
          <w:szCs w:val="24"/>
        </w:rPr>
      </w:pPr>
    </w:p>
    <w:p w14:paraId="2414DAA0" w14:textId="77777777" w:rsidR="00934751" w:rsidRPr="00F75C7C" w:rsidRDefault="00934751" w:rsidP="00934751">
      <w:pPr>
        <w:widowControl w:val="0"/>
        <w:tabs>
          <w:tab w:val="left" w:pos="1581"/>
          <w:tab w:val="left" w:pos="9735"/>
        </w:tabs>
        <w:autoSpaceDE w:val="0"/>
        <w:autoSpaceDN w:val="0"/>
        <w:spacing w:after="0" w:line="240" w:lineRule="auto"/>
        <w:ind w:right="847"/>
        <w:rPr>
          <w:rFonts w:ascii="Arial" w:hAnsi="Arial" w:cs="Arial"/>
          <w:sz w:val="24"/>
          <w:szCs w:val="24"/>
        </w:rPr>
      </w:pPr>
    </w:p>
    <w:p w14:paraId="0D86142F" w14:textId="77777777" w:rsidR="00F210B2" w:rsidRDefault="00934751" w:rsidP="00934751">
      <w:pPr>
        <w:widowControl w:val="0"/>
        <w:tabs>
          <w:tab w:val="left" w:pos="1353"/>
        </w:tabs>
        <w:autoSpaceDE w:val="0"/>
        <w:autoSpaceDN w:val="0"/>
        <w:spacing w:after="0" w:line="240" w:lineRule="auto"/>
        <w:ind w:right="1638"/>
        <w:rPr>
          <w:rFonts w:ascii="Arial" w:hAnsi="Arial" w:cs="Arial"/>
          <w:sz w:val="24"/>
          <w:szCs w:val="24"/>
        </w:rPr>
      </w:pPr>
      <w:r w:rsidRPr="00934751">
        <w:rPr>
          <w:rFonts w:ascii="Arial" w:hAnsi="Arial" w:cs="Arial"/>
          <w:sz w:val="24"/>
          <w:szCs w:val="24"/>
        </w:rPr>
        <w:t>Advise the directors of Diamond whether their accounting treatment</w:t>
      </w:r>
    </w:p>
    <w:p w14:paraId="27B6692B" w14:textId="77777777" w:rsidR="00F210B2" w:rsidRDefault="00934751" w:rsidP="00934751">
      <w:pPr>
        <w:widowControl w:val="0"/>
        <w:tabs>
          <w:tab w:val="left" w:pos="1353"/>
        </w:tabs>
        <w:autoSpaceDE w:val="0"/>
        <w:autoSpaceDN w:val="0"/>
        <w:spacing w:after="0" w:line="240" w:lineRule="auto"/>
        <w:ind w:right="1638"/>
        <w:rPr>
          <w:rFonts w:ascii="Arial" w:hAnsi="Arial" w:cs="Arial"/>
          <w:sz w:val="24"/>
          <w:szCs w:val="24"/>
        </w:rPr>
      </w:pPr>
      <w:r w:rsidRPr="00934751">
        <w:rPr>
          <w:rFonts w:ascii="Arial" w:hAnsi="Arial" w:cs="Arial"/>
          <w:sz w:val="24"/>
          <w:szCs w:val="24"/>
        </w:rPr>
        <w:t>of the contractual arrangement with Garnet in the year ended 31</w:t>
      </w:r>
      <w:r w:rsidRPr="00934751">
        <w:rPr>
          <w:rFonts w:ascii="Arial" w:hAnsi="Arial" w:cs="Arial"/>
          <w:sz w:val="24"/>
          <w:szCs w:val="24"/>
          <w:vertAlign w:val="superscript"/>
        </w:rPr>
        <w:t>st</w:t>
      </w:r>
    </w:p>
    <w:p w14:paraId="2B343DDD" w14:textId="5038A247" w:rsidR="00F210B2" w:rsidRDefault="00934751" w:rsidP="00934751">
      <w:pPr>
        <w:widowControl w:val="0"/>
        <w:tabs>
          <w:tab w:val="left" w:pos="1353"/>
        </w:tabs>
        <w:autoSpaceDE w:val="0"/>
        <w:autoSpaceDN w:val="0"/>
        <w:spacing w:after="0" w:line="240" w:lineRule="auto"/>
        <w:ind w:right="1638"/>
        <w:rPr>
          <w:rFonts w:ascii="Arial" w:hAnsi="Arial" w:cs="Arial"/>
          <w:sz w:val="24"/>
          <w:szCs w:val="24"/>
        </w:rPr>
      </w:pPr>
      <w:r w:rsidRPr="00934751">
        <w:rPr>
          <w:rFonts w:ascii="Arial" w:hAnsi="Arial" w:cs="Arial"/>
          <w:sz w:val="24"/>
          <w:szCs w:val="24"/>
        </w:rPr>
        <w:t>December 2020 is in accordance with International Financial</w:t>
      </w:r>
    </w:p>
    <w:p w14:paraId="69C50658" w14:textId="77777777" w:rsidR="00F210B2" w:rsidRDefault="00934751" w:rsidP="00934751">
      <w:pPr>
        <w:widowControl w:val="0"/>
        <w:tabs>
          <w:tab w:val="left" w:pos="1353"/>
        </w:tabs>
        <w:autoSpaceDE w:val="0"/>
        <w:autoSpaceDN w:val="0"/>
        <w:spacing w:after="0" w:line="240" w:lineRule="auto"/>
        <w:ind w:right="1638"/>
        <w:rPr>
          <w:rFonts w:ascii="Arial" w:hAnsi="Arial" w:cs="Arial"/>
          <w:sz w:val="24"/>
          <w:szCs w:val="24"/>
        </w:rPr>
      </w:pPr>
      <w:r w:rsidRPr="00934751">
        <w:rPr>
          <w:rFonts w:ascii="Arial" w:hAnsi="Arial" w:cs="Arial"/>
          <w:sz w:val="24"/>
          <w:szCs w:val="24"/>
        </w:rPr>
        <w:t>Reporting Standards and explain the relevant factors behind your</w:t>
      </w:r>
    </w:p>
    <w:p w14:paraId="4F14018B" w14:textId="4A34E1BE" w:rsidR="00934751" w:rsidRPr="00934751" w:rsidRDefault="00934751" w:rsidP="00934751">
      <w:pPr>
        <w:widowControl w:val="0"/>
        <w:tabs>
          <w:tab w:val="left" w:pos="1353"/>
        </w:tabs>
        <w:autoSpaceDE w:val="0"/>
        <w:autoSpaceDN w:val="0"/>
        <w:spacing w:after="0" w:line="240" w:lineRule="auto"/>
        <w:ind w:right="1638"/>
        <w:rPr>
          <w:rFonts w:ascii="Arial" w:hAnsi="Arial" w:cs="Arial"/>
          <w:sz w:val="24"/>
          <w:szCs w:val="24"/>
        </w:rPr>
      </w:pPr>
      <w:r w:rsidRPr="00934751">
        <w:rPr>
          <w:rFonts w:ascii="Arial" w:hAnsi="Arial" w:cs="Arial"/>
          <w:sz w:val="24"/>
          <w:szCs w:val="24"/>
        </w:rPr>
        <w:t>advice.</w:t>
      </w:r>
    </w:p>
    <w:p w14:paraId="25D97944"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13A77"/>
    <w:multiLevelType w:val="hybridMultilevel"/>
    <w:tmpl w:val="8B84D28A"/>
    <w:lvl w:ilvl="0" w:tplc="A8402428">
      <w:start w:val="1"/>
      <w:numFmt w:val="lowerLetter"/>
      <w:lvlText w:val="%1)"/>
      <w:lvlJc w:val="left"/>
      <w:pPr>
        <w:ind w:left="720" w:hanging="360"/>
      </w:pPr>
      <w:rPr>
        <w:rFonts w:ascii="Arial" w:hAnsi="Arial" w:cs="Arial"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807794"/>
    <w:multiLevelType w:val="hybridMultilevel"/>
    <w:tmpl w:val="24BCBDBE"/>
    <w:lvl w:ilvl="0" w:tplc="9EF0D7AA">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751"/>
    <w:rsid w:val="00934751"/>
    <w:rsid w:val="009A6A88"/>
    <w:rsid w:val="00F21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8185F"/>
  <w15:chartTrackingRefBased/>
  <w15:docId w15:val="{09FF6C9B-EDD4-4834-BAC0-D438F3DB6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751"/>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9347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220</Words>
  <Characters>1256</Characters>
  <Application>Microsoft Office Word</Application>
  <DocSecurity>0</DocSecurity>
  <Lines>10</Lines>
  <Paragraphs>2</Paragraphs>
  <ScaleCrop>false</ScaleCrop>
  <Company/>
  <LinksUpToDate>false</LinksUpToDate>
  <CharactersWithSpaces>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2021-03-10T12:10:00Z</dcterms:created>
  <dcterms:modified xsi:type="dcterms:W3CDTF">2021-03-22T16:32:00Z</dcterms:modified>
</cp:coreProperties>
</file>