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88192274"/>
        <w:docPartObj>
          <w:docPartGallery w:val="Cover Pages"/>
          <w:docPartUnique/>
        </w:docPartObj>
      </w:sdtPr>
      <w:sdtEndPr/>
      <w:sdtContent>
        <w:p w14:paraId="7B4EC72A" w14:textId="0153519D" w:rsidR="00750DEE" w:rsidRDefault="00750DEE">
          <w:r>
            <w:rPr>
              <w:noProof/>
            </w:rPr>
            <mc:AlternateContent>
              <mc:Choice Requires="wpg">
                <w:drawing>
                  <wp:anchor distT="0" distB="0" distL="114300" distR="114300" simplePos="0" relativeHeight="251659264" behindDoc="1" locked="0" layoutInCell="1" allowOverlap="1" wp14:anchorId="183B90D8" wp14:editId="2C302535">
                    <wp:simplePos x="0" y="0"/>
                    <wp:positionH relativeFrom="page">
                      <wp:posOffset>438150</wp:posOffset>
                    </wp:positionH>
                    <wp:positionV relativeFrom="page">
                      <wp:posOffset>485775</wp:posOffset>
                    </wp:positionV>
                    <wp:extent cx="6886575" cy="9123528"/>
                    <wp:effectExtent l="0" t="0" r="9525" b="0"/>
                    <wp:wrapNone/>
                    <wp:docPr id="193" name="Group 193"/>
                    <wp:cNvGraphicFramePr/>
                    <a:graphic xmlns:a="http://schemas.openxmlformats.org/drawingml/2006/main">
                      <a:graphicData uri="http://schemas.microsoft.com/office/word/2010/wordprocessingGroup">
                        <wpg:wgp>
                          <wpg:cNvGrpSpPr/>
                          <wpg:grpSpPr>
                            <a:xfrm>
                              <a:off x="0" y="0"/>
                              <a:ext cx="6886575" cy="9123528"/>
                              <a:chOff x="-9526" y="0"/>
                              <a:chExt cx="6886575"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26F1F0C7" w14:textId="1B0B527B" w:rsidR="00750DEE" w:rsidRDefault="00750DEE">
                                      <w:pPr>
                                        <w:pStyle w:val="NoSpacing"/>
                                        <w:spacing w:before="120"/>
                                        <w:jc w:val="center"/>
                                        <w:rPr>
                                          <w:color w:val="FFFFFF" w:themeColor="background1"/>
                                        </w:rPr>
                                      </w:pPr>
                                      <w:r>
                                        <w:rPr>
                                          <w:color w:val="FFFFFF" w:themeColor="background1"/>
                                        </w:rPr>
                                        <w:t>Ciaran Terence Thomas (1801604)</w:t>
                                      </w:r>
                                    </w:p>
                                  </w:sdtContent>
                                </w:sdt>
                                <w:p w14:paraId="2AAEBD6A" w14:textId="14BED922" w:rsidR="00750DEE" w:rsidRDefault="00F3139B">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750DEE">
                                        <w:rPr>
                                          <w:caps/>
                                          <w:color w:val="FFFFFF" w:themeColor="background1"/>
                                        </w:rPr>
                                        <w:t>[university of wales trinity st. david]</w:t>
                                      </w:r>
                                    </w:sdtContent>
                                  </w:sdt>
                                  <w:r w:rsidR="00750DEE">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750DEE">
                                        <w:rPr>
                                          <w:color w:val="FFFFFF" w:themeColor="background1"/>
                                        </w:rPr>
                                        <w:t>[SA1 1NE]</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9526" y="1457520"/>
                                <a:ext cx="6886575" cy="389553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3CE666" w14:textId="22976DBF" w:rsidR="00750DEE" w:rsidRDefault="00F3139B">
                                  <w:pPr>
                                    <w:pStyle w:val="NoSpacing"/>
                                    <w:jc w:val="center"/>
                                    <w:rPr>
                                      <w:rFonts w:asciiTheme="majorHAnsi" w:eastAsiaTheme="majorEastAsia" w:hAnsiTheme="majorHAnsi" w:cstheme="majorBidi"/>
                                      <w:caps/>
                                      <w:color w:val="4472C4" w:themeColor="accent1"/>
                                      <w:sz w:val="72"/>
                                      <w:szCs w:val="72"/>
                                    </w:rPr>
                                  </w:pPr>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r w:rsidR="00750DEE">
                                        <w:rPr>
                                          <w:rFonts w:asciiTheme="majorHAnsi" w:eastAsiaTheme="majorEastAsia" w:hAnsiTheme="majorHAnsi" w:cstheme="majorBidi"/>
                                          <w:caps/>
                                          <w:color w:val="4472C4" w:themeColor="accent1"/>
                                          <w:sz w:val="72"/>
                                          <w:szCs w:val="72"/>
                                        </w:rPr>
                                        <w:t>An analysis and critical evaluation of the strategies, tactics and attack methods adopted by the irish republican army (IRA)</w:t>
                                      </w:r>
                                    </w:sdtContent>
                                  </w:sdt>
                                  <w:r w:rsidR="00750DEE">
                                    <w:rPr>
                                      <w:rFonts w:asciiTheme="majorHAnsi" w:eastAsiaTheme="majorEastAsia" w:hAnsiTheme="majorHAnsi" w:cstheme="majorBidi"/>
                                      <w:caps/>
                                      <w:color w:val="4472C4" w:themeColor="accent1"/>
                                      <w:sz w:val="72"/>
                                      <w:szCs w:val="72"/>
                                    </w:rPr>
                                    <w:t>. by ciaran thomas, 2021</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90900</wp14:pctHeight>
                    </wp14:sizeRelV>
                  </wp:anchor>
                </w:drawing>
              </mc:Choice>
              <mc:Fallback>
                <w:pict>
                  <v:group w14:anchorId="183B90D8" id="Group 193" o:spid="_x0000_s1026" style="position:absolute;margin-left:34.5pt;margin-top:38.25pt;width:542.25pt;height:718.4pt;z-index:-251657216;mso-height-percent:909;mso-position-horizontal-relative:page;mso-position-vertical-relative:page;mso-height-percent:909" coordorigin="-95" coordsize="68865,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26F1F0C7" w14:textId="1B0B527B" w:rsidR="00750DEE" w:rsidRDefault="00750DEE">
                                <w:pPr>
                                  <w:pStyle w:val="NoSpacing"/>
                                  <w:spacing w:before="120"/>
                                  <w:jc w:val="center"/>
                                  <w:rPr>
                                    <w:color w:val="FFFFFF" w:themeColor="background1"/>
                                  </w:rPr>
                                </w:pPr>
                                <w:r>
                                  <w:rPr>
                                    <w:color w:val="FFFFFF" w:themeColor="background1"/>
                                  </w:rPr>
                                  <w:t>Ciaran Terence Thomas (1801604)</w:t>
                                </w:r>
                              </w:p>
                            </w:sdtContent>
                          </w:sdt>
                          <w:p w14:paraId="2AAEBD6A" w14:textId="14BED922" w:rsidR="00750DEE" w:rsidRDefault="00F3139B">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750DEE">
                                  <w:rPr>
                                    <w:caps/>
                                    <w:color w:val="FFFFFF" w:themeColor="background1"/>
                                  </w:rPr>
                                  <w:t>[university of wales trinity st. david]</w:t>
                                </w:r>
                              </w:sdtContent>
                            </w:sdt>
                            <w:r w:rsidR="00750DEE">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750DEE">
                                  <w:rPr>
                                    <w:color w:val="FFFFFF" w:themeColor="background1"/>
                                  </w:rPr>
                                  <w:t>[SA1 1NE]</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95;top:14575;width:68865;height:389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3C3CE666" w14:textId="22976DBF" w:rsidR="00750DEE" w:rsidRDefault="00F3139B">
                            <w:pPr>
                              <w:pStyle w:val="NoSpacing"/>
                              <w:jc w:val="center"/>
                              <w:rPr>
                                <w:rFonts w:asciiTheme="majorHAnsi" w:eastAsiaTheme="majorEastAsia" w:hAnsiTheme="majorHAnsi" w:cstheme="majorBidi"/>
                                <w:caps/>
                                <w:color w:val="4472C4" w:themeColor="accent1"/>
                                <w:sz w:val="72"/>
                                <w:szCs w:val="72"/>
                              </w:rPr>
                            </w:pPr>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r w:rsidR="00750DEE">
                                  <w:rPr>
                                    <w:rFonts w:asciiTheme="majorHAnsi" w:eastAsiaTheme="majorEastAsia" w:hAnsiTheme="majorHAnsi" w:cstheme="majorBidi"/>
                                    <w:caps/>
                                    <w:color w:val="4472C4" w:themeColor="accent1"/>
                                    <w:sz w:val="72"/>
                                    <w:szCs w:val="72"/>
                                  </w:rPr>
                                  <w:t>An analysis and critical evaluation of the strategies, tactics and attack methods adopted by the irish republican army (IRA)</w:t>
                                </w:r>
                              </w:sdtContent>
                            </w:sdt>
                            <w:r w:rsidR="00750DEE">
                              <w:rPr>
                                <w:rFonts w:asciiTheme="majorHAnsi" w:eastAsiaTheme="majorEastAsia" w:hAnsiTheme="majorHAnsi" w:cstheme="majorBidi"/>
                                <w:caps/>
                                <w:color w:val="4472C4" w:themeColor="accent1"/>
                                <w:sz w:val="72"/>
                                <w:szCs w:val="72"/>
                              </w:rPr>
                              <w:t>. by ciaran thomas, 2021</w:t>
                            </w:r>
                          </w:p>
                        </w:txbxContent>
                      </v:textbox>
                    </v:shape>
                    <w10:wrap anchorx="page" anchory="page"/>
                  </v:group>
                </w:pict>
              </mc:Fallback>
            </mc:AlternateContent>
          </w:r>
        </w:p>
        <w:p w14:paraId="48E6DFCD" w14:textId="1C1BC7BA" w:rsidR="00750DEE" w:rsidRDefault="00750DEE">
          <w:r>
            <w:br w:type="page"/>
          </w:r>
        </w:p>
      </w:sdtContent>
    </w:sdt>
    <w:p w14:paraId="0443111C" w14:textId="2BD056B7" w:rsidR="00E405A8" w:rsidRDefault="00874ABE" w:rsidP="00750DEE">
      <w:pPr>
        <w:spacing w:line="480" w:lineRule="auto"/>
        <w:rPr>
          <w:sz w:val="24"/>
          <w:szCs w:val="24"/>
        </w:rPr>
      </w:pPr>
      <w:r>
        <w:rPr>
          <w:sz w:val="24"/>
          <w:szCs w:val="24"/>
        </w:rPr>
        <w:lastRenderedPageBreak/>
        <w:t xml:space="preserve">The Crown Prosecution Service (2017) defines terrorism in the United Kingdom as </w:t>
      </w:r>
      <w:r w:rsidR="00E04650">
        <w:rPr>
          <w:sz w:val="24"/>
          <w:szCs w:val="24"/>
        </w:rPr>
        <w:t>the use of the threat of action in both inside and outside of the UK with the aim to influence or control any specific government</w:t>
      </w:r>
      <w:r w:rsidR="00FC5AFD">
        <w:rPr>
          <w:sz w:val="24"/>
          <w:szCs w:val="24"/>
        </w:rPr>
        <w:t xml:space="preserve"> body</w:t>
      </w:r>
      <w:r w:rsidR="00E04650">
        <w:rPr>
          <w:sz w:val="24"/>
          <w:szCs w:val="24"/>
        </w:rPr>
        <w:t>, both domestically and internationally,</w:t>
      </w:r>
      <w:r w:rsidR="00FC5AFD">
        <w:rPr>
          <w:sz w:val="24"/>
          <w:szCs w:val="24"/>
        </w:rPr>
        <w:t xml:space="preserve"> or to harm or threaten the general public</w:t>
      </w:r>
      <w:r w:rsidR="005A00E7">
        <w:rPr>
          <w:sz w:val="24"/>
          <w:szCs w:val="24"/>
        </w:rPr>
        <w:t xml:space="preserve">. Furthermore, the act can only be classed as terrorism if the sole cause was due to either a religious, political, or racial ideology. </w:t>
      </w:r>
      <w:r w:rsidR="00153E41">
        <w:rPr>
          <w:sz w:val="24"/>
          <w:szCs w:val="24"/>
        </w:rPr>
        <w:t>One example of an act of terrorism could be causing a serious risk to the health and safety of the population in a targeted country.</w:t>
      </w:r>
      <w:r w:rsidR="00FC5AFD">
        <w:rPr>
          <w:sz w:val="24"/>
          <w:szCs w:val="24"/>
        </w:rPr>
        <w:t xml:space="preserve"> </w:t>
      </w:r>
      <w:r w:rsidR="00E04650">
        <w:rPr>
          <w:sz w:val="24"/>
          <w:szCs w:val="24"/>
        </w:rPr>
        <w:t xml:space="preserve">  </w:t>
      </w:r>
    </w:p>
    <w:p w14:paraId="7DD6B138" w14:textId="1A31D19C" w:rsidR="004B4842" w:rsidRDefault="00C75046" w:rsidP="00750DEE">
      <w:pPr>
        <w:spacing w:line="480" w:lineRule="auto"/>
        <w:rPr>
          <w:sz w:val="24"/>
          <w:szCs w:val="24"/>
        </w:rPr>
      </w:pPr>
      <w:r>
        <w:rPr>
          <w:sz w:val="24"/>
          <w:szCs w:val="24"/>
        </w:rPr>
        <w:t>Gregory (2010) states that the Irish Republican Army (abbreviated to IRA for short) is a terrorist group which fights for Irish independence from over 800 years of British rule</w:t>
      </w:r>
      <w:r w:rsidR="00AC647E">
        <w:rPr>
          <w:sz w:val="24"/>
          <w:szCs w:val="24"/>
        </w:rPr>
        <w:t xml:space="preserve">, which </w:t>
      </w:r>
      <w:r w:rsidR="00AC647E" w:rsidRPr="00AC647E">
        <w:rPr>
          <w:sz w:val="24"/>
          <w:szCs w:val="24"/>
        </w:rPr>
        <w:t xml:space="preserve">Dingley (2012) </w:t>
      </w:r>
      <w:r w:rsidR="00AC647E">
        <w:rPr>
          <w:sz w:val="24"/>
          <w:szCs w:val="24"/>
        </w:rPr>
        <w:t>states that during that very long period the citizens of Ireland had struggled under this rule.</w:t>
      </w:r>
      <w:r w:rsidR="001460F0">
        <w:rPr>
          <w:sz w:val="24"/>
          <w:szCs w:val="24"/>
        </w:rPr>
        <w:t xml:space="preserve"> Gregory (2010) then says</w:t>
      </w:r>
      <w:r w:rsidR="00AC647E">
        <w:rPr>
          <w:sz w:val="24"/>
          <w:szCs w:val="24"/>
        </w:rPr>
        <w:t xml:space="preserve"> </w:t>
      </w:r>
      <w:r w:rsidR="001460F0">
        <w:rPr>
          <w:sz w:val="24"/>
          <w:szCs w:val="24"/>
        </w:rPr>
        <w:t>b</w:t>
      </w:r>
      <w:r>
        <w:rPr>
          <w:sz w:val="24"/>
          <w:szCs w:val="24"/>
        </w:rPr>
        <w:t>etween the early 20</w:t>
      </w:r>
      <w:r w:rsidRPr="00C75046">
        <w:rPr>
          <w:sz w:val="24"/>
          <w:szCs w:val="24"/>
          <w:vertAlign w:val="superscript"/>
        </w:rPr>
        <w:t>th</w:t>
      </w:r>
      <w:r>
        <w:rPr>
          <w:sz w:val="24"/>
          <w:szCs w:val="24"/>
        </w:rPr>
        <w:t xml:space="preserve"> century years 1916 and 1921, there was warfare throughout Ireland, which had resulted in the introduction of the Irish free state that has since been independent from British rule. However, an agreement had been formed which stated </w:t>
      </w:r>
      <w:r w:rsidR="00627586">
        <w:rPr>
          <w:sz w:val="24"/>
          <w:szCs w:val="24"/>
        </w:rPr>
        <w:t xml:space="preserve">that </w:t>
      </w:r>
      <w:r w:rsidR="00743431">
        <w:rPr>
          <w:sz w:val="24"/>
          <w:szCs w:val="24"/>
        </w:rPr>
        <w:t>for</w:t>
      </w:r>
      <w:r w:rsidR="00627586">
        <w:rPr>
          <w:sz w:val="24"/>
          <w:szCs w:val="24"/>
        </w:rPr>
        <w:t xml:space="preserve"> Ireland to receive its independence, the Irish Republican Army had to allow six of the Northern Irish counties to resume its governance under British rule.</w:t>
      </w:r>
      <w:r w:rsidR="00743431">
        <w:rPr>
          <w:sz w:val="24"/>
          <w:szCs w:val="24"/>
        </w:rPr>
        <w:t xml:space="preserve"> The current incarnation of the Irish Republican Army, according to Drake (2007),</w:t>
      </w:r>
      <w:r w:rsidR="00205FA8">
        <w:rPr>
          <w:sz w:val="24"/>
          <w:szCs w:val="24"/>
        </w:rPr>
        <w:t xml:space="preserve"> is known as the Provisional Irish Republican Army</w:t>
      </w:r>
      <w:r w:rsidR="00087204">
        <w:rPr>
          <w:sz w:val="24"/>
          <w:szCs w:val="24"/>
        </w:rPr>
        <w:t xml:space="preserve"> (or PIRA)</w:t>
      </w:r>
      <w:r w:rsidR="00205FA8">
        <w:rPr>
          <w:sz w:val="24"/>
          <w:szCs w:val="24"/>
        </w:rPr>
        <w:t xml:space="preserve">, which was formed in December of 1969, which he defines as a </w:t>
      </w:r>
      <w:r w:rsidR="003A07CB">
        <w:rPr>
          <w:sz w:val="24"/>
          <w:szCs w:val="24"/>
        </w:rPr>
        <w:t>nationalist and militant organisation with the primary aim of bringing the British rule of Northern Ireland to an end through any means necessary, including through the acts of violence</w:t>
      </w:r>
      <w:r w:rsidR="00087204">
        <w:rPr>
          <w:sz w:val="24"/>
          <w:szCs w:val="24"/>
        </w:rPr>
        <w:t>, and the PIRA has a substantial amount of support from Northern Irish Catholics but the organisation has received hostility from Northern Irish protestants.</w:t>
      </w:r>
      <w:r w:rsidR="00627586">
        <w:rPr>
          <w:sz w:val="24"/>
          <w:szCs w:val="24"/>
        </w:rPr>
        <w:t xml:space="preserve"> </w:t>
      </w:r>
      <w:r>
        <w:rPr>
          <w:sz w:val="24"/>
          <w:szCs w:val="24"/>
        </w:rPr>
        <w:t xml:space="preserve">  </w:t>
      </w:r>
    </w:p>
    <w:p w14:paraId="01957B8E" w14:textId="77777777" w:rsidR="005F4D2B" w:rsidRDefault="004B4842" w:rsidP="00750DEE">
      <w:pPr>
        <w:spacing w:line="480" w:lineRule="auto"/>
        <w:rPr>
          <w:sz w:val="24"/>
          <w:szCs w:val="24"/>
        </w:rPr>
      </w:pPr>
      <w:r>
        <w:rPr>
          <w:sz w:val="24"/>
          <w:szCs w:val="24"/>
        </w:rPr>
        <w:lastRenderedPageBreak/>
        <w:t xml:space="preserve">Smith (1995) </w:t>
      </w:r>
      <w:r w:rsidR="00A555A7">
        <w:rPr>
          <w:sz w:val="24"/>
          <w:szCs w:val="24"/>
        </w:rPr>
        <w:t xml:space="preserve">highlights that the Provisional Irish Republican Army’s initial target was to forcibly cause the collapse of </w:t>
      </w:r>
      <w:r w:rsidR="003E3238">
        <w:rPr>
          <w:sz w:val="24"/>
          <w:szCs w:val="24"/>
        </w:rPr>
        <w:t>the government in Northern Ireland, as well as to c</w:t>
      </w:r>
      <w:r w:rsidR="00D55F49">
        <w:rPr>
          <w:sz w:val="24"/>
          <w:szCs w:val="24"/>
        </w:rPr>
        <w:t>ause</w:t>
      </w:r>
      <w:r w:rsidR="003E3238">
        <w:rPr>
          <w:sz w:val="24"/>
          <w:szCs w:val="24"/>
        </w:rPr>
        <w:t xml:space="preserve"> a high number of fatalities </w:t>
      </w:r>
      <w:r w:rsidR="00D55F49">
        <w:rPr>
          <w:sz w:val="24"/>
          <w:szCs w:val="24"/>
        </w:rPr>
        <w:t>against members of the British Army with</w:t>
      </w:r>
      <w:r w:rsidR="003E3238">
        <w:rPr>
          <w:sz w:val="24"/>
          <w:szCs w:val="24"/>
        </w:rPr>
        <w:t xml:space="preserve"> </w:t>
      </w:r>
      <w:r w:rsidR="00D55F49">
        <w:rPr>
          <w:sz w:val="24"/>
          <w:szCs w:val="24"/>
        </w:rPr>
        <w:t xml:space="preserve">the intended outcome of the British government to withdraw from Ireland and give Northern Ireland back to the Irish. </w:t>
      </w:r>
      <w:r w:rsidR="007F355E">
        <w:rPr>
          <w:sz w:val="24"/>
          <w:szCs w:val="24"/>
        </w:rPr>
        <w:t>Some people might argue that the Provisional Irish Republican Army’s use of brute force of violence goes against what the old IRA stood for, because</w:t>
      </w:r>
      <w:r w:rsidR="005F4D2B">
        <w:rPr>
          <w:sz w:val="24"/>
          <w:szCs w:val="24"/>
        </w:rPr>
        <w:t xml:space="preserve"> some might suggest that the old IRA did not set out to target and maim innocent people, which the PIRA does. </w:t>
      </w:r>
    </w:p>
    <w:p w14:paraId="261129D4" w14:textId="79B5D5F7" w:rsidR="00390D74" w:rsidRDefault="00FA439C" w:rsidP="00750DEE">
      <w:pPr>
        <w:spacing w:line="480" w:lineRule="auto"/>
        <w:rPr>
          <w:sz w:val="24"/>
          <w:szCs w:val="24"/>
        </w:rPr>
      </w:pPr>
      <w:r>
        <w:rPr>
          <w:sz w:val="24"/>
          <w:szCs w:val="24"/>
        </w:rPr>
        <w:t xml:space="preserve">A possible key historical event which links to the PIRA is The Troubles. The Imperial War Museums </w:t>
      </w:r>
      <w:r w:rsidR="000F1584">
        <w:rPr>
          <w:sz w:val="24"/>
          <w:szCs w:val="24"/>
        </w:rPr>
        <w:t>(2021) states that the Troubles is used to describe the conflicts that had occurred in Northern Ireland throughout the 1960s up until 1998. Some key events that happened during the troubles include the arrival of the British Army to restore order over the two days rioting, Bloody Sunday in 1972, acts of terrorism such as the PIRA bombing in Belfast as a response to Bloody Sunday and various bombing in England in the 70s and 80s set up by the PIRA, and the conclusion to the troubles ended with the introduction of the Good Friday Agreement in 1998.</w:t>
      </w:r>
      <w:r w:rsidR="00EF0D3A">
        <w:rPr>
          <w:sz w:val="24"/>
          <w:szCs w:val="24"/>
        </w:rPr>
        <w:t xml:space="preserve"> </w:t>
      </w:r>
      <w:r w:rsidR="00DD6250">
        <w:rPr>
          <w:sz w:val="24"/>
          <w:szCs w:val="24"/>
        </w:rPr>
        <w:t>The Northern Ireland Assembly (2017) explains that the Good Friday Agreement of 1998</w:t>
      </w:r>
      <w:r w:rsidR="00EF0D3A">
        <w:rPr>
          <w:sz w:val="24"/>
          <w:szCs w:val="24"/>
        </w:rPr>
        <w:t xml:space="preserve"> occurred on the 10</w:t>
      </w:r>
      <w:r w:rsidR="00EF0D3A" w:rsidRPr="00EF0D3A">
        <w:rPr>
          <w:sz w:val="24"/>
          <w:szCs w:val="24"/>
          <w:vertAlign w:val="superscript"/>
        </w:rPr>
        <w:t>th</w:t>
      </w:r>
      <w:r w:rsidR="00EF0D3A">
        <w:rPr>
          <w:sz w:val="24"/>
          <w:szCs w:val="24"/>
        </w:rPr>
        <w:t xml:space="preserve"> April 1998, which was the day of good Friday that year, is a settlement between both the British and Northern Irish governments, as well as the government of the Republic of Ireland, on the way how </w:t>
      </w:r>
      <w:r w:rsidR="001768A3">
        <w:rPr>
          <w:sz w:val="24"/>
          <w:szCs w:val="24"/>
        </w:rPr>
        <w:t xml:space="preserve">the </w:t>
      </w:r>
      <w:r w:rsidR="00EF0D3A">
        <w:rPr>
          <w:sz w:val="24"/>
          <w:szCs w:val="24"/>
        </w:rPr>
        <w:t>government influences Northern Ireland</w:t>
      </w:r>
      <w:r w:rsidR="001768A3">
        <w:rPr>
          <w:sz w:val="24"/>
          <w:szCs w:val="24"/>
        </w:rPr>
        <w:t>, which means that the country cannot become independent without the consent of the majority of Irish citizens.</w:t>
      </w:r>
    </w:p>
    <w:p w14:paraId="4FDE4D7B" w14:textId="10A5686E" w:rsidR="00692464" w:rsidRDefault="00692464" w:rsidP="00750DEE">
      <w:pPr>
        <w:spacing w:line="480" w:lineRule="auto"/>
        <w:rPr>
          <w:sz w:val="24"/>
          <w:szCs w:val="24"/>
        </w:rPr>
      </w:pPr>
      <w:r>
        <w:rPr>
          <w:sz w:val="24"/>
          <w:szCs w:val="24"/>
        </w:rPr>
        <w:t xml:space="preserve">According to </w:t>
      </w:r>
      <w:proofErr w:type="spellStart"/>
      <w:r>
        <w:rPr>
          <w:sz w:val="24"/>
          <w:szCs w:val="24"/>
        </w:rPr>
        <w:t>Kydd</w:t>
      </w:r>
      <w:proofErr w:type="spellEnd"/>
      <w:r>
        <w:rPr>
          <w:sz w:val="24"/>
          <w:szCs w:val="24"/>
        </w:rPr>
        <w:t xml:space="preserve"> &amp; Walter (2006), the primary strategies of terrorist organisations include forcibly changing the minds of either the government or the general public through the means of weakening the strength and power of a government, threats of intimidation, </w:t>
      </w:r>
      <w:r>
        <w:rPr>
          <w:sz w:val="24"/>
          <w:szCs w:val="24"/>
        </w:rPr>
        <w:lastRenderedPageBreak/>
        <w:t>causing a provocation, attempts to ruin, and outbidding. In addition, the main target of focus would be their enemy (such as a government who controls or influences their country), as</w:t>
      </w:r>
      <w:r w:rsidR="00EB6AEC">
        <w:rPr>
          <w:sz w:val="24"/>
          <w:szCs w:val="24"/>
        </w:rPr>
        <w:t xml:space="preserve"> well as the population in which the terrorist organisation plans to control or influence</w:t>
      </w:r>
      <w:r w:rsidR="00D440EE">
        <w:rPr>
          <w:sz w:val="24"/>
          <w:szCs w:val="24"/>
        </w:rPr>
        <w:t>.</w:t>
      </w:r>
      <w:r>
        <w:rPr>
          <w:sz w:val="24"/>
          <w:szCs w:val="24"/>
        </w:rPr>
        <w:t xml:space="preserve"> </w:t>
      </w:r>
    </w:p>
    <w:p w14:paraId="32F5BA3D" w14:textId="231FB8ED" w:rsidR="002B4974" w:rsidRDefault="000E37A1" w:rsidP="00750DEE">
      <w:pPr>
        <w:spacing w:line="480" w:lineRule="auto"/>
        <w:rPr>
          <w:sz w:val="24"/>
          <w:szCs w:val="24"/>
        </w:rPr>
      </w:pPr>
      <w:r>
        <w:rPr>
          <w:sz w:val="24"/>
          <w:szCs w:val="24"/>
        </w:rPr>
        <w:t>Regarding</w:t>
      </w:r>
      <w:r w:rsidR="00D440EE">
        <w:rPr>
          <w:sz w:val="24"/>
          <w:szCs w:val="24"/>
        </w:rPr>
        <w:t xml:space="preserve"> the Provisional Irish Republican Army,</w:t>
      </w:r>
      <w:r>
        <w:rPr>
          <w:sz w:val="24"/>
          <w:szCs w:val="24"/>
        </w:rPr>
        <w:t xml:space="preserve"> </w:t>
      </w:r>
      <w:r w:rsidR="00DC20AE">
        <w:rPr>
          <w:sz w:val="24"/>
          <w:szCs w:val="24"/>
        </w:rPr>
        <w:t>Jackson</w:t>
      </w:r>
      <w:r w:rsidR="00E263E0">
        <w:rPr>
          <w:sz w:val="24"/>
          <w:szCs w:val="24"/>
        </w:rPr>
        <w:t>, Baker, et al</w:t>
      </w:r>
      <w:r w:rsidR="00DC20AE">
        <w:rPr>
          <w:sz w:val="24"/>
          <w:szCs w:val="24"/>
        </w:rPr>
        <w:t xml:space="preserve"> (</w:t>
      </w:r>
      <w:r w:rsidR="00E263E0">
        <w:rPr>
          <w:sz w:val="24"/>
          <w:szCs w:val="24"/>
        </w:rPr>
        <w:t>2005</w:t>
      </w:r>
      <w:r w:rsidR="00DC20AE">
        <w:rPr>
          <w:sz w:val="24"/>
          <w:szCs w:val="24"/>
        </w:rPr>
        <w:t>) stated that the overarching strategy of the PIRA was to force the British government out of Northern Ireland</w:t>
      </w:r>
      <w:r w:rsidR="00FA005C">
        <w:rPr>
          <w:sz w:val="24"/>
          <w:szCs w:val="24"/>
        </w:rPr>
        <w:t xml:space="preserve"> and, once goal had been achieved, to then create a ‘Democratic Socialist Republic’ which would be influenced by the ‘Easter Proclamation 1916’. </w:t>
      </w:r>
      <w:r w:rsidR="00397FC1">
        <w:rPr>
          <w:sz w:val="24"/>
          <w:szCs w:val="24"/>
        </w:rPr>
        <w:t>Alongside pursing these targets, the PIRA also has the aim to form an alliance with the Northern Irish Catholic population, which would be their main source of community support.</w:t>
      </w:r>
    </w:p>
    <w:p w14:paraId="7B9851FF" w14:textId="77777777" w:rsidR="00260101" w:rsidRDefault="00217787" w:rsidP="00750DEE">
      <w:pPr>
        <w:spacing w:line="480" w:lineRule="auto"/>
        <w:rPr>
          <w:sz w:val="24"/>
          <w:szCs w:val="24"/>
        </w:rPr>
      </w:pPr>
      <w:r>
        <w:rPr>
          <w:sz w:val="24"/>
          <w:szCs w:val="24"/>
        </w:rPr>
        <w:t xml:space="preserve">Jones, </w:t>
      </w:r>
      <w:proofErr w:type="spellStart"/>
      <w:r>
        <w:rPr>
          <w:sz w:val="24"/>
          <w:szCs w:val="24"/>
        </w:rPr>
        <w:t>Doxsee</w:t>
      </w:r>
      <w:proofErr w:type="spellEnd"/>
      <w:r>
        <w:rPr>
          <w:sz w:val="24"/>
          <w:szCs w:val="24"/>
        </w:rPr>
        <w:t xml:space="preserve">, et al (2020) gives a definition of terrorism tactics as </w:t>
      </w:r>
      <w:r w:rsidR="008151E0">
        <w:rPr>
          <w:sz w:val="24"/>
          <w:szCs w:val="24"/>
        </w:rPr>
        <w:t>a method of utilising a weapon</w:t>
      </w:r>
      <w:r w:rsidR="008A212B">
        <w:rPr>
          <w:sz w:val="24"/>
          <w:szCs w:val="24"/>
        </w:rPr>
        <w:t xml:space="preserve"> in order to obtain a terrorist organisation’s target, which can include through the use of assassination</w:t>
      </w:r>
      <w:r w:rsidR="002B4974">
        <w:rPr>
          <w:sz w:val="24"/>
          <w:szCs w:val="24"/>
        </w:rPr>
        <w:t xml:space="preserve"> attempts</w:t>
      </w:r>
      <w:r w:rsidR="008A212B">
        <w:rPr>
          <w:sz w:val="24"/>
          <w:szCs w:val="24"/>
        </w:rPr>
        <w:t xml:space="preserve"> </w:t>
      </w:r>
      <w:r w:rsidR="002B4974">
        <w:rPr>
          <w:sz w:val="24"/>
          <w:szCs w:val="24"/>
        </w:rPr>
        <w:t>towards</w:t>
      </w:r>
      <w:r w:rsidR="008A212B">
        <w:rPr>
          <w:sz w:val="24"/>
          <w:szCs w:val="24"/>
        </w:rPr>
        <w:t xml:space="preserve"> an important person, </w:t>
      </w:r>
      <w:r w:rsidR="00C54B34">
        <w:rPr>
          <w:sz w:val="24"/>
          <w:szCs w:val="24"/>
        </w:rPr>
        <w:t xml:space="preserve">an armed assault, bombings of public places or a government body, </w:t>
      </w:r>
      <w:r w:rsidR="00E405A8">
        <w:rPr>
          <w:sz w:val="24"/>
          <w:szCs w:val="24"/>
        </w:rPr>
        <w:t xml:space="preserve">and hijackings. </w:t>
      </w:r>
      <w:r w:rsidR="002B4974">
        <w:rPr>
          <w:sz w:val="24"/>
          <w:szCs w:val="24"/>
        </w:rPr>
        <w:t xml:space="preserve">Rebello (2015) states that the primary focus of PIRA is to present clear messages towards any organisation or individual who opposes them and will not hesitate to destroy anyone who tries to get in their way. They will always </w:t>
      </w:r>
      <w:r w:rsidR="0075025A">
        <w:rPr>
          <w:sz w:val="24"/>
          <w:szCs w:val="24"/>
        </w:rPr>
        <w:t>choose</w:t>
      </w:r>
      <w:r w:rsidR="002B4974">
        <w:rPr>
          <w:sz w:val="24"/>
          <w:szCs w:val="24"/>
        </w:rPr>
        <w:t xml:space="preserve"> a target that they are sure will bring their message</w:t>
      </w:r>
      <w:r w:rsidR="0075025A">
        <w:rPr>
          <w:sz w:val="24"/>
          <w:szCs w:val="24"/>
        </w:rPr>
        <w:t xml:space="preserve"> or warning</w:t>
      </w:r>
      <w:r w:rsidR="002B4974">
        <w:rPr>
          <w:sz w:val="24"/>
          <w:szCs w:val="24"/>
        </w:rPr>
        <w:t xml:space="preserve"> across</w:t>
      </w:r>
      <w:r w:rsidR="0075025A">
        <w:rPr>
          <w:sz w:val="24"/>
          <w:szCs w:val="24"/>
        </w:rPr>
        <w:t xml:space="preserve">, such as setting off a bomb near a government building and </w:t>
      </w:r>
      <w:r w:rsidR="002950EE">
        <w:rPr>
          <w:sz w:val="24"/>
          <w:szCs w:val="24"/>
        </w:rPr>
        <w:t xml:space="preserve">attempting to assassinate a person who may try to obstruct the IRA’s goal of creating an independent Ireland.  </w:t>
      </w:r>
      <w:r w:rsidR="002B4974">
        <w:rPr>
          <w:sz w:val="24"/>
          <w:szCs w:val="24"/>
        </w:rPr>
        <w:t xml:space="preserve"> </w:t>
      </w:r>
    </w:p>
    <w:p w14:paraId="2F8A8690" w14:textId="2988972D" w:rsidR="00EB3E98" w:rsidRDefault="00260101" w:rsidP="00750DEE">
      <w:pPr>
        <w:spacing w:line="480" w:lineRule="auto"/>
        <w:rPr>
          <w:sz w:val="24"/>
          <w:szCs w:val="24"/>
        </w:rPr>
      </w:pPr>
      <w:r>
        <w:rPr>
          <w:sz w:val="24"/>
          <w:szCs w:val="24"/>
        </w:rPr>
        <w:t xml:space="preserve">A possible non-violent tactic to gain support or funding could be </w:t>
      </w:r>
      <w:r w:rsidR="00C269A9">
        <w:rPr>
          <w:sz w:val="24"/>
          <w:szCs w:val="24"/>
        </w:rPr>
        <w:t>using</w:t>
      </w:r>
      <w:r>
        <w:rPr>
          <w:sz w:val="24"/>
          <w:szCs w:val="24"/>
        </w:rPr>
        <w:t xml:space="preserve"> manipulation.</w:t>
      </w:r>
      <w:r w:rsidR="00C269A9">
        <w:rPr>
          <w:sz w:val="24"/>
          <w:szCs w:val="24"/>
        </w:rPr>
        <w:t xml:space="preserve"> </w:t>
      </w:r>
      <w:r w:rsidR="00F731B1">
        <w:rPr>
          <w:sz w:val="24"/>
          <w:szCs w:val="24"/>
        </w:rPr>
        <w:t xml:space="preserve">Gill &amp; Horgan (2013) claim that approximately </w:t>
      </w:r>
      <w:r w:rsidR="00B37CC8">
        <w:rPr>
          <w:sz w:val="24"/>
          <w:szCs w:val="24"/>
        </w:rPr>
        <w:t>17% of PIRA recruits between the years 1969 and 1976 were under 18 years of age, which means they are classed as minors, and were primarily aged between 12 and 16</w:t>
      </w:r>
      <w:r w:rsidR="00C05DE2">
        <w:rPr>
          <w:sz w:val="24"/>
          <w:szCs w:val="24"/>
        </w:rPr>
        <w:t>, and most of them were boys</w:t>
      </w:r>
      <w:r w:rsidR="00B37CC8">
        <w:rPr>
          <w:sz w:val="24"/>
          <w:szCs w:val="24"/>
        </w:rPr>
        <w:t xml:space="preserve">. </w:t>
      </w:r>
      <w:r w:rsidR="00C05DE2">
        <w:rPr>
          <w:sz w:val="24"/>
          <w:szCs w:val="24"/>
        </w:rPr>
        <w:t xml:space="preserve">One way how these boys </w:t>
      </w:r>
      <w:r w:rsidR="00C05DE2">
        <w:rPr>
          <w:sz w:val="24"/>
          <w:szCs w:val="24"/>
        </w:rPr>
        <w:lastRenderedPageBreak/>
        <w:t xml:space="preserve">were recruited was through scouting by adult PIRA members, while the potential young boys were out in public such as going to and from school, the boys would then be taken to a secret IRA military camp. A </w:t>
      </w:r>
      <w:r w:rsidR="00EB3E98">
        <w:rPr>
          <w:sz w:val="24"/>
          <w:szCs w:val="24"/>
        </w:rPr>
        <w:t>real-life</w:t>
      </w:r>
      <w:r w:rsidR="00C05DE2">
        <w:rPr>
          <w:sz w:val="24"/>
          <w:szCs w:val="24"/>
        </w:rPr>
        <w:t xml:space="preserve"> example of this </w:t>
      </w:r>
      <w:r w:rsidR="00EB3E98">
        <w:rPr>
          <w:sz w:val="24"/>
          <w:szCs w:val="24"/>
        </w:rPr>
        <w:t>occurring,</w:t>
      </w:r>
      <w:r w:rsidR="00C05DE2">
        <w:rPr>
          <w:sz w:val="24"/>
          <w:szCs w:val="24"/>
        </w:rPr>
        <w:t xml:space="preserve"> as reported by Wilson (2000), was in the year 1998, where two teenage</w:t>
      </w:r>
      <w:r w:rsidR="008E2685">
        <w:rPr>
          <w:sz w:val="24"/>
          <w:szCs w:val="24"/>
        </w:rPr>
        <w:t>d Irish</w:t>
      </w:r>
      <w:r w:rsidR="00C05DE2">
        <w:rPr>
          <w:sz w:val="24"/>
          <w:szCs w:val="24"/>
        </w:rPr>
        <w:t xml:space="preserve"> boys (</w:t>
      </w:r>
      <w:r w:rsidR="00D56916">
        <w:rPr>
          <w:sz w:val="24"/>
          <w:szCs w:val="24"/>
        </w:rPr>
        <w:t>one aged 14, one aged 16)</w:t>
      </w:r>
      <w:r w:rsidR="008E2685">
        <w:rPr>
          <w:sz w:val="24"/>
          <w:szCs w:val="24"/>
        </w:rPr>
        <w:t xml:space="preserve"> were picked up by PIRA scouts where they were driven in a van to a farm in a rural area in Drogheda, the location of a secret underground IRA paramilitary training camp. </w:t>
      </w:r>
      <w:r w:rsidR="00EB3E98">
        <w:rPr>
          <w:sz w:val="24"/>
          <w:szCs w:val="24"/>
        </w:rPr>
        <w:t>Also noted was the fact that these two teenage boys had no criminal records, which are nicknamed ‘clean skins’, which appeared to be a common trend with young PIRA recruits.</w:t>
      </w:r>
      <w:r w:rsidR="007D3AC1">
        <w:rPr>
          <w:sz w:val="24"/>
          <w:szCs w:val="24"/>
        </w:rPr>
        <w:t xml:space="preserve"> Some people might argue that the young teenaged</w:t>
      </w:r>
      <w:r w:rsidR="00A55876">
        <w:rPr>
          <w:sz w:val="24"/>
          <w:szCs w:val="24"/>
        </w:rPr>
        <w:t xml:space="preserve"> IRA</w:t>
      </w:r>
      <w:r w:rsidR="007D3AC1">
        <w:rPr>
          <w:sz w:val="24"/>
          <w:szCs w:val="24"/>
        </w:rPr>
        <w:t xml:space="preserve"> recruits might have been</w:t>
      </w:r>
      <w:r w:rsidR="00A55876">
        <w:rPr>
          <w:sz w:val="24"/>
          <w:szCs w:val="24"/>
        </w:rPr>
        <w:t xml:space="preserve"> naïve and had been</w:t>
      </w:r>
      <w:r w:rsidR="007D3AC1">
        <w:rPr>
          <w:sz w:val="24"/>
          <w:szCs w:val="24"/>
        </w:rPr>
        <w:t xml:space="preserve"> manipulated </w:t>
      </w:r>
      <w:r w:rsidR="00A55876">
        <w:rPr>
          <w:sz w:val="24"/>
          <w:szCs w:val="24"/>
        </w:rPr>
        <w:t>and mislead</w:t>
      </w:r>
      <w:r w:rsidR="007D3AC1">
        <w:rPr>
          <w:sz w:val="24"/>
          <w:szCs w:val="24"/>
        </w:rPr>
        <w:t xml:space="preserve"> by the older IRA members into believing that the group fought for the greater good, and that</w:t>
      </w:r>
      <w:r w:rsidR="00A55876">
        <w:rPr>
          <w:sz w:val="24"/>
          <w:szCs w:val="24"/>
        </w:rPr>
        <w:t xml:space="preserve"> the boys</w:t>
      </w:r>
      <w:r w:rsidR="007D3AC1">
        <w:rPr>
          <w:sz w:val="24"/>
          <w:szCs w:val="24"/>
        </w:rPr>
        <w:t xml:space="preserve"> </w:t>
      </w:r>
      <w:r w:rsidR="00A55876">
        <w:rPr>
          <w:sz w:val="24"/>
          <w:szCs w:val="24"/>
        </w:rPr>
        <w:t>would do their country proud if they had fought alongside the IRA.</w:t>
      </w:r>
      <w:r w:rsidR="007D3AC1">
        <w:rPr>
          <w:sz w:val="24"/>
          <w:szCs w:val="24"/>
        </w:rPr>
        <w:t xml:space="preserve">  </w:t>
      </w:r>
    </w:p>
    <w:p w14:paraId="781C5E47" w14:textId="4858627E" w:rsidR="00061F9B" w:rsidRDefault="00061F9B" w:rsidP="00750DEE">
      <w:pPr>
        <w:spacing w:line="480" w:lineRule="auto"/>
        <w:rPr>
          <w:sz w:val="24"/>
          <w:szCs w:val="24"/>
        </w:rPr>
      </w:pPr>
      <w:r>
        <w:rPr>
          <w:sz w:val="24"/>
          <w:szCs w:val="24"/>
        </w:rPr>
        <w:t>Another possible non-violent strategy proposed by the IRA to gain support was by the method of publications. For example,</w:t>
      </w:r>
      <w:r w:rsidR="003F5A9D">
        <w:rPr>
          <w:sz w:val="24"/>
          <w:szCs w:val="24"/>
        </w:rPr>
        <w:t xml:space="preserve"> Alpha History (2021) explains that</w:t>
      </w:r>
      <w:r>
        <w:rPr>
          <w:sz w:val="24"/>
          <w:szCs w:val="24"/>
        </w:rPr>
        <w:t xml:space="preserve"> </w:t>
      </w:r>
      <w:r w:rsidR="003F5A9D">
        <w:rPr>
          <w:sz w:val="24"/>
          <w:szCs w:val="24"/>
        </w:rPr>
        <w:t>the IRA had published a book known as the ‘Green Book’</w:t>
      </w:r>
      <w:r w:rsidR="00136518">
        <w:rPr>
          <w:sz w:val="24"/>
          <w:szCs w:val="24"/>
        </w:rPr>
        <w:t xml:space="preserve">, first under the old IRA in 1956 and a second time in </w:t>
      </w:r>
      <w:r w:rsidR="008C6DF6">
        <w:rPr>
          <w:sz w:val="24"/>
          <w:szCs w:val="24"/>
        </w:rPr>
        <w:t>1977 under the PIRA,</w:t>
      </w:r>
      <w:r w:rsidR="003F5A9D">
        <w:rPr>
          <w:sz w:val="24"/>
          <w:szCs w:val="24"/>
        </w:rPr>
        <w:t xml:space="preserve"> which was handed out to potential recruits and volunteers</w:t>
      </w:r>
      <w:r w:rsidR="00136518">
        <w:rPr>
          <w:sz w:val="24"/>
          <w:szCs w:val="24"/>
        </w:rPr>
        <w:t xml:space="preserve">. The book </w:t>
      </w:r>
      <w:r w:rsidR="008C6DF6">
        <w:rPr>
          <w:sz w:val="24"/>
          <w:szCs w:val="24"/>
        </w:rPr>
        <w:t xml:space="preserve">was essentially a training guide and instruction manual on their strategies and their different tactics, as well as giving a detailed description on what their main purpose and aims are. The book was, as a result, banned in the UK, Republic of Ireland, and other territories. </w:t>
      </w:r>
      <w:r w:rsidR="006159F3">
        <w:rPr>
          <w:sz w:val="24"/>
          <w:szCs w:val="24"/>
        </w:rPr>
        <w:t xml:space="preserve">Some people might claim that the PIRA’s use of publication might have influenced some of the volunteer’s choices to join as they when they have read the Green Book, they might have believed that the PIRA was doing a good thing in creating Irish independence and that the book probably led the recruits to believe that the end justifies </w:t>
      </w:r>
      <w:r w:rsidR="006159F3">
        <w:rPr>
          <w:sz w:val="24"/>
          <w:szCs w:val="24"/>
        </w:rPr>
        <w:lastRenderedPageBreak/>
        <w:t xml:space="preserve">the means. In addition to this, the banning of the book probably created notoriety which would have drawn public attention towards the PIRA. </w:t>
      </w:r>
      <w:r w:rsidR="008C6DF6">
        <w:rPr>
          <w:sz w:val="24"/>
          <w:szCs w:val="24"/>
        </w:rPr>
        <w:t xml:space="preserve"> </w:t>
      </w:r>
      <w:r w:rsidR="00136518">
        <w:rPr>
          <w:sz w:val="24"/>
          <w:szCs w:val="24"/>
        </w:rPr>
        <w:t xml:space="preserve"> </w:t>
      </w:r>
    </w:p>
    <w:p w14:paraId="64B6948D" w14:textId="10DFDA10" w:rsidR="00F141B1" w:rsidRDefault="008061FD" w:rsidP="00750DEE">
      <w:pPr>
        <w:spacing w:line="480" w:lineRule="auto"/>
        <w:rPr>
          <w:sz w:val="24"/>
          <w:szCs w:val="24"/>
        </w:rPr>
      </w:pPr>
      <w:r>
        <w:rPr>
          <w:sz w:val="24"/>
          <w:szCs w:val="24"/>
        </w:rPr>
        <w:t>The most common attack methods among terrorist groups</w:t>
      </w:r>
      <w:r w:rsidR="00694274">
        <w:rPr>
          <w:sz w:val="24"/>
          <w:szCs w:val="24"/>
        </w:rPr>
        <w:t xml:space="preserve">, as </w:t>
      </w:r>
      <w:r w:rsidR="00F141B1">
        <w:rPr>
          <w:sz w:val="24"/>
          <w:szCs w:val="24"/>
        </w:rPr>
        <w:t>highlighted</w:t>
      </w:r>
      <w:r w:rsidR="00694274">
        <w:rPr>
          <w:sz w:val="24"/>
          <w:szCs w:val="24"/>
        </w:rPr>
        <w:t xml:space="preserve"> by the Counter Terrorism Guide (2020), are with common explosives with the means to threaten, harm or assassinate. The possible reason why is because of the sheer amount of damage and harm explosives such as dirty bombs</w:t>
      </w:r>
      <w:r w:rsidR="007876D5">
        <w:rPr>
          <w:sz w:val="24"/>
          <w:szCs w:val="24"/>
        </w:rPr>
        <w:t xml:space="preserve"> can inflict</w:t>
      </w:r>
      <w:r w:rsidR="00F141B1">
        <w:rPr>
          <w:sz w:val="24"/>
          <w:szCs w:val="24"/>
        </w:rPr>
        <w:t>. Not only can civilians get killed or severely injured by the explosions, the aftermath of the destruction it could have in the area can be devastating. For example, if the explosive had contained radioactive or poisonous elements, then the location of the explosion would have to be blocked off for a long period of time after because you could get poisoned. Plus, people could lose their jobs or housing if their buildings got caught up in the explosion.</w:t>
      </w:r>
    </w:p>
    <w:p w14:paraId="00DC0160" w14:textId="13355BCA" w:rsidR="0005118B" w:rsidRDefault="00E52A08" w:rsidP="00750DEE">
      <w:pPr>
        <w:spacing w:line="480" w:lineRule="auto"/>
        <w:rPr>
          <w:sz w:val="24"/>
          <w:szCs w:val="24"/>
        </w:rPr>
      </w:pPr>
      <w:r>
        <w:rPr>
          <w:sz w:val="24"/>
          <w:szCs w:val="24"/>
        </w:rPr>
        <w:t xml:space="preserve">One of the most common attack methods that were utilised by the PIRA was through the use of car bombings. </w:t>
      </w:r>
      <w:r w:rsidR="00C339E5">
        <w:rPr>
          <w:sz w:val="24"/>
          <w:szCs w:val="24"/>
        </w:rPr>
        <w:t xml:space="preserve">The National Counter Terrorism Security Office (2020) explains that this method (referred to by the government as </w:t>
      </w:r>
      <w:r w:rsidR="004E5106">
        <w:rPr>
          <w:sz w:val="24"/>
          <w:szCs w:val="24"/>
        </w:rPr>
        <w:t xml:space="preserve">a Vehicle-borne Improvised Security Device) is when a mobile vehicle, for example a car or van, contains and sends an explosive such as a propane bomb to a set target. </w:t>
      </w:r>
      <w:r w:rsidR="00F03215">
        <w:rPr>
          <w:sz w:val="24"/>
          <w:szCs w:val="24"/>
        </w:rPr>
        <w:t>Usually, the vehicle is plain to blend in and to avoid any attention and are typically set off in or near within an area containing a large crowd or a building</w:t>
      </w:r>
      <w:r w:rsidR="0005118B">
        <w:rPr>
          <w:sz w:val="24"/>
          <w:szCs w:val="24"/>
        </w:rPr>
        <w:t>, mainly</w:t>
      </w:r>
      <w:r w:rsidR="00F03215">
        <w:rPr>
          <w:sz w:val="24"/>
          <w:szCs w:val="24"/>
        </w:rPr>
        <w:t xml:space="preserve"> a government building. Also, the</w:t>
      </w:r>
      <w:r w:rsidR="0005118B">
        <w:rPr>
          <w:sz w:val="24"/>
          <w:szCs w:val="24"/>
        </w:rPr>
        <w:t>re</w:t>
      </w:r>
      <w:r w:rsidR="00F03215">
        <w:rPr>
          <w:sz w:val="24"/>
          <w:szCs w:val="24"/>
        </w:rPr>
        <w:t xml:space="preserve"> is sometimes a greater number of fatalities</w:t>
      </w:r>
      <w:r w:rsidR="0005118B">
        <w:rPr>
          <w:sz w:val="24"/>
          <w:szCs w:val="24"/>
        </w:rPr>
        <w:t xml:space="preserve"> if the explosive contains addition items including nuts, bolts and nails, or if the damaged structure fired debris or shards at the civilians.</w:t>
      </w:r>
    </w:p>
    <w:p w14:paraId="54AD53CE" w14:textId="11921EE8" w:rsidR="000F6EA0" w:rsidRDefault="00EF7C4E" w:rsidP="00750DEE">
      <w:pPr>
        <w:spacing w:line="480" w:lineRule="auto"/>
        <w:rPr>
          <w:sz w:val="24"/>
          <w:szCs w:val="24"/>
        </w:rPr>
      </w:pPr>
      <w:r>
        <w:rPr>
          <w:sz w:val="24"/>
          <w:szCs w:val="24"/>
        </w:rPr>
        <w:t xml:space="preserve">One real-life example of a terrorist attack carried out by the PIRA </w:t>
      </w:r>
      <w:r w:rsidR="000B0961">
        <w:rPr>
          <w:sz w:val="24"/>
          <w:szCs w:val="24"/>
        </w:rPr>
        <w:t>using</w:t>
      </w:r>
      <w:r>
        <w:rPr>
          <w:sz w:val="24"/>
          <w:szCs w:val="24"/>
        </w:rPr>
        <w:t xml:space="preserve"> car bombing is the Old Bailey Bombing in London in 1973. </w:t>
      </w:r>
      <w:r w:rsidR="000B0961">
        <w:rPr>
          <w:sz w:val="24"/>
          <w:szCs w:val="24"/>
        </w:rPr>
        <w:t xml:space="preserve">Harvey &amp; </w:t>
      </w:r>
      <w:proofErr w:type="spellStart"/>
      <w:r w:rsidR="000B0961">
        <w:rPr>
          <w:sz w:val="24"/>
          <w:szCs w:val="24"/>
        </w:rPr>
        <w:t>Hoggart</w:t>
      </w:r>
      <w:proofErr w:type="spellEnd"/>
      <w:r w:rsidR="000B0961">
        <w:rPr>
          <w:sz w:val="24"/>
          <w:szCs w:val="24"/>
        </w:rPr>
        <w:t xml:space="preserve"> (</w:t>
      </w:r>
      <w:r w:rsidR="00A13F26">
        <w:rPr>
          <w:sz w:val="24"/>
          <w:szCs w:val="24"/>
        </w:rPr>
        <w:t>1973</w:t>
      </w:r>
      <w:r w:rsidR="000B0961">
        <w:rPr>
          <w:sz w:val="24"/>
          <w:szCs w:val="24"/>
        </w:rPr>
        <w:t>) outline this attack</w:t>
      </w:r>
      <w:r w:rsidR="00DD420E">
        <w:rPr>
          <w:sz w:val="24"/>
          <w:szCs w:val="24"/>
        </w:rPr>
        <w:t>,</w:t>
      </w:r>
      <w:r w:rsidR="000B0961">
        <w:rPr>
          <w:sz w:val="24"/>
          <w:szCs w:val="24"/>
        </w:rPr>
        <w:t xml:space="preserve"> explaining</w:t>
      </w:r>
      <w:r w:rsidR="00DD420E">
        <w:rPr>
          <w:sz w:val="24"/>
          <w:szCs w:val="24"/>
        </w:rPr>
        <w:t xml:space="preserve"> that 10 individuals (seven males and three females) had set off a total of </w:t>
      </w:r>
      <w:r w:rsidR="00A13F26">
        <w:rPr>
          <w:sz w:val="24"/>
          <w:szCs w:val="24"/>
        </w:rPr>
        <w:t>2</w:t>
      </w:r>
      <w:r w:rsidR="00DD420E">
        <w:rPr>
          <w:sz w:val="24"/>
          <w:szCs w:val="24"/>
        </w:rPr>
        <w:t xml:space="preserve"> bombs </w:t>
      </w:r>
      <w:r w:rsidR="00DD420E">
        <w:rPr>
          <w:sz w:val="24"/>
          <w:szCs w:val="24"/>
        </w:rPr>
        <w:lastRenderedPageBreak/>
        <w:t>in central London</w:t>
      </w:r>
      <w:r w:rsidR="00A13F26">
        <w:rPr>
          <w:sz w:val="24"/>
          <w:szCs w:val="24"/>
        </w:rPr>
        <w:t xml:space="preserve">, which had ruined a part of the Old Bailey criminal court. A further 2 bombs were set to explode shortly after but were found and defused by the police. The 10 suspects had come from both Northern and Republic of Ireland and were found to be official members of the PIRA. In total, one man aged 60 years of age had died following the explosion and approximately 215 civilians were left injured.  </w:t>
      </w:r>
      <w:r w:rsidR="00DD420E">
        <w:rPr>
          <w:sz w:val="24"/>
          <w:szCs w:val="24"/>
        </w:rPr>
        <w:t xml:space="preserve"> </w:t>
      </w:r>
    </w:p>
    <w:p w14:paraId="3EDC7451" w14:textId="77777777" w:rsidR="001B7269" w:rsidRDefault="00180302" w:rsidP="00750DEE">
      <w:pPr>
        <w:spacing w:line="480" w:lineRule="auto"/>
        <w:rPr>
          <w:sz w:val="24"/>
          <w:szCs w:val="24"/>
        </w:rPr>
      </w:pPr>
      <w:r>
        <w:rPr>
          <w:sz w:val="24"/>
          <w:szCs w:val="24"/>
        </w:rPr>
        <w:t xml:space="preserve">Another </w:t>
      </w:r>
      <w:r w:rsidR="00BA0007">
        <w:rPr>
          <w:sz w:val="24"/>
          <w:szCs w:val="24"/>
        </w:rPr>
        <w:t xml:space="preserve">real-life </w:t>
      </w:r>
      <w:r>
        <w:rPr>
          <w:sz w:val="24"/>
          <w:szCs w:val="24"/>
        </w:rPr>
        <w:t xml:space="preserve">example of the </w:t>
      </w:r>
      <w:r w:rsidR="000C3E91">
        <w:rPr>
          <w:sz w:val="24"/>
          <w:szCs w:val="24"/>
        </w:rPr>
        <w:t>P</w:t>
      </w:r>
      <w:r>
        <w:rPr>
          <w:sz w:val="24"/>
          <w:szCs w:val="24"/>
        </w:rPr>
        <w:t xml:space="preserve">IRA utilising </w:t>
      </w:r>
      <w:r w:rsidR="00BA0007">
        <w:rPr>
          <w:sz w:val="24"/>
          <w:szCs w:val="24"/>
        </w:rPr>
        <w:t xml:space="preserve">car bombings as a method of attack is the bombing of Harrods in London, in December 1983. </w:t>
      </w:r>
      <w:r w:rsidR="003721AB">
        <w:rPr>
          <w:sz w:val="24"/>
          <w:szCs w:val="24"/>
        </w:rPr>
        <w:t xml:space="preserve">McKittrick (2001) explains that on </w:t>
      </w:r>
      <w:r w:rsidR="00CD7CC6">
        <w:rPr>
          <w:sz w:val="24"/>
          <w:szCs w:val="24"/>
        </w:rPr>
        <w:t>December 17</w:t>
      </w:r>
      <w:r w:rsidR="00CD7CC6" w:rsidRPr="00CD7CC6">
        <w:rPr>
          <w:sz w:val="24"/>
          <w:szCs w:val="24"/>
          <w:vertAlign w:val="superscript"/>
        </w:rPr>
        <w:t>th</w:t>
      </w:r>
      <w:r w:rsidR="00346E3D">
        <w:rPr>
          <w:sz w:val="24"/>
          <w:szCs w:val="24"/>
        </w:rPr>
        <w:t>, 1983</w:t>
      </w:r>
      <w:r w:rsidR="00CD7CC6">
        <w:rPr>
          <w:sz w:val="24"/>
          <w:szCs w:val="24"/>
        </w:rPr>
        <w:t xml:space="preserve">, a car had exploded </w:t>
      </w:r>
      <w:r w:rsidR="000C3E91">
        <w:rPr>
          <w:sz w:val="24"/>
          <w:szCs w:val="24"/>
        </w:rPr>
        <w:t>outside Harrods, a hugely popular and iconic department shop in London, by members of the PIRA. The PIRA had supposedly sent out a warning about the incoming attack, but the area was not evacuated by the emergency services. In total, the explosion had killed three people (all three of whom were police officers)</w:t>
      </w:r>
      <w:r w:rsidR="00742E32">
        <w:rPr>
          <w:sz w:val="24"/>
          <w:szCs w:val="24"/>
        </w:rPr>
        <w:t xml:space="preserve">, 90 civilians were injured and had caused a lot of damage towards the property. </w:t>
      </w:r>
      <w:r w:rsidR="00586CB7">
        <w:rPr>
          <w:sz w:val="24"/>
          <w:szCs w:val="24"/>
        </w:rPr>
        <w:t xml:space="preserve">Parry (1983) adds to this by stating that the PIRA had taken responsibility for the bombing outside Harrods, but they had also claimed they did not authorise the attack and that the perpetrators were volunteers who had taken matters into their own hands. </w:t>
      </w:r>
      <w:r w:rsidR="00756F2A">
        <w:rPr>
          <w:sz w:val="24"/>
          <w:szCs w:val="24"/>
        </w:rPr>
        <w:t>Brittan</w:t>
      </w:r>
      <w:r w:rsidR="00D20C48">
        <w:rPr>
          <w:sz w:val="24"/>
          <w:szCs w:val="24"/>
        </w:rPr>
        <w:t xml:space="preserve"> (1983)</w:t>
      </w:r>
      <w:r w:rsidR="00756F2A">
        <w:rPr>
          <w:sz w:val="24"/>
          <w:szCs w:val="24"/>
        </w:rPr>
        <w:t xml:space="preserve">, who was Secretary of State for the Home Department, commented about the IRA’s response and apology for the attack, for which he described as ‘contemptible’. </w:t>
      </w:r>
      <w:r w:rsidR="001B7269">
        <w:rPr>
          <w:sz w:val="24"/>
          <w:szCs w:val="24"/>
        </w:rPr>
        <w:t>Some people might argue that the reason why the PIRA launched their attack outside Harrods, and at that time of year, could be because it was the week leading up to Christmas, where you would have huge mass crowds doing their Christmas shop, especially in Central London the capital of Britain. Some could also argue that the attack was also undertake to help cause damage to the British economy, since it would be likely that a lot of people would not be going out shopping for quite some time after out of fear that they might be caught up in another bomb explosion.</w:t>
      </w:r>
    </w:p>
    <w:p w14:paraId="3322BAFD" w14:textId="77777777" w:rsidR="00AB71D2" w:rsidRDefault="00C5166B" w:rsidP="00750DEE">
      <w:pPr>
        <w:spacing w:line="480" w:lineRule="auto"/>
        <w:rPr>
          <w:sz w:val="24"/>
          <w:szCs w:val="24"/>
        </w:rPr>
      </w:pPr>
      <w:r>
        <w:rPr>
          <w:sz w:val="24"/>
          <w:szCs w:val="24"/>
        </w:rPr>
        <w:lastRenderedPageBreak/>
        <w:t xml:space="preserve">Some people might consider the fact of whether the PIRA were indeed successful in regards to their strategies, tactics and methods of attacks. Firstly, </w:t>
      </w:r>
      <w:proofErr w:type="spellStart"/>
      <w:r w:rsidR="007A0B8C">
        <w:rPr>
          <w:sz w:val="24"/>
          <w:szCs w:val="24"/>
        </w:rPr>
        <w:t>Lhor</w:t>
      </w:r>
      <w:proofErr w:type="spellEnd"/>
      <w:r w:rsidR="007A0B8C">
        <w:rPr>
          <w:sz w:val="24"/>
          <w:szCs w:val="24"/>
        </w:rPr>
        <w:t xml:space="preserve"> (1988)</w:t>
      </w:r>
      <w:r>
        <w:rPr>
          <w:sz w:val="24"/>
          <w:szCs w:val="24"/>
        </w:rPr>
        <w:t xml:space="preserve"> believes that they were, in some ways, successful by the fact that</w:t>
      </w:r>
      <w:r w:rsidR="000E73AF">
        <w:rPr>
          <w:sz w:val="24"/>
          <w:szCs w:val="24"/>
        </w:rPr>
        <w:t xml:space="preserve"> they had managed to kill dozens of British soldiers, as well as some police officers, by that point in the 1980s. Some readers might expand upon this by referring to the fact </w:t>
      </w:r>
      <w:r w:rsidR="00AB71D2">
        <w:rPr>
          <w:sz w:val="24"/>
          <w:szCs w:val="24"/>
        </w:rPr>
        <w:t>that</w:t>
      </w:r>
      <w:r w:rsidR="000E73AF">
        <w:rPr>
          <w:sz w:val="24"/>
          <w:szCs w:val="24"/>
        </w:rPr>
        <w:t xml:space="preserve"> the </w:t>
      </w:r>
      <w:r w:rsidR="00AB71D2">
        <w:rPr>
          <w:sz w:val="24"/>
          <w:szCs w:val="24"/>
        </w:rPr>
        <w:t>P</w:t>
      </w:r>
      <w:r w:rsidR="000E73AF">
        <w:rPr>
          <w:sz w:val="24"/>
          <w:szCs w:val="24"/>
        </w:rPr>
        <w:t>IRA did indeed mange to successfully carry out several car bombing</w:t>
      </w:r>
      <w:r w:rsidR="00AB71D2">
        <w:rPr>
          <w:sz w:val="24"/>
          <w:szCs w:val="24"/>
        </w:rPr>
        <w:t>s</w:t>
      </w:r>
      <w:r w:rsidR="000E73AF">
        <w:rPr>
          <w:sz w:val="24"/>
          <w:szCs w:val="24"/>
        </w:rPr>
        <w:t xml:space="preserve"> in both Great Britain and in Ireland that had resulted in many fatalities of innocent civilians, which would have accomplished their aim </w:t>
      </w:r>
      <w:r w:rsidR="00AB71D2">
        <w:rPr>
          <w:sz w:val="24"/>
          <w:szCs w:val="24"/>
        </w:rPr>
        <w:t>to</w:t>
      </w:r>
      <w:r w:rsidR="000E73AF">
        <w:rPr>
          <w:sz w:val="24"/>
          <w:szCs w:val="24"/>
        </w:rPr>
        <w:t xml:space="preserve"> threaten and intimidat</w:t>
      </w:r>
      <w:r w:rsidR="00AB71D2">
        <w:rPr>
          <w:sz w:val="24"/>
          <w:szCs w:val="24"/>
        </w:rPr>
        <w:t>e</w:t>
      </w:r>
      <w:r w:rsidR="000E73AF">
        <w:rPr>
          <w:sz w:val="24"/>
          <w:szCs w:val="24"/>
        </w:rPr>
        <w:t xml:space="preserve"> both the general population and the British government.  </w:t>
      </w:r>
      <w:r w:rsidR="001B7269">
        <w:rPr>
          <w:sz w:val="24"/>
          <w:szCs w:val="24"/>
        </w:rPr>
        <w:t xml:space="preserve"> </w:t>
      </w:r>
    </w:p>
    <w:p w14:paraId="0578B8B4" w14:textId="77777777" w:rsidR="00356592" w:rsidRDefault="00AB71D2" w:rsidP="00750DEE">
      <w:pPr>
        <w:spacing w:line="480" w:lineRule="auto"/>
        <w:rPr>
          <w:sz w:val="24"/>
          <w:szCs w:val="24"/>
        </w:rPr>
      </w:pPr>
      <w:r>
        <w:rPr>
          <w:sz w:val="24"/>
          <w:szCs w:val="24"/>
        </w:rPr>
        <w:t xml:space="preserve">Another way in which the PIRA </w:t>
      </w:r>
      <w:r w:rsidR="004642CE">
        <w:rPr>
          <w:sz w:val="24"/>
          <w:szCs w:val="24"/>
        </w:rPr>
        <w:t>might be considered</w:t>
      </w:r>
      <w:r>
        <w:rPr>
          <w:sz w:val="24"/>
          <w:szCs w:val="24"/>
        </w:rPr>
        <w:t xml:space="preserve"> successful was their </w:t>
      </w:r>
      <w:r w:rsidR="004642CE">
        <w:rPr>
          <w:sz w:val="24"/>
          <w:szCs w:val="24"/>
        </w:rPr>
        <w:t xml:space="preserve">ways of recruiting members, volunteers and financing. </w:t>
      </w:r>
      <w:r w:rsidR="001C1146">
        <w:rPr>
          <w:sz w:val="24"/>
          <w:szCs w:val="24"/>
        </w:rPr>
        <w:t>Moloney (2007) states that the Provisional Irish Republican Army had successfully recruited more than 10,000 members to their cause throughout the period of The Troubles, along with more than 1,200 volunteers recruited from Belfast alone</w:t>
      </w:r>
      <w:r w:rsidR="003E30F5">
        <w:rPr>
          <w:sz w:val="24"/>
          <w:szCs w:val="24"/>
        </w:rPr>
        <w:t>, although the total number of volunteers had been reduced by half as of 1996.</w:t>
      </w:r>
      <w:r w:rsidR="001C1146">
        <w:rPr>
          <w:sz w:val="24"/>
          <w:szCs w:val="24"/>
        </w:rPr>
        <w:t xml:space="preserve"> </w:t>
      </w:r>
    </w:p>
    <w:p w14:paraId="2DB86421" w14:textId="0748FDD9" w:rsidR="00180302" w:rsidRDefault="00356592" w:rsidP="00750DEE">
      <w:pPr>
        <w:spacing w:line="480" w:lineRule="auto"/>
        <w:rPr>
          <w:sz w:val="24"/>
          <w:szCs w:val="24"/>
        </w:rPr>
      </w:pPr>
      <w:r>
        <w:rPr>
          <w:sz w:val="24"/>
          <w:szCs w:val="24"/>
        </w:rPr>
        <w:t xml:space="preserve">They could also been seen as successful in securing support and financing from other nations. For instance, </w:t>
      </w:r>
      <w:r w:rsidR="007B72BD">
        <w:rPr>
          <w:sz w:val="24"/>
          <w:szCs w:val="24"/>
        </w:rPr>
        <w:t xml:space="preserve">Coogan (2000) states that </w:t>
      </w:r>
      <w:r w:rsidR="000532AB">
        <w:rPr>
          <w:sz w:val="24"/>
          <w:szCs w:val="24"/>
        </w:rPr>
        <w:t xml:space="preserve">the PIRA did successfully receive financing and support from the community of Irish Americans in the United States, whom had sent the PIRA both money and a selection of weaponry. One example of how this happened was </w:t>
      </w:r>
      <w:r w:rsidR="00585B0D">
        <w:rPr>
          <w:sz w:val="24"/>
          <w:szCs w:val="24"/>
        </w:rPr>
        <w:t xml:space="preserve">by the help of the American organisation ‘Irish Northern Aid Committee’, who had raised money to support prisoners who were members of the PIRA, as well as funding families of known PIRA supporters (Taylor, 1998).  </w:t>
      </w:r>
      <w:r w:rsidR="000532AB">
        <w:rPr>
          <w:sz w:val="24"/>
          <w:szCs w:val="24"/>
        </w:rPr>
        <w:t xml:space="preserve"> </w:t>
      </w:r>
      <w:r w:rsidR="001B7269">
        <w:rPr>
          <w:sz w:val="24"/>
          <w:szCs w:val="24"/>
        </w:rPr>
        <w:t xml:space="preserve"> </w:t>
      </w:r>
      <w:r w:rsidR="00756F2A">
        <w:rPr>
          <w:sz w:val="24"/>
          <w:szCs w:val="24"/>
        </w:rPr>
        <w:t xml:space="preserve"> </w:t>
      </w:r>
      <w:r w:rsidR="00D20C48">
        <w:rPr>
          <w:sz w:val="24"/>
          <w:szCs w:val="24"/>
        </w:rPr>
        <w:t xml:space="preserve"> </w:t>
      </w:r>
      <w:r w:rsidR="000C3E91">
        <w:rPr>
          <w:sz w:val="24"/>
          <w:szCs w:val="24"/>
        </w:rPr>
        <w:t xml:space="preserve">  </w:t>
      </w:r>
      <w:r w:rsidR="00BA0007">
        <w:rPr>
          <w:sz w:val="24"/>
          <w:szCs w:val="24"/>
        </w:rPr>
        <w:t xml:space="preserve"> </w:t>
      </w:r>
    </w:p>
    <w:p w14:paraId="5825BBC6" w14:textId="77777777" w:rsidR="00D11736" w:rsidRDefault="009C2E52" w:rsidP="00750DEE">
      <w:pPr>
        <w:spacing w:line="480" w:lineRule="auto"/>
        <w:rPr>
          <w:sz w:val="24"/>
          <w:szCs w:val="24"/>
        </w:rPr>
      </w:pPr>
      <w:r>
        <w:rPr>
          <w:sz w:val="24"/>
          <w:szCs w:val="24"/>
        </w:rPr>
        <w:t xml:space="preserve">Finally, some people might think that the PIRA were successful with their use of intelligence. For example, </w:t>
      </w:r>
      <w:r w:rsidR="00CA5412">
        <w:rPr>
          <w:sz w:val="24"/>
          <w:szCs w:val="24"/>
        </w:rPr>
        <w:t xml:space="preserve">the group has shown through the use of their many set-up car bombings that </w:t>
      </w:r>
      <w:r w:rsidR="00CA5412">
        <w:rPr>
          <w:sz w:val="24"/>
          <w:szCs w:val="24"/>
        </w:rPr>
        <w:lastRenderedPageBreak/>
        <w:t>they did appear to have members who good knowledge on how create timed explosives using all kinds of chemicals and extensive wiring, which is not particularly the type of tasks the average person would learn about, or have the right knowledge to undertake successfully, and is usually the sort of intelligence that only the top governments have access to. Also, the PIRA were successful in their intelligence through their use of planning out their attacks. For example, it would have taken them a lot of time planning on how they would set-up their attacks, particularly during the 1980s when the UK government were on high alert</w:t>
      </w:r>
      <w:r w:rsidR="00D11736">
        <w:rPr>
          <w:sz w:val="24"/>
          <w:szCs w:val="24"/>
        </w:rPr>
        <w:t xml:space="preserve"> about potential IRA attacks</w:t>
      </w:r>
      <w:r w:rsidR="00CA5412">
        <w:rPr>
          <w:sz w:val="24"/>
          <w:szCs w:val="24"/>
        </w:rPr>
        <w:t xml:space="preserve">, </w:t>
      </w:r>
      <w:r w:rsidR="00D11736">
        <w:rPr>
          <w:sz w:val="24"/>
          <w:szCs w:val="24"/>
        </w:rPr>
        <w:t>and had also gave out</w:t>
      </w:r>
      <w:r w:rsidR="00CA5412">
        <w:rPr>
          <w:sz w:val="24"/>
          <w:szCs w:val="24"/>
        </w:rPr>
        <w:t xml:space="preserve"> </w:t>
      </w:r>
      <w:r w:rsidR="00D11736">
        <w:rPr>
          <w:sz w:val="24"/>
          <w:szCs w:val="24"/>
        </w:rPr>
        <w:t>a lot of thought on when and where the attacks should occur.</w:t>
      </w:r>
    </w:p>
    <w:p w14:paraId="65CBCBF4" w14:textId="5A38E463" w:rsidR="00EE0F7B" w:rsidRDefault="00CE0181" w:rsidP="00750DEE">
      <w:pPr>
        <w:spacing w:line="480" w:lineRule="auto"/>
        <w:rPr>
          <w:sz w:val="24"/>
          <w:szCs w:val="24"/>
        </w:rPr>
      </w:pPr>
      <w:r>
        <w:rPr>
          <w:sz w:val="24"/>
          <w:szCs w:val="24"/>
        </w:rPr>
        <w:t xml:space="preserve">However, some people might argue that the Provisional Irish Republican Army </w:t>
      </w:r>
      <w:r w:rsidR="00611723">
        <w:rPr>
          <w:sz w:val="24"/>
          <w:szCs w:val="24"/>
        </w:rPr>
        <w:t>were not successful, as a whole, purely due to the fact that they have still not achieved their primary strategy, which was to force the UK government and army out of Northern Ireland in order to make the country fully independent.</w:t>
      </w:r>
      <w:r w:rsidR="00853FD6">
        <w:rPr>
          <w:sz w:val="24"/>
          <w:szCs w:val="24"/>
        </w:rPr>
        <w:t xml:space="preserve"> Northern Ireland is still currently operating under the British government and is still part of the United Kingdom, along with the fact </w:t>
      </w:r>
      <w:r w:rsidR="00071346">
        <w:rPr>
          <w:sz w:val="24"/>
          <w:szCs w:val="24"/>
        </w:rPr>
        <w:t>their number of members and volunteers had dropped significantly</w:t>
      </w:r>
      <w:r w:rsidR="00343899">
        <w:rPr>
          <w:sz w:val="24"/>
          <w:szCs w:val="24"/>
        </w:rPr>
        <w:t>, as highlighted above,</w:t>
      </w:r>
      <w:r w:rsidR="00071346">
        <w:rPr>
          <w:sz w:val="24"/>
          <w:szCs w:val="24"/>
        </w:rPr>
        <w:t xml:space="preserve"> and as a result, are probably inactive and not on the government’s radar in present times.</w:t>
      </w:r>
      <w:r w:rsidR="00853FD6">
        <w:rPr>
          <w:sz w:val="24"/>
          <w:szCs w:val="24"/>
        </w:rPr>
        <w:t xml:space="preserve"> </w:t>
      </w:r>
      <w:r w:rsidR="00071346">
        <w:rPr>
          <w:sz w:val="24"/>
          <w:szCs w:val="24"/>
        </w:rPr>
        <w:t>All of this information</w:t>
      </w:r>
      <w:r w:rsidR="00853FD6">
        <w:rPr>
          <w:sz w:val="24"/>
          <w:szCs w:val="24"/>
        </w:rPr>
        <w:t xml:space="preserve"> could lead to some readers to conclude that the PIRA had</w:t>
      </w:r>
      <w:r w:rsidR="00071346">
        <w:rPr>
          <w:sz w:val="24"/>
          <w:szCs w:val="24"/>
        </w:rPr>
        <w:t xml:space="preserve"> overestimated their own power and influence, and possibly shows that the UK government does not give in to terrorism. </w:t>
      </w:r>
    </w:p>
    <w:p w14:paraId="1D2C6841" w14:textId="77777777" w:rsidR="00C07190" w:rsidRDefault="00EE0F7B" w:rsidP="00750DEE">
      <w:pPr>
        <w:spacing w:line="480" w:lineRule="auto"/>
        <w:rPr>
          <w:sz w:val="24"/>
          <w:szCs w:val="24"/>
        </w:rPr>
      </w:pPr>
      <w:r>
        <w:rPr>
          <w:sz w:val="24"/>
          <w:szCs w:val="24"/>
        </w:rPr>
        <w:t xml:space="preserve">In conclusion, the Provisional Irish Republication Army are indeed a terrorist organisation because, based on the UK government’s definition of terrorism, </w:t>
      </w:r>
      <w:r w:rsidR="00343899">
        <w:rPr>
          <w:sz w:val="24"/>
          <w:szCs w:val="24"/>
        </w:rPr>
        <w:t xml:space="preserve">their strategy of forcing the UK government out of Northern Ireland </w:t>
      </w:r>
      <w:r w:rsidR="00264951">
        <w:rPr>
          <w:sz w:val="24"/>
          <w:szCs w:val="24"/>
        </w:rPr>
        <w:t xml:space="preserve">through the use of violence and intimidation, which had resulted in casualties of innocent civilians and government/military personnel in both </w:t>
      </w:r>
      <w:r w:rsidR="00264951">
        <w:rPr>
          <w:sz w:val="24"/>
          <w:szCs w:val="24"/>
        </w:rPr>
        <w:lastRenderedPageBreak/>
        <w:t xml:space="preserve">Ireland and Great Britain, is a highly political ideology. </w:t>
      </w:r>
      <w:r w:rsidR="00375CD0">
        <w:rPr>
          <w:sz w:val="24"/>
          <w:szCs w:val="24"/>
        </w:rPr>
        <w:t>Their primary tactics to achieve their aim were by planting explosives in cars in designated areas where there was a high number of civilians nearby</w:t>
      </w:r>
      <w:r w:rsidR="00A921BC">
        <w:rPr>
          <w:sz w:val="24"/>
          <w:szCs w:val="24"/>
        </w:rPr>
        <w:t>, which proves that their use of intelligence was effective in order for these attacks to be carried out successfully with their ex</w:t>
      </w:r>
      <w:r w:rsidR="003A1518">
        <w:rPr>
          <w:sz w:val="24"/>
          <w:szCs w:val="24"/>
        </w:rPr>
        <w:t>tensive planning and manufacturing of their weapons, along with their attempts to recruit members and convincing young male volunteers to join their cause. On top of that, they were also successful in persuading people from other countries (primarily Americans with Irish heritage) to both provide funding to the PIRA and supplying them with weaponry.</w:t>
      </w:r>
    </w:p>
    <w:p w14:paraId="163F18C5" w14:textId="215019E3" w:rsidR="00D602AB" w:rsidRDefault="00C07190" w:rsidP="00750DEE">
      <w:pPr>
        <w:spacing w:line="480" w:lineRule="auto"/>
        <w:rPr>
          <w:sz w:val="24"/>
          <w:szCs w:val="24"/>
        </w:rPr>
      </w:pPr>
      <w:r>
        <w:rPr>
          <w:sz w:val="24"/>
          <w:szCs w:val="24"/>
        </w:rPr>
        <w:t xml:space="preserve">Despite these </w:t>
      </w:r>
      <w:r w:rsidR="00F41899">
        <w:rPr>
          <w:sz w:val="24"/>
          <w:szCs w:val="24"/>
        </w:rPr>
        <w:t xml:space="preserve">possible </w:t>
      </w:r>
      <w:r>
        <w:rPr>
          <w:sz w:val="24"/>
          <w:szCs w:val="24"/>
        </w:rPr>
        <w:t>achievements, they were still unsuccessful in completing their main strategy in forcing the UK government out of Northern Ireland, which</w:t>
      </w:r>
      <w:r w:rsidR="00C71DA7">
        <w:rPr>
          <w:sz w:val="24"/>
          <w:szCs w:val="24"/>
        </w:rPr>
        <w:t xml:space="preserve"> could </w:t>
      </w:r>
      <w:r w:rsidR="00F41899">
        <w:rPr>
          <w:sz w:val="24"/>
          <w:szCs w:val="24"/>
        </w:rPr>
        <w:t>prove</w:t>
      </w:r>
      <w:r w:rsidR="00C71DA7">
        <w:rPr>
          <w:sz w:val="24"/>
          <w:szCs w:val="24"/>
        </w:rPr>
        <w:t xml:space="preserve"> that their use of violence and intimidation is not tolerated by both the government and the civilian population, and has now probably made the PIRA redundant and will eventually be gone for good. Only the honest people of Northern Ireland can decide the future of their country, through the best possible cause of a democratic vote. </w:t>
      </w:r>
      <w:r>
        <w:rPr>
          <w:sz w:val="24"/>
          <w:szCs w:val="24"/>
        </w:rPr>
        <w:t xml:space="preserve"> </w:t>
      </w:r>
      <w:r w:rsidR="00071346">
        <w:rPr>
          <w:sz w:val="24"/>
          <w:szCs w:val="24"/>
        </w:rPr>
        <w:t xml:space="preserve">  </w:t>
      </w:r>
      <w:r w:rsidR="00D11736">
        <w:rPr>
          <w:sz w:val="24"/>
          <w:szCs w:val="24"/>
        </w:rPr>
        <w:t xml:space="preserve"> </w:t>
      </w:r>
    </w:p>
    <w:p w14:paraId="010F1A25" w14:textId="3B7A0F64" w:rsidR="00EF7C4E" w:rsidRDefault="000B0961" w:rsidP="00750DEE">
      <w:pPr>
        <w:spacing w:line="480" w:lineRule="auto"/>
        <w:rPr>
          <w:sz w:val="24"/>
          <w:szCs w:val="24"/>
        </w:rPr>
      </w:pPr>
      <w:r>
        <w:rPr>
          <w:sz w:val="24"/>
          <w:szCs w:val="24"/>
        </w:rPr>
        <w:t xml:space="preserve"> </w:t>
      </w:r>
      <w:r w:rsidR="00EF7C4E">
        <w:rPr>
          <w:sz w:val="24"/>
          <w:szCs w:val="24"/>
        </w:rPr>
        <w:t xml:space="preserve"> </w:t>
      </w:r>
    </w:p>
    <w:p w14:paraId="76BD4A3C" w14:textId="32C669F7" w:rsidR="00E52A08" w:rsidRDefault="0005118B" w:rsidP="00750DEE">
      <w:pPr>
        <w:spacing w:line="480" w:lineRule="auto"/>
        <w:rPr>
          <w:sz w:val="24"/>
          <w:szCs w:val="24"/>
        </w:rPr>
      </w:pPr>
      <w:r>
        <w:rPr>
          <w:sz w:val="24"/>
          <w:szCs w:val="24"/>
        </w:rPr>
        <w:t xml:space="preserve"> </w:t>
      </w:r>
      <w:r w:rsidR="00F03215">
        <w:rPr>
          <w:sz w:val="24"/>
          <w:szCs w:val="24"/>
        </w:rPr>
        <w:t xml:space="preserve">  </w:t>
      </w:r>
      <w:r w:rsidR="00C339E5">
        <w:rPr>
          <w:sz w:val="24"/>
          <w:szCs w:val="24"/>
        </w:rPr>
        <w:t xml:space="preserve"> </w:t>
      </w:r>
    </w:p>
    <w:p w14:paraId="01C7608E" w14:textId="3A86E972" w:rsidR="003D55AF" w:rsidRDefault="00694274" w:rsidP="00750DEE">
      <w:pPr>
        <w:spacing w:line="480" w:lineRule="auto"/>
        <w:rPr>
          <w:sz w:val="24"/>
          <w:szCs w:val="24"/>
        </w:rPr>
      </w:pPr>
      <w:r>
        <w:rPr>
          <w:sz w:val="24"/>
          <w:szCs w:val="24"/>
        </w:rPr>
        <w:t xml:space="preserve">  </w:t>
      </w:r>
      <w:r w:rsidR="008061FD">
        <w:rPr>
          <w:sz w:val="24"/>
          <w:szCs w:val="24"/>
        </w:rPr>
        <w:t xml:space="preserve"> </w:t>
      </w:r>
    </w:p>
    <w:p w14:paraId="2E54A6E7" w14:textId="77777777" w:rsidR="00B77016" w:rsidRDefault="00B77016" w:rsidP="00750DEE">
      <w:pPr>
        <w:spacing w:line="480" w:lineRule="auto"/>
        <w:rPr>
          <w:sz w:val="24"/>
          <w:szCs w:val="24"/>
        </w:rPr>
      </w:pPr>
    </w:p>
    <w:p w14:paraId="3BFD4FC1" w14:textId="3DEC5BCC" w:rsidR="00014AA8" w:rsidRDefault="008E2685" w:rsidP="00750DEE">
      <w:pPr>
        <w:spacing w:line="480" w:lineRule="auto"/>
        <w:rPr>
          <w:sz w:val="24"/>
          <w:szCs w:val="24"/>
        </w:rPr>
      </w:pPr>
      <w:r>
        <w:rPr>
          <w:sz w:val="24"/>
          <w:szCs w:val="24"/>
        </w:rPr>
        <w:t xml:space="preserve"> </w:t>
      </w:r>
      <w:r w:rsidR="00D56916">
        <w:rPr>
          <w:sz w:val="24"/>
          <w:szCs w:val="24"/>
        </w:rPr>
        <w:t xml:space="preserve"> </w:t>
      </w:r>
      <w:r w:rsidR="00C05DE2">
        <w:rPr>
          <w:sz w:val="24"/>
          <w:szCs w:val="24"/>
        </w:rPr>
        <w:t xml:space="preserve"> </w:t>
      </w:r>
      <w:r w:rsidR="00F731B1">
        <w:rPr>
          <w:sz w:val="24"/>
          <w:szCs w:val="24"/>
        </w:rPr>
        <w:t xml:space="preserve"> </w:t>
      </w:r>
      <w:r w:rsidR="002B4974">
        <w:rPr>
          <w:sz w:val="24"/>
          <w:szCs w:val="24"/>
        </w:rPr>
        <w:t xml:space="preserve"> </w:t>
      </w:r>
      <w:r w:rsidR="00E405A8">
        <w:rPr>
          <w:sz w:val="24"/>
          <w:szCs w:val="24"/>
        </w:rPr>
        <w:t xml:space="preserve"> </w:t>
      </w:r>
      <w:r w:rsidR="008A212B">
        <w:rPr>
          <w:sz w:val="24"/>
          <w:szCs w:val="24"/>
        </w:rPr>
        <w:t xml:space="preserve"> </w:t>
      </w:r>
      <w:r w:rsidR="008151E0">
        <w:rPr>
          <w:sz w:val="24"/>
          <w:szCs w:val="24"/>
        </w:rPr>
        <w:t xml:space="preserve"> </w:t>
      </w:r>
    </w:p>
    <w:p w14:paraId="34A4036D" w14:textId="4489884F" w:rsidR="00D440EE" w:rsidRDefault="00397FC1" w:rsidP="00750DEE">
      <w:pPr>
        <w:spacing w:line="480" w:lineRule="auto"/>
        <w:rPr>
          <w:sz w:val="24"/>
          <w:szCs w:val="24"/>
        </w:rPr>
      </w:pPr>
      <w:r>
        <w:rPr>
          <w:sz w:val="24"/>
          <w:szCs w:val="24"/>
        </w:rPr>
        <w:t xml:space="preserve"> </w:t>
      </w:r>
    </w:p>
    <w:p w14:paraId="119E2324" w14:textId="77777777" w:rsidR="003832C4" w:rsidRDefault="00EF0D3A" w:rsidP="003832C4">
      <w:pPr>
        <w:spacing w:line="480" w:lineRule="auto"/>
        <w:rPr>
          <w:sz w:val="24"/>
          <w:szCs w:val="24"/>
        </w:rPr>
      </w:pPr>
      <w:r>
        <w:rPr>
          <w:sz w:val="24"/>
          <w:szCs w:val="24"/>
        </w:rPr>
        <w:t xml:space="preserve">   </w:t>
      </w:r>
      <w:r w:rsidR="00DD6250">
        <w:rPr>
          <w:sz w:val="24"/>
          <w:szCs w:val="24"/>
        </w:rPr>
        <w:t xml:space="preserve"> </w:t>
      </w:r>
      <w:r w:rsidR="000F1584">
        <w:rPr>
          <w:sz w:val="24"/>
          <w:szCs w:val="24"/>
        </w:rPr>
        <w:t xml:space="preserve">   </w:t>
      </w:r>
      <w:r w:rsidR="00FA439C">
        <w:rPr>
          <w:sz w:val="24"/>
          <w:szCs w:val="24"/>
        </w:rPr>
        <w:t xml:space="preserve">  </w:t>
      </w:r>
      <w:r w:rsidR="005F4D2B">
        <w:rPr>
          <w:sz w:val="24"/>
          <w:szCs w:val="24"/>
        </w:rPr>
        <w:t xml:space="preserve"> </w:t>
      </w:r>
      <w:r w:rsidR="00C75046">
        <w:rPr>
          <w:sz w:val="24"/>
          <w:szCs w:val="24"/>
        </w:rPr>
        <w:t xml:space="preserve">   </w:t>
      </w:r>
    </w:p>
    <w:p w14:paraId="5A494368" w14:textId="47A4A015" w:rsidR="00750DEE" w:rsidRPr="003832C4" w:rsidRDefault="00750DEE" w:rsidP="003832C4">
      <w:pPr>
        <w:spacing w:line="480" w:lineRule="auto"/>
        <w:rPr>
          <w:sz w:val="24"/>
          <w:szCs w:val="24"/>
        </w:rPr>
      </w:pPr>
      <w:r>
        <w:rPr>
          <w:b/>
          <w:bCs/>
          <w:sz w:val="28"/>
          <w:szCs w:val="28"/>
          <w:u w:val="single"/>
        </w:rPr>
        <w:lastRenderedPageBreak/>
        <w:t>Bibliography</w:t>
      </w:r>
    </w:p>
    <w:p w14:paraId="63E9D727" w14:textId="77777777" w:rsidR="00DE38F8" w:rsidRPr="00DE38F8" w:rsidRDefault="00DE38F8" w:rsidP="00DE38F8">
      <w:pPr>
        <w:rPr>
          <w:sz w:val="28"/>
          <w:szCs w:val="28"/>
        </w:rPr>
      </w:pPr>
      <w:r w:rsidRPr="00DE38F8">
        <w:rPr>
          <w:sz w:val="28"/>
          <w:szCs w:val="28"/>
        </w:rPr>
        <w:t>Brittan, L. (1983). ‘</w:t>
      </w:r>
      <w:r w:rsidRPr="00DE38F8">
        <w:rPr>
          <w:i/>
          <w:iCs/>
          <w:sz w:val="28"/>
          <w:szCs w:val="28"/>
        </w:rPr>
        <w:t xml:space="preserve">Harrods (Bomb Incident)’. </w:t>
      </w:r>
      <w:r w:rsidRPr="00DE38F8">
        <w:rPr>
          <w:sz w:val="28"/>
          <w:szCs w:val="28"/>
        </w:rPr>
        <w:t xml:space="preserve">Api.Parliament.UK. (Online Available: </w:t>
      </w:r>
      <w:hyperlink r:id="rId5" w:history="1">
        <w:r w:rsidRPr="00DE38F8">
          <w:rPr>
            <w:rStyle w:val="Hyperlink"/>
            <w:sz w:val="28"/>
            <w:szCs w:val="28"/>
          </w:rPr>
          <w:t>Harrods (Bomb Incident) (Hansard, 19 December 1983) (parliament.uk)</w:t>
        </w:r>
      </w:hyperlink>
      <w:r w:rsidRPr="00DE38F8">
        <w:rPr>
          <w:sz w:val="28"/>
          <w:szCs w:val="28"/>
        </w:rPr>
        <w:t>) [Last Accessed 10 November 2021].</w:t>
      </w:r>
    </w:p>
    <w:p w14:paraId="75A9036C" w14:textId="77777777" w:rsidR="00DE38F8" w:rsidRPr="00DE38F8" w:rsidRDefault="00DE38F8" w:rsidP="00DE38F8">
      <w:pPr>
        <w:rPr>
          <w:sz w:val="28"/>
          <w:szCs w:val="28"/>
        </w:rPr>
      </w:pPr>
      <w:r w:rsidRPr="00DE38F8">
        <w:rPr>
          <w:sz w:val="28"/>
          <w:szCs w:val="28"/>
        </w:rPr>
        <w:t xml:space="preserve">Coogan, T. (2000). </w:t>
      </w:r>
      <w:r w:rsidRPr="00DE38F8">
        <w:rPr>
          <w:i/>
          <w:iCs/>
          <w:sz w:val="28"/>
          <w:szCs w:val="28"/>
        </w:rPr>
        <w:t xml:space="preserve">‘The I.R.A.’ </w:t>
      </w:r>
      <w:r w:rsidRPr="00DE38F8">
        <w:rPr>
          <w:sz w:val="28"/>
          <w:szCs w:val="28"/>
        </w:rPr>
        <w:t>1</w:t>
      </w:r>
      <w:r w:rsidRPr="00DE38F8">
        <w:rPr>
          <w:sz w:val="28"/>
          <w:szCs w:val="28"/>
          <w:vertAlign w:val="superscript"/>
        </w:rPr>
        <w:t>st</w:t>
      </w:r>
      <w:r w:rsidRPr="00DE38F8">
        <w:rPr>
          <w:sz w:val="28"/>
          <w:szCs w:val="28"/>
        </w:rPr>
        <w:t xml:space="preserve"> edition. HarperCollins; New York, USA.</w:t>
      </w:r>
    </w:p>
    <w:p w14:paraId="7CC68EA9" w14:textId="77777777" w:rsidR="00DE38F8" w:rsidRPr="00DE38F8" w:rsidRDefault="00DE38F8" w:rsidP="00DE38F8">
      <w:pPr>
        <w:rPr>
          <w:b/>
          <w:bCs/>
          <w:sz w:val="28"/>
          <w:szCs w:val="28"/>
        </w:rPr>
      </w:pPr>
      <w:r w:rsidRPr="00DE38F8">
        <w:rPr>
          <w:sz w:val="28"/>
          <w:szCs w:val="28"/>
        </w:rPr>
        <w:t>Dingley, J. (2012).  ‘</w:t>
      </w:r>
      <w:r w:rsidRPr="00DE38F8">
        <w:rPr>
          <w:i/>
          <w:iCs/>
          <w:sz w:val="28"/>
          <w:szCs w:val="28"/>
        </w:rPr>
        <w:t>The IRA</w:t>
      </w:r>
      <w:r w:rsidRPr="00DE38F8">
        <w:rPr>
          <w:b/>
          <w:bCs/>
          <w:i/>
          <w:iCs/>
          <w:sz w:val="28"/>
          <w:szCs w:val="28"/>
        </w:rPr>
        <w:t>: </w:t>
      </w:r>
      <w:r w:rsidRPr="00DE38F8">
        <w:rPr>
          <w:i/>
          <w:iCs/>
          <w:sz w:val="28"/>
          <w:szCs w:val="28"/>
        </w:rPr>
        <w:t xml:space="preserve">The Irish Republican Army’. </w:t>
      </w:r>
      <w:r w:rsidRPr="00DE38F8">
        <w:rPr>
          <w:sz w:val="28"/>
          <w:szCs w:val="28"/>
        </w:rPr>
        <w:t>1</w:t>
      </w:r>
      <w:r w:rsidRPr="00DE38F8">
        <w:rPr>
          <w:sz w:val="28"/>
          <w:szCs w:val="28"/>
          <w:vertAlign w:val="superscript"/>
        </w:rPr>
        <w:t>st</w:t>
      </w:r>
      <w:r w:rsidRPr="00DE38F8">
        <w:rPr>
          <w:sz w:val="28"/>
          <w:szCs w:val="28"/>
        </w:rPr>
        <w:t xml:space="preserve"> edition. ABC-CLIO; Santa Barbara, USA. </w:t>
      </w:r>
    </w:p>
    <w:p w14:paraId="685BEBFE" w14:textId="77777777" w:rsidR="00DE38F8" w:rsidRPr="00DE38F8" w:rsidRDefault="00DE38F8" w:rsidP="00DE38F8">
      <w:pPr>
        <w:rPr>
          <w:sz w:val="28"/>
          <w:szCs w:val="28"/>
        </w:rPr>
      </w:pPr>
      <w:r w:rsidRPr="00DE38F8">
        <w:rPr>
          <w:sz w:val="28"/>
          <w:szCs w:val="28"/>
        </w:rPr>
        <w:t>Drake, C. J. M. (2007). ‘</w:t>
      </w:r>
      <w:r w:rsidRPr="00DE38F8">
        <w:rPr>
          <w:i/>
          <w:iCs/>
          <w:sz w:val="28"/>
          <w:szCs w:val="28"/>
        </w:rPr>
        <w:t xml:space="preserve">The Provisional IRA: A case study’. </w:t>
      </w:r>
      <w:r w:rsidRPr="00DE38F8">
        <w:rPr>
          <w:sz w:val="28"/>
          <w:szCs w:val="28"/>
        </w:rPr>
        <w:t>Terrorism and Political Violence. 3(2). Pgs. 43-60.</w:t>
      </w:r>
    </w:p>
    <w:p w14:paraId="29796031" w14:textId="77777777" w:rsidR="00DE38F8" w:rsidRPr="00DE38F8" w:rsidRDefault="00DE38F8" w:rsidP="00DE38F8">
      <w:pPr>
        <w:rPr>
          <w:sz w:val="28"/>
          <w:szCs w:val="28"/>
        </w:rPr>
      </w:pPr>
      <w:r w:rsidRPr="00DE38F8">
        <w:rPr>
          <w:sz w:val="28"/>
          <w:szCs w:val="28"/>
        </w:rPr>
        <w:t>Gill, P. &amp; Horgan, J. (2013). ‘</w:t>
      </w:r>
      <w:r w:rsidRPr="00DE38F8">
        <w:rPr>
          <w:i/>
          <w:iCs/>
          <w:sz w:val="28"/>
          <w:szCs w:val="28"/>
        </w:rPr>
        <w:t xml:space="preserve">Who Were the Volunteers? The Shifting Sociological and Operational Profile of 1240 Provisional Irish Republican Army Members’. </w:t>
      </w:r>
      <w:r w:rsidRPr="00DE38F8">
        <w:rPr>
          <w:sz w:val="28"/>
          <w:szCs w:val="28"/>
        </w:rPr>
        <w:t>Terrorism and Political Violence. 25(3). Pgs. 435-456.</w:t>
      </w:r>
    </w:p>
    <w:p w14:paraId="306C0760" w14:textId="77777777" w:rsidR="00DE38F8" w:rsidRPr="00DE38F8" w:rsidRDefault="00DE38F8" w:rsidP="00DE38F8">
      <w:pPr>
        <w:rPr>
          <w:sz w:val="28"/>
          <w:szCs w:val="28"/>
        </w:rPr>
      </w:pPr>
      <w:r w:rsidRPr="00DE38F8">
        <w:rPr>
          <w:sz w:val="28"/>
          <w:szCs w:val="28"/>
        </w:rPr>
        <w:t>Gregory, K. (2010). ‘</w:t>
      </w:r>
      <w:r w:rsidRPr="00DE38F8">
        <w:rPr>
          <w:i/>
          <w:iCs/>
          <w:sz w:val="28"/>
          <w:szCs w:val="28"/>
        </w:rPr>
        <w:t xml:space="preserve">Provisional Irish Republican Army (IRA) (aka, PIRA, "the </w:t>
      </w:r>
      <w:proofErr w:type="spellStart"/>
      <w:r w:rsidRPr="00DE38F8">
        <w:rPr>
          <w:i/>
          <w:iCs/>
          <w:sz w:val="28"/>
          <w:szCs w:val="28"/>
        </w:rPr>
        <w:t>provos</w:t>
      </w:r>
      <w:proofErr w:type="spellEnd"/>
      <w:r w:rsidRPr="00DE38F8">
        <w:rPr>
          <w:i/>
          <w:iCs/>
          <w:sz w:val="28"/>
          <w:szCs w:val="28"/>
        </w:rPr>
        <w:t xml:space="preserve">," </w:t>
      </w:r>
      <w:proofErr w:type="spellStart"/>
      <w:r w:rsidRPr="00DE38F8">
        <w:rPr>
          <w:i/>
          <w:iCs/>
          <w:sz w:val="28"/>
          <w:szCs w:val="28"/>
        </w:rPr>
        <w:t>Óglaigh</w:t>
      </w:r>
      <w:proofErr w:type="spellEnd"/>
      <w:r w:rsidRPr="00DE38F8">
        <w:rPr>
          <w:i/>
          <w:iCs/>
          <w:sz w:val="28"/>
          <w:szCs w:val="28"/>
        </w:rPr>
        <w:t xml:space="preserve"> </w:t>
      </w:r>
      <w:proofErr w:type="spellStart"/>
      <w:r w:rsidRPr="00DE38F8">
        <w:rPr>
          <w:i/>
          <w:iCs/>
          <w:sz w:val="28"/>
          <w:szCs w:val="28"/>
        </w:rPr>
        <w:t>na</w:t>
      </w:r>
      <w:proofErr w:type="spellEnd"/>
      <w:r w:rsidRPr="00DE38F8">
        <w:rPr>
          <w:i/>
          <w:iCs/>
          <w:sz w:val="28"/>
          <w:szCs w:val="28"/>
        </w:rPr>
        <w:t xml:space="preserve"> </w:t>
      </w:r>
      <w:proofErr w:type="spellStart"/>
      <w:r w:rsidRPr="00DE38F8">
        <w:rPr>
          <w:i/>
          <w:iCs/>
          <w:sz w:val="28"/>
          <w:szCs w:val="28"/>
        </w:rPr>
        <w:t>hÉireann</w:t>
      </w:r>
      <w:proofErr w:type="spellEnd"/>
      <w:r w:rsidRPr="00DE38F8">
        <w:rPr>
          <w:i/>
          <w:iCs/>
          <w:sz w:val="28"/>
          <w:szCs w:val="28"/>
        </w:rPr>
        <w:t xml:space="preserve">) (UK separatists)’. </w:t>
      </w:r>
      <w:r w:rsidRPr="00DE38F8">
        <w:rPr>
          <w:sz w:val="28"/>
          <w:szCs w:val="28"/>
        </w:rPr>
        <w:t xml:space="preserve">Council on Foreign Relations. Cfr.org. (Online Available: </w:t>
      </w:r>
      <w:hyperlink r:id="rId6" w:history="1">
        <w:r w:rsidRPr="00DE38F8">
          <w:rPr>
            <w:rStyle w:val="Hyperlink"/>
            <w:sz w:val="28"/>
            <w:szCs w:val="28"/>
          </w:rPr>
          <w:t>https://www.cfr.org/backgrounder/provisional-irish-republican-army-ira-aka-pira-provos-oglaigh-na-heireann-uk</w:t>
        </w:r>
      </w:hyperlink>
      <w:r w:rsidRPr="00DE38F8">
        <w:rPr>
          <w:sz w:val="28"/>
          <w:szCs w:val="28"/>
        </w:rPr>
        <w:t>) [Last Accessed 5 November 2021].</w:t>
      </w:r>
    </w:p>
    <w:p w14:paraId="3B63C3F8" w14:textId="77777777" w:rsidR="00DE38F8" w:rsidRPr="00DE38F8" w:rsidRDefault="00DE38F8" w:rsidP="00DE38F8">
      <w:pPr>
        <w:rPr>
          <w:sz w:val="28"/>
          <w:szCs w:val="28"/>
        </w:rPr>
      </w:pPr>
      <w:r w:rsidRPr="00DE38F8">
        <w:rPr>
          <w:sz w:val="28"/>
          <w:szCs w:val="28"/>
        </w:rPr>
        <w:t xml:space="preserve">Harvey, P. &amp; </w:t>
      </w:r>
      <w:proofErr w:type="spellStart"/>
      <w:r w:rsidRPr="00DE38F8">
        <w:rPr>
          <w:sz w:val="28"/>
          <w:szCs w:val="28"/>
        </w:rPr>
        <w:t>Hoggart</w:t>
      </w:r>
      <w:proofErr w:type="spellEnd"/>
      <w:r w:rsidRPr="00DE38F8">
        <w:rPr>
          <w:sz w:val="28"/>
          <w:szCs w:val="28"/>
        </w:rPr>
        <w:t>, S. (1973). ‘</w:t>
      </w:r>
      <w:r w:rsidRPr="00DE38F8">
        <w:rPr>
          <w:i/>
          <w:iCs/>
          <w:sz w:val="28"/>
          <w:szCs w:val="28"/>
        </w:rPr>
        <w:t xml:space="preserve">Ten held after Provo bombs blast London’. </w:t>
      </w:r>
      <w:r w:rsidRPr="00DE38F8">
        <w:rPr>
          <w:sz w:val="28"/>
          <w:szCs w:val="28"/>
        </w:rPr>
        <w:t>The Guardian. 9</w:t>
      </w:r>
      <w:r w:rsidRPr="00DE38F8">
        <w:rPr>
          <w:sz w:val="28"/>
          <w:szCs w:val="28"/>
          <w:vertAlign w:val="superscript"/>
        </w:rPr>
        <w:t>th</w:t>
      </w:r>
      <w:r w:rsidRPr="00DE38F8">
        <w:rPr>
          <w:sz w:val="28"/>
          <w:szCs w:val="28"/>
        </w:rPr>
        <w:t xml:space="preserve"> March 1973.</w:t>
      </w:r>
    </w:p>
    <w:p w14:paraId="4341A791" w14:textId="77777777" w:rsidR="00DE38F8" w:rsidRPr="00DE38F8" w:rsidRDefault="00DE38F8" w:rsidP="00DE38F8">
      <w:pPr>
        <w:rPr>
          <w:sz w:val="28"/>
          <w:szCs w:val="28"/>
        </w:rPr>
      </w:pPr>
      <w:r w:rsidRPr="00DE38F8">
        <w:rPr>
          <w:sz w:val="28"/>
          <w:szCs w:val="28"/>
        </w:rPr>
        <w:t xml:space="preserve">Jackson, B. Baker, J. </w:t>
      </w:r>
      <w:proofErr w:type="spellStart"/>
      <w:r w:rsidRPr="00DE38F8">
        <w:rPr>
          <w:sz w:val="28"/>
          <w:szCs w:val="28"/>
        </w:rPr>
        <w:t>Cragin</w:t>
      </w:r>
      <w:proofErr w:type="spellEnd"/>
      <w:r w:rsidRPr="00DE38F8">
        <w:rPr>
          <w:sz w:val="28"/>
          <w:szCs w:val="28"/>
        </w:rPr>
        <w:t xml:space="preserve">, K. </w:t>
      </w:r>
      <w:proofErr w:type="spellStart"/>
      <w:r w:rsidRPr="00DE38F8">
        <w:rPr>
          <w:sz w:val="28"/>
          <w:szCs w:val="28"/>
        </w:rPr>
        <w:t>Parachini</w:t>
      </w:r>
      <w:proofErr w:type="spellEnd"/>
      <w:r w:rsidRPr="00DE38F8">
        <w:rPr>
          <w:sz w:val="28"/>
          <w:szCs w:val="28"/>
        </w:rPr>
        <w:t>, J. Trujillo, H. &amp; Chalk, P. (2005). ‘</w:t>
      </w:r>
      <w:r w:rsidRPr="00DE38F8">
        <w:rPr>
          <w:i/>
          <w:iCs/>
          <w:sz w:val="28"/>
          <w:szCs w:val="28"/>
        </w:rPr>
        <w:t xml:space="preserve">Aptitude for Destruction, Volume 2: Case Studies of Organizational Learning in Five Terrorist Groups’. </w:t>
      </w:r>
      <w:r w:rsidRPr="00DE38F8">
        <w:rPr>
          <w:sz w:val="28"/>
          <w:szCs w:val="28"/>
        </w:rPr>
        <w:t>1</w:t>
      </w:r>
      <w:r w:rsidRPr="00DE38F8">
        <w:rPr>
          <w:sz w:val="28"/>
          <w:szCs w:val="28"/>
          <w:vertAlign w:val="superscript"/>
        </w:rPr>
        <w:t>st</w:t>
      </w:r>
      <w:r w:rsidRPr="00DE38F8">
        <w:rPr>
          <w:sz w:val="28"/>
          <w:szCs w:val="28"/>
        </w:rPr>
        <w:t xml:space="preserve"> edition. RAND Corporation; Santa Monica, USA. Pg. 95.</w:t>
      </w:r>
    </w:p>
    <w:p w14:paraId="48C636E6" w14:textId="77777777" w:rsidR="00DE38F8" w:rsidRPr="00DE38F8" w:rsidRDefault="00DE38F8" w:rsidP="00DE38F8">
      <w:pPr>
        <w:rPr>
          <w:sz w:val="28"/>
          <w:szCs w:val="28"/>
        </w:rPr>
      </w:pPr>
      <w:r w:rsidRPr="00DE38F8">
        <w:rPr>
          <w:sz w:val="28"/>
          <w:szCs w:val="28"/>
        </w:rPr>
        <w:t xml:space="preserve">Jones, S. </w:t>
      </w:r>
      <w:proofErr w:type="spellStart"/>
      <w:r w:rsidRPr="00DE38F8">
        <w:rPr>
          <w:sz w:val="28"/>
          <w:szCs w:val="28"/>
        </w:rPr>
        <w:t>Doxsee</w:t>
      </w:r>
      <w:proofErr w:type="spellEnd"/>
      <w:r w:rsidRPr="00DE38F8">
        <w:rPr>
          <w:sz w:val="28"/>
          <w:szCs w:val="28"/>
        </w:rPr>
        <w:t>, C. &amp; Harrington, N. (2020). ‘</w:t>
      </w:r>
      <w:r w:rsidRPr="00DE38F8">
        <w:rPr>
          <w:i/>
          <w:iCs/>
          <w:sz w:val="28"/>
          <w:szCs w:val="28"/>
        </w:rPr>
        <w:t xml:space="preserve">The Tactics and Targets of Domestic Terrorists’. </w:t>
      </w:r>
      <w:r w:rsidRPr="00DE38F8">
        <w:rPr>
          <w:sz w:val="28"/>
          <w:szCs w:val="28"/>
        </w:rPr>
        <w:t xml:space="preserve">Centre for Strategic &amp; International Studies. Csis.org. (Online Available: </w:t>
      </w:r>
      <w:hyperlink r:id="rId7" w:history="1">
        <w:r w:rsidRPr="00DE38F8">
          <w:rPr>
            <w:rStyle w:val="Hyperlink"/>
            <w:sz w:val="28"/>
            <w:szCs w:val="28"/>
          </w:rPr>
          <w:t>https://www.csis.org/analysis/tactics-and-targets-domestic-terrorists</w:t>
        </w:r>
      </w:hyperlink>
      <w:r w:rsidRPr="00DE38F8">
        <w:rPr>
          <w:sz w:val="28"/>
          <w:szCs w:val="28"/>
        </w:rPr>
        <w:t>) [Last Accessed 8 November 2021].</w:t>
      </w:r>
    </w:p>
    <w:p w14:paraId="7734EB7F" w14:textId="77777777" w:rsidR="00DE38F8" w:rsidRPr="00DE38F8" w:rsidRDefault="00DE38F8" w:rsidP="00DE38F8">
      <w:pPr>
        <w:rPr>
          <w:sz w:val="28"/>
          <w:szCs w:val="28"/>
        </w:rPr>
      </w:pPr>
      <w:proofErr w:type="spellStart"/>
      <w:r w:rsidRPr="00DE38F8">
        <w:rPr>
          <w:sz w:val="28"/>
          <w:szCs w:val="28"/>
        </w:rPr>
        <w:t>Kydd</w:t>
      </w:r>
      <w:proofErr w:type="spellEnd"/>
      <w:r w:rsidRPr="00DE38F8">
        <w:rPr>
          <w:sz w:val="28"/>
          <w:szCs w:val="28"/>
        </w:rPr>
        <w:t>, A. &amp; Walter, B. (2006). ‘</w:t>
      </w:r>
      <w:r w:rsidRPr="00DE38F8">
        <w:rPr>
          <w:i/>
          <w:iCs/>
          <w:sz w:val="28"/>
          <w:szCs w:val="28"/>
        </w:rPr>
        <w:t xml:space="preserve">The Strategies of Terrorism’. </w:t>
      </w:r>
      <w:r w:rsidRPr="00DE38F8">
        <w:rPr>
          <w:sz w:val="28"/>
          <w:szCs w:val="28"/>
        </w:rPr>
        <w:t xml:space="preserve">Quarterly Journal: International Security. 31(1). Pg. 49.  </w:t>
      </w:r>
    </w:p>
    <w:p w14:paraId="443B4E17" w14:textId="77777777" w:rsidR="00DE38F8" w:rsidRPr="00DE38F8" w:rsidRDefault="00DE38F8" w:rsidP="00DE38F8">
      <w:pPr>
        <w:rPr>
          <w:sz w:val="28"/>
          <w:szCs w:val="28"/>
        </w:rPr>
      </w:pPr>
      <w:proofErr w:type="spellStart"/>
      <w:r w:rsidRPr="00DE38F8">
        <w:rPr>
          <w:sz w:val="28"/>
          <w:szCs w:val="28"/>
        </w:rPr>
        <w:t>Lhor</w:t>
      </w:r>
      <w:proofErr w:type="spellEnd"/>
      <w:r w:rsidRPr="00DE38F8">
        <w:rPr>
          <w:sz w:val="28"/>
          <w:szCs w:val="28"/>
        </w:rPr>
        <w:t xml:space="preserve">, S. (1988). </w:t>
      </w:r>
      <w:r w:rsidRPr="00DE38F8">
        <w:rPr>
          <w:i/>
          <w:iCs/>
          <w:sz w:val="28"/>
          <w:szCs w:val="28"/>
        </w:rPr>
        <w:t xml:space="preserve">‘IRA Shifts Tactics, and the Results are Deadly’. </w:t>
      </w:r>
      <w:r w:rsidRPr="00DE38F8">
        <w:rPr>
          <w:sz w:val="28"/>
          <w:szCs w:val="28"/>
        </w:rPr>
        <w:t>The New York Times. 23</w:t>
      </w:r>
      <w:r w:rsidRPr="00DE38F8">
        <w:rPr>
          <w:sz w:val="28"/>
          <w:szCs w:val="28"/>
          <w:vertAlign w:val="superscript"/>
        </w:rPr>
        <w:t>rd</w:t>
      </w:r>
      <w:r w:rsidRPr="00DE38F8">
        <w:rPr>
          <w:sz w:val="28"/>
          <w:szCs w:val="28"/>
        </w:rPr>
        <w:t xml:space="preserve"> August 1988.</w:t>
      </w:r>
      <w:r w:rsidRPr="00DE38F8">
        <w:rPr>
          <w:i/>
          <w:iCs/>
          <w:sz w:val="28"/>
          <w:szCs w:val="28"/>
        </w:rPr>
        <w:t xml:space="preserve"> </w:t>
      </w:r>
      <w:r w:rsidRPr="00DE38F8">
        <w:rPr>
          <w:sz w:val="28"/>
          <w:szCs w:val="28"/>
        </w:rPr>
        <w:t xml:space="preserve"> </w:t>
      </w:r>
    </w:p>
    <w:p w14:paraId="322F9203" w14:textId="77777777" w:rsidR="00DE38F8" w:rsidRPr="00DE38F8" w:rsidRDefault="00DE38F8" w:rsidP="00DE38F8">
      <w:pPr>
        <w:rPr>
          <w:sz w:val="28"/>
          <w:szCs w:val="28"/>
        </w:rPr>
      </w:pPr>
      <w:r w:rsidRPr="00DE38F8">
        <w:rPr>
          <w:sz w:val="28"/>
          <w:szCs w:val="28"/>
        </w:rPr>
        <w:lastRenderedPageBreak/>
        <w:t>McKittrick, D. (2001). ‘</w:t>
      </w:r>
      <w:r w:rsidRPr="00DE38F8">
        <w:rPr>
          <w:i/>
          <w:iCs/>
          <w:sz w:val="28"/>
          <w:szCs w:val="28"/>
        </w:rPr>
        <w:t xml:space="preserve">Lost Lives: The Stories of the Men, Women and Children who Died as a Result of the Northern Ireland Troubles’. </w:t>
      </w:r>
      <w:r w:rsidRPr="00DE38F8">
        <w:rPr>
          <w:sz w:val="28"/>
          <w:szCs w:val="28"/>
        </w:rPr>
        <w:t>1</w:t>
      </w:r>
      <w:r w:rsidRPr="00DE38F8">
        <w:rPr>
          <w:sz w:val="28"/>
          <w:szCs w:val="28"/>
          <w:vertAlign w:val="superscript"/>
        </w:rPr>
        <w:t>st</w:t>
      </w:r>
      <w:r w:rsidRPr="00DE38F8">
        <w:rPr>
          <w:sz w:val="28"/>
          <w:szCs w:val="28"/>
        </w:rPr>
        <w:t xml:space="preserve"> edition. Mainstream Publishing; Edinburgh, UK. </w:t>
      </w:r>
    </w:p>
    <w:p w14:paraId="660145C5" w14:textId="77777777" w:rsidR="00DE38F8" w:rsidRPr="00DE38F8" w:rsidRDefault="00DE38F8" w:rsidP="00DE38F8">
      <w:pPr>
        <w:rPr>
          <w:sz w:val="28"/>
          <w:szCs w:val="28"/>
        </w:rPr>
      </w:pPr>
      <w:r w:rsidRPr="00DE38F8">
        <w:rPr>
          <w:sz w:val="28"/>
          <w:szCs w:val="28"/>
        </w:rPr>
        <w:t xml:space="preserve">Moloney, E. (2007). </w:t>
      </w:r>
      <w:r w:rsidRPr="00DE38F8">
        <w:rPr>
          <w:i/>
          <w:iCs/>
          <w:sz w:val="28"/>
          <w:szCs w:val="28"/>
        </w:rPr>
        <w:t xml:space="preserve">‘A Secret History of the IRA’. </w:t>
      </w:r>
      <w:r w:rsidRPr="00DE38F8">
        <w:rPr>
          <w:sz w:val="28"/>
          <w:szCs w:val="28"/>
        </w:rPr>
        <w:t>2</w:t>
      </w:r>
      <w:r w:rsidRPr="00DE38F8">
        <w:rPr>
          <w:sz w:val="28"/>
          <w:szCs w:val="28"/>
          <w:vertAlign w:val="superscript"/>
        </w:rPr>
        <w:t>nd</w:t>
      </w:r>
      <w:r w:rsidRPr="00DE38F8">
        <w:rPr>
          <w:sz w:val="28"/>
          <w:szCs w:val="28"/>
        </w:rPr>
        <w:t xml:space="preserve"> edition. Penguin Books; London, UK. Pgs. 100-105.</w:t>
      </w:r>
    </w:p>
    <w:p w14:paraId="31EF3069" w14:textId="77777777" w:rsidR="00DE38F8" w:rsidRPr="00DE38F8" w:rsidRDefault="00DE38F8" w:rsidP="00DE38F8">
      <w:pPr>
        <w:rPr>
          <w:sz w:val="28"/>
          <w:szCs w:val="28"/>
        </w:rPr>
      </w:pPr>
      <w:r w:rsidRPr="00DE38F8">
        <w:rPr>
          <w:sz w:val="28"/>
          <w:szCs w:val="28"/>
        </w:rPr>
        <w:t>Parry, G. (1983). ‘</w:t>
      </w:r>
      <w:r w:rsidRPr="00DE38F8">
        <w:rPr>
          <w:i/>
          <w:iCs/>
          <w:sz w:val="28"/>
          <w:szCs w:val="28"/>
        </w:rPr>
        <w:t xml:space="preserve">Bomb unauthorised, says IRA’. </w:t>
      </w:r>
      <w:r w:rsidRPr="00DE38F8">
        <w:rPr>
          <w:sz w:val="28"/>
          <w:szCs w:val="28"/>
        </w:rPr>
        <w:t>The Guardian. 19</w:t>
      </w:r>
      <w:r w:rsidRPr="00DE38F8">
        <w:rPr>
          <w:sz w:val="28"/>
          <w:szCs w:val="28"/>
          <w:vertAlign w:val="superscript"/>
        </w:rPr>
        <w:t>th</w:t>
      </w:r>
      <w:r w:rsidRPr="00DE38F8">
        <w:rPr>
          <w:sz w:val="28"/>
          <w:szCs w:val="28"/>
        </w:rPr>
        <w:t xml:space="preserve"> December 1983.</w:t>
      </w:r>
    </w:p>
    <w:p w14:paraId="4020F221" w14:textId="77777777" w:rsidR="00DE38F8" w:rsidRPr="00DE38F8" w:rsidRDefault="00DE38F8" w:rsidP="00DE38F8">
      <w:pPr>
        <w:rPr>
          <w:sz w:val="28"/>
          <w:szCs w:val="28"/>
        </w:rPr>
      </w:pPr>
      <w:r w:rsidRPr="00DE38F8">
        <w:rPr>
          <w:sz w:val="28"/>
          <w:szCs w:val="28"/>
        </w:rPr>
        <w:t xml:space="preserve">Rebello, N. (2015). </w:t>
      </w:r>
      <w:r w:rsidRPr="00DE38F8">
        <w:rPr>
          <w:i/>
          <w:iCs/>
          <w:sz w:val="28"/>
          <w:szCs w:val="28"/>
        </w:rPr>
        <w:t xml:space="preserve">‘Irish Republican Army (Revisited)’. </w:t>
      </w:r>
      <w:r w:rsidRPr="00DE38F8">
        <w:rPr>
          <w:sz w:val="28"/>
          <w:szCs w:val="28"/>
        </w:rPr>
        <w:t xml:space="preserve">Scalar.usc.edu. (Online Available: </w:t>
      </w:r>
      <w:hyperlink r:id="rId8" w:history="1">
        <w:r w:rsidRPr="00DE38F8">
          <w:rPr>
            <w:rStyle w:val="Hyperlink"/>
            <w:sz w:val="28"/>
            <w:szCs w:val="28"/>
          </w:rPr>
          <w:t>https://scalar.usc.edu/works/irish-republican-army-revised/index</w:t>
        </w:r>
      </w:hyperlink>
      <w:r w:rsidRPr="00DE38F8">
        <w:rPr>
          <w:sz w:val="28"/>
          <w:szCs w:val="28"/>
        </w:rPr>
        <w:t>) [Last Accessed 9 November 2021].</w:t>
      </w:r>
    </w:p>
    <w:p w14:paraId="4AF5A87D" w14:textId="77777777" w:rsidR="00DE38F8" w:rsidRPr="00DE38F8" w:rsidRDefault="00DE38F8" w:rsidP="00DE38F8">
      <w:pPr>
        <w:rPr>
          <w:sz w:val="28"/>
          <w:szCs w:val="28"/>
        </w:rPr>
      </w:pPr>
      <w:r w:rsidRPr="00DE38F8">
        <w:rPr>
          <w:sz w:val="28"/>
          <w:szCs w:val="28"/>
        </w:rPr>
        <w:t>Smith, M. L. R. (1995). ‘</w:t>
      </w:r>
      <w:r w:rsidRPr="00DE38F8">
        <w:rPr>
          <w:i/>
          <w:iCs/>
          <w:sz w:val="28"/>
          <w:szCs w:val="28"/>
        </w:rPr>
        <w:t>Fighting for Ireland: The Military Strategy of the Irish Republican Movement’</w:t>
      </w:r>
      <w:r w:rsidRPr="00DE38F8">
        <w:rPr>
          <w:sz w:val="28"/>
          <w:szCs w:val="28"/>
        </w:rPr>
        <w:t>. 1</w:t>
      </w:r>
      <w:r w:rsidRPr="00DE38F8">
        <w:rPr>
          <w:sz w:val="28"/>
          <w:szCs w:val="28"/>
          <w:vertAlign w:val="superscript"/>
        </w:rPr>
        <w:t>st</w:t>
      </w:r>
      <w:r w:rsidRPr="00DE38F8">
        <w:rPr>
          <w:sz w:val="28"/>
          <w:szCs w:val="28"/>
        </w:rPr>
        <w:t xml:space="preserve"> edition. Routledge; Oxfordshire, UK. Pgs. 97-99.</w:t>
      </w:r>
    </w:p>
    <w:p w14:paraId="4D4DAEB5" w14:textId="77777777" w:rsidR="00DE38F8" w:rsidRPr="00DE38F8" w:rsidRDefault="00DE38F8" w:rsidP="00DE38F8">
      <w:pPr>
        <w:rPr>
          <w:sz w:val="28"/>
          <w:szCs w:val="28"/>
        </w:rPr>
      </w:pPr>
      <w:r w:rsidRPr="00DE38F8">
        <w:rPr>
          <w:sz w:val="28"/>
          <w:szCs w:val="28"/>
        </w:rPr>
        <w:t>Taylor, P. (1998). ‘</w:t>
      </w:r>
      <w:r w:rsidRPr="00DE38F8">
        <w:rPr>
          <w:i/>
          <w:iCs/>
          <w:sz w:val="28"/>
          <w:szCs w:val="28"/>
        </w:rPr>
        <w:t xml:space="preserve">Provos The IRA &amp; Sinn Féin’. </w:t>
      </w:r>
      <w:r w:rsidRPr="00DE38F8">
        <w:rPr>
          <w:sz w:val="28"/>
          <w:szCs w:val="28"/>
        </w:rPr>
        <w:t>1</w:t>
      </w:r>
      <w:r w:rsidRPr="00DE38F8">
        <w:rPr>
          <w:sz w:val="28"/>
          <w:szCs w:val="28"/>
          <w:vertAlign w:val="superscript"/>
        </w:rPr>
        <w:t>st</w:t>
      </w:r>
      <w:r w:rsidRPr="00DE38F8">
        <w:rPr>
          <w:sz w:val="28"/>
          <w:szCs w:val="28"/>
        </w:rPr>
        <w:t xml:space="preserve"> edition.</w:t>
      </w:r>
      <w:r w:rsidRPr="00DE38F8">
        <w:rPr>
          <w:i/>
          <w:iCs/>
          <w:sz w:val="28"/>
          <w:szCs w:val="28"/>
        </w:rPr>
        <w:t xml:space="preserve"> </w:t>
      </w:r>
      <w:r w:rsidRPr="00DE38F8">
        <w:rPr>
          <w:sz w:val="28"/>
          <w:szCs w:val="28"/>
        </w:rPr>
        <w:t>Bloomsbury; New York, USA. Pgs. 80-85.</w:t>
      </w:r>
    </w:p>
    <w:p w14:paraId="383433CA" w14:textId="77777777" w:rsidR="00DE38F8" w:rsidRPr="00DE38F8" w:rsidRDefault="00DE38F8" w:rsidP="00DE38F8">
      <w:pPr>
        <w:rPr>
          <w:sz w:val="28"/>
          <w:szCs w:val="28"/>
        </w:rPr>
      </w:pPr>
      <w:r w:rsidRPr="00DE38F8">
        <w:rPr>
          <w:sz w:val="28"/>
          <w:szCs w:val="28"/>
        </w:rPr>
        <w:t>Wilson, J. (2000). ‘</w:t>
      </w:r>
      <w:r w:rsidRPr="00DE38F8">
        <w:rPr>
          <w:i/>
          <w:iCs/>
          <w:sz w:val="28"/>
          <w:szCs w:val="28"/>
        </w:rPr>
        <w:t xml:space="preserve">How the Real IRA recruits boys into a life of terrorism’. </w:t>
      </w:r>
      <w:r w:rsidRPr="00DE38F8">
        <w:rPr>
          <w:sz w:val="28"/>
          <w:szCs w:val="28"/>
        </w:rPr>
        <w:t>The Guardian. 18</w:t>
      </w:r>
      <w:r w:rsidRPr="00DE38F8">
        <w:rPr>
          <w:sz w:val="28"/>
          <w:szCs w:val="28"/>
          <w:vertAlign w:val="superscript"/>
        </w:rPr>
        <w:t>th</w:t>
      </w:r>
      <w:r w:rsidRPr="00DE38F8">
        <w:rPr>
          <w:sz w:val="28"/>
          <w:szCs w:val="28"/>
        </w:rPr>
        <w:t xml:space="preserve"> November 2000.</w:t>
      </w:r>
    </w:p>
    <w:p w14:paraId="21613D96" w14:textId="4011639A" w:rsidR="00DE38F8" w:rsidRDefault="00DE38F8" w:rsidP="00B4121A">
      <w:pPr>
        <w:rPr>
          <w:sz w:val="28"/>
          <w:szCs w:val="28"/>
        </w:rPr>
      </w:pPr>
      <w:r>
        <w:rPr>
          <w:sz w:val="28"/>
          <w:szCs w:val="28"/>
        </w:rPr>
        <w:t xml:space="preserve">Alpha History. (2021). </w:t>
      </w:r>
      <w:r w:rsidRPr="00B4121A">
        <w:rPr>
          <w:sz w:val="28"/>
          <w:szCs w:val="28"/>
        </w:rPr>
        <w:t>T</w:t>
      </w:r>
      <w:r>
        <w:rPr>
          <w:sz w:val="28"/>
          <w:szCs w:val="28"/>
        </w:rPr>
        <w:t>he</w:t>
      </w:r>
      <w:r w:rsidRPr="00B4121A">
        <w:rPr>
          <w:sz w:val="28"/>
          <w:szCs w:val="28"/>
        </w:rPr>
        <w:t xml:space="preserve"> IRA G</w:t>
      </w:r>
      <w:r>
        <w:rPr>
          <w:sz w:val="28"/>
          <w:szCs w:val="28"/>
        </w:rPr>
        <w:t>reen</w:t>
      </w:r>
      <w:r w:rsidRPr="00B4121A">
        <w:rPr>
          <w:sz w:val="28"/>
          <w:szCs w:val="28"/>
        </w:rPr>
        <w:t xml:space="preserve"> B</w:t>
      </w:r>
      <w:r>
        <w:rPr>
          <w:sz w:val="28"/>
          <w:szCs w:val="28"/>
        </w:rPr>
        <w:t>ook</w:t>
      </w:r>
      <w:r w:rsidRPr="00B4121A">
        <w:rPr>
          <w:sz w:val="28"/>
          <w:szCs w:val="28"/>
        </w:rPr>
        <w:t>: G</w:t>
      </w:r>
      <w:r>
        <w:rPr>
          <w:sz w:val="28"/>
          <w:szCs w:val="28"/>
        </w:rPr>
        <w:t>uerrilla</w:t>
      </w:r>
      <w:r w:rsidRPr="00B4121A">
        <w:rPr>
          <w:sz w:val="28"/>
          <w:szCs w:val="28"/>
        </w:rPr>
        <w:t xml:space="preserve"> S</w:t>
      </w:r>
      <w:r>
        <w:rPr>
          <w:sz w:val="28"/>
          <w:szCs w:val="28"/>
        </w:rPr>
        <w:t>trategy</w:t>
      </w:r>
      <w:r w:rsidRPr="00B4121A">
        <w:rPr>
          <w:sz w:val="28"/>
          <w:szCs w:val="28"/>
        </w:rPr>
        <w:t xml:space="preserve"> (1977)</w:t>
      </w:r>
      <w:r>
        <w:rPr>
          <w:sz w:val="28"/>
          <w:szCs w:val="28"/>
        </w:rPr>
        <w:t xml:space="preserve">. Alphahistory.com. (Online Available: </w:t>
      </w:r>
      <w:hyperlink r:id="rId9" w:history="1">
        <w:r w:rsidRPr="00051108">
          <w:rPr>
            <w:rStyle w:val="Hyperlink"/>
            <w:sz w:val="28"/>
            <w:szCs w:val="28"/>
          </w:rPr>
          <w:t>https://alphahistory.com/northernireland/ira-green-book-guerrilla-1977/</w:t>
        </w:r>
      </w:hyperlink>
      <w:r>
        <w:rPr>
          <w:sz w:val="28"/>
          <w:szCs w:val="28"/>
        </w:rPr>
        <w:t>) [Last Accessed 9 November 2021].</w:t>
      </w:r>
    </w:p>
    <w:p w14:paraId="2ED3B810" w14:textId="77777777" w:rsidR="00DE38F8" w:rsidRDefault="00DE38F8" w:rsidP="00B4121A">
      <w:pPr>
        <w:rPr>
          <w:sz w:val="28"/>
          <w:szCs w:val="28"/>
        </w:rPr>
      </w:pPr>
      <w:r>
        <w:rPr>
          <w:sz w:val="28"/>
          <w:szCs w:val="28"/>
        </w:rPr>
        <w:t xml:space="preserve">Counter Terrorism Guide. (2021). </w:t>
      </w:r>
      <w:r>
        <w:rPr>
          <w:i/>
          <w:iCs/>
          <w:sz w:val="28"/>
          <w:szCs w:val="28"/>
        </w:rPr>
        <w:t xml:space="preserve">‘Methods &amp; Tactics’. </w:t>
      </w:r>
      <w:r>
        <w:rPr>
          <w:sz w:val="28"/>
          <w:szCs w:val="28"/>
        </w:rPr>
        <w:t xml:space="preserve">Dni.gov. (Online Available: </w:t>
      </w:r>
      <w:hyperlink r:id="rId10" w:anchor="sarin" w:history="1">
        <w:r w:rsidRPr="00051108">
          <w:rPr>
            <w:rStyle w:val="Hyperlink"/>
            <w:sz w:val="28"/>
            <w:szCs w:val="28"/>
          </w:rPr>
          <w:t>https://www.dni.gov/nctc/methods.html#sarin</w:t>
        </w:r>
      </w:hyperlink>
      <w:r>
        <w:rPr>
          <w:sz w:val="28"/>
          <w:szCs w:val="28"/>
        </w:rPr>
        <w:t>) [Last Accessed 9 November 2021].</w:t>
      </w:r>
    </w:p>
    <w:p w14:paraId="0B491149" w14:textId="77777777" w:rsidR="00DE38F8" w:rsidRDefault="00DE38F8" w:rsidP="000E37A1">
      <w:pPr>
        <w:rPr>
          <w:sz w:val="28"/>
          <w:szCs w:val="28"/>
        </w:rPr>
      </w:pPr>
      <w:r>
        <w:rPr>
          <w:sz w:val="28"/>
          <w:szCs w:val="28"/>
        </w:rPr>
        <w:t>Crown Prosecution Service. (2017). ‘</w:t>
      </w:r>
      <w:r w:rsidRPr="00940953">
        <w:rPr>
          <w:i/>
          <w:iCs/>
          <w:sz w:val="28"/>
          <w:szCs w:val="28"/>
        </w:rPr>
        <w:t>Terrorism</w:t>
      </w:r>
      <w:r>
        <w:rPr>
          <w:i/>
          <w:iCs/>
          <w:sz w:val="28"/>
          <w:szCs w:val="28"/>
        </w:rPr>
        <w:t xml:space="preserve">’. </w:t>
      </w:r>
      <w:r>
        <w:rPr>
          <w:sz w:val="28"/>
          <w:szCs w:val="28"/>
        </w:rPr>
        <w:t xml:space="preserve">Cps.gov.uk. (Online Available: </w:t>
      </w:r>
      <w:hyperlink r:id="rId11" w:history="1">
        <w:r w:rsidRPr="004A1594">
          <w:rPr>
            <w:rStyle w:val="Hyperlink"/>
            <w:sz w:val="28"/>
            <w:szCs w:val="28"/>
          </w:rPr>
          <w:t>https://www.cps.gov.uk/crime-info/terrorism</w:t>
        </w:r>
      </w:hyperlink>
      <w:r>
        <w:rPr>
          <w:sz w:val="28"/>
          <w:szCs w:val="28"/>
        </w:rPr>
        <w:t>) [Last Accessed 5 November 2021].</w:t>
      </w:r>
    </w:p>
    <w:p w14:paraId="1753A478" w14:textId="77777777" w:rsidR="00DE38F8" w:rsidRDefault="00DE38F8" w:rsidP="001768A3">
      <w:pPr>
        <w:rPr>
          <w:sz w:val="28"/>
          <w:szCs w:val="28"/>
        </w:rPr>
      </w:pPr>
      <w:r>
        <w:rPr>
          <w:sz w:val="28"/>
          <w:szCs w:val="28"/>
        </w:rPr>
        <w:t>Imperial War Museums. (2021). ‘</w:t>
      </w:r>
      <w:r w:rsidRPr="001768A3">
        <w:rPr>
          <w:i/>
          <w:iCs/>
          <w:sz w:val="28"/>
          <w:szCs w:val="28"/>
        </w:rPr>
        <w:t>What You Need to Know About the Troubles</w:t>
      </w:r>
      <w:r>
        <w:rPr>
          <w:sz w:val="28"/>
          <w:szCs w:val="28"/>
        </w:rPr>
        <w:t xml:space="preserve">’. Iwm.org.uk. (Online Available:  </w:t>
      </w:r>
      <w:hyperlink r:id="rId12" w:history="1">
        <w:r w:rsidRPr="008D75AE">
          <w:rPr>
            <w:rStyle w:val="Hyperlink"/>
            <w:sz w:val="28"/>
            <w:szCs w:val="28"/>
          </w:rPr>
          <w:t>https://www.iwm.org.uk/history/what-you-need-to-know-about-the-troubles</w:t>
        </w:r>
      </w:hyperlink>
      <w:r>
        <w:rPr>
          <w:sz w:val="28"/>
          <w:szCs w:val="28"/>
        </w:rPr>
        <w:t>) [Last Accessed 6 November 2021].</w:t>
      </w:r>
    </w:p>
    <w:p w14:paraId="60D147B7" w14:textId="77777777" w:rsidR="00DE38F8" w:rsidRDefault="00DE38F8" w:rsidP="0031254E">
      <w:pPr>
        <w:rPr>
          <w:sz w:val="28"/>
          <w:szCs w:val="28"/>
        </w:rPr>
      </w:pPr>
      <w:r>
        <w:rPr>
          <w:sz w:val="28"/>
          <w:szCs w:val="28"/>
        </w:rPr>
        <w:t>National Counter Terrorism Security Office. (2020). ‘</w:t>
      </w:r>
      <w:r w:rsidRPr="0031254E">
        <w:rPr>
          <w:i/>
          <w:iCs/>
          <w:sz w:val="28"/>
          <w:szCs w:val="28"/>
        </w:rPr>
        <w:t>Attack Methodology: Vehicle bombs</w:t>
      </w:r>
      <w:r>
        <w:rPr>
          <w:i/>
          <w:iCs/>
          <w:sz w:val="28"/>
          <w:szCs w:val="28"/>
        </w:rPr>
        <w:t xml:space="preserve">’. </w:t>
      </w:r>
      <w:r>
        <w:rPr>
          <w:sz w:val="28"/>
          <w:szCs w:val="28"/>
        </w:rPr>
        <w:t xml:space="preserve">Gov.uk. (Online Available: </w:t>
      </w:r>
      <w:hyperlink r:id="rId13" w:history="1">
        <w:r w:rsidRPr="00051108">
          <w:rPr>
            <w:rStyle w:val="Hyperlink"/>
            <w:sz w:val="28"/>
            <w:szCs w:val="28"/>
          </w:rPr>
          <w:t>https://www.gov.uk/government/publications/crowded-places-</w:t>
        </w:r>
        <w:r w:rsidRPr="00051108">
          <w:rPr>
            <w:rStyle w:val="Hyperlink"/>
            <w:sz w:val="28"/>
            <w:szCs w:val="28"/>
          </w:rPr>
          <w:lastRenderedPageBreak/>
          <w:t>guidance/attack-methodology-vehicle-bombs</w:t>
        </w:r>
      </w:hyperlink>
      <w:r>
        <w:rPr>
          <w:sz w:val="28"/>
          <w:szCs w:val="28"/>
        </w:rPr>
        <w:t>) [Last Accessed 10 November 2021].</w:t>
      </w:r>
    </w:p>
    <w:p w14:paraId="57B90F38" w14:textId="77777777" w:rsidR="00DE38F8" w:rsidRDefault="00DE38F8" w:rsidP="001768A3">
      <w:pPr>
        <w:rPr>
          <w:sz w:val="28"/>
          <w:szCs w:val="28"/>
        </w:rPr>
      </w:pPr>
      <w:r>
        <w:rPr>
          <w:sz w:val="28"/>
          <w:szCs w:val="28"/>
        </w:rPr>
        <w:t>Northern Ireland Assembly. (2017). ‘</w:t>
      </w:r>
      <w:r w:rsidRPr="001768A3">
        <w:rPr>
          <w:i/>
          <w:iCs/>
          <w:sz w:val="28"/>
          <w:szCs w:val="28"/>
        </w:rPr>
        <w:t>The Belfast Agreement/Good Friday Agreement 1998</w:t>
      </w:r>
      <w:r>
        <w:rPr>
          <w:i/>
          <w:iCs/>
          <w:sz w:val="28"/>
          <w:szCs w:val="28"/>
        </w:rPr>
        <w:t xml:space="preserve">’. </w:t>
      </w:r>
      <w:r>
        <w:rPr>
          <w:sz w:val="28"/>
          <w:szCs w:val="28"/>
        </w:rPr>
        <w:t xml:space="preserve">Education.Niassembly.gov.uk. (Online Available: </w:t>
      </w:r>
      <w:hyperlink r:id="rId14" w:history="1">
        <w:r w:rsidRPr="008D75AE">
          <w:rPr>
            <w:rStyle w:val="Hyperlink"/>
            <w:sz w:val="28"/>
            <w:szCs w:val="28"/>
          </w:rPr>
          <w:t>https://education.niassembly.gov.uk/post_16/snapshots_of_devolution/gfa</w:t>
        </w:r>
      </w:hyperlink>
      <w:r>
        <w:rPr>
          <w:sz w:val="28"/>
          <w:szCs w:val="28"/>
        </w:rPr>
        <w:t>) [Last Accessed 7 November 2021].</w:t>
      </w:r>
    </w:p>
    <w:p w14:paraId="072EB676" w14:textId="2F7E1614" w:rsidR="00E11877" w:rsidRPr="00586CB7" w:rsidRDefault="00E11877" w:rsidP="00586CB7">
      <w:pPr>
        <w:rPr>
          <w:sz w:val="28"/>
          <w:szCs w:val="28"/>
        </w:rPr>
      </w:pPr>
    </w:p>
    <w:p w14:paraId="5CE393E7" w14:textId="44AD14FA" w:rsidR="00586CB7" w:rsidRPr="00346E3D" w:rsidRDefault="00586CB7" w:rsidP="000F6EA0">
      <w:pPr>
        <w:rPr>
          <w:sz w:val="28"/>
          <w:szCs w:val="28"/>
        </w:rPr>
      </w:pPr>
    </w:p>
    <w:p w14:paraId="5A0B7B1C" w14:textId="1796F1A6" w:rsidR="000F6EA0" w:rsidRPr="0031254E" w:rsidRDefault="000F6EA0" w:rsidP="0031254E">
      <w:pPr>
        <w:rPr>
          <w:sz w:val="28"/>
          <w:szCs w:val="28"/>
        </w:rPr>
      </w:pPr>
    </w:p>
    <w:p w14:paraId="146A59BB" w14:textId="21197DB0" w:rsidR="0031254E" w:rsidRDefault="0031254E" w:rsidP="00B4121A">
      <w:pPr>
        <w:rPr>
          <w:sz w:val="28"/>
          <w:szCs w:val="28"/>
        </w:rPr>
      </w:pPr>
    </w:p>
    <w:p w14:paraId="7AD928A0" w14:textId="77777777" w:rsidR="0031254E" w:rsidRPr="00E52A08" w:rsidRDefault="0031254E" w:rsidP="00B4121A">
      <w:pPr>
        <w:rPr>
          <w:sz w:val="28"/>
          <w:szCs w:val="28"/>
        </w:rPr>
      </w:pPr>
    </w:p>
    <w:p w14:paraId="47D9373B" w14:textId="740D77F4" w:rsidR="00B4121A" w:rsidRPr="00091881" w:rsidRDefault="00B4121A" w:rsidP="00F54264">
      <w:pPr>
        <w:rPr>
          <w:sz w:val="28"/>
          <w:szCs w:val="28"/>
        </w:rPr>
      </w:pPr>
    </w:p>
    <w:p w14:paraId="5E35B8A1" w14:textId="6BEA4982" w:rsidR="00E263E0" w:rsidRPr="000E37A1" w:rsidRDefault="00E263E0" w:rsidP="000E37A1">
      <w:pPr>
        <w:rPr>
          <w:sz w:val="28"/>
          <w:szCs w:val="28"/>
        </w:rPr>
      </w:pPr>
    </w:p>
    <w:p w14:paraId="129A8430" w14:textId="7197C07B" w:rsidR="000E37A1" w:rsidRPr="001768A3" w:rsidRDefault="000E37A1" w:rsidP="001768A3">
      <w:pPr>
        <w:rPr>
          <w:sz w:val="28"/>
          <w:szCs w:val="28"/>
        </w:rPr>
      </w:pPr>
    </w:p>
    <w:p w14:paraId="586A451F" w14:textId="7204C891" w:rsidR="001768A3" w:rsidRPr="001768A3" w:rsidRDefault="001768A3" w:rsidP="001768A3">
      <w:pPr>
        <w:rPr>
          <w:sz w:val="28"/>
          <w:szCs w:val="28"/>
        </w:rPr>
      </w:pPr>
    </w:p>
    <w:p w14:paraId="4141E555" w14:textId="7FEAA155" w:rsidR="001768A3" w:rsidRPr="00637233" w:rsidRDefault="001768A3" w:rsidP="00637233">
      <w:pPr>
        <w:rPr>
          <w:sz w:val="28"/>
          <w:szCs w:val="28"/>
        </w:rPr>
      </w:pPr>
    </w:p>
    <w:p w14:paraId="7F4B4305" w14:textId="64468E22" w:rsidR="00F6026C" w:rsidRPr="00F6026C" w:rsidRDefault="00F6026C">
      <w:pPr>
        <w:rPr>
          <w:sz w:val="28"/>
          <w:szCs w:val="28"/>
        </w:rPr>
      </w:pPr>
    </w:p>
    <w:sectPr w:rsidR="00F6026C" w:rsidRPr="00F6026C" w:rsidSect="00750DE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0DEE"/>
    <w:rsid w:val="00014AA8"/>
    <w:rsid w:val="0005118B"/>
    <w:rsid w:val="000532AB"/>
    <w:rsid w:val="00061F9B"/>
    <w:rsid w:val="00071346"/>
    <w:rsid w:val="00087204"/>
    <w:rsid w:val="00091881"/>
    <w:rsid w:val="000A5C91"/>
    <w:rsid w:val="000B0961"/>
    <w:rsid w:val="000B69BD"/>
    <w:rsid w:val="000C3E91"/>
    <w:rsid w:val="000E37A1"/>
    <w:rsid w:val="000E73AF"/>
    <w:rsid w:val="000F1584"/>
    <w:rsid w:val="000F6EA0"/>
    <w:rsid w:val="00136518"/>
    <w:rsid w:val="001460F0"/>
    <w:rsid w:val="00153E41"/>
    <w:rsid w:val="001768A3"/>
    <w:rsid w:val="00180302"/>
    <w:rsid w:val="001B7269"/>
    <w:rsid w:val="001C1146"/>
    <w:rsid w:val="00205FA8"/>
    <w:rsid w:val="00217787"/>
    <w:rsid w:val="00260101"/>
    <w:rsid w:val="00264951"/>
    <w:rsid w:val="002950EE"/>
    <w:rsid w:val="002B4974"/>
    <w:rsid w:val="0031254E"/>
    <w:rsid w:val="00343899"/>
    <w:rsid w:val="00346E3D"/>
    <w:rsid w:val="00356592"/>
    <w:rsid w:val="003721AB"/>
    <w:rsid w:val="00375CD0"/>
    <w:rsid w:val="003832C4"/>
    <w:rsid w:val="00390D74"/>
    <w:rsid w:val="00397FC1"/>
    <w:rsid w:val="003A07CB"/>
    <w:rsid w:val="003A1518"/>
    <w:rsid w:val="003A46D3"/>
    <w:rsid w:val="003C0C9F"/>
    <w:rsid w:val="003D55AF"/>
    <w:rsid w:val="003E30F5"/>
    <w:rsid w:val="003E3238"/>
    <w:rsid w:val="003F5A9D"/>
    <w:rsid w:val="004642CE"/>
    <w:rsid w:val="004B4842"/>
    <w:rsid w:val="004E5106"/>
    <w:rsid w:val="00525F92"/>
    <w:rsid w:val="00585B0D"/>
    <w:rsid w:val="00586CB7"/>
    <w:rsid w:val="005A00E7"/>
    <w:rsid w:val="005F4D2B"/>
    <w:rsid w:val="00611723"/>
    <w:rsid w:val="006159F3"/>
    <w:rsid w:val="00624257"/>
    <w:rsid w:val="00627586"/>
    <w:rsid w:val="00637233"/>
    <w:rsid w:val="00692464"/>
    <w:rsid w:val="00694274"/>
    <w:rsid w:val="00713560"/>
    <w:rsid w:val="00742E32"/>
    <w:rsid w:val="00743431"/>
    <w:rsid w:val="0075025A"/>
    <w:rsid w:val="00750DEE"/>
    <w:rsid w:val="00756F2A"/>
    <w:rsid w:val="007876D5"/>
    <w:rsid w:val="007A0B8C"/>
    <w:rsid w:val="007B72BD"/>
    <w:rsid w:val="007C594C"/>
    <w:rsid w:val="007D3AC1"/>
    <w:rsid w:val="007F355E"/>
    <w:rsid w:val="008061FD"/>
    <w:rsid w:val="008151E0"/>
    <w:rsid w:val="00853FD6"/>
    <w:rsid w:val="00874ABE"/>
    <w:rsid w:val="008A212B"/>
    <w:rsid w:val="008C6DF6"/>
    <w:rsid w:val="008E2685"/>
    <w:rsid w:val="00940953"/>
    <w:rsid w:val="009C2E52"/>
    <w:rsid w:val="009E3ECF"/>
    <w:rsid w:val="00A13F26"/>
    <w:rsid w:val="00A2741B"/>
    <w:rsid w:val="00A42FCB"/>
    <w:rsid w:val="00A51584"/>
    <w:rsid w:val="00A555A7"/>
    <w:rsid w:val="00A55876"/>
    <w:rsid w:val="00A921BC"/>
    <w:rsid w:val="00AB71D2"/>
    <w:rsid w:val="00AC647E"/>
    <w:rsid w:val="00B37CC8"/>
    <w:rsid w:val="00B4121A"/>
    <w:rsid w:val="00B77016"/>
    <w:rsid w:val="00BA0007"/>
    <w:rsid w:val="00BF0463"/>
    <w:rsid w:val="00C05DE2"/>
    <w:rsid w:val="00C07190"/>
    <w:rsid w:val="00C269A9"/>
    <w:rsid w:val="00C339E5"/>
    <w:rsid w:val="00C5166B"/>
    <w:rsid w:val="00C54B34"/>
    <w:rsid w:val="00C71DA7"/>
    <w:rsid w:val="00C75046"/>
    <w:rsid w:val="00CA5412"/>
    <w:rsid w:val="00CD7CC6"/>
    <w:rsid w:val="00CE0181"/>
    <w:rsid w:val="00D11736"/>
    <w:rsid w:val="00D20C48"/>
    <w:rsid w:val="00D440EE"/>
    <w:rsid w:val="00D55F49"/>
    <w:rsid w:val="00D56916"/>
    <w:rsid w:val="00D602AB"/>
    <w:rsid w:val="00DC20AE"/>
    <w:rsid w:val="00DC3A75"/>
    <w:rsid w:val="00DD420E"/>
    <w:rsid w:val="00DD6250"/>
    <w:rsid w:val="00DE38F8"/>
    <w:rsid w:val="00E04650"/>
    <w:rsid w:val="00E11877"/>
    <w:rsid w:val="00E263E0"/>
    <w:rsid w:val="00E405A8"/>
    <w:rsid w:val="00E52A08"/>
    <w:rsid w:val="00EB3E98"/>
    <w:rsid w:val="00EB6AEC"/>
    <w:rsid w:val="00EE0F7B"/>
    <w:rsid w:val="00EF0D3A"/>
    <w:rsid w:val="00EF25D3"/>
    <w:rsid w:val="00EF7C4E"/>
    <w:rsid w:val="00F03215"/>
    <w:rsid w:val="00F141B1"/>
    <w:rsid w:val="00F3139B"/>
    <w:rsid w:val="00F33B21"/>
    <w:rsid w:val="00F41899"/>
    <w:rsid w:val="00F54264"/>
    <w:rsid w:val="00F6026C"/>
    <w:rsid w:val="00F731B1"/>
    <w:rsid w:val="00FA005C"/>
    <w:rsid w:val="00FA439C"/>
    <w:rsid w:val="00FC5AF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B1CD8A"/>
  <w15:chartTrackingRefBased/>
  <w15:docId w15:val="{948F3BB5-7FBF-4994-8332-32C5596FA4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026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50DEE"/>
    <w:pPr>
      <w:spacing w:after="0" w:line="240" w:lineRule="auto"/>
    </w:pPr>
    <w:rPr>
      <w:lang w:val="en-US" w:eastAsia="en-US"/>
    </w:rPr>
  </w:style>
  <w:style w:type="character" w:customStyle="1" w:styleId="NoSpacingChar">
    <w:name w:val="No Spacing Char"/>
    <w:basedOn w:val="DefaultParagraphFont"/>
    <w:link w:val="NoSpacing"/>
    <w:uiPriority w:val="1"/>
    <w:rsid w:val="00750DEE"/>
    <w:rPr>
      <w:lang w:val="en-US" w:eastAsia="en-US"/>
    </w:rPr>
  </w:style>
  <w:style w:type="character" w:customStyle="1" w:styleId="Heading1Char">
    <w:name w:val="Heading 1 Char"/>
    <w:basedOn w:val="DefaultParagraphFont"/>
    <w:link w:val="Heading1"/>
    <w:uiPriority w:val="9"/>
    <w:rsid w:val="00F6026C"/>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637233"/>
    <w:rPr>
      <w:color w:val="0563C1" w:themeColor="hyperlink"/>
      <w:u w:val="single"/>
    </w:rPr>
  </w:style>
  <w:style w:type="character" w:styleId="UnresolvedMention">
    <w:name w:val="Unresolved Mention"/>
    <w:basedOn w:val="DefaultParagraphFont"/>
    <w:uiPriority w:val="99"/>
    <w:semiHidden/>
    <w:unhideWhenUsed/>
    <w:rsid w:val="006372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6563496">
      <w:bodyDiv w:val="1"/>
      <w:marLeft w:val="0"/>
      <w:marRight w:val="0"/>
      <w:marTop w:val="0"/>
      <w:marBottom w:val="0"/>
      <w:divBdr>
        <w:top w:val="none" w:sz="0" w:space="0" w:color="auto"/>
        <w:left w:val="none" w:sz="0" w:space="0" w:color="auto"/>
        <w:bottom w:val="none" w:sz="0" w:space="0" w:color="auto"/>
        <w:right w:val="none" w:sz="0" w:space="0" w:color="auto"/>
      </w:divBdr>
    </w:div>
    <w:div w:id="384375180">
      <w:bodyDiv w:val="1"/>
      <w:marLeft w:val="0"/>
      <w:marRight w:val="0"/>
      <w:marTop w:val="0"/>
      <w:marBottom w:val="0"/>
      <w:divBdr>
        <w:top w:val="none" w:sz="0" w:space="0" w:color="auto"/>
        <w:left w:val="none" w:sz="0" w:space="0" w:color="auto"/>
        <w:bottom w:val="none" w:sz="0" w:space="0" w:color="auto"/>
        <w:right w:val="none" w:sz="0" w:space="0" w:color="auto"/>
      </w:divBdr>
    </w:div>
    <w:div w:id="627663797">
      <w:bodyDiv w:val="1"/>
      <w:marLeft w:val="0"/>
      <w:marRight w:val="0"/>
      <w:marTop w:val="0"/>
      <w:marBottom w:val="0"/>
      <w:divBdr>
        <w:top w:val="none" w:sz="0" w:space="0" w:color="auto"/>
        <w:left w:val="none" w:sz="0" w:space="0" w:color="auto"/>
        <w:bottom w:val="none" w:sz="0" w:space="0" w:color="auto"/>
        <w:right w:val="none" w:sz="0" w:space="0" w:color="auto"/>
      </w:divBdr>
    </w:div>
    <w:div w:id="724646470">
      <w:bodyDiv w:val="1"/>
      <w:marLeft w:val="0"/>
      <w:marRight w:val="0"/>
      <w:marTop w:val="0"/>
      <w:marBottom w:val="0"/>
      <w:divBdr>
        <w:top w:val="none" w:sz="0" w:space="0" w:color="auto"/>
        <w:left w:val="none" w:sz="0" w:space="0" w:color="auto"/>
        <w:bottom w:val="none" w:sz="0" w:space="0" w:color="auto"/>
        <w:right w:val="none" w:sz="0" w:space="0" w:color="auto"/>
      </w:divBdr>
    </w:div>
    <w:div w:id="923730116">
      <w:bodyDiv w:val="1"/>
      <w:marLeft w:val="0"/>
      <w:marRight w:val="0"/>
      <w:marTop w:val="0"/>
      <w:marBottom w:val="0"/>
      <w:divBdr>
        <w:top w:val="none" w:sz="0" w:space="0" w:color="auto"/>
        <w:left w:val="none" w:sz="0" w:space="0" w:color="auto"/>
        <w:bottom w:val="none" w:sz="0" w:space="0" w:color="auto"/>
        <w:right w:val="none" w:sz="0" w:space="0" w:color="auto"/>
      </w:divBdr>
    </w:div>
    <w:div w:id="1407922242">
      <w:bodyDiv w:val="1"/>
      <w:marLeft w:val="0"/>
      <w:marRight w:val="0"/>
      <w:marTop w:val="0"/>
      <w:marBottom w:val="0"/>
      <w:divBdr>
        <w:top w:val="none" w:sz="0" w:space="0" w:color="auto"/>
        <w:left w:val="none" w:sz="0" w:space="0" w:color="auto"/>
        <w:bottom w:val="none" w:sz="0" w:space="0" w:color="auto"/>
        <w:right w:val="none" w:sz="0" w:space="0" w:color="auto"/>
      </w:divBdr>
    </w:div>
    <w:div w:id="1539316668">
      <w:bodyDiv w:val="1"/>
      <w:marLeft w:val="0"/>
      <w:marRight w:val="0"/>
      <w:marTop w:val="0"/>
      <w:marBottom w:val="0"/>
      <w:divBdr>
        <w:top w:val="none" w:sz="0" w:space="0" w:color="auto"/>
        <w:left w:val="none" w:sz="0" w:space="0" w:color="auto"/>
        <w:bottom w:val="none" w:sz="0" w:space="0" w:color="auto"/>
        <w:right w:val="none" w:sz="0" w:space="0" w:color="auto"/>
      </w:divBdr>
    </w:div>
    <w:div w:id="1643071707">
      <w:bodyDiv w:val="1"/>
      <w:marLeft w:val="0"/>
      <w:marRight w:val="0"/>
      <w:marTop w:val="0"/>
      <w:marBottom w:val="0"/>
      <w:divBdr>
        <w:top w:val="none" w:sz="0" w:space="0" w:color="auto"/>
        <w:left w:val="none" w:sz="0" w:space="0" w:color="auto"/>
        <w:bottom w:val="none" w:sz="0" w:space="0" w:color="auto"/>
        <w:right w:val="none" w:sz="0" w:space="0" w:color="auto"/>
      </w:divBdr>
    </w:div>
    <w:div w:id="1724913196">
      <w:bodyDiv w:val="1"/>
      <w:marLeft w:val="0"/>
      <w:marRight w:val="0"/>
      <w:marTop w:val="0"/>
      <w:marBottom w:val="0"/>
      <w:divBdr>
        <w:top w:val="none" w:sz="0" w:space="0" w:color="auto"/>
        <w:left w:val="none" w:sz="0" w:space="0" w:color="auto"/>
        <w:bottom w:val="none" w:sz="0" w:space="0" w:color="auto"/>
        <w:right w:val="none" w:sz="0" w:space="0" w:color="auto"/>
      </w:divBdr>
    </w:div>
    <w:div w:id="2051371491">
      <w:bodyDiv w:val="1"/>
      <w:marLeft w:val="0"/>
      <w:marRight w:val="0"/>
      <w:marTop w:val="0"/>
      <w:marBottom w:val="0"/>
      <w:divBdr>
        <w:top w:val="none" w:sz="0" w:space="0" w:color="auto"/>
        <w:left w:val="none" w:sz="0" w:space="0" w:color="auto"/>
        <w:bottom w:val="none" w:sz="0" w:space="0" w:color="auto"/>
        <w:right w:val="none" w:sz="0" w:space="0" w:color="auto"/>
      </w:divBdr>
    </w:div>
    <w:div w:id="2097239372">
      <w:bodyDiv w:val="1"/>
      <w:marLeft w:val="0"/>
      <w:marRight w:val="0"/>
      <w:marTop w:val="0"/>
      <w:marBottom w:val="0"/>
      <w:divBdr>
        <w:top w:val="none" w:sz="0" w:space="0" w:color="auto"/>
        <w:left w:val="none" w:sz="0" w:space="0" w:color="auto"/>
        <w:bottom w:val="none" w:sz="0" w:space="0" w:color="auto"/>
        <w:right w:val="none" w:sz="0" w:space="0" w:color="auto"/>
      </w:divBdr>
    </w:div>
    <w:div w:id="2144493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calar.usc.edu/works/irish-republican-army-revised/index" TargetMode="External"/><Relationship Id="rId13" Type="http://schemas.openxmlformats.org/officeDocument/2006/relationships/hyperlink" Target="https://www.gov.uk/government/publications/crowded-places-guidance/attack-methodology-vehicle-bombs" TargetMode="External"/><Relationship Id="rId3" Type="http://schemas.openxmlformats.org/officeDocument/2006/relationships/settings" Target="settings.xml"/><Relationship Id="rId7" Type="http://schemas.openxmlformats.org/officeDocument/2006/relationships/hyperlink" Target="https://www.csis.org/analysis/tactics-and-targets-domestic-terrorists" TargetMode="External"/><Relationship Id="rId12" Type="http://schemas.openxmlformats.org/officeDocument/2006/relationships/hyperlink" Target="https://www.iwm.org.uk/history/what-you-need-to-know-about-the-trouble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cfr.org/backgrounder/provisional-irish-republican-army-ira-aka-pira-provos-oglaigh-na-heireann-uk" TargetMode="External"/><Relationship Id="rId11" Type="http://schemas.openxmlformats.org/officeDocument/2006/relationships/hyperlink" Target="https://www.cps.gov.uk/crime-info/terrorism" TargetMode="External"/><Relationship Id="rId5" Type="http://schemas.openxmlformats.org/officeDocument/2006/relationships/hyperlink" Target="https://api.parliament.uk/historic-hansard/commons/1983/dec/19/harrods-bomb-incident" TargetMode="External"/><Relationship Id="rId15" Type="http://schemas.openxmlformats.org/officeDocument/2006/relationships/fontTable" Target="fontTable.xml"/><Relationship Id="rId10" Type="http://schemas.openxmlformats.org/officeDocument/2006/relationships/hyperlink" Target="https://www.dni.gov/nctc/methods.html" TargetMode="External"/><Relationship Id="rId4" Type="http://schemas.openxmlformats.org/officeDocument/2006/relationships/webSettings" Target="webSettings.xml"/><Relationship Id="rId9" Type="http://schemas.openxmlformats.org/officeDocument/2006/relationships/hyperlink" Target="https://alphahistory.com/northernireland/ira-green-book-guerrilla-1977/" TargetMode="External"/><Relationship Id="rId14" Type="http://schemas.openxmlformats.org/officeDocument/2006/relationships/hyperlink" Target="https://education.niassembly.gov.uk/post_16/snapshots_of_devolution/gf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[SA1 1NE]</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3247</Words>
  <Characters>18509</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An analysis and critical evaluation of the strategies, tactics and attack methods adopted by the irish republican army (IRA)</vt:lpstr>
    </vt:vector>
  </TitlesOfParts>
  <Company>[university of wales trinity st. david]</Company>
  <LinksUpToDate>false</LinksUpToDate>
  <CharactersWithSpaces>21713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analysis and critical evaluation of the strategies, tactics and attack methods adopted by the irish republican army (IRA)</dc:title>
  <dc:subject/>
  <dc:creator>Ciaran Terence Thomas (1801604)</dc:creator>
  <cp:keywords/>
  <dc:description/>
  <cp:lastModifiedBy>Ciaran Thomas</cp:lastModifiedBy>
  <cp:revision>132</cp:revision>
  <dcterms:created xsi:type="dcterms:W3CDTF">2021-11-11T14:12:00Z</dcterms:created>
  <dcterms:modified xsi:type="dcterms:W3CDTF">2021-11-12T21:33:00Z</dcterms:modified>
</cp:coreProperties>
</file>