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1839C3" w14:textId="2431E9BD" w:rsidR="00DF391E" w:rsidRPr="00734855" w:rsidRDefault="00000000" w:rsidP="00C1767F">
      <w:pPr>
        <w:spacing w:after="0" w:line="480" w:lineRule="auto"/>
        <w:ind w:firstLine="720"/>
        <w:jc w:val="center"/>
      </w:pPr>
      <w:r w:rsidRPr="00734855">
        <w:t>“</w:t>
      </w:r>
      <w:r w:rsidR="0009562F" w:rsidRPr="00734855">
        <w:t>T</w:t>
      </w:r>
      <w:r w:rsidRPr="00734855">
        <w:t>hey are gon to read upon me.</w:t>
      </w:r>
      <w:r w:rsidR="0009562F" w:rsidRPr="00734855">
        <w:t>” The I</w:t>
      </w:r>
      <w:r w:rsidR="00C1767F" w:rsidRPr="00734855">
        <w:t xml:space="preserve">mpact of Anatomical illustration is </w:t>
      </w:r>
      <w:r w:rsidR="00CE1ADA">
        <w:t>Donne</w:t>
      </w:r>
      <w:r w:rsidR="00C1767F" w:rsidRPr="00734855">
        <w:t>’s Devotions upon Emergent Occasions.</w:t>
      </w:r>
    </w:p>
    <w:p w14:paraId="0E041D9E" w14:textId="209CCFEE" w:rsidR="00CC08A3" w:rsidRPr="00734855" w:rsidRDefault="00000000" w:rsidP="00C1767F">
      <w:pPr>
        <w:spacing w:after="0" w:line="480" w:lineRule="auto"/>
        <w:ind w:firstLine="720"/>
      </w:pPr>
      <w:r w:rsidRPr="00734855">
        <w:t xml:space="preserve">John </w:t>
      </w:r>
      <w:r w:rsidR="0054481C" w:rsidRPr="00734855">
        <w:t>Donne’s Devotions upon Emergent Occasions</w:t>
      </w:r>
      <w:r w:rsidR="00865CE3" w:rsidRPr="00734855">
        <w:t xml:space="preserve"> is a work written by the aforementioned John </w:t>
      </w:r>
      <w:r w:rsidR="00CE1ADA">
        <w:t>Donne</w:t>
      </w:r>
      <w:r w:rsidR="00865CE3" w:rsidRPr="00734855">
        <w:t xml:space="preserve">. It is a work </w:t>
      </w:r>
      <w:r w:rsidR="00CF0A43" w:rsidRPr="00734855">
        <w:t xml:space="preserve">written and published </w:t>
      </w:r>
      <w:r w:rsidR="00BC0C07" w:rsidRPr="00734855">
        <w:t xml:space="preserve">in 1623 when </w:t>
      </w:r>
      <w:r w:rsidR="00CE1ADA">
        <w:t>Donne</w:t>
      </w:r>
      <w:r w:rsidR="00BC0C07" w:rsidRPr="00734855">
        <w:t xml:space="preserve"> was suffering from an illness.</w:t>
      </w:r>
      <w:r w:rsidRPr="00734855">
        <w:rPr>
          <w:rStyle w:val="FootnoteReference"/>
        </w:rPr>
        <w:footnoteReference w:id="1"/>
      </w:r>
      <w:r w:rsidR="00BC0C07" w:rsidRPr="00734855">
        <w:t xml:space="preserve"> While the exact nature of the illness is not </w:t>
      </w:r>
      <w:r w:rsidR="00A73397" w:rsidRPr="00734855">
        <w:t>actually</w:t>
      </w:r>
      <w:r w:rsidR="00BC0C07" w:rsidRPr="00734855">
        <w:t xml:space="preserve"> known, modern scholarship believes it may have been relapsing </w:t>
      </w:r>
      <w:r w:rsidR="00A73397" w:rsidRPr="00734855">
        <w:t>fever</w:t>
      </w:r>
      <w:r w:rsidR="00BC0C07" w:rsidRPr="00734855">
        <w:t xml:space="preserve">, or maybe </w:t>
      </w:r>
      <w:r w:rsidR="00A73397" w:rsidRPr="00734855">
        <w:t>typhus.</w:t>
      </w:r>
      <w:r w:rsidR="001A2A31" w:rsidRPr="00734855">
        <w:t xml:space="preserve"> The work is John </w:t>
      </w:r>
      <w:r w:rsidR="00CE1ADA">
        <w:t>Donne</w:t>
      </w:r>
      <w:r w:rsidR="001A2A31" w:rsidRPr="00734855">
        <w:t xml:space="preserve">’s most famous work and the work for which he is most remembered. Along with </w:t>
      </w:r>
      <w:r w:rsidR="002E729D" w:rsidRPr="00734855">
        <w:t xml:space="preserve">the </w:t>
      </w:r>
      <w:r w:rsidR="00666569" w:rsidRPr="00734855">
        <w:t>passages</w:t>
      </w:r>
      <w:r w:rsidR="002E729D" w:rsidRPr="00734855">
        <w:t xml:space="preserve"> that will be analyzed in this essay, John </w:t>
      </w:r>
      <w:r w:rsidR="00CE1ADA">
        <w:t>Donne</w:t>
      </w:r>
      <w:r w:rsidR="002E729D" w:rsidRPr="00734855">
        <w:t xml:space="preserve"> wrote a number of other culturally profound </w:t>
      </w:r>
      <w:r w:rsidR="00666569" w:rsidRPr="00734855">
        <w:t xml:space="preserve">and important phrases. He is remembered for coining the phrase </w:t>
      </w:r>
      <w:r w:rsidR="009719C3" w:rsidRPr="00734855">
        <w:t xml:space="preserve">‘No man is an Island’. This work is among a number of famous works he wrote, notably a series of sermons </w:t>
      </w:r>
      <w:r w:rsidR="00F72F88" w:rsidRPr="00734855">
        <w:t xml:space="preserve">that he wrote throughout his life. These were published by his son after the end of his life. </w:t>
      </w:r>
      <w:r w:rsidRPr="00734855">
        <w:t>In his work Devotions upon Emergent Occasions, he pens this phrase</w:t>
      </w:r>
      <w:r w:rsidR="004B3AA6" w:rsidRPr="00734855">
        <w:t>:</w:t>
      </w:r>
    </w:p>
    <w:p w14:paraId="5DC87E28" w14:textId="66F6A220" w:rsidR="004B3AA6" w:rsidRPr="00734855" w:rsidRDefault="00000000" w:rsidP="00C1767F">
      <w:pPr>
        <w:spacing w:after="0" w:line="480" w:lineRule="auto"/>
        <w:ind w:left="720"/>
      </w:pPr>
      <w:r w:rsidRPr="00734855">
        <w:t>They have seene me, and heard mee, arraign’d mee in these fetters, and receiv’d evidence; I have cut up mine own Anatomy, dissected myself, and they are gon to read upon me.’ (Meditation IX).</w:t>
      </w:r>
      <w:r w:rsidRPr="00734855">
        <w:rPr>
          <w:rStyle w:val="FootnoteReference"/>
        </w:rPr>
        <w:footnoteReference w:id="2"/>
      </w:r>
    </w:p>
    <w:p w14:paraId="5A87E152" w14:textId="12941AF7" w:rsidR="0092780A" w:rsidRPr="00734855" w:rsidRDefault="00000000" w:rsidP="00C1767F">
      <w:pPr>
        <w:spacing w:after="0" w:line="480" w:lineRule="auto"/>
      </w:pPr>
      <w:r w:rsidRPr="00734855">
        <w:t xml:space="preserve">This phrase makes reference to anatomy, and while the work itself isn’t about anatomy this shift in topic is highly relevant to the </w:t>
      </w:r>
      <w:r w:rsidR="00092EE0" w:rsidRPr="00734855">
        <w:t xml:space="preserve">themes of the work. </w:t>
      </w:r>
      <w:r w:rsidR="00CE1ADA">
        <w:t>Donne</w:t>
      </w:r>
      <w:r w:rsidR="00092EE0" w:rsidRPr="00734855">
        <w:t xml:space="preserve"> is drawing on the illustration of anatomy to demonstrate the way he feels about his illness. This is an excellent window into the mind of John </w:t>
      </w:r>
      <w:r w:rsidR="00CE1ADA">
        <w:t>Donne</w:t>
      </w:r>
      <w:r w:rsidR="00092EE0" w:rsidRPr="00734855">
        <w:t xml:space="preserve"> as he is suffering from this illness. </w:t>
      </w:r>
      <w:r w:rsidR="004C5467" w:rsidRPr="00734855">
        <w:t xml:space="preserve">This </w:t>
      </w:r>
      <w:r w:rsidR="004C5467" w:rsidRPr="00734855">
        <w:lastRenderedPageBreak/>
        <w:t>drawing on anatomy as an illustration of his weakened state and the</w:t>
      </w:r>
      <w:r w:rsidR="000200F7" w:rsidRPr="00734855">
        <w:t xml:space="preserve"> public</w:t>
      </w:r>
      <w:r w:rsidR="004C5467" w:rsidRPr="00734855">
        <w:t xml:space="preserve"> exposure that would have been </w:t>
      </w:r>
      <w:r w:rsidR="000200F7" w:rsidRPr="00734855">
        <w:t>conveyed to his contemporaries through the use of this type of illustration.</w:t>
      </w:r>
      <w:r w:rsidRPr="00734855">
        <w:t xml:space="preserve"> Shows a thoughtful attitude towards his composition of this work.</w:t>
      </w:r>
    </w:p>
    <w:p w14:paraId="4A3210A0" w14:textId="6DAA9FDE" w:rsidR="00231D94" w:rsidRPr="00734855" w:rsidRDefault="00000000" w:rsidP="00C1767F">
      <w:pPr>
        <w:spacing w:after="0" w:line="480" w:lineRule="auto"/>
      </w:pPr>
      <w:r w:rsidRPr="00734855">
        <w:tab/>
        <w:t xml:space="preserve">Anatomy in the </w:t>
      </w:r>
      <w:r w:rsidR="0091208C" w:rsidRPr="00734855">
        <w:t>Renaissance</w:t>
      </w:r>
      <w:r w:rsidRPr="00734855">
        <w:t xml:space="preserve"> is a fascinating topic, while the word itself has not changed its meaning. Anatomy now as it does then </w:t>
      </w:r>
      <w:r w:rsidR="00302C38" w:rsidRPr="00734855">
        <w:t>refer</w:t>
      </w:r>
      <w:r w:rsidR="00302C38">
        <w:t>s</w:t>
      </w:r>
      <w:r w:rsidRPr="00734855">
        <w:t xml:space="preserve"> to the makeup of the human body. At this time in history, that is the late 15</w:t>
      </w:r>
      <w:r w:rsidRPr="00734855">
        <w:rPr>
          <w:vertAlign w:val="superscript"/>
        </w:rPr>
        <w:t>th</w:t>
      </w:r>
      <w:r w:rsidRPr="00734855">
        <w:t xml:space="preserve"> to 17</w:t>
      </w:r>
      <w:r w:rsidRPr="00734855">
        <w:rPr>
          <w:vertAlign w:val="superscript"/>
        </w:rPr>
        <w:t>th</w:t>
      </w:r>
      <w:r w:rsidRPr="00734855">
        <w:t xml:space="preserve"> centuries, it had a very different sort of connotation and drew very different mental images from the general population.</w:t>
      </w:r>
      <w:r w:rsidR="00A279FE" w:rsidRPr="00734855">
        <w:t xml:space="preserve"> In this time period, </w:t>
      </w:r>
      <w:r w:rsidR="006449F8" w:rsidRPr="00734855">
        <w:t xml:space="preserve">anatomy usually conjured up images of the theatres of anatomy. </w:t>
      </w:r>
      <w:r w:rsidR="00837691" w:rsidRPr="00734855">
        <w:t xml:space="preserve">In the time that John </w:t>
      </w:r>
      <w:r w:rsidR="00CE1ADA">
        <w:t>Donne</w:t>
      </w:r>
      <w:r w:rsidR="00837691" w:rsidRPr="00734855">
        <w:t xml:space="preserve"> lived there was a tendency toward what was called Theatrical Anatomy. This practice </w:t>
      </w:r>
      <w:r w:rsidR="0091208C" w:rsidRPr="00734855">
        <w:t xml:space="preserve">was in its infancy in the late medieval period. From the fall of Rome to the late medieval period there was little to no </w:t>
      </w:r>
      <w:r w:rsidR="00522F58" w:rsidRPr="00734855">
        <w:t xml:space="preserve">anatomical dissection performed for the sake of scientific advancement. During his day Galen was not allowed to </w:t>
      </w:r>
      <w:r w:rsidR="005C291A" w:rsidRPr="00734855">
        <w:t>perform</w:t>
      </w:r>
      <w:r w:rsidR="00522F58" w:rsidRPr="00734855">
        <w:t xml:space="preserve"> </w:t>
      </w:r>
      <w:r w:rsidR="005C291A" w:rsidRPr="00734855">
        <w:t>anatomical dissection</w:t>
      </w:r>
      <w:r w:rsidR="00522F58" w:rsidRPr="00734855">
        <w:t xml:space="preserve"> </w:t>
      </w:r>
      <w:r w:rsidR="005C291A" w:rsidRPr="00734855">
        <w:t xml:space="preserve">on humans </w:t>
      </w:r>
      <w:r w:rsidR="00522F58" w:rsidRPr="00734855">
        <w:t>as this was consider</w:t>
      </w:r>
      <w:r w:rsidR="005C291A" w:rsidRPr="00734855">
        <w:t xml:space="preserve">ed </w:t>
      </w:r>
      <w:r w:rsidR="00FF63C4" w:rsidRPr="00734855">
        <w:t xml:space="preserve">to be desecrating a corpse. This </w:t>
      </w:r>
      <w:r w:rsidR="006838E4" w:rsidRPr="00734855">
        <w:t xml:space="preserve">forced Galen to perform his autopsies on non-human subjects. </w:t>
      </w:r>
      <w:r w:rsidR="00C5414E" w:rsidRPr="00734855">
        <w:t xml:space="preserve">Notably, he performed </w:t>
      </w:r>
      <w:r w:rsidR="006D5E0F" w:rsidRPr="00734855">
        <w:t>his autopsies on pigs and on barbery apes</w:t>
      </w:r>
      <w:r w:rsidR="009B1FEF" w:rsidRPr="00734855">
        <w:t xml:space="preserve">. These results were written down and for many centuries the results remained unquestioned. </w:t>
      </w:r>
      <w:r w:rsidR="00711EA0" w:rsidRPr="00734855">
        <w:t>Throughout the early and high medieval period, it was frowned upon to dissect humans. This started to change in the early Renaissance</w:t>
      </w:r>
      <w:r w:rsidR="00E72FA7" w:rsidRPr="00734855">
        <w:t xml:space="preserve">. This monumental change started with Andreas Vesalius, a </w:t>
      </w:r>
      <w:r w:rsidR="00B46F8F" w:rsidRPr="00734855">
        <w:t>Flemish professor of anatomy.</w:t>
      </w:r>
      <w:r w:rsidR="00B46F8F" w:rsidRPr="00734855">
        <w:tab/>
      </w:r>
    </w:p>
    <w:p w14:paraId="7BFCC476" w14:textId="79023FB3" w:rsidR="00B46F8F" w:rsidRPr="00734855" w:rsidRDefault="00000000" w:rsidP="00C1767F">
      <w:pPr>
        <w:spacing w:after="0" w:line="480" w:lineRule="auto"/>
        <w:ind w:left="720"/>
      </w:pPr>
      <w:r w:rsidRPr="00734855">
        <w:t>Close to the house where he lived, on Gallows Hill, the young Vesalius often had the opportunity to approach the dead bodies of executed criminals. This was probably one of the reasons that influenced his decision to study medicine.</w:t>
      </w:r>
      <w:r w:rsidRPr="00734855">
        <w:rPr>
          <w:rStyle w:val="FootnoteReference"/>
        </w:rPr>
        <w:footnoteReference w:id="3"/>
      </w:r>
    </w:p>
    <w:p w14:paraId="76F24365" w14:textId="055039BE" w:rsidR="00326BF8" w:rsidRPr="00734855" w:rsidRDefault="00000000" w:rsidP="00A8058A">
      <w:pPr>
        <w:spacing w:after="0" w:line="480" w:lineRule="auto"/>
      </w:pPr>
      <w:r w:rsidRPr="00734855">
        <w:lastRenderedPageBreak/>
        <w:t>Vesalius was one of the first to start to explore the world of Anatomy fully,</w:t>
      </w:r>
      <w:r w:rsidR="00396445" w:rsidRPr="00734855">
        <w:t xml:space="preserve"> while there had been some earlier </w:t>
      </w:r>
      <w:r w:rsidR="00E85FBF" w:rsidRPr="00734855">
        <w:t>experiments</w:t>
      </w:r>
      <w:r w:rsidR="00396445" w:rsidRPr="00734855">
        <w:t xml:space="preserve"> with performance anatomy, these were limited to </w:t>
      </w:r>
      <w:r w:rsidR="00376BB0" w:rsidRPr="00734855">
        <w:t xml:space="preserve">university classes on surgery and were </w:t>
      </w:r>
      <w:r w:rsidR="00E31E8B" w:rsidRPr="00734855">
        <w:t>performed</w:t>
      </w:r>
      <w:r w:rsidR="00376BB0" w:rsidRPr="00734855">
        <w:t xml:space="preserve"> by a </w:t>
      </w:r>
      <w:r w:rsidR="00E31E8B" w:rsidRPr="00734855">
        <w:t>three-man</w:t>
      </w:r>
      <w:r w:rsidR="00376BB0" w:rsidRPr="00734855">
        <w:t xml:space="preserve"> team. </w:t>
      </w:r>
      <w:r w:rsidR="006A3F40" w:rsidRPr="00734855">
        <w:t xml:space="preserve">Vesalius started </w:t>
      </w:r>
      <w:r w:rsidR="00A900DC" w:rsidRPr="00734855">
        <w:t xml:space="preserve">the tendency for anatomical dissections to be done by a single person, who did the lecturing. Previous to this there had been three people, one to lecture, one to dissect, and one to translate the lecture into the common language so that the surgeon would know where to cut. </w:t>
      </w:r>
      <w:r w:rsidR="008F6880" w:rsidRPr="00734855">
        <w:t>This new idea that Vesalius pushed, one where the lecturer would also be the surgeon who dissected the anatomy, was revolutionary, it was incredibly popular with the students.</w:t>
      </w:r>
      <w:r w:rsidRPr="00734855">
        <w:rPr>
          <w:rStyle w:val="FootnoteReference"/>
        </w:rPr>
        <w:footnoteReference w:id="4"/>
      </w:r>
      <w:r w:rsidR="008F6880" w:rsidRPr="00734855">
        <w:t xml:space="preserve"> </w:t>
      </w:r>
    </w:p>
    <w:p w14:paraId="197DF554" w14:textId="54C592E8" w:rsidR="00C1236F" w:rsidRPr="00734855" w:rsidRDefault="00000000" w:rsidP="00A8058A">
      <w:pPr>
        <w:spacing w:after="0" w:line="480" w:lineRule="auto"/>
      </w:pPr>
      <w:r w:rsidRPr="00734855">
        <w:tab/>
        <w:t>This began a revolution in the way that anatomy was performed in the Renaissance.</w:t>
      </w:r>
      <w:r w:rsidR="0071434C" w:rsidRPr="00734855">
        <w:t xml:space="preserve"> By the 1620s when John </w:t>
      </w:r>
      <w:r w:rsidR="00CE1ADA">
        <w:t>Donne</w:t>
      </w:r>
      <w:r w:rsidR="0071434C" w:rsidRPr="00734855">
        <w:t xml:space="preserve"> was publishing his extensive works, and more particularly this passage in Devotions Upon Emergent Occasions</w:t>
      </w:r>
      <w:r w:rsidRPr="00734855">
        <w:t xml:space="preserve"> </w:t>
      </w:r>
      <w:r w:rsidR="00772C63" w:rsidRPr="00734855">
        <w:t xml:space="preserve">the practice of Anatomy had evolved in this era. While it was still frowned upon, there was still an air of it being desecrating a human body, it was far more common. </w:t>
      </w:r>
      <w:r w:rsidR="00E76B47" w:rsidRPr="00734855">
        <w:t xml:space="preserve">Anatomical theatres had started to emerge as a popular pastime. Not only was the subject of anatomy restricted to the university, but it was now available to the public. When plays were not being performed in theatres it was not uncommon for them to be </w:t>
      </w:r>
      <w:r w:rsidR="00136B90" w:rsidRPr="00734855">
        <w:t>temporarily converted</w:t>
      </w:r>
      <w:r w:rsidR="00E76B47" w:rsidRPr="00734855">
        <w:t xml:space="preserve"> into </w:t>
      </w:r>
      <w:r w:rsidR="00136B90" w:rsidRPr="00734855">
        <w:t xml:space="preserve">a place to watch anatomical dissections be performed. </w:t>
      </w:r>
    </w:p>
    <w:p w14:paraId="119E11E7" w14:textId="77777777" w:rsidR="009C704E" w:rsidRPr="00734855" w:rsidRDefault="009C704E" w:rsidP="00A8058A">
      <w:pPr>
        <w:spacing w:after="0" w:line="480" w:lineRule="auto"/>
      </w:pPr>
    </w:p>
    <w:p w14:paraId="11ACF184" w14:textId="73030E11" w:rsidR="009C704E" w:rsidRPr="00734855" w:rsidRDefault="00000000" w:rsidP="00A8058A">
      <w:pPr>
        <w:spacing w:after="0" w:line="480" w:lineRule="auto"/>
      </w:pPr>
      <w:r w:rsidRPr="00734855">
        <w:tab/>
        <w:t xml:space="preserve">In ‘Devotions Upon Emergent Occasions’ John </w:t>
      </w:r>
      <w:r w:rsidR="00CE1ADA">
        <w:t>Donne</w:t>
      </w:r>
      <w:r w:rsidRPr="00734855">
        <w:t xml:space="preserve"> </w:t>
      </w:r>
      <w:r w:rsidR="00517403" w:rsidRPr="00734855">
        <w:t xml:space="preserve">is writing about an </w:t>
      </w:r>
      <w:r w:rsidR="002B2A5C" w:rsidRPr="00734855">
        <w:t xml:space="preserve">intense </w:t>
      </w:r>
      <w:r w:rsidR="00517403" w:rsidRPr="00734855">
        <w:t>illness he is facing</w:t>
      </w:r>
      <w:r w:rsidR="002B2A5C" w:rsidRPr="00734855">
        <w:t>. This illness proved to be nearly fatal, and</w:t>
      </w:r>
      <w:r w:rsidR="003C4663" w:rsidRPr="00734855">
        <w:t xml:space="preserve"> in this work, he uses this illness to spend time in introspection. </w:t>
      </w:r>
      <w:r w:rsidR="00D50C83" w:rsidRPr="00734855">
        <w:t xml:space="preserve">The structure of the work is this: Each of the </w:t>
      </w:r>
      <w:r w:rsidR="00D50C83" w:rsidRPr="00734855">
        <w:lastRenderedPageBreak/>
        <w:t xml:space="preserve">sections begins with a meditation, thoughts on his condition, and on how he is being affected by this illness. </w:t>
      </w:r>
      <w:r w:rsidR="00383EFA" w:rsidRPr="00734855">
        <w:t xml:space="preserve">These meditations are where </w:t>
      </w:r>
      <w:r w:rsidR="00CE1ADA">
        <w:t>Donne</w:t>
      </w:r>
      <w:r w:rsidR="00383EFA" w:rsidRPr="00734855">
        <w:t xml:space="preserve"> pours out his feelings on the illness, and how it affects his life</w:t>
      </w:r>
      <w:r w:rsidR="008643C8" w:rsidRPr="00734855">
        <w:t>. The very first Meditation begins like this:</w:t>
      </w:r>
    </w:p>
    <w:p w14:paraId="6BDEB88C" w14:textId="0937C0C5" w:rsidR="009C704E" w:rsidRPr="00734855" w:rsidRDefault="00000000" w:rsidP="00424C9F">
      <w:pPr>
        <w:spacing w:after="0" w:line="480" w:lineRule="auto"/>
        <w:ind w:left="720"/>
      </w:pPr>
      <w:r w:rsidRPr="00734855">
        <w:t>Variable, and therefore miserable condition of Man; this minute I was well, and am ill, this minute. I am surpriz’d with sodaine change, &amp; alteration to worse</w:t>
      </w:r>
      <w:r w:rsidR="00016896" w:rsidRPr="00734855">
        <w:t xml:space="preserve">, and can impute it to no cause, nor call it by any name. </w:t>
      </w:r>
      <w:r w:rsidRPr="00734855">
        <w:rPr>
          <w:rStyle w:val="FootnoteReference"/>
        </w:rPr>
        <w:footnoteReference w:id="5"/>
      </w:r>
    </w:p>
    <w:p w14:paraId="5F0E7D75" w14:textId="77777777" w:rsidR="009C3B82" w:rsidRPr="00734855" w:rsidRDefault="00000000" w:rsidP="00424C9F">
      <w:pPr>
        <w:spacing w:after="0" w:line="480" w:lineRule="auto"/>
      </w:pPr>
      <w:r w:rsidRPr="00734855">
        <w:t xml:space="preserve">Following the start of the meditation he moves on to the next section, </w:t>
      </w:r>
      <w:r w:rsidR="000C5731" w:rsidRPr="00734855">
        <w:t xml:space="preserve">the Expostulation, then on to </w:t>
      </w:r>
      <w:r w:rsidR="00054B9C" w:rsidRPr="00734855">
        <w:t xml:space="preserve">Prayer. This repeats many times there are in total </w:t>
      </w:r>
      <w:r w:rsidR="0017405B" w:rsidRPr="00734855">
        <w:t>twenty-three</w:t>
      </w:r>
      <w:r w:rsidR="00A706C0" w:rsidRPr="00734855">
        <w:t xml:space="preserve"> such sections, each with its own Meditation, Expostulation, and Prayer. </w:t>
      </w:r>
      <w:r w:rsidR="0017405B" w:rsidRPr="00734855">
        <w:t xml:space="preserve">These twenty-three sections </w:t>
      </w:r>
      <w:r w:rsidRPr="00734855">
        <w:t xml:space="preserve">make up the work, it is written as an exercise in self examination and self reflection, and he draws on many diverse metaphors and similes. One of the more significant ones is this one, which is the topic of this essay. </w:t>
      </w:r>
    </w:p>
    <w:p w14:paraId="409524B3" w14:textId="5D9A179E" w:rsidR="00BA256C" w:rsidRPr="00734855" w:rsidRDefault="00000000" w:rsidP="00BA256C">
      <w:pPr>
        <w:spacing w:after="0" w:line="480" w:lineRule="auto"/>
        <w:ind w:left="720"/>
      </w:pPr>
      <w:r w:rsidRPr="00734855">
        <w:t>They have seene me, and heard mee, arraign’d mee in these fetters, and receiv’d evidence; I have cut up mine own Anatomy, dissected myself, and they are gon to read upon me.’</w:t>
      </w:r>
      <w:r w:rsidRPr="00734855">
        <w:rPr>
          <w:rStyle w:val="FootnoteReference"/>
        </w:rPr>
        <w:footnoteReference w:id="6"/>
      </w:r>
    </w:p>
    <w:p w14:paraId="09C899D5" w14:textId="3B43033B" w:rsidR="00317A67" w:rsidRPr="00734855" w:rsidRDefault="00000000" w:rsidP="00317A67">
      <w:pPr>
        <w:spacing w:after="0" w:line="480" w:lineRule="auto"/>
      </w:pPr>
      <w:r w:rsidRPr="00734855">
        <w:t xml:space="preserve">This phrase evokes a progression, it is divided into a number of steps. Firstly he makes reference to </w:t>
      </w:r>
      <w:r w:rsidR="00D32115" w:rsidRPr="00734855">
        <w:t xml:space="preserve">‘They have seene me,’ </w:t>
      </w:r>
      <w:r w:rsidR="00D102AD" w:rsidRPr="00734855">
        <w:t xml:space="preserve">perhaps refreing to the doctors that have come to visit him in his illness, he was visited in this time by no less than </w:t>
      </w:r>
      <w:r w:rsidR="00964F3A" w:rsidRPr="00734855">
        <w:t>three</w:t>
      </w:r>
      <w:r w:rsidR="00D102AD" w:rsidRPr="00734855">
        <w:t xml:space="preserve"> doctors </w:t>
      </w:r>
      <w:r w:rsidR="006D4241" w:rsidRPr="00734855">
        <w:t>d</w:t>
      </w:r>
      <w:r w:rsidR="00964F3A" w:rsidRPr="00734855">
        <w:t>uring the course of this illness</w:t>
      </w:r>
      <w:r w:rsidR="006D4241" w:rsidRPr="00734855">
        <w:t>.</w:t>
      </w:r>
      <w:r w:rsidRPr="00734855">
        <w:rPr>
          <w:rStyle w:val="FootnoteReference"/>
        </w:rPr>
        <w:footnoteReference w:id="7"/>
      </w:r>
      <w:r w:rsidR="006D4241" w:rsidRPr="00734855">
        <w:t xml:space="preserve"> H</w:t>
      </w:r>
      <w:r w:rsidR="00C956E0" w:rsidRPr="00734855">
        <w:t xml:space="preserve">e is drawing on this experience of being examined and inspected to consider his plight in this time. </w:t>
      </w:r>
      <w:r w:rsidR="006D4241" w:rsidRPr="00734855">
        <w:t xml:space="preserve">While he was inspected by a number of </w:t>
      </w:r>
      <w:r w:rsidR="006D4241" w:rsidRPr="00734855">
        <w:lastRenderedPageBreak/>
        <w:t>physicians it was not most likely that</w:t>
      </w:r>
      <w:r w:rsidR="00417AF0" w:rsidRPr="00734855">
        <w:t xml:space="preserve"> they were particularly helpful to his case, their visits were most likely not pleasant for him. </w:t>
      </w:r>
      <w:r w:rsidR="00097B9E" w:rsidRPr="00734855">
        <w:t>During this time medicine was still moving forward from its basis in the Galenic understanding of the four humours.</w:t>
      </w:r>
      <w:r w:rsidR="009D502C" w:rsidRPr="00734855">
        <w:t xml:space="preserve"> This led to highly ineffective medicine in this era, while the introduction of anatomy was helpful in somewhat improving the understanding of the human body this doesn't mean that it fixed the many issues there were with medieval style medicine. One of the cures for this relapsing fever was to cut a Pidgeon in half and put the two bleeding halves on John </w:t>
      </w:r>
      <w:r w:rsidR="00CE1ADA">
        <w:t>Donne</w:t>
      </w:r>
      <w:r w:rsidR="009D502C" w:rsidRPr="00734855">
        <w:t>'s feet to draw out the fever.</w:t>
      </w:r>
      <w:r w:rsidRPr="00734855">
        <w:rPr>
          <w:rStyle w:val="FootnoteReference"/>
        </w:rPr>
        <w:footnoteReference w:id="8"/>
      </w:r>
      <w:r w:rsidR="00A52E3F" w:rsidRPr="00734855">
        <w:t xml:space="preserve"> This is an excellent example of the kinds of things one could expect from physicians in this era.</w:t>
      </w:r>
      <w:r w:rsidR="00C21085" w:rsidRPr="00734855">
        <w:t xml:space="preserve"> </w:t>
      </w:r>
    </w:p>
    <w:p w14:paraId="70AFB75C" w14:textId="2811C947" w:rsidR="002D7A81" w:rsidRPr="00734855" w:rsidRDefault="00000000" w:rsidP="00317A67">
      <w:pPr>
        <w:spacing w:after="0" w:line="480" w:lineRule="auto"/>
      </w:pPr>
      <w:r w:rsidRPr="00734855">
        <w:tab/>
        <w:t xml:space="preserve">John </w:t>
      </w:r>
      <w:r w:rsidR="00CE1ADA">
        <w:t>Donne</w:t>
      </w:r>
      <w:r w:rsidRPr="00734855">
        <w:t xml:space="preserve"> doesn’t stop with being seen, he continues to write about his illness in terms of what </w:t>
      </w:r>
      <w:r w:rsidR="00880B22" w:rsidRPr="00734855">
        <w:t>appears</w:t>
      </w:r>
      <w:r w:rsidRPr="00734855">
        <w:t xml:space="preserve"> to be a court case, or at least something similar to a trial. It continues; ‘and heard mee, arraign’d mee in these fetters,</w:t>
      </w:r>
      <w:r w:rsidR="001146FC" w:rsidRPr="00734855">
        <w:t xml:space="preserve"> and </w:t>
      </w:r>
      <w:proofErr w:type="spellStart"/>
      <w:r w:rsidR="001146FC" w:rsidRPr="00734855">
        <w:t>receiv’d</w:t>
      </w:r>
      <w:proofErr w:type="spellEnd"/>
      <w:r w:rsidR="001146FC" w:rsidRPr="00734855">
        <w:t xml:space="preserve"> evidence;</w:t>
      </w:r>
      <w:r w:rsidRPr="00734855">
        <w:t>’</w:t>
      </w:r>
      <w:r w:rsidRPr="00734855">
        <w:rPr>
          <w:rStyle w:val="FootnoteReference"/>
        </w:rPr>
        <w:footnoteReference w:id="9"/>
      </w:r>
      <w:r w:rsidRPr="00734855">
        <w:t xml:space="preserve"> John </w:t>
      </w:r>
      <w:r w:rsidR="00CE1ADA">
        <w:t>Donne</w:t>
      </w:r>
      <w:r w:rsidR="007745CB" w:rsidRPr="00734855">
        <w:t xml:space="preserve">’s words are incredibly evocative of a court case. He may be drawing on the very Biblical image of a judgement. At this time in history, and as he admits at the end of his own work </w:t>
      </w:r>
      <w:r w:rsidR="008C40C5" w:rsidRPr="00734855">
        <w:t xml:space="preserve">he views this illness as a judgement from God, he understands it to be a way to correct his prior sinful life. At this point he had been an Anglican Priest for almost a decade, he would have been ever thoughtful about God’s judgment. </w:t>
      </w:r>
      <w:r w:rsidR="00C5094B" w:rsidRPr="00734855">
        <w:t xml:space="preserve">this sentence, of being ‘They have seene me, and heard mee, arraign’d mee in these fetters,’ draws not only on the medival imagery of a diagnostic meeting with a doctor, but of a court hearing. He is in this instance referring to his illness itself as the fetters that he is bound in. This is a very powerful image and one that </w:t>
      </w:r>
      <w:r w:rsidR="00CE1ADA">
        <w:t>Donne</w:t>
      </w:r>
      <w:r w:rsidR="00C5094B" w:rsidRPr="00734855">
        <w:t xml:space="preserve"> uses occasionally in his work, he uses other ones, such as describing the illness as a canon, blasting down the walls of </w:t>
      </w:r>
      <w:r w:rsidR="00C5094B" w:rsidRPr="00734855">
        <w:lastRenderedPageBreak/>
        <w:t>his health.</w:t>
      </w:r>
      <w:r w:rsidRPr="00734855">
        <w:rPr>
          <w:rStyle w:val="FootnoteReference"/>
        </w:rPr>
        <w:footnoteReference w:id="10"/>
      </w:r>
      <w:r w:rsidR="00C5094B" w:rsidRPr="00734855">
        <w:t xml:space="preserve"> </w:t>
      </w:r>
      <w:r w:rsidR="00880B22" w:rsidRPr="00734855">
        <w:t>This opening to his 9</w:t>
      </w:r>
      <w:r w:rsidR="00880B22" w:rsidRPr="00734855">
        <w:rPr>
          <w:vertAlign w:val="superscript"/>
        </w:rPr>
        <w:t>th</w:t>
      </w:r>
      <w:r w:rsidR="00880B22" w:rsidRPr="00734855">
        <w:t xml:space="preserve"> meditation is striking in that it is very poetic and has a strong dual meaning. </w:t>
      </w:r>
    </w:p>
    <w:p w14:paraId="45E8FEB6" w14:textId="38C4352A" w:rsidR="003F4AF2" w:rsidRPr="00734855" w:rsidRDefault="00000000" w:rsidP="00317A67">
      <w:pPr>
        <w:spacing w:after="0" w:line="480" w:lineRule="auto"/>
      </w:pPr>
      <w:r w:rsidRPr="00734855">
        <w:tab/>
        <w:t>This calling of a court case is fascinating it brings up images of the final Judgment of God</w:t>
      </w:r>
      <w:r w:rsidR="00411395" w:rsidRPr="00734855">
        <w:t>, this judgment is talked about extensively all throughout scripture, however, the most culturally well know the section is the section in Revelation 20:11-13</w:t>
      </w:r>
      <w:r w:rsidR="0050562D" w:rsidRPr="00734855">
        <w:t xml:space="preserve"> </w:t>
      </w:r>
    </w:p>
    <w:p w14:paraId="41CB5215" w14:textId="5EBD6A10" w:rsidR="0050562D" w:rsidRPr="00734855" w:rsidRDefault="00000000" w:rsidP="0050562D">
      <w:pPr>
        <w:spacing w:after="0" w:line="480" w:lineRule="auto"/>
        <w:ind w:left="720"/>
      </w:pPr>
      <w:r w:rsidRPr="00734855">
        <w:t>Then I saw a great white throne and him who was seated on it. From his presence earth and sky fled away, and no place was found for them. </w:t>
      </w:r>
      <w:r w:rsidRPr="00734855">
        <w:rPr>
          <w:b/>
          <w:bCs/>
          <w:vertAlign w:val="superscript"/>
        </w:rPr>
        <w:t>12 </w:t>
      </w:r>
      <w:r w:rsidRPr="00734855">
        <w:t>And I saw the dead, great and small, standing before the throne, and books were opened. Then another book was opened, which is the book of life. And the dead were judged by what was written in the books, according to what they had done. </w:t>
      </w:r>
      <w:r w:rsidRPr="00734855">
        <w:rPr>
          <w:b/>
          <w:bCs/>
          <w:vertAlign w:val="superscript"/>
        </w:rPr>
        <w:t>13 </w:t>
      </w:r>
      <w:r w:rsidRPr="00734855">
        <w:t>And the sea gave up the dead who were in it, Death and Hades gave up the dead who were in them, and they were judged, each one of them, according to what they had done.</w:t>
      </w:r>
      <w:r w:rsidRPr="00734855">
        <w:rPr>
          <w:rStyle w:val="FootnoteReference"/>
        </w:rPr>
        <w:footnoteReference w:id="11"/>
      </w:r>
    </w:p>
    <w:p w14:paraId="1B1148A9" w14:textId="45FF7922" w:rsidR="00FD24AE" w:rsidRPr="00734855" w:rsidRDefault="00000000" w:rsidP="005467ED">
      <w:pPr>
        <w:spacing w:after="0" w:line="480" w:lineRule="auto"/>
      </w:pPr>
      <w:r w:rsidRPr="00734855">
        <w:t xml:space="preserve">This evocative sense of Judgment is present in John </w:t>
      </w:r>
      <w:r w:rsidR="00CE1ADA">
        <w:t>Donne</w:t>
      </w:r>
      <w:r w:rsidRPr="00734855">
        <w:t xml:space="preserve">’s work, </w:t>
      </w:r>
      <w:r w:rsidR="000915DA" w:rsidRPr="00734855">
        <w:t xml:space="preserve">and its presence is significant because of how it intertwines with the themes present in the work. </w:t>
      </w:r>
      <w:r w:rsidRPr="00734855">
        <w:t xml:space="preserve">In fact by the end of the work John </w:t>
      </w:r>
      <w:r w:rsidR="00CE1ADA">
        <w:t>Donne</w:t>
      </w:r>
      <w:r w:rsidRPr="00734855">
        <w:t xml:space="preserve"> is asking God to allow the Judgment, that is the illness, to remind him of his sinful he is, </w:t>
      </w:r>
      <w:r w:rsidR="00E5169E" w:rsidRPr="00734855">
        <w:t xml:space="preserve">and to keep him from relapsing into things he doesn’t want to do. </w:t>
      </w:r>
    </w:p>
    <w:p w14:paraId="028EC5F3" w14:textId="0B5E5461" w:rsidR="00020FD8" w:rsidRPr="00734855" w:rsidRDefault="00000000" w:rsidP="009404A9">
      <w:pPr>
        <w:spacing w:after="0" w:line="480" w:lineRule="auto"/>
        <w:ind w:left="720"/>
      </w:pPr>
      <w:r w:rsidRPr="00734855">
        <w:t>…preserve me</w:t>
      </w:r>
      <w:r w:rsidR="000C4FB3" w:rsidRPr="00734855">
        <w:t>, O my God the God of constancie and perseverance</w:t>
      </w:r>
      <w:r w:rsidR="00AD6013" w:rsidRPr="00734855">
        <w:t>, in this state, from all relapse into those sinnes, which have induc</w:t>
      </w:r>
      <w:r w:rsidR="009404A9" w:rsidRPr="00734855">
        <w:t>’</w:t>
      </w:r>
      <w:r w:rsidR="00AD6013" w:rsidRPr="00734855">
        <w:t>d th</w:t>
      </w:r>
      <w:r w:rsidR="009404A9" w:rsidRPr="00734855">
        <w:t>y former Judgements upon me.</w:t>
      </w:r>
      <w:r w:rsidRPr="00734855">
        <w:rPr>
          <w:rStyle w:val="FootnoteReference"/>
        </w:rPr>
        <w:footnoteReference w:id="12"/>
      </w:r>
    </w:p>
    <w:p w14:paraId="6867A7B4" w14:textId="7441EB07" w:rsidR="008824B2" w:rsidRPr="00734855" w:rsidRDefault="00000000" w:rsidP="00970C44">
      <w:pPr>
        <w:spacing w:after="0" w:line="480" w:lineRule="auto"/>
      </w:pPr>
      <w:r w:rsidRPr="00734855">
        <w:lastRenderedPageBreak/>
        <w:t xml:space="preserve">This reflection upon current judgment </w:t>
      </w:r>
      <w:r w:rsidR="00E5169E" w:rsidRPr="00734855">
        <w:t>through the illness that was</w:t>
      </w:r>
      <w:r w:rsidR="008E5AE3" w:rsidRPr="00734855">
        <w:t xml:space="preserve"> </w:t>
      </w:r>
      <w:r w:rsidR="00E5169E" w:rsidRPr="00734855">
        <w:t xml:space="preserve">pressing him </w:t>
      </w:r>
      <w:r w:rsidR="008E5AE3" w:rsidRPr="00734855">
        <w:t xml:space="preserve">and comparing that judgment to an anatomical dissection, not only by the physicians who were attending to him but also the dissection of his sinful tendencies by God, </w:t>
      </w:r>
      <w:r w:rsidR="00877F78" w:rsidRPr="00734855">
        <w:t>is one of the reasons this work is such a fascinating</w:t>
      </w:r>
      <w:r w:rsidR="00593AA2" w:rsidRPr="00734855">
        <w:t xml:space="preserve"> devotion </w:t>
      </w:r>
      <w:r w:rsidR="00877F78" w:rsidRPr="00734855">
        <w:t>to read.</w:t>
      </w:r>
      <w:r w:rsidR="00593AA2" w:rsidRPr="00734855">
        <w:t xml:space="preserve"> John </w:t>
      </w:r>
      <w:r w:rsidR="00CE1ADA">
        <w:t>Donne</w:t>
      </w:r>
      <w:r w:rsidR="00593AA2" w:rsidRPr="00734855">
        <w:t xml:space="preserve">’s multi layered approach makes reading this work dense, but rewarding. </w:t>
      </w:r>
    </w:p>
    <w:p w14:paraId="1239ACC1" w14:textId="68E8AD16" w:rsidR="008138D2" w:rsidRPr="00734855" w:rsidRDefault="00000000" w:rsidP="006A4C48">
      <w:pPr>
        <w:spacing w:after="0" w:line="480" w:lineRule="auto"/>
        <w:ind w:firstLine="720"/>
      </w:pPr>
      <w:r w:rsidRPr="00734855">
        <w:t>This is no</w:t>
      </w:r>
      <w:r w:rsidR="008824B2" w:rsidRPr="00734855">
        <w:t>t</w:t>
      </w:r>
      <w:r w:rsidRPr="00734855">
        <w:t xml:space="preserve"> where the famous quote ends. </w:t>
      </w:r>
      <w:r w:rsidR="00CE1ADA">
        <w:t>Donne</w:t>
      </w:r>
      <w:r w:rsidR="00CC6E32" w:rsidRPr="00734855">
        <w:t xml:space="preserve"> continues: I have cut up mine own Anatomy, dissected myself, and they are gon to read upon me.’</w:t>
      </w:r>
      <w:r w:rsidRPr="00734855">
        <w:rPr>
          <w:rStyle w:val="FootnoteReference"/>
        </w:rPr>
        <w:footnoteReference w:id="13"/>
      </w:r>
      <w:r w:rsidR="00CC6E32" w:rsidRPr="00734855">
        <w:t xml:space="preserve"> </w:t>
      </w:r>
      <w:r w:rsidR="00E17932" w:rsidRPr="00734855">
        <w:t xml:space="preserve">John </w:t>
      </w:r>
      <w:r w:rsidR="00CE1ADA">
        <w:t>Donne</w:t>
      </w:r>
      <w:r w:rsidR="00E17932" w:rsidRPr="00734855">
        <w:t xml:space="preserve"> is using highly evocative poetic language to communicate his ideas here. He is presenting </w:t>
      </w:r>
      <w:r w:rsidR="00E90394" w:rsidRPr="00734855">
        <w:t>an idea that is present in the era he is living in. As mentioned previously the pioneer of the modern way of doing anatomy was Andreas V</w:t>
      </w:r>
      <w:r w:rsidR="00AD4CE6" w:rsidRPr="00734855">
        <w:t xml:space="preserve">esalius, he was the first to publish anatomical textbooks with illustrations. Many of these illustrations </w:t>
      </w:r>
      <w:r w:rsidR="0020209C" w:rsidRPr="00734855">
        <w:t xml:space="preserve">in works such as </w:t>
      </w:r>
      <w:r w:rsidR="006F3E28" w:rsidRPr="00734855">
        <w:t>‘</w:t>
      </w:r>
      <w:r w:rsidR="0020209C" w:rsidRPr="00734855">
        <w:t>De Humani corporis fabrica libri septem</w:t>
      </w:r>
      <w:r w:rsidR="006F3E28" w:rsidRPr="00734855">
        <w:t>’</w:t>
      </w:r>
      <w:r w:rsidRPr="00734855">
        <w:rPr>
          <w:rStyle w:val="FootnoteReference"/>
        </w:rPr>
        <w:footnoteReference w:id="14"/>
      </w:r>
      <w:r w:rsidR="006F3E28" w:rsidRPr="00734855">
        <w:t xml:space="preserve"> contain images of the human anatomy, and while this may seem like an obvious if not outright necessary part of an anatomical textbook, at the time this was revolutionary. In fact one of the common images depicted in works like </w:t>
      </w:r>
      <w:r w:rsidR="00FA7369" w:rsidRPr="00734855">
        <w:t>‘</w:t>
      </w:r>
      <w:r w:rsidR="006F3E28" w:rsidRPr="00734855">
        <w:t>De Humani corporis fabrica libri septem</w:t>
      </w:r>
      <w:r w:rsidR="00FA7369" w:rsidRPr="00734855">
        <w:t>’</w:t>
      </w:r>
      <w:r w:rsidR="00864670" w:rsidRPr="00734855">
        <w:t xml:space="preserve"> was of a skinless anatomical figure, dissecting themselves for the viewer's convenience. </w:t>
      </w:r>
      <w:r w:rsidR="0085554B" w:rsidRPr="00734855">
        <w:t xml:space="preserve">This dual meaning is one of the ways </w:t>
      </w:r>
      <w:r w:rsidR="00CE1ADA">
        <w:t>Donne</w:t>
      </w:r>
      <w:r w:rsidR="0085554B" w:rsidRPr="00734855">
        <w:t xml:space="preserve"> is expressing how he feels about his introspection during this period of Illness. </w:t>
      </w:r>
      <w:r w:rsidR="007E2847" w:rsidRPr="00734855">
        <w:t xml:space="preserve">More than just his own feelings on his own introspection, this would have conveyed much more context to his original audience. At this time in history the phenomenon of public </w:t>
      </w:r>
      <w:r w:rsidR="00871110" w:rsidRPr="00734855">
        <w:t xml:space="preserve">dissections and the anatomy of the theatre was still in full swing. </w:t>
      </w:r>
      <w:r w:rsidR="00EE4393" w:rsidRPr="00734855">
        <w:t>This was a phenomenon which started properly with Andres</w:t>
      </w:r>
      <w:r w:rsidR="00526FF4" w:rsidRPr="00734855">
        <w:t xml:space="preserve"> Vesalius, </w:t>
      </w:r>
      <w:r w:rsidR="00B6325A" w:rsidRPr="00734855">
        <w:t xml:space="preserve">this was </w:t>
      </w:r>
      <w:r w:rsidR="00BE5682" w:rsidRPr="00734855">
        <w:t xml:space="preserve">considered by the public to be humiliating. In fact there was a point in history where the </w:t>
      </w:r>
      <w:r w:rsidR="00BE5682" w:rsidRPr="00734855">
        <w:lastRenderedPageBreak/>
        <w:t xml:space="preserve">bodies of executed criminals were all publicly dissected as a matter of course, this was because at the time in the cultural </w:t>
      </w:r>
      <w:r w:rsidR="004048F4" w:rsidRPr="00734855">
        <w:t>zeitgeist</w:t>
      </w:r>
      <w:r w:rsidR="00477412" w:rsidRPr="00734855">
        <w:t xml:space="preserve">, </w:t>
      </w:r>
      <w:r w:rsidRPr="00734855">
        <w:t xml:space="preserve">this was considered humiliating to the body; it was yet another punishment heaped on criminals. </w:t>
      </w:r>
    </w:p>
    <w:p w14:paraId="2912C46C" w14:textId="282FBFD5" w:rsidR="007C560D" w:rsidRPr="00734855" w:rsidRDefault="00000000" w:rsidP="006A4C48">
      <w:pPr>
        <w:spacing w:after="0" w:line="480" w:lineRule="auto"/>
        <w:ind w:firstLine="720"/>
      </w:pPr>
      <w:r w:rsidRPr="00734855">
        <w:t xml:space="preserve">This humiliation through public dissection stemmed from a number of place, one of the main ones was the prevailing Christianity that was present in the culture at this time. While not all the people were Christians the ethics and morality of Christianity were the one that dictated the ways that people </w:t>
      </w:r>
      <w:r w:rsidR="000A5A91" w:rsidRPr="00734855">
        <w:t>behaved. Biblical verses such as</w:t>
      </w:r>
      <w:r w:rsidR="00326E19" w:rsidRPr="00734855">
        <w:t xml:space="preserve"> in the first epistle to Corinthians 6:19</w:t>
      </w:r>
      <w:r w:rsidR="00DE582D" w:rsidRPr="00734855">
        <w:t>-20</w:t>
      </w:r>
      <w:r w:rsidR="00326E19" w:rsidRPr="00734855">
        <w:t xml:space="preserve"> where it says</w:t>
      </w:r>
      <w:r w:rsidR="00DE582D" w:rsidRPr="00734855">
        <w:t>:</w:t>
      </w:r>
      <w:r w:rsidR="00326E19" w:rsidRPr="00734855">
        <w:t xml:space="preserve"> </w:t>
      </w:r>
    </w:p>
    <w:p w14:paraId="2051F767" w14:textId="4ADF261F" w:rsidR="00DE582D" w:rsidRPr="00734855" w:rsidRDefault="00000000" w:rsidP="00DE582D">
      <w:pPr>
        <w:spacing w:after="0" w:line="480" w:lineRule="auto"/>
        <w:ind w:left="720"/>
      </w:pPr>
      <w:r w:rsidRPr="00734855">
        <w:t>Or do you not know that your body is a temple of the Holy Spirit within you, whom you have from God? You are not your own, </w:t>
      </w:r>
      <w:hyperlink r:id="rId6" w:history="1">
        <w:r w:rsidR="00DE582D" w:rsidRPr="00734855">
          <w:rPr>
            <w:rStyle w:val="Hyperlink"/>
            <w:b/>
            <w:bCs/>
          </w:rPr>
          <w:t>20</w:t>
        </w:r>
      </w:hyperlink>
      <w:r w:rsidRPr="00734855">
        <w:t>for you were bought with a price. So glorify God in your body.</w:t>
      </w:r>
      <w:r w:rsidRPr="00734855">
        <w:rPr>
          <w:rStyle w:val="FootnoteReference"/>
        </w:rPr>
        <w:footnoteReference w:id="15"/>
      </w:r>
    </w:p>
    <w:p w14:paraId="20A4695C" w14:textId="68054311" w:rsidR="00DE582D" w:rsidRPr="00734855" w:rsidRDefault="00000000" w:rsidP="00DE582D">
      <w:pPr>
        <w:spacing w:after="0" w:line="480" w:lineRule="auto"/>
      </w:pPr>
      <w:r w:rsidRPr="00734855">
        <w:t xml:space="preserve">This sentiment was still widespread in the time that John </w:t>
      </w:r>
      <w:r w:rsidR="00CE1ADA">
        <w:t>Donne</w:t>
      </w:r>
      <w:r w:rsidRPr="00734855">
        <w:t xml:space="preserve"> was writing and it was </w:t>
      </w:r>
      <w:r w:rsidR="00305DF6" w:rsidRPr="00734855">
        <w:t>still hard for</w:t>
      </w:r>
      <w:r w:rsidRPr="00734855">
        <w:t xml:space="preserve"> to many people </w:t>
      </w:r>
      <w:r w:rsidR="00305DF6" w:rsidRPr="00734855">
        <w:t xml:space="preserve">to believe </w:t>
      </w:r>
      <w:r w:rsidRPr="00734855">
        <w:t>that a body could be dissected and it have no spiritual effect</w:t>
      </w:r>
      <w:r w:rsidR="00305DF6" w:rsidRPr="00734855">
        <w:t xml:space="preserve">. This is echoed in </w:t>
      </w:r>
      <w:r w:rsidR="00CE1ADA">
        <w:t>Donne</w:t>
      </w:r>
      <w:r w:rsidR="00305DF6" w:rsidRPr="00734855">
        <w:t xml:space="preserve">’s work where while he is not being literally dissected he is </w:t>
      </w:r>
      <w:r w:rsidR="00D14DCE" w:rsidRPr="00734855">
        <w:t>examining himself through the lense of this illness</w:t>
      </w:r>
      <w:r w:rsidR="00581DB2" w:rsidRPr="00734855">
        <w:t>.</w:t>
      </w:r>
      <w:r w:rsidR="00D14DCE" w:rsidRPr="00734855">
        <w:t xml:space="preserve"> </w:t>
      </w:r>
      <w:r w:rsidR="00581DB2" w:rsidRPr="00734855">
        <w:t>H</w:t>
      </w:r>
      <w:r w:rsidR="00D14DCE" w:rsidRPr="00734855">
        <w:t>e views</w:t>
      </w:r>
      <w:r w:rsidR="00581DB2" w:rsidRPr="00734855">
        <w:t xml:space="preserve"> the illness</w:t>
      </w:r>
      <w:r w:rsidR="00D14DCE" w:rsidRPr="00734855">
        <w:t xml:space="preserve"> as a holy judgment</w:t>
      </w:r>
      <w:r w:rsidR="00581DB2" w:rsidRPr="00734855">
        <w:t xml:space="preserve"> from God, unlike the final judgment </w:t>
      </w:r>
      <w:r w:rsidR="00483D43" w:rsidRPr="00734855">
        <w:t>his view is more that it is to correct him, a to direct the path of his life</w:t>
      </w:r>
      <w:r w:rsidR="00E6769C" w:rsidRPr="00734855">
        <w:t xml:space="preserve"> away from Sin.</w:t>
      </w:r>
    </w:p>
    <w:p w14:paraId="0B382AB6" w14:textId="48A662FB" w:rsidR="0008748A" w:rsidRPr="00734855" w:rsidRDefault="00000000" w:rsidP="00DE582D">
      <w:pPr>
        <w:spacing w:after="0" w:line="480" w:lineRule="auto"/>
      </w:pPr>
      <w:r w:rsidRPr="00734855">
        <w:tab/>
        <w:t xml:space="preserve">Overall John </w:t>
      </w:r>
      <w:r w:rsidR="00CE1ADA">
        <w:t>Donne</w:t>
      </w:r>
      <w:r w:rsidRPr="00734855">
        <w:t>’s Devotions Upon Emergent Occasions is a introspective work about his illness, it has many key passages. This passage in Meditation 9</w:t>
      </w:r>
      <w:r w:rsidR="00C445B2" w:rsidRPr="00734855">
        <w:t xml:space="preserve"> is fascinating in its multi-layered approach to </w:t>
      </w:r>
      <w:r w:rsidRPr="00734855">
        <w:t xml:space="preserve">expressing the ideas and concepts he is feeling at the time. </w:t>
      </w:r>
    </w:p>
    <w:p w14:paraId="204D0DA9" w14:textId="04CB4B2F" w:rsidR="00C445B2" w:rsidRPr="00734855" w:rsidRDefault="00000000" w:rsidP="0008748A">
      <w:pPr>
        <w:spacing w:after="0" w:line="480" w:lineRule="auto"/>
        <w:ind w:left="720"/>
      </w:pPr>
      <w:r w:rsidRPr="00734855">
        <w:lastRenderedPageBreak/>
        <w:t>They have seene me, and heard mee, arraign’d mee in these fetters, and receiv’d evidence; I have cut up mine own Anatomy, dissected myself, and they are gon to read upon me.</w:t>
      </w:r>
      <w:r w:rsidRPr="00734855">
        <w:rPr>
          <w:rStyle w:val="FootnoteReference"/>
        </w:rPr>
        <w:footnoteReference w:id="16"/>
      </w:r>
    </w:p>
    <w:p w14:paraId="79AC1D43" w14:textId="79110367" w:rsidR="0008748A" w:rsidRPr="00734855" w:rsidRDefault="00CE1ADA" w:rsidP="0008748A">
      <w:pPr>
        <w:spacing w:after="0" w:line="480" w:lineRule="auto"/>
      </w:pPr>
      <w:r>
        <w:t>Donne</w:t>
      </w:r>
      <w:r w:rsidR="00000000" w:rsidRPr="00734855">
        <w:t>’s use of anatomy to evoke feelings of and to explain how he</w:t>
      </w:r>
      <w:r w:rsidR="00674D59" w:rsidRPr="00734855">
        <w:t xml:space="preserve"> is experiencing the illness is evocative. It expresses ideas of isolation, and humiliation. As well as tying into this theme of judgment that runs throughout the piece. </w:t>
      </w:r>
      <w:r>
        <w:t>Donne</w:t>
      </w:r>
      <w:r w:rsidR="00967721" w:rsidRPr="00734855">
        <w:t xml:space="preserve">’s skill in poetry lends itself to this style of double or even triple meaning. </w:t>
      </w:r>
      <w:r w:rsidR="00C61EC9" w:rsidRPr="00734855">
        <w:t xml:space="preserve">This use of anatomy helps to evoke the feelings he </w:t>
      </w:r>
      <w:r w:rsidR="00EB3B4F" w:rsidRPr="00734855">
        <w:t>desires</w:t>
      </w:r>
      <w:r w:rsidR="00C61EC9" w:rsidRPr="00734855">
        <w:t xml:space="preserve"> in his </w:t>
      </w:r>
      <w:r w:rsidR="006C773D" w:rsidRPr="00734855">
        <w:t>readers and</w:t>
      </w:r>
      <w:r w:rsidR="00C61EC9" w:rsidRPr="00734855">
        <w:t xml:space="preserve"> helps the reader to </w:t>
      </w:r>
      <w:r w:rsidR="00EB3B4F" w:rsidRPr="00734855">
        <w:t xml:space="preserve">empathise with John </w:t>
      </w:r>
      <w:r>
        <w:t>Donne</w:t>
      </w:r>
      <w:r w:rsidR="00EB3B4F" w:rsidRPr="00734855">
        <w:t>’s experience of illness.</w:t>
      </w:r>
    </w:p>
    <w:p w14:paraId="160517CF" w14:textId="086DAD42" w:rsidR="006C773D" w:rsidRPr="00734855" w:rsidRDefault="006C773D" w:rsidP="0008748A">
      <w:pPr>
        <w:spacing w:after="0" w:line="480" w:lineRule="auto"/>
      </w:pPr>
    </w:p>
    <w:p w14:paraId="2FD09D4D" w14:textId="77777777" w:rsidR="006C773D" w:rsidRDefault="006C773D" w:rsidP="0008748A">
      <w:pPr>
        <w:spacing w:after="0" w:line="480" w:lineRule="auto"/>
      </w:pPr>
    </w:p>
    <w:p w14:paraId="4D233581" w14:textId="77777777" w:rsidR="003040AA" w:rsidRPr="003040AA" w:rsidRDefault="003040AA" w:rsidP="003040AA"/>
    <w:p w14:paraId="5455B660" w14:textId="77777777" w:rsidR="003040AA" w:rsidRPr="003040AA" w:rsidRDefault="003040AA" w:rsidP="003040AA"/>
    <w:p w14:paraId="48AD23FF" w14:textId="77777777" w:rsidR="003040AA" w:rsidRPr="003040AA" w:rsidRDefault="003040AA" w:rsidP="003040AA"/>
    <w:p w14:paraId="10326C3D" w14:textId="77777777" w:rsidR="003040AA" w:rsidRPr="003040AA" w:rsidRDefault="003040AA" w:rsidP="003040AA"/>
    <w:p w14:paraId="3556E5A1" w14:textId="77777777" w:rsidR="003040AA" w:rsidRPr="003040AA" w:rsidRDefault="003040AA" w:rsidP="003040AA"/>
    <w:p w14:paraId="56A19630" w14:textId="77777777" w:rsidR="003040AA" w:rsidRPr="003040AA" w:rsidRDefault="003040AA" w:rsidP="003040AA"/>
    <w:p w14:paraId="28335CB9" w14:textId="77777777" w:rsidR="003040AA" w:rsidRPr="003040AA" w:rsidRDefault="003040AA" w:rsidP="003040AA"/>
    <w:p w14:paraId="19BB70A0" w14:textId="77777777" w:rsidR="003040AA" w:rsidRPr="003040AA" w:rsidRDefault="003040AA" w:rsidP="003040AA"/>
    <w:p w14:paraId="11FC4C38" w14:textId="77777777" w:rsidR="003040AA" w:rsidRPr="003040AA" w:rsidRDefault="003040AA" w:rsidP="003040AA"/>
    <w:p w14:paraId="2CD4B58C" w14:textId="77777777" w:rsidR="003040AA" w:rsidRPr="003040AA" w:rsidRDefault="003040AA" w:rsidP="003040AA"/>
    <w:p w14:paraId="3F0939B0" w14:textId="77777777" w:rsidR="003040AA" w:rsidRPr="003040AA" w:rsidRDefault="003040AA" w:rsidP="003040AA"/>
    <w:p w14:paraId="20300E96" w14:textId="77777777" w:rsidR="003040AA" w:rsidRDefault="003040AA" w:rsidP="003040AA"/>
    <w:p w14:paraId="7CCA5DB3" w14:textId="77777777" w:rsidR="003040AA" w:rsidRDefault="003040AA" w:rsidP="003040AA"/>
    <w:p w14:paraId="165E9B0A" w14:textId="77777777" w:rsidR="00D3649A" w:rsidRDefault="00D3649A" w:rsidP="00D3649A">
      <w:r>
        <w:lastRenderedPageBreak/>
        <w:t>Bibliography</w:t>
      </w:r>
    </w:p>
    <w:p w14:paraId="2A7C6B70" w14:textId="5164780E" w:rsidR="00D3649A" w:rsidRPr="00D3649A" w:rsidRDefault="00D3649A" w:rsidP="00D3649A">
      <w:r>
        <w:br/>
      </w:r>
      <w:proofErr w:type="spellStart"/>
      <w:r w:rsidRPr="00D3649A">
        <w:t>Cambiaghi</w:t>
      </w:r>
      <w:proofErr w:type="spellEnd"/>
      <w:r w:rsidRPr="00D3649A">
        <w:t xml:space="preserve">, Marco, ‘Andreas Vesalius (1514–1564)’, </w:t>
      </w:r>
      <w:r w:rsidRPr="00D3649A">
        <w:rPr>
          <w:i/>
          <w:iCs/>
        </w:rPr>
        <w:t>Journal of Neurology</w:t>
      </w:r>
      <w:r w:rsidRPr="00D3649A">
        <w:t xml:space="preserve">, 264.8 (2017), 1828–30 </w:t>
      </w:r>
      <w:hyperlink r:id="rId7" w:tgtFrame="_new" w:history="1">
        <w:r w:rsidRPr="00D3649A">
          <w:rPr>
            <w:rStyle w:val="Hyperlink"/>
          </w:rPr>
          <w:t>https://doi.org/10.1007/s00415-017-8459-2</w:t>
        </w:r>
      </w:hyperlink>
    </w:p>
    <w:p w14:paraId="02327F5C" w14:textId="77777777" w:rsidR="00D3649A" w:rsidRPr="00D3649A" w:rsidRDefault="00D3649A" w:rsidP="00D3649A">
      <w:r w:rsidRPr="00D3649A">
        <w:t xml:space="preserve">Cavallo, Sandra, ‘Health, Air and Material Culture in the Early Modern Italian Domestic Environment’, </w:t>
      </w:r>
      <w:r w:rsidRPr="00D3649A">
        <w:rPr>
          <w:i/>
          <w:iCs/>
        </w:rPr>
        <w:t>Social History of Medicine</w:t>
      </w:r>
      <w:r w:rsidRPr="00D3649A">
        <w:t xml:space="preserve">, 29.4 (2016), 695–716 </w:t>
      </w:r>
      <w:hyperlink r:id="rId8" w:tgtFrame="_new" w:history="1">
        <w:r w:rsidRPr="00D3649A">
          <w:rPr>
            <w:rStyle w:val="Hyperlink"/>
          </w:rPr>
          <w:t>https://doi.org/10.1093/shm/hkw029</w:t>
        </w:r>
      </w:hyperlink>
    </w:p>
    <w:p w14:paraId="664C8D77" w14:textId="77777777" w:rsidR="00D3649A" w:rsidRPr="00D3649A" w:rsidRDefault="00D3649A" w:rsidP="00D3649A">
      <w:r w:rsidRPr="00D3649A">
        <w:t xml:space="preserve">Cavallo, Sandra, and Tessa Storey, </w:t>
      </w:r>
      <w:r w:rsidRPr="00D3649A">
        <w:rPr>
          <w:i/>
          <w:iCs/>
        </w:rPr>
        <w:t>Conserving Health in Early Modern Culture</w:t>
      </w:r>
      <w:r w:rsidRPr="00D3649A">
        <w:t xml:space="preserve"> (Manchester University Press, 2017)</w:t>
      </w:r>
    </w:p>
    <w:p w14:paraId="21DBEC0C" w14:textId="77777777" w:rsidR="00D3649A" w:rsidRPr="00D3649A" w:rsidRDefault="00D3649A" w:rsidP="00D3649A">
      <w:r w:rsidRPr="00D3649A">
        <w:t xml:space="preserve">Donne, John, and Anthony Raspa, </w:t>
      </w:r>
      <w:r w:rsidRPr="00D3649A">
        <w:rPr>
          <w:i/>
          <w:iCs/>
        </w:rPr>
        <w:t>Devotions upon Emergent Occasions</w:t>
      </w:r>
      <w:r w:rsidRPr="00D3649A">
        <w:t xml:space="preserve"> (New York: Oxford University Press, 1987)</w:t>
      </w:r>
    </w:p>
    <w:p w14:paraId="0CFB3C5D" w14:textId="77777777" w:rsidR="00D3649A" w:rsidRPr="00D3649A" w:rsidRDefault="00D3649A" w:rsidP="00D3649A">
      <w:r w:rsidRPr="00D3649A">
        <w:t xml:space="preserve">Gartner Frost, Kate, </w:t>
      </w:r>
      <w:r w:rsidRPr="00D3649A">
        <w:rPr>
          <w:i/>
          <w:iCs/>
        </w:rPr>
        <w:t>Holy Delight: Typology, Numerology and Autobiography in Donne’s “Devotions upon Emergent Occasions”</w:t>
      </w:r>
      <w:r w:rsidRPr="00D3649A">
        <w:t xml:space="preserve"> (Princeton, New Jersey: Princeton University Press, 1990)</w:t>
      </w:r>
    </w:p>
    <w:p w14:paraId="1D477183" w14:textId="77777777" w:rsidR="00D3649A" w:rsidRPr="00D3649A" w:rsidRDefault="00D3649A" w:rsidP="00D3649A">
      <w:r w:rsidRPr="00D3649A">
        <w:t xml:space="preserve">Garland Pinka, Patricia, ‘John Donne - Prose | Britannica’, </w:t>
      </w:r>
      <w:hyperlink r:id="rId9" w:tgtFrame="_new" w:history="1">
        <w:r w:rsidRPr="00D3649A">
          <w:rPr>
            <w:rStyle w:val="Hyperlink"/>
            <w:i/>
            <w:iCs/>
          </w:rPr>
          <w:t>Www.britannica.com</w:t>
        </w:r>
      </w:hyperlink>
      <w:r w:rsidRPr="00D3649A">
        <w:t xml:space="preserve"> (2024) </w:t>
      </w:r>
      <w:hyperlink r:id="rId10" w:anchor="ref93864" w:tgtFrame="_new" w:history="1">
        <w:r w:rsidRPr="00D3649A">
          <w:rPr>
            <w:rStyle w:val="Hyperlink"/>
          </w:rPr>
          <w:t>https://www.britannica.com/biography/John-Donne/Prose#ref93864</w:t>
        </w:r>
      </w:hyperlink>
    </w:p>
    <w:p w14:paraId="58DA6B21" w14:textId="77777777" w:rsidR="00D3649A" w:rsidRPr="00D3649A" w:rsidRDefault="00D3649A" w:rsidP="00D3649A">
      <w:r w:rsidRPr="00D3649A">
        <w:t xml:space="preserve">Horn, Matthew, ‘John Donne, Godly Inscription, and Permanency of Self in </w:t>
      </w:r>
      <w:r w:rsidRPr="00D3649A">
        <w:rPr>
          <w:i/>
          <w:iCs/>
        </w:rPr>
        <w:t>Devotions upon Emergent Occasions</w:t>
      </w:r>
      <w:r w:rsidRPr="00D3649A">
        <w:t xml:space="preserve">: Donne’s </w:t>
      </w:r>
      <w:r w:rsidRPr="00D3649A">
        <w:rPr>
          <w:i/>
          <w:iCs/>
        </w:rPr>
        <w:t>Devotions upon Emergent Occasions</w:t>
      </w:r>
      <w:r w:rsidRPr="00D3649A">
        <w:t xml:space="preserve">’, </w:t>
      </w:r>
      <w:r w:rsidRPr="00D3649A">
        <w:rPr>
          <w:i/>
          <w:iCs/>
        </w:rPr>
        <w:t>Renaissance Studies</w:t>
      </w:r>
      <w:r w:rsidRPr="00D3649A">
        <w:t xml:space="preserve">, 24.3 (2010), 365–80 </w:t>
      </w:r>
      <w:hyperlink r:id="rId11" w:tgtFrame="_new" w:history="1">
        <w:r w:rsidRPr="00D3649A">
          <w:rPr>
            <w:rStyle w:val="Hyperlink"/>
          </w:rPr>
          <w:t>https://doi.org/10.1111/j.1477-4658.2009.00580.x</w:t>
        </w:r>
      </w:hyperlink>
    </w:p>
    <w:p w14:paraId="4E4CC833" w14:textId="77777777" w:rsidR="00D3649A" w:rsidRPr="00D3649A" w:rsidRDefault="00D3649A" w:rsidP="00D3649A">
      <w:proofErr w:type="spellStart"/>
      <w:r w:rsidRPr="00D3649A">
        <w:t>Klestinec</w:t>
      </w:r>
      <w:proofErr w:type="spellEnd"/>
      <w:r w:rsidRPr="00D3649A">
        <w:t xml:space="preserve">, Cynthia, </w:t>
      </w:r>
      <w:proofErr w:type="spellStart"/>
      <w:r w:rsidRPr="00D3649A">
        <w:rPr>
          <w:i/>
          <w:iCs/>
        </w:rPr>
        <w:t>Theaters</w:t>
      </w:r>
      <w:proofErr w:type="spellEnd"/>
      <w:r w:rsidRPr="00D3649A">
        <w:rPr>
          <w:i/>
          <w:iCs/>
        </w:rPr>
        <w:t xml:space="preserve"> of Anatomy Students, Teachers, and Traditions of Dissection in Renaissance Venice</w:t>
      </w:r>
      <w:r w:rsidRPr="00D3649A">
        <w:t xml:space="preserve"> (Baltimore: Johns Hopkins University Press, 2011)</w:t>
      </w:r>
    </w:p>
    <w:p w14:paraId="72A925FD" w14:textId="77777777" w:rsidR="00D3649A" w:rsidRPr="00D3649A" w:rsidRDefault="00D3649A" w:rsidP="00D3649A">
      <w:proofErr w:type="spellStart"/>
      <w:r w:rsidRPr="00D3649A">
        <w:t>Klestinec</w:t>
      </w:r>
      <w:proofErr w:type="spellEnd"/>
      <w:r w:rsidRPr="00D3649A">
        <w:t xml:space="preserve">, Cynthia, </w:t>
      </w:r>
      <w:proofErr w:type="spellStart"/>
      <w:r w:rsidRPr="00D3649A">
        <w:rPr>
          <w:i/>
          <w:iCs/>
        </w:rPr>
        <w:t>Theaters</w:t>
      </w:r>
      <w:proofErr w:type="spellEnd"/>
      <w:r w:rsidRPr="00D3649A">
        <w:rPr>
          <w:i/>
          <w:iCs/>
        </w:rPr>
        <w:t xml:space="preserve"> of Anatomy Students, Teachers, and Traditions of Dissection in Renaissance Venice</w:t>
      </w:r>
      <w:r w:rsidRPr="00D3649A">
        <w:t xml:space="preserve"> (Baltimore: Johns Hopkins University Press, 2012)</w:t>
      </w:r>
    </w:p>
    <w:p w14:paraId="5E235677" w14:textId="77777777" w:rsidR="00D3649A" w:rsidRPr="00D3649A" w:rsidRDefault="00D3649A" w:rsidP="00D3649A">
      <w:r w:rsidRPr="00D3649A">
        <w:t xml:space="preserve">McMenamin, Paul, ‘Art and Anatomy in the Renaissance: Are the Lessons Still Relevant Today’, </w:t>
      </w:r>
      <w:r w:rsidRPr="00D3649A">
        <w:rPr>
          <w:i/>
          <w:iCs/>
        </w:rPr>
        <w:t>ANZ Journal of Surgery</w:t>
      </w:r>
      <w:r w:rsidRPr="00D3649A">
        <w:t xml:space="preserve">, 92.1–2 (2022), 34–45 </w:t>
      </w:r>
      <w:hyperlink r:id="rId12" w:tgtFrame="_new" w:history="1">
        <w:r w:rsidRPr="00D3649A">
          <w:rPr>
            <w:rStyle w:val="Hyperlink"/>
          </w:rPr>
          <w:t>https://doi.org/10.1111/ans.17268</w:t>
        </w:r>
      </w:hyperlink>
    </w:p>
    <w:p w14:paraId="0CB9014E" w14:textId="77777777" w:rsidR="00D3649A" w:rsidRPr="00D3649A" w:rsidRDefault="00D3649A" w:rsidP="00D3649A">
      <w:r w:rsidRPr="00D3649A">
        <w:t xml:space="preserve">Newton, Hannah, </w:t>
      </w:r>
      <w:r w:rsidRPr="00D3649A">
        <w:rPr>
          <w:i/>
          <w:iCs/>
        </w:rPr>
        <w:t>Misery to Mirth: Recovery from Illness in Early Modern England</w:t>
      </w:r>
      <w:r w:rsidRPr="00D3649A">
        <w:t>, First edition (Oxford: Oxford University Press, 2018)</w:t>
      </w:r>
    </w:p>
    <w:p w14:paraId="3073BA4B" w14:textId="77777777" w:rsidR="00D3649A" w:rsidRPr="00D3649A" w:rsidRDefault="00D3649A" w:rsidP="00D3649A">
      <w:r w:rsidRPr="00D3649A">
        <w:t xml:space="preserve">Sibel </w:t>
      </w:r>
      <w:proofErr w:type="spellStart"/>
      <w:r w:rsidRPr="00D3649A">
        <w:t>Çırpan</w:t>
      </w:r>
      <w:proofErr w:type="spellEnd"/>
      <w:r w:rsidRPr="00D3649A">
        <w:t xml:space="preserve">, Hüseyin Baylan, and </w:t>
      </w:r>
      <w:proofErr w:type="spellStart"/>
      <w:r w:rsidRPr="00D3649A">
        <w:t>Gökşin</w:t>
      </w:r>
      <w:proofErr w:type="spellEnd"/>
      <w:r w:rsidRPr="00D3649A">
        <w:t xml:space="preserve"> Nilüfer </w:t>
      </w:r>
      <w:proofErr w:type="spellStart"/>
      <w:r w:rsidRPr="00D3649A">
        <w:t>Yonguç</w:t>
      </w:r>
      <w:proofErr w:type="spellEnd"/>
      <w:r w:rsidRPr="00D3649A">
        <w:t xml:space="preserve">, ‘Development of the Anatomy </w:t>
      </w:r>
      <w:proofErr w:type="spellStart"/>
      <w:r w:rsidRPr="00D3649A">
        <w:t>Theaters</w:t>
      </w:r>
      <w:proofErr w:type="spellEnd"/>
      <w:r w:rsidRPr="00D3649A">
        <w:t xml:space="preserve"> in the Netherlands during the 1600s and Contributions of Some Important Names’, </w:t>
      </w:r>
      <w:r w:rsidRPr="00D3649A">
        <w:rPr>
          <w:i/>
          <w:iCs/>
        </w:rPr>
        <w:t xml:space="preserve">Sakarya </w:t>
      </w:r>
      <w:proofErr w:type="spellStart"/>
      <w:r w:rsidRPr="00D3649A">
        <w:rPr>
          <w:i/>
          <w:iCs/>
        </w:rPr>
        <w:t>Tıp</w:t>
      </w:r>
      <w:proofErr w:type="spellEnd"/>
      <w:r w:rsidRPr="00D3649A">
        <w:rPr>
          <w:i/>
          <w:iCs/>
        </w:rPr>
        <w:t xml:space="preserve"> </w:t>
      </w:r>
      <w:proofErr w:type="spellStart"/>
      <w:r w:rsidRPr="00D3649A">
        <w:rPr>
          <w:i/>
          <w:iCs/>
        </w:rPr>
        <w:t>Dergisi</w:t>
      </w:r>
      <w:proofErr w:type="spellEnd"/>
      <w:r w:rsidRPr="00D3649A">
        <w:t xml:space="preserve">, 13.4 (2023), 578–83 </w:t>
      </w:r>
      <w:hyperlink r:id="rId13" w:tgtFrame="_new" w:history="1">
        <w:r w:rsidRPr="00D3649A">
          <w:rPr>
            <w:rStyle w:val="Hyperlink"/>
          </w:rPr>
          <w:t>https://doi.org/10.31832/smj.1345977</w:t>
        </w:r>
      </w:hyperlink>
    </w:p>
    <w:p w14:paraId="286AFE2A" w14:textId="77777777" w:rsidR="003040AA" w:rsidRPr="003040AA" w:rsidRDefault="003040AA" w:rsidP="003040AA"/>
    <w:sectPr w:rsidR="003040AA" w:rsidRPr="003040A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A4B9D1" w14:textId="77777777" w:rsidR="00DF137D" w:rsidRDefault="00DF137D">
      <w:pPr>
        <w:spacing w:after="0" w:line="240" w:lineRule="auto"/>
      </w:pPr>
      <w:r>
        <w:separator/>
      </w:r>
    </w:p>
  </w:endnote>
  <w:endnote w:type="continuationSeparator" w:id="0">
    <w:p w14:paraId="21CCA201" w14:textId="77777777" w:rsidR="00DF137D" w:rsidRDefault="00DF1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3AF050" w14:textId="77777777" w:rsidR="00DF137D" w:rsidRDefault="00DF137D" w:rsidP="004B3AA6">
      <w:pPr>
        <w:spacing w:after="0" w:line="240" w:lineRule="auto"/>
      </w:pPr>
      <w:r>
        <w:separator/>
      </w:r>
    </w:p>
  </w:footnote>
  <w:footnote w:type="continuationSeparator" w:id="0">
    <w:p w14:paraId="494C9C9D" w14:textId="77777777" w:rsidR="00DF137D" w:rsidRDefault="00DF137D" w:rsidP="004B3AA6">
      <w:pPr>
        <w:spacing w:after="0" w:line="240" w:lineRule="auto"/>
      </w:pPr>
      <w:r>
        <w:continuationSeparator/>
      </w:r>
    </w:p>
  </w:footnote>
  <w:footnote w:id="1">
    <w:p w14:paraId="16EAFBFF" w14:textId="370DF85E" w:rsidR="00302C38" w:rsidRPr="00302C38" w:rsidRDefault="00000000" w:rsidP="00302C38">
      <w:pPr>
        <w:pStyle w:val="FootnoteText"/>
      </w:pPr>
      <w:r>
        <w:rPr>
          <w:rStyle w:val="FootnoteReference"/>
        </w:rPr>
        <w:footnoteRef/>
      </w:r>
      <w:r>
        <w:t xml:space="preserve"> </w:t>
      </w:r>
      <w:r w:rsidR="00302C38" w:rsidRPr="00302C38">
        <w:t xml:space="preserve">Garland Pinka, Patricia. 2024. ‘John Donne - Prose | Britannica’, </w:t>
      </w:r>
      <w:r w:rsidR="00302C38" w:rsidRPr="00302C38">
        <w:rPr>
          <w:i/>
          <w:iCs/>
        </w:rPr>
        <w:t>Www.britannica.com</w:t>
      </w:r>
      <w:r w:rsidR="00302C38" w:rsidRPr="00302C38">
        <w:t xml:space="preserve"> </w:t>
      </w:r>
      <w:hyperlink r:id="rId1" w:history="1">
        <w:r w:rsidR="00302C38" w:rsidRPr="006E53FC">
          <w:rPr>
            <w:rStyle w:val="Hyperlink"/>
          </w:rPr>
          <w:t>https://www.britannica.com/biography/John-Donne/Prose#ref93864</w:t>
        </w:r>
      </w:hyperlink>
      <w:r w:rsidR="00302C38">
        <w:t xml:space="preserve"> </w:t>
      </w:r>
    </w:p>
    <w:p w14:paraId="7820D3A6" w14:textId="4FD212AB" w:rsidR="004B3AA6" w:rsidRDefault="004B3AA6">
      <w:pPr>
        <w:pStyle w:val="FootnoteText"/>
      </w:pPr>
    </w:p>
  </w:footnote>
  <w:footnote w:id="2">
    <w:p w14:paraId="732C8A30" w14:textId="7F90EF33" w:rsidR="00302C38" w:rsidRPr="00302C38" w:rsidRDefault="00000000" w:rsidP="00302C38">
      <w:pPr>
        <w:pStyle w:val="FootnoteText"/>
      </w:pPr>
      <w:r>
        <w:rPr>
          <w:rStyle w:val="FootnoteReference"/>
        </w:rPr>
        <w:footnoteRef/>
      </w:r>
      <w:r>
        <w:t xml:space="preserve"> </w:t>
      </w:r>
      <w:r w:rsidR="00302C38" w:rsidRPr="00302C38">
        <w:t xml:space="preserve">Donne, John, and Anthony Raspa. 1987. </w:t>
      </w:r>
      <w:r w:rsidR="00302C38" w:rsidRPr="00302C38">
        <w:rPr>
          <w:i/>
          <w:iCs/>
        </w:rPr>
        <w:t>Devotions upon Emergent Occasions</w:t>
      </w:r>
      <w:r w:rsidR="00302C38" w:rsidRPr="00302C38">
        <w:t xml:space="preserve"> (New York Oxford Univ. </w:t>
      </w:r>
      <w:proofErr w:type="spellStart"/>
      <w:r w:rsidR="00302C38" w:rsidRPr="00302C38">
        <w:t>Pr</w:t>
      </w:r>
      <w:proofErr w:type="spellEnd"/>
      <w:r w:rsidR="00302C38" w:rsidRPr="00302C38">
        <w:t>)</w:t>
      </w:r>
      <w:r w:rsidR="00302C38">
        <w:t xml:space="preserve"> p. 45-46</w:t>
      </w:r>
    </w:p>
    <w:p w14:paraId="1EB69C77" w14:textId="0EBE45A2" w:rsidR="004B3AA6" w:rsidRDefault="004B3AA6">
      <w:pPr>
        <w:pStyle w:val="FootnoteText"/>
      </w:pPr>
    </w:p>
  </w:footnote>
  <w:footnote w:id="3">
    <w:p w14:paraId="6ED0A37B" w14:textId="5D44F9EE" w:rsidR="001667DD" w:rsidRPr="001667DD" w:rsidRDefault="00000000" w:rsidP="001667DD">
      <w:pPr>
        <w:pStyle w:val="FootnoteText"/>
      </w:pPr>
      <w:r>
        <w:rPr>
          <w:rStyle w:val="FootnoteReference"/>
        </w:rPr>
        <w:footnoteRef/>
      </w:r>
      <w:r>
        <w:t xml:space="preserve"> </w:t>
      </w:r>
      <w:r w:rsidRPr="001667DD">
        <w:t xml:space="preserve">Cambiaghi, Marco, ‘Andreas Vesalius (1514–1564)’, </w:t>
      </w:r>
      <w:r w:rsidRPr="001667DD">
        <w:rPr>
          <w:i/>
          <w:iCs/>
        </w:rPr>
        <w:t>Journal of Neurology</w:t>
      </w:r>
      <w:r w:rsidRPr="001667DD">
        <w:t xml:space="preserve">, 264.8 (2017), 1828–30 </w:t>
      </w:r>
      <w:hyperlink r:id="rId2" w:history="1">
        <w:r w:rsidR="001667DD" w:rsidRPr="006E53FC">
          <w:rPr>
            <w:rStyle w:val="Hyperlink"/>
          </w:rPr>
          <w:t>https://doi.org/10.1007/s00415-017-8459-2</w:t>
        </w:r>
      </w:hyperlink>
      <w:r>
        <w:t xml:space="preserve"> </w:t>
      </w:r>
    </w:p>
    <w:p w14:paraId="6652AF42" w14:textId="551C9AB8" w:rsidR="00B01F18" w:rsidRDefault="00B01F18">
      <w:pPr>
        <w:pStyle w:val="FootnoteText"/>
      </w:pPr>
    </w:p>
  </w:footnote>
  <w:footnote w:id="4">
    <w:p w14:paraId="71C3EED5" w14:textId="7696E166" w:rsidR="00C1236F" w:rsidRDefault="00000000">
      <w:pPr>
        <w:pStyle w:val="FootnoteText"/>
      </w:pPr>
      <w:r>
        <w:rPr>
          <w:rStyle w:val="FootnoteReference"/>
        </w:rPr>
        <w:footnoteRef/>
      </w:r>
      <w:r>
        <w:t xml:space="preserve"> </w:t>
      </w:r>
      <w:proofErr w:type="spellStart"/>
      <w:r w:rsidR="00302C38" w:rsidRPr="001667DD">
        <w:t>Cambiaghi</w:t>
      </w:r>
      <w:proofErr w:type="spellEnd"/>
      <w:r w:rsidR="00302C38" w:rsidRPr="001667DD">
        <w:t xml:space="preserve">, Marco, ‘Andreas Vesalius (1514–1564)’, </w:t>
      </w:r>
      <w:r w:rsidR="00302C38" w:rsidRPr="001667DD">
        <w:rPr>
          <w:i/>
          <w:iCs/>
        </w:rPr>
        <w:t>Journal of Neurology</w:t>
      </w:r>
      <w:r w:rsidR="00302C38" w:rsidRPr="001667DD">
        <w:t xml:space="preserve">, 264.8 (2017), 1828–30 </w:t>
      </w:r>
      <w:hyperlink r:id="rId3" w:history="1">
        <w:r w:rsidR="00302C38" w:rsidRPr="006E53FC">
          <w:rPr>
            <w:rStyle w:val="Hyperlink"/>
          </w:rPr>
          <w:t>https://doi.org/10.1007/s00415-017-8459-2</w:t>
        </w:r>
      </w:hyperlink>
    </w:p>
  </w:footnote>
  <w:footnote w:id="5">
    <w:p w14:paraId="10E70131" w14:textId="2110C389" w:rsidR="00016896" w:rsidRDefault="00000000">
      <w:pPr>
        <w:pStyle w:val="FootnoteText"/>
      </w:pPr>
      <w:r>
        <w:rPr>
          <w:rStyle w:val="FootnoteReference"/>
        </w:rPr>
        <w:footnoteRef/>
      </w:r>
      <w:r>
        <w:t xml:space="preserve"> </w:t>
      </w:r>
      <w:r w:rsidR="00CC1472" w:rsidRPr="00302C38">
        <w:t xml:space="preserve">Donne, John, and Anthony Raspa. 1987. </w:t>
      </w:r>
      <w:r w:rsidR="00CC1472" w:rsidRPr="00302C38">
        <w:rPr>
          <w:i/>
          <w:iCs/>
        </w:rPr>
        <w:t>Devotions upon Emergent Occasions</w:t>
      </w:r>
      <w:r w:rsidR="00CC1472" w:rsidRPr="00302C38">
        <w:t xml:space="preserve"> (New York Oxford Univ. </w:t>
      </w:r>
      <w:proofErr w:type="spellStart"/>
      <w:r w:rsidR="00CC1472" w:rsidRPr="00302C38">
        <w:t>Pr</w:t>
      </w:r>
      <w:proofErr w:type="spellEnd"/>
      <w:r w:rsidR="00CC1472" w:rsidRPr="00302C38">
        <w:t>)</w:t>
      </w:r>
      <w:r w:rsidR="00CC1472">
        <w:t xml:space="preserve"> p. </w:t>
      </w:r>
      <w:r w:rsidR="00CC1472">
        <w:t>7</w:t>
      </w:r>
    </w:p>
  </w:footnote>
  <w:footnote w:id="6">
    <w:p w14:paraId="7B88E694" w14:textId="3D69C5EB" w:rsidR="00BA256C" w:rsidRDefault="00000000">
      <w:pPr>
        <w:pStyle w:val="FootnoteText"/>
      </w:pPr>
      <w:r>
        <w:rPr>
          <w:rStyle w:val="FootnoteReference"/>
        </w:rPr>
        <w:footnoteRef/>
      </w:r>
      <w:r>
        <w:t xml:space="preserve"> </w:t>
      </w:r>
      <w:r w:rsidR="00CC1472" w:rsidRPr="00302C38">
        <w:t xml:space="preserve">Donne, and Raspa. 1987. </w:t>
      </w:r>
      <w:r w:rsidR="00CC1472" w:rsidRPr="00302C38">
        <w:rPr>
          <w:i/>
          <w:iCs/>
        </w:rPr>
        <w:t>Devotions upon Emergent Occasions</w:t>
      </w:r>
      <w:r w:rsidR="00CC1472">
        <w:t xml:space="preserve"> p. 45-46</w:t>
      </w:r>
    </w:p>
  </w:footnote>
  <w:footnote w:id="7">
    <w:p w14:paraId="4F26A8A0" w14:textId="4ABF1E5F" w:rsidR="0057114B" w:rsidRPr="0057114B" w:rsidRDefault="00000000" w:rsidP="0057114B">
      <w:pPr>
        <w:pStyle w:val="FootnoteText"/>
      </w:pPr>
      <w:r>
        <w:rPr>
          <w:rStyle w:val="FootnoteReference"/>
        </w:rPr>
        <w:footnoteRef/>
      </w:r>
      <w:r>
        <w:t xml:space="preserve"> </w:t>
      </w:r>
      <w:r w:rsidR="0057114B" w:rsidRPr="0057114B">
        <w:t xml:space="preserve">Horn, Matthew, ‘John Donne, Godly Inscription, and Permanency of Self in Devotions upon Emergent Occasions: Donne’s Devotions upon Emergent Occasions’, </w:t>
      </w:r>
      <w:r w:rsidR="0057114B" w:rsidRPr="0057114B">
        <w:rPr>
          <w:i/>
          <w:iCs/>
        </w:rPr>
        <w:t>Renaissance Studies</w:t>
      </w:r>
      <w:r w:rsidR="0057114B" w:rsidRPr="0057114B">
        <w:t xml:space="preserve">, 24.3 (2010), 365–80 </w:t>
      </w:r>
      <w:hyperlink r:id="rId4" w:history="1">
        <w:r w:rsidR="0057114B" w:rsidRPr="006E53FC">
          <w:rPr>
            <w:rStyle w:val="Hyperlink"/>
          </w:rPr>
          <w:t>https://doi.org/10.1111/j.1477-4658.2009.00580.x</w:t>
        </w:r>
      </w:hyperlink>
      <w:r w:rsidR="0057114B">
        <w:t xml:space="preserve"> </w:t>
      </w:r>
    </w:p>
    <w:p w14:paraId="1A08D4C9" w14:textId="191FE110" w:rsidR="006D4241" w:rsidRDefault="006D4241">
      <w:pPr>
        <w:pStyle w:val="FootnoteText"/>
      </w:pPr>
    </w:p>
  </w:footnote>
  <w:footnote w:id="8">
    <w:p w14:paraId="2460B941" w14:textId="3AC6652B" w:rsidR="00B6104F" w:rsidRPr="00B6104F" w:rsidRDefault="00000000" w:rsidP="00B6104F">
      <w:pPr>
        <w:pStyle w:val="FootnoteText"/>
      </w:pPr>
      <w:r>
        <w:rPr>
          <w:rStyle w:val="FootnoteReference"/>
        </w:rPr>
        <w:footnoteRef/>
      </w:r>
      <w:r>
        <w:t xml:space="preserve"> </w:t>
      </w:r>
      <w:r w:rsidR="00B6104F" w:rsidRPr="00B6104F">
        <w:t xml:space="preserve">Horn, Matthew, ‘John Donne, Godly Inscription, and Permanency of Self </w:t>
      </w:r>
    </w:p>
    <w:p w14:paraId="4AD5896B" w14:textId="2DAFA651" w:rsidR="009D502C" w:rsidRDefault="009D502C">
      <w:pPr>
        <w:pStyle w:val="FootnoteText"/>
      </w:pPr>
    </w:p>
  </w:footnote>
  <w:footnote w:id="9">
    <w:p w14:paraId="28147C8B" w14:textId="169B0039" w:rsidR="002D7A81" w:rsidRDefault="00000000">
      <w:pPr>
        <w:pStyle w:val="FootnoteText"/>
      </w:pPr>
      <w:r>
        <w:rPr>
          <w:rStyle w:val="FootnoteReference"/>
        </w:rPr>
        <w:footnoteRef/>
      </w:r>
      <w:r>
        <w:t xml:space="preserve"> </w:t>
      </w:r>
      <w:r w:rsidR="00237EA1" w:rsidRPr="00302C38">
        <w:t xml:space="preserve">Donne, and Raspa. 1987. </w:t>
      </w:r>
      <w:r w:rsidR="00237EA1" w:rsidRPr="00302C38">
        <w:rPr>
          <w:i/>
          <w:iCs/>
        </w:rPr>
        <w:t>Devotions upon Emergent Occasions</w:t>
      </w:r>
      <w:r w:rsidR="00237EA1">
        <w:t xml:space="preserve"> p. 4</w:t>
      </w:r>
      <w:r w:rsidR="00237EA1">
        <w:t>6</w:t>
      </w:r>
    </w:p>
  </w:footnote>
  <w:footnote w:id="10">
    <w:p w14:paraId="6545F4AC" w14:textId="4CC58FC1" w:rsidR="00F35AE4" w:rsidRDefault="00000000">
      <w:pPr>
        <w:pStyle w:val="FootnoteText"/>
      </w:pPr>
      <w:r>
        <w:rPr>
          <w:rStyle w:val="FootnoteReference"/>
        </w:rPr>
        <w:footnoteRef/>
      </w:r>
      <w:r>
        <w:t xml:space="preserve"> </w:t>
      </w:r>
      <w:r w:rsidR="00EE5BA7" w:rsidRPr="00302C38">
        <w:t xml:space="preserve">Donne, and Raspa. 1987. </w:t>
      </w:r>
      <w:r w:rsidR="00EE5BA7" w:rsidRPr="00302C38">
        <w:rPr>
          <w:i/>
          <w:iCs/>
        </w:rPr>
        <w:t>Devotions upon Emergent Occasions</w:t>
      </w:r>
      <w:r w:rsidR="00EE5BA7">
        <w:t xml:space="preserve"> p. </w:t>
      </w:r>
      <w:r w:rsidR="00EE5BA7">
        <w:t>7</w:t>
      </w:r>
    </w:p>
  </w:footnote>
  <w:footnote w:id="11">
    <w:p w14:paraId="239AD031" w14:textId="56F01D7B" w:rsidR="0050562D" w:rsidRDefault="00000000">
      <w:pPr>
        <w:pStyle w:val="FootnoteText"/>
      </w:pPr>
      <w:r>
        <w:rPr>
          <w:rStyle w:val="FootnoteReference"/>
        </w:rPr>
        <w:footnoteRef/>
      </w:r>
      <w:r>
        <w:t xml:space="preserve"> </w:t>
      </w:r>
      <w:r w:rsidR="009110B4" w:rsidRPr="009110B4">
        <w:t xml:space="preserve">Revelation 20:11–13, </w:t>
      </w:r>
      <w:r w:rsidR="009110B4" w:rsidRPr="009110B4">
        <w:rPr>
          <w:i/>
          <w:iCs/>
        </w:rPr>
        <w:t>The Holy Bible: English Standard Version</w:t>
      </w:r>
      <w:r w:rsidR="009110B4" w:rsidRPr="009110B4">
        <w:t xml:space="preserve"> (Wheaton, IL: Crossway Bibles, 2001).</w:t>
      </w:r>
    </w:p>
  </w:footnote>
  <w:footnote w:id="12">
    <w:p w14:paraId="3CD7C091" w14:textId="0FF32F34" w:rsidR="008824B2" w:rsidRDefault="00000000">
      <w:pPr>
        <w:pStyle w:val="FootnoteText"/>
      </w:pPr>
      <w:r>
        <w:rPr>
          <w:rStyle w:val="FootnoteReference"/>
        </w:rPr>
        <w:footnoteRef/>
      </w:r>
      <w:r>
        <w:t xml:space="preserve"> </w:t>
      </w:r>
      <w:r w:rsidR="009110B4" w:rsidRPr="00302C38">
        <w:t xml:space="preserve">Donne, and Raspa. 1987. </w:t>
      </w:r>
      <w:r w:rsidR="009110B4" w:rsidRPr="00302C38">
        <w:rPr>
          <w:i/>
          <w:iCs/>
        </w:rPr>
        <w:t>Devotions upon Emergent Occasions</w:t>
      </w:r>
      <w:r w:rsidR="009110B4">
        <w:t xml:space="preserve"> p. </w:t>
      </w:r>
      <w:r w:rsidR="009110B4">
        <w:t>126</w:t>
      </w:r>
    </w:p>
  </w:footnote>
  <w:footnote w:id="13">
    <w:p w14:paraId="03673E77" w14:textId="41FDC194" w:rsidR="00CC6E32" w:rsidRDefault="00000000">
      <w:pPr>
        <w:pStyle w:val="FootnoteText"/>
      </w:pPr>
      <w:r>
        <w:rPr>
          <w:rStyle w:val="FootnoteReference"/>
        </w:rPr>
        <w:footnoteRef/>
      </w:r>
      <w:r>
        <w:t xml:space="preserve"> </w:t>
      </w:r>
      <w:r w:rsidR="00632C4F" w:rsidRPr="00302C38">
        <w:t xml:space="preserve">Donne, and Raspa. 1987. </w:t>
      </w:r>
      <w:r w:rsidR="00632C4F" w:rsidRPr="00302C38">
        <w:rPr>
          <w:i/>
          <w:iCs/>
        </w:rPr>
        <w:t>Devotions upon Emergent Occasions</w:t>
      </w:r>
      <w:r w:rsidR="00632C4F">
        <w:t xml:space="preserve"> p. 4</w:t>
      </w:r>
      <w:r w:rsidR="00632C4F">
        <w:t>5</w:t>
      </w:r>
    </w:p>
  </w:footnote>
  <w:footnote w:id="14">
    <w:p w14:paraId="29B5BF81" w14:textId="5E40F93F" w:rsidR="002D0CB1" w:rsidRPr="002D0CB1" w:rsidRDefault="00000000" w:rsidP="002D0CB1">
      <w:pPr>
        <w:pStyle w:val="FootnoteText"/>
      </w:pPr>
      <w:r>
        <w:rPr>
          <w:rStyle w:val="FootnoteReference"/>
        </w:rPr>
        <w:footnoteRef/>
      </w:r>
      <w:r>
        <w:t xml:space="preserve"> </w:t>
      </w:r>
      <w:proofErr w:type="spellStart"/>
      <w:r w:rsidR="002D0CB1" w:rsidRPr="002D0CB1">
        <w:t>Cambiaghi</w:t>
      </w:r>
      <w:proofErr w:type="spellEnd"/>
      <w:r w:rsidR="002D0CB1" w:rsidRPr="002D0CB1">
        <w:t xml:space="preserve">, Marco, ‘Andreas Vesalius (1514–1564)’, </w:t>
      </w:r>
      <w:r w:rsidR="002D0CB1" w:rsidRPr="002D0CB1">
        <w:rPr>
          <w:i/>
          <w:iCs/>
        </w:rPr>
        <w:t>Journal of Neurology</w:t>
      </w:r>
    </w:p>
    <w:p w14:paraId="28E6C2FA" w14:textId="3C808D0F" w:rsidR="006F3E28" w:rsidRDefault="006F3E28">
      <w:pPr>
        <w:pStyle w:val="FootnoteText"/>
      </w:pPr>
    </w:p>
  </w:footnote>
  <w:footnote w:id="15">
    <w:p w14:paraId="6DC641A2" w14:textId="63AFD736" w:rsidR="00DE582D" w:rsidRDefault="00000000">
      <w:pPr>
        <w:pStyle w:val="FootnoteText"/>
      </w:pPr>
      <w:r>
        <w:rPr>
          <w:rStyle w:val="FootnoteReference"/>
        </w:rPr>
        <w:footnoteRef/>
      </w:r>
      <w:r>
        <w:t xml:space="preserve"> </w:t>
      </w:r>
      <w:r w:rsidR="00E00884">
        <w:t>1 Corinthians 6:19-20</w:t>
      </w:r>
      <w:r w:rsidR="00E00884" w:rsidRPr="009110B4">
        <w:t xml:space="preserve">, </w:t>
      </w:r>
      <w:r w:rsidR="00E00884" w:rsidRPr="009110B4">
        <w:rPr>
          <w:i/>
          <w:iCs/>
        </w:rPr>
        <w:t>The Holy Bible: English Standard Version</w:t>
      </w:r>
      <w:r w:rsidR="00E00884" w:rsidRPr="009110B4">
        <w:t xml:space="preserve"> (Wheaton, IL: Crossway Bibles, 2001</w:t>
      </w:r>
    </w:p>
  </w:footnote>
  <w:footnote w:id="16">
    <w:p w14:paraId="060FECFF" w14:textId="566D7A12" w:rsidR="0008748A" w:rsidRDefault="00000000">
      <w:pPr>
        <w:pStyle w:val="FootnoteText"/>
      </w:pPr>
      <w:r>
        <w:rPr>
          <w:rStyle w:val="FootnoteReference"/>
        </w:rPr>
        <w:footnoteRef/>
      </w:r>
      <w:r>
        <w:t xml:space="preserve"> </w:t>
      </w:r>
      <w:r w:rsidR="0071035E" w:rsidRPr="00302C38">
        <w:t xml:space="preserve">Donne, and Raspa. 1987. </w:t>
      </w:r>
      <w:r w:rsidR="0071035E" w:rsidRPr="00302C38">
        <w:rPr>
          <w:i/>
          <w:iCs/>
        </w:rPr>
        <w:t>Devotions upon Emergent Occasions</w:t>
      </w:r>
      <w:r w:rsidR="0071035E">
        <w:t xml:space="preserve"> p. 45</w:t>
      </w:r>
      <w:r w:rsidR="0071035E">
        <w:t>-46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11C"/>
    <w:rsid w:val="00003511"/>
    <w:rsid w:val="00016896"/>
    <w:rsid w:val="000200F7"/>
    <w:rsid w:val="00020FD8"/>
    <w:rsid w:val="00054B9C"/>
    <w:rsid w:val="0008748A"/>
    <w:rsid w:val="000915DA"/>
    <w:rsid w:val="00092EE0"/>
    <w:rsid w:val="0009562F"/>
    <w:rsid w:val="00097B9E"/>
    <w:rsid w:val="000A5A91"/>
    <w:rsid w:val="000C49F6"/>
    <w:rsid w:val="000C4FB3"/>
    <w:rsid w:val="000C5731"/>
    <w:rsid w:val="001146FC"/>
    <w:rsid w:val="00136B90"/>
    <w:rsid w:val="001667DD"/>
    <w:rsid w:val="0017405B"/>
    <w:rsid w:val="001A2A31"/>
    <w:rsid w:val="0020209C"/>
    <w:rsid w:val="002024D4"/>
    <w:rsid w:val="00217076"/>
    <w:rsid w:val="00231D94"/>
    <w:rsid w:val="00237EA1"/>
    <w:rsid w:val="002B2A5C"/>
    <w:rsid w:val="002D0CB1"/>
    <w:rsid w:val="002D7A81"/>
    <w:rsid w:val="002E579F"/>
    <w:rsid w:val="002E729D"/>
    <w:rsid w:val="00302C38"/>
    <w:rsid w:val="003040AA"/>
    <w:rsid w:val="00305DF6"/>
    <w:rsid w:val="00317A67"/>
    <w:rsid w:val="00326BF8"/>
    <w:rsid w:val="00326E19"/>
    <w:rsid w:val="00346F8D"/>
    <w:rsid w:val="00372443"/>
    <w:rsid w:val="00376BB0"/>
    <w:rsid w:val="00382841"/>
    <w:rsid w:val="00383EFA"/>
    <w:rsid w:val="0039511C"/>
    <w:rsid w:val="00396445"/>
    <w:rsid w:val="003C4663"/>
    <w:rsid w:val="003F4AF2"/>
    <w:rsid w:val="004048F4"/>
    <w:rsid w:val="0041138B"/>
    <w:rsid w:val="00411395"/>
    <w:rsid w:val="00417AF0"/>
    <w:rsid w:val="00424C9F"/>
    <w:rsid w:val="00446D09"/>
    <w:rsid w:val="00477412"/>
    <w:rsid w:val="00483D43"/>
    <w:rsid w:val="004B3AA6"/>
    <w:rsid w:val="004C5467"/>
    <w:rsid w:val="0050562D"/>
    <w:rsid w:val="00517403"/>
    <w:rsid w:val="00522F58"/>
    <w:rsid w:val="00526FF4"/>
    <w:rsid w:val="0054481C"/>
    <w:rsid w:val="005467ED"/>
    <w:rsid w:val="0057114B"/>
    <w:rsid w:val="00581DB2"/>
    <w:rsid w:val="00593AA2"/>
    <w:rsid w:val="005C291A"/>
    <w:rsid w:val="00632C4F"/>
    <w:rsid w:val="006449F8"/>
    <w:rsid w:val="00666569"/>
    <w:rsid w:val="00674D59"/>
    <w:rsid w:val="006838E4"/>
    <w:rsid w:val="006A3F40"/>
    <w:rsid w:val="006A4C48"/>
    <w:rsid w:val="006C773D"/>
    <w:rsid w:val="006D4241"/>
    <w:rsid w:val="006D5D69"/>
    <w:rsid w:val="006D5E0F"/>
    <w:rsid w:val="006E53FC"/>
    <w:rsid w:val="006F3E28"/>
    <w:rsid w:val="0071035E"/>
    <w:rsid w:val="007104D1"/>
    <w:rsid w:val="00711EA0"/>
    <w:rsid w:val="0071434C"/>
    <w:rsid w:val="00734855"/>
    <w:rsid w:val="00772C63"/>
    <w:rsid w:val="007745CB"/>
    <w:rsid w:val="007A292F"/>
    <w:rsid w:val="007C560D"/>
    <w:rsid w:val="007E2847"/>
    <w:rsid w:val="008138D2"/>
    <w:rsid w:val="00837691"/>
    <w:rsid w:val="0085554B"/>
    <w:rsid w:val="008643C8"/>
    <w:rsid w:val="00864670"/>
    <w:rsid w:val="00865CE3"/>
    <w:rsid w:val="00871110"/>
    <w:rsid w:val="00877F78"/>
    <w:rsid w:val="00880B22"/>
    <w:rsid w:val="008824B2"/>
    <w:rsid w:val="008C40C5"/>
    <w:rsid w:val="008E5AE3"/>
    <w:rsid w:val="008F6880"/>
    <w:rsid w:val="00910A06"/>
    <w:rsid w:val="009110B4"/>
    <w:rsid w:val="0091208C"/>
    <w:rsid w:val="0092780A"/>
    <w:rsid w:val="009404A9"/>
    <w:rsid w:val="00964F3A"/>
    <w:rsid w:val="009663AB"/>
    <w:rsid w:val="00967721"/>
    <w:rsid w:val="00970C44"/>
    <w:rsid w:val="009719C3"/>
    <w:rsid w:val="009B1FEF"/>
    <w:rsid w:val="009C3B82"/>
    <w:rsid w:val="009C704E"/>
    <w:rsid w:val="009D502C"/>
    <w:rsid w:val="00A17ABA"/>
    <w:rsid w:val="00A279FE"/>
    <w:rsid w:val="00A52E3F"/>
    <w:rsid w:val="00A706C0"/>
    <w:rsid w:val="00A73397"/>
    <w:rsid w:val="00A8058A"/>
    <w:rsid w:val="00A82A66"/>
    <w:rsid w:val="00A900DC"/>
    <w:rsid w:val="00AB4441"/>
    <w:rsid w:val="00AD4CE6"/>
    <w:rsid w:val="00AD6013"/>
    <w:rsid w:val="00B01F18"/>
    <w:rsid w:val="00B30C63"/>
    <w:rsid w:val="00B46F8F"/>
    <w:rsid w:val="00B6104F"/>
    <w:rsid w:val="00B6325A"/>
    <w:rsid w:val="00BA256C"/>
    <w:rsid w:val="00BC0C07"/>
    <w:rsid w:val="00BE5682"/>
    <w:rsid w:val="00C1236F"/>
    <w:rsid w:val="00C1767F"/>
    <w:rsid w:val="00C21085"/>
    <w:rsid w:val="00C445B2"/>
    <w:rsid w:val="00C5094B"/>
    <w:rsid w:val="00C5414E"/>
    <w:rsid w:val="00C61EC9"/>
    <w:rsid w:val="00C956E0"/>
    <w:rsid w:val="00CC08A3"/>
    <w:rsid w:val="00CC1472"/>
    <w:rsid w:val="00CC6E32"/>
    <w:rsid w:val="00CE1ADA"/>
    <w:rsid w:val="00CF0A43"/>
    <w:rsid w:val="00D043BC"/>
    <w:rsid w:val="00D102AD"/>
    <w:rsid w:val="00D14DCE"/>
    <w:rsid w:val="00D32115"/>
    <w:rsid w:val="00D3649A"/>
    <w:rsid w:val="00D50C83"/>
    <w:rsid w:val="00DE582D"/>
    <w:rsid w:val="00DF137D"/>
    <w:rsid w:val="00DF391E"/>
    <w:rsid w:val="00DF76F0"/>
    <w:rsid w:val="00E00884"/>
    <w:rsid w:val="00E17932"/>
    <w:rsid w:val="00E31E8B"/>
    <w:rsid w:val="00E45ABC"/>
    <w:rsid w:val="00E5169E"/>
    <w:rsid w:val="00E6769C"/>
    <w:rsid w:val="00E72FA7"/>
    <w:rsid w:val="00E76B47"/>
    <w:rsid w:val="00E85FBF"/>
    <w:rsid w:val="00E90394"/>
    <w:rsid w:val="00EB3B4F"/>
    <w:rsid w:val="00EE4393"/>
    <w:rsid w:val="00EE5BA7"/>
    <w:rsid w:val="00F35AE4"/>
    <w:rsid w:val="00F43030"/>
    <w:rsid w:val="00F72F88"/>
    <w:rsid w:val="00F8574A"/>
    <w:rsid w:val="00FA7369"/>
    <w:rsid w:val="00FD24AE"/>
    <w:rsid w:val="00FF6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206F4"/>
  <w15:chartTrackingRefBased/>
  <w15:docId w15:val="{BE2B8F68-5B3F-47E1-B8AB-F2A28410D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11C"/>
    <w:rPr>
      <w:rFonts w:eastAsiaTheme="majorEastAsia" w:cstheme="majorBidi"/>
      <w:color w:val="272727" w:themeColor="text1" w:themeTint="D8"/>
    </w:rPr>
  </w:style>
  <w:style w:type="paragraph" w:styleId="Title">
    <w:name w:val="Title"/>
    <w:basedOn w:val="Normal"/>
    <w:next w:val="Normal"/>
    <w:link w:val="TitleChar"/>
    <w:uiPriority w:val="10"/>
    <w:qFormat/>
    <w:rsid w:val="00395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11C"/>
    <w:pPr>
      <w:spacing w:before="160"/>
      <w:jc w:val="center"/>
    </w:pPr>
    <w:rPr>
      <w:i/>
      <w:iCs/>
      <w:color w:val="404040" w:themeColor="text1" w:themeTint="BF"/>
    </w:rPr>
  </w:style>
  <w:style w:type="character" w:customStyle="1" w:styleId="QuoteChar">
    <w:name w:val="Quote Char"/>
    <w:basedOn w:val="DefaultParagraphFont"/>
    <w:link w:val="Quote"/>
    <w:uiPriority w:val="29"/>
    <w:rsid w:val="0039511C"/>
    <w:rPr>
      <w:i/>
      <w:iCs/>
      <w:color w:val="404040" w:themeColor="text1" w:themeTint="BF"/>
    </w:rPr>
  </w:style>
  <w:style w:type="paragraph" w:styleId="ListParagraph">
    <w:name w:val="List Paragraph"/>
    <w:basedOn w:val="Normal"/>
    <w:uiPriority w:val="34"/>
    <w:qFormat/>
    <w:rsid w:val="0039511C"/>
    <w:pPr>
      <w:ind w:left="720"/>
      <w:contextualSpacing/>
    </w:pPr>
  </w:style>
  <w:style w:type="character" w:styleId="IntenseEmphasis">
    <w:name w:val="Intense Emphasis"/>
    <w:basedOn w:val="DefaultParagraphFont"/>
    <w:uiPriority w:val="21"/>
    <w:qFormat/>
    <w:rsid w:val="0039511C"/>
    <w:rPr>
      <w:i/>
      <w:iCs/>
      <w:color w:val="0F4761" w:themeColor="accent1" w:themeShade="BF"/>
    </w:rPr>
  </w:style>
  <w:style w:type="paragraph" w:styleId="IntenseQuote">
    <w:name w:val="Intense Quote"/>
    <w:basedOn w:val="Normal"/>
    <w:next w:val="Normal"/>
    <w:link w:val="IntenseQuoteChar"/>
    <w:uiPriority w:val="30"/>
    <w:qFormat/>
    <w:rsid w:val="00395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11C"/>
    <w:rPr>
      <w:i/>
      <w:iCs/>
      <w:color w:val="0F4761" w:themeColor="accent1" w:themeShade="BF"/>
    </w:rPr>
  </w:style>
  <w:style w:type="character" w:styleId="IntenseReference">
    <w:name w:val="Intense Reference"/>
    <w:basedOn w:val="DefaultParagraphFont"/>
    <w:uiPriority w:val="32"/>
    <w:qFormat/>
    <w:rsid w:val="0039511C"/>
    <w:rPr>
      <w:b/>
      <w:bCs/>
      <w:smallCaps/>
      <w:color w:val="0F4761" w:themeColor="accent1" w:themeShade="BF"/>
      <w:spacing w:val="5"/>
    </w:rPr>
  </w:style>
  <w:style w:type="paragraph" w:styleId="FootnoteText">
    <w:name w:val="footnote text"/>
    <w:basedOn w:val="Normal"/>
    <w:link w:val="FootnoteTextChar"/>
    <w:uiPriority w:val="99"/>
    <w:semiHidden/>
    <w:unhideWhenUsed/>
    <w:rsid w:val="004B3A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3AA6"/>
    <w:rPr>
      <w:sz w:val="20"/>
      <w:szCs w:val="20"/>
    </w:rPr>
  </w:style>
  <w:style w:type="character" w:styleId="FootnoteReference">
    <w:name w:val="footnote reference"/>
    <w:basedOn w:val="DefaultParagraphFont"/>
    <w:uiPriority w:val="99"/>
    <w:semiHidden/>
    <w:unhideWhenUsed/>
    <w:rsid w:val="004B3AA6"/>
    <w:rPr>
      <w:vertAlign w:val="superscript"/>
    </w:rPr>
  </w:style>
  <w:style w:type="character" w:styleId="Hyperlink">
    <w:name w:val="Hyperlink"/>
    <w:basedOn w:val="DefaultParagraphFont"/>
    <w:uiPriority w:val="99"/>
    <w:unhideWhenUsed/>
    <w:rsid w:val="001667DD"/>
    <w:rPr>
      <w:color w:val="467886" w:themeColor="hyperlink"/>
      <w:u w:val="single"/>
    </w:rPr>
  </w:style>
  <w:style w:type="character" w:styleId="UnresolvedMention">
    <w:name w:val="Unresolved Mention"/>
    <w:basedOn w:val="DefaultParagraphFont"/>
    <w:uiPriority w:val="99"/>
    <w:semiHidden/>
    <w:unhideWhenUsed/>
    <w:rsid w:val="001667DD"/>
    <w:rPr>
      <w:color w:val="605E5C"/>
      <w:shd w:val="clear" w:color="auto" w:fill="E1DFDD"/>
    </w:rPr>
  </w:style>
  <w:style w:type="paragraph" w:styleId="NormalWeb">
    <w:name w:val="Normal (Web)"/>
    <w:basedOn w:val="Normal"/>
    <w:uiPriority w:val="99"/>
    <w:semiHidden/>
    <w:unhideWhenUsed/>
    <w:rsid w:val="00302C3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372815">
      <w:bodyDiv w:val="1"/>
      <w:marLeft w:val="0"/>
      <w:marRight w:val="0"/>
      <w:marTop w:val="0"/>
      <w:marBottom w:val="0"/>
      <w:divBdr>
        <w:top w:val="none" w:sz="0" w:space="0" w:color="auto"/>
        <w:left w:val="none" w:sz="0" w:space="0" w:color="auto"/>
        <w:bottom w:val="none" w:sz="0" w:space="0" w:color="auto"/>
        <w:right w:val="none" w:sz="0" w:space="0" w:color="auto"/>
      </w:divBdr>
    </w:div>
    <w:div w:id="231933770">
      <w:bodyDiv w:val="1"/>
      <w:marLeft w:val="0"/>
      <w:marRight w:val="0"/>
      <w:marTop w:val="0"/>
      <w:marBottom w:val="0"/>
      <w:divBdr>
        <w:top w:val="none" w:sz="0" w:space="0" w:color="auto"/>
        <w:left w:val="none" w:sz="0" w:space="0" w:color="auto"/>
        <w:bottom w:val="none" w:sz="0" w:space="0" w:color="auto"/>
        <w:right w:val="none" w:sz="0" w:space="0" w:color="auto"/>
      </w:divBdr>
      <w:divsChild>
        <w:div w:id="435559663">
          <w:marLeft w:val="0"/>
          <w:marRight w:val="0"/>
          <w:marTop w:val="0"/>
          <w:marBottom w:val="0"/>
          <w:divBdr>
            <w:top w:val="none" w:sz="0" w:space="0" w:color="auto"/>
            <w:left w:val="none" w:sz="0" w:space="0" w:color="auto"/>
            <w:bottom w:val="none" w:sz="0" w:space="0" w:color="auto"/>
            <w:right w:val="none" w:sz="0" w:space="0" w:color="auto"/>
          </w:divBdr>
          <w:divsChild>
            <w:div w:id="148878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89147">
      <w:bodyDiv w:val="1"/>
      <w:marLeft w:val="0"/>
      <w:marRight w:val="0"/>
      <w:marTop w:val="0"/>
      <w:marBottom w:val="0"/>
      <w:divBdr>
        <w:top w:val="none" w:sz="0" w:space="0" w:color="auto"/>
        <w:left w:val="none" w:sz="0" w:space="0" w:color="auto"/>
        <w:bottom w:val="none" w:sz="0" w:space="0" w:color="auto"/>
        <w:right w:val="none" w:sz="0" w:space="0" w:color="auto"/>
      </w:divBdr>
      <w:divsChild>
        <w:div w:id="1662005021">
          <w:marLeft w:val="0"/>
          <w:marRight w:val="0"/>
          <w:marTop w:val="0"/>
          <w:marBottom w:val="0"/>
          <w:divBdr>
            <w:top w:val="none" w:sz="0" w:space="0" w:color="auto"/>
            <w:left w:val="none" w:sz="0" w:space="0" w:color="auto"/>
            <w:bottom w:val="none" w:sz="0" w:space="0" w:color="auto"/>
            <w:right w:val="none" w:sz="0" w:space="0" w:color="auto"/>
          </w:divBdr>
          <w:divsChild>
            <w:div w:id="98169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708296">
      <w:bodyDiv w:val="1"/>
      <w:marLeft w:val="0"/>
      <w:marRight w:val="0"/>
      <w:marTop w:val="0"/>
      <w:marBottom w:val="0"/>
      <w:divBdr>
        <w:top w:val="none" w:sz="0" w:space="0" w:color="auto"/>
        <w:left w:val="none" w:sz="0" w:space="0" w:color="auto"/>
        <w:bottom w:val="none" w:sz="0" w:space="0" w:color="auto"/>
        <w:right w:val="none" w:sz="0" w:space="0" w:color="auto"/>
      </w:divBdr>
      <w:divsChild>
        <w:div w:id="1423719359">
          <w:marLeft w:val="-720"/>
          <w:marRight w:val="0"/>
          <w:marTop w:val="0"/>
          <w:marBottom w:val="0"/>
          <w:divBdr>
            <w:top w:val="none" w:sz="0" w:space="0" w:color="auto"/>
            <w:left w:val="none" w:sz="0" w:space="0" w:color="auto"/>
            <w:bottom w:val="none" w:sz="0" w:space="0" w:color="auto"/>
            <w:right w:val="none" w:sz="0" w:space="0" w:color="auto"/>
          </w:divBdr>
        </w:div>
      </w:divsChild>
    </w:div>
    <w:div w:id="415327869">
      <w:bodyDiv w:val="1"/>
      <w:marLeft w:val="0"/>
      <w:marRight w:val="0"/>
      <w:marTop w:val="0"/>
      <w:marBottom w:val="0"/>
      <w:divBdr>
        <w:top w:val="none" w:sz="0" w:space="0" w:color="auto"/>
        <w:left w:val="none" w:sz="0" w:space="0" w:color="auto"/>
        <w:bottom w:val="none" w:sz="0" w:space="0" w:color="auto"/>
        <w:right w:val="none" w:sz="0" w:space="0" w:color="auto"/>
      </w:divBdr>
      <w:divsChild>
        <w:div w:id="1105610240">
          <w:marLeft w:val="0"/>
          <w:marRight w:val="0"/>
          <w:marTop w:val="0"/>
          <w:marBottom w:val="0"/>
          <w:divBdr>
            <w:top w:val="none" w:sz="0" w:space="0" w:color="auto"/>
            <w:left w:val="none" w:sz="0" w:space="0" w:color="auto"/>
            <w:bottom w:val="none" w:sz="0" w:space="0" w:color="auto"/>
            <w:right w:val="none" w:sz="0" w:space="0" w:color="auto"/>
          </w:divBdr>
          <w:divsChild>
            <w:div w:id="148966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332725">
      <w:bodyDiv w:val="1"/>
      <w:marLeft w:val="0"/>
      <w:marRight w:val="0"/>
      <w:marTop w:val="0"/>
      <w:marBottom w:val="0"/>
      <w:divBdr>
        <w:top w:val="none" w:sz="0" w:space="0" w:color="auto"/>
        <w:left w:val="none" w:sz="0" w:space="0" w:color="auto"/>
        <w:bottom w:val="none" w:sz="0" w:space="0" w:color="auto"/>
        <w:right w:val="none" w:sz="0" w:space="0" w:color="auto"/>
      </w:divBdr>
      <w:divsChild>
        <w:div w:id="632254516">
          <w:marLeft w:val="0"/>
          <w:marRight w:val="0"/>
          <w:marTop w:val="0"/>
          <w:marBottom w:val="0"/>
          <w:divBdr>
            <w:top w:val="none" w:sz="0" w:space="0" w:color="auto"/>
            <w:left w:val="none" w:sz="0" w:space="0" w:color="auto"/>
            <w:bottom w:val="none" w:sz="0" w:space="0" w:color="auto"/>
            <w:right w:val="none" w:sz="0" w:space="0" w:color="auto"/>
          </w:divBdr>
          <w:divsChild>
            <w:div w:id="209585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346304">
      <w:bodyDiv w:val="1"/>
      <w:marLeft w:val="0"/>
      <w:marRight w:val="0"/>
      <w:marTop w:val="0"/>
      <w:marBottom w:val="0"/>
      <w:divBdr>
        <w:top w:val="none" w:sz="0" w:space="0" w:color="auto"/>
        <w:left w:val="none" w:sz="0" w:space="0" w:color="auto"/>
        <w:bottom w:val="none" w:sz="0" w:space="0" w:color="auto"/>
        <w:right w:val="none" w:sz="0" w:space="0" w:color="auto"/>
      </w:divBdr>
      <w:divsChild>
        <w:div w:id="38866129">
          <w:marLeft w:val="-720"/>
          <w:marRight w:val="0"/>
          <w:marTop w:val="0"/>
          <w:marBottom w:val="0"/>
          <w:divBdr>
            <w:top w:val="none" w:sz="0" w:space="0" w:color="auto"/>
            <w:left w:val="none" w:sz="0" w:space="0" w:color="auto"/>
            <w:bottom w:val="none" w:sz="0" w:space="0" w:color="auto"/>
            <w:right w:val="none" w:sz="0" w:space="0" w:color="auto"/>
          </w:divBdr>
        </w:div>
      </w:divsChild>
    </w:div>
    <w:div w:id="1233586178">
      <w:bodyDiv w:val="1"/>
      <w:marLeft w:val="0"/>
      <w:marRight w:val="0"/>
      <w:marTop w:val="0"/>
      <w:marBottom w:val="0"/>
      <w:divBdr>
        <w:top w:val="none" w:sz="0" w:space="0" w:color="auto"/>
        <w:left w:val="none" w:sz="0" w:space="0" w:color="auto"/>
        <w:bottom w:val="none" w:sz="0" w:space="0" w:color="auto"/>
        <w:right w:val="none" w:sz="0" w:space="0" w:color="auto"/>
      </w:divBdr>
      <w:divsChild>
        <w:div w:id="1415201625">
          <w:marLeft w:val="-720"/>
          <w:marRight w:val="0"/>
          <w:marTop w:val="0"/>
          <w:marBottom w:val="0"/>
          <w:divBdr>
            <w:top w:val="none" w:sz="0" w:space="0" w:color="auto"/>
            <w:left w:val="none" w:sz="0" w:space="0" w:color="auto"/>
            <w:bottom w:val="none" w:sz="0" w:space="0" w:color="auto"/>
            <w:right w:val="none" w:sz="0" w:space="0" w:color="auto"/>
          </w:divBdr>
        </w:div>
      </w:divsChild>
    </w:div>
    <w:div w:id="1318609575">
      <w:bodyDiv w:val="1"/>
      <w:marLeft w:val="0"/>
      <w:marRight w:val="0"/>
      <w:marTop w:val="0"/>
      <w:marBottom w:val="0"/>
      <w:divBdr>
        <w:top w:val="none" w:sz="0" w:space="0" w:color="auto"/>
        <w:left w:val="none" w:sz="0" w:space="0" w:color="auto"/>
        <w:bottom w:val="none" w:sz="0" w:space="0" w:color="auto"/>
        <w:right w:val="none" w:sz="0" w:space="0" w:color="auto"/>
      </w:divBdr>
      <w:divsChild>
        <w:div w:id="144320907">
          <w:marLeft w:val="-720"/>
          <w:marRight w:val="0"/>
          <w:marTop w:val="0"/>
          <w:marBottom w:val="0"/>
          <w:divBdr>
            <w:top w:val="none" w:sz="0" w:space="0" w:color="auto"/>
            <w:left w:val="none" w:sz="0" w:space="0" w:color="auto"/>
            <w:bottom w:val="none" w:sz="0" w:space="0" w:color="auto"/>
            <w:right w:val="none" w:sz="0" w:space="0" w:color="auto"/>
          </w:divBdr>
        </w:div>
      </w:divsChild>
    </w:div>
    <w:div w:id="1324430309">
      <w:bodyDiv w:val="1"/>
      <w:marLeft w:val="0"/>
      <w:marRight w:val="0"/>
      <w:marTop w:val="0"/>
      <w:marBottom w:val="0"/>
      <w:divBdr>
        <w:top w:val="none" w:sz="0" w:space="0" w:color="auto"/>
        <w:left w:val="none" w:sz="0" w:space="0" w:color="auto"/>
        <w:bottom w:val="none" w:sz="0" w:space="0" w:color="auto"/>
        <w:right w:val="none" w:sz="0" w:space="0" w:color="auto"/>
      </w:divBdr>
      <w:divsChild>
        <w:div w:id="1294290374">
          <w:marLeft w:val="-720"/>
          <w:marRight w:val="0"/>
          <w:marTop w:val="0"/>
          <w:marBottom w:val="0"/>
          <w:divBdr>
            <w:top w:val="none" w:sz="0" w:space="0" w:color="auto"/>
            <w:left w:val="none" w:sz="0" w:space="0" w:color="auto"/>
            <w:bottom w:val="none" w:sz="0" w:space="0" w:color="auto"/>
            <w:right w:val="none" w:sz="0" w:space="0" w:color="auto"/>
          </w:divBdr>
        </w:div>
      </w:divsChild>
    </w:div>
    <w:div w:id="1713924001">
      <w:bodyDiv w:val="1"/>
      <w:marLeft w:val="0"/>
      <w:marRight w:val="0"/>
      <w:marTop w:val="0"/>
      <w:marBottom w:val="0"/>
      <w:divBdr>
        <w:top w:val="none" w:sz="0" w:space="0" w:color="auto"/>
        <w:left w:val="none" w:sz="0" w:space="0" w:color="auto"/>
        <w:bottom w:val="none" w:sz="0" w:space="0" w:color="auto"/>
        <w:right w:val="none" w:sz="0" w:space="0" w:color="auto"/>
      </w:divBdr>
      <w:divsChild>
        <w:div w:id="1903518336">
          <w:marLeft w:val="0"/>
          <w:marRight w:val="0"/>
          <w:marTop w:val="0"/>
          <w:marBottom w:val="0"/>
          <w:divBdr>
            <w:top w:val="none" w:sz="0" w:space="0" w:color="auto"/>
            <w:left w:val="none" w:sz="0" w:space="0" w:color="auto"/>
            <w:bottom w:val="none" w:sz="0" w:space="0" w:color="auto"/>
            <w:right w:val="none" w:sz="0" w:space="0" w:color="auto"/>
          </w:divBdr>
          <w:divsChild>
            <w:div w:id="161023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030054">
      <w:bodyDiv w:val="1"/>
      <w:marLeft w:val="0"/>
      <w:marRight w:val="0"/>
      <w:marTop w:val="0"/>
      <w:marBottom w:val="0"/>
      <w:divBdr>
        <w:top w:val="none" w:sz="0" w:space="0" w:color="auto"/>
        <w:left w:val="none" w:sz="0" w:space="0" w:color="auto"/>
        <w:bottom w:val="none" w:sz="0" w:space="0" w:color="auto"/>
        <w:right w:val="none" w:sz="0" w:space="0" w:color="auto"/>
      </w:divBdr>
      <w:divsChild>
        <w:div w:id="1557929392">
          <w:marLeft w:val="-720"/>
          <w:marRight w:val="0"/>
          <w:marTop w:val="0"/>
          <w:marBottom w:val="0"/>
          <w:divBdr>
            <w:top w:val="none" w:sz="0" w:space="0" w:color="auto"/>
            <w:left w:val="none" w:sz="0" w:space="0" w:color="auto"/>
            <w:bottom w:val="none" w:sz="0" w:space="0" w:color="auto"/>
            <w:right w:val="none" w:sz="0" w:space="0" w:color="auto"/>
          </w:divBdr>
        </w:div>
      </w:divsChild>
    </w:div>
    <w:div w:id="1731658907">
      <w:bodyDiv w:val="1"/>
      <w:marLeft w:val="0"/>
      <w:marRight w:val="0"/>
      <w:marTop w:val="0"/>
      <w:marBottom w:val="0"/>
      <w:divBdr>
        <w:top w:val="none" w:sz="0" w:space="0" w:color="auto"/>
        <w:left w:val="none" w:sz="0" w:space="0" w:color="auto"/>
        <w:bottom w:val="none" w:sz="0" w:space="0" w:color="auto"/>
        <w:right w:val="none" w:sz="0" w:space="0" w:color="auto"/>
      </w:divBdr>
    </w:div>
    <w:div w:id="2129623217">
      <w:bodyDiv w:val="1"/>
      <w:marLeft w:val="0"/>
      <w:marRight w:val="0"/>
      <w:marTop w:val="0"/>
      <w:marBottom w:val="0"/>
      <w:divBdr>
        <w:top w:val="none" w:sz="0" w:space="0" w:color="auto"/>
        <w:left w:val="none" w:sz="0" w:space="0" w:color="auto"/>
        <w:bottom w:val="none" w:sz="0" w:space="0" w:color="auto"/>
        <w:right w:val="none" w:sz="0" w:space="0" w:color="auto"/>
      </w:divBdr>
      <w:divsChild>
        <w:div w:id="1538540996">
          <w:marLeft w:val="0"/>
          <w:marRight w:val="0"/>
          <w:marTop w:val="0"/>
          <w:marBottom w:val="0"/>
          <w:divBdr>
            <w:top w:val="none" w:sz="0" w:space="0" w:color="auto"/>
            <w:left w:val="none" w:sz="0" w:space="0" w:color="auto"/>
            <w:bottom w:val="none" w:sz="0" w:space="0" w:color="auto"/>
            <w:right w:val="none" w:sz="0" w:space="0" w:color="auto"/>
          </w:divBdr>
          <w:divsChild>
            <w:div w:id="144306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hm/hkw029" TargetMode="External"/><Relationship Id="rId13" Type="http://schemas.openxmlformats.org/officeDocument/2006/relationships/hyperlink" Target="https://doi.org/10.31832/smj.1345977" TargetMode="External"/><Relationship Id="rId3" Type="http://schemas.openxmlformats.org/officeDocument/2006/relationships/webSettings" Target="webSettings.xml"/><Relationship Id="rId7" Type="http://schemas.openxmlformats.org/officeDocument/2006/relationships/hyperlink" Target="https://doi.org/10.1007/s00415-017-8459-2" TargetMode="External"/><Relationship Id="rId12" Type="http://schemas.openxmlformats.org/officeDocument/2006/relationships/hyperlink" Target="https://doi.org/10.1111/ans.1726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iblehub.com/1_corinthians/6-20.htm" TargetMode="External"/><Relationship Id="rId11" Type="http://schemas.openxmlformats.org/officeDocument/2006/relationships/hyperlink" Target="https://doi.org/10.1111/j.1477-4658.2009.00580.x"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britannica.com/biography/John-Donne/Prose" TargetMode="External"/><Relationship Id="rId4" Type="http://schemas.openxmlformats.org/officeDocument/2006/relationships/footnotes" Target="footnotes.xml"/><Relationship Id="rId9" Type="http://schemas.openxmlformats.org/officeDocument/2006/relationships/hyperlink" Target="http://Www.britannica.com"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07/s00415-017-8459-2" TargetMode="External"/><Relationship Id="rId2" Type="http://schemas.openxmlformats.org/officeDocument/2006/relationships/hyperlink" Target="https://doi.org/10.1007/s00415-017-8459-2" TargetMode="External"/><Relationship Id="rId1" Type="http://schemas.openxmlformats.org/officeDocument/2006/relationships/hyperlink" Target="https://www.britannica.com/biography/John-Donne/Prose#ref93864" TargetMode="External"/><Relationship Id="rId4" Type="http://schemas.openxmlformats.org/officeDocument/2006/relationships/hyperlink" Target="https://doi.org/10.1111/j.1477-4658.2009.0058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383</TotalTime>
  <Pages>10</Pages>
  <Words>2466</Words>
  <Characters>14058</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175</cp:revision>
  <dcterms:created xsi:type="dcterms:W3CDTF">2024-11-21T15:29:00Z</dcterms:created>
  <dcterms:modified xsi:type="dcterms:W3CDTF">2024-12-01T22:13:00Z</dcterms:modified>
</cp:coreProperties>
</file>