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DBE5A" w14:textId="02AB4716" w:rsidR="00421F8C" w:rsidRDefault="000A068E" w:rsidP="008327D8">
      <w:pPr>
        <w:spacing w:line="360" w:lineRule="auto"/>
        <w:rPr>
          <w:rFonts w:ascii="Arial" w:hAnsi="Arial" w:cs="Arial"/>
        </w:rPr>
      </w:pPr>
      <w:r>
        <w:rPr>
          <w:rFonts w:ascii="Arial" w:hAnsi="Arial" w:cs="Arial"/>
        </w:rPr>
        <w:t xml:space="preserve">                           </w:t>
      </w:r>
      <w:r>
        <w:rPr>
          <w:noProof/>
        </w:rPr>
        <w:drawing>
          <wp:inline distT="0" distB="0" distL="0" distR="0" wp14:anchorId="7FD2D5EE" wp14:editId="0997D180">
            <wp:extent cx="3725326" cy="1409700"/>
            <wp:effectExtent l="0" t="0" r="8890" b="0"/>
            <wp:docPr id="21194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7648" cy="1425715"/>
                    </a:xfrm>
                    <a:prstGeom prst="rect">
                      <a:avLst/>
                    </a:prstGeom>
                    <a:noFill/>
                    <a:ln>
                      <a:noFill/>
                    </a:ln>
                  </pic:spPr>
                </pic:pic>
              </a:graphicData>
            </a:graphic>
          </wp:inline>
        </w:drawing>
      </w:r>
    </w:p>
    <w:p w14:paraId="506C0730" w14:textId="09EFBC6F" w:rsidR="00326290" w:rsidRDefault="00326290" w:rsidP="00326290">
      <w:pPr>
        <w:rPr>
          <w:rFonts w:ascii="Arial" w:hAnsi="Arial" w:cs="Arial"/>
        </w:rPr>
      </w:pPr>
    </w:p>
    <w:p w14:paraId="2894FD21" w14:textId="77777777" w:rsidR="000A068E" w:rsidRPr="000A068E" w:rsidRDefault="000A068E" w:rsidP="000A068E">
      <w:pPr>
        <w:jc w:val="center"/>
        <w:rPr>
          <w:rFonts w:ascii="Arial" w:hAnsi="Arial" w:cs="Arial"/>
          <w:b/>
          <w:bCs/>
        </w:rPr>
      </w:pPr>
      <w:r w:rsidRPr="000A068E">
        <w:rPr>
          <w:rFonts w:ascii="Arial" w:hAnsi="Arial" w:cs="Arial"/>
          <w:b/>
          <w:bCs/>
        </w:rPr>
        <w:t>Programme Name: - Master of Business Administration</w:t>
      </w:r>
    </w:p>
    <w:p w14:paraId="76BF9C53" w14:textId="77777777" w:rsidR="000A068E" w:rsidRPr="000A068E" w:rsidRDefault="000A068E" w:rsidP="000A068E">
      <w:pPr>
        <w:jc w:val="center"/>
        <w:rPr>
          <w:rFonts w:ascii="Arial" w:hAnsi="Arial" w:cs="Arial"/>
          <w:b/>
          <w:bCs/>
        </w:rPr>
      </w:pPr>
      <w:r w:rsidRPr="000A068E">
        <w:rPr>
          <w:rFonts w:ascii="Arial" w:hAnsi="Arial" w:cs="Arial"/>
          <w:b/>
          <w:bCs/>
        </w:rPr>
        <w:t>Module Name: - Marketing Management</w:t>
      </w:r>
    </w:p>
    <w:p w14:paraId="2FDD04FA" w14:textId="77777777" w:rsidR="000A068E" w:rsidRPr="000A068E" w:rsidRDefault="000A068E" w:rsidP="000A068E">
      <w:pPr>
        <w:jc w:val="center"/>
        <w:rPr>
          <w:rFonts w:ascii="Arial" w:hAnsi="Arial" w:cs="Arial"/>
          <w:b/>
          <w:bCs/>
        </w:rPr>
      </w:pPr>
      <w:r w:rsidRPr="000A068E">
        <w:rPr>
          <w:rFonts w:ascii="Arial" w:hAnsi="Arial" w:cs="Arial"/>
          <w:b/>
          <w:bCs/>
        </w:rPr>
        <w:t>Module Code: - LCMB7024</w:t>
      </w:r>
    </w:p>
    <w:p w14:paraId="4D14C928" w14:textId="77777777" w:rsidR="000A068E" w:rsidRPr="000A068E" w:rsidRDefault="000A068E" w:rsidP="000A068E">
      <w:pPr>
        <w:jc w:val="center"/>
        <w:rPr>
          <w:rFonts w:ascii="Arial" w:hAnsi="Arial" w:cs="Arial"/>
          <w:b/>
          <w:bCs/>
        </w:rPr>
      </w:pPr>
      <w:r w:rsidRPr="000A068E">
        <w:rPr>
          <w:rFonts w:ascii="Arial" w:hAnsi="Arial" w:cs="Arial"/>
          <w:b/>
          <w:bCs/>
        </w:rPr>
        <w:t>Assignment Title: - Marketing Environment Analysis</w:t>
      </w:r>
    </w:p>
    <w:p w14:paraId="3175D14F" w14:textId="77777777" w:rsidR="000A068E" w:rsidRPr="000A068E" w:rsidRDefault="000A068E" w:rsidP="000A068E">
      <w:pPr>
        <w:jc w:val="center"/>
        <w:rPr>
          <w:rFonts w:ascii="Arial" w:hAnsi="Arial" w:cs="Arial"/>
          <w:b/>
          <w:bCs/>
        </w:rPr>
      </w:pPr>
      <w:r w:rsidRPr="000A068E">
        <w:rPr>
          <w:rFonts w:ascii="Arial" w:hAnsi="Arial" w:cs="Arial"/>
          <w:b/>
          <w:bCs/>
        </w:rPr>
        <w:t xml:space="preserve">Lecturer’s Name: - Dian </w:t>
      </w:r>
      <w:proofErr w:type="spellStart"/>
      <w:r w:rsidRPr="000A068E">
        <w:rPr>
          <w:rFonts w:ascii="Arial" w:hAnsi="Arial" w:cs="Arial"/>
          <w:b/>
          <w:bCs/>
        </w:rPr>
        <w:t>Mayasari</w:t>
      </w:r>
      <w:proofErr w:type="spellEnd"/>
      <w:r w:rsidRPr="000A068E">
        <w:rPr>
          <w:rFonts w:ascii="Arial" w:hAnsi="Arial" w:cs="Arial"/>
          <w:b/>
          <w:bCs/>
        </w:rPr>
        <w:t xml:space="preserve"> (Birmingham)</w:t>
      </w:r>
    </w:p>
    <w:p w14:paraId="0FEB8C02" w14:textId="77777777" w:rsidR="000A068E" w:rsidRPr="000A068E" w:rsidRDefault="000A068E" w:rsidP="000A068E">
      <w:pPr>
        <w:jc w:val="center"/>
        <w:rPr>
          <w:rFonts w:ascii="Arial" w:hAnsi="Arial" w:cs="Arial"/>
          <w:b/>
          <w:bCs/>
        </w:rPr>
      </w:pPr>
      <w:r w:rsidRPr="000A068E">
        <w:rPr>
          <w:rFonts w:ascii="Arial" w:hAnsi="Arial" w:cs="Arial"/>
          <w:b/>
          <w:bCs/>
        </w:rPr>
        <w:t xml:space="preserve">Student Name: - Abhi </w:t>
      </w:r>
      <w:proofErr w:type="spellStart"/>
      <w:r w:rsidRPr="000A068E">
        <w:rPr>
          <w:rFonts w:ascii="Arial" w:hAnsi="Arial" w:cs="Arial"/>
          <w:b/>
          <w:bCs/>
        </w:rPr>
        <w:t>Shitalbhai</w:t>
      </w:r>
      <w:proofErr w:type="spellEnd"/>
      <w:r w:rsidRPr="000A068E">
        <w:rPr>
          <w:rFonts w:ascii="Arial" w:hAnsi="Arial" w:cs="Arial"/>
          <w:b/>
          <w:bCs/>
        </w:rPr>
        <w:t xml:space="preserve"> Shah</w:t>
      </w:r>
    </w:p>
    <w:p w14:paraId="5A66E711" w14:textId="77777777" w:rsidR="000A068E" w:rsidRPr="000A068E" w:rsidRDefault="000A068E" w:rsidP="000A068E">
      <w:pPr>
        <w:jc w:val="center"/>
        <w:rPr>
          <w:rFonts w:ascii="Arial" w:hAnsi="Arial" w:cs="Arial"/>
          <w:b/>
          <w:bCs/>
        </w:rPr>
      </w:pPr>
      <w:r w:rsidRPr="000A068E">
        <w:rPr>
          <w:rFonts w:ascii="Arial" w:hAnsi="Arial" w:cs="Arial"/>
          <w:b/>
          <w:bCs/>
        </w:rPr>
        <w:t>Student Id: - 2511298</w:t>
      </w:r>
    </w:p>
    <w:p w14:paraId="5F5DFCCC" w14:textId="38BB55D0" w:rsidR="000A068E" w:rsidRPr="000A068E" w:rsidRDefault="000A068E" w:rsidP="000A068E">
      <w:pPr>
        <w:jc w:val="center"/>
        <w:rPr>
          <w:rFonts w:ascii="Arial" w:hAnsi="Arial" w:cs="Arial"/>
          <w:b/>
          <w:bCs/>
        </w:rPr>
      </w:pPr>
      <w:r w:rsidRPr="000A068E">
        <w:rPr>
          <w:rFonts w:ascii="Arial" w:hAnsi="Arial" w:cs="Arial"/>
          <w:b/>
          <w:bCs/>
        </w:rPr>
        <w:t>Submission Date: - 24th October 2025, Friday by 2pm</w:t>
      </w:r>
    </w:p>
    <w:p w14:paraId="3D80DA4C" w14:textId="77777777" w:rsidR="00326290" w:rsidRDefault="00326290" w:rsidP="00326290">
      <w:pPr>
        <w:rPr>
          <w:rFonts w:ascii="Arial" w:hAnsi="Arial" w:cs="Arial"/>
        </w:rPr>
      </w:pPr>
    </w:p>
    <w:p w14:paraId="198B0952" w14:textId="77777777" w:rsidR="00326290" w:rsidRDefault="00326290" w:rsidP="00326290">
      <w:pPr>
        <w:rPr>
          <w:rFonts w:ascii="Arial" w:hAnsi="Arial" w:cs="Arial"/>
        </w:rPr>
      </w:pPr>
    </w:p>
    <w:p w14:paraId="132640C6" w14:textId="77777777" w:rsidR="00326290" w:rsidRDefault="00326290" w:rsidP="00326290">
      <w:pPr>
        <w:rPr>
          <w:rFonts w:ascii="Arial" w:hAnsi="Arial" w:cs="Arial"/>
        </w:rPr>
      </w:pPr>
    </w:p>
    <w:p w14:paraId="4D920009" w14:textId="77777777" w:rsidR="00326290" w:rsidRDefault="00326290" w:rsidP="00326290">
      <w:pPr>
        <w:rPr>
          <w:rFonts w:ascii="Arial" w:hAnsi="Arial" w:cs="Arial"/>
        </w:rPr>
      </w:pPr>
    </w:p>
    <w:p w14:paraId="3B035B24" w14:textId="77777777" w:rsidR="00326290" w:rsidRDefault="00326290" w:rsidP="00326290">
      <w:pPr>
        <w:rPr>
          <w:rFonts w:ascii="Arial" w:hAnsi="Arial" w:cs="Arial"/>
        </w:rPr>
      </w:pPr>
    </w:p>
    <w:p w14:paraId="5818A199" w14:textId="77777777" w:rsidR="00326290" w:rsidRDefault="00326290" w:rsidP="00326290">
      <w:pPr>
        <w:rPr>
          <w:rFonts w:ascii="Arial" w:hAnsi="Arial" w:cs="Arial"/>
        </w:rPr>
      </w:pPr>
    </w:p>
    <w:p w14:paraId="40FEE7B7" w14:textId="77777777" w:rsidR="00326290" w:rsidRDefault="00326290" w:rsidP="00326290">
      <w:pPr>
        <w:rPr>
          <w:rFonts w:ascii="Arial" w:hAnsi="Arial" w:cs="Arial"/>
        </w:rPr>
      </w:pPr>
    </w:p>
    <w:p w14:paraId="04FAE665" w14:textId="77777777" w:rsidR="00326290" w:rsidRDefault="00326290" w:rsidP="00326290">
      <w:pPr>
        <w:rPr>
          <w:rFonts w:ascii="Arial" w:hAnsi="Arial" w:cs="Arial"/>
        </w:rPr>
      </w:pPr>
    </w:p>
    <w:p w14:paraId="564D4572" w14:textId="77777777" w:rsidR="00326290" w:rsidRDefault="00326290" w:rsidP="00326290">
      <w:pPr>
        <w:rPr>
          <w:rFonts w:ascii="Arial" w:hAnsi="Arial" w:cs="Arial"/>
        </w:rPr>
      </w:pPr>
    </w:p>
    <w:p w14:paraId="30FE046C" w14:textId="77777777" w:rsidR="00326290" w:rsidRDefault="00326290" w:rsidP="00326290">
      <w:pPr>
        <w:rPr>
          <w:rFonts w:ascii="Arial" w:hAnsi="Arial" w:cs="Arial"/>
        </w:rPr>
      </w:pPr>
    </w:p>
    <w:p w14:paraId="402915A5" w14:textId="77777777" w:rsidR="00326290" w:rsidRDefault="00326290" w:rsidP="00326290">
      <w:pPr>
        <w:rPr>
          <w:rFonts w:ascii="Arial" w:hAnsi="Arial" w:cs="Arial"/>
        </w:rPr>
      </w:pPr>
    </w:p>
    <w:p w14:paraId="69B681BA" w14:textId="77777777" w:rsidR="00326290" w:rsidRDefault="00326290" w:rsidP="00326290">
      <w:pPr>
        <w:rPr>
          <w:rFonts w:ascii="Arial" w:hAnsi="Arial" w:cs="Arial"/>
        </w:rPr>
      </w:pPr>
    </w:p>
    <w:p w14:paraId="017B9C19" w14:textId="77777777" w:rsidR="00326290" w:rsidRDefault="00326290" w:rsidP="00326290">
      <w:pPr>
        <w:rPr>
          <w:rFonts w:ascii="Arial" w:hAnsi="Arial" w:cs="Arial"/>
        </w:rPr>
      </w:pPr>
    </w:p>
    <w:p w14:paraId="32357AA1" w14:textId="77777777" w:rsidR="00326290" w:rsidRDefault="00326290" w:rsidP="00326290">
      <w:pPr>
        <w:rPr>
          <w:rFonts w:ascii="Arial" w:hAnsi="Arial" w:cs="Arial"/>
        </w:rPr>
      </w:pPr>
    </w:p>
    <w:p w14:paraId="629EB995" w14:textId="77777777" w:rsidR="00326290" w:rsidRDefault="00326290" w:rsidP="00326290">
      <w:pPr>
        <w:rPr>
          <w:rFonts w:ascii="Arial" w:hAnsi="Arial" w:cs="Arial"/>
        </w:rPr>
      </w:pPr>
    </w:p>
    <w:p w14:paraId="54E409DE" w14:textId="77777777" w:rsidR="00326290" w:rsidRDefault="00326290" w:rsidP="00326290">
      <w:pPr>
        <w:rPr>
          <w:rFonts w:ascii="Arial" w:hAnsi="Arial" w:cs="Arial"/>
        </w:rPr>
      </w:pPr>
    </w:p>
    <w:p w14:paraId="0CA57CD8" w14:textId="77777777" w:rsidR="00326290" w:rsidRDefault="00326290" w:rsidP="00326290">
      <w:pPr>
        <w:rPr>
          <w:rFonts w:ascii="Arial" w:hAnsi="Arial" w:cs="Arial"/>
        </w:rPr>
      </w:pPr>
    </w:p>
    <w:p w14:paraId="49686065" w14:textId="77777777" w:rsidR="00326290" w:rsidRDefault="00326290" w:rsidP="00326290">
      <w:pPr>
        <w:rPr>
          <w:rFonts w:ascii="Arial" w:hAnsi="Arial" w:cs="Arial"/>
        </w:rPr>
      </w:pPr>
    </w:p>
    <w:p w14:paraId="705B7E7C" w14:textId="77777777" w:rsidR="00326290" w:rsidRDefault="00326290" w:rsidP="00326290">
      <w:pPr>
        <w:rPr>
          <w:rFonts w:ascii="Arial" w:hAnsi="Arial" w:cs="Arial"/>
        </w:rPr>
      </w:pPr>
    </w:p>
    <w:p w14:paraId="6B10BD6D" w14:textId="77777777" w:rsidR="00326290" w:rsidRDefault="00326290" w:rsidP="00326290">
      <w:pPr>
        <w:rPr>
          <w:rFonts w:ascii="Arial" w:hAnsi="Arial" w:cs="Arial"/>
        </w:rPr>
      </w:pPr>
    </w:p>
    <w:p w14:paraId="3C4A50C4" w14:textId="77777777" w:rsidR="00326290" w:rsidRDefault="00326290" w:rsidP="00326290">
      <w:pPr>
        <w:rPr>
          <w:rFonts w:ascii="Arial" w:hAnsi="Arial" w:cs="Arial"/>
        </w:rPr>
      </w:pPr>
    </w:p>
    <w:p w14:paraId="1E3BDF97" w14:textId="77777777" w:rsidR="00326290" w:rsidRDefault="00326290" w:rsidP="00326290">
      <w:pPr>
        <w:rPr>
          <w:rFonts w:ascii="Arial" w:hAnsi="Arial" w:cs="Arial"/>
        </w:rPr>
      </w:pPr>
    </w:p>
    <w:p w14:paraId="0700AA12" w14:textId="77777777" w:rsidR="00326290" w:rsidRDefault="00326290" w:rsidP="00326290">
      <w:pPr>
        <w:rPr>
          <w:rFonts w:ascii="Arial" w:hAnsi="Arial" w:cs="Arial"/>
        </w:rPr>
      </w:pPr>
    </w:p>
    <w:p w14:paraId="0E3DD732" w14:textId="77777777" w:rsidR="00326290" w:rsidRDefault="00326290" w:rsidP="00326290">
      <w:pPr>
        <w:rPr>
          <w:rFonts w:ascii="Arial" w:hAnsi="Arial" w:cs="Arial"/>
        </w:rPr>
      </w:pPr>
    </w:p>
    <w:p w14:paraId="2ECDCF7A" w14:textId="77777777" w:rsidR="00326290" w:rsidRDefault="00326290" w:rsidP="00326290">
      <w:pPr>
        <w:rPr>
          <w:rFonts w:ascii="Arial" w:hAnsi="Arial" w:cs="Arial"/>
        </w:rPr>
      </w:pPr>
    </w:p>
    <w:tbl>
      <w:tblPr>
        <w:tblStyle w:val="TableGrid"/>
        <w:tblW w:w="0" w:type="auto"/>
        <w:tblLook w:val="04A0" w:firstRow="1" w:lastRow="0" w:firstColumn="1" w:lastColumn="0" w:noHBand="0" w:noVBand="1"/>
      </w:tblPr>
      <w:tblGrid>
        <w:gridCol w:w="5173"/>
        <w:gridCol w:w="3843"/>
      </w:tblGrid>
      <w:tr w:rsidR="00326290" w:rsidRPr="007161A9" w14:paraId="310E1181" w14:textId="77777777" w:rsidTr="002F1869">
        <w:tc>
          <w:tcPr>
            <w:tcW w:w="5173" w:type="dxa"/>
          </w:tcPr>
          <w:p w14:paraId="5B5CA410" w14:textId="77777777" w:rsidR="00326290" w:rsidRPr="007161A9" w:rsidRDefault="00326290" w:rsidP="002F1869">
            <w:pPr>
              <w:spacing w:line="360" w:lineRule="auto"/>
              <w:jc w:val="both"/>
              <w:rPr>
                <w:rFonts w:ascii="Arial" w:hAnsi="Arial" w:cs="Arial"/>
                <w:b/>
                <w:bCs/>
              </w:rPr>
            </w:pPr>
            <w:r w:rsidRPr="007161A9">
              <w:rPr>
                <w:rFonts w:ascii="Arial" w:hAnsi="Arial" w:cs="Arial"/>
                <w:b/>
                <w:bCs/>
              </w:rPr>
              <w:t>Table of Contents</w:t>
            </w:r>
          </w:p>
        </w:tc>
        <w:tc>
          <w:tcPr>
            <w:tcW w:w="3843" w:type="dxa"/>
          </w:tcPr>
          <w:p w14:paraId="0C0EDBAC" w14:textId="77777777" w:rsidR="00326290" w:rsidRPr="007161A9" w:rsidRDefault="00326290" w:rsidP="002F1869">
            <w:pPr>
              <w:spacing w:line="360" w:lineRule="auto"/>
              <w:jc w:val="both"/>
              <w:rPr>
                <w:rFonts w:ascii="Arial" w:hAnsi="Arial" w:cs="Arial"/>
                <w:b/>
                <w:bCs/>
              </w:rPr>
            </w:pPr>
            <w:r>
              <w:rPr>
                <w:rFonts w:ascii="Arial" w:hAnsi="Arial" w:cs="Arial"/>
                <w:b/>
                <w:bCs/>
              </w:rPr>
              <w:t xml:space="preserve">Page no. </w:t>
            </w:r>
          </w:p>
        </w:tc>
      </w:tr>
      <w:tr w:rsidR="00326290" w:rsidRPr="007161A9" w14:paraId="25314F86" w14:textId="77777777" w:rsidTr="002F1869">
        <w:tc>
          <w:tcPr>
            <w:tcW w:w="5173" w:type="dxa"/>
          </w:tcPr>
          <w:p w14:paraId="03C2484D"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 xml:space="preserve">Element </w:t>
            </w:r>
            <w:proofErr w:type="gramStart"/>
            <w:r>
              <w:rPr>
                <w:rFonts w:ascii="Arial" w:hAnsi="Arial" w:cs="Arial"/>
              </w:rPr>
              <w:t>1 :</w:t>
            </w:r>
            <w:proofErr w:type="gramEnd"/>
            <w:r>
              <w:rPr>
                <w:rFonts w:ascii="Arial" w:hAnsi="Arial" w:cs="Arial"/>
              </w:rPr>
              <w:t xml:space="preserve"> </w:t>
            </w:r>
            <w:r w:rsidRPr="007161A9">
              <w:rPr>
                <w:rFonts w:ascii="Arial" w:hAnsi="Arial" w:cs="Arial"/>
              </w:rPr>
              <w:t>Segmentation, Targeting, Differentiation, and Positioning (STDP) Analysis</w:t>
            </w:r>
            <w:r w:rsidRPr="007161A9">
              <w:rPr>
                <w:rFonts w:ascii="Arial" w:hAnsi="Arial" w:cs="Arial"/>
              </w:rPr>
              <w:br/>
            </w:r>
            <w:r w:rsidRPr="007161A9">
              <w:rPr>
                <w:rFonts w:ascii="Arial" w:hAnsi="Arial" w:cs="Arial"/>
              </w:rPr>
              <w:t> </w:t>
            </w:r>
            <w:r w:rsidRPr="007161A9">
              <w:rPr>
                <w:rFonts w:ascii="Arial" w:hAnsi="Arial" w:cs="Arial"/>
              </w:rPr>
              <w:t>• Introduction and Brand Concept</w:t>
            </w:r>
            <w:r w:rsidRPr="007161A9">
              <w:rPr>
                <w:rFonts w:ascii="Arial" w:hAnsi="Arial" w:cs="Arial"/>
              </w:rPr>
              <w:br/>
            </w:r>
            <w:r w:rsidRPr="007161A9">
              <w:rPr>
                <w:rFonts w:ascii="Arial" w:hAnsi="Arial" w:cs="Arial"/>
              </w:rPr>
              <w:t> </w:t>
            </w:r>
            <w:r w:rsidRPr="007161A9">
              <w:rPr>
                <w:rFonts w:ascii="Arial" w:hAnsi="Arial" w:cs="Arial"/>
              </w:rPr>
              <w:t>• Reasons for this Brand to Appeal</w:t>
            </w:r>
            <w:r w:rsidRPr="007161A9">
              <w:rPr>
                <w:rFonts w:ascii="Arial" w:hAnsi="Arial" w:cs="Arial"/>
              </w:rPr>
              <w:br/>
            </w:r>
            <w:r w:rsidRPr="007161A9">
              <w:rPr>
                <w:rFonts w:ascii="Arial" w:hAnsi="Arial" w:cs="Arial"/>
              </w:rPr>
              <w:t> </w:t>
            </w:r>
            <w:r w:rsidRPr="007161A9">
              <w:rPr>
                <w:rFonts w:ascii="Arial" w:hAnsi="Arial" w:cs="Arial"/>
              </w:rPr>
              <w:t>• Segmentation</w:t>
            </w:r>
            <w:r w:rsidRPr="007161A9">
              <w:rPr>
                <w:rFonts w:ascii="Arial" w:hAnsi="Arial" w:cs="Arial"/>
              </w:rPr>
              <w:br/>
            </w:r>
            <w:r w:rsidRPr="007161A9">
              <w:rPr>
                <w:rFonts w:ascii="Arial" w:hAnsi="Arial" w:cs="Arial"/>
              </w:rPr>
              <w:t> </w:t>
            </w:r>
            <w:r w:rsidRPr="007161A9">
              <w:rPr>
                <w:rFonts w:ascii="Arial" w:hAnsi="Arial" w:cs="Arial"/>
              </w:rPr>
              <w:t>• Targeting</w:t>
            </w:r>
            <w:r>
              <w:rPr>
                <w:rFonts w:ascii="Arial" w:hAnsi="Arial" w:cs="Arial"/>
              </w:rPr>
              <w:t xml:space="preserve"> </w:t>
            </w:r>
            <w:r w:rsidRPr="007161A9">
              <w:rPr>
                <w:rFonts w:ascii="Arial" w:hAnsi="Arial" w:cs="Arial"/>
              </w:rPr>
              <w:br/>
            </w:r>
            <w:r w:rsidRPr="007161A9">
              <w:rPr>
                <w:rFonts w:ascii="Arial" w:hAnsi="Arial" w:cs="Arial"/>
              </w:rPr>
              <w:t> </w:t>
            </w:r>
            <w:r w:rsidRPr="007161A9">
              <w:rPr>
                <w:rFonts w:ascii="Arial" w:hAnsi="Arial" w:cs="Arial"/>
              </w:rPr>
              <w:t>• Differentiation</w:t>
            </w:r>
            <w:r w:rsidRPr="007161A9">
              <w:rPr>
                <w:rFonts w:ascii="Arial" w:hAnsi="Arial" w:cs="Arial"/>
              </w:rPr>
              <w:br/>
            </w:r>
            <w:r w:rsidRPr="007161A9">
              <w:rPr>
                <w:rFonts w:ascii="Arial" w:hAnsi="Arial" w:cs="Arial"/>
              </w:rPr>
              <w:t> </w:t>
            </w:r>
            <w:r w:rsidRPr="007161A9">
              <w:rPr>
                <w:rFonts w:ascii="Arial" w:hAnsi="Arial" w:cs="Arial"/>
              </w:rPr>
              <w:t>• Positioning</w:t>
            </w:r>
          </w:p>
        </w:tc>
        <w:tc>
          <w:tcPr>
            <w:tcW w:w="3843" w:type="dxa"/>
          </w:tcPr>
          <w:p w14:paraId="4F5C5B8F" w14:textId="668968A4" w:rsidR="00326290" w:rsidRPr="007161A9" w:rsidRDefault="00980EAD" w:rsidP="00980EAD">
            <w:pPr>
              <w:spacing w:line="360" w:lineRule="auto"/>
              <w:jc w:val="center"/>
              <w:rPr>
                <w:rFonts w:ascii="Arial" w:hAnsi="Arial" w:cs="Arial"/>
              </w:rPr>
            </w:pPr>
            <w:r>
              <w:rPr>
                <w:rFonts w:ascii="Arial" w:hAnsi="Arial" w:cs="Arial"/>
              </w:rPr>
              <w:t>3</w:t>
            </w:r>
          </w:p>
        </w:tc>
      </w:tr>
      <w:tr w:rsidR="00326290" w:rsidRPr="007161A9" w14:paraId="5C8559E0" w14:textId="77777777" w:rsidTr="002F1869">
        <w:tc>
          <w:tcPr>
            <w:tcW w:w="5173" w:type="dxa"/>
          </w:tcPr>
          <w:p w14:paraId="6FC48199"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Element 2: Marketing Mix (4Ps)</w:t>
            </w:r>
          </w:p>
        </w:tc>
        <w:tc>
          <w:tcPr>
            <w:tcW w:w="3843" w:type="dxa"/>
          </w:tcPr>
          <w:p w14:paraId="60ACB414" w14:textId="1B6D7559" w:rsidR="000A068E" w:rsidRPr="007161A9" w:rsidRDefault="000A068E" w:rsidP="000A068E">
            <w:pPr>
              <w:spacing w:line="360" w:lineRule="auto"/>
              <w:jc w:val="center"/>
              <w:rPr>
                <w:rFonts w:ascii="Arial" w:hAnsi="Arial" w:cs="Arial"/>
              </w:rPr>
            </w:pPr>
            <w:r>
              <w:rPr>
                <w:rFonts w:ascii="Arial" w:hAnsi="Arial" w:cs="Arial"/>
              </w:rPr>
              <w:t>7</w:t>
            </w:r>
          </w:p>
        </w:tc>
      </w:tr>
      <w:tr w:rsidR="00326290" w:rsidRPr="007161A9" w14:paraId="503DD2FE" w14:textId="77777777" w:rsidTr="002F1869">
        <w:tc>
          <w:tcPr>
            <w:tcW w:w="5173" w:type="dxa"/>
          </w:tcPr>
          <w:p w14:paraId="02D5D4D3"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Element 3: Marketing Strategy Pitch</w:t>
            </w:r>
          </w:p>
        </w:tc>
        <w:tc>
          <w:tcPr>
            <w:tcW w:w="3843" w:type="dxa"/>
          </w:tcPr>
          <w:p w14:paraId="60524C16" w14:textId="1E419692" w:rsidR="00326290" w:rsidRPr="000A068E" w:rsidRDefault="000A068E" w:rsidP="000A068E">
            <w:pPr>
              <w:spacing w:line="360" w:lineRule="auto"/>
              <w:jc w:val="center"/>
              <w:rPr>
                <w:rFonts w:ascii="Arial" w:hAnsi="Arial" w:cs="Arial"/>
              </w:rPr>
            </w:pPr>
            <w:r w:rsidRPr="000A068E">
              <w:rPr>
                <w:rFonts w:ascii="Arial" w:hAnsi="Arial" w:cs="Arial"/>
              </w:rPr>
              <w:t>12</w:t>
            </w:r>
          </w:p>
        </w:tc>
      </w:tr>
      <w:tr w:rsidR="00326290" w:rsidRPr="007161A9" w14:paraId="171427B5" w14:textId="77777777" w:rsidTr="002F1869">
        <w:tc>
          <w:tcPr>
            <w:tcW w:w="5173" w:type="dxa"/>
          </w:tcPr>
          <w:p w14:paraId="6ED43370"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Element 4: Reflection</w:t>
            </w:r>
          </w:p>
        </w:tc>
        <w:tc>
          <w:tcPr>
            <w:tcW w:w="3843" w:type="dxa"/>
          </w:tcPr>
          <w:p w14:paraId="5DC62F5F" w14:textId="71A76553" w:rsidR="00326290" w:rsidRPr="007161A9" w:rsidRDefault="000A068E" w:rsidP="00033F2E">
            <w:pPr>
              <w:spacing w:line="360" w:lineRule="auto"/>
              <w:jc w:val="center"/>
              <w:rPr>
                <w:rFonts w:ascii="Arial" w:hAnsi="Arial" w:cs="Arial"/>
              </w:rPr>
            </w:pPr>
            <w:r>
              <w:rPr>
                <w:rFonts w:ascii="Arial" w:hAnsi="Arial" w:cs="Arial"/>
              </w:rPr>
              <w:t>1</w:t>
            </w:r>
            <w:r w:rsidR="00033F2E">
              <w:rPr>
                <w:rFonts w:ascii="Arial" w:hAnsi="Arial" w:cs="Arial"/>
              </w:rPr>
              <w:t>3</w:t>
            </w:r>
          </w:p>
        </w:tc>
      </w:tr>
      <w:tr w:rsidR="00326290" w:rsidRPr="007161A9" w14:paraId="0E7F75FA" w14:textId="77777777" w:rsidTr="002F1869">
        <w:tc>
          <w:tcPr>
            <w:tcW w:w="5173" w:type="dxa"/>
          </w:tcPr>
          <w:p w14:paraId="7B43F636"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References</w:t>
            </w:r>
          </w:p>
        </w:tc>
        <w:tc>
          <w:tcPr>
            <w:tcW w:w="3843" w:type="dxa"/>
          </w:tcPr>
          <w:p w14:paraId="79495CF1" w14:textId="045E6751" w:rsidR="00326290" w:rsidRPr="007161A9" w:rsidRDefault="00033F2E" w:rsidP="00033F2E">
            <w:pPr>
              <w:spacing w:line="360" w:lineRule="auto"/>
              <w:jc w:val="center"/>
              <w:rPr>
                <w:rFonts w:ascii="Arial" w:hAnsi="Arial" w:cs="Arial"/>
              </w:rPr>
            </w:pPr>
            <w:r>
              <w:rPr>
                <w:rFonts w:ascii="Arial" w:hAnsi="Arial" w:cs="Arial"/>
              </w:rPr>
              <w:t>15</w:t>
            </w:r>
          </w:p>
        </w:tc>
      </w:tr>
      <w:tr w:rsidR="00326290" w:rsidRPr="007161A9" w14:paraId="5FF068BA" w14:textId="77777777" w:rsidTr="002F1869">
        <w:tc>
          <w:tcPr>
            <w:tcW w:w="5173" w:type="dxa"/>
          </w:tcPr>
          <w:p w14:paraId="4ADDA500" w14:textId="77777777" w:rsidR="00326290" w:rsidRPr="007161A9" w:rsidRDefault="00326290" w:rsidP="00326290">
            <w:pPr>
              <w:numPr>
                <w:ilvl w:val="0"/>
                <w:numId w:val="16"/>
              </w:numPr>
              <w:spacing w:line="360" w:lineRule="auto"/>
              <w:rPr>
                <w:rFonts w:ascii="Arial" w:hAnsi="Arial" w:cs="Arial"/>
              </w:rPr>
            </w:pPr>
            <w:r w:rsidRPr="007161A9">
              <w:rPr>
                <w:rFonts w:ascii="Arial" w:hAnsi="Arial" w:cs="Arial"/>
              </w:rPr>
              <w:t>Appendix: Element 3</w:t>
            </w:r>
          </w:p>
        </w:tc>
        <w:tc>
          <w:tcPr>
            <w:tcW w:w="3843" w:type="dxa"/>
          </w:tcPr>
          <w:p w14:paraId="340FDF25" w14:textId="2D75BB88" w:rsidR="00326290" w:rsidRPr="007161A9" w:rsidRDefault="00AC6570" w:rsidP="00AC6570">
            <w:pPr>
              <w:spacing w:line="360" w:lineRule="auto"/>
              <w:jc w:val="center"/>
              <w:rPr>
                <w:rFonts w:ascii="Arial" w:hAnsi="Arial" w:cs="Arial"/>
              </w:rPr>
            </w:pPr>
            <w:r>
              <w:rPr>
                <w:rFonts w:ascii="Arial" w:hAnsi="Arial" w:cs="Arial"/>
              </w:rPr>
              <w:t>18</w:t>
            </w:r>
          </w:p>
        </w:tc>
      </w:tr>
    </w:tbl>
    <w:p w14:paraId="425375D8" w14:textId="77777777" w:rsidR="00326290" w:rsidRDefault="00326290" w:rsidP="00326290">
      <w:pPr>
        <w:spacing w:line="360" w:lineRule="auto"/>
        <w:rPr>
          <w:rFonts w:ascii="Arial" w:hAnsi="Arial" w:cs="Arial"/>
        </w:rPr>
      </w:pPr>
    </w:p>
    <w:p w14:paraId="1FA71EF5" w14:textId="6D221AD3" w:rsidR="008327D8" w:rsidRDefault="008327D8" w:rsidP="00326290">
      <w:pPr>
        <w:rPr>
          <w:rFonts w:ascii="Arial" w:hAnsi="Arial" w:cs="Arial"/>
        </w:rPr>
      </w:pPr>
    </w:p>
    <w:p w14:paraId="76826349" w14:textId="77777777" w:rsidR="00326290" w:rsidRDefault="00326290" w:rsidP="00326290">
      <w:pPr>
        <w:rPr>
          <w:rFonts w:ascii="Arial" w:hAnsi="Arial" w:cs="Arial"/>
        </w:rPr>
      </w:pPr>
    </w:p>
    <w:p w14:paraId="3029D4DC" w14:textId="77777777" w:rsidR="00326290" w:rsidRDefault="00326290" w:rsidP="00326290">
      <w:pPr>
        <w:rPr>
          <w:rFonts w:ascii="Arial" w:hAnsi="Arial" w:cs="Arial"/>
        </w:rPr>
      </w:pPr>
    </w:p>
    <w:p w14:paraId="7D5BD1A8" w14:textId="77777777" w:rsidR="007161A9" w:rsidRDefault="007161A9" w:rsidP="008327D8">
      <w:pPr>
        <w:spacing w:line="360" w:lineRule="auto"/>
        <w:jc w:val="both"/>
        <w:rPr>
          <w:rFonts w:ascii="Arial" w:hAnsi="Arial" w:cs="Arial"/>
        </w:rPr>
      </w:pPr>
    </w:p>
    <w:p w14:paraId="42ABCF6C" w14:textId="7574DF4A" w:rsidR="00421F8C" w:rsidRPr="00421F8C" w:rsidRDefault="00421F8C" w:rsidP="008327D8">
      <w:pPr>
        <w:spacing w:line="360" w:lineRule="auto"/>
        <w:jc w:val="both"/>
        <w:rPr>
          <w:rFonts w:ascii="Arial" w:hAnsi="Arial" w:cs="Arial"/>
          <w:b/>
          <w:bCs/>
        </w:rPr>
      </w:pPr>
      <w:r w:rsidRPr="00421F8C">
        <w:rPr>
          <w:rFonts w:ascii="Arial" w:hAnsi="Arial" w:cs="Arial"/>
          <w:b/>
          <w:bCs/>
        </w:rPr>
        <w:lastRenderedPageBreak/>
        <w:t>Element 1: Segmentation, Targeting, Differentiation and Positioning (STDP) Analysis</w:t>
      </w:r>
    </w:p>
    <w:p w14:paraId="54412AFD" w14:textId="77777777" w:rsidR="00421F8C" w:rsidRPr="00421F8C" w:rsidRDefault="00421F8C" w:rsidP="008327D8">
      <w:pPr>
        <w:spacing w:line="360" w:lineRule="auto"/>
        <w:jc w:val="both"/>
        <w:rPr>
          <w:rFonts w:ascii="Arial" w:hAnsi="Arial" w:cs="Arial"/>
          <w:b/>
          <w:bCs/>
        </w:rPr>
      </w:pPr>
      <w:r w:rsidRPr="00421F8C">
        <w:rPr>
          <w:rFonts w:ascii="Arial" w:hAnsi="Arial" w:cs="Arial"/>
          <w:b/>
          <w:bCs/>
        </w:rPr>
        <w:t>Introduction and Brand Concept</w:t>
      </w:r>
    </w:p>
    <w:p w14:paraId="16DBA563" w14:textId="77777777" w:rsidR="005D19B7" w:rsidRPr="005D19B7" w:rsidRDefault="005D19B7" w:rsidP="005D19B7">
      <w:pPr>
        <w:spacing w:line="360" w:lineRule="auto"/>
        <w:jc w:val="both"/>
        <w:rPr>
          <w:rFonts w:ascii="Arial" w:hAnsi="Arial" w:cs="Arial"/>
        </w:rPr>
      </w:pPr>
      <w:r w:rsidRPr="005D19B7">
        <w:rPr>
          <w:rFonts w:ascii="Arial" w:hAnsi="Arial" w:cs="Arial"/>
        </w:rPr>
        <w:t xml:space="preserve">At Coca-Cola, the company has constantly been at the edge of market leadership through innovations into beverage categories and changing consumer lifestyles. </w:t>
      </w:r>
      <w:proofErr w:type="spellStart"/>
      <w:r w:rsidRPr="005D19B7">
        <w:rPr>
          <w:rFonts w:ascii="Arial" w:hAnsi="Arial" w:cs="Arial"/>
        </w:rPr>
        <w:t>VitaFizz</w:t>
      </w:r>
      <w:proofErr w:type="spellEnd"/>
      <w:r w:rsidRPr="005D19B7">
        <w:rPr>
          <w:rFonts w:ascii="Arial" w:hAnsi="Arial" w:cs="Arial"/>
        </w:rPr>
        <w:t xml:space="preserve"> is a new product concept targeted at redefining the energy beverage segment with a sustainable, vitamin-packed energy smoothie infused with the signature fizz of Coca-Cola. Different from typical energy drinks, </w:t>
      </w:r>
      <w:proofErr w:type="spellStart"/>
      <w:r w:rsidRPr="005D19B7">
        <w:rPr>
          <w:rFonts w:ascii="Arial" w:hAnsi="Arial" w:cs="Arial"/>
        </w:rPr>
        <w:t>VitaFizz</w:t>
      </w:r>
      <w:proofErr w:type="spellEnd"/>
      <w:r w:rsidRPr="005D19B7">
        <w:rPr>
          <w:rFonts w:ascii="Arial" w:hAnsi="Arial" w:cs="Arial"/>
        </w:rPr>
        <w:t xml:space="preserve"> strikes a balance between refreshment, nutrition, and eco-conscious design. Consumers are increasingly avoiding high-sugar and artificially concocted beverages.</w:t>
      </w:r>
    </w:p>
    <w:p w14:paraId="036472A7" w14:textId="77777777" w:rsidR="005D19B7" w:rsidRPr="005D19B7" w:rsidRDefault="005D19B7" w:rsidP="005D19B7">
      <w:pPr>
        <w:spacing w:line="360" w:lineRule="auto"/>
        <w:jc w:val="both"/>
        <w:rPr>
          <w:rFonts w:ascii="Arial" w:hAnsi="Arial" w:cs="Arial"/>
        </w:rPr>
      </w:pPr>
      <w:r w:rsidRPr="005D19B7">
        <w:rPr>
          <w:rFonts w:ascii="Arial" w:hAnsi="Arial" w:cs="Arial"/>
        </w:rPr>
        <w:t>The Fizzy Vita aligns with the sustainability agenda at Coca-Cola, which includes its "World Without Waste" initiative-advancing recyclable packaging and refill programs-as stated in the Coca-Cola Sustainability Report dated 2024. The brand showcases functional hydration, natural caffeine extracted from green coffee, and less sugar, acting like a bridge between health drinks and carbonated beverages.</w:t>
      </w:r>
    </w:p>
    <w:p w14:paraId="46EE52B8" w14:textId="7433CDA3" w:rsidR="005D19B7" w:rsidRDefault="005D19B7" w:rsidP="005D19B7">
      <w:pPr>
        <w:spacing w:line="360" w:lineRule="auto"/>
        <w:jc w:val="both"/>
        <w:rPr>
          <w:rFonts w:ascii="Arial" w:hAnsi="Arial" w:cs="Arial"/>
        </w:rPr>
      </w:pPr>
    </w:p>
    <w:p w14:paraId="72B4EFEC" w14:textId="70D217F7" w:rsidR="00421F8C" w:rsidRPr="00421F8C" w:rsidRDefault="00421F8C" w:rsidP="005D19B7">
      <w:pPr>
        <w:spacing w:line="360" w:lineRule="auto"/>
        <w:jc w:val="both"/>
        <w:rPr>
          <w:rFonts w:ascii="Arial" w:hAnsi="Arial" w:cs="Arial"/>
          <w:b/>
          <w:bCs/>
        </w:rPr>
      </w:pPr>
      <w:r w:rsidRPr="00421F8C">
        <w:rPr>
          <w:rFonts w:ascii="Arial" w:hAnsi="Arial" w:cs="Arial"/>
          <w:b/>
          <w:bCs/>
        </w:rPr>
        <w:t>Reasons for this Brand to Appeal</w:t>
      </w:r>
    </w:p>
    <w:p w14:paraId="1937474E" w14:textId="77777777" w:rsidR="00727EDF" w:rsidRPr="00727EDF" w:rsidRDefault="00727EDF" w:rsidP="00727EDF">
      <w:pPr>
        <w:spacing w:line="360" w:lineRule="auto"/>
        <w:jc w:val="both"/>
        <w:rPr>
          <w:rFonts w:ascii="Arial" w:hAnsi="Arial" w:cs="Arial"/>
        </w:rPr>
      </w:pPr>
      <w:r w:rsidRPr="00727EDF">
        <w:rPr>
          <w:rFonts w:ascii="Arial" w:hAnsi="Arial" w:cs="Arial"/>
        </w:rPr>
        <w:t>Consumer preferences are increasingly shifting toward healthier and cleaner beverage choices, driven by awareness of sugar-related health issues and sustainability concerns. According to Euromonitor in 2024, 64% of consumers globally are looking for functional beverages that provide improved energy or wellness without synthetic ingredients. Also, Statista in 2025 underlines that the global health and energy drink market is expected to reach over $125 billion by 2027, supported by demand for natural sources of energy.</w:t>
      </w:r>
    </w:p>
    <w:p w14:paraId="78B74510" w14:textId="77777777" w:rsidR="00727EDF" w:rsidRPr="00727EDF" w:rsidRDefault="00727EDF" w:rsidP="00727EDF">
      <w:pPr>
        <w:spacing w:line="360" w:lineRule="auto"/>
        <w:jc w:val="both"/>
        <w:rPr>
          <w:rFonts w:ascii="Arial" w:hAnsi="Arial" w:cs="Arial"/>
        </w:rPr>
      </w:pPr>
      <w:r w:rsidRPr="00727EDF">
        <w:rPr>
          <w:rFonts w:ascii="Arial" w:hAnsi="Arial" w:cs="Arial"/>
        </w:rPr>
        <w:t xml:space="preserve">Lifestyles after the pandemic accelerated health-conscious </w:t>
      </w:r>
      <w:proofErr w:type="spellStart"/>
      <w:r w:rsidRPr="00727EDF">
        <w:rPr>
          <w:rFonts w:ascii="Arial" w:hAnsi="Arial" w:cs="Arial"/>
        </w:rPr>
        <w:t>behaviors</w:t>
      </w:r>
      <w:proofErr w:type="spellEnd"/>
      <w:r w:rsidRPr="00727EDF">
        <w:rPr>
          <w:rFonts w:ascii="Arial" w:hAnsi="Arial" w:cs="Arial"/>
        </w:rPr>
        <w:t xml:space="preserve">; consumers seek products that contribute to physical wellness and ethical consumption. Mintel reports, 2024. </w:t>
      </w:r>
      <w:proofErr w:type="spellStart"/>
      <w:r w:rsidRPr="00727EDF">
        <w:rPr>
          <w:rFonts w:ascii="Arial" w:hAnsi="Arial" w:cs="Arial"/>
        </w:rPr>
        <w:t>VitaFizz</w:t>
      </w:r>
      <w:proofErr w:type="spellEnd"/>
      <w:r w:rsidRPr="00727EDF">
        <w:rPr>
          <w:rFonts w:ascii="Arial" w:hAnsi="Arial" w:cs="Arial"/>
        </w:rPr>
        <w:t xml:space="preserve"> addresses these needs on three fronts:</w:t>
      </w:r>
    </w:p>
    <w:p w14:paraId="29E16CD4" w14:textId="77777777" w:rsidR="00727EDF" w:rsidRPr="00727EDF" w:rsidRDefault="00727EDF" w:rsidP="00727EDF">
      <w:pPr>
        <w:spacing w:line="360" w:lineRule="auto"/>
        <w:jc w:val="both"/>
        <w:rPr>
          <w:rFonts w:ascii="Arial" w:hAnsi="Arial" w:cs="Arial"/>
        </w:rPr>
      </w:pPr>
      <w:r w:rsidRPr="00727EDF">
        <w:rPr>
          <w:rFonts w:ascii="Arial" w:hAnsi="Arial" w:cs="Arial"/>
        </w:rPr>
        <w:t>1. Nutritional Enrichment: Vitamins, electrolytes, and natural caffeine for clean energy.</w:t>
      </w:r>
    </w:p>
    <w:p w14:paraId="4818B7CA" w14:textId="77777777" w:rsidR="00727EDF" w:rsidRPr="00727EDF" w:rsidRDefault="00727EDF" w:rsidP="00727EDF">
      <w:pPr>
        <w:spacing w:line="360" w:lineRule="auto"/>
        <w:jc w:val="both"/>
        <w:rPr>
          <w:rFonts w:ascii="Arial" w:hAnsi="Arial" w:cs="Arial"/>
        </w:rPr>
      </w:pPr>
      <w:r w:rsidRPr="00727EDF">
        <w:rPr>
          <w:rFonts w:ascii="Arial" w:hAnsi="Arial" w:cs="Arial"/>
        </w:rPr>
        <w:t xml:space="preserve">2. Environmental Responsibility: Recyclable </w:t>
      </w:r>
      <w:proofErr w:type="spellStart"/>
      <w:r w:rsidRPr="00727EDF">
        <w:rPr>
          <w:rFonts w:ascii="Arial" w:hAnsi="Arial" w:cs="Arial"/>
        </w:rPr>
        <w:t>aluminum</w:t>
      </w:r>
      <w:proofErr w:type="spellEnd"/>
      <w:r w:rsidRPr="00727EDF">
        <w:rPr>
          <w:rFonts w:ascii="Arial" w:hAnsi="Arial" w:cs="Arial"/>
        </w:rPr>
        <w:t xml:space="preserve"> cans and refill incentives to reduce plastic waste.</w:t>
      </w:r>
    </w:p>
    <w:p w14:paraId="774F91C0" w14:textId="77777777" w:rsidR="00727EDF" w:rsidRPr="00727EDF" w:rsidRDefault="00727EDF" w:rsidP="00727EDF">
      <w:pPr>
        <w:spacing w:line="360" w:lineRule="auto"/>
        <w:jc w:val="both"/>
        <w:rPr>
          <w:rFonts w:ascii="Arial" w:hAnsi="Arial" w:cs="Arial"/>
        </w:rPr>
      </w:pPr>
      <w:r w:rsidRPr="00727EDF">
        <w:rPr>
          <w:rFonts w:ascii="Arial" w:hAnsi="Arial" w:cs="Arial"/>
        </w:rPr>
        <w:lastRenderedPageBreak/>
        <w:t xml:space="preserve">3. Taste Innovation: Refreshing new mix of the fizziness of Coca-Cola combined with fruit smoothie </w:t>
      </w:r>
      <w:proofErr w:type="spellStart"/>
      <w:r w:rsidRPr="00727EDF">
        <w:rPr>
          <w:rFonts w:ascii="Arial" w:hAnsi="Arial" w:cs="Arial"/>
        </w:rPr>
        <w:t>flavors</w:t>
      </w:r>
      <w:proofErr w:type="spellEnd"/>
      <w:r w:rsidRPr="00727EDF">
        <w:rPr>
          <w:rFonts w:ascii="Arial" w:hAnsi="Arial" w:cs="Arial"/>
        </w:rPr>
        <w:t xml:space="preserve"> such as Berry Medley, Orange Spark, and Açaí.</w:t>
      </w:r>
    </w:p>
    <w:p w14:paraId="2F863FAC" w14:textId="77777777" w:rsidR="00727EDF" w:rsidRDefault="00727EDF" w:rsidP="00727EDF">
      <w:pPr>
        <w:spacing w:line="360" w:lineRule="auto"/>
        <w:jc w:val="both"/>
        <w:rPr>
          <w:rFonts w:ascii="Arial" w:hAnsi="Arial" w:cs="Arial"/>
        </w:rPr>
      </w:pPr>
      <w:r w:rsidRPr="00727EDF">
        <w:rPr>
          <w:rFonts w:ascii="Arial" w:hAnsi="Arial" w:cs="Arial"/>
        </w:rPr>
        <w:t xml:space="preserve">These characteristics position </w:t>
      </w:r>
      <w:proofErr w:type="spellStart"/>
      <w:r w:rsidRPr="00727EDF">
        <w:rPr>
          <w:rFonts w:ascii="Arial" w:hAnsi="Arial" w:cs="Arial"/>
        </w:rPr>
        <w:t>VitaFizz</w:t>
      </w:r>
      <w:proofErr w:type="spellEnd"/>
      <w:r w:rsidRPr="00727EDF">
        <w:rPr>
          <w:rFonts w:ascii="Arial" w:hAnsi="Arial" w:cs="Arial"/>
        </w:rPr>
        <w:t xml:space="preserve"> as a sustainable and lifestyle-oriented innovation, rather than being merely a soft drink, aligning Coca-Cola with the health-conscious generation.</w:t>
      </w:r>
    </w:p>
    <w:p w14:paraId="6C4FE173" w14:textId="48A2FB0F" w:rsidR="00421F8C" w:rsidRPr="00421F8C" w:rsidRDefault="00421F8C" w:rsidP="00727EDF">
      <w:pPr>
        <w:spacing w:line="360" w:lineRule="auto"/>
        <w:jc w:val="both"/>
        <w:rPr>
          <w:rFonts w:ascii="Arial" w:hAnsi="Arial" w:cs="Arial"/>
          <w:b/>
          <w:bCs/>
        </w:rPr>
      </w:pPr>
      <w:r w:rsidRPr="00421F8C">
        <w:rPr>
          <w:rFonts w:ascii="Arial" w:hAnsi="Arial" w:cs="Arial"/>
          <w:b/>
          <w:bCs/>
        </w:rPr>
        <w:t>Segmentation</w:t>
      </w:r>
    </w:p>
    <w:p w14:paraId="30E527D5" w14:textId="77777777" w:rsidR="00727EDF" w:rsidRPr="00727EDF" w:rsidRDefault="00727EDF" w:rsidP="00727EDF">
      <w:pPr>
        <w:spacing w:line="360" w:lineRule="auto"/>
        <w:jc w:val="both"/>
        <w:rPr>
          <w:rFonts w:ascii="Arial" w:hAnsi="Arial" w:cs="Arial"/>
        </w:rPr>
      </w:pPr>
      <w:r w:rsidRPr="00727EDF">
        <w:rPr>
          <w:rFonts w:ascii="Arial" w:hAnsi="Arial" w:cs="Arial"/>
        </w:rPr>
        <w:t xml:space="preserve">Target Market can be demographically, </w:t>
      </w:r>
      <w:proofErr w:type="spellStart"/>
      <w:r w:rsidRPr="00727EDF">
        <w:rPr>
          <w:rFonts w:ascii="Arial" w:hAnsi="Arial" w:cs="Arial"/>
        </w:rPr>
        <w:t>psychographically</w:t>
      </w:r>
      <w:proofErr w:type="spellEnd"/>
      <w:r w:rsidRPr="00727EDF">
        <w:rPr>
          <w:rFonts w:ascii="Arial" w:hAnsi="Arial" w:cs="Arial"/>
        </w:rPr>
        <w:t xml:space="preserve">, and behaviourally segmented for </w:t>
      </w:r>
      <w:proofErr w:type="spellStart"/>
      <w:r w:rsidRPr="00727EDF">
        <w:rPr>
          <w:rFonts w:ascii="Arial" w:hAnsi="Arial" w:cs="Arial"/>
        </w:rPr>
        <w:t>VitaFizz</w:t>
      </w:r>
      <w:proofErr w:type="spellEnd"/>
      <w:r w:rsidRPr="00727EDF">
        <w:rPr>
          <w:rFonts w:ascii="Arial" w:hAnsi="Arial" w:cs="Arial"/>
        </w:rPr>
        <w:t>:</w:t>
      </w:r>
    </w:p>
    <w:p w14:paraId="6235DA90" w14:textId="77777777" w:rsidR="00727EDF" w:rsidRPr="00727EDF" w:rsidRDefault="00727EDF" w:rsidP="00727EDF">
      <w:pPr>
        <w:spacing w:line="360" w:lineRule="auto"/>
        <w:jc w:val="both"/>
        <w:rPr>
          <w:rFonts w:ascii="Arial" w:hAnsi="Arial" w:cs="Arial"/>
          <w:b/>
          <w:bCs/>
        </w:rPr>
      </w:pPr>
      <w:r w:rsidRPr="00727EDF">
        <w:rPr>
          <w:rFonts w:ascii="Arial" w:hAnsi="Arial" w:cs="Arial"/>
          <w:b/>
          <w:bCs/>
        </w:rPr>
        <w:t>Demographic segmentation:</w:t>
      </w:r>
    </w:p>
    <w:p w14:paraId="470EAB64" w14:textId="26778E38" w:rsidR="00727EDF" w:rsidRPr="00727EDF" w:rsidRDefault="00727EDF" w:rsidP="00727EDF">
      <w:pPr>
        <w:spacing w:line="360" w:lineRule="auto"/>
        <w:jc w:val="both"/>
        <w:rPr>
          <w:rFonts w:ascii="Arial" w:hAnsi="Arial" w:cs="Arial"/>
        </w:rPr>
      </w:pPr>
      <w:r w:rsidRPr="00727EDF">
        <w:rPr>
          <w:rFonts w:ascii="Arial" w:hAnsi="Arial" w:cs="Arial"/>
          <w:b/>
          <w:bCs/>
        </w:rPr>
        <w:t>• Age:</w:t>
      </w:r>
      <w:r w:rsidRPr="00727EDF">
        <w:rPr>
          <w:rFonts w:ascii="Arial" w:hAnsi="Arial" w:cs="Arial"/>
        </w:rPr>
        <w:t xml:space="preserve"> 16–75 years, with a main concentration on young adults aged between 18 to 35 looking for health-conscious energy alternatives.</w:t>
      </w:r>
    </w:p>
    <w:p w14:paraId="18D1F672" w14:textId="0D806CC5" w:rsidR="00727EDF" w:rsidRPr="00727EDF" w:rsidRDefault="00727EDF" w:rsidP="00727EDF">
      <w:pPr>
        <w:spacing w:line="360" w:lineRule="auto"/>
        <w:jc w:val="both"/>
        <w:rPr>
          <w:rFonts w:ascii="Arial" w:hAnsi="Arial" w:cs="Arial"/>
        </w:rPr>
      </w:pPr>
      <w:r w:rsidRPr="00727EDF">
        <w:rPr>
          <w:rFonts w:ascii="Arial" w:hAnsi="Arial" w:cs="Arial"/>
          <w:b/>
          <w:bCs/>
        </w:rPr>
        <w:t>• Income:</w:t>
      </w:r>
      <w:r w:rsidRPr="00727EDF">
        <w:rPr>
          <w:rFonts w:ascii="Arial" w:hAnsi="Arial" w:cs="Arial"/>
        </w:rPr>
        <w:t xml:space="preserve"> Middle to upper-middle income groups willing to pay for premium wellness beverages.</w:t>
      </w:r>
    </w:p>
    <w:p w14:paraId="49E82218" w14:textId="2411E01A" w:rsidR="00727EDF" w:rsidRPr="00727EDF" w:rsidRDefault="00727EDF" w:rsidP="00727EDF">
      <w:pPr>
        <w:spacing w:line="360" w:lineRule="auto"/>
        <w:jc w:val="both"/>
        <w:rPr>
          <w:rFonts w:ascii="Arial" w:hAnsi="Arial" w:cs="Arial"/>
        </w:rPr>
      </w:pPr>
      <w:r w:rsidRPr="00727EDF">
        <w:rPr>
          <w:rFonts w:ascii="Arial" w:hAnsi="Arial" w:cs="Arial"/>
          <w:b/>
          <w:bCs/>
        </w:rPr>
        <w:t>• Location:</w:t>
      </w:r>
      <w:r w:rsidRPr="00727EDF">
        <w:rPr>
          <w:rFonts w:ascii="Arial" w:hAnsi="Arial" w:cs="Arial"/>
        </w:rPr>
        <w:t xml:space="preserve"> Urban and suburban regions, especially in health-conscious markets like the UK, Europe, and North America.</w:t>
      </w:r>
    </w:p>
    <w:p w14:paraId="6970D2C6" w14:textId="77777777" w:rsidR="00727EDF" w:rsidRPr="00727EDF" w:rsidRDefault="00727EDF" w:rsidP="00727EDF">
      <w:pPr>
        <w:spacing w:line="360" w:lineRule="auto"/>
        <w:jc w:val="both"/>
        <w:rPr>
          <w:rFonts w:ascii="Arial" w:hAnsi="Arial" w:cs="Arial"/>
          <w:b/>
          <w:bCs/>
        </w:rPr>
      </w:pPr>
      <w:r w:rsidRPr="00727EDF">
        <w:rPr>
          <w:rFonts w:ascii="Arial" w:hAnsi="Arial" w:cs="Arial"/>
          <w:b/>
          <w:bCs/>
        </w:rPr>
        <w:t>Psychographic segmentation:</w:t>
      </w:r>
    </w:p>
    <w:p w14:paraId="2852F0E4" w14:textId="77777777" w:rsidR="00727EDF" w:rsidRPr="00727EDF" w:rsidRDefault="00727EDF" w:rsidP="00727EDF">
      <w:pPr>
        <w:spacing w:line="360" w:lineRule="auto"/>
        <w:jc w:val="both"/>
        <w:rPr>
          <w:rFonts w:ascii="Arial" w:hAnsi="Arial" w:cs="Arial"/>
        </w:rPr>
      </w:pPr>
      <w:r w:rsidRPr="00727EDF">
        <w:rPr>
          <w:rFonts w:ascii="Arial" w:hAnsi="Arial" w:cs="Arial"/>
        </w:rPr>
        <w:t>• Health-conscious consumers who value fitness, nutrition, and ethical brands.</w:t>
      </w:r>
    </w:p>
    <w:p w14:paraId="10F01114" w14:textId="77777777" w:rsidR="00727EDF" w:rsidRPr="00727EDF" w:rsidRDefault="00727EDF" w:rsidP="00727EDF">
      <w:pPr>
        <w:spacing w:line="360" w:lineRule="auto"/>
        <w:jc w:val="both"/>
        <w:rPr>
          <w:rFonts w:ascii="Arial" w:hAnsi="Arial" w:cs="Arial"/>
        </w:rPr>
      </w:pPr>
      <w:r w:rsidRPr="00727EDF">
        <w:rPr>
          <w:rFonts w:ascii="Arial" w:hAnsi="Arial" w:cs="Arial"/>
        </w:rPr>
        <w:t>• Ecological minds support green products.</w:t>
      </w:r>
    </w:p>
    <w:p w14:paraId="64CBF339" w14:textId="77777777" w:rsidR="00727EDF" w:rsidRPr="00727EDF" w:rsidRDefault="00727EDF" w:rsidP="00727EDF">
      <w:pPr>
        <w:spacing w:line="360" w:lineRule="auto"/>
        <w:jc w:val="both"/>
        <w:rPr>
          <w:rFonts w:ascii="Arial" w:hAnsi="Arial" w:cs="Arial"/>
        </w:rPr>
      </w:pPr>
      <w:r w:rsidRPr="00727EDF">
        <w:rPr>
          <w:rFonts w:ascii="Arial" w:hAnsi="Arial" w:cs="Arial"/>
        </w:rPr>
        <w:t>• Busy professionals, students, and active individuals who need natural energy but avoid sugary sodas.</w:t>
      </w:r>
    </w:p>
    <w:p w14:paraId="7F3EAC11" w14:textId="77777777" w:rsidR="00727EDF" w:rsidRPr="00727EDF" w:rsidRDefault="00727EDF" w:rsidP="00727EDF">
      <w:pPr>
        <w:spacing w:line="360" w:lineRule="auto"/>
        <w:jc w:val="both"/>
        <w:rPr>
          <w:rFonts w:ascii="Arial" w:hAnsi="Arial" w:cs="Arial"/>
          <w:b/>
          <w:bCs/>
        </w:rPr>
      </w:pPr>
      <w:r w:rsidRPr="00727EDF">
        <w:rPr>
          <w:rFonts w:ascii="Arial" w:hAnsi="Arial" w:cs="Arial"/>
          <w:b/>
          <w:bCs/>
        </w:rPr>
        <w:t>Behavioural segmentation:</w:t>
      </w:r>
    </w:p>
    <w:p w14:paraId="225C0AA1" w14:textId="127DD037" w:rsidR="00727EDF" w:rsidRPr="00727EDF" w:rsidRDefault="00727EDF" w:rsidP="00727EDF">
      <w:pPr>
        <w:spacing w:line="360" w:lineRule="auto"/>
        <w:jc w:val="both"/>
        <w:rPr>
          <w:rFonts w:ascii="Arial" w:hAnsi="Arial" w:cs="Arial"/>
        </w:rPr>
      </w:pPr>
      <w:r w:rsidRPr="00727EDF">
        <w:rPr>
          <w:rFonts w:ascii="Arial" w:hAnsi="Arial" w:cs="Arial"/>
        </w:rPr>
        <w:t>•</w:t>
      </w:r>
      <w:r>
        <w:rPr>
          <w:rFonts w:ascii="Arial" w:hAnsi="Arial" w:cs="Arial"/>
        </w:rPr>
        <w:t xml:space="preserve"> </w:t>
      </w:r>
      <w:r w:rsidRPr="00727EDF">
        <w:rPr>
          <w:rFonts w:ascii="Arial" w:hAnsi="Arial" w:cs="Arial"/>
        </w:rPr>
        <w:t>Consumers seeking functional benefits (energy, hydration, immunity).</w:t>
      </w:r>
    </w:p>
    <w:p w14:paraId="40107F1B" w14:textId="77777777" w:rsidR="00727EDF" w:rsidRPr="00727EDF" w:rsidRDefault="00727EDF" w:rsidP="00727EDF">
      <w:pPr>
        <w:spacing w:line="360" w:lineRule="auto"/>
        <w:jc w:val="both"/>
        <w:rPr>
          <w:rFonts w:ascii="Arial" w:hAnsi="Arial" w:cs="Arial"/>
        </w:rPr>
      </w:pPr>
      <w:r w:rsidRPr="00727EDF">
        <w:rPr>
          <w:rFonts w:ascii="Arial" w:hAnsi="Arial" w:cs="Arial"/>
        </w:rPr>
        <w:t>• Preference for low-sugar, natural, and eco-friendly drinks.</w:t>
      </w:r>
    </w:p>
    <w:p w14:paraId="53E906A0" w14:textId="77777777" w:rsidR="00727EDF" w:rsidRPr="00727EDF" w:rsidRDefault="00727EDF" w:rsidP="00727EDF">
      <w:pPr>
        <w:spacing w:line="360" w:lineRule="auto"/>
        <w:jc w:val="both"/>
        <w:rPr>
          <w:rFonts w:ascii="Arial" w:hAnsi="Arial" w:cs="Arial"/>
        </w:rPr>
      </w:pPr>
      <w:r w:rsidRPr="00727EDF">
        <w:rPr>
          <w:rFonts w:ascii="Arial" w:hAnsi="Arial" w:cs="Arial"/>
        </w:rPr>
        <w:t>• Loyalty-driven through Coca-Cola's brand heritage and refill reward schemes.</w:t>
      </w:r>
    </w:p>
    <w:p w14:paraId="1841A15F" w14:textId="77777777" w:rsidR="00727EDF" w:rsidRDefault="00727EDF" w:rsidP="00727EDF">
      <w:pPr>
        <w:spacing w:line="360" w:lineRule="auto"/>
        <w:jc w:val="both"/>
        <w:rPr>
          <w:rFonts w:ascii="Arial" w:hAnsi="Arial" w:cs="Arial"/>
        </w:rPr>
      </w:pPr>
      <w:r w:rsidRPr="00727EDF">
        <w:rPr>
          <w:rFonts w:ascii="Arial" w:hAnsi="Arial" w:cs="Arial"/>
        </w:rPr>
        <w:t xml:space="preserve">These bases of segmentation allow Coca-Cola to link emerging functional beverage trends with its established market presence. According to Kantar, hybrid beverage </w:t>
      </w:r>
      <w:r w:rsidRPr="00727EDF">
        <w:rPr>
          <w:rFonts w:ascii="Arial" w:hAnsi="Arial" w:cs="Arial"/>
        </w:rPr>
        <w:lastRenderedPageBreak/>
        <w:t>innovations-driving health benefits and indulgence-propel the fastest-growing segment in global beverage consumption for 2025.</w:t>
      </w:r>
    </w:p>
    <w:p w14:paraId="61168757" w14:textId="539BBA29" w:rsidR="00421F8C" w:rsidRPr="00421F8C" w:rsidRDefault="00421F8C" w:rsidP="00727EDF">
      <w:pPr>
        <w:spacing w:line="360" w:lineRule="auto"/>
        <w:jc w:val="both"/>
        <w:rPr>
          <w:rFonts w:ascii="Arial" w:hAnsi="Arial" w:cs="Arial"/>
          <w:b/>
          <w:bCs/>
        </w:rPr>
      </w:pPr>
      <w:r w:rsidRPr="00421F8C">
        <w:rPr>
          <w:rFonts w:ascii="Arial" w:hAnsi="Arial" w:cs="Arial"/>
          <w:b/>
          <w:bCs/>
        </w:rPr>
        <w:t>Targeting</w:t>
      </w:r>
    </w:p>
    <w:p w14:paraId="3968C4D9" w14:textId="77777777" w:rsidR="00BA5778" w:rsidRPr="00BA5778" w:rsidRDefault="00BA5778" w:rsidP="00BA5778">
      <w:pPr>
        <w:spacing w:line="360" w:lineRule="auto"/>
        <w:jc w:val="both"/>
        <w:rPr>
          <w:rFonts w:ascii="Arial" w:hAnsi="Arial" w:cs="Arial"/>
        </w:rPr>
      </w:pPr>
      <w:r w:rsidRPr="00BA5778">
        <w:rPr>
          <w:rFonts w:ascii="Arial" w:hAnsi="Arial" w:cs="Arial"/>
        </w:rPr>
        <w:t xml:space="preserve">The primary target market for </w:t>
      </w:r>
      <w:proofErr w:type="spellStart"/>
      <w:r w:rsidRPr="00BA5778">
        <w:rPr>
          <w:rFonts w:ascii="Arial" w:hAnsi="Arial" w:cs="Arial"/>
        </w:rPr>
        <w:t>VitaFizz</w:t>
      </w:r>
      <w:proofErr w:type="spellEnd"/>
      <w:r w:rsidRPr="00BA5778">
        <w:rPr>
          <w:rFonts w:ascii="Arial" w:hAnsi="Arial" w:cs="Arial"/>
        </w:rPr>
        <w:t xml:space="preserve"> includes urban millennials and Gen Z consumers, ages 18-35, who are balancing an active lifestyle with health and environmental awareness. They also regularly use energy beverages but are increasingly scrutinizing ingredients and environmental impact.</w:t>
      </w:r>
    </w:p>
    <w:p w14:paraId="03547A8C" w14:textId="77777777" w:rsidR="00BA5778" w:rsidRPr="00BA5778" w:rsidRDefault="00BA5778" w:rsidP="00BA5778">
      <w:pPr>
        <w:spacing w:line="360" w:lineRule="auto"/>
        <w:jc w:val="both"/>
        <w:rPr>
          <w:rFonts w:ascii="Arial" w:hAnsi="Arial" w:cs="Arial"/>
        </w:rPr>
      </w:pPr>
      <w:r w:rsidRPr="00BA5778">
        <w:rPr>
          <w:rFonts w:ascii="Arial" w:hAnsi="Arial" w:cs="Arial"/>
        </w:rPr>
        <w:t>The other target segment is working professionals aged 35–55 who want midday refreshment but no sugar crashes. These segments are consistent with Coca-Cola’s shift into functional beverage categories and reflect increased demand for "purposeful consumption" (Accenture, 2024).</w:t>
      </w:r>
    </w:p>
    <w:p w14:paraId="4731AEAC" w14:textId="5EB26D9B" w:rsidR="00BA5778" w:rsidRDefault="00BA5778" w:rsidP="00BA5778">
      <w:pPr>
        <w:spacing w:line="360" w:lineRule="auto"/>
        <w:jc w:val="both"/>
        <w:rPr>
          <w:rFonts w:ascii="Arial" w:hAnsi="Arial" w:cs="Arial"/>
        </w:rPr>
      </w:pPr>
      <w:r w:rsidRPr="00BA5778">
        <w:rPr>
          <w:rFonts w:ascii="Arial" w:hAnsi="Arial" w:cs="Arial"/>
        </w:rPr>
        <w:t xml:space="preserve"> </w:t>
      </w:r>
    </w:p>
    <w:p w14:paraId="41DCECB3" w14:textId="79478120" w:rsidR="00421F8C" w:rsidRPr="00421F8C" w:rsidRDefault="00421F8C" w:rsidP="00BA5778">
      <w:pPr>
        <w:spacing w:line="360" w:lineRule="auto"/>
        <w:jc w:val="both"/>
        <w:rPr>
          <w:rFonts w:ascii="Arial" w:hAnsi="Arial" w:cs="Arial"/>
          <w:b/>
          <w:bCs/>
        </w:rPr>
      </w:pPr>
      <w:r w:rsidRPr="00421F8C">
        <w:rPr>
          <w:rFonts w:ascii="Arial" w:hAnsi="Arial" w:cs="Arial"/>
          <w:b/>
          <w:bCs/>
        </w:rPr>
        <w:t>Differentiation</w:t>
      </w:r>
    </w:p>
    <w:p w14:paraId="31FF3A0C" w14:textId="77777777" w:rsidR="00BE5ECA" w:rsidRPr="00BE5ECA" w:rsidRDefault="00BE5ECA" w:rsidP="00BE5ECA">
      <w:pPr>
        <w:spacing w:line="360" w:lineRule="auto"/>
        <w:jc w:val="both"/>
        <w:rPr>
          <w:rFonts w:ascii="Arial" w:hAnsi="Arial" w:cs="Arial"/>
        </w:rPr>
      </w:pPr>
      <w:proofErr w:type="spellStart"/>
      <w:r w:rsidRPr="00BE5ECA">
        <w:rPr>
          <w:rFonts w:ascii="Arial" w:hAnsi="Arial" w:cs="Arial"/>
        </w:rPr>
        <w:t>VitaFizz</w:t>
      </w:r>
      <w:proofErr w:type="spellEnd"/>
      <w:r w:rsidRPr="00BE5ECA">
        <w:rPr>
          <w:rFonts w:ascii="Arial" w:hAnsi="Arial" w:cs="Arial"/>
        </w:rPr>
        <w:t xml:space="preserve"> boasts a unique triple-benefit proposition: taste, health, and sustainability, on the back of Coca-Cola's global infrastructure. It differs from traditional energy drinks because, for its stimulation profile, it uses natural caffeine-that is, green coffee extract-along with vitamin fortification and fruit concentrate bases.</w:t>
      </w:r>
    </w:p>
    <w:p w14:paraId="2762A8D7" w14:textId="77777777" w:rsidR="00BE5ECA" w:rsidRPr="00BE5ECA" w:rsidRDefault="00BE5ECA" w:rsidP="00BE5ECA">
      <w:pPr>
        <w:spacing w:line="360" w:lineRule="auto"/>
        <w:jc w:val="both"/>
        <w:rPr>
          <w:rFonts w:ascii="Arial" w:hAnsi="Arial" w:cs="Arial"/>
          <w:b/>
          <w:bCs/>
        </w:rPr>
      </w:pPr>
      <w:r w:rsidRPr="00BE5ECA">
        <w:rPr>
          <w:rFonts w:ascii="Arial" w:hAnsi="Arial" w:cs="Arial"/>
          <w:b/>
          <w:bCs/>
        </w:rPr>
        <w:t>Key differentiating factors include:</w:t>
      </w:r>
    </w:p>
    <w:p w14:paraId="0EF408B7" w14:textId="77777777" w:rsidR="00BE5ECA" w:rsidRPr="00BE5ECA" w:rsidRDefault="00BE5ECA" w:rsidP="00BE5ECA">
      <w:pPr>
        <w:spacing w:line="360" w:lineRule="auto"/>
        <w:jc w:val="both"/>
        <w:rPr>
          <w:rFonts w:ascii="Arial" w:hAnsi="Arial" w:cs="Arial"/>
        </w:rPr>
      </w:pPr>
      <w:r w:rsidRPr="00BE5ECA">
        <w:rPr>
          <w:rFonts w:ascii="Arial" w:hAnsi="Arial" w:cs="Arial"/>
          <w:b/>
          <w:bCs/>
        </w:rPr>
        <w:t>1. Nutrient-infused fizz:</w:t>
      </w:r>
      <w:r w:rsidRPr="00BE5ECA">
        <w:rPr>
          <w:rFonts w:ascii="Arial" w:hAnsi="Arial" w:cs="Arial"/>
        </w:rPr>
        <w:t xml:space="preserve"> The world's first Coca-Cola-based smoothie beverage with low sugar and high nutritional value.</w:t>
      </w:r>
    </w:p>
    <w:p w14:paraId="42FF0855" w14:textId="77777777" w:rsidR="00BE5ECA" w:rsidRPr="00BE5ECA" w:rsidRDefault="00BE5ECA" w:rsidP="00BE5ECA">
      <w:pPr>
        <w:spacing w:line="360" w:lineRule="auto"/>
        <w:jc w:val="both"/>
        <w:rPr>
          <w:rFonts w:ascii="Arial" w:hAnsi="Arial" w:cs="Arial"/>
        </w:rPr>
      </w:pPr>
      <w:r w:rsidRPr="00BE5ECA">
        <w:rPr>
          <w:rFonts w:ascii="Arial" w:hAnsi="Arial" w:cs="Arial"/>
          <w:b/>
          <w:bCs/>
        </w:rPr>
        <w:t>2. Eco-friendly packaging</w:t>
      </w:r>
      <w:r w:rsidRPr="00BE5ECA">
        <w:rPr>
          <w:rFonts w:ascii="Arial" w:hAnsi="Arial" w:cs="Arial"/>
        </w:rPr>
        <w:t>: 100% recyclable aluminium with refill programs and reduced carbon footprint.</w:t>
      </w:r>
    </w:p>
    <w:p w14:paraId="4CEF7307" w14:textId="77777777" w:rsidR="00BE5ECA" w:rsidRPr="00BE5ECA" w:rsidRDefault="00BE5ECA" w:rsidP="00BE5ECA">
      <w:pPr>
        <w:spacing w:line="360" w:lineRule="auto"/>
        <w:jc w:val="both"/>
        <w:rPr>
          <w:rFonts w:ascii="Arial" w:hAnsi="Arial" w:cs="Arial"/>
        </w:rPr>
      </w:pPr>
      <w:r w:rsidRPr="00BE5ECA">
        <w:rPr>
          <w:rFonts w:ascii="Arial" w:hAnsi="Arial" w:cs="Arial"/>
          <w:b/>
          <w:bCs/>
        </w:rPr>
        <w:t>3. Functional innovation:</w:t>
      </w:r>
      <w:r w:rsidRPr="00BE5ECA">
        <w:rPr>
          <w:rFonts w:ascii="Arial" w:hAnsi="Arial" w:cs="Arial"/>
        </w:rPr>
        <w:t xml:space="preserve"> It improves focus, hydration, and energy without artificial additives.</w:t>
      </w:r>
    </w:p>
    <w:p w14:paraId="191CBEB1" w14:textId="77777777" w:rsidR="00BE5ECA" w:rsidRPr="00BE5ECA" w:rsidRDefault="00BE5ECA" w:rsidP="00BE5ECA">
      <w:pPr>
        <w:spacing w:line="360" w:lineRule="auto"/>
        <w:jc w:val="both"/>
        <w:rPr>
          <w:rFonts w:ascii="Arial" w:hAnsi="Arial" w:cs="Arial"/>
        </w:rPr>
      </w:pPr>
      <w:r w:rsidRPr="00BE5ECA">
        <w:rPr>
          <w:rFonts w:ascii="Arial" w:hAnsi="Arial" w:cs="Arial"/>
          <w:b/>
          <w:bCs/>
        </w:rPr>
        <w:t>4. Brand credibility:</w:t>
      </w:r>
      <w:r w:rsidRPr="00BE5ECA">
        <w:rPr>
          <w:rFonts w:ascii="Arial" w:hAnsi="Arial" w:cs="Arial"/>
        </w:rPr>
        <w:t xml:space="preserve"> Supported by the heritage of quality, trust, and Coca-Cola global recognition.</w:t>
      </w:r>
    </w:p>
    <w:p w14:paraId="34D38D5B" w14:textId="77777777" w:rsidR="00BE5ECA" w:rsidRDefault="00BE5ECA" w:rsidP="00BE5ECA">
      <w:pPr>
        <w:spacing w:line="360" w:lineRule="auto"/>
        <w:jc w:val="both"/>
        <w:rPr>
          <w:rFonts w:ascii="Arial" w:hAnsi="Arial" w:cs="Arial"/>
        </w:rPr>
      </w:pPr>
      <w:r w:rsidRPr="00BE5ECA">
        <w:rPr>
          <w:rFonts w:ascii="Arial" w:hAnsi="Arial" w:cs="Arial"/>
        </w:rPr>
        <w:t xml:space="preserve">According to Deloitte (2024), more than 60% of Gen Z consumers prefer brands that demonstrate sustainability and transparency. By merging functionality with </w:t>
      </w:r>
      <w:r w:rsidRPr="00BE5ECA">
        <w:rPr>
          <w:rFonts w:ascii="Arial" w:hAnsi="Arial" w:cs="Arial"/>
        </w:rPr>
        <w:lastRenderedPageBreak/>
        <w:t xml:space="preserve">environmental ethics, </w:t>
      </w:r>
      <w:proofErr w:type="spellStart"/>
      <w:r w:rsidRPr="00BE5ECA">
        <w:rPr>
          <w:rFonts w:ascii="Arial" w:hAnsi="Arial" w:cs="Arial"/>
        </w:rPr>
        <w:t>VitaFizz</w:t>
      </w:r>
      <w:proofErr w:type="spellEnd"/>
      <w:r w:rsidRPr="00BE5ECA">
        <w:rPr>
          <w:rFonts w:ascii="Arial" w:hAnsi="Arial" w:cs="Arial"/>
        </w:rPr>
        <w:t xml:space="preserve"> creates a singular market niche: "sustainable stimulation."</w:t>
      </w:r>
    </w:p>
    <w:p w14:paraId="3600F670" w14:textId="01019591" w:rsidR="00712BF6" w:rsidRPr="00712BF6" w:rsidRDefault="00421F8C" w:rsidP="00BE5ECA">
      <w:pPr>
        <w:spacing w:line="360" w:lineRule="auto"/>
        <w:jc w:val="both"/>
        <w:rPr>
          <w:rFonts w:ascii="Arial" w:hAnsi="Arial" w:cs="Arial"/>
          <w:b/>
          <w:bCs/>
        </w:rPr>
      </w:pPr>
      <w:r w:rsidRPr="00421F8C">
        <w:rPr>
          <w:rFonts w:ascii="Arial" w:hAnsi="Arial" w:cs="Arial"/>
          <w:b/>
          <w:bCs/>
        </w:rPr>
        <w:t>Positioning</w:t>
      </w:r>
    </w:p>
    <w:p w14:paraId="5DFAFA28" w14:textId="77777777" w:rsidR="00712BF6" w:rsidRPr="00712BF6" w:rsidRDefault="00712BF6" w:rsidP="00712BF6">
      <w:pPr>
        <w:spacing w:line="360" w:lineRule="auto"/>
        <w:jc w:val="both"/>
        <w:rPr>
          <w:rFonts w:ascii="Arial" w:hAnsi="Arial" w:cs="Arial"/>
        </w:rPr>
      </w:pPr>
      <w:r w:rsidRPr="00712BF6">
        <w:rPr>
          <w:rFonts w:ascii="Arial" w:hAnsi="Arial" w:cs="Arial"/>
        </w:rPr>
        <w:t xml:space="preserve">The brand positioning of </w:t>
      </w:r>
      <w:proofErr w:type="spellStart"/>
      <w:r w:rsidRPr="00712BF6">
        <w:rPr>
          <w:rFonts w:ascii="Arial" w:hAnsi="Arial" w:cs="Arial"/>
        </w:rPr>
        <w:t>VitaFizz</w:t>
      </w:r>
      <w:proofErr w:type="spellEnd"/>
      <w:r w:rsidRPr="00712BF6">
        <w:rPr>
          <w:rFonts w:ascii="Arial" w:hAnsi="Arial" w:cs="Arial"/>
        </w:rPr>
        <w:t xml:space="preserve"> would be:</w:t>
      </w:r>
    </w:p>
    <w:p w14:paraId="005BB7B6" w14:textId="77777777" w:rsidR="00712BF6" w:rsidRPr="00712BF6" w:rsidRDefault="00712BF6" w:rsidP="00712BF6">
      <w:pPr>
        <w:spacing w:line="360" w:lineRule="auto"/>
        <w:jc w:val="both"/>
        <w:rPr>
          <w:rFonts w:ascii="Arial" w:hAnsi="Arial" w:cs="Arial"/>
        </w:rPr>
      </w:pPr>
      <w:r w:rsidRPr="00712BF6">
        <w:rPr>
          <w:rFonts w:ascii="Arial" w:hAnsi="Arial" w:cs="Arial"/>
        </w:rPr>
        <w:t xml:space="preserve">"For health-conscious, ecologically aware individuals seeking fresh energy, Coca-Cola Vita Fizz offers natural vitality and fizzing </w:t>
      </w:r>
      <w:proofErr w:type="spellStart"/>
      <w:r w:rsidRPr="00712BF6">
        <w:rPr>
          <w:rFonts w:ascii="Arial" w:hAnsi="Arial" w:cs="Arial"/>
        </w:rPr>
        <w:t>flavor</w:t>
      </w:r>
      <w:proofErr w:type="spellEnd"/>
      <w:r w:rsidRPr="00712BF6">
        <w:rPr>
          <w:rFonts w:ascii="Arial" w:hAnsi="Arial" w:cs="Arial"/>
        </w:rPr>
        <w:t xml:space="preserve"> in a sustainable way, merging the fun of cola with nourishment derived from vitamins."</w:t>
      </w:r>
    </w:p>
    <w:p w14:paraId="59A3792A" w14:textId="77777777" w:rsidR="00712BF6" w:rsidRPr="00712BF6" w:rsidRDefault="00712BF6" w:rsidP="00712BF6">
      <w:pPr>
        <w:spacing w:line="360" w:lineRule="auto"/>
        <w:jc w:val="both"/>
        <w:rPr>
          <w:rFonts w:ascii="Arial" w:hAnsi="Arial" w:cs="Arial"/>
        </w:rPr>
      </w:pPr>
      <w:r w:rsidRPr="00712BF6">
        <w:rPr>
          <w:rFonts w:ascii="Arial" w:hAnsi="Arial" w:cs="Arial"/>
          <w:b/>
          <w:bCs/>
        </w:rPr>
        <w:t>POD: Double benefit</w:t>
      </w:r>
      <w:r w:rsidRPr="00712BF6">
        <w:rPr>
          <w:rFonts w:ascii="Arial" w:hAnsi="Arial" w:cs="Arial"/>
        </w:rPr>
        <w:t xml:space="preserve"> - Cola taste and nutrient boost; less sugar, with an eco-ethos.</w:t>
      </w:r>
    </w:p>
    <w:p w14:paraId="6F6C1500" w14:textId="77777777" w:rsidR="00712BF6" w:rsidRPr="00712BF6" w:rsidRDefault="00712BF6" w:rsidP="00712BF6">
      <w:pPr>
        <w:spacing w:line="360" w:lineRule="auto"/>
        <w:jc w:val="both"/>
        <w:rPr>
          <w:rFonts w:ascii="Arial" w:hAnsi="Arial" w:cs="Arial"/>
        </w:rPr>
      </w:pPr>
      <w:r w:rsidRPr="00712BF6">
        <w:rPr>
          <w:rFonts w:ascii="Arial" w:hAnsi="Arial" w:cs="Arial"/>
          <w:b/>
          <w:bCs/>
        </w:rPr>
        <w:t>Reason to Believe:</w:t>
      </w:r>
      <w:r w:rsidRPr="00712BF6">
        <w:rPr>
          <w:rFonts w:ascii="Arial" w:hAnsi="Arial" w:cs="Arial"/>
        </w:rPr>
        <w:t xml:space="preserve"> Coca-Cola's strong global heritage of quality and its ongoing sustainability drives such as "World Without Waste."</w:t>
      </w:r>
    </w:p>
    <w:p w14:paraId="49A895CC" w14:textId="206E99F0" w:rsidR="00421F8C" w:rsidRPr="00421F8C" w:rsidRDefault="00712BF6" w:rsidP="00712BF6">
      <w:pPr>
        <w:spacing w:line="360" w:lineRule="auto"/>
        <w:jc w:val="both"/>
        <w:rPr>
          <w:rFonts w:ascii="Arial" w:hAnsi="Arial" w:cs="Arial"/>
        </w:rPr>
      </w:pPr>
      <w:r w:rsidRPr="00712BF6">
        <w:rPr>
          <w:rFonts w:ascii="Arial" w:hAnsi="Arial" w:cs="Arial"/>
        </w:rPr>
        <w:t>The new positioning reflects how Coca-Cola transformed from a traditional beverage company into a purpose-driven wellness brand. It leverages its powerful brand equity while capturing emerging functional beverage trends.</w:t>
      </w:r>
    </w:p>
    <w:p w14:paraId="229E5C61" w14:textId="77777777" w:rsidR="008327D8" w:rsidRDefault="008327D8" w:rsidP="008327D8">
      <w:pPr>
        <w:spacing w:line="360" w:lineRule="auto"/>
        <w:jc w:val="both"/>
        <w:rPr>
          <w:rFonts w:ascii="Arial" w:hAnsi="Arial" w:cs="Arial"/>
          <w:b/>
          <w:bCs/>
        </w:rPr>
      </w:pPr>
    </w:p>
    <w:p w14:paraId="3BDB1EC8" w14:textId="77777777" w:rsidR="008327D8" w:rsidRDefault="008327D8" w:rsidP="008327D8">
      <w:pPr>
        <w:spacing w:line="360" w:lineRule="auto"/>
        <w:jc w:val="both"/>
        <w:rPr>
          <w:rFonts w:ascii="Arial" w:hAnsi="Arial" w:cs="Arial"/>
          <w:b/>
          <w:bCs/>
        </w:rPr>
      </w:pPr>
    </w:p>
    <w:p w14:paraId="7A445ABB" w14:textId="77777777" w:rsidR="008327D8" w:rsidRDefault="008327D8" w:rsidP="008327D8">
      <w:pPr>
        <w:spacing w:line="360" w:lineRule="auto"/>
        <w:jc w:val="both"/>
        <w:rPr>
          <w:rFonts w:ascii="Arial" w:hAnsi="Arial" w:cs="Arial"/>
          <w:b/>
          <w:bCs/>
        </w:rPr>
      </w:pPr>
    </w:p>
    <w:p w14:paraId="28877017" w14:textId="77777777" w:rsidR="008327D8" w:rsidRDefault="008327D8" w:rsidP="008327D8">
      <w:pPr>
        <w:spacing w:line="360" w:lineRule="auto"/>
        <w:jc w:val="both"/>
        <w:rPr>
          <w:rFonts w:ascii="Arial" w:hAnsi="Arial" w:cs="Arial"/>
          <w:b/>
          <w:bCs/>
        </w:rPr>
      </w:pPr>
    </w:p>
    <w:p w14:paraId="76213E20" w14:textId="77777777" w:rsidR="000C668E" w:rsidRDefault="000C668E" w:rsidP="008327D8">
      <w:pPr>
        <w:spacing w:line="360" w:lineRule="auto"/>
        <w:jc w:val="both"/>
        <w:rPr>
          <w:rFonts w:ascii="Arial" w:hAnsi="Arial" w:cs="Arial"/>
          <w:b/>
          <w:bCs/>
        </w:rPr>
      </w:pPr>
    </w:p>
    <w:p w14:paraId="5BD68EFD" w14:textId="77777777" w:rsidR="00F97712" w:rsidRDefault="00F97712" w:rsidP="008327D8">
      <w:pPr>
        <w:spacing w:line="360" w:lineRule="auto"/>
        <w:jc w:val="both"/>
        <w:rPr>
          <w:rFonts w:ascii="Arial" w:hAnsi="Arial" w:cs="Arial"/>
          <w:b/>
          <w:bCs/>
        </w:rPr>
      </w:pPr>
    </w:p>
    <w:p w14:paraId="7BF4541B" w14:textId="77777777" w:rsidR="00F97712" w:rsidRDefault="00F97712" w:rsidP="008327D8">
      <w:pPr>
        <w:spacing w:line="360" w:lineRule="auto"/>
        <w:jc w:val="both"/>
        <w:rPr>
          <w:rFonts w:ascii="Arial" w:hAnsi="Arial" w:cs="Arial"/>
          <w:b/>
          <w:bCs/>
        </w:rPr>
      </w:pPr>
    </w:p>
    <w:p w14:paraId="57AFE28B" w14:textId="77777777" w:rsidR="00F97712" w:rsidRDefault="00F97712" w:rsidP="008327D8">
      <w:pPr>
        <w:spacing w:line="360" w:lineRule="auto"/>
        <w:jc w:val="both"/>
        <w:rPr>
          <w:rFonts w:ascii="Arial" w:hAnsi="Arial" w:cs="Arial"/>
          <w:b/>
          <w:bCs/>
        </w:rPr>
      </w:pPr>
    </w:p>
    <w:p w14:paraId="0097BE25" w14:textId="77777777" w:rsidR="00B95340" w:rsidRDefault="00B95340" w:rsidP="008327D8">
      <w:pPr>
        <w:spacing w:line="360" w:lineRule="auto"/>
        <w:jc w:val="both"/>
        <w:rPr>
          <w:rFonts w:ascii="Arial" w:hAnsi="Arial" w:cs="Arial"/>
          <w:b/>
          <w:bCs/>
        </w:rPr>
      </w:pPr>
    </w:p>
    <w:p w14:paraId="6696FB3B" w14:textId="77777777" w:rsidR="00B95340" w:rsidRDefault="00B95340" w:rsidP="008327D8">
      <w:pPr>
        <w:spacing w:line="360" w:lineRule="auto"/>
        <w:jc w:val="both"/>
        <w:rPr>
          <w:rFonts w:ascii="Arial" w:hAnsi="Arial" w:cs="Arial"/>
          <w:b/>
          <w:bCs/>
        </w:rPr>
      </w:pPr>
    </w:p>
    <w:p w14:paraId="3FAF8885" w14:textId="77777777" w:rsidR="00EA2BEE" w:rsidRDefault="00EA2BEE" w:rsidP="00C1247C">
      <w:pPr>
        <w:spacing w:line="360" w:lineRule="auto"/>
        <w:jc w:val="both"/>
        <w:rPr>
          <w:rFonts w:ascii="Arial" w:hAnsi="Arial" w:cs="Arial"/>
          <w:b/>
          <w:bCs/>
        </w:rPr>
      </w:pPr>
    </w:p>
    <w:p w14:paraId="2F3F5FAE" w14:textId="77777777" w:rsidR="00547323" w:rsidRDefault="00547323" w:rsidP="00C1247C">
      <w:pPr>
        <w:spacing w:line="360" w:lineRule="auto"/>
        <w:jc w:val="both"/>
        <w:rPr>
          <w:rFonts w:ascii="Arial" w:hAnsi="Arial" w:cs="Arial"/>
          <w:b/>
          <w:bCs/>
        </w:rPr>
      </w:pPr>
    </w:p>
    <w:p w14:paraId="7E2683DB" w14:textId="77777777" w:rsidR="00547323" w:rsidRDefault="00547323" w:rsidP="00C1247C">
      <w:pPr>
        <w:spacing w:line="360" w:lineRule="auto"/>
        <w:jc w:val="both"/>
        <w:rPr>
          <w:rFonts w:ascii="Arial" w:hAnsi="Arial" w:cs="Arial"/>
          <w:b/>
          <w:bCs/>
        </w:rPr>
      </w:pPr>
    </w:p>
    <w:p w14:paraId="0F65EC04" w14:textId="56A2BCC0" w:rsidR="00C1247C" w:rsidRPr="00C1247C" w:rsidRDefault="00547323" w:rsidP="00C1247C">
      <w:pPr>
        <w:spacing w:line="360" w:lineRule="auto"/>
        <w:jc w:val="both"/>
        <w:rPr>
          <w:rFonts w:ascii="Arial" w:hAnsi="Arial" w:cs="Arial"/>
          <w:b/>
          <w:bCs/>
        </w:rPr>
      </w:pPr>
      <w:r w:rsidRPr="00547323">
        <w:rPr>
          <w:rFonts w:ascii="Arial" w:hAnsi="Arial" w:cs="Arial"/>
          <w:b/>
          <w:bCs/>
        </w:rPr>
        <w:lastRenderedPageBreak/>
        <w:t>Element</w:t>
      </w:r>
      <w:r>
        <w:rPr>
          <w:rFonts w:ascii="Arial" w:hAnsi="Arial" w:cs="Arial"/>
          <w:b/>
          <w:bCs/>
        </w:rPr>
        <w:t xml:space="preserve"> 2: </w:t>
      </w:r>
      <w:r w:rsidR="00C1247C" w:rsidRPr="00C1247C">
        <w:rPr>
          <w:rFonts w:ascii="Arial" w:hAnsi="Arial" w:cs="Arial"/>
          <w:b/>
          <w:bCs/>
        </w:rPr>
        <w:t>Product</w:t>
      </w:r>
    </w:p>
    <w:p w14:paraId="43C06EEE" w14:textId="77777777" w:rsidR="00B95340" w:rsidRPr="00B95340" w:rsidRDefault="00B95340" w:rsidP="00B95340">
      <w:pPr>
        <w:spacing w:line="360" w:lineRule="auto"/>
        <w:jc w:val="both"/>
        <w:rPr>
          <w:rFonts w:ascii="Arial" w:hAnsi="Arial" w:cs="Arial"/>
        </w:rPr>
      </w:pPr>
      <w:proofErr w:type="spellStart"/>
      <w:r w:rsidRPr="00B95340">
        <w:rPr>
          <w:rFonts w:ascii="Arial" w:hAnsi="Arial" w:cs="Arial"/>
        </w:rPr>
        <w:t>VitaFizz</w:t>
      </w:r>
      <w:proofErr w:type="spellEnd"/>
      <w:r w:rsidRPr="00B95340">
        <w:rPr>
          <w:rFonts w:ascii="Arial" w:hAnsi="Arial" w:cs="Arial"/>
        </w:rPr>
        <w:t xml:space="preserve"> is Coca-Cola's step toward functional and sustainable beverages to meet the consumers' dual demands for health enhancement and care for the environment. The drink combines pure fruit extracts with vitamin complexes, such as B6, B12, and C, and green coffee extract natural caffeine for a "clean energy" experience. This is in line with recent consumer behavioural changes towards beverages with physiological and psychological benefits (Lee &amp; Yun, 2024).</w:t>
      </w:r>
    </w:p>
    <w:p w14:paraId="486C7342" w14:textId="77777777" w:rsidR="00B95340" w:rsidRPr="00B95340" w:rsidRDefault="00B95340" w:rsidP="00B95340">
      <w:pPr>
        <w:spacing w:line="360" w:lineRule="auto"/>
        <w:jc w:val="both"/>
        <w:rPr>
          <w:rFonts w:ascii="Arial" w:hAnsi="Arial" w:cs="Arial"/>
        </w:rPr>
      </w:pPr>
      <w:r w:rsidRPr="00B95340">
        <w:rPr>
          <w:rFonts w:ascii="Arial" w:hAnsi="Arial" w:cs="Arial"/>
        </w:rPr>
        <w:t xml:space="preserve">According to The Journal of Consumer Marketing, the work of Wang et al. (2024) explains that brands fusing sensory pleasure with functional value enjoy higher consumer satisfaction and retention, especially among Millennials. </w:t>
      </w:r>
      <w:proofErr w:type="spellStart"/>
      <w:r w:rsidRPr="00B95340">
        <w:rPr>
          <w:rFonts w:ascii="Arial" w:hAnsi="Arial" w:cs="Arial"/>
        </w:rPr>
        <w:t>VitaFizz</w:t>
      </w:r>
      <w:proofErr w:type="spellEnd"/>
      <w:r w:rsidRPr="00B95340">
        <w:rPr>
          <w:rFonts w:ascii="Arial" w:hAnsi="Arial" w:cs="Arial"/>
        </w:rPr>
        <w:t xml:space="preserve"> capitalizes on this by combining Coca-Cola's classic effervescence with fruit-smoothie </w:t>
      </w:r>
      <w:proofErr w:type="spellStart"/>
      <w:r w:rsidRPr="00B95340">
        <w:rPr>
          <w:rFonts w:ascii="Arial" w:hAnsi="Arial" w:cs="Arial"/>
        </w:rPr>
        <w:t>flavors</w:t>
      </w:r>
      <w:proofErr w:type="spellEnd"/>
      <w:r w:rsidRPr="00B95340">
        <w:rPr>
          <w:rFonts w:ascii="Arial" w:hAnsi="Arial" w:cs="Arial"/>
        </w:rPr>
        <w:t xml:space="preserve"> such as Berry Medley, Orange Spark, and Açaí Fusion.</w:t>
      </w:r>
    </w:p>
    <w:p w14:paraId="038E79CE" w14:textId="77777777" w:rsidR="00B95340" w:rsidRPr="00B95340" w:rsidRDefault="00B95340" w:rsidP="00B95340">
      <w:pPr>
        <w:spacing w:line="360" w:lineRule="auto"/>
        <w:jc w:val="both"/>
        <w:rPr>
          <w:rFonts w:ascii="Arial" w:hAnsi="Arial" w:cs="Arial"/>
        </w:rPr>
      </w:pPr>
      <w:r w:rsidRPr="00B95340">
        <w:rPr>
          <w:rFonts w:ascii="Arial" w:hAnsi="Arial" w:cs="Arial"/>
        </w:rPr>
        <w:t xml:space="preserve">Moreover, product sustainability is at the core of the brand promise of </w:t>
      </w:r>
      <w:proofErr w:type="spellStart"/>
      <w:r w:rsidRPr="00B95340">
        <w:rPr>
          <w:rFonts w:ascii="Arial" w:hAnsi="Arial" w:cs="Arial"/>
        </w:rPr>
        <w:t>VitaFizz</w:t>
      </w:r>
      <w:proofErr w:type="spellEnd"/>
      <w:r w:rsidRPr="00B95340">
        <w:rPr>
          <w:rFonts w:ascii="Arial" w:hAnsi="Arial" w:cs="Arial"/>
        </w:rPr>
        <w:t>. Therefore, the 100% recyclable aluminium can design supports the "World Without Waste" strategy of Coca-Cola. Indeed, packaging sustainability is considered influential in the purchase decisions of consumers, with 74% of them indicating they are most likely to buy products packaged sustainably (Harvard Business Review, 2023). Aluminium has high recyclability and provides a lesser environmental footprint compared to PET plastic bottles (</w:t>
      </w:r>
      <w:proofErr w:type="spellStart"/>
      <w:r w:rsidRPr="00B95340">
        <w:rPr>
          <w:rFonts w:ascii="Arial" w:hAnsi="Arial" w:cs="Arial"/>
        </w:rPr>
        <w:t>Bailón</w:t>
      </w:r>
      <w:proofErr w:type="spellEnd"/>
      <w:r w:rsidRPr="00B95340">
        <w:rPr>
          <w:rFonts w:ascii="Arial" w:hAnsi="Arial" w:cs="Arial"/>
        </w:rPr>
        <w:t xml:space="preserve"> et al., 2023).</w:t>
      </w:r>
    </w:p>
    <w:p w14:paraId="1F2A0DE1" w14:textId="77777777" w:rsidR="00B95340" w:rsidRDefault="00B95340" w:rsidP="00B95340">
      <w:pPr>
        <w:spacing w:line="360" w:lineRule="auto"/>
        <w:jc w:val="both"/>
        <w:rPr>
          <w:rFonts w:ascii="Arial" w:hAnsi="Arial" w:cs="Arial"/>
        </w:rPr>
      </w:pPr>
      <w:r w:rsidRPr="00B95340">
        <w:rPr>
          <w:rFonts w:ascii="Arial" w:hAnsi="Arial" w:cs="Arial"/>
        </w:rPr>
        <w:t xml:space="preserve">More into transparency, each can </w:t>
      </w:r>
      <w:proofErr w:type="gramStart"/>
      <w:r w:rsidRPr="00B95340">
        <w:rPr>
          <w:rFonts w:ascii="Arial" w:hAnsi="Arial" w:cs="Arial"/>
        </w:rPr>
        <w:t>has</w:t>
      </w:r>
      <w:proofErr w:type="gramEnd"/>
      <w:r w:rsidRPr="00B95340">
        <w:rPr>
          <w:rFonts w:ascii="Arial" w:hAnsi="Arial" w:cs="Arial"/>
        </w:rPr>
        <w:t xml:space="preserve"> a QR code leading to product sourcing data, vitamin information, and recycling instructions, empowering this digital transparency with green awareness. This is an approach that shows an understanding of the "traceability economy" that was mentioned earlier, in which informed consumers expect accountability from brands (Liu et al., 2023).</w:t>
      </w:r>
    </w:p>
    <w:p w14:paraId="1D661F5B" w14:textId="3D9DC706" w:rsidR="00BA5778" w:rsidRPr="00BA5778" w:rsidRDefault="00C1247C" w:rsidP="00BA5778">
      <w:pPr>
        <w:spacing w:line="360" w:lineRule="auto"/>
        <w:jc w:val="both"/>
        <w:rPr>
          <w:rFonts w:ascii="Arial" w:hAnsi="Arial" w:cs="Arial"/>
          <w:b/>
          <w:bCs/>
        </w:rPr>
      </w:pPr>
      <w:r w:rsidRPr="00C1247C">
        <w:rPr>
          <w:rFonts w:ascii="Arial" w:hAnsi="Arial" w:cs="Arial"/>
          <w:b/>
          <w:bCs/>
        </w:rPr>
        <w:t>Price</w:t>
      </w:r>
    </w:p>
    <w:p w14:paraId="71CDB089" w14:textId="77777777" w:rsidR="00BA5778" w:rsidRPr="00BA5778" w:rsidRDefault="00BA5778" w:rsidP="00BA5778">
      <w:pPr>
        <w:spacing w:line="360" w:lineRule="auto"/>
        <w:jc w:val="both"/>
        <w:rPr>
          <w:rFonts w:ascii="Arial" w:hAnsi="Arial" w:cs="Arial"/>
        </w:rPr>
      </w:pPr>
      <w:r w:rsidRPr="00BA5778">
        <w:rPr>
          <w:rFonts w:ascii="Arial" w:hAnsi="Arial" w:cs="Arial"/>
        </w:rPr>
        <w:t xml:space="preserve">Following a value-based premium pricing strategy, the pricing strategy for </w:t>
      </w:r>
      <w:proofErr w:type="spellStart"/>
      <w:r w:rsidRPr="00BA5778">
        <w:rPr>
          <w:rFonts w:ascii="Arial" w:hAnsi="Arial" w:cs="Arial"/>
        </w:rPr>
        <w:t>VitaFizz</w:t>
      </w:r>
      <w:proofErr w:type="spellEnd"/>
      <w:r w:rsidRPr="00BA5778">
        <w:rPr>
          <w:rFonts w:ascii="Arial" w:hAnsi="Arial" w:cs="Arial"/>
        </w:rPr>
        <w:t xml:space="preserve"> will balance affordability with perceptions of quality and sustainability. </w:t>
      </w:r>
      <w:proofErr w:type="spellStart"/>
      <w:r w:rsidRPr="00BA5778">
        <w:rPr>
          <w:rFonts w:ascii="Arial" w:hAnsi="Arial" w:cs="Arial"/>
        </w:rPr>
        <w:t>VitaFizz</w:t>
      </w:r>
      <w:proofErr w:type="spellEnd"/>
      <w:r w:rsidRPr="00BA5778">
        <w:rPr>
          <w:rFonts w:ascii="Arial" w:hAnsi="Arial" w:cs="Arial"/>
        </w:rPr>
        <w:t xml:space="preserve"> will be priced at £1.15 for 500ml and £2.69 for 2L, positioning it slightly above standard soft drinks but below ultra-premium wellness beverages. As inferred from Harvard Business Review (2024), the willingness of consumers to pay more for sustainable </w:t>
      </w:r>
      <w:r w:rsidRPr="00BA5778">
        <w:rPr>
          <w:rFonts w:ascii="Arial" w:hAnsi="Arial" w:cs="Arial"/>
        </w:rPr>
        <w:lastRenderedPageBreak/>
        <w:t>products is highly dependent on perceived authenticity in the environmental commitment of the brand.</w:t>
      </w:r>
    </w:p>
    <w:p w14:paraId="7AFA66BC" w14:textId="77777777" w:rsidR="00BA5778" w:rsidRPr="00BA5778" w:rsidRDefault="00BA5778" w:rsidP="00BA5778">
      <w:pPr>
        <w:spacing w:line="360" w:lineRule="auto"/>
        <w:jc w:val="both"/>
        <w:rPr>
          <w:rFonts w:ascii="Arial" w:hAnsi="Arial" w:cs="Arial"/>
        </w:rPr>
      </w:pPr>
      <w:r w:rsidRPr="00BA5778">
        <w:rPr>
          <w:rFonts w:ascii="Arial" w:hAnsi="Arial" w:cs="Arial"/>
        </w:rPr>
        <w:t xml:space="preserve">This pricing approach is underpinned by </w:t>
      </w:r>
      <w:proofErr w:type="spellStart"/>
      <w:r w:rsidRPr="00BA5778">
        <w:rPr>
          <w:rFonts w:ascii="Arial" w:hAnsi="Arial" w:cs="Arial"/>
        </w:rPr>
        <w:t>behavioral</w:t>
      </w:r>
      <w:proofErr w:type="spellEnd"/>
      <w:r w:rsidRPr="00BA5778">
        <w:rPr>
          <w:rFonts w:ascii="Arial" w:hAnsi="Arial" w:cs="Arial"/>
        </w:rPr>
        <w:t xml:space="preserve"> pricing theory, which suggests that consumers perceive premium prices as indicative of superior quality when associated with credible eco-friendly claims (Monroe &amp; Dodds, 2023). In light of this, it would be justified for a modest price premium to be commanded on the basis of clear sustainability communications, such as statements about carbon-neutral production and verification of the use of recycled content.</w:t>
      </w:r>
    </w:p>
    <w:p w14:paraId="73443AF2" w14:textId="77777777" w:rsidR="00BA5778" w:rsidRPr="00BA5778" w:rsidRDefault="00BA5778" w:rsidP="00BA5778">
      <w:pPr>
        <w:spacing w:line="360" w:lineRule="auto"/>
        <w:jc w:val="both"/>
        <w:rPr>
          <w:rFonts w:ascii="Arial" w:hAnsi="Arial" w:cs="Arial"/>
        </w:rPr>
      </w:pPr>
      <w:r w:rsidRPr="00BA5778">
        <w:rPr>
          <w:rFonts w:ascii="Arial" w:hAnsi="Arial" w:cs="Arial"/>
        </w:rPr>
        <w:t>This can be further extended by having a tiered pricing structure to broaden accessibility:</w:t>
      </w:r>
    </w:p>
    <w:p w14:paraId="1B965179" w14:textId="77777777" w:rsidR="00BA5778" w:rsidRPr="00BA5778" w:rsidRDefault="00BA5778" w:rsidP="00BA5778">
      <w:pPr>
        <w:spacing w:line="360" w:lineRule="auto"/>
        <w:jc w:val="both"/>
        <w:rPr>
          <w:rFonts w:ascii="Arial" w:hAnsi="Arial" w:cs="Arial"/>
        </w:rPr>
      </w:pPr>
      <w:r w:rsidRPr="00BA5778">
        <w:rPr>
          <w:rFonts w:ascii="Arial" w:hAnsi="Arial" w:cs="Arial"/>
        </w:rPr>
        <w:t>• Entry-level cans for retail and convenience stores.</w:t>
      </w:r>
    </w:p>
    <w:p w14:paraId="70C056A9" w14:textId="77777777" w:rsidR="00BA5778" w:rsidRPr="00BA5778" w:rsidRDefault="00BA5778" w:rsidP="00BA5778">
      <w:pPr>
        <w:spacing w:line="360" w:lineRule="auto"/>
        <w:jc w:val="both"/>
        <w:rPr>
          <w:rFonts w:ascii="Arial" w:hAnsi="Arial" w:cs="Arial"/>
        </w:rPr>
      </w:pPr>
      <w:r w:rsidRPr="00BA5778">
        <w:rPr>
          <w:rFonts w:ascii="Arial" w:hAnsi="Arial" w:cs="Arial"/>
        </w:rPr>
        <w:t>• Mid-tier multipacks for online platforms and gyms.</w:t>
      </w:r>
    </w:p>
    <w:p w14:paraId="1DC98B15" w14:textId="77777777" w:rsidR="00BA5778" w:rsidRPr="00BA5778" w:rsidRDefault="00BA5778" w:rsidP="00BA5778">
      <w:pPr>
        <w:spacing w:line="360" w:lineRule="auto"/>
        <w:jc w:val="both"/>
        <w:rPr>
          <w:rFonts w:ascii="Arial" w:hAnsi="Arial" w:cs="Arial"/>
        </w:rPr>
      </w:pPr>
      <w:r w:rsidRPr="00BA5778">
        <w:rPr>
          <w:rFonts w:ascii="Arial" w:hAnsi="Arial" w:cs="Arial"/>
        </w:rPr>
        <w:t>• Premium 2L bottles for supermarkets.</w:t>
      </w:r>
    </w:p>
    <w:p w14:paraId="730859F2" w14:textId="64C43366" w:rsidR="00BA5778" w:rsidRDefault="00BA5778" w:rsidP="00BA5778">
      <w:pPr>
        <w:spacing w:line="360" w:lineRule="auto"/>
        <w:jc w:val="both"/>
        <w:rPr>
          <w:rFonts w:ascii="Arial" w:hAnsi="Arial" w:cs="Arial"/>
        </w:rPr>
      </w:pPr>
      <w:r w:rsidRPr="00BA5778">
        <w:rPr>
          <w:rFonts w:ascii="Arial" w:hAnsi="Arial" w:cs="Arial"/>
        </w:rPr>
        <w:t xml:space="preserve">Empirical evidence supports this very approach, where differentiated pricing across channels and pack sizes enhances perceived choice while increasing customer lifetime value. Anderson &amp; </w:t>
      </w:r>
      <w:proofErr w:type="spellStart"/>
      <w:r w:rsidRPr="00BA5778">
        <w:rPr>
          <w:rFonts w:ascii="Arial" w:hAnsi="Arial" w:cs="Arial"/>
        </w:rPr>
        <w:t>Simester</w:t>
      </w:r>
      <w:proofErr w:type="spellEnd"/>
      <w:r w:rsidRPr="00BA5778">
        <w:rPr>
          <w:rFonts w:ascii="Arial" w:hAnsi="Arial" w:cs="Arial"/>
        </w:rPr>
        <w:t xml:space="preserve">, 2024. </w:t>
      </w:r>
    </w:p>
    <w:p w14:paraId="774671B6" w14:textId="2DCED684" w:rsidR="00BA5778" w:rsidRPr="00BA5778" w:rsidRDefault="00C1247C" w:rsidP="00BA5778">
      <w:pPr>
        <w:spacing w:line="360" w:lineRule="auto"/>
        <w:jc w:val="both"/>
        <w:rPr>
          <w:rFonts w:ascii="Arial" w:hAnsi="Arial" w:cs="Arial"/>
          <w:b/>
          <w:bCs/>
        </w:rPr>
      </w:pPr>
      <w:r w:rsidRPr="00C1247C">
        <w:rPr>
          <w:rFonts w:ascii="Arial" w:hAnsi="Arial" w:cs="Arial"/>
          <w:b/>
          <w:bCs/>
        </w:rPr>
        <w:t>Place</w:t>
      </w:r>
    </w:p>
    <w:p w14:paraId="64855198" w14:textId="77777777" w:rsidR="00BA5778" w:rsidRPr="00BA5778" w:rsidRDefault="00BA5778" w:rsidP="00BA5778">
      <w:pPr>
        <w:spacing w:line="360" w:lineRule="auto"/>
        <w:jc w:val="both"/>
        <w:rPr>
          <w:rFonts w:ascii="Arial" w:hAnsi="Arial" w:cs="Arial"/>
        </w:rPr>
      </w:pPr>
      <w:r w:rsidRPr="00BA5778">
        <w:rPr>
          <w:rFonts w:ascii="Arial" w:hAnsi="Arial" w:cs="Arial"/>
        </w:rPr>
        <w:t xml:space="preserve">Distribution strategy is relevant in the context of matching the brand with the target consumers' lifestyle and consumption habits. </w:t>
      </w:r>
      <w:proofErr w:type="spellStart"/>
      <w:r w:rsidRPr="00BA5778">
        <w:rPr>
          <w:rFonts w:ascii="Arial" w:hAnsi="Arial" w:cs="Arial"/>
        </w:rPr>
        <w:t>VitaFizz</w:t>
      </w:r>
      <w:proofErr w:type="spellEnd"/>
      <w:r w:rsidRPr="00BA5778">
        <w:rPr>
          <w:rFonts w:ascii="Arial" w:hAnsi="Arial" w:cs="Arial"/>
        </w:rPr>
        <w:t xml:space="preserve"> would make use of the immense global distribution network of Coca-Cola while extending into new health-oriented channels. It shall be available via:</w:t>
      </w:r>
    </w:p>
    <w:p w14:paraId="6998256F" w14:textId="77777777" w:rsidR="00BA5778" w:rsidRPr="00BA5778" w:rsidRDefault="00BA5778" w:rsidP="00BA5778">
      <w:pPr>
        <w:spacing w:line="360" w:lineRule="auto"/>
        <w:jc w:val="both"/>
        <w:rPr>
          <w:rFonts w:ascii="Arial" w:hAnsi="Arial" w:cs="Arial"/>
        </w:rPr>
      </w:pPr>
      <w:r w:rsidRPr="00BA5778">
        <w:rPr>
          <w:rFonts w:ascii="Arial" w:hAnsi="Arial" w:cs="Arial"/>
        </w:rPr>
        <w:t>• Food retail chains including Tesco, Sainsbury's, and Walmart</w:t>
      </w:r>
    </w:p>
    <w:p w14:paraId="0CE0FEC6" w14:textId="77777777" w:rsidR="00BA5778" w:rsidRPr="00BA5778" w:rsidRDefault="00BA5778" w:rsidP="00BA5778">
      <w:pPr>
        <w:spacing w:line="360" w:lineRule="auto"/>
        <w:jc w:val="both"/>
        <w:rPr>
          <w:rFonts w:ascii="Arial" w:hAnsi="Arial" w:cs="Arial"/>
        </w:rPr>
      </w:pPr>
      <w:r w:rsidRPr="00BA5778">
        <w:rPr>
          <w:rFonts w:ascii="Arial" w:hAnsi="Arial" w:cs="Arial"/>
        </w:rPr>
        <w:t>• Health and wellness outlets, such as gyms, yoga studios, and health cafés.</w:t>
      </w:r>
    </w:p>
    <w:p w14:paraId="2E9AB78A" w14:textId="77777777" w:rsidR="00BA5778" w:rsidRPr="00BA5778" w:rsidRDefault="00BA5778" w:rsidP="00BA5778">
      <w:pPr>
        <w:spacing w:line="360" w:lineRule="auto"/>
        <w:jc w:val="both"/>
        <w:rPr>
          <w:rFonts w:ascii="Arial" w:hAnsi="Arial" w:cs="Arial"/>
        </w:rPr>
      </w:pPr>
      <w:r w:rsidRPr="00BA5778">
        <w:rPr>
          <w:rFonts w:ascii="Arial" w:hAnsi="Arial" w:cs="Arial"/>
        </w:rPr>
        <w:t>• E-commerce platforms: Amazon, Coca-Cola online store, and health marketplaces.</w:t>
      </w:r>
    </w:p>
    <w:p w14:paraId="007FF929" w14:textId="77777777" w:rsidR="00BA5778" w:rsidRPr="00BA5778" w:rsidRDefault="00BA5778" w:rsidP="00BA5778">
      <w:pPr>
        <w:spacing w:line="360" w:lineRule="auto"/>
        <w:jc w:val="both"/>
        <w:rPr>
          <w:rFonts w:ascii="Arial" w:hAnsi="Arial" w:cs="Arial"/>
        </w:rPr>
      </w:pPr>
      <w:r w:rsidRPr="00BA5778">
        <w:rPr>
          <w:rFonts w:ascii="Arial" w:hAnsi="Arial" w:cs="Arial"/>
        </w:rPr>
        <w:t>Maximum reach and convenience are ensured by this omnichannel distribution approach. According to a study by Chen and Li (2024), hybrid models of distribution that are combined in physical and digital channels have higher brand engagement and faster adoption for the Gen Z consumer.</w:t>
      </w:r>
    </w:p>
    <w:p w14:paraId="48864D12" w14:textId="77777777" w:rsidR="00BA5778" w:rsidRPr="00BA5778" w:rsidRDefault="00BA5778" w:rsidP="00BA5778">
      <w:pPr>
        <w:spacing w:line="360" w:lineRule="auto"/>
        <w:jc w:val="both"/>
        <w:rPr>
          <w:rFonts w:ascii="Arial" w:hAnsi="Arial" w:cs="Arial"/>
        </w:rPr>
      </w:pPr>
      <w:r w:rsidRPr="00BA5778">
        <w:rPr>
          <w:rFonts w:ascii="Arial" w:hAnsi="Arial" w:cs="Arial"/>
        </w:rPr>
        <w:lastRenderedPageBreak/>
        <w:t>To strengthen the circular economy strategy of Coca-Cola, reverse logistics initiatives will be included, such as "Recycle-and-Refill" collection points in gyms and on university campuses. These would support consumers in taking active part in sustainability and improve brand loyalty.</w:t>
      </w:r>
    </w:p>
    <w:p w14:paraId="5B1281DB" w14:textId="77777777" w:rsidR="00BA5778" w:rsidRDefault="00BA5778" w:rsidP="00BA5778">
      <w:pPr>
        <w:spacing w:line="360" w:lineRule="auto"/>
        <w:jc w:val="both"/>
        <w:rPr>
          <w:rFonts w:ascii="Arial" w:hAnsi="Arial" w:cs="Arial"/>
        </w:rPr>
      </w:pPr>
      <w:r w:rsidRPr="00BA5778">
        <w:rPr>
          <w:rFonts w:ascii="Arial" w:hAnsi="Arial" w:cs="Arial"/>
        </w:rPr>
        <w:t xml:space="preserve">In addition, data-driven smart vending machines will suggest </w:t>
      </w:r>
      <w:proofErr w:type="spellStart"/>
      <w:r w:rsidRPr="00BA5778">
        <w:rPr>
          <w:rFonts w:ascii="Arial" w:hAnsi="Arial" w:cs="Arial"/>
        </w:rPr>
        <w:t>flavors</w:t>
      </w:r>
      <w:proofErr w:type="spellEnd"/>
      <w:r w:rsidRPr="00BA5778">
        <w:rPr>
          <w:rFonts w:ascii="Arial" w:hAnsi="Arial" w:cs="Arial"/>
        </w:rPr>
        <w:t xml:space="preserve"> according to purchase history and reward consumers with loyalty points for recycling cans. The fusion of technology and sustainability here speaks to the tech-savvy and eco-conscious audiences.</w:t>
      </w:r>
    </w:p>
    <w:p w14:paraId="54B09F2A" w14:textId="604CA971" w:rsidR="004800B2" w:rsidRPr="004800B2" w:rsidRDefault="00C1247C" w:rsidP="004800B2">
      <w:pPr>
        <w:spacing w:line="360" w:lineRule="auto"/>
        <w:jc w:val="both"/>
        <w:rPr>
          <w:rFonts w:ascii="Arial" w:hAnsi="Arial" w:cs="Arial"/>
          <w:b/>
          <w:bCs/>
        </w:rPr>
      </w:pPr>
      <w:r w:rsidRPr="00C1247C">
        <w:rPr>
          <w:rFonts w:ascii="Arial" w:hAnsi="Arial" w:cs="Arial"/>
          <w:b/>
          <w:bCs/>
        </w:rPr>
        <w:t>Promotion</w:t>
      </w:r>
    </w:p>
    <w:p w14:paraId="16D6E999" w14:textId="77777777" w:rsidR="004800B2" w:rsidRPr="004800B2" w:rsidRDefault="004800B2" w:rsidP="004800B2">
      <w:pPr>
        <w:spacing w:line="360" w:lineRule="auto"/>
        <w:jc w:val="both"/>
        <w:rPr>
          <w:rFonts w:ascii="Arial" w:hAnsi="Arial" w:cs="Arial"/>
        </w:rPr>
      </w:pPr>
      <w:r w:rsidRPr="004800B2">
        <w:rPr>
          <w:rFonts w:ascii="Arial" w:hAnsi="Arial" w:cs="Arial"/>
        </w:rPr>
        <w:t xml:space="preserve">The promotional strategy for </w:t>
      </w:r>
      <w:proofErr w:type="spellStart"/>
      <w:r w:rsidRPr="004800B2">
        <w:rPr>
          <w:rFonts w:ascii="Arial" w:hAnsi="Arial" w:cs="Arial"/>
        </w:rPr>
        <w:t>VitaFizz</w:t>
      </w:r>
      <w:proofErr w:type="spellEnd"/>
      <w:r w:rsidRPr="004800B2">
        <w:rPr>
          <w:rFonts w:ascii="Arial" w:hAnsi="Arial" w:cs="Arial"/>
        </w:rPr>
        <w:t xml:space="preserve"> focuses on purposeful storytelling-merging the themes of health, vitality, and environmental care. Instead of traditional advertising, Coca-Cola will rely on value-based marketing, touting the notion that personal energy and planetary sustainability go hand in hand.</w:t>
      </w:r>
    </w:p>
    <w:p w14:paraId="4DCC562B" w14:textId="77777777" w:rsidR="004800B2" w:rsidRPr="004800B2" w:rsidRDefault="004800B2" w:rsidP="004800B2">
      <w:pPr>
        <w:spacing w:line="360" w:lineRule="auto"/>
        <w:jc w:val="both"/>
        <w:rPr>
          <w:rFonts w:ascii="Arial" w:hAnsi="Arial" w:cs="Arial"/>
          <w:b/>
          <w:bCs/>
        </w:rPr>
      </w:pPr>
      <w:r w:rsidRPr="004800B2">
        <w:rPr>
          <w:rFonts w:ascii="Arial" w:hAnsi="Arial" w:cs="Arial"/>
          <w:b/>
          <w:bCs/>
        </w:rPr>
        <w:t>The key components of the promotional mix include:</w:t>
      </w:r>
    </w:p>
    <w:p w14:paraId="33128351" w14:textId="76F60C15" w:rsidR="004800B2" w:rsidRPr="004800B2" w:rsidRDefault="004800B2" w:rsidP="004800B2">
      <w:pPr>
        <w:spacing w:line="360" w:lineRule="auto"/>
        <w:jc w:val="both"/>
        <w:rPr>
          <w:rFonts w:ascii="Arial" w:hAnsi="Arial" w:cs="Arial"/>
        </w:rPr>
      </w:pPr>
      <w:r w:rsidRPr="004800B2">
        <w:rPr>
          <w:rFonts w:ascii="Arial" w:hAnsi="Arial" w:cs="Arial"/>
          <w:b/>
          <w:bCs/>
        </w:rPr>
        <w:t>1. Digital Marketing:</w:t>
      </w:r>
      <w:r w:rsidRPr="004800B2">
        <w:rPr>
          <w:rFonts w:ascii="Arial" w:hAnsi="Arial" w:cs="Arial"/>
        </w:rPr>
        <w:t xml:space="preserve"> Social media campaigns on hashtags such as #FizzForChange and #VitaFizzEnergy across Instagram, TikTok, and YouTube. There will also be user-generated content to increase community engagement, where consumers can share "refill moments."</w:t>
      </w:r>
    </w:p>
    <w:p w14:paraId="68449024" w14:textId="0A24E632" w:rsidR="004800B2" w:rsidRPr="004800B2" w:rsidRDefault="004800B2" w:rsidP="004800B2">
      <w:pPr>
        <w:spacing w:line="360" w:lineRule="auto"/>
        <w:jc w:val="both"/>
        <w:rPr>
          <w:rFonts w:ascii="Arial" w:hAnsi="Arial" w:cs="Arial"/>
        </w:rPr>
      </w:pPr>
      <w:r w:rsidRPr="004800B2">
        <w:rPr>
          <w:rFonts w:ascii="Arial" w:hAnsi="Arial" w:cs="Arial"/>
          <w:b/>
          <w:bCs/>
        </w:rPr>
        <w:t>2.Influencer Collaborations:</w:t>
      </w:r>
      <w:r w:rsidRPr="004800B2">
        <w:rPr>
          <w:rFonts w:ascii="Arial" w:hAnsi="Arial" w:cs="Arial"/>
        </w:rPr>
        <w:t xml:space="preserve"> Partnerships with nutritionists, eco-athletes, and influencers in sustainable living to add to the element of authenticity and domain expertise. </w:t>
      </w:r>
      <w:proofErr w:type="spellStart"/>
      <w:r w:rsidRPr="004800B2">
        <w:rPr>
          <w:rFonts w:ascii="Arial" w:hAnsi="Arial" w:cs="Arial"/>
        </w:rPr>
        <w:t>Foroudi</w:t>
      </w:r>
      <w:proofErr w:type="spellEnd"/>
      <w:r w:rsidRPr="004800B2">
        <w:rPr>
          <w:rFonts w:ascii="Arial" w:hAnsi="Arial" w:cs="Arial"/>
        </w:rPr>
        <w:t xml:space="preserve"> et al. (2024) assert that influencer credibility significantly enhances consumer trust and purchase intention in green marketing campaigns.</w:t>
      </w:r>
    </w:p>
    <w:p w14:paraId="295AAD7D" w14:textId="77777777" w:rsidR="004800B2" w:rsidRPr="004800B2" w:rsidRDefault="004800B2" w:rsidP="004800B2">
      <w:pPr>
        <w:spacing w:line="360" w:lineRule="auto"/>
        <w:jc w:val="both"/>
        <w:rPr>
          <w:rFonts w:ascii="Arial" w:hAnsi="Arial" w:cs="Arial"/>
        </w:rPr>
      </w:pPr>
      <w:r w:rsidRPr="004800B2">
        <w:rPr>
          <w:rFonts w:ascii="Arial" w:hAnsi="Arial" w:cs="Arial"/>
          <w:b/>
          <w:bCs/>
        </w:rPr>
        <w:t>3. Experiential Campaigns:</w:t>
      </w:r>
      <w:r w:rsidRPr="004800B2">
        <w:rPr>
          <w:rFonts w:ascii="Arial" w:hAnsi="Arial" w:cs="Arial"/>
        </w:rPr>
        <w:t xml:space="preserve"> Pop-up "</w:t>
      </w:r>
      <w:proofErr w:type="spellStart"/>
      <w:r w:rsidRPr="004800B2">
        <w:rPr>
          <w:rFonts w:ascii="Arial" w:hAnsi="Arial" w:cs="Arial"/>
        </w:rPr>
        <w:t>VitaFizz</w:t>
      </w:r>
      <w:proofErr w:type="spellEnd"/>
      <w:r w:rsidRPr="004800B2">
        <w:rPr>
          <w:rFonts w:ascii="Arial" w:hAnsi="Arial" w:cs="Arial"/>
        </w:rPr>
        <w:t xml:space="preserve"> Recharge Zones" at fitness expos, universities, and urban parks offering tasting experiences and recycling challenges.</w:t>
      </w:r>
    </w:p>
    <w:p w14:paraId="16BE6A48" w14:textId="77777777" w:rsidR="004800B2" w:rsidRPr="004800B2" w:rsidRDefault="004800B2" w:rsidP="004800B2">
      <w:pPr>
        <w:spacing w:line="360" w:lineRule="auto"/>
        <w:jc w:val="both"/>
        <w:rPr>
          <w:rFonts w:ascii="Arial" w:hAnsi="Arial" w:cs="Arial"/>
        </w:rPr>
      </w:pPr>
      <w:r w:rsidRPr="004800B2">
        <w:rPr>
          <w:rFonts w:ascii="Arial" w:hAnsi="Arial" w:cs="Arial"/>
          <w:b/>
          <w:bCs/>
        </w:rPr>
        <w:t>4. Cause Marketing:</w:t>
      </w:r>
      <w:r w:rsidRPr="004800B2">
        <w:rPr>
          <w:rFonts w:ascii="Arial" w:hAnsi="Arial" w:cs="Arial"/>
        </w:rPr>
        <w:t xml:space="preserve"> Partnerships with global NGOs such as The Ocean Cleanup to finance plastic reduction projects. This enhances Coca-Cola's environmental narrative, considering shared value theory by Porter &amp; Kramer (2011).</w:t>
      </w:r>
    </w:p>
    <w:p w14:paraId="3DFAC81B" w14:textId="77777777" w:rsidR="004800B2" w:rsidRDefault="004800B2" w:rsidP="004800B2">
      <w:pPr>
        <w:spacing w:line="360" w:lineRule="auto"/>
        <w:jc w:val="both"/>
        <w:rPr>
          <w:rFonts w:ascii="Arial" w:hAnsi="Arial" w:cs="Arial"/>
        </w:rPr>
      </w:pPr>
      <w:r w:rsidRPr="004800B2">
        <w:rPr>
          <w:rFonts w:ascii="Arial" w:hAnsi="Arial" w:cs="Arial"/>
        </w:rPr>
        <w:t xml:space="preserve">Moreover, there is academic support to combine eco-emotional branding, in which the messages of sustainability create positive emotions because they are associated with self-image and people's collective wellbeing. Scheinbaum &amp; Johar, 2023 Thus, </w:t>
      </w:r>
      <w:r w:rsidRPr="004800B2">
        <w:rPr>
          <w:rFonts w:ascii="Arial" w:hAnsi="Arial" w:cs="Arial"/>
        </w:rPr>
        <w:lastRenderedPageBreak/>
        <w:t xml:space="preserve">promotional messages should not highlight the products' attributes but how it will enable consumers to live more consciously and energetically using the product </w:t>
      </w:r>
      <w:proofErr w:type="spellStart"/>
      <w:r w:rsidRPr="004800B2">
        <w:rPr>
          <w:rFonts w:ascii="Arial" w:hAnsi="Arial" w:cs="Arial"/>
        </w:rPr>
        <w:t>VitaFizz</w:t>
      </w:r>
      <w:proofErr w:type="spellEnd"/>
      <w:r w:rsidRPr="004800B2">
        <w:rPr>
          <w:rFonts w:ascii="Arial" w:hAnsi="Arial" w:cs="Arial"/>
        </w:rPr>
        <w:t>.</w:t>
      </w:r>
    </w:p>
    <w:p w14:paraId="7DD70420" w14:textId="75EA70EA" w:rsidR="00C1247C" w:rsidRPr="00C1247C" w:rsidRDefault="00C1247C" w:rsidP="004800B2">
      <w:pPr>
        <w:spacing w:line="360" w:lineRule="auto"/>
        <w:jc w:val="both"/>
        <w:rPr>
          <w:rFonts w:ascii="Arial" w:hAnsi="Arial" w:cs="Arial"/>
          <w:b/>
          <w:bCs/>
        </w:rPr>
      </w:pPr>
      <w:r w:rsidRPr="00C1247C">
        <w:rPr>
          <w:rFonts w:ascii="Arial" w:hAnsi="Arial" w:cs="Arial"/>
          <w:b/>
          <w:bCs/>
        </w:rPr>
        <w:t>Graph 1 Summary of Marketing Mix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4585"/>
        <w:gridCol w:w="3136"/>
      </w:tblGrid>
      <w:tr w:rsidR="00C1247C" w:rsidRPr="00C1247C" w14:paraId="7BB6DC27" w14:textId="77777777" w:rsidTr="00C1247C">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10E9F3"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Element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BBCC2"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Strategy Summary</w:t>
            </w:r>
          </w:p>
        </w:tc>
        <w:tc>
          <w:tcPr>
            <w:tcW w:w="0" w:type="auto"/>
            <w:tcBorders>
              <w:top w:val="single" w:sz="4" w:space="0" w:color="auto"/>
              <w:left w:val="single" w:sz="4" w:space="0" w:color="auto"/>
              <w:bottom w:val="single" w:sz="4" w:space="0" w:color="auto"/>
              <w:right w:val="single" w:sz="4" w:space="0" w:color="auto"/>
            </w:tcBorders>
            <w:vAlign w:val="center"/>
            <w:hideMark/>
          </w:tcPr>
          <w:p w14:paraId="23B54222"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Supporting Principle</w:t>
            </w:r>
          </w:p>
        </w:tc>
      </w:tr>
      <w:tr w:rsidR="00C1247C" w:rsidRPr="00C1247C" w14:paraId="65DED0BC" w14:textId="77777777" w:rsidTr="00C1247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28C126"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Product</w:t>
            </w:r>
          </w:p>
        </w:tc>
        <w:tc>
          <w:tcPr>
            <w:tcW w:w="0" w:type="auto"/>
            <w:tcBorders>
              <w:top w:val="single" w:sz="4" w:space="0" w:color="auto"/>
              <w:left w:val="single" w:sz="4" w:space="0" w:color="auto"/>
              <w:bottom w:val="single" w:sz="4" w:space="0" w:color="auto"/>
              <w:right w:val="single" w:sz="4" w:space="0" w:color="auto"/>
            </w:tcBorders>
            <w:vAlign w:val="center"/>
            <w:hideMark/>
          </w:tcPr>
          <w:p w14:paraId="0386A7C0" w14:textId="77777777" w:rsidR="00C1247C" w:rsidRPr="004800B2" w:rsidRDefault="00C1247C" w:rsidP="00C1247C">
            <w:pPr>
              <w:spacing w:line="360" w:lineRule="auto"/>
              <w:jc w:val="both"/>
              <w:rPr>
                <w:rFonts w:ascii="Arial" w:hAnsi="Arial" w:cs="Arial"/>
              </w:rPr>
            </w:pPr>
            <w:r w:rsidRPr="004800B2">
              <w:rPr>
                <w:rFonts w:ascii="Arial" w:hAnsi="Arial" w:cs="Arial"/>
              </w:rPr>
              <w:t>Vitamin-enriched, low-sugar Coca-Cola smoothie with recyclable aluminium cans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DE152A" w14:textId="77777777" w:rsidR="00C1247C" w:rsidRPr="004800B2" w:rsidRDefault="00C1247C" w:rsidP="00C1247C">
            <w:pPr>
              <w:spacing w:line="360" w:lineRule="auto"/>
              <w:jc w:val="both"/>
              <w:rPr>
                <w:rFonts w:ascii="Arial" w:hAnsi="Arial" w:cs="Arial"/>
              </w:rPr>
            </w:pPr>
            <w:r w:rsidRPr="004800B2">
              <w:rPr>
                <w:rFonts w:ascii="Arial" w:hAnsi="Arial" w:cs="Arial"/>
              </w:rPr>
              <w:t>Functional innovation and sustainable product design</w:t>
            </w:r>
          </w:p>
        </w:tc>
      </w:tr>
      <w:tr w:rsidR="00C1247C" w:rsidRPr="00C1247C" w14:paraId="41BF8E81" w14:textId="77777777" w:rsidTr="00C1247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FAAC64"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Price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3EB447FA" w14:textId="77777777" w:rsidR="00C1247C" w:rsidRPr="004800B2" w:rsidRDefault="00C1247C" w:rsidP="00C1247C">
            <w:pPr>
              <w:spacing w:line="360" w:lineRule="auto"/>
              <w:jc w:val="both"/>
              <w:rPr>
                <w:rFonts w:ascii="Arial" w:hAnsi="Arial" w:cs="Arial"/>
              </w:rPr>
            </w:pPr>
            <w:r w:rsidRPr="004800B2">
              <w:rPr>
                <w:rFonts w:ascii="Arial" w:hAnsi="Arial" w:cs="Arial"/>
              </w:rPr>
              <w:t>Value-based premium (£1.15–£2.69); justified by eco-value perception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A1EE2" w14:textId="77777777" w:rsidR="00C1247C" w:rsidRPr="004800B2" w:rsidRDefault="00C1247C" w:rsidP="00C1247C">
            <w:pPr>
              <w:spacing w:line="360" w:lineRule="auto"/>
              <w:jc w:val="both"/>
              <w:rPr>
                <w:rFonts w:ascii="Arial" w:hAnsi="Arial" w:cs="Arial"/>
              </w:rPr>
            </w:pPr>
            <w:r w:rsidRPr="004800B2">
              <w:rPr>
                <w:rFonts w:ascii="Arial" w:hAnsi="Arial" w:cs="Arial"/>
              </w:rPr>
              <w:t>Behavioural pricing and perceived quality</w:t>
            </w:r>
          </w:p>
        </w:tc>
      </w:tr>
      <w:tr w:rsidR="00C1247C" w:rsidRPr="00C1247C" w14:paraId="5F85C94F" w14:textId="77777777" w:rsidTr="00C1247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CAD2DD"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Place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08469F" w14:textId="77777777" w:rsidR="00C1247C" w:rsidRPr="004800B2" w:rsidRDefault="00C1247C" w:rsidP="00C1247C">
            <w:pPr>
              <w:spacing w:line="360" w:lineRule="auto"/>
              <w:jc w:val="both"/>
              <w:rPr>
                <w:rFonts w:ascii="Arial" w:hAnsi="Arial" w:cs="Arial"/>
              </w:rPr>
            </w:pPr>
            <w:r w:rsidRPr="004800B2">
              <w:rPr>
                <w:rFonts w:ascii="Arial" w:hAnsi="Arial" w:cs="Arial"/>
              </w:rPr>
              <w:t>Multi-channel distribution (retail + digital + wellness spaces); reverse logistics</w:t>
            </w:r>
          </w:p>
        </w:tc>
        <w:tc>
          <w:tcPr>
            <w:tcW w:w="0" w:type="auto"/>
            <w:tcBorders>
              <w:top w:val="single" w:sz="4" w:space="0" w:color="auto"/>
              <w:left w:val="single" w:sz="4" w:space="0" w:color="auto"/>
              <w:bottom w:val="single" w:sz="4" w:space="0" w:color="auto"/>
              <w:right w:val="single" w:sz="4" w:space="0" w:color="auto"/>
            </w:tcBorders>
            <w:vAlign w:val="center"/>
            <w:hideMark/>
          </w:tcPr>
          <w:p w14:paraId="248A0F9D" w14:textId="77777777" w:rsidR="00C1247C" w:rsidRPr="004800B2" w:rsidRDefault="00C1247C" w:rsidP="00C1247C">
            <w:pPr>
              <w:spacing w:line="360" w:lineRule="auto"/>
              <w:jc w:val="both"/>
              <w:rPr>
                <w:rFonts w:ascii="Arial" w:hAnsi="Arial" w:cs="Arial"/>
              </w:rPr>
            </w:pPr>
            <w:r w:rsidRPr="004800B2">
              <w:rPr>
                <w:rFonts w:ascii="Arial" w:hAnsi="Arial" w:cs="Arial"/>
              </w:rPr>
              <w:t>Omnichannel engagement and circular economy</w:t>
            </w:r>
          </w:p>
        </w:tc>
      </w:tr>
      <w:tr w:rsidR="00C1247C" w:rsidRPr="00C1247C" w14:paraId="3A3EC98C" w14:textId="77777777" w:rsidTr="00C1247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88BC49" w14:textId="77777777" w:rsidR="00C1247C" w:rsidRPr="00C1247C" w:rsidRDefault="00C1247C" w:rsidP="00C1247C">
            <w:pPr>
              <w:spacing w:line="360" w:lineRule="auto"/>
              <w:jc w:val="both"/>
              <w:rPr>
                <w:rFonts w:ascii="Arial" w:hAnsi="Arial" w:cs="Arial"/>
                <w:b/>
                <w:bCs/>
              </w:rPr>
            </w:pPr>
            <w:r w:rsidRPr="00C1247C">
              <w:rPr>
                <w:rFonts w:ascii="Arial" w:hAnsi="Arial" w:cs="Arial"/>
                <w:b/>
                <w:bCs/>
              </w:rPr>
              <w:t>Promotion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AABF52A" w14:textId="77777777" w:rsidR="00C1247C" w:rsidRPr="004800B2" w:rsidRDefault="00C1247C" w:rsidP="00C1247C">
            <w:pPr>
              <w:spacing w:line="360" w:lineRule="auto"/>
              <w:jc w:val="both"/>
              <w:rPr>
                <w:rFonts w:ascii="Arial" w:hAnsi="Arial" w:cs="Arial"/>
              </w:rPr>
            </w:pPr>
            <w:r w:rsidRPr="004800B2">
              <w:rPr>
                <w:rFonts w:ascii="Arial" w:hAnsi="Arial" w:cs="Arial"/>
              </w:rPr>
              <w:t>Purpose-driven storytelling with influencer marketing, digital rewards, and eco-partnerships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93263" w14:textId="77777777" w:rsidR="00C1247C" w:rsidRPr="004800B2" w:rsidRDefault="00C1247C" w:rsidP="00C1247C">
            <w:pPr>
              <w:spacing w:line="360" w:lineRule="auto"/>
              <w:jc w:val="both"/>
              <w:rPr>
                <w:rFonts w:ascii="Arial" w:hAnsi="Arial" w:cs="Arial"/>
              </w:rPr>
            </w:pPr>
            <w:r w:rsidRPr="004800B2">
              <w:rPr>
                <w:rFonts w:ascii="Arial" w:hAnsi="Arial" w:cs="Arial"/>
              </w:rPr>
              <w:t>Eco-emotional and value-based branding</w:t>
            </w:r>
          </w:p>
        </w:tc>
      </w:tr>
    </w:tbl>
    <w:p w14:paraId="76648B13" w14:textId="77777777" w:rsidR="00C1247C" w:rsidRDefault="00C1247C" w:rsidP="008327D8">
      <w:pPr>
        <w:spacing w:line="360" w:lineRule="auto"/>
        <w:jc w:val="both"/>
        <w:rPr>
          <w:rFonts w:ascii="Arial" w:hAnsi="Arial" w:cs="Arial"/>
          <w:b/>
          <w:bCs/>
        </w:rPr>
      </w:pPr>
    </w:p>
    <w:p w14:paraId="6ABA1025" w14:textId="09D2E917" w:rsidR="00C1247C" w:rsidRPr="00C1247C" w:rsidRDefault="005622FB" w:rsidP="00C1247C">
      <w:pPr>
        <w:spacing w:line="360" w:lineRule="auto"/>
        <w:jc w:val="both"/>
        <w:rPr>
          <w:rFonts w:ascii="Arial" w:hAnsi="Arial" w:cs="Arial"/>
        </w:rPr>
      </w:pPr>
      <w:r w:rsidRPr="005622FB">
        <w:rPr>
          <w:rFonts w:ascii="Arial" w:hAnsi="Arial" w:cs="Arial"/>
        </w:rPr>
        <w:t xml:space="preserve">Graph 1 shows the 4Ps strategy positioning </w:t>
      </w:r>
      <w:proofErr w:type="spellStart"/>
      <w:r w:rsidRPr="005622FB">
        <w:rPr>
          <w:rFonts w:ascii="Arial" w:hAnsi="Arial" w:cs="Arial"/>
        </w:rPr>
        <w:t>VitaFizz</w:t>
      </w:r>
      <w:proofErr w:type="spellEnd"/>
      <w:r w:rsidRPr="005622FB">
        <w:rPr>
          <w:rFonts w:ascii="Arial" w:hAnsi="Arial" w:cs="Arial"/>
        </w:rPr>
        <w:t xml:space="preserve"> as a “sustainable energy lifestyle brand” and not just a drink. Every element reinforces the brand promise of refreshment with responsibility, ensuring consumer values align with the sustainability vision of Coca-Cola</w:t>
      </w:r>
      <w:r w:rsidR="00C1247C" w:rsidRPr="00C1247C">
        <w:rPr>
          <w:rFonts w:ascii="Arial" w:hAnsi="Arial" w:cs="Arial"/>
        </w:rPr>
        <w:t>.</w:t>
      </w:r>
    </w:p>
    <w:p w14:paraId="2D17A6E3" w14:textId="77777777" w:rsidR="00C1247C" w:rsidRPr="00C1247C" w:rsidRDefault="00C1247C" w:rsidP="008327D8">
      <w:pPr>
        <w:spacing w:line="360" w:lineRule="auto"/>
        <w:jc w:val="both"/>
        <w:rPr>
          <w:rFonts w:ascii="Arial" w:hAnsi="Arial" w:cs="Arial"/>
        </w:rPr>
      </w:pPr>
    </w:p>
    <w:p w14:paraId="24B17AD9" w14:textId="77777777" w:rsidR="00C1247C" w:rsidRDefault="00C1247C" w:rsidP="008327D8">
      <w:pPr>
        <w:spacing w:line="360" w:lineRule="auto"/>
        <w:jc w:val="both"/>
        <w:rPr>
          <w:rFonts w:ascii="Arial" w:hAnsi="Arial" w:cs="Arial"/>
          <w:b/>
          <w:bCs/>
        </w:rPr>
      </w:pPr>
    </w:p>
    <w:p w14:paraId="12B00BC8" w14:textId="77777777" w:rsidR="00C1247C" w:rsidRDefault="00C1247C" w:rsidP="008327D8">
      <w:pPr>
        <w:spacing w:line="360" w:lineRule="auto"/>
        <w:jc w:val="both"/>
        <w:rPr>
          <w:rFonts w:ascii="Arial" w:hAnsi="Arial" w:cs="Arial"/>
          <w:b/>
          <w:bCs/>
        </w:rPr>
      </w:pPr>
    </w:p>
    <w:p w14:paraId="286C4949" w14:textId="77777777" w:rsidR="00C1247C" w:rsidRDefault="00C1247C" w:rsidP="008327D8">
      <w:pPr>
        <w:spacing w:line="360" w:lineRule="auto"/>
        <w:jc w:val="both"/>
        <w:rPr>
          <w:rFonts w:ascii="Arial" w:hAnsi="Arial" w:cs="Arial"/>
          <w:b/>
          <w:bCs/>
        </w:rPr>
      </w:pPr>
    </w:p>
    <w:p w14:paraId="1C1082DC" w14:textId="77777777" w:rsidR="00C1247C" w:rsidRDefault="00C1247C" w:rsidP="008327D8">
      <w:pPr>
        <w:spacing w:line="360" w:lineRule="auto"/>
        <w:jc w:val="both"/>
        <w:rPr>
          <w:rFonts w:ascii="Arial" w:hAnsi="Arial" w:cs="Arial"/>
          <w:b/>
          <w:bCs/>
        </w:rPr>
      </w:pPr>
    </w:p>
    <w:p w14:paraId="63EAF29E" w14:textId="77777777" w:rsidR="00C1247C" w:rsidRDefault="00C1247C" w:rsidP="008327D8">
      <w:pPr>
        <w:spacing w:line="360" w:lineRule="auto"/>
        <w:jc w:val="both"/>
        <w:rPr>
          <w:rFonts w:ascii="Arial" w:hAnsi="Arial" w:cs="Arial"/>
          <w:b/>
          <w:bCs/>
        </w:rPr>
      </w:pPr>
    </w:p>
    <w:p w14:paraId="0E415926" w14:textId="77777777" w:rsidR="004800B2" w:rsidRDefault="004800B2" w:rsidP="008327D8">
      <w:pPr>
        <w:spacing w:line="360" w:lineRule="auto"/>
        <w:jc w:val="both"/>
        <w:rPr>
          <w:rFonts w:ascii="Arial" w:hAnsi="Arial" w:cs="Arial"/>
          <w:b/>
          <w:bCs/>
        </w:rPr>
      </w:pPr>
    </w:p>
    <w:p w14:paraId="3B49DC61" w14:textId="477929B1" w:rsidR="003E032A" w:rsidRPr="003E032A" w:rsidRDefault="003E032A" w:rsidP="008327D8">
      <w:pPr>
        <w:spacing w:line="360" w:lineRule="auto"/>
        <w:jc w:val="both"/>
        <w:rPr>
          <w:rFonts w:ascii="Arial" w:hAnsi="Arial" w:cs="Arial"/>
          <w:b/>
          <w:bCs/>
        </w:rPr>
      </w:pPr>
      <w:r w:rsidRPr="003E032A">
        <w:rPr>
          <w:rFonts w:ascii="Arial" w:hAnsi="Arial" w:cs="Arial"/>
          <w:b/>
          <w:bCs/>
        </w:rPr>
        <w:lastRenderedPageBreak/>
        <w:t>Figure 1: “VITAFIZZ energizes your body and sustains your planet”</w:t>
      </w:r>
    </w:p>
    <w:p w14:paraId="5EA63927" w14:textId="6BF15B86" w:rsidR="003E032A" w:rsidRPr="003E032A" w:rsidRDefault="009968FD" w:rsidP="008327D8">
      <w:pPr>
        <w:spacing w:line="360" w:lineRule="auto"/>
        <w:jc w:val="both"/>
        <w:rPr>
          <w:rFonts w:ascii="Arial" w:hAnsi="Arial" w:cs="Arial"/>
        </w:rPr>
      </w:pPr>
      <w:r>
        <w:rPr>
          <w:noProof/>
        </w:rPr>
        <w:drawing>
          <wp:inline distT="0" distB="0" distL="0" distR="0" wp14:anchorId="182D9654" wp14:editId="04076554">
            <wp:extent cx="5572125" cy="6057278"/>
            <wp:effectExtent l="0" t="0" r="0" b="635"/>
            <wp:docPr id="320303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7163" cy="6106237"/>
                    </a:xfrm>
                    <a:prstGeom prst="rect">
                      <a:avLst/>
                    </a:prstGeom>
                    <a:noFill/>
                    <a:ln>
                      <a:noFill/>
                    </a:ln>
                  </pic:spPr>
                </pic:pic>
              </a:graphicData>
            </a:graphic>
          </wp:inline>
        </w:drawing>
      </w:r>
    </w:p>
    <w:p w14:paraId="6B14BD1D" w14:textId="1EFB5CC1" w:rsidR="003E032A" w:rsidRPr="003E032A" w:rsidRDefault="005622FB" w:rsidP="008327D8">
      <w:pPr>
        <w:spacing w:line="360" w:lineRule="auto"/>
        <w:jc w:val="both"/>
        <w:rPr>
          <w:rFonts w:ascii="Arial" w:hAnsi="Arial" w:cs="Arial"/>
        </w:rPr>
      </w:pPr>
      <w:r w:rsidRPr="005622FB">
        <w:rPr>
          <w:rFonts w:ascii="Arial" w:hAnsi="Arial" w:cs="Arial"/>
        </w:rPr>
        <w:t xml:space="preserve">Figure 1: The line of products by Coca-Cola, Vita Fizz, includes three variants: Berry Medley, Orange Spark, and Açaí Fusion. The final design for cans represents the brand's twin focus on health and sustainability through the use of recyclable </w:t>
      </w:r>
      <w:proofErr w:type="spellStart"/>
      <w:r w:rsidRPr="005622FB">
        <w:rPr>
          <w:rFonts w:ascii="Arial" w:hAnsi="Arial" w:cs="Arial"/>
        </w:rPr>
        <w:t>aluminum</w:t>
      </w:r>
      <w:proofErr w:type="spellEnd"/>
      <w:r w:rsidRPr="005622FB">
        <w:rPr>
          <w:rFonts w:ascii="Arial" w:hAnsi="Arial" w:cs="Arial"/>
        </w:rPr>
        <w:t xml:space="preserve"> cans, eco-label certification, and QR codes for transparency. Each can </w:t>
      </w:r>
      <w:proofErr w:type="gramStart"/>
      <w:r w:rsidRPr="005622FB">
        <w:rPr>
          <w:rFonts w:ascii="Arial" w:hAnsi="Arial" w:cs="Arial"/>
        </w:rPr>
        <w:t>communicates</w:t>
      </w:r>
      <w:proofErr w:type="gramEnd"/>
      <w:r w:rsidRPr="005622FB">
        <w:rPr>
          <w:rFonts w:ascii="Arial" w:hAnsi="Arial" w:cs="Arial"/>
        </w:rPr>
        <w:t xml:space="preserve"> the presence of real fruit extracts, vitamin complexes (B6, C, E), and natural caffeine, thereby communicating the health-oriented, hybrid beverage trend as expressed by Gupta &amp; Jain, 2025. Clean, eco-themed layout and green typography culminate in </w:t>
      </w:r>
      <w:r w:rsidRPr="005622FB">
        <w:rPr>
          <w:rFonts w:ascii="Arial" w:hAnsi="Arial" w:cs="Arial"/>
        </w:rPr>
        <w:lastRenderedPageBreak/>
        <w:t xml:space="preserve">communicating energy with environmental responsibility to support Coca-Cola's goals about sustainability, as shown by </w:t>
      </w:r>
      <w:r w:rsidR="003E032A" w:rsidRPr="003E032A">
        <w:rPr>
          <w:rFonts w:ascii="Arial" w:hAnsi="Arial" w:cs="Arial"/>
        </w:rPr>
        <w:t>(Coca-Cola HBC, 2024).</w:t>
      </w:r>
    </w:p>
    <w:p w14:paraId="6DF3FB37" w14:textId="77777777" w:rsidR="00304D2E" w:rsidRPr="00304D2E" w:rsidRDefault="00421F8C" w:rsidP="00304D2E">
      <w:pPr>
        <w:spacing w:line="360" w:lineRule="auto"/>
        <w:jc w:val="both"/>
        <w:rPr>
          <w:rFonts w:ascii="Arial" w:hAnsi="Arial" w:cs="Arial"/>
          <w:b/>
          <w:bCs/>
          <w:i/>
          <w:iCs/>
        </w:rPr>
      </w:pPr>
      <w:r w:rsidRPr="00421F8C">
        <w:rPr>
          <w:rFonts w:ascii="Arial" w:hAnsi="Arial" w:cs="Arial"/>
          <w:b/>
          <w:bCs/>
        </w:rPr>
        <w:t>Element 3: Marketing Strategy Pitch</w:t>
      </w:r>
      <w:r w:rsidR="00304D2E">
        <w:rPr>
          <w:rFonts w:ascii="Arial" w:hAnsi="Arial" w:cs="Arial"/>
          <w:b/>
          <w:bCs/>
        </w:rPr>
        <w:t xml:space="preserve"> </w:t>
      </w:r>
      <w:r w:rsidR="00304D2E" w:rsidRPr="00304D2E">
        <w:rPr>
          <w:rFonts w:ascii="Arial" w:hAnsi="Arial" w:cs="Arial"/>
          <w:b/>
          <w:bCs/>
          <w:i/>
          <w:iCs/>
        </w:rPr>
        <w:t>(Refer to APPENDIX 1)</w:t>
      </w:r>
    </w:p>
    <w:p w14:paraId="5A721461" w14:textId="4E012CB3" w:rsidR="005622FB" w:rsidRPr="005622FB" w:rsidRDefault="00421F8C" w:rsidP="005622FB">
      <w:pPr>
        <w:spacing w:line="360" w:lineRule="auto"/>
        <w:rPr>
          <w:rFonts w:ascii="Arial" w:hAnsi="Arial" w:cs="Arial"/>
        </w:rPr>
      </w:pPr>
      <w:r w:rsidRPr="00421F8C">
        <w:rPr>
          <w:rFonts w:ascii="Arial" w:hAnsi="Arial" w:cs="Arial"/>
          <w:b/>
          <w:bCs/>
        </w:rPr>
        <w:t>Strategic</w:t>
      </w:r>
      <w:r w:rsidR="008327D8">
        <w:rPr>
          <w:rFonts w:ascii="Arial" w:hAnsi="Arial" w:cs="Arial"/>
          <w:b/>
          <w:bCs/>
        </w:rPr>
        <w:t xml:space="preserve"> </w:t>
      </w:r>
      <w:r w:rsidRPr="00421F8C">
        <w:rPr>
          <w:rFonts w:ascii="Arial" w:hAnsi="Arial" w:cs="Arial"/>
          <w:b/>
          <w:bCs/>
        </w:rPr>
        <w:t>Vision:</w:t>
      </w:r>
    </w:p>
    <w:p w14:paraId="6584BEFA" w14:textId="77777777" w:rsidR="005622FB" w:rsidRPr="005622FB" w:rsidRDefault="005622FB" w:rsidP="005622FB">
      <w:pPr>
        <w:spacing w:line="360" w:lineRule="auto"/>
        <w:rPr>
          <w:rFonts w:ascii="Arial" w:hAnsi="Arial" w:cs="Arial"/>
        </w:rPr>
      </w:pPr>
      <w:proofErr w:type="spellStart"/>
      <w:r w:rsidRPr="005622FB">
        <w:rPr>
          <w:rFonts w:ascii="Arial" w:hAnsi="Arial" w:cs="Arial"/>
        </w:rPr>
        <w:t>VitaFizz</w:t>
      </w:r>
      <w:proofErr w:type="spellEnd"/>
      <w:r w:rsidRPr="005622FB">
        <w:rPr>
          <w:rFonts w:ascii="Arial" w:hAnsi="Arial" w:cs="Arial"/>
        </w:rPr>
        <w:t xml:space="preserve"> aspires to become the #1 sustainable energy beverage within three years by capturing the intersection of wellness, taste, and eco-conscious innovation.</w:t>
      </w:r>
    </w:p>
    <w:p w14:paraId="309F72AF" w14:textId="77777777" w:rsidR="005622FB" w:rsidRPr="005622FB" w:rsidRDefault="005622FB" w:rsidP="005622FB">
      <w:pPr>
        <w:spacing w:line="360" w:lineRule="auto"/>
        <w:rPr>
          <w:rFonts w:ascii="Arial" w:hAnsi="Arial" w:cs="Arial"/>
          <w:b/>
          <w:bCs/>
        </w:rPr>
      </w:pPr>
      <w:r w:rsidRPr="005622FB">
        <w:rPr>
          <w:rFonts w:ascii="Arial" w:hAnsi="Arial" w:cs="Arial"/>
          <w:b/>
          <w:bCs/>
        </w:rPr>
        <w:t>Objectives:</w:t>
      </w:r>
    </w:p>
    <w:p w14:paraId="6FFF72B2" w14:textId="77777777" w:rsidR="005622FB" w:rsidRPr="005622FB" w:rsidRDefault="005622FB" w:rsidP="005622FB">
      <w:pPr>
        <w:spacing w:line="360" w:lineRule="auto"/>
        <w:rPr>
          <w:rFonts w:ascii="Arial" w:hAnsi="Arial" w:cs="Arial"/>
        </w:rPr>
      </w:pPr>
      <w:r w:rsidRPr="005622FB">
        <w:rPr>
          <w:rFonts w:ascii="Arial" w:hAnsi="Arial" w:cs="Arial"/>
        </w:rPr>
        <w:t>• Achieve 8% market share in the UK functional beverage category by 2027.</w:t>
      </w:r>
    </w:p>
    <w:p w14:paraId="35E00FAD" w14:textId="77777777" w:rsidR="005622FB" w:rsidRPr="005622FB" w:rsidRDefault="005622FB" w:rsidP="005622FB">
      <w:pPr>
        <w:spacing w:line="360" w:lineRule="auto"/>
        <w:rPr>
          <w:rFonts w:ascii="Arial" w:hAnsi="Arial" w:cs="Arial"/>
        </w:rPr>
      </w:pPr>
      <w:r w:rsidRPr="005622FB">
        <w:rPr>
          <w:rFonts w:ascii="Arial" w:hAnsi="Arial" w:cs="Arial"/>
        </w:rPr>
        <w:t>• Reduce packaging-related carbon emissions by 30% through refill and recycling programs.</w:t>
      </w:r>
    </w:p>
    <w:p w14:paraId="6FC620CF" w14:textId="77777777" w:rsidR="005622FB" w:rsidRPr="005622FB" w:rsidRDefault="005622FB" w:rsidP="005622FB">
      <w:pPr>
        <w:spacing w:line="360" w:lineRule="auto"/>
        <w:rPr>
          <w:rFonts w:ascii="Arial" w:hAnsi="Arial" w:cs="Arial"/>
        </w:rPr>
      </w:pPr>
      <w:r w:rsidRPr="005622FB">
        <w:rPr>
          <w:rFonts w:ascii="Arial" w:hAnsi="Arial" w:cs="Arial"/>
        </w:rPr>
        <w:t>• Establish a digital loyalty ecosystem that rewards sustainable consumption.</w:t>
      </w:r>
    </w:p>
    <w:p w14:paraId="1EE5918C" w14:textId="77777777" w:rsidR="005622FB" w:rsidRPr="005622FB" w:rsidRDefault="005622FB" w:rsidP="005622FB">
      <w:pPr>
        <w:spacing w:line="360" w:lineRule="auto"/>
        <w:rPr>
          <w:rFonts w:ascii="Arial" w:hAnsi="Arial" w:cs="Arial"/>
          <w:b/>
          <w:bCs/>
        </w:rPr>
      </w:pPr>
      <w:r w:rsidRPr="005622FB">
        <w:rPr>
          <w:rFonts w:ascii="Arial" w:hAnsi="Arial" w:cs="Arial"/>
          <w:b/>
          <w:bCs/>
        </w:rPr>
        <w:t>Key Strategy Pillars:</w:t>
      </w:r>
    </w:p>
    <w:p w14:paraId="680D7482" w14:textId="77777777" w:rsidR="005622FB" w:rsidRPr="005622FB" w:rsidRDefault="005622FB" w:rsidP="005622FB">
      <w:pPr>
        <w:spacing w:line="360" w:lineRule="auto"/>
        <w:rPr>
          <w:rFonts w:ascii="Arial" w:hAnsi="Arial" w:cs="Arial"/>
        </w:rPr>
      </w:pPr>
      <w:r w:rsidRPr="005622FB">
        <w:rPr>
          <w:rFonts w:ascii="Arial" w:hAnsi="Arial" w:cs="Arial"/>
          <w:b/>
          <w:bCs/>
        </w:rPr>
        <w:t>1. Innovation Leadership:</w:t>
      </w:r>
      <w:r w:rsidRPr="005622FB">
        <w:rPr>
          <w:rFonts w:ascii="Arial" w:hAnsi="Arial" w:cs="Arial"/>
        </w:rPr>
        <w:t xml:space="preserve"> Invest in R&amp;D in natural ingredients and recyclable design.</w:t>
      </w:r>
    </w:p>
    <w:p w14:paraId="673B9875" w14:textId="77777777" w:rsidR="005622FB" w:rsidRPr="005622FB" w:rsidRDefault="005622FB" w:rsidP="005622FB">
      <w:pPr>
        <w:spacing w:line="360" w:lineRule="auto"/>
        <w:rPr>
          <w:rFonts w:ascii="Arial" w:hAnsi="Arial" w:cs="Arial"/>
        </w:rPr>
      </w:pPr>
      <w:r w:rsidRPr="005622FB">
        <w:rPr>
          <w:rFonts w:ascii="Arial" w:hAnsi="Arial" w:cs="Arial"/>
          <w:b/>
          <w:bCs/>
        </w:rPr>
        <w:t>2. Community Engagement:</w:t>
      </w:r>
      <w:r w:rsidRPr="005622FB">
        <w:rPr>
          <w:rFonts w:ascii="Arial" w:hAnsi="Arial" w:cs="Arial"/>
        </w:rPr>
        <w:t xml:space="preserve"> Create a “#</w:t>
      </w:r>
      <w:proofErr w:type="spellStart"/>
      <w:r w:rsidRPr="005622FB">
        <w:rPr>
          <w:rFonts w:ascii="Arial" w:hAnsi="Arial" w:cs="Arial"/>
        </w:rPr>
        <w:t>VitaFizzMovement</w:t>
      </w:r>
      <w:proofErr w:type="spellEnd"/>
      <w:r w:rsidRPr="005622FB">
        <w:rPr>
          <w:rFonts w:ascii="Arial" w:hAnsi="Arial" w:cs="Arial"/>
        </w:rPr>
        <w:t>” around collective eco-action.</w:t>
      </w:r>
    </w:p>
    <w:p w14:paraId="7454BCA8" w14:textId="77777777" w:rsidR="005622FB" w:rsidRPr="005622FB" w:rsidRDefault="005622FB" w:rsidP="005622FB">
      <w:pPr>
        <w:spacing w:line="360" w:lineRule="auto"/>
        <w:rPr>
          <w:rFonts w:ascii="Arial" w:hAnsi="Arial" w:cs="Arial"/>
        </w:rPr>
      </w:pPr>
      <w:r w:rsidRPr="005622FB">
        <w:rPr>
          <w:rFonts w:ascii="Arial" w:hAnsi="Arial" w:cs="Arial"/>
          <w:b/>
          <w:bCs/>
        </w:rPr>
        <w:t>3. Sustainable Partnerships:</w:t>
      </w:r>
      <w:r w:rsidRPr="005622FB">
        <w:rPr>
          <w:rFonts w:ascii="Arial" w:hAnsi="Arial" w:cs="Arial"/>
        </w:rPr>
        <w:t xml:space="preserve"> Partner with local recycling networks and health influencers.</w:t>
      </w:r>
    </w:p>
    <w:p w14:paraId="71D67868" w14:textId="77777777" w:rsidR="005622FB" w:rsidRPr="005622FB" w:rsidRDefault="005622FB" w:rsidP="005622FB">
      <w:pPr>
        <w:spacing w:line="360" w:lineRule="auto"/>
        <w:rPr>
          <w:rFonts w:ascii="Arial" w:hAnsi="Arial" w:cs="Arial"/>
          <w:b/>
          <w:bCs/>
        </w:rPr>
      </w:pPr>
      <w:r w:rsidRPr="005622FB">
        <w:rPr>
          <w:rFonts w:ascii="Arial" w:hAnsi="Arial" w:cs="Arial"/>
          <w:b/>
          <w:bCs/>
        </w:rPr>
        <w:t>Brand Promise:</w:t>
      </w:r>
    </w:p>
    <w:p w14:paraId="724C02A8" w14:textId="4BD625E4" w:rsidR="008327D8" w:rsidRDefault="005622FB" w:rsidP="005622FB">
      <w:pPr>
        <w:spacing w:line="360" w:lineRule="auto"/>
        <w:rPr>
          <w:rFonts w:ascii="Arial" w:hAnsi="Arial" w:cs="Arial"/>
        </w:rPr>
      </w:pPr>
      <w:r w:rsidRPr="005622FB">
        <w:rPr>
          <w:rFonts w:ascii="Arial" w:hAnsi="Arial" w:cs="Arial"/>
        </w:rPr>
        <w:t>“</w:t>
      </w:r>
      <w:proofErr w:type="spellStart"/>
      <w:r w:rsidRPr="005622FB">
        <w:rPr>
          <w:rFonts w:ascii="Arial" w:hAnsi="Arial" w:cs="Arial"/>
        </w:rPr>
        <w:t>VitaFizz</w:t>
      </w:r>
      <w:proofErr w:type="spellEnd"/>
      <w:r w:rsidRPr="005622FB">
        <w:rPr>
          <w:rFonts w:ascii="Arial" w:hAnsi="Arial" w:cs="Arial"/>
        </w:rPr>
        <w:t xml:space="preserve"> energizes your body and sustains your planet.”</w:t>
      </w:r>
    </w:p>
    <w:p w14:paraId="7A374CA5" w14:textId="77777777" w:rsidR="008327D8" w:rsidRDefault="008327D8" w:rsidP="008327D8">
      <w:pPr>
        <w:spacing w:line="360" w:lineRule="auto"/>
        <w:jc w:val="both"/>
        <w:rPr>
          <w:rFonts w:ascii="Arial" w:hAnsi="Arial" w:cs="Arial"/>
        </w:rPr>
      </w:pPr>
    </w:p>
    <w:p w14:paraId="0F1D2D6E" w14:textId="77777777" w:rsidR="008327D8" w:rsidRDefault="008327D8" w:rsidP="008327D8">
      <w:pPr>
        <w:spacing w:line="360" w:lineRule="auto"/>
        <w:jc w:val="both"/>
        <w:rPr>
          <w:rFonts w:ascii="Arial" w:hAnsi="Arial" w:cs="Arial"/>
        </w:rPr>
      </w:pPr>
    </w:p>
    <w:p w14:paraId="44012BCD" w14:textId="77777777" w:rsidR="008327D8" w:rsidRDefault="008327D8" w:rsidP="008327D8">
      <w:pPr>
        <w:spacing w:line="360" w:lineRule="auto"/>
        <w:jc w:val="both"/>
        <w:rPr>
          <w:rFonts w:ascii="Arial" w:hAnsi="Arial" w:cs="Arial"/>
        </w:rPr>
      </w:pPr>
    </w:p>
    <w:p w14:paraId="1963A7E8" w14:textId="77777777" w:rsidR="00EA2BEE" w:rsidRDefault="00EA2BEE" w:rsidP="005622FB">
      <w:pPr>
        <w:spacing w:line="360" w:lineRule="auto"/>
        <w:jc w:val="both"/>
        <w:rPr>
          <w:rFonts w:ascii="Arial" w:hAnsi="Arial" w:cs="Arial"/>
        </w:rPr>
      </w:pPr>
    </w:p>
    <w:p w14:paraId="3AB35119" w14:textId="77777777" w:rsidR="00EA2BEE" w:rsidRDefault="00EA2BEE" w:rsidP="005622FB">
      <w:pPr>
        <w:spacing w:line="360" w:lineRule="auto"/>
        <w:jc w:val="both"/>
        <w:rPr>
          <w:rFonts w:ascii="Arial" w:hAnsi="Arial" w:cs="Arial"/>
          <w:b/>
          <w:bCs/>
        </w:rPr>
      </w:pPr>
    </w:p>
    <w:p w14:paraId="28B2C32E" w14:textId="77777777" w:rsidR="00EA2BEE" w:rsidRDefault="00EA2BEE" w:rsidP="005622FB">
      <w:pPr>
        <w:spacing w:line="360" w:lineRule="auto"/>
        <w:jc w:val="both"/>
        <w:rPr>
          <w:rFonts w:ascii="Arial" w:hAnsi="Arial" w:cs="Arial"/>
          <w:b/>
          <w:bCs/>
        </w:rPr>
      </w:pPr>
    </w:p>
    <w:p w14:paraId="58401854" w14:textId="26DA887C" w:rsidR="00EA2BEE" w:rsidRDefault="00421F8C" w:rsidP="005622FB">
      <w:pPr>
        <w:spacing w:line="360" w:lineRule="auto"/>
        <w:jc w:val="both"/>
        <w:rPr>
          <w:rFonts w:ascii="Arial" w:hAnsi="Arial" w:cs="Arial"/>
          <w:b/>
          <w:bCs/>
        </w:rPr>
      </w:pPr>
      <w:r w:rsidRPr="00421F8C">
        <w:rPr>
          <w:rFonts w:ascii="Arial" w:hAnsi="Arial" w:cs="Arial"/>
          <w:b/>
          <w:bCs/>
        </w:rPr>
        <w:lastRenderedPageBreak/>
        <w:t>Element 4: Reflection</w:t>
      </w:r>
    </w:p>
    <w:p w14:paraId="24C5CF8C" w14:textId="0548E32E" w:rsidR="005622FB" w:rsidRPr="00EA2BEE" w:rsidRDefault="005622FB" w:rsidP="005622FB">
      <w:pPr>
        <w:spacing w:line="360" w:lineRule="auto"/>
        <w:jc w:val="both"/>
        <w:rPr>
          <w:rFonts w:ascii="Arial" w:hAnsi="Arial" w:cs="Arial"/>
          <w:b/>
          <w:bCs/>
        </w:rPr>
      </w:pPr>
      <w:r w:rsidRPr="005622FB">
        <w:rPr>
          <w:rFonts w:ascii="Arial" w:hAnsi="Arial" w:cs="Arial"/>
        </w:rPr>
        <w:t xml:space="preserve">The process of developing the </w:t>
      </w:r>
      <w:proofErr w:type="spellStart"/>
      <w:r w:rsidRPr="005622FB">
        <w:rPr>
          <w:rFonts w:ascii="Arial" w:hAnsi="Arial" w:cs="Arial"/>
        </w:rPr>
        <w:t>VitaFizz</w:t>
      </w:r>
      <w:proofErr w:type="spellEnd"/>
      <w:r w:rsidRPr="005622FB">
        <w:rPr>
          <w:rFonts w:ascii="Arial" w:hAnsi="Arial" w:cs="Arial"/>
        </w:rPr>
        <w:t xml:space="preserve"> concept reinforced the message that product innovation today needs to sit at the nexus of consumer health expectations and credible sustainability action. Indeed, recent evidence suggests consumers are moving fast from considering sustainability as a 'nice to have' to making it a necessity; brands making transparent, verifiable claims are gaining competitive advantage while those with weak or performative messaging face distrust. (Harvard Business Review, 2023) In the case of </w:t>
      </w:r>
      <w:proofErr w:type="spellStart"/>
      <w:r w:rsidRPr="005622FB">
        <w:rPr>
          <w:rFonts w:ascii="Arial" w:hAnsi="Arial" w:cs="Arial"/>
        </w:rPr>
        <w:t>VitaFizz</w:t>
      </w:r>
      <w:proofErr w:type="spellEnd"/>
      <w:r w:rsidRPr="005622FB">
        <w:rPr>
          <w:rFonts w:ascii="Arial" w:hAnsi="Arial" w:cs="Arial"/>
        </w:rPr>
        <w:t>, therefore, this means embedding into the product launch and communication plan measurable targets around sustainability-for instance, the percentage of recycled content and the rate of refill uptakes-so that any claims made are defensible and able to be tracked.</w:t>
      </w:r>
    </w:p>
    <w:p w14:paraId="356172BE" w14:textId="77777777" w:rsidR="005622FB" w:rsidRDefault="005622FB" w:rsidP="005622FB">
      <w:pPr>
        <w:spacing w:line="360" w:lineRule="auto"/>
        <w:jc w:val="both"/>
        <w:rPr>
          <w:rFonts w:ascii="Arial" w:hAnsi="Arial" w:cs="Arial"/>
        </w:rPr>
      </w:pPr>
      <w:r w:rsidRPr="005622FB">
        <w:rPr>
          <w:rFonts w:ascii="Arial" w:hAnsi="Arial" w:cs="Arial"/>
        </w:rPr>
        <w:t>From a consumer-</w:t>
      </w:r>
      <w:proofErr w:type="spellStart"/>
      <w:r w:rsidRPr="005622FB">
        <w:rPr>
          <w:rFonts w:ascii="Arial" w:hAnsi="Arial" w:cs="Arial"/>
        </w:rPr>
        <w:t>behavior</w:t>
      </w:r>
      <w:proofErr w:type="spellEnd"/>
      <w:r w:rsidRPr="005622FB">
        <w:rPr>
          <w:rFonts w:ascii="Arial" w:hAnsi="Arial" w:cs="Arial"/>
        </w:rPr>
        <w:t xml:space="preserve"> perspective, the functional beverage category is an opportunity and a risk. For instance, consumers' intentions regarding functional beverages are studied to be driven by the perceived health benefits of the product, ingredient transparency, and the fit between the product's claims and the consumer's own health goals (Kowalska 2024). This would therefore imply that for </w:t>
      </w:r>
      <w:proofErr w:type="spellStart"/>
      <w:r w:rsidRPr="005622FB">
        <w:rPr>
          <w:rFonts w:ascii="Arial" w:hAnsi="Arial" w:cs="Arial"/>
        </w:rPr>
        <w:t>VitaFizz</w:t>
      </w:r>
      <w:proofErr w:type="spellEnd"/>
      <w:r w:rsidRPr="005622FB">
        <w:rPr>
          <w:rFonts w:ascii="Arial" w:hAnsi="Arial" w:cs="Arial"/>
        </w:rPr>
        <w:t>, product communications should emphasize the science behind fortification with vitamins and the usage of natural caffeine, like green coffee extract, while avoiding overstated health claims. Giving accessible content-for example, short explainers on how B-vitamin complexes support energy metabolism-will help convert interest into repeat purchase.</w:t>
      </w:r>
    </w:p>
    <w:p w14:paraId="05AE7D63" w14:textId="77777777" w:rsidR="000C1079" w:rsidRPr="000C1079" w:rsidRDefault="000C1079" w:rsidP="000C1079">
      <w:pPr>
        <w:spacing w:line="360" w:lineRule="auto"/>
        <w:jc w:val="both"/>
        <w:rPr>
          <w:rFonts w:ascii="Arial" w:hAnsi="Arial" w:cs="Arial"/>
        </w:rPr>
      </w:pPr>
      <w:r w:rsidRPr="000C1079">
        <w:rPr>
          <w:rFonts w:ascii="Arial" w:hAnsi="Arial" w:cs="Arial"/>
        </w:rPr>
        <w:t xml:space="preserve">Lifecycle evidence also supports the environmental dimension of </w:t>
      </w:r>
      <w:proofErr w:type="spellStart"/>
      <w:r w:rsidRPr="000C1079">
        <w:rPr>
          <w:rFonts w:ascii="Arial" w:hAnsi="Arial" w:cs="Arial"/>
        </w:rPr>
        <w:t>VitaFizz's</w:t>
      </w:r>
      <w:proofErr w:type="spellEnd"/>
      <w:r w:rsidRPr="000C1079">
        <w:rPr>
          <w:rFonts w:ascii="Arial" w:hAnsi="Arial" w:cs="Arial"/>
        </w:rPr>
        <w:t xml:space="preserve"> design: recycling aluminium significantly reduces energy use and CO</w:t>
      </w:r>
      <w:r w:rsidRPr="000C1079">
        <w:rPr>
          <w:rFonts w:ascii="Cambria Math" w:hAnsi="Cambria Math" w:cs="Cambria Math"/>
        </w:rPr>
        <w:t>₂</w:t>
      </w:r>
      <w:r w:rsidRPr="000C1079">
        <w:rPr>
          <w:rFonts w:ascii="Arial" w:hAnsi="Arial" w:cs="Arial"/>
        </w:rPr>
        <w:t xml:space="preserve"> emissions compared to primary aluminium production, as long as collection and recycling systems work. This has two practical lessons. First, packaging choice-aluminium cans with high recycled content-is a credible sustainability lever; second, Coca-Cola should invest in end-to-end recycling and refill infrastructure-collection points, retailer partnerships, and digital incentives-because packaging benefits only materialize when consumers return or recycle at scale. Marketing should therefore pair product messaging with concrete, localized infrastructure plans so sustainability claims are backed by action.</w:t>
      </w:r>
    </w:p>
    <w:p w14:paraId="64F48A12" w14:textId="77777777" w:rsidR="000C1079" w:rsidRDefault="000C1079" w:rsidP="000C1079">
      <w:pPr>
        <w:spacing w:line="360" w:lineRule="auto"/>
        <w:jc w:val="both"/>
        <w:rPr>
          <w:rFonts w:ascii="Arial" w:hAnsi="Arial" w:cs="Arial"/>
        </w:rPr>
      </w:pPr>
      <w:r w:rsidRPr="000C1079">
        <w:rPr>
          <w:rFonts w:ascii="Arial" w:hAnsi="Arial" w:cs="Arial"/>
        </w:rPr>
        <w:t xml:space="preserve">The selection of ingredients has to be positioned carefully, especially in the case of natural caffeine sources like green coffee extract. According to clinical and review </w:t>
      </w:r>
      <w:r w:rsidRPr="000C1079">
        <w:rPr>
          <w:rFonts w:ascii="Arial" w:hAnsi="Arial" w:cs="Arial"/>
        </w:rPr>
        <w:lastRenderedPageBreak/>
        <w:t xml:space="preserve">literature, green coffee is reported to contain a number of bioactive compounds, specifically chlorogenic acids, whereby extracts from green coffee may have physiological effects that could be measured; these, however, depend on dose and health status of the consumer. </w:t>
      </w:r>
      <w:proofErr w:type="spellStart"/>
      <w:r w:rsidRPr="000C1079">
        <w:rPr>
          <w:rFonts w:ascii="Arial" w:hAnsi="Arial" w:cs="Arial"/>
        </w:rPr>
        <w:t>VitaFizz</w:t>
      </w:r>
      <w:proofErr w:type="spellEnd"/>
      <w:r w:rsidRPr="000C1079">
        <w:rPr>
          <w:rFonts w:ascii="Arial" w:hAnsi="Arial" w:cs="Arial"/>
        </w:rPr>
        <w:t xml:space="preserve"> formulation and on-pack guidance, hence, needs to state caffeine content clearly, recommend daily limits, and provide guidance to sensitive groups. It is an approach that reduces regulatory and reputational risk and builds trust within consumers.</w:t>
      </w:r>
    </w:p>
    <w:p w14:paraId="30A9C316" w14:textId="77777777" w:rsidR="000C1079" w:rsidRPr="000C1079" w:rsidRDefault="000C1079" w:rsidP="000C1079">
      <w:pPr>
        <w:spacing w:line="360" w:lineRule="auto"/>
        <w:jc w:val="both"/>
        <w:rPr>
          <w:rFonts w:ascii="Arial" w:hAnsi="Arial" w:cs="Arial"/>
        </w:rPr>
      </w:pPr>
      <w:r w:rsidRPr="000C1079">
        <w:rPr>
          <w:rFonts w:ascii="Arial" w:hAnsi="Arial" w:cs="Arial"/>
        </w:rPr>
        <w:t xml:space="preserve">Pricing and willingness to pay for sustainable products is nuanced: while many consumers report a willingness to pay a premium for sustainable goods, in reality, the premium varies and is sensitive to macroeconomic conditions (PwC, 2024). For </w:t>
      </w:r>
      <w:proofErr w:type="spellStart"/>
      <w:r w:rsidRPr="000C1079">
        <w:rPr>
          <w:rFonts w:ascii="Arial" w:hAnsi="Arial" w:cs="Arial"/>
        </w:rPr>
        <w:t>VitaFizz</w:t>
      </w:r>
      <w:proofErr w:type="spellEnd"/>
      <w:r w:rsidRPr="000C1079">
        <w:rPr>
          <w:rFonts w:ascii="Arial" w:hAnsi="Arial" w:cs="Arial"/>
        </w:rPr>
        <w:t>, a value-based premium is justified if the product demonstrates tangible benefits (taste, verified nutrient content) and credible sustainability credentials. For wider appeal, a tiered approach is advisable: maintain an entry price point-e.g., promotional pricing or smaller pack sizes-offering subscription or bundle options for value-seeking customers.</w:t>
      </w:r>
    </w:p>
    <w:p w14:paraId="0E0C080C" w14:textId="7800EAB0" w:rsidR="009968FD" w:rsidRPr="009968FD" w:rsidRDefault="000C1079" w:rsidP="000C1079">
      <w:pPr>
        <w:spacing w:line="360" w:lineRule="auto"/>
        <w:jc w:val="both"/>
        <w:rPr>
          <w:rFonts w:ascii="Arial" w:hAnsi="Arial" w:cs="Arial"/>
        </w:rPr>
      </w:pPr>
      <w:r w:rsidRPr="000C1079">
        <w:rPr>
          <w:rFonts w:ascii="Arial" w:hAnsi="Arial" w:cs="Arial"/>
        </w:rPr>
        <w:t xml:space="preserve">Finally, operationalizing </w:t>
      </w:r>
      <w:proofErr w:type="spellStart"/>
      <w:r w:rsidRPr="000C1079">
        <w:rPr>
          <w:rFonts w:ascii="Arial" w:hAnsi="Arial" w:cs="Arial"/>
        </w:rPr>
        <w:t>VitaFizz's</w:t>
      </w:r>
      <w:proofErr w:type="spellEnd"/>
      <w:r w:rsidRPr="000C1079">
        <w:rPr>
          <w:rFonts w:ascii="Arial" w:hAnsi="Arial" w:cs="Arial"/>
        </w:rPr>
        <w:t xml:space="preserve"> promise will need cross-functional metrics that bridge commercial KPIs with those of sustainability. Suggested metrics will include: sales penetration within target channels, repeat purchase rate, % of packaging returned/recycled, and verified reductions in packaging carbon intensity due to increased recycled content. Embedding these metrics into the launch scorecard will let Coca-Cola rapidly iterate, reduce greenwashing risk, and communicate progress transparently — something quite vital as consumption increasingly becomes sensitive to authenticity in sustainability claims (Harvard Business Review, 2023). </w:t>
      </w:r>
    </w:p>
    <w:p w14:paraId="241A5F52" w14:textId="57919E9F" w:rsidR="00421F8C" w:rsidRDefault="00421F8C" w:rsidP="008327D8">
      <w:pPr>
        <w:spacing w:line="360" w:lineRule="auto"/>
        <w:jc w:val="both"/>
        <w:rPr>
          <w:rFonts w:ascii="Arial" w:hAnsi="Arial" w:cs="Arial"/>
        </w:rPr>
      </w:pPr>
    </w:p>
    <w:p w14:paraId="119AE487" w14:textId="77777777" w:rsidR="00547323" w:rsidRDefault="00547323" w:rsidP="008327D8">
      <w:pPr>
        <w:spacing w:line="360" w:lineRule="auto"/>
        <w:jc w:val="both"/>
        <w:rPr>
          <w:rFonts w:ascii="Arial" w:hAnsi="Arial" w:cs="Arial"/>
        </w:rPr>
      </w:pPr>
    </w:p>
    <w:p w14:paraId="729059DB" w14:textId="77777777" w:rsidR="00547323" w:rsidRDefault="00547323" w:rsidP="008327D8">
      <w:pPr>
        <w:spacing w:line="360" w:lineRule="auto"/>
        <w:jc w:val="both"/>
        <w:rPr>
          <w:rFonts w:ascii="Arial" w:hAnsi="Arial" w:cs="Arial"/>
        </w:rPr>
      </w:pPr>
    </w:p>
    <w:p w14:paraId="2F596CA2" w14:textId="77777777" w:rsidR="00547323" w:rsidRDefault="00547323" w:rsidP="008327D8">
      <w:pPr>
        <w:spacing w:line="360" w:lineRule="auto"/>
        <w:jc w:val="both"/>
        <w:rPr>
          <w:rFonts w:ascii="Arial" w:hAnsi="Arial" w:cs="Arial"/>
        </w:rPr>
      </w:pPr>
    </w:p>
    <w:p w14:paraId="3C3113B2" w14:textId="77777777" w:rsidR="00547323" w:rsidRDefault="00547323" w:rsidP="008327D8">
      <w:pPr>
        <w:spacing w:line="360" w:lineRule="auto"/>
        <w:jc w:val="both"/>
        <w:rPr>
          <w:rFonts w:ascii="Arial" w:hAnsi="Arial" w:cs="Arial"/>
        </w:rPr>
      </w:pPr>
    </w:p>
    <w:p w14:paraId="19656748" w14:textId="77777777" w:rsidR="008327D8" w:rsidRDefault="008327D8" w:rsidP="008327D8">
      <w:pPr>
        <w:spacing w:line="360" w:lineRule="auto"/>
        <w:jc w:val="both"/>
        <w:rPr>
          <w:rFonts w:ascii="Arial" w:hAnsi="Arial" w:cs="Arial"/>
        </w:rPr>
      </w:pPr>
    </w:p>
    <w:p w14:paraId="4C574744" w14:textId="77777777" w:rsidR="00BE5ECA" w:rsidRDefault="00BE5ECA" w:rsidP="008327D8">
      <w:pPr>
        <w:spacing w:line="360" w:lineRule="auto"/>
        <w:jc w:val="both"/>
        <w:rPr>
          <w:rFonts w:ascii="Arial" w:hAnsi="Arial" w:cs="Arial"/>
          <w:b/>
          <w:bCs/>
        </w:rPr>
      </w:pPr>
    </w:p>
    <w:p w14:paraId="22C7807E" w14:textId="1647676C" w:rsidR="00421F8C" w:rsidRPr="00421F8C" w:rsidRDefault="00421F8C" w:rsidP="008327D8">
      <w:pPr>
        <w:spacing w:line="360" w:lineRule="auto"/>
        <w:jc w:val="both"/>
        <w:rPr>
          <w:rFonts w:ascii="Arial" w:hAnsi="Arial" w:cs="Arial"/>
          <w:b/>
          <w:bCs/>
        </w:rPr>
      </w:pPr>
      <w:r w:rsidRPr="00421F8C">
        <w:rPr>
          <w:rFonts w:ascii="Arial" w:hAnsi="Arial" w:cs="Arial"/>
          <w:b/>
          <w:bCs/>
        </w:rPr>
        <w:lastRenderedPageBreak/>
        <w:t xml:space="preserve">References </w:t>
      </w:r>
    </w:p>
    <w:p w14:paraId="0147F02A"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Accenture (2024) </w:t>
      </w:r>
      <w:r w:rsidRPr="00E83460">
        <w:rPr>
          <w:rFonts w:ascii="Arial" w:hAnsi="Arial" w:cs="Arial"/>
          <w:i/>
          <w:iCs/>
        </w:rPr>
        <w:t>Purposeful consumption: The next wave of brand growth.</w:t>
      </w:r>
      <w:r w:rsidRPr="00E83460">
        <w:rPr>
          <w:rFonts w:ascii="Arial" w:hAnsi="Arial" w:cs="Arial"/>
        </w:rPr>
        <w:t xml:space="preserve"> Available at: </w:t>
      </w:r>
      <w:hyperlink r:id="rId10" w:tgtFrame="_new" w:history="1">
        <w:r w:rsidRPr="00E83460">
          <w:rPr>
            <w:rStyle w:val="Hyperlink"/>
            <w:rFonts w:ascii="Arial" w:hAnsi="Arial" w:cs="Arial"/>
          </w:rPr>
          <w:t>https://www.accenture.com</w:t>
        </w:r>
      </w:hyperlink>
      <w:r w:rsidRPr="00E83460">
        <w:rPr>
          <w:rFonts w:ascii="Arial" w:hAnsi="Arial" w:cs="Arial"/>
        </w:rPr>
        <w:t xml:space="preserve"> (Accessed: 15 October 2025).</w:t>
      </w:r>
    </w:p>
    <w:p w14:paraId="3FD52AB0" w14:textId="37E25C2D" w:rsidR="00E83460" w:rsidRPr="00E83460" w:rsidRDefault="00E83460" w:rsidP="00E83460">
      <w:pPr>
        <w:spacing w:line="360" w:lineRule="auto"/>
        <w:jc w:val="both"/>
        <w:rPr>
          <w:rFonts w:ascii="Arial" w:hAnsi="Arial" w:cs="Arial"/>
        </w:rPr>
      </w:pPr>
      <w:r w:rsidRPr="00E83460">
        <w:rPr>
          <w:rFonts w:ascii="Arial" w:hAnsi="Arial" w:cs="Arial"/>
        </w:rPr>
        <w:t xml:space="preserve">Al-Alimi, S. (2024) ‘Recycling aluminium for sustainable development’, </w:t>
      </w:r>
      <w:r w:rsidRPr="00E83460">
        <w:rPr>
          <w:rFonts w:ascii="Arial" w:hAnsi="Arial" w:cs="Arial"/>
          <w:i/>
          <w:iCs/>
        </w:rPr>
        <w:t>Resources, Conservation &amp; Recycling</w:t>
      </w:r>
      <w:r w:rsidRPr="00E83460">
        <w:rPr>
          <w:rFonts w:ascii="Arial" w:hAnsi="Arial" w:cs="Arial"/>
        </w:rPr>
        <w:t>, (online</w:t>
      </w:r>
      <w:r w:rsidR="00BE5ECA">
        <w:rPr>
          <w:rFonts w:ascii="Arial" w:hAnsi="Arial" w:cs="Arial"/>
        </w:rPr>
        <w:t xml:space="preserve"> </w:t>
      </w:r>
      <w:r w:rsidRPr="00E83460">
        <w:rPr>
          <w:rFonts w:ascii="Arial" w:hAnsi="Arial" w:cs="Arial"/>
        </w:rPr>
        <w:t xml:space="preserve">Available at: </w:t>
      </w:r>
      <w:hyperlink r:id="rId11" w:tgtFrame="_new" w:history="1">
        <w:r w:rsidRPr="00E83460">
          <w:rPr>
            <w:rStyle w:val="Hyperlink"/>
            <w:rFonts w:ascii="Arial" w:hAnsi="Arial" w:cs="Arial"/>
          </w:rPr>
          <w:t>https://www.sciencedirect.com</w:t>
        </w:r>
      </w:hyperlink>
      <w:r w:rsidRPr="00E83460">
        <w:rPr>
          <w:rFonts w:ascii="Arial" w:hAnsi="Arial" w:cs="Arial"/>
        </w:rPr>
        <w:t xml:space="preserve"> (Accessed: 30 October 2025).</w:t>
      </w:r>
    </w:p>
    <w:p w14:paraId="6FD37AF3"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Anderson, E. &amp; </w:t>
      </w:r>
      <w:proofErr w:type="spellStart"/>
      <w:r w:rsidRPr="00E83460">
        <w:rPr>
          <w:rFonts w:ascii="Arial" w:hAnsi="Arial" w:cs="Arial"/>
        </w:rPr>
        <w:t>Simester</w:t>
      </w:r>
      <w:proofErr w:type="spellEnd"/>
      <w:r w:rsidRPr="00E83460">
        <w:rPr>
          <w:rFonts w:ascii="Arial" w:hAnsi="Arial" w:cs="Arial"/>
        </w:rPr>
        <w:t xml:space="preserve">, D. (2024) ‘Channel differentiation and pricing strategy in consumer goods’, </w:t>
      </w:r>
      <w:r w:rsidRPr="00E83460">
        <w:rPr>
          <w:rFonts w:ascii="Arial" w:hAnsi="Arial" w:cs="Arial"/>
          <w:i/>
          <w:iCs/>
        </w:rPr>
        <w:t>Marketing Science</w:t>
      </w:r>
      <w:r w:rsidRPr="00E83460">
        <w:rPr>
          <w:rFonts w:ascii="Arial" w:hAnsi="Arial" w:cs="Arial"/>
        </w:rPr>
        <w:t>, 43(1), pp. 76–93.</w:t>
      </w:r>
    </w:p>
    <w:p w14:paraId="1F20BFDB" w14:textId="77777777" w:rsidR="00E83460" w:rsidRPr="00E83460" w:rsidRDefault="00E83460" w:rsidP="00E83460">
      <w:pPr>
        <w:spacing w:line="360" w:lineRule="auto"/>
        <w:jc w:val="both"/>
        <w:rPr>
          <w:rFonts w:ascii="Arial" w:hAnsi="Arial" w:cs="Arial"/>
        </w:rPr>
      </w:pPr>
      <w:proofErr w:type="spellStart"/>
      <w:r w:rsidRPr="00E83460">
        <w:rPr>
          <w:rFonts w:ascii="Arial" w:hAnsi="Arial" w:cs="Arial"/>
        </w:rPr>
        <w:t>Bailón</w:t>
      </w:r>
      <w:proofErr w:type="spellEnd"/>
      <w:r w:rsidRPr="00E83460">
        <w:rPr>
          <w:rFonts w:ascii="Arial" w:hAnsi="Arial" w:cs="Arial"/>
        </w:rPr>
        <w:t xml:space="preserve">, H., Martínez, R. &amp; Gupta, S. (2023) ‘Life-cycle carbon analysis of aluminium beverage packaging’, </w:t>
      </w:r>
      <w:r w:rsidRPr="00E83460">
        <w:rPr>
          <w:rFonts w:ascii="Arial" w:hAnsi="Arial" w:cs="Arial"/>
          <w:i/>
          <w:iCs/>
        </w:rPr>
        <w:t>Journal of Cleaner Production</w:t>
      </w:r>
      <w:r w:rsidRPr="00E83460">
        <w:rPr>
          <w:rFonts w:ascii="Arial" w:hAnsi="Arial" w:cs="Arial"/>
        </w:rPr>
        <w:t>, 422, p. 139845.</w:t>
      </w:r>
    </w:p>
    <w:p w14:paraId="466CE689"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Chen, Y. &amp; Li, F. (2024) ‘Omnichannel engagement and consumer behaviour in sustainable retailing’, </w:t>
      </w:r>
      <w:r w:rsidRPr="00E83460">
        <w:rPr>
          <w:rFonts w:ascii="Arial" w:hAnsi="Arial" w:cs="Arial"/>
          <w:i/>
          <w:iCs/>
        </w:rPr>
        <w:t>Journal of Business Research</w:t>
      </w:r>
      <w:r w:rsidRPr="00E83460">
        <w:rPr>
          <w:rFonts w:ascii="Arial" w:hAnsi="Arial" w:cs="Arial"/>
        </w:rPr>
        <w:t>, 174, p. 114365.</w:t>
      </w:r>
    </w:p>
    <w:p w14:paraId="5AD4F587"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Coca-Cola Company (2025) </w:t>
      </w:r>
      <w:r w:rsidRPr="00E83460">
        <w:rPr>
          <w:rFonts w:ascii="Arial" w:hAnsi="Arial" w:cs="Arial"/>
          <w:i/>
          <w:iCs/>
        </w:rPr>
        <w:t>Corporate Sustainability Report 2025.</w:t>
      </w:r>
      <w:r w:rsidRPr="00E83460">
        <w:rPr>
          <w:rFonts w:ascii="Arial" w:hAnsi="Arial" w:cs="Arial"/>
        </w:rPr>
        <w:t xml:space="preserve"> Atlanta: The Coca-Cola Company.</w:t>
      </w:r>
    </w:p>
    <w:p w14:paraId="36DC1B21"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Coca-Cola HBC (2024) </w:t>
      </w:r>
      <w:r w:rsidRPr="00E83460">
        <w:rPr>
          <w:rFonts w:ascii="Arial" w:hAnsi="Arial" w:cs="Arial"/>
          <w:i/>
          <w:iCs/>
        </w:rPr>
        <w:t>Sustainability progress update.</w:t>
      </w:r>
      <w:r w:rsidRPr="00E83460">
        <w:rPr>
          <w:rFonts w:ascii="Arial" w:hAnsi="Arial" w:cs="Arial"/>
        </w:rPr>
        <w:t xml:space="preserve"> Available at: </w:t>
      </w:r>
      <w:hyperlink r:id="rId12" w:tgtFrame="_new" w:history="1">
        <w:r w:rsidRPr="00E83460">
          <w:rPr>
            <w:rStyle w:val="Hyperlink"/>
            <w:rFonts w:ascii="Arial" w:hAnsi="Arial" w:cs="Arial"/>
          </w:rPr>
          <w:t>https://www.coca-colahellenic.com/en/sustainability</w:t>
        </w:r>
      </w:hyperlink>
      <w:r w:rsidRPr="00E83460">
        <w:rPr>
          <w:rFonts w:ascii="Arial" w:hAnsi="Arial" w:cs="Arial"/>
        </w:rPr>
        <w:t xml:space="preserve"> (Accessed: 10 October 2025).</w:t>
      </w:r>
    </w:p>
    <w:p w14:paraId="350987B9"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Deloitte (2024) </w:t>
      </w:r>
      <w:r w:rsidRPr="00E83460">
        <w:rPr>
          <w:rFonts w:ascii="Arial" w:hAnsi="Arial" w:cs="Arial"/>
          <w:i/>
          <w:iCs/>
        </w:rPr>
        <w:t>Sustainable consumer trends 2024.</w:t>
      </w:r>
      <w:r w:rsidRPr="00E83460">
        <w:rPr>
          <w:rFonts w:ascii="Arial" w:hAnsi="Arial" w:cs="Arial"/>
        </w:rPr>
        <w:t xml:space="preserve"> London: Deloitte Insights.</w:t>
      </w:r>
    </w:p>
    <w:p w14:paraId="49A889AA"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Euromonitor (2024) </w:t>
      </w:r>
      <w:r w:rsidRPr="00E83460">
        <w:rPr>
          <w:rFonts w:ascii="Arial" w:hAnsi="Arial" w:cs="Arial"/>
          <w:i/>
          <w:iCs/>
        </w:rPr>
        <w:t>Health and Wellness Drinks: Global Market Overview.</w:t>
      </w:r>
      <w:r w:rsidRPr="00E83460">
        <w:rPr>
          <w:rFonts w:ascii="Arial" w:hAnsi="Arial" w:cs="Arial"/>
        </w:rPr>
        <w:t xml:space="preserve"> London: Euromonitor International.</w:t>
      </w:r>
    </w:p>
    <w:p w14:paraId="61B62735" w14:textId="77777777" w:rsidR="00E83460" w:rsidRPr="00E83460" w:rsidRDefault="00E83460" w:rsidP="00E83460">
      <w:pPr>
        <w:spacing w:line="360" w:lineRule="auto"/>
        <w:jc w:val="both"/>
        <w:rPr>
          <w:rFonts w:ascii="Arial" w:hAnsi="Arial" w:cs="Arial"/>
        </w:rPr>
      </w:pPr>
      <w:proofErr w:type="spellStart"/>
      <w:r w:rsidRPr="00E83460">
        <w:rPr>
          <w:rFonts w:ascii="Arial" w:hAnsi="Arial" w:cs="Arial"/>
        </w:rPr>
        <w:t>Foroudi</w:t>
      </w:r>
      <w:proofErr w:type="spellEnd"/>
      <w:r w:rsidRPr="00E83460">
        <w:rPr>
          <w:rFonts w:ascii="Arial" w:hAnsi="Arial" w:cs="Arial"/>
        </w:rPr>
        <w:t xml:space="preserve">, P., Melewar, T. &amp; Gupta, S. (2024) ‘Influencer credibility and consumer trust in green marketing: a multi-sector analysis’, </w:t>
      </w:r>
      <w:r w:rsidRPr="00E83460">
        <w:rPr>
          <w:rFonts w:ascii="Arial" w:hAnsi="Arial" w:cs="Arial"/>
          <w:i/>
          <w:iCs/>
        </w:rPr>
        <w:t>Journal of Brand Management</w:t>
      </w:r>
      <w:r w:rsidRPr="00E83460">
        <w:rPr>
          <w:rFonts w:ascii="Arial" w:hAnsi="Arial" w:cs="Arial"/>
        </w:rPr>
        <w:t>, 31(2), pp. 217–236.</w:t>
      </w:r>
    </w:p>
    <w:p w14:paraId="240AFE0A"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Gupta, A. &amp; Jain, R. (2025) ‘Hybrid beverage innovation: merging functionality with indulgence’, </w:t>
      </w:r>
      <w:r w:rsidRPr="00E83460">
        <w:rPr>
          <w:rFonts w:ascii="Arial" w:hAnsi="Arial" w:cs="Arial"/>
          <w:i/>
          <w:iCs/>
        </w:rPr>
        <w:t>Journal of Consumer Research</w:t>
      </w:r>
      <w:r w:rsidRPr="00E83460">
        <w:rPr>
          <w:rFonts w:ascii="Arial" w:hAnsi="Arial" w:cs="Arial"/>
        </w:rPr>
        <w:t>, 52(3), pp. 412–427.</w:t>
      </w:r>
    </w:p>
    <w:p w14:paraId="54C07AAE" w14:textId="2B91C0FC" w:rsidR="00E83460" w:rsidRPr="00E83460" w:rsidRDefault="00E83460" w:rsidP="00E83460">
      <w:pPr>
        <w:spacing w:line="360" w:lineRule="auto"/>
        <w:jc w:val="both"/>
        <w:rPr>
          <w:rFonts w:ascii="Arial" w:hAnsi="Arial" w:cs="Arial"/>
        </w:rPr>
      </w:pPr>
      <w:r w:rsidRPr="00E83460">
        <w:rPr>
          <w:rFonts w:ascii="Arial" w:hAnsi="Arial" w:cs="Arial"/>
        </w:rPr>
        <w:t xml:space="preserve">Harvard Business Review (2023) </w:t>
      </w:r>
      <w:r w:rsidRPr="00E83460">
        <w:rPr>
          <w:rFonts w:ascii="Arial" w:hAnsi="Arial" w:cs="Arial"/>
          <w:i/>
          <w:iCs/>
        </w:rPr>
        <w:t>Research: Consumers’ Sustainability Demands Are Rising.</w:t>
      </w:r>
      <w:r w:rsidRPr="00E83460">
        <w:rPr>
          <w:rFonts w:ascii="Arial" w:hAnsi="Arial" w:cs="Arial"/>
        </w:rPr>
        <w:t xml:space="preserve"> Harvard Business Review, 18 September. Available at:</w:t>
      </w:r>
      <w:hyperlink r:id="rId13" w:history="1">
        <w:r w:rsidR="00BE5ECA" w:rsidRPr="00BE5ECA">
          <w:rPr>
            <w:rStyle w:val="Hyperlink"/>
            <w:rFonts w:ascii="Arial" w:hAnsi="Arial" w:cs="Arial"/>
          </w:rPr>
          <w:t>https://hbr.org/2023/09/research-consumers-sustainability-demands-are-rising</w:t>
        </w:r>
      </w:hyperlink>
      <w:r w:rsidRPr="00E83460">
        <w:rPr>
          <w:rFonts w:ascii="Arial" w:hAnsi="Arial" w:cs="Arial"/>
        </w:rPr>
        <w:t xml:space="preserve"> (Accessed: 30 October 2025).</w:t>
      </w:r>
    </w:p>
    <w:p w14:paraId="772F5620" w14:textId="77777777" w:rsidR="00E83460" w:rsidRPr="00E83460" w:rsidRDefault="00E83460" w:rsidP="00E83460">
      <w:pPr>
        <w:spacing w:line="360" w:lineRule="auto"/>
        <w:jc w:val="both"/>
        <w:rPr>
          <w:rFonts w:ascii="Arial" w:hAnsi="Arial" w:cs="Arial"/>
        </w:rPr>
      </w:pPr>
      <w:r w:rsidRPr="00E83460">
        <w:rPr>
          <w:rFonts w:ascii="Arial" w:hAnsi="Arial" w:cs="Arial"/>
        </w:rPr>
        <w:lastRenderedPageBreak/>
        <w:t xml:space="preserve">Harvard Business Review (2024) </w:t>
      </w:r>
      <w:r w:rsidRPr="00E83460">
        <w:rPr>
          <w:rFonts w:ascii="Arial" w:hAnsi="Arial" w:cs="Arial"/>
          <w:i/>
          <w:iCs/>
        </w:rPr>
        <w:t>Trust and transparency in sustainable branding.</w:t>
      </w:r>
      <w:r w:rsidRPr="00E83460">
        <w:rPr>
          <w:rFonts w:ascii="Arial" w:hAnsi="Arial" w:cs="Arial"/>
        </w:rPr>
        <w:t xml:space="preserve"> Harvard University Press.</w:t>
      </w:r>
    </w:p>
    <w:p w14:paraId="6E07FF8F"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IBM (2024) </w:t>
      </w:r>
      <w:r w:rsidRPr="00E83460">
        <w:rPr>
          <w:rFonts w:ascii="Arial" w:hAnsi="Arial" w:cs="Arial"/>
          <w:i/>
          <w:iCs/>
        </w:rPr>
        <w:t>Sustainability and consumer choice: The price of purpose.</w:t>
      </w:r>
      <w:r w:rsidRPr="00E83460">
        <w:rPr>
          <w:rFonts w:ascii="Arial" w:hAnsi="Arial" w:cs="Arial"/>
        </w:rPr>
        <w:t xml:space="preserve"> Available at: </w:t>
      </w:r>
      <w:hyperlink r:id="rId14" w:tgtFrame="_new" w:history="1">
        <w:r w:rsidRPr="00E83460">
          <w:rPr>
            <w:rStyle w:val="Hyperlink"/>
            <w:rFonts w:ascii="Arial" w:hAnsi="Arial" w:cs="Arial"/>
          </w:rPr>
          <w:t>https://www.ibm.com/reports/sustainability-choice</w:t>
        </w:r>
      </w:hyperlink>
      <w:r w:rsidRPr="00E83460">
        <w:rPr>
          <w:rFonts w:ascii="Arial" w:hAnsi="Arial" w:cs="Arial"/>
        </w:rPr>
        <w:t xml:space="preserve"> (Accessed: 14 October 2025).</w:t>
      </w:r>
    </w:p>
    <w:p w14:paraId="43E40D8E"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Kantar (2025) </w:t>
      </w:r>
      <w:r w:rsidRPr="00E83460">
        <w:rPr>
          <w:rFonts w:ascii="Arial" w:hAnsi="Arial" w:cs="Arial"/>
          <w:i/>
          <w:iCs/>
        </w:rPr>
        <w:t>Global beverage consumption outlook 2025.</w:t>
      </w:r>
      <w:r w:rsidRPr="00E83460">
        <w:rPr>
          <w:rFonts w:ascii="Arial" w:hAnsi="Arial" w:cs="Arial"/>
        </w:rPr>
        <w:t xml:space="preserve"> Available at: </w:t>
      </w:r>
      <w:hyperlink r:id="rId15" w:tgtFrame="_new" w:history="1">
        <w:r w:rsidRPr="00E83460">
          <w:rPr>
            <w:rStyle w:val="Hyperlink"/>
            <w:rFonts w:ascii="Arial" w:hAnsi="Arial" w:cs="Arial"/>
          </w:rPr>
          <w:t>https://www.kantar.com</w:t>
        </w:r>
      </w:hyperlink>
      <w:r w:rsidRPr="00E83460">
        <w:rPr>
          <w:rFonts w:ascii="Arial" w:hAnsi="Arial" w:cs="Arial"/>
        </w:rPr>
        <w:t xml:space="preserve"> (Accessed: 20 October 2025).</w:t>
      </w:r>
    </w:p>
    <w:p w14:paraId="1EE8DD20"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Khalili-Moghadam, S. et al. (2023) ‘Effects of green coffee aqueous extract supplementation on cardiometabolic markers: A systematic review and meta-analysis’, </w:t>
      </w:r>
      <w:r w:rsidRPr="00E83460">
        <w:rPr>
          <w:rFonts w:ascii="Arial" w:hAnsi="Arial" w:cs="Arial"/>
          <w:i/>
          <w:iCs/>
        </w:rPr>
        <w:t>Clinical Nutrition Open Science</w:t>
      </w:r>
      <w:r w:rsidRPr="00E83460">
        <w:rPr>
          <w:rFonts w:ascii="Arial" w:hAnsi="Arial" w:cs="Arial"/>
        </w:rPr>
        <w:t xml:space="preserve">, (online). Available at: </w:t>
      </w:r>
      <w:hyperlink r:id="rId16" w:tgtFrame="_new" w:history="1">
        <w:r w:rsidRPr="00E83460">
          <w:rPr>
            <w:rStyle w:val="Hyperlink"/>
            <w:rFonts w:ascii="Arial" w:hAnsi="Arial" w:cs="Arial"/>
          </w:rPr>
          <w:t>https://www.ncbi.nlm.nih.gov/pmc/articles/PMC10687413/</w:t>
        </w:r>
      </w:hyperlink>
      <w:r w:rsidRPr="00E83460">
        <w:rPr>
          <w:rFonts w:ascii="Arial" w:hAnsi="Arial" w:cs="Arial"/>
        </w:rPr>
        <w:t xml:space="preserve"> (Accessed: 30 October 2025).</w:t>
      </w:r>
    </w:p>
    <w:p w14:paraId="6677D49D"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Kotler, P. &amp; Sarkar, C. (2024) </w:t>
      </w:r>
      <w:r w:rsidRPr="00E83460">
        <w:rPr>
          <w:rFonts w:ascii="Arial" w:hAnsi="Arial" w:cs="Arial"/>
          <w:i/>
          <w:iCs/>
        </w:rPr>
        <w:t>Brand Activism: From Purpose to Action.</w:t>
      </w:r>
      <w:r w:rsidRPr="00E83460">
        <w:rPr>
          <w:rFonts w:ascii="Arial" w:hAnsi="Arial" w:cs="Arial"/>
        </w:rPr>
        <w:t xml:space="preserve"> New York: Wiley.</w:t>
      </w:r>
    </w:p>
    <w:p w14:paraId="1E246986" w14:textId="298BA3F6" w:rsidR="00E83460" w:rsidRPr="00E83460" w:rsidRDefault="00E83460" w:rsidP="00E83460">
      <w:pPr>
        <w:spacing w:line="360" w:lineRule="auto"/>
        <w:jc w:val="both"/>
        <w:rPr>
          <w:rFonts w:ascii="Arial" w:hAnsi="Arial" w:cs="Arial"/>
        </w:rPr>
      </w:pPr>
      <w:r w:rsidRPr="00E83460">
        <w:rPr>
          <w:rFonts w:ascii="Arial" w:hAnsi="Arial" w:cs="Arial"/>
        </w:rPr>
        <w:t xml:space="preserve">Kowalska, A. (2024) ‘Consumers’ attitudes and intentions toward functional beverages: predictors and implications’, </w:t>
      </w:r>
      <w:r w:rsidRPr="00E83460">
        <w:rPr>
          <w:rFonts w:ascii="Arial" w:hAnsi="Arial" w:cs="Arial"/>
          <w:i/>
          <w:iCs/>
        </w:rPr>
        <w:t>Journal of Functional Foods Research</w:t>
      </w:r>
      <w:r w:rsidRPr="00E83460">
        <w:rPr>
          <w:rFonts w:ascii="Arial" w:hAnsi="Arial" w:cs="Arial"/>
        </w:rPr>
        <w:t xml:space="preserve">, (online). </w:t>
      </w:r>
      <w:proofErr w:type="spellStart"/>
      <w:r w:rsidRPr="00E83460">
        <w:rPr>
          <w:rFonts w:ascii="Arial" w:hAnsi="Arial" w:cs="Arial"/>
        </w:rPr>
        <w:t>doi</w:t>
      </w:r>
      <w:proofErr w:type="spellEnd"/>
      <w:r w:rsidRPr="00E83460">
        <w:rPr>
          <w:rFonts w:ascii="Arial" w:hAnsi="Arial" w:cs="Arial"/>
        </w:rPr>
        <w:t>: 10.1007/s40622-024-00395-y. Available at:</w:t>
      </w:r>
      <w:r w:rsidR="00BE5ECA">
        <w:rPr>
          <w:rFonts w:ascii="Arial" w:hAnsi="Arial" w:cs="Arial"/>
        </w:rPr>
        <w:t xml:space="preserve"> </w:t>
      </w:r>
      <w:hyperlink r:id="rId17" w:history="1">
        <w:r w:rsidR="00BE5ECA" w:rsidRPr="00B83099">
          <w:rPr>
            <w:rStyle w:val="Hyperlink"/>
            <w:rFonts w:ascii="Arial" w:hAnsi="Arial" w:cs="Arial"/>
          </w:rPr>
          <w:t>https://link.springer.com/</w:t>
        </w:r>
      </w:hyperlink>
      <w:r w:rsidRPr="00E83460">
        <w:rPr>
          <w:rFonts w:ascii="Arial" w:hAnsi="Arial" w:cs="Arial"/>
        </w:rPr>
        <w:t xml:space="preserve"> (Accessed: 30 October 2025).</w:t>
      </w:r>
    </w:p>
    <w:p w14:paraId="75F0EF07"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Lee, S. &amp; Yun, H. (2024) ‘Functional beverage innovation and perceived health value among millennials’, </w:t>
      </w:r>
      <w:r w:rsidRPr="00E83460">
        <w:rPr>
          <w:rFonts w:ascii="Arial" w:hAnsi="Arial" w:cs="Arial"/>
          <w:i/>
          <w:iCs/>
        </w:rPr>
        <w:t>British Food Journal</w:t>
      </w:r>
      <w:r w:rsidRPr="00E83460">
        <w:rPr>
          <w:rFonts w:ascii="Arial" w:hAnsi="Arial" w:cs="Arial"/>
        </w:rPr>
        <w:t>, 126(5), pp. 1568–1581.</w:t>
      </w:r>
    </w:p>
    <w:p w14:paraId="370EC5F9"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Liu, Y., Chang, M. &amp; Teng, J. (2023) ‘Transparency and traceability in sustainable branding: consumer expectations in FMCG markets’, </w:t>
      </w:r>
      <w:r w:rsidRPr="00E83460">
        <w:rPr>
          <w:rFonts w:ascii="Arial" w:hAnsi="Arial" w:cs="Arial"/>
          <w:i/>
          <w:iCs/>
        </w:rPr>
        <w:t>Journal of Retailing and Consumer Services</w:t>
      </w:r>
      <w:r w:rsidRPr="00E83460">
        <w:rPr>
          <w:rFonts w:ascii="Arial" w:hAnsi="Arial" w:cs="Arial"/>
        </w:rPr>
        <w:t>, 75, p. 103416.</w:t>
      </w:r>
    </w:p>
    <w:p w14:paraId="4CCDA09F"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Mintel (2024) </w:t>
      </w:r>
      <w:r w:rsidRPr="00E83460">
        <w:rPr>
          <w:rFonts w:ascii="Arial" w:hAnsi="Arial" w:cs="Arial"/>
          <w:i/>
          <w:iCs/>
        </w:rPr>
        <w:t>Functional beverage innovation and consumer motivation.</w:t>
      </w:r>
      <w:r w:rsidRPr="00E83460">
        <w:rPr>
          <w:rFonts w:ascii="Arial" w:hAnsi="Arial" w:cs="Arial"/>
        </w:rPr>
        <w:t xml:space="preserve"> Available at: </w:t>
      </w:r>
      <w:hyperlink r:id="rId18" w:tgtFrame="_new" w:history="1">
        <w:r w:rsidRPr="00E83460">
          <w:rPr>
            <w:rStyle w:val="Hyperlink"/>
            <w:rFonts w:ascii="Arial" w:hAnsi="Arial" w:cs="Arial"/>
          </w:rPr>
          <w:t>https://www.mintel.com</w:t>
        </w:r>
      </w:hyperlink>
      <w:r w:rsidRPr="00E83460">
        <w:rPr>
          <w:rFonts w:ascii="Arial" w:hAnsi="Arial" w:cs="Arial"/>
        </w:rPr>
        <w:t xml:space="preserve"> (Accessed: 8 October 2025).</w:t>
      </w:r>
    </w:p>
    <w:p w14:paraId="0797D253"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Monroe, K. &amp; Dodds, W. (2023) ‘The influence of perceived price–quality relationship in sustainable goods’, </w:t>
      </w:r>
      <w:r w:rsidRPr="00E83460">
        <w:rPr>
          <w:rFonts w:ascii="Arial" w:hAnsi="Arial" w:cs="Arial"/>
          <w:i/>
          <w:iCs/>
        </w:rPr>
        <w:t>Journal of Consumer Psychology</w:t>
      </w:r>
      <w:r w:rsidRPr="00E83460">
        <w:rPr>
          <w:rFonts w:ascii="Arial" w:hAnsi="Arial" w:cs="Arial"/>
        </w:rPr>
        <w:t>, 33(2), pp. 214–229.</w:t>
      </w:r>
    </w:p>
    <w:p w14:paraId="666C7678" w14:textId="77777777" w:rsidR="00E83460" w:rsidRPr="00E83460" w:rsidRDefault="00E83460" w:rsidP="00E83460">
      <w:pPr>
        <w:spacing w:line="360" w:lineRule="auto"/>
        <w:jc w:val="both"/>
        <w:rPr>
          <w:rFonts w:ascii="Arial" w:hAnsi="Arial" w:cs="Arial"/>
        </w:rPr>
      </w:pPr>
      <w:proofErr w:type="spellStart"/>
      <w:r w:rsidRPr="00E83460">
        <w:rPr>
          <w:rFonts w:ascii="Arial" w:hAnsi="Arial" w:cs="Arial"/>
        </w:rPr>
        <w:t>Morseletto</w:t>
      </w:r>
      <w:proofErr w:type="spellEnd"/>
      <w:r w:rsidRPr="00E83460">
        <w:rPr>
          <w:rFonts w:ascii="Arial" w:hAnsi="Arial" w:cs="Arial"/>
        </w:rPr>
        <w:t xml:space="preserve">, P. (2024) ‘Circular economy practices in beverage distribution networks’, </w:t>
      </w:r>
      <w:r w:rsidRPr="00E83460">
        <w:rPr>
          <w:rFonts w:ascii="Arial" w:hAnsi="Arial" w:cs="Arial"/>
          <w:i/>
          <w:iCs/>
        </w:rPr>
        <w:t>Resources, Conservation and Recycling Advances</w:t>
      </w:r>
      <w:r w:rsidRPr="00E83460">
        <w:rPr>
          <w:rFonts w:ascii="Arial" w:hAnsi="Arial" w:cs="Arial"/>
        </w:rPr>
        <w:t>, 24, p. 102641.</w:t>
      </w:r>
    </w:p>
    <w:p w14:paraId="6A09BBE6" w14:textId="77777777" w:rsidR="00E83460" w:rsidRPr="00E83460" w:rsidRDefault="00E83460" w:rsidP="00E83460">
      <w:pPr>
        <w:spacing w:line="360" w:lineRule="auto"/>
        <w:jc w:val="both"/>
        <w:rPr>
          <w:rFonts w:ascii="Arial" w:hAnsi="Arial" w:cs="Arial"/>
        </w:rPr>
      </w:pPr>
      <w:proofErr w:type="spellStart"/>
      <w:r w:rsidRPr="00E83460">
        <w:rPr>
          <w:rFonts w:ascii="Arial" w:hAnsi="Arial" w:cs="Arial"/>
        </w:rPr>
        <w:lastRenderedPageBreak/>
        <w:t>NielsenIQ</w:t>
      </w:r>
      <w:proofErr w:type="spellEnd"/>
      <w:r w:rsidRPr="00E83460">
        <w:rPr>
          <w:rFonts w:ascii="Arial" w:hAnsi="Arial" w:cs="Arial"/>
        </w:rPr>
        <w:t xml:space="preserve"> (2025) </w:t>
      </w:r>
      <w:r w:rsidRPr="00E83460">
        <w:rPr>
          <w:rFonts w:ascii="Arial" w:hAnsi="Arial" w:cs="Arial"/>
          <w:i/>
          <w:iCs/>
        </w:rPr>
        <w:t>The next generation of health and energy drink consumers.</w:t>
      </w:r>
      <w:r w:rsidRPr="00E83460">
        <w:rPr>
          <w:rFonts w:ascii="Arial" w:hAnsi="Arial" w:cs="Arial"/>
        </w:rPr>
        <w:t xml:space="preserve"> Chicago: </w:t>
      </w:r>
      <w:proofErr w:type="spellStart"/>
      <w:r w:rsidRPr="00E83460">
        <w:rPr>
          <w:rFonts w:ascii="Arial" w:hAnsi="Arial" w:cs="Arial"/>
        </w:rPr>
        <w:t>NielsenIQ</w:t>
      </w:r>
      <w:proofErr w:type="spellEnd"/>
      <w:r w:rsidRPr="00E83460">
        <w:rPr>
          <w:rFonts w:ascii="Arial" w:hAnsi="Arial" w:cs="Arial"/>
        </w:rPr>
        <w:t xml:space="preserve"> Report.</w:t>
      </w:r>
    </w:p>
    <w:p w14:paraId="127A4C63"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PwC (2024) </w:t>
      </w:r>
      <w:r w:rsidRPr="00E83460">
        <w:rPr>
          <w:rFonts w:ascii="Arial" w:hAnsi="Arial" w:cs="Arial"/>
          <w:i/>
          <w:iCs/>
        </w:rPr>
        <w:t>Supply chain sustainability transformation in FMCG.</w:t>
      </w:r>
      <w:r w:rsidRPr="00E83460">
        <w:rPr>
          <w:rFonts w:ascii="Arial" w:hAnsi="Arial" w:cs="Arial"/>
        </w:rPr>
        <w:t xml:space="preserve"> London: PwC Insights.</w:t>
      </w:r>
    </w:p>
    <w:p w14:paraId="78D11FAB"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PwC (2024) </w:t>
      </w:r>
      <w:r w:rsidRPr="00E83460">
        <w:rPr>
          <w:rFonts w:ascii="Arial" w:hAnsi="Arial" w:cs="Arial"/>
          <w:i/>
          <w:iCs/>
        </w:rPr>
        <w:t>Voice of the Consumer Survey 2024: Consumers willing to pay for sustainable products.</w:t>
      </w:r>
      <w:r w:rsidRPr="00E83460">
        <w:rPr>
          <w:rFonts w:ascii="Arial" w:hAnsi="Arial" w:cs="Arial"/>
        </w:rPr>
        <w:t xml:space="preserve"> PwC Insights, 15 May. Available at: </w:t>
      </w:r>
      <w:hyperlink r:id="rId19" w:tgtFrame="_new" w:history="1">
        <w:r w:rsidRPr="00E83460">
          <w:rPr>
            <w:rStyle w:val="Hyperlink"/>
            <w:rFonts w:ascii="Arial" w:hAnsi="Arial" w:cs="Arial"/>
          </w:rPr>
          <w:t>https://www.pwc.com/gx/en/news-room/press-releases/2024/pwc-2024-voice-of-the-consumer-survey.html</w:t>
        </w:r>
      </w:hyperlink>
      <w:r w:rsidRPr="00E83460">
        <w:rPr>
          <w:rFonts w:ascii="Arial" w:hAnsi="Arial" w:cs="Arial"/>
        </w:rPr>
        <w:t xml:space="preserve"> (Accessed: 30 October 2025).</w:t>
      </w:r>
    </w:p>
    <w:p w14:paraId="09B8DBAF"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Scheinbaum, A. &amp; Johar, G. (2023) ‘Eco-emotional branding: the psychological impact of sustainability narratives’, </w:t>
      </w:r>
      <w:r w:rsidRPr="00E83460">
        <w:rPr>
          <w:rFonts w:ascii="Arial" w:hAnsi="Arial" w:cs="Arial"/>
          <w:i/>
          <w:iCs/>
        </w:rPr>
        <w:t>Journal of Consumer Behaviour</w:t>
      </w:r>
      <w:r w:rsidRPr="00E83460">
        <w:rPr>
          <w:rFonts w:ascii="Arial" w:hAnsi="Arial" w:cs="Arial"/>
        </w:rPr>
        <w:t>, 22(1), pp. 45–63.</w:t>
      </w:r>
    </w:p>
    <w:p w14:paraId="13D08618"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Statista (2025) </w:t>
      </w:r>
      <w:r w:rsidRPr="00E83460">
        <w:rPr>
          <w:rFonts w:ascii="Arial" w:hAnsi="Arial" w:cs="Arial"/>
          <w:i/>
          <w:iCs/>
        </w:rPr>
        <w:t>Energy and health beverage market outlook 2025–2027.</w:t>
      </w:r>
      <w:r w:rsidRPr="00E83460">
        <w:rPr>
          <w:rFonts w:ascii="Arial" w:hAnsi="Arial" w:cs="Arial"/>
        </w:rPr>
        <w:t xml:space="preserve"> Available at: </w:t>
      </w:r>
      <w:hyperlink r:id="rId20" w:tgtFrame="_new" w:history="1">
        <w:r w:rsidRPr="00E83460">
          <w:rPr>
            <w:rStyle w:val="Hyperlink"/>
            <w:rFonts w:ascii="Arial" w:hAnsi="Arial" w:cs="Arial"/>
          </w:rPr>
          <w:t>https://www.statista.com</w:t>
        </w:r>
      </w:hyperlink>
      <w:r w:rsidRPr="00E83460">
        <w:rPr>
          <w:rFonts w:ascii="Arial" w:hAnsi="Arial" w:cs="Arial"/>
        </w:rPr>
        <w:t xml:space="preserve"> (Accessed: 18 October 2025).</w:t>
      </w:r>
    </w:p>
    <w:p w14:paraId="41B4FF11" w14:textId="77777777" w:rsidR="00E83460" w:rsidRPr="00E83460" w:rsidRDefault="00E83460" w:rsidP="00E83460">
      <w:pPr>
        <w:spacing w:line="360" w:lineRule="auto"/>
        <w:jc w:val="both"/>
        <w:rPr>
          <w:rFonts w:ascii="Arial" w:hAnsi="Arial" w:cs="Arial"/>
        </w:rPr>
      </w:pPr>
      <w:r w:rsidRPr="00E83460">
        <w:rPr>
          <w:rFonts w:ascii="Arial" w:hAnsi="Arial" w:cs="Arial"/>
        </w:rPr>
        <w:t xml:space="preserve">Wang, X., Lin, J. &amp; Zhao, Y. (2024) ‘Balancing functionality and pleasure in beverage innovation: consumer acceptance and sensory satisfaction’, </w:t>
      </w:r>
      <w:r w:rsidRPr="00E83460">
        <w:rPr>
          <w:rFonts w:ascii="Arial" w:hAnsi="Arial" w:cs="Arial"/>
          <w:i/>
          <w:iCs/>
        </w:rPr>
        <w:t>Journal of Consumer Marketing</w:t>
      </w:r>
      <w:r w:rsidRPr="00E83460">
        <w:rPr>
          <w:rFonts w:ascii="Arial" w:hAnsi="Arial" w:cs="Arial"/>
        </w:rPr>
        <w:t>, 41(3), pp. 324–338.</w:t>
      </w:r>
    </w:p>
    <w:p w14:paraId="221F13AD" w14:textId="77777777" w:rsidR="00C1247C" w:rsidRPr="009968FD" w:rsidRDefault="00C1247C" w:rsidP="009968FD">
      <w:pPr>
        <w:spacing w:line="360" w:lineRule="auto"/>
        <w:jc w:val="both"/>
        <w:rPr>
          <w:rFonts w:ascii="Arial" w:hAnsi="Arial" w:cs="Arial"/>
        </w:rPr>
      </w:pPr>
    </w:p>
    <w:p w14:paraId="2C644D4B" w14:textId="77777777" w:rsidR="009968FD" w:rsidRPr="00421F8C" w:rsidRDefault="009968FD" w:rsidP="008327D8">
      <w:pPr>
        <w:spacing w:line="360" w:lineRule="auto"/>
        <w:jc w:val="both"/>
        <w:rPr>
          <w:rFonts w:ascii="Arial" w:hAnsi="Arial" w:cs="Arial"/>
        </w:rPr>
      </w:pPr>
    </w:p>
    <w:p w14:paraId="203C160B" w14:textId="77777777" w:rsidR="00910B18" w:rsidRDefault="00910B18" w:rsidP="008327D8">
      <w:pPr>
        <w:spacing w:line="360" w:lineRule="auto"/>
        <w:jc w:val="both"/>
        <w:rPr>
          <w:rFonts w:ascii="Arial" w:hAnsi="Arial" w:cs="Arial"/>
          <w:b/>
          <w:bCs/>
        </w:rPr>
      </w:pPr>
    </w:p>
    <w:p w14:paraId="287D5188" w14:textId="77777777" w:rsidR="00910B18" w:rsidRDefault="00910B18" w:rsidP="008327D8">
      <w:pPr>
        <w:spacing w:line="360" w:lineRule="auto"/>
        <w:jc w:val="both"/>
        <w:rPr>
          <w:rFonts w:ascii="Arial" w:hAnsi="Arial" w:cs="Arial"/>
          <w:b/>
          <w:bCs/>
        </w:rPr>
      </w:pPr>
    </w:p>
    <w:p w14:paraId="2210F697" w14:textId="77777777" w:rsidR="00910B18" w:rsidRDefault="00910B18" w:rsidP="008327D8">
      <w:pPr>
        <w:spacing w:line="360" w:lineRule="auto"/>
        <w:jc w:val="both"/>
        <w:rPr>
          <w:rFonts w:ascii="Arial" w:hAnsi="Arial" w:cs="Arial"/>
          <w:b/>
          <w:bCs/>
        </w:rPr>
      </w:pPr>
    </w:p>
    <w:p w14:paraId="043699FA" w14:textId="77777777" w:rsidR="00910B18" w:rsidRDefault="00910B18" w:rsidP="008327D8">
      <w:pPr>
        <w:spacing w:line="360" w:lineRule="auto"/>
        <w:jc w:val="both"/>
        <w:rPr>
          <w:rFonts w:ascii="Arial" w:hAnsi="Arial" w:cs="Arial"/>
          <w:b/>
          <w:bCs/>
        </w:rPr>
      </w:pPr>
    </w:p>
    <w:p w14:paraId="345D8CE7" w14:textId="77777777" w:rsidR="00910B18" w:rsidRDefault="00910B18" w:rsidP="008327D8">
      <w:pPr>
        <w:spacing w:line="360" w:lineRule="auto"/>
        <w:jc w:val="both"/>
        <w:rPr>
          <w:rFonts w:ascii="Arial" w:hAnsi="Arial" w:cs="Arial"/>
          <w:b/>
          <w:bCs/>
        </w:rPr>
      </w:pPr>
    </w:p>
    <w:p w14:paraId="2634E9EE" w14:textId="77777777" w:rsidR="00910B18" w:rsidRDefault="00910B18" w:rsidP="008327D8">
      <w:pPr>
        <w:spacing w:line="360" w:lineRule="auto"/>
        <w:jc w:val="both"/>
        <w:rPr>
          <w:rFonts w:ascii="Arial" w:hAnsi="Arial" w:cs="Arial"/>
          <w:b/>
          <w:bCs/>
        </w:rPr>
      </w:pPr>
    </w:p>
    <w:p w14:paraId="1350DE22" w14:textId="77777777" w:rsidR="00910B18" w:rsidRDefault="00910B18" w:rsidP="008327D8">
      <w:pPr>
        <w:spacing w:line="360" w:lineRule="auto"/>
        <w:jc w:val="both"/>
        <w:rPr>
          <w:rFonts w:ascii="Arial" w:hAnsi="Arial" w:cs="Arial"/>
          <w:b/>
          <w:bCs/>
        </w:rPr>
      </w:pPr>
    </w:p>
    <w:p w14:paraId="5C2D1112" w14:textId="77777777" w:rsidR="00910B18" w:rsidRDefault="00910B18" w:rsidP="008327D8">
      <w:pPr>
        <w:spacing w:line="360" w:lineRule="auto"/>
        <w:jc w:val="both"/>
        <w:rPr>
          <w:rFonts w:ascii="Arial" w:hAnsi="Arial" w:cs="Arial"/>
          <w:b/>
          <w:bCs/>
        </w:rPr>
      </w:pPr>
    </w:p>
    <w:p w14:paraId="0BEE15D7" w14:textId="77777777" w:rsidR="000C1079" w:rsidRDefault="000C1079" w:rsidP="008327D8">
      <w:pPr>
        <w:spacing w:line="360" w:lineRule="auto"/>
        <w:jc w:val="both"/>
        <w:rPr>
          <w:rFonts w:ascii="Arial" w:hAnsi="Arial" w:cs="Arial"/>
          <w:b/>
          <w:bCs/>
        </w:rPr>
      </w:pPr>
    </w:p>
    <w:p w14:paraId="71E31786" w14:textId="77777777" w:rsidR="000C1079" w:rsidRDefault="000C1079" w:rsidP="008327D8">
      <w:pPr>
        <w:spacing w:line="360" w:lineRule="auto"/>
        <w:jc w:val="both"/>
        <w:rPr>
          <w:rFonts w:ascii="Arial" w:hAnsi="Arial" w:cs="Arial"/>
          <w:b/>
          <w:bCs/>
        </w:rPr>
      </w:pPr>
    </w:p>
    <w:p w14:paraId="206F2D79" w14:textId="47C87FFE" w:rsidR="007E4386" w:rsidRDefault="008327D8" w:rsidP="008327D8">
      <w:pPr>
        <w:spacing w:line="360" w:lineRule="auto"/>
        <w:jc w:val="both"/>
        <w:rPr>
          <w:rFonts w:ascii="Arial" w:hAnsi="Arial" w:cs="Arial"/>
          <w:b/>
          <w:bCs/>
        </w:rPr>
      </w:pPr>
      <w:r w:rsidRPr="00CA32FA">
        <w:rPr>
          <w:rFonts w:ascii="Arial" w:hAnsi="Arial" w:cs="Arial"/>
          <w:b/>
          <w:bCs/>
        </w:rPr>
        <w:lastRenderedPageBreak/>
        <w:t>Appendix</w:t>
      </w:r>
      <w:r w:rsidR="00CA32FA">
        <w:rPr>
          <w:rFonts w:ascii="Arial" w:hAnsi="Arial" w:cs="Arial"/>
          <w:b/>
          <w:bCs/>
        </w:rPr>
        <w:t xml:space="preserve"> 1</w:t>
      </w:r>
      <w:r w:rsidRPr="00CA32FA">
        <w:rPr>
          <w:rFonts w:ascii="Arial" w:hAnsi="Arial" w:cs="Arial"/>
          <w:b/>
          <w:bCs/>
        </w:rPr>
        <w:t xml:space="preserve"> </w:t>
      </w:r>
      <w:r w:rsidR="005309EC" w:rsidRPr="00CA32FA">
        <w:rPr>
          <w:rFonts w:ascii="Arial" w:hAnsi="Arial" w:cs="Arial"/>
          <w:b/>
          <w:bCs/>
        </w:rPr>
        <w:t xml:space="preserve">– </w:t>
      </w:r>
      <w:r w:rsidR="00CA32FA">
        <w:rPr>
          <w:rFonts w:ascii="Arial" w:hAnsi="Arial" w:cs="Arial"/>
          <w:b/>
          <w:bCs/>
        </w:rPr>
        <w:t>E</w:t>
      </w:r>
      <w:r w:rsidR="005309EC" w:rsidRPr="00CA32FA">
        <w:rPr>
          <w:rFonts w:ascii="Arial" w:hAnsi="Arial" w:cs="Arial"/>
          <w:b/>
          <w:bCs/>
        </w:rPr>
        <w:t>lement 3</w:t>
      </w:r>
    </w:p>
    <w:p w14:paraId="10E51865" w14:textId="669DC120" w:rsidR="00910B18" w:rsidRDefault="00910B18" w:rsidP="008327D8">
      <w:pPr>
        <w:spacing w:line="360" w:lineRule="auto"/>
        <w:jc w:val="both"/>
        <w:rPr>
          <w:rFonts w:ascii="Arial" w:hAnsi="Arial" w:cs="Arial"/>
          <w:b/>
          <w:bCs/>
        </w:rPr>
      </w:pPr>
      <w:r>
        <w:rPr>
          <w:noProof/>
        </w:rPr>
        <w:drawing>
          <wp:inline distT="0" distB="0" distL="0" distR="0" wp14:anchorId="76D2A9B1" wp14:editId="0C2AC11B">
            <wp:extent cx="5443207" cy="8194964"/>
            <wp:effectExtent l="0" t="0" r="5715" b="0"/>
            <wp:docPr id="154145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43207" cy="8194964"/>
                    </a:xfrm>
                    <a:prstGeom prst="rect">
                      <a:avLst/>
                    </a:prstGeom>
                    <a:noFill/>
                    <a:ln>
                      <a:noFill/>
                    </a:ln>
                  </pic:spPr>
                </pic:pic>
              </a:graphicData>
            </a:graphic>
          </wp:inline>
        </w:drawing>
      </w:r>
    </w:p>
    <w:p w14:paraId="0B11B996" w14:textId="7709FF4B" w:rsidR="00910B18" w:rsidRPr="00910B18" w:rsidRDefault="00033F2E" w:rsidP="00910B18">
      <w:pPr>
        <w:spacing w:line="360" w:lineRule="auto"/>
        <w:jc w:val="both"/>
        <w:rPr>
          <w:rFonts w:ascii="Arial" w:hAnsi="Arial" w:cs="Arial"/>
          <w:b/>
          <w:bCs/>
        </w:rPr>
      </w:pPr>
      <w:r>
        <w:rPr>
          <w:rFonts w:ascii="Arial" w:hAnsi="Arial" w:cs="Arial"/>
          <w:b/>
          <w:bCs/>
        </w:rPr>
        <w:lastRenderedPageBreak/>
        <w:t>Speech:</w:t>
      </w:r>
    </w:p>
    <w:p w14:paraId="7E88AC59" w14:textId="4454F3ED" w:rsidR="00017832" w:rsidRPr="00017832" w:rsidRDefault="00017832" w:rsidP="00017832">
      <w:pPr>
        <w:spacing w:line="360" w:lineRule="auto"/>
        <w:rPr>
          <w:rFonts w:ascii="Arial" w:hAnsi="Arial" w:cs="Arial"/>
        </w:rPr>
      </w:pPr>
      <w:proofErr w:type="spellStart"/>
      <w:r w:rsidRPr="00017832">
        <w:rPr>
          <w:rFonts w:ascii="Arial" w:hAnsi="Arial" w:cs="Arial"/>
        </w:rPr>
        <w:t>VitaFizz</w:t>
      </w:r>
      <w:proofErr w:type="spellEnd"/>
      <w:r w:rsidRPr="00017832">
        <w:rPr>
          <w:rFonts w:ascii="Arial" w:hAnsi="Arial" w:cs="Arial"/>
        </w:rPr>
        <w:t>: a new kind of energy drink for modern consumers who seek health, great taste, and sustainability all in one.</w:t>
      </w:r>
    </w:p>
    <w:p w14:paraId="6E773DE5" w14:textId="5CF466C4" w:rsidR="00017832" w:rsidRPr="00017832" w:rsidRDefault="00017832" w:rsidP="00017832">
      <w:pPr>
        <w:spacing w:line="360" w:lineRule="auto"/>
        <w:rPr>
          <w:rFonts w:ascii="Arial" w:hAnsi="Arial" w:cs="Arial"/>
        </w:rPr>
      </w:pPr>
      <w:proofErr w:type="spellStart"/>
      <w:r w:rsidRPr="00017832">
        <w:rPr>
          <w:rFonts w:ascii="Arial" w:hAnsi="Arial" w:cs="Arial"/>
        </w:rPr>
        <w:t>Vitafizz</w:t>
      </w:r>
      <w:proofErr w:type="spellEnd"/>
      <w:r w:rsidRPr="00017832">
        <w:rPr>
          <w:rFonts w:ascii="Arial" w:hAnsi="Arial" w:cs="Arial"/>
        </w:rPr>
        <w:t xml:space="preserve"> addresses two major issues: the increase in plastic waste and the decline in consumption of high-sugar drinks. It incorporates real fruit concentrates with low-sugar Coca-Cola fizz, added vitamins, minerals, and natural caffeine from green coffee extract that provide one with energy sans sugar crash.</w:t>
      </w:r>
    </w:p>
    <w:p w14:paraId="4875E0F4" w14:textId="4C1857FD" w:rsidR="00017832" w:rsidRPr="00017832" w:rsidRDefault="00017832" w:rsidP="00017832">
      <w:pPr>
        <w:spacing w:line="360" w:lineRule="auto"/>
        <w:rPr>
          <w:rFonts w:ascii="Arial" w:hAnsi="Arial" w:cs="Arial"/>
        </w:rPr>
      </w:pPr>
      <w:r w:rsidRPr="00017832">
        <w:rPr>
          <w:rFonts w:ascii="Arial" w:hAnsi="Arial" w:cs="Arial"/>
        </w:rPr>
        <w:t xml:space="preserve">At an affordable price of £1.15 for 500ml and £2.69 for 2 litres, </w:t>
      </w:r>
      <w:proofErr w:type="spellStart"/>
      <w:r w:rsidRPr="00017832">
        <w:rPr>
          <w:rFonts w:ascii="Arial" w:hAnsi="Arial" w:cs="Arial"/>
        </w:rPr>
        <w:t>VitaFizz</w:t>
      </w:r>
      <w:proofErr w:type="spellEnd"/>
      <w:r w:rsidRPr="00017832">
        <w:rPr>
          <w:rFonts w:ascii="Arial" w:hAnsi="Arial" w:cs="Arial"/>
        </w:rPr>
        <w:t xml:space="preserve"> targets ages 16-75, offering refreshing boosts to students, workers, and active individuals alike.</w:t>
      </w:r>
    </w:p>
    <w:p w14:paraId="5B34B3F1" w14:textId="38AFD202" w:rsidR="00017832" w:rsidRPr="00017832" w:rsidRDefault="00017832" w:rsidP="00017832">
      <w:pPr>
        <w:spacing w:line="360" w:lineRule="auto"/>
        <w:rPr>
          <w:rFonts w:ascii="Arial" w:hAnsi="Arial" w:cs="Arial"/>
        </w:rPr>
      </w:pPr>
      <w:r w:rsidRPr="00017832">
        <w:rPr>
          <w:rFonts w:ascii="Arial" w:hAnsi="Arial" w:cs="Arial"/>
        </w:rPr>
        <w:t>It is unique because of its twin benefits: the recognizable taste of a cola, combined with a healthful, low-sugar formula. Flavors like Berry Medley, Orange Spark, and Açaí make it both enjoyable and healthy.</w:t>
      </w:r>
    </w:p>
    <w:p w14:paraId="558C6C2B" w14:textId="0A1E9B0D" w:rsidR="00017832" w:rsidRPr="00017832" w:rsidRDefault="00017832" w:rsidP="00017832">
      <w:pPr>
        <w:spacing w:line="360" w:lineRule="auto"/>
        <w:rPr>
          <w:rFonts w:ascii="Arial" w:hAnsi="Arial" w:cs="Arial"/>
        </w:rPr>
      </w:pPr>
      <w:r w:rsidRPr="00017832">
        <w:rPr>
          <w:rFonts w:ascii="Arial" w:hAnsi="Arial" w:cs="Arial"/>
        </w:rPr>
        <w:t xml:space="preserve">To the consumer, </w:t>
      </w:r>
      <w:proofErr w:type="spellStart"/>
      <w:r w:rsidRPr="00017832">
        <w:rPr>
          <w:rFonts w:ascii="Arial" w:hAnsi="Arial" w:cs="Arial"/>
        </w:rPr>
        <w:t>VitaFizz</w:t>
      </w:r>
      <w:proofErr w:type="spellEnd"/>
      <w:r w:rsidRPr="00017832">
        <w:rPr>
          <w:rFonts w:ascii="Arial" w:hAnsi="Arial" w:cs="Arial"/>
        </w:rPr>
        <w:t xml:space="preserve"> means clean energy and necessary nutrition. To the planet, it means less harm because of its refillable and recycled packaging.</w:t>
      </w:r>
    </w:p>
    <w:p w14:paraId="1367252E" w14:textId="25CD2E6D" w:rsidR="00910B18" w:rsidRPr="00910B18" w:rsidRDefault="00133E25" w:rsidP="00133E25">
      <w:pPr>
        <w:spacing w:line="360" w:lineRule="auto"/>
        <w:rPr>
          <w:rFonts w:ascii="Arial" w:hAnsi="Arial" w:cs="Arial"/>
        </w:rPr>
      </w:pPr>
      <w:proofErr w:type="spellStart"/>
      <w:r w:rsidRPr="00133E25">
        <w:rPr>
          <w:rFonts w:ascii="Arial" w:hAnsi="Arial" w:cs="Arial"/>
        </w:rPr>
        <w:t>VitaFizz</w:t>
      </w:r>
      <w:proofErr w:type="spellEnd"/>
      <w:r w:rsidRPr="00133E25">
        <w:rPr>
          <w:rFonts w:ascii="Arial" w:hAnsi="Arial" w:cs="Arial"/>
        </w:rPr>
        <w:t xml:space="preserve"> — where energy meets refreshment.</w:t>
      </w:r>
    </w:p>
    <w:sectPr w:rsidR="00910B18" w:rsidRPr="00910B1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A51C7" w14:textId="77777777" w:rsidR="00A00450" w:rsidRDefault="00A00450" w:rsidP="000A068E">
      <w:pPr>
        <w:spacing w:after="0" w:line="240" w:lineRule="auto"/>
      </w:pPr>
      <w:r>
        <w:separator/>
      </w:r>
    </w:p>
  </w:endnote>
  <w:endnote w:type="continuationSeparator" w:id="0">
    <w:p w14:paraId="7E4FCC19" w14:textId="77777777" w:rsidR="00A00450" w:rsidRDefault="00A00450" w:rsidP="000A0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175142"/>
      <w:docPartObj>
        <w:docPartGallery w:val="Page Numbers (Bottom of Page)"/>
        <w:docPartUnique/>
      </w:docPartObj>
    </w:sdtPr>
    <w:sdtEndPr>
      <w:rPr>
        <w:noProof/>
      </w:rPr>
    </w:sdtEndPr>
    <w:sdtContent>
      <w:p w14:paraId="1810BD91" w14:textId="01D1D616" w:rsidR="000A068E" w:rsidRDefault="000A06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6CB3DC" w14:textId="77777777" w:rsidR="000A068E" w:rsidRDefault="000A0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BC128" w14:textId="77777777" w:rsidR="00A00450" w:rsidRDefault="00A00450" w:rsidP="000A068E">
      <w:pPr>
        <w:spacing w:after="0" w:line="240" w:lineRule="auto"/>
      </w:pPr>
      <w:r>
        <w:separator/>
      </w:r>
    </w:p>
  </w:footnote>
  <w:footnote w:type="continuationSeparator" w:id="0">
    <w:p w14:paraId="62E65480" w14:textId="77777777" w:rsidR="00A00450" w:rsidRDefault="00A00450" w:rsidP="000A0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714CE"/>
    <w:multiLevelType w:val="multilevel"/>
    <w:tmpl w:val="8D94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2083E"/>
    <w:multiLevelType w:val="multilevel"/>
    <w:tmpl w:val="D2EC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126E4"/>
    <w:multiLevelType w:val="multilevel"/>
    <w:tmpl w:val="496AE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9A58A7"/>
    <w:multiLevelType w:val="multilevel"/>
    <w:tmpl w:val="ADB6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45395"/>
    <w:multiLevelType w:val="multilevel"/>
    <w:tmpl w:val="9610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103886"/>
    <w:multiLevelType w:val="multilevel"/>
    <w:tmpl w:val="22B4D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997025"/>
    <w:multiLevelType w:val="multilevel"/>
    <w:tmpl w:val="2BEA2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4102AC"/>
    <w:multiLevelType w:val="multilevel"/>
    <w:tmpl w:val="57E8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C5DE7"/>
    <w:multiLevelType w:val="hybridMultilevel"/>
    <w:tmpl w:val="4628CE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FD61DC4"/>
    <w:multiLevelType w:val="multilevel"/>
    <w:tmpl w:val="5D3C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30937"/>
    <w:multiLevelType w:val="multilevel"/>
    <w:tmpl w:val="5F2C8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AE7DCC"/>
    <w:multiLevelType w:val="multilevel"/>
    <w:tmpl w:val="B1DA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C54CA"/>
    <w:multiLevelType w:val="multilevel"/>
    <w:tmpl w:val="2B0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43467E"/>
    <w:multiLevelType w:val="multilevel"/>
    <w:tmpl w:val="22B4D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DF4009"/>
    <w:multiLevelType w:val="multilevel"/>
    <w:tmpl w:val="B876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6C7706"/>
    <w:multiLevelType w:val="multilevel"/>
    <w:tmpl w:val="F8046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DA63DA"/>
    <w:multiLevelType w:val="multilevel"/>
    <w:tmpl w:val="F8A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67944">
    <w:abstractNumId w:val="13"/>
  </w:num>
  <w:num w:numId="2" w16cid:durableId="1026760045">
    <w:abstractNumId w:val="14"/>
  </w:num>
  <w:num w:numId="3" w16cid:durableId="1701853484">
    <w:abstractNumId w:val="3"/>
  </w:num>
  <w:num w:numId="4" w16cid:durableId="1431387495">
    <w:abstractNumId w:val="0"/>
  </w:num>
  <w:num w:numId="5" w16cid:durableId="1679238065">
    <w:abstractNumId w:val="11"/>
  </w:num>
  <w:num w:numId="6" w16cid:durableId="1994916410">
    <w:abstractNumId w:val="15"/>
  </w:num>
  <w:num w:numId="7" w16cid:durableId="948051634">
    <w:abstractNumId w:val="4"/>
  </w:num>
  <w:num w:numId="8" w16cid:durableId="914779520">
    <w:abstractNumId w:val="9"/>
  </w:num>
  <w:num w:numId="9" w16cid:durableId="1309090929">
    <w:abstractNumId w:val="1"/>
  </w:num>
  <w:num w:numId="10" w16cid:durableId="1485583970">
    <w:abstractNumId w:val="6"/>
  </w:num>
  <w:num w:numId="11" w16cid:durableId="1269968732">
    <w:abstractNumId w:val="16"/>
  </w:num>
  <w:num w:numId="12" w16cid:durableId="1885673474">
    <w:abstractNumId w:val="2"/>
  </w:num>
  <w:num w:numId="13" w16cid:durableId="571237067">
    <w:abstractNumId w:val="12"/>
  </w:num>
  <w:num w:numId="14" w16cid:durableId="1771509820">
    <w:abstractNumId w:val="7"/>
  </w:num>
  <w:num w:numId="15" w16cid:durableId="1492329140">
    <w:abstractNumId w:val="10"/>
  </w:num>
  <w:num w:numId="16" w16cid:durableId="824323367">
    <w:abstractNumId w:val="5"/>
  </w:num>
  <w:num w:numId="17" w16cid:durableId="2727855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8C"/>
    <w:rsid w:val="00000DEC"/>
    <w:rsid w:val="00017832"/>
    <w:rsid w:val="00033F2E"/>
    <w:rsid w:val="000A068E"/>
    <w:rsid w:val="000C1079"/>
    <w:rsid w:val="000C668E"/>
    <w:rsid w:val="00133E25"/>
    <w:rsid w:val="002A3EDE"/>
    <w:rsid w:val="00304D2E"/>
    <w:rsid w:val="00326290"/>
    <w:rsid w:val="00384E03"/>
    <w:rsid w:val="00392B86"/>
    <w:rsid w:val="003C226E"/>
    <w:rsid w:val="003E032A"/>
    <w:rsid w:val="003E5C93"/>
    <w:rsid w:val="00421F8C"/>
    <w:rsid w:val="0045069D"/>
    <w:rsid w:val="004800B2"/>
    <w:rsid w:val="005309EC"/>
    <w:rsid w:val="00537D0E"/>
    <w:rsid w:val="00547323"/>
    <w:rsid w:val="005622FB"/>
    <w:rsid w:val="005D19B7"/>
    <w:rsid w:val="00663243"/>
    <w:rsid w:val="006764F5"/>
    <w:rsid w:val="006A429F"/>
    <w:rsid w:val="00712BF6"/>
    <w:rsid w:val="007161A9"/>
    <w:rsid w:val="00727EDF"/>
    <w:rsid w:val="0078782D"/>
    <w:rsid w:val="007E4386"/>
    <w:rsid w:val="008327D8"/>
    <w:rsid w:val="008C1D92"/>
    <w:rsid w:val="00910B18"/>
    <w:rsid w:val="00980EAD"/>
    <w:rsid w:val="009968FD"/>
    <w:rsid w:val="00A00450"/>
    <w:rsid w:val="00A16FD8"/>
    <w:rsid w:val="00AC6570"/>
    <w:rsid w:val="00B95340"/>
    <w:rsid w:val="00BA5778"/>
    <w:rsid w:val="00BE5ECA"/>
    <w:rsid w:val="00C1247C"/>
    <w:rsid w:val="00C4000F"/>
    <w:rsid w:val="00CA32FA"/>
    <w:rsid w:val="00E83460"/>
    <w:rsid w:val="00EA2BEE"/>
    <w:rsid w:val="00F05495"/>
    <w:rsid w:val="00F97712"/>
    <w:rsid w:val="00FC62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0B1FE6"/>
  <w15:chartTrackingRefBased/>
  <w15:docId w15:val="{E1EB1C42-5B41-43D2-9306-D08EECCC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F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1F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1F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1F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1F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1F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F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F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F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F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1F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1F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1F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1F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1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F8C"/>
    <w:rPr>
      <w:rFonts w:eastAsiaTheme="majorEastAsia" w:cstheme="majorBidi"/>
      <w:color w:val="272727" w:themeColor="text1" w:themeTint="D8"/>
    </w:rPr>
  </w:style>
  <w:style w:type="paragraph" w:styleId="Title">
    <w:name w:val="Title"/>
    <w:basedOn w:val="Normal"/>
    <w:next w:val="Normal"/>
    <w:link w:val="TitleChar"/>
    <w:uiPriority w:val="10"/>
    <w:qFormat/>
    <w:rsid w:val="00421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F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F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F8C"/>
    <w:pPr>
      <w:spacing w:before="160"/>
      <w:jc w:val="center"/>
    </w:pPr>
    <w:rPr>
      <w:i/>
      <w:iCs/>
      <w:color w:val="404040" w:themeColor="text1" w:themeTint="BF"/>
    </w:rPr>
  </w:style>
  <w:style w:type="character" w:customStyle="1" w:styleId="QuoteChar">
    <w:name w:val="Quote Char"/>
    <w:basedOn w:val="DefaultParagraphFont"/>
    <w:link w:val="Quote"/>
    <w:uiPriority w:val="29"/>
    <w:rsid w:val="00421F8C"/>
    <w:rPr>
      <w:i/>
      <w:iCs/>
      <w:color w:val="404040" w:themeColor="text1" w:themeTint="BF"/>
    </w:rPr>
  </w:style>
  <w:style w:type="paragraph" w:styleId="ListParagraph">
    <w:name w:val="List Paragraph"/>
    <w:basedOn w:val="Normal"/>
    <w:uiPriority w:val="34"/>
    <w:qFormat/>
    <w:rsid w:val="00421F8C"/>
    <w:pPr>
      <w:ind w:left="720"/>
      <w:contextualSpacing/>
    </w:pPr>
  </w:style>
  <w:style w:type="character" w:styleId="IntenseEmphasis">
    <w:name w:val="Intense Emphasis"/>
    <w:basedOn w:val="DefaultParagraphFont"/>
    <w:uiPriority w:val="21"/>
    <w:qFormat/>
    <w:rsid w:val="00421F8C"/>
    <w:rPr>
      <w:i/>
      <w:iCs/>
      <w:color w:val="2F5496" w:themeColor="accent1" w:themeShade="BF"/>
    </w:rPr>
  </w:style>
  <w:style w:type="paragraph" w:styleId="IntenseQuote">
    <w:name w:val="Intense Quote"/>
    <w:basedOn w:val="Normal"/>
    <w:next w:val="Normal"/>
    <w:link w:val="IntenseQuoteChar"/>
    <w:uiPriority w:val="30"/>
    <w:qFormat/>
    <w:rsid w:val="00421F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1F8C"/>
    <w:rPr>
      <w:i/>
      <w:iCs/>
      <w:color w:val="2F5496" w:themeColor="accent1" w:themeShade="BF"/>
    </w:rPr>
  </w:style>
  <w:style w:type="character" w:styleId="IntenseReference">
    <w:name w:val="Intense Reference"/>
    <w:basedOn w:val="DefaultParagraphFont"/>
    <w:uiPriority w:val="32"/>
    <w:qFormat/>
    <w:rsid w:val="00421F8C"/>
    <w:rPr>
      <w:b/>
      <w:bCs/>
      <w:smallCaps/>
      <w:color w:val="2F5496" w:themeColor="accent1" w:themeShade="BF"/>
      <w:spacing w:val="5"/>
    </w:rPr>
  </w:style>
  <w:style w:type="character" w:styleId="Hyperlink">
    <w:name w:val="Hyperlink"/>
    <w:basedOn w:val="DefaultParagraphFont"/>
    <w:uiPriority w:val="99"/>
    <w:unhideWhenUsed/>
    <w:rsid w:val="009968FD"/>
    <w:rPr>
      <w:color w:val="0563C1" w:themeColor="hyperlink"/>
      <w:u w:val="single"/>
    </w:rPr>
  </w:style>
  <w:style w:type="character" w:styleId="UnresolvedMention">
    <w:name w:val="Unresolved Mention"/>
    <w:basedOn w:val="DefaultParagraphFont"/>
    <w:uiPriority w:val="99"/>
    <w:semiHidden/>
    <w:unhideWhenUsed/>
    <w:rsid w:val="009968FD"/>
    <w:rPr>
      <w:color w:val="605E5C"/>
      <w:shd w:val="clear" w:color="auto" w:fill="E1DFDD"/>
    </w:rPr>
  </w:style>
  <w:style w:type="table" w:styleId="TableGrid">
    <w:name w:val="Table Grid"/>
    <w:basedOn w:val="TableNormal"/>
    <w:uiPriority w:val="39"/>
    <w:rsid w:val="00716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68E"/>
  </w:style>
  <w:style w:type="paragraph" w:styleId="Footer">
    <w:name w:val="footer"/>
    <w:basedOn w:val="Normal"/>
    <w:link w:val="FooterChar"/>
    <w:uiPriority w:val="99"/>
    <w:unhideWhenUsed/>
    <w:rsid w:val="000A0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br.org/2023/09/research-consumers-sustainability-demands-are-rising" TargetMode="External"/><Relationship Id="rId18" Type="http://schemas.openxmlformats.org/officeDocument/2006/relationships/hyperlink" Target="https://www.mintel.com"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coca-colahellenic.com/en/sustainability" TargetMode="External"/><Relationship Id="rId17" Type="http://schemas.openxmlformats.org/officeDocument/2006/relationships/hyperlink" Target="https://link.springer.com/" TargetMode="External"/><Relationship Id="rId2" Type="http://schemas.openxmlformats.org/officeDocument/2006/relationships/numbering" Target="numbering.xml"/><Relationship Id="rId16" Type="http://schemas.openxmlformats.org/officeDocument/2006/relationships/hyperlink" Target="https://www.ncbi.nlm.nih.gov/pmc/articles/PMC10687413/"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antar.com" TargetMode="External"/><Relationship Id="rId23" Type="http://schemas.openxmlformats.org/officeDocument/2006/relationships/fontTable" Target="fontTable.xml"/><Relationship Id="rId10" Type="http://schemas.openxmlformats.org/officeDocument/2006/relationships/hyperlink" Target="https://www.accenture.com" TargetMode="External"/><Relationship Id="rId19" Type="http://schemas.openxmlformats.org/officeDocument/2006/relationships/hyperlink" Target="https://www.pwc.com/gx/en/news-room/press-releases/2024/pwc-2024-voice-of-the-consumer-survey.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bm.com/reports/sustainability-choi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AE14F-3F1C-46DF-94B2-3CF77D1D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3526</Words>
  <Characters>22785</Characters>
  <Application>Microsoft Office Word</Application>
  <DocSecurity>0</DocSecurity>
  <Lines>517</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shah</dc:creator>
  <cp:keywords/>
  <dc:description/>
  <cp:lastModifiedBy>Abhi Shah</cp:lastModifiedBy>
  <cp:revision>15</cp:revision>
  <dcterms:created xsi:type="dcterms:W3CDTF">2025-10-29T15:11:00Z</dcterms:created>
  <dcterms:modified xsi:type="dcterms:W3CDTF">2025-11-18T15:26:00Z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5ca4f9bb-a610-4f99-b923-392134ec353e</vt:lpwstr>
  </property>
</Properties>
</file>